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E4691" w14:textId="5D35DEAA" w:rsidR="0080460B" w:rsidRPr="009B6986" w:rsidRDefault="0080460B" w:rsidP="00383A0C">
      <w:pPr>
        <w:pStyle w:val="Style2"/>
        <w:widowControl/>
        <w:tabs>
          <w:tab w:val="left" w:pos="6802"/>
        </w:tabs>
        <w:spacing w:before="82"/>
        <w:ind w:left="1272"/>
        <w:jc w:val="both"/>
        <w:rPr>
          <w:rStyle w:val="FontStyle18"/>
          <w:lang w:eastAsia="en-US"/>
        </w:rPr>
      </w:pPr>
      <w:r>
        <w:rPr>
          <w:rStyle w:val="FontStyle13"/>
          <w:lang w:eastAsia="en-US"/>
        </w:rPr>
        <w:tab/>
      </w:r>
      <w:proofErr w:type="spellStart"/>
      <w:r>
        <w:rPr>
          <w:rStyle w:val="FontStyle18"/>
          <w:lang w:eastAsia="en-US"/>
        </w:rPr>
        <w:t>Dystr</w:t>
      </w:r>
      <w:proofErr w:type="spellEnd"/>
      <w:r>
        <w:rPr>
          <w:rStyle w:val="FontStyle18"/>
          <w:lang w:eastAsia="en-US"/>
        </w:rPr>
        <w:t xml:space="preserve"> </w:t>
      </w:r>
      <w:r>
        <w:rPr>
          <w:rStyle w:val="FontStyle18"/>
          <w:vertAlign w:val="subscript"/>
          <w:lang w:eastAsia="en-US"/>
        </w:rPr>
        <w:t>:</w:t>
      </w:r>
      <w:r>
        <w:rPr>
          <w:rStyle w:val="FontStyle18"/>
          <w:lang w:eastAsia="en-US"/>
        </w:rPr>
        <w:t xml:space="preserve"> Ogólne</w:t>
      </w:r>
    </w:p>
    <w:p w14:paraId="337621D6" w14:textId="77777777" w:rsidR="0080460B" w:rsidRPr="009B6986" w:rsidRDefault="0080460B" w:rsidP="00383A0C">
      <w:pPr>
        <w:pStyle w:val="Style5"/>
        <w:widowControl/>
        <w:spacing w:before="24"/>
        <w:ind w:right="1411"/>
        <w:rPr>
          <w:rStyle w:val="FontStyle18"/>
          <w:lang w:eastAsia="en-US"/>
        </w:rPr>
      </w:pPr>
      <w:r>
        <w:rPr>
          <w:rStyle w:val="FontStyle18"/>
          <w:lang w:eastAsia="en-US"/>
        </w:rPr>
        <w:t>2 grudnia 2024</w:t>
      </w:r>
    </w:p>
    <w:p w14:paraId="55FCDDA4" w14:textId="77777777" w:rsidR="0080460B" w:rsidRDefault="0080460B" w:rsidP="00383A0C">
      <w:pPr>
        <w:pStyle w:val="Style5"/>
        <w:widowControl/>
        <w:spacing w:line="240" w:lineRule="exact"/>
        <w:ind w:left="6806"/>
        <w:rPr>
          <w:sz w:val="20"/>
          <w:szCs w:val="20"/>
        </w:rPr>
      </w:pPr>
    </w:p>
    <w:p w14:paraId="60CFC0AE" w14:textId="77777777" w:rsidR="0080460B" w:rsidRPr="009B6986" w:rsidRDefault="0080460B" w:rsidP="00383A0C">
      <w:pPr>
        <w:pStyle w:val="Style5"/>
        <w:widowControl/>
        <w:spacing w:before="34"/>
        <w:ind w:left="6806"/>
        <w:rPr>
          <w:rStyle w:val="FontStyle18"/>
          <w:lang w:eastAsia="en-US"/>
        </w:rPr>
      </w:pPr>
      <w:r>
        <w:rPr>
          <w:rStyle w:val="FontStyle18"/>
          <w:lang w:eastAsia="en-US"/>
        </w:rPr>
        <w:t>Oryginał: angielski</w:t>
      </w:r>
    </w:p>
    <w:p w14:paraId="1D1FC6D4" w14:textId="77777777" w:rsidR="0080460B" w:rsidRPr="009B6986" w:rsidRDefault="0080460B" w:rsidP="00383A0C">
      <w:pPr>
        <w:pStyle w:val="Style5"/>
        <w:widowControl/>
        <w:spacing w:before="24"/>
        <w:ind w:left="6802"/>
        <w:rPr>
          <w:rStyle w:val="FontStyle18"/>
          <w:lang w:eastAsia="en-US"/>
        </w:rPr>
      </w:pPr>
      <w:r>
        <w:rPr>
          <w:rStyle w:val="FontStyle18"/>
          <w:lang w:eastAsia="en-US"/>
        </w:rPr>
        <w:t>Tylko w języku angielskim, francuskim i hiszpańskim</w:t>
      </w:r>
    </w:p>
    <w:p w14:paraId="671B70E8" w14:textId="77777777" w:rsidR="0080460B" w:rsidRDefault="0080460B" w:rsidP="00383A0C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14:paraId="22C74F79" w14:textId="77777777" w:rsidR="0080460B" w:rsidRDefault="0080460B" w:rsidP="00383A0C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14:paraId="53408A9B" w14:textId="77777777" w:rsidR="0080460B" w:rsidRDefault="0080460B" w:rsidP="00383A0C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14:paraId="6E12383E" w14:textId="77777777" w:rsidR="0080460B" w:rsidRDefault="0080460B" w:rsidP="00383A0C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14:paraId="4C049DDB" w14:textId="77777777" w:rsidR="0080460B" w:rsidRDefault="0080460B" w:rsidP="00383A0C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14:paraId="6828B3CC" w14:textId="77777777" w:rsidR="0080460B" w:rsidRDefault="0080460B" w:rsidP="00383A0C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14:paraId="7C867FC2" w14:textId="77777777" w:rsidR="0080460B" w:rsidRPr="009B6986" w:rsidRDefault="0080460B" w:rsidP="00383A0C">
      <w:pPr>
        <w:pStyle w:val="Style6"/>
        <w:widowControl/>
        <w:spacing w:before="120"/>
        <w:jc w:val="both"/>
        <w:rPr>
          <w:rStyle w:val="FontStyle15"/>
          <w:lang w:eastAsia="en-US"/>
        </w:rPr>
      </w:pPr>
      <w:r>
        <w:rPr>
          <w:rStyle w:val="FontStyle15"/>
          <w:lang w:eastAsia="en-US"/>
        </w:rPr>
        <w:t>Komitet Praw Człowieka</w:t>
      </w:r>
    </w:p>
    <w:p w14:paraId="4EE02FD5" w14:textId="77777777" w:rsidR="0080460B" w:rsidRDefault="0080460B" w:rsidP="00383A0C">
      <w:pPr>
        <w:pStyle w:val="Style7"/>
        <w:widowControl/>
        <w:spacing w:line="240" w:lineRule="exact"/>
        <w:ind w:left="1138" w:right="1138"/>
        <w:rPr>
          <w:sz w:val="20"/>
          <w:szCs w:val="20"/>
        </w:rPr>
      </w:pPr>
    </w:p>
    <w:p w14:paraId="0997F00C" w14:textId="77777777" w:rsidR="0080460B" w:rsidRPr="009B6986" w:rsidRDefault="0080460B" w:rsidP="00383A0C">
      <w:pPr>
        <w:pStyle w:val="Style7"/>
        <w:widowControl/>
        <w:spacing w:before="120"/>
        <w:ind w:left="1138" w:right="1138"/>
        <w:rPr>
          <w:rStyle w:val="FontStyle14"/>
          <w:lang w:eastAsia="en-US"/>
        </w:rPr>
      </w:pPr>
      <w:r>
        <w:rPr>
          <w:rStyle w:val="FontStyle14"/>
          <w:lang w:eastAsia="en-US"/>
        </w:rPr>
        <w:t>Wykaz zagadnień sprzed złożenia ósmego raportu okresowego Polski*</w:t>
      </w:r>
    </w:p>
    <w:p w14:paraId="24E0C4E4" w14:textId="77777777" w:rsidR="0080460B" w:rsidRPr="009B6986" w:rsidRDefault="0080460B" w:rsidP="00383A0C">
      <w:pPr>
        <w:pStyle w:val="Style8"/>
        <w:widowControl/>
        <w:numPr>
          <w:ilvl w:val="0"/>
          <w:numId w:val="1"/>
        </w:numPr>
        <w:tabs>
          <w:tab w:val="left" w:pos="1133"/>
        </w:tabs>
        <w:spacing w:before="230"/>
        <w:ind w:left="1133" w:right="1133"/>
        <w:jc w:val="both"/>
        <w:rPr>
          <w:rStyle w:val="FontStyle15"/>
          <w:lang w:eastAsia="en-US"/>
        </w:rPr>
      </w:pPr>
      <w:r>
        <w:rPr>
          <w:rStyle w:val="FontStyle15"/>
          <w:lang w:eastAsia="en-US"/>
        </w:rPr>
        <w:t>Ogólne informacje na temat sytuacji w zakresie praw człowieka w poszczególnych krajach, w tym nowe środki i wydarzenia związane z wdrażaniem Paktu</w:t>
      </w:r>
    </w:p>
    <w:p w14:paraId="5DEE3212" w14:textId="77777777" w:rsidR="0080460B" w:rsidRDefault="0080460B" w:rsidP="00383A0C">
      <w:pPr>
        <w:widowControl/>
        <w:jc w:val="both"/>
        <w:rPr>
          <w:sz w:val="2"/>
          <w:szCs w:val="2"/>
        </w:rPr>
      </w:pPr>
    </w:p>
    <w:p w14:paraId="1603D52D" w14:textId="77777777" w:rsidR="0080460B" w:rsidRDefault="0080460B" w:rsidP="00383A0C">
      <w:pPr>
        <w:pStyle w:val="Style9"/>
        <w:widowControl/>
        <w:numPr>
          <w:ilvl w:val="0"/>
          <w:numId w:val="2"/>
        </w:numPr>
        <w:tabs>
          <w:tab w:val="left" w:pos="1699"/>
        </w:tabs>
        <w:spacing w:before="120"/>
        <w:ind w:left="1123" w:right="1123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przedstawić wszelkie istotne zmiany w ramach prawnych i instytucjonalnych, w których propaguje się i chroni prawa człowieka, które miały miejsce od czasu przyjęcia poprzednich uwag końcowych (CCPR/C/POL/CO/7), w tym przykłady spraw, w których sądy krajowe, w tym trybunał konstytucyjny, powołały się na postanowienia Paktu.</w:t>
      </w:r>
    </w:p>
    <w:p w14:paraId="16F41935" w14:textId="586A3B33" w:rsidR="00393442" w:rsidRPr="00393442" w:rsidRDefault="00393442" w:rsidP="00383A0C">
      <w:pPr>
        <w:pStyle w:val="Style9"/>
        <w:widowControl/>
        <w:tabs>
          <w:tab w:val="left" w:pos="1699"/>
        </w:tabs>
        <w:spacing w:before="120"/>
        <w:ind w:left="1123" w:right="1123"/>
        <w:rPr>
          <w:rStyle w:val="FontStyle18"/>
          <w:b/>
          <w:bCs/>
          <w:lang w:eastAsia="en-US"/>
        </w:rPr>
      </w:pPr>
      <w:r w:rsidRPr="00393442">
        <w:rPr>
          <w:rStyle w:val="FontStyle18"/>
          <w:b/>
          <w:bCs/>
          <w:lang w:eastAsia="en-US"/>
        </w:rPr>
        <w:t>(wszystkie resorty)</w:t>
      </w:r>
    </w:p>
    <w:p w14:paraId="4E42B232" w14:textId="12883D11" w:rsidR="00427099" w:rsidRPr="009B6986" w:rsidRDefault="0080460B" w:rsidP="00383A0C">
      <w:pPr>
        <w:pStyle w:val="Style8"/>
        <w:widowControl/>
        <w:numPr>
          <w:ilvl w:val="0"/>
          <w:numId w:val="3"/>
        </w:numPr>
        <w:tabs>
          <w:tab w:val="left" w:pos="1133"/>
        </w:tabs>
        <w:spacing w:before="350"/>
        <w:ind w:left="1133" w:right="1133"/>
        <w:jc w:val="both"/>
        <w:rPr>
          <w:rStyle w:val="FontStyle15"/>
          <w:lang w:eastAsia="en-US"/>
        </w:rPr>
      </w:pPr>
      <w:r>
        <w:rPr>
          <w:rStyle w:val="FontStyle15"/>
          <w:lang w:eastAsia="en-US"/>
        </w:rPr>
        <w:t>Szczegółowe informacje na temat stosowania artykułów 1–27 Paktu, w tym w odniesieniu do poprzednich zaleceń Komitetu</w:t>
      </w:r>
    </w:p>
    <w:p w14:paraId="5ECF5D18" w14:textId="77777777" w:rsidR="0080460B" w:rsidRDefault="0080460B" w:rsidP="00383A0C">
      <w:pPr>
        <w:pStyle w:val="Style3"/>
        <w:widowControl/>
        <w:spacing w:line="240" w:lineRule="exact"/>
        <w:ind w:left="1138"/>
        <w:jc w:val="both"/>
        <w:rPr>
          <w:sz w:val="20"/>
          <w:szCs w:val="20"/>
        </w:rPr>
      </w:pPr>
    </w:p>
    <w:p w14:paraId="72884635" w14:textId="00C8582D" w:rsidR="00427099" w:rsidRPr="009B6986" w:rsidRDefault="0080460B" w:rsidP="00383A0C">
      <w:pPr>
        <w:pStyle w:val="Style3"/>
        <w:widowControl/>
        <w:spacing w:before="5"/>
        <w:ind w:left="1138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Ramy konstytucyjne i prawne, w których wdraża się Pakt (art. 2)</w:t>
      </w:r>
    </w:p>
    <w:p w14:paraId="5096FF8C" w14:textId="77777777" w:rsidR="0080460B" w:rsidRDefault="0080460B" w:rsidP="00CF689F">
      <w:pPr>
        <w:pStyle w:val="Style9"/>
        <w:widowControl/>
        <w:numPr>
          <w:ilvl w:val="0"/>
          <w:numId w:val="4"/>
        </w:numPr>
        <w:tabs>
          <w:tab w:val="left" w:pos="1699"/>
        </w:tabs>
        <w:ind w:left="1123" w:right="1111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Proszę wskazać obowiązujące procedury wdrażania stanowisk Komitetu na mocy Protokołu fakultatywnego oraz przedstawić informacje na temat środków podjętych w celu zapewnienia pełnej zgodności z każdym ze stanowisk przyjętych w odniesieniu do Państwa-Strony, w tym </w:t>
      </w:r>
      <w:r>
        <w:rPr>
          <w:rStyle w:val="FontStyle16"/>
          <w:lang w:eastAsia="en-US"/>
        </w:rPr>
        <w:t xml:space="preserve">A.B. i B.D. przeciwko Polsce (2022) </w:t>
      </w:r>
      <w:r>
        <w:rPr>
          <w:rStyle w:val="FontStyle18"/>
          <w:lang w:eastAsia="en-US"/>
        </w:rPr>
        <w:t>(CCPR/C/135/D/3017/2017). Proszę informować o środkach podjętych w celu podniesienia świadomości na temat Protokołu fakultatywnego, w szczególności wśród sędziów, prokuratorów, adwokatów i wszystkich tych, którzy uważają, że mogło dojść do naruszenia ich praw człowieka wynikających z Paktu.</w:t>
      </w:r>
    </w:p>
    <w:p w14:paraId="152F2A02" w14:textId="5A01F745" w:rsidR="00393442" w:rsidRPr="00393442" w:rsidRDefault="00393442" w:rsidP="00CF689F">
      <w:pPr>
        <w:pStyle w:val="Style9"/>
        <w:widowControl/>
        <w:tabs>
          <w:tab w:val="left" w:pos="1699"/>
        </w:tabs>
        <w:ind w:left="1123" w:right="1111"/>
        <w:rPr>
          <w:rStyle w:val="FontStyle18"/>
          <w:b/>
          <w:bCs/>
          <w:lang w:eastAsia="en-US"/>
        </w:rPr>
      </w:pPr>
      <w:r w:rsidRPr="00393442">
        <w:rPr>
          <w:rStyle w:val="FontStyle18"/>
          <w:b/>
          <w:bCs/>
          <w:lang w:eastAsia="en-US"/>
        </w:rPr>
        <w:t>(MS, KRS, PK, NRA, KRRP</w:t>
      </w:r>
      <w:r w:rsidR="00B245F1">
        <w:rPr>
          <w:rStyle w:val="FontStyle18"/>
          <w:b/>
          <w:bCs/>
          <w:lang w:eastAsia="en-US"/>
        </w:rPr>
        <w:t xml:space="preserve">, </w:t>
      </w:r>
      <w:proofErr w:type="spellStart"/>
      <w:r w:rsidR="00B245F1">
        <w:rPr>
          <w:rStyle w:val="FontStyle18"/>
          <w:b/>
          <w:bCs/>
          <w:lang w:eastAsia="en-US"/>
        </w:rPr>
        <w:t>KSSiP</w:t>
      </w:r>
      <w:proofErr w:type="spellEnd"/>
      <w:r w:rsidRPr="00393442">
        <w:rPr>
          <w:rStyle w:val="FontStyle18"/>
          <w:b/>
          <w:bCs/>
          <w:lang w:eastAsia="en-US"/>
        </w:rPr>
        <w:t>)</w:t>
      </w:r>
    </w:p>
    <w:p w14:paraId="4BD6735A" w14:textId="77777777" w:rsidR="0080460B" w:rsidRDefault="0080460B" w:rsidP="00CF689F">
      <w:pPr>
        <w:pStyle w:val="Style9"/>
        <w:widowControl/>
        <w:numPr>
          <w:ilvl w:val="0"/>
          <w:numId w:val="4"/>
        </w:numPr>
        <w:tabs>
          <w:tab w:val="left" w:pos="1699"/>
        </w:tabs>
        <w:ind w:left="1123" w:right="1123"/>
        <w:rPr>
          <w:rStyle w:val="FontStyle18"/>
          <w:lang w:eastAsia="en-US"/>
        </w:rPr>
      </w:pPr>
      <w:r>
        <w:rPr>
          <w:rStyle w:val="FontStyle18"/>
          <w:lang w:eastAsia="en-US"/>
        </w:rPr>
        <w:t>W świetle najnowszych uwag końcowych (ust. 6) proszę wskazać środki podjęte w celu umożliwienia Biuru Rzecznika Praw Obywatelskich pełnego wypełniania jego funkcji zgodnie z zasadami dotyczącymi statusu krajowych instytucji na rzecz promowania i ochrony praw człowieka (zasady paryskie), w tym poprzez:  a) zapewnienie Urzędowi wystarczających zasobów ludzkich i finansowych, zapewniając, aby były one odpowiednie do wykonywania pełnego zakresu mandatu Urzędu, w tym krajowego mechanizmu prewencyjnego i organu wspierającego sygnalistów, który ma zostać ustanowiony w grudniu 2024 r.; b) sformalizowanie jasnego, przejrzystego i partycypacyjnego procesu selekcji i mianowania w odpowiednich przepisach; oraz c) zapewnienie działań następczych w związku z zaleceniami i ich wdrożenia.</w:t>
      </w:r>
    </w:p>
    <w:p w14:paraId="5B9CB736" w14:textId="0AA0152F" w:rsidR="00427099" w:rsidRPr="00393442" w:rsidRDefault="00383A0C" w:rsidP="00CF689F">
      <w:pPr>
        <w:pStyle w:val="Style9"/>
        <w:widowControl/>
        <w:tabs>
          <w:tab w:val="left" w:pos="1699"/>
        </w:tabs>
        <w:ind w:left="1134" w:right="1123" w:hanging="1134"/>
        <w:rPr>
          <w:rStyle w:val="FontStyle18"/>
          <w:b/>
          <w:bCs/>
          <w:lang w:eastAsia="en-US"/>
        </w:rPr>
      </w:pPr>
      <w:r>
        <w:rPr>
          <w:rStyle w:val="FontStyle18"/>
          <w:lang w:eastAsia="en-US"/>
        </w:rPr>
        <w:tab/>
      </w:r>
      <w:r w:rsidR="00393442" w:rsidRPr="00393442">
        <w:rPr>
          <w:rStyle w:val="FontStyle18"/>
          <w:b/>
          <w:bCs/>
          <w:lang w:eastAsia="en-US"/>
        </w:rPr>
        <w:t>(RPO)</w:t>
      </w:r>
    </w:p>
    <w:p w14:paraId="4D91A1AC" w14:textId="25E5ED2B" w:rsidR="00427099" w:rsidRPr="009B6986" w:rsidRDefault="0080460B" w:rsidP="00383A0C">
      <w:pPr>
        <w:pStyle w:val="Style3"/>
        <w:widowControl/>
        <w:spacing w:before="240"/>
        <w:ind w:left="1138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Środki zwalczania terroryzmu (art. 2, 6, 7, 14, 17 i 21)</w:t>
      </w:r>
    </w:p>
    <w:p w14:paraId="20F20C28" w14:textId="1F1173C0" w:rsidR="00383A0C" w:rsidRDefault="0080460B" w:rsidP="00CF689F">
      <w:pPr>
        <w:pStyle w:val="Style9"/>
        <w:widowControl/>
        <w:numPr>
          <w:ilvl w:val="0"/>
          <w:numId w:val="5"/>
        </w:numPr>
        <w:tabs>
          <w:tab w:val="left" w:pos="1699"/>
        </w:tabs>
        <w:spacing w:before="130" w:line="226" w:lineRule="exact"/>
        <w:ind w:left="1138" w:right="1123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W nawiązaniu do najnowszych uwag końcowych Komitetu (ust. 10 i 12) proszę o udzielenie informacji na temat wszelkich kroków podjętych w celu dokonania przeglądu ustawodawstwa Państwa-Strony w zakresie zwalczania terroryzmu, w tym art. 115 kodeksu karnego i ustawy o zwalczaniu terroryzmu z czerwca 2016 r. oraz </w:t>
      </w:r>
      <w:r>
        <w:rPr>
          <w:rStyle w:val="FontStyle18"/>
          <w:lang w:eastAsia="en-US"/>
        </w:rPr>
        <w:lastRenderedPageBreak/>
        <w:t>rozporządzenia z lipca 2016 r., w celu dostosowania jej do zobowiązań wynikających z</w:t>
      </w:r>
      <w:r w:rsidR="00CF689F">
        <w:rPr>
          <w:rStyle w:val="FontStyle18"/>
          <w:lang w:eastAsia="en-US"/>
        </w:rPr>
        <w:t xml:space="preserve"> </w:t>
      </w:r>
      <w:r>
        <w:rPr>
          <w:rStyle w:val="FontStyle18"/>
          <w:lang w:eastAsia="en-US"/>
        </w:rPr>
        <w:t>Paktu oraz zapewnienie: a) że zarówno cel, jak i charakter przestępstw terrorystycznych są ściśle określone; oraz b) zawarto precyzyjną definicję "incydentów terrorystycznych". Proszę również o aktualne informacje na temat stanu i wyników śledztw i postępowań w sprawie udziału polskich funkcjonariuszy w tajnych zatrzymaniach, torturach i wydawaniu więźniów w latach 2003-2005 w Starych Kiejkutach.</w:t>
      </w:r>
    </w:p>
    <w:p w14:paraId="6134428E" w14:textId="0E67F547" w:rsidR="00495616" w:rsidRDefault="00495616" w:rsidP="00383A0C">
      <w:pPr>
        <w:pStyle w:val="Style1"/>
        <w:widowControl/>
        <w:spacing w:before="43"/>
        <w:ind w:left="272" w:firstLine="720"/>
        <w:rPr>
          <w:rStyle w:val="FontStyle18"/>
          <w:b/>
          <w:bCs/>
          <w:lang w:eastAsia="en-US"/>
        </w:rPr>
      </w:pPr>
      <w:r w:rsidRPr="00495616">
        <w:rPr>
          <w:rStyle w:val="FontStyle18"/>
          <w:b/>
          <w:bCs/>
          <w:lang w:eastAsia="en-US"/>
        </w:rPr>
        <w:t>(PK, MSWiA, ABW, KGP, SG, AW, MON, SWW, ŻW</w:t>
      </w:r>
      <w:r w:rsidR="00DA58FF">
        <w:rPr>
          <w:rStyle w:val="FontStyle18"/>
          <w:b/>
          <w:bCs/>
          <w:lang w:eastAsia="en-US"/>
        </w:rPr>
        <w:t xml:space="preserve">, </w:t>
      </w:r>
      <w:r w:rsidR="00DA58FF" w:rsidRPr="00495616">
        <w:rPr>
          <w:rStyle w:val="FontStyle18"/>
          <w:b/>
          <w:bCs/>
          <w:lang w:eastAsia="en-US"/>
        </w:rPr>
        <w:t>SKW</w:t>
      </w:r>
      <w:r w:rsidRPr="00495616">
        <w:rPr>
          <w:rStyle w:val="FontStyle18"/>
          <w:b/>
          <w:bCs/>
          <w:lang w:eastAsia="en-US"/>
        </w:rPr>
        <w:t>)</w:t>
      </w:r>
    </w:p>
    <w:p w14:paraId="550EDD1F" w14:textId="77777777" w:rsidR="00261387" w:rsidRPr="00495616" w:rsidRDefault="00261387" w:rsidP="00383A0C">
      <w:pPr>
        <w:pStyle w:val="Style1"/>
        <w:widowControl/>
        <w:spacing w:before="43"/>
        <w:ind w:left="272" w:firstLine="720"/>
        <w:rPr>
          <w:rStyle w:val="FontStyle18"/>
          <w:b/>
          <w:bCs/>
          <w:lang w:eastAsia="en-US"/>
        </w:rPr>
      </w:pPr>
    </w:p>
    <w:p w14:paraId="3C9156D0" w14:textId="2EBC2DDD" w:rsidR="00383A0C" w:rsidRPr="00383A0C" w:rsidRDefault="0080460B" w:rsidP="00383A0C">
      <w:pPr>
        <w:pStyle w:val="Style3"/>
        <w:widowControl/>
        <w:spacing w:before="240"/>
        <w:ind w:left="272" w:firstLine="720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Niedyskryminacja (art. 2, 19, 20 i 26)</w:t>
      </w:r>
    </w:p>
    <w:p w14:paraId="1BFB4541" w14:textId="2F92A43A" w:rsidR="00495616" w:rsidRDefault="0080460B" w:rsidP="00CF689F">
      <w:pPr>
        <w:pStyle w:val="Style9"/>
        <w:widowControl/>
        <w:numPr>
          <w:ilvl w:val="0"/>
          <w:numId w:val="5"/>
        </w:numPr>
        <w:spacing w:line="226" w:lineRule="exact"/>
        <w:ind w:left="992"/>
        <w:rPr>
          <w:rStyle w:val="FontStyle18"/>
          <w:lang w:eastAsia="en-US"/>
        </w:rPr>
      </w:pPr>
      <w:r>
        <w:rPr>
          <w:rStyle w:val="FontStyle18"/>
          <w:lang w:eastAsia="en-US"/>
        </w:rPr>
        <w:t>Mając na uwadze ostatnie uwagi końcowe Komitetu (ust. 14). proszę o przedstawienie środków podjętych w celu zapewnienia, że ustawodawstwo i ramy polityki antydyskryminacyjnej Państwa-Strony, w tym Ustawa o równym traktowaniu oraz Krajowy Program Działań na rzecz Równego Traktowania na lata 2022-2030, zapewniają pełną i skuteczną ochronę przed dyskryminacją bezpośrednią, pośrednią i wieloraką we wszystkich sferach, w tym w sferze prywatnej, oraz ze wszystkich przyczyn zabronionych przez Pakt,  a także skuteczne środki zaradcze, w tym odszkodowania, dla ofiar dyskryminacji. Proszę załączyć dane statystyczne dotyczące skarg na dyskryminację wniesionych do sądów i Rzecznika Praw Obywatelskich w okresie sprawozdawczym, wraz ze wskazaniem podstawy dyskryminacji, charakteru prowadzonych dochodzeń i ich wyników oraz wszelkich środków zadośćuczynienia przyznanych ofiarom. Proszę również opisać kroki podjęte w celu podniesienia świadomości społecznej i zapewnienia dostępu do informacji na temat organów antydyskryminacyjnych i zasobów dostępnych dla ofiar dyskryminacji.</w:t>
      </w:r>
    </w:p>
    <w:p w14:paraId="40FA4732" w14:textId="1610AFAA" w:rsidR="00495616" w:rsidRPr="00495616" w:rsidRDefault="00495616" w:rsidP="00CF689F">
      <w:pPr>
        <w:pStyle w:val="Style9"/>
        <w:widowControl/>
        <w:tabs>
          <w:tab w:val="left" w:pos="1704"/>
        </w:tabs>
        <w:spacing w:line="226" w:lineRule="exact"/>
        <w:ind w:left="992"/>
        <w:rPr>
          <w:rStyle w:val="FontStyle18"/>
          <w:b/>
          <w:bCs/>
          <w:lang w:eastAsia="en-US"/>
        </w:rPr>
      </w:pPr>
      <w:bookmarkStart w:id="0" w:name="_Hlk203742155"/>
      <w:r w:rsidRPr="00495616">
        <w:rPr>
          <w:rStyle w:val="FontStyle18"/>
          <w:b/>
          <w:bCs/>
          <w:lang w:eastAsia="en-US"/>
        </w:rPr>
        <w:t>(RPO, MS, PK</w:t>
      </w:r>
      <w:r w:rsidR="003F4425">
        <w:rPr>
          <w:rStyle w:val="FontStyle18"/>
          <w:b/>
          <w:bCs/>
          <w:lang w:eastAsia="en-US"/>
        </w:rPr>
        <w:t>, MSWiA, KGP</w:t>
      </w:r>
      <w:r w:rsidRPr="00495616">
        <w:rPr>
          <w:rStyle w:val="FontStyle18"/>
          <w:b/>
          <w:bCs/>
          <w:lang w:eastAsia="en-US"/>
        </w:rPr>
        <w:t>)</w:t>
      </w:r>
      <w:bookmarkEnd w:id="0"/>
    </w:p>
    <w:p w14:paraId="448D1FFF" w14:textId="6A2182AD" w:rsidR="00495616" w:rsidRDefault="0080460B" w:rsidP="00CF689F">
      <w:pPr>
        <w:pStyle w:val="Style9"/>
        <w:widowControl/>
        <w:numPr>
          <w:ilvl w:val="0"/>
          <w:numId w:val="5"/>
        </w:numPr>
        <w:tabs>
          <w:tab w:val="left" w:pos="1704"/>
        </w:tabs>
        <w:spacing w:line="226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W związku z najnowszymi uwagami końcowymi Komitetu (pkt 16 i 18) proszę przedstawić sprawozdanie na temat wysiłków podjętych w celu zapobiegania wszelkim aktom rasizmu, ksenofobii, islamofobii, antysemityzmu i homofobii, w tym nawoływaniu do nienawiści w </w:t>
      </w:r>
      <w:proofErr w:type="spellStart"/>
      <w:r>
        <w:rPr>
          <w:rStyle w:val="FontStyle18"/>
          <w:lang w:eastAsia="en-US"/>
        </w:rPr>
        <w:t>internecie</w:t>
      </w:r>
      <w:proofErr w:type="spellEnd"/>
      <w:r>
        <w:rPr>
          <w:rStyle w:val="FontStyle18"/>
          <w:lang w:eastAsia="en-US"/>
        </w:rPr>
        <w:t>, oraz ich eliminowania, a także przedstawić dane statystyczne dotyczące liczby zgłoszeń i dochodzeń dotyczących takich aktów, a także wyników przeprowadzonych dochodzeń. Proszę przedstawić informacje na temat środków podjętych w celu zmiany przepisów chroniących przed przestępstwami z nienawiści, w tym art. 119 i 257 kodeksu karnego, zapewniających, że przestępstwa motywowane dyskryminacją z jakichkolwiek powodów zgodnie z Paktem są badane i ścigane jako kwalifikowane formy postępowania przestępczego. Proszę o udzielenie informacji na temat środków podjętych w celu zaradzenia ciągłemu wzrostowi ataków i przemocy wobec lesbijek, gejów, osób biseksualnych, transpłciowych i interseksualnych, w tym wrogiej i stygmatyzującej retoryki skierowanej przeciwko nim przez urzędników wysokiego szczebla, a także o skomentowanie uchwał władz lokalnych tworzących tzw. "strefy wolne od ideologii LGBTI", które rzekomo miały na celu zakazanie różnych działań dla lesbijek, gejów,  osoby biseksualne, transpłciowe i interseksualne, z których część rzekomo nadal obowiązuje.</w:t>
      </w:r>
    </w:p>
    <w:p w14:paraId="0D534010" w14:textId="11F5C1EA" w:rsidR="00495616" w:rsidRPr="000230B8" w:rsidRDefault="000230B8" w:rsidP="00CF689F">
      <w:pPr>
        <w:pStyle w:val="Style9"/>
        <w:widowControl/>
        <w:tabs>
          <w:tab w:val="left" w:pos="1704"/>
        </w:tabs>
        <w:spacing w:line="226" w:lineRule="exact"/>
        <w:rPr>
          <w:rStyle w:val="FontStyle18"/>
          <w:b/>
          <w:bCs/>
          <w:lang w:eastAsia="en-US"/>
        </w:rPr>
      </w:pPr>
      <w:bookmarkStart w:id="1" w:name="_Hlk203742173"/>
      <w:r>
        <w:rPr>
          <w:rStyle w:val="FontStyle18"/>
          <w:b/>
          <w:bCs/>
          <w:lang w:eastAsia="en-US"/>
        </w:rPr>
        <w:t xml:space="preserve">             </w:t>
      </w:r>
      <w:r w:rsidR="0033527D" w:rsidRPr="0033527D">
        <w:rPr>
          <w:rStyle w:val="FontStyle18"/>
          <w:b/>
          <w:bCs/>
          <w:lang w:eastAsia="en-US"/>
        </w:rPr>
        <w:t>(RPO, MS, PK</w:t>
      </w:r>
      <w:r w:rsidR="003F4425">
        <w:rPr>
          <w:rStyle w:val="FontStyle18"/>
          <w:b/>
          <w:bCs/>
          <w:lang w:eastAsia="en-US"/>
        </w:rPr>
        <w:t>, MSWiA, KGP</w:t>
      </w:r>
      <w:r w:rsidR="0033527D" w:rsidRPr="0033527D">
        <w:rPr>
          <w:rStyle w:val="FontStyle18"/>
          <w:b/>
          <w:bCs/>
          <w:lang w:eastAsia="en-US"/>
        </w:rPr>
        <w:t>)</w:t>
      </w:r>
      <w:bookmarkEnd w:id="1"/>
    </w:p>
    <w:p w14:paraId="366FCF2C" w14:textId="76768D2A" w:rsidR="0033527D" w:rsidRDefault="0080460B" w:rsidP="00CF689F">
      <w:pPr>
        <w:pStyle w:val="Style9"/>
        <w:widowControl/>
        <w:numPr>
          <w:ilvl w:val="0"/>
          <w:numId w:val="5"/>
        </w:numPr>
        <w:tabs>
          <w:tab w:val="left" w:pos="1704"/>
        </w:tabs>
        <w:spacing w:line="230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podać informacje na temat ram prawnych dotyczących prawnego uznania zmiany płci, w tym na temat tego, czy były jakiekolwiek skargi od osób transpłciowych dotyczące jej praktycznego stosowania. Prosimy o informowanie o środkach legislacyjnych i innych środkach podjętych w celu zakazania i ostrzeżenia społeczeństwa przed stosowaniem tak zwanej "terapii konwersyjnej".</w:t>
      </w:r>
    </w:p>
    <w:p w14:paraId="0131547E" w14:textId="5E03DDC6" w:rsidR="0033527D" w:rsidRPr="0033527D" w:rsidRDefault="0033527D" w:rsidP="00CF689F">
      <w:pPr>
        <w:pStyle w:val="Style9"/>
        <w:widowControl/>
        <w:tabs>
          <w:tab w:val="left" w:pos="1704"/>
        </w:tabs>
        <w:spacing w:line="226" w:lineRule="exact"/>
        <w:ind w:left="1128" w:hanging="135"/>
        <w:rPr>
          <w:rStyle w:val="FontStyle18"/>
          <w:b/>
          <w:bCs/>
          <w:lang w:eastAsia="en-US"/>
        </w:rPr>
      </w:pPr>
      <w:r w:rsidRPr="0033527D">
        <w:rPr>
          <w:rStyle w:val="FontStyle18"/>
          <w:b/>
          <w:bCs/>
          <w:lang w:eastAsia="en-US"/>
        </w:rPr>
        <w:t>(RPO, MS, PK)</w:t>
      </w:r>
    </w:p>
    <w:p w14:paraId="5BE77586" w14:textId="77777777" w:rsidR="0080460B" w:rsidRDefault="0080460B" w:rsidP="000230B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00E1251F" w14:textId="77777777" w:rsidR="000230B8" w:rsidRDefault="000230B8" w:rsidP="000230B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599479B6" w14:textId="77777777" w:rsidR="0080460B" w:rsidRDefault="0080460B" w:rsidP="000230B8">
      <w:pPr>
        <w:pStyle w:val="Style3"/>
        <w:widowControl/>
        <w:spacing w:before="5"/>
        <w:ind w:left="1142" w:hanging="149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Równość płci (art. 2, 3 i 26)</w:t>
      </w:r>
    </w:p>
    <w:p w14:paraId="6667AE4B" w14:textId="77777777" w:rsidR="00427099" w:rsidRPr="003F4425" w:rsidRDefault="00427099" w:rsidP="00383A0C">
      <w:pPr>
        <w:pStyle w:val="Style3"/>
        <w:widowControl/>
        <w:spacing w:before="5"/>
        <w:ind w:left="1142"/>
        <w:jc w:val="both"/>
        <w:rPr>
          <w:rStyle w:val="FontStyle19"/>
          <w:lang w:eastAsia="en-US"/>
        </w:rPr>
      </w:pPr>
    </w:p>
    <w:p w14:paraId="57D12A22" w14:textId="6758300C" w:rsidR="0033527D" w:rsidRDefault="0080460B" w:rsidP="00CF689F">
      <w:pPr>
        <w:pStyle w:val="Style9"/>
        <w:widowControl/>
        <w:numPr>
          <w:ilvl w:val="0"/>
          <w:numId w:val="7"/>
        </w:numPr>
        <w:tabs>
          <w:tab w:val="left" w:pos="1704"/>
        </w:tabs>
        <w:spacing w:line="230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Mając na uwadze ostatnie uwagi końcowe Komitetu (ust. 21), proszę o udzielenie informacji na temat środków podjętych przez Państwo-Stronę w celu osiągnięcia parytetu płci na rynku pracy i w życiu publicznym, w szczególności na stanowiskach kierowniczych, w tym reprezentacji kobiet w organach spółek oraz w polityce, służbie publicznej, sądownictwie, prokuraturze i środowisku akademickim,  i ocenić osiągnięte wyniki. Proszę podać informacje na temat tego, czy w okresie sprawozdawczym poczyniono postępy w zmniejszaniu zróżnicowania wynagrodzenia ze względu na płeć. Proszę opisać kroki podjęte w celu wyeliminowania uprzedzeń i stereotypów związanych z płcią</w:t>
      </w:r>
      <w:r w:rsidR="00682B3E">
        <w:rPr>
          <w:rStyle w:val="FontStyle18"/>
          <w:lang w:eastAsia="en-US"/>
        </w:rPr>
        <w:t>.</w:t>
      </w:r>
    </w:p>
    <w:p w14:paraId="697A52EE" w14:textId="442344B3" w:rsidR="0033527D" w:rsidRPr="0033527D" w:rsidRDefault="0033527D" w:rsidP="00CF689F">
      <w:pPr>
        <w:pStyle w:val="Style9"/>
        <w:widowControl/>
        <w:tabs>
          <w:tab w:val="left" w:pos="1704"/>
        </w:tabs>
        <w:spacing w:line="230" w:lineRule="exact"/>
        <w:ind w:left="1128" w:hanging="135"/>
        <w:rPr>
          <w:rStyle w:val="FontStyle18"/>
          <w:b/>
          <w:bCs/>
          <w:lang w:eastAsia="en-US"/>
        </w:rPr>
      </w:pPr>
      <w:r w:rsidRPr="0033527D">
        <w:rPr>
          <w:rStyle w:val="FontStyle18"/>
          <w:b/>
          <w:bCs/>
          <w:lang w:eastAsia="en-US"/>
        </w:rPr>
        <w:t>(</w:t>
      </w:r>
      <w:r w:rsidR="003F4425">
        <w:rPr>
          <w:rStyle w:val="FontStyle18"/>
          <w:b/>
          <w:bCs/>
          <w:lang w:eastAsia="en-US"/>
        </w:rPr>
        <w:t xml:space="preserve">MS, </w:t>
      </w:r>
      <w:proofErr w:type="spellStart"/>
      <w:r w:rsidRPr="0033527D">
        <w:rPr>
          <w:rStyle w:val="FontStyle18"/>
          <w:b/>
          <w:bCs/>
          <w:lang w:eastAsia="en-US"/>
        </w:rPr>
        <w:t>MRPiPS</w:t>
      </w:r>
      <w:proofErr w:type="spellEnd"/>
      <w:r w:rsidRPr="0033527D">
        <w:rPr>
          <w:rStyle w:val="FontStyle18"/>
          <w:b/>
          <w:bCs/>
          <w:lang w:eastAsia="en-US"/>
        </w:rPr>
        <w:t>)</w:t>
      </w:r>
    </w:p>
    <w:p w14:paraId="7F7CB3C4" w14:textId="77777777" w:rsidR="0033527D" w:rsidRPr="009B6986" w:rsidRDefault="0033527D" w:rsidP="00CF689F">
      <w:pPr>
        <w:pStyle w:val="Style9"/>
        <w:widowControl/>
        <w:tabs>
          <w:tab w:val="left" w:pos="1704"/>
        </w:tabs>
        <w:spacing w:line="230" w:lineRule="exact"/>
        <w:ind w:left="1128"/>
        <w:rPr>
          <w:rStyle w:val="FontStyle18"/>
          <w:lang w:eastAsia="en-US"/>
        </w:rPr>
      </w:pPr>
    </w:p>
    <w:p w14:paraId="27CB06BB" w14:textId="77777777" w:rsidR="0080460B" w:rsidRDefault="0080460B" w:rsidP="00383A0C">
      <w:pPr>
        <w:pStyle w:val="Style3"/>
        <w:widowControl/>
        <w:spacing w:line="240" w:lineRule="exact"/>
        <w:ind w:left="1133"/>
        <w:jc w:val="both"/>
        <w:rPr>
          <w:sz w:val="20"/>
          <w:szCs w:val="20"/>
        </w:rPr>
      </w:pPr>
    </w:p>
    <w:p w14:paraId="32CDE935" w14:textId="77777777" w:rsidR="0080460B" w:rsidRPr="009B6986" w:rsidRDefault="0080460B" w:rsidP="00383A0C">
      <w:pPr>
        <w:pStyle w:val="Style3"/>
        <w:widowControl/>
        <w:spacing w:before="5"/>
        <w:ind w:left="993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Przemoc wobec kobiet i przemoc domowa (art. 2-3,6-7 i 26)</w:t>
      </w:r>
    </w:p>
    <w:p w14:paraId="500AE09A" w14:textId="2808B372" w:rsidR="00523FCE" w:rsidRDefault="0080460B" w:rsidP="000230B8">
      <w:pPr>
        <w:pStyle w:val="Style9"/>
        <w:widowControl/>
        <w:numPr>
          <w:ilvl w:val="0"/>
          <w:numId w:val="8"/>
        </w:numPr>
        <w:tabs>
          <w:tab w:val="left" w:pos="1704"/>
        </w:tabs>
        <w:spacing w:before="125" w:line="226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Zgodnie z ostatnimi uwagami końcowymi Komitetu (ust. 20) proszę przedstawić sprawozdanie na temat konkretnych środków przyjętych w celu zapewnienia, by wszystkie akty przemocy wobec kobiet, w tym przemoc domowa, były dokładnie badane, by sprawcy tych czynów byli odpowiednio ścigani i karani, a ofiary otrzymywały pełne zadośćuczynienie, skuteczną ochronę i rehabilitację, w tym dostęp do specjalistycznych usług wsparcia finansowanych w sposób zrównoważony, a także  w </w:t>
      </w:r>
      <w:r>
        <w:rPr>
          <w:rStyle w:val="FontStyle18"/>
          <w:lang w:eastAsia="en-US"/>
        </w:rPr>
        <w:lastRenderedPageBreak/>
        <w:t>stosownych przypadkach, schronienia. W związku z tym proszę przedstawić dane statystyczne dotyczące liczby złożonych skarg, przeprowadzonych dochodzeń, wszczętych postępowań karnych, wydanych wyroków i środków zadośćuczynienia przyznanych ofiarom przemocy wobec kobiet. Proszę poinformować o krokach podjętych w celu przyjęcia kompleksowej strategii zapobiegania przemocy ze względu na płeć we wszystkich jej formach i przejawach, w tym przemocy seksualnej, gwałtom, molestowaniu i uporczywemu nękaniu, oraz o środkach podjętych w celu podniesienia świadomości wśród policji, wymiaru sprawiedliwości, prokuratorów i przedstawicieli społeczności oraz ogółu kobiet i mężczyzn na temat powagi przemocy domowej i jej szkodliwego wpływu na życie ofiar.</w:t>
      </w:r>
    </w:p>
    <w:p w14:paraId="4BBA876B" w14:textId="535D695B" w:rsidR="00523FCE" w:rsidRPr="003F4425" w:rsidRDefault="00523FCE" w:rsidP="00383A0C">
      <w:pPr>
        <w:pStyle w:val="Style9"/>
        <w:widowControl/>
        <w:tabs>
          <w:tab w:val="left" w:pos="1704"/>
        </w:tabs>
        <w:spacing w:before="125" w:line="226" w:lineRule="exact"/>
        <w:ind w:left="993"/>
        <w:rPr>
          <w:rStyle w:val="FontStyle18"/>
          <w:b/>
          <w:bCs/>
          <w:lang w:val="en-US" w:eastAsia="en-US"/>
        </w:rPr>
      </w:pPr>
      <w:r w:rsidRPr="003F4425">
        <w:rPr>
          <w:rStyle w:val="FontStyle18"/>
          <w:b/>
          <w:bCs/>
          <w:lang w:val="en-US" w:eastAsia="en-US"/>
        </w:rPr>
        <w:t xml:space="preserve">(PK, </w:t>
      </w:r>
      <w:proofErr w:type="spellStart"/>
      <w:r w:rsidRPr="003F4425">
        <w:rPr>
          <w:rStyle w:val="FontStyle18"/>
          <w:b/>
          <w:bCs/>
          <w:lang w:val="en-US" w:eastAsia="en-US"/>
        </w:rPr>
        <w:t>MRPiPS</w:t>
      </w:r>
      <w:proofErr w:type="spellEnd"/>
      <w:r w:rsidRPr="003F4425">
        <w:rPr>
          <w:rStyle w:val="FontStyle18"/>
          <w:b/>
          <w:bCs/>
          <w:lang w:val="en-US" w:eastAsia="en-US"/>
        </w:rPr>
        <w:t>, MS,</w:t>
      </w:r>
      <w:r w:rsidR="003F4425" w:rsidRPr="003F4425">
        <w:rPr>
          <w:rStyle w:val="FontStyle18"/>
          <w:b/>
          <w:bCs/>
          <w:lang w:val="en-US" w:eastAsia="en-US"/>
        </w:rPr>
        <w:t xml:space="preserve"> </w:t>
      </w:r>
      <w:proofErr w:type="spellStart"/>
      <w:r w:rsidR="003F4425" w:rsidRPr="003F4425">
        <w:rPr>
          <w:rStyle w:val="FontStyle18"/>
          <w:b/>
          <w:bCs/>
          <w:lang w:val="en-US" w:eastAsia="en-US"/>
        </w:rPr>
        <w:t>MSWiA</w:t>
      </w:r>
      <w:proofErr w:type="spellEnd"/>
      <w:r w:rsidR="003F4425" w:rsidRPr="003F4425">
        <w:rPr>
          <w:rStyle w:val="FontStyle18"/>
          <w:b/>
          <w:bCs/>
          <w:lang w:val="en-US" w:eastAsia="en-US"/>
        </w:rPr>
        <w:t>,</w:t>
      </w:r>
      <w:r w:rsidRPr="003F4425">
        <w:rPr>
          <w:rStyle w:val="FontStyle18"/>
          <w:b/>
          <w:bCs/>
          <w:lang w:val="en-US" w:eastAsia="en-US"/>
        </w:rPr>
        <w:t xml:space="preserve"> KGP)</w:t>
      </w:r>
    </w:p>
    <w:p w14:paraId="24427A6B" w14:textId="77777777" w:rsidR="00523FCE" w:rsidRPr="003F4425" w:rsidRDefault="00523FCE" w:rsidP="00383A0C">
      <w:pPr>
        <w:pStyle w:val="Style9"/>
        <w:widowControl/>
        <w:tabs>
          <w:tab w:val="left" w:pos="1704"/>
        </w:tabs>
        <w:spacing w:before="125" w:line="226" w:lineRule="exact"/>
        <w:ind w:left="1128"/>
        <w:rPr>
          <w:rStyle w:val="FontStyle18"/>
          <w:lang w:val="en-US" w:eastAsia="en-US"/>
        </w:rPr>
      </w:pPr>
    </w:p>
    <w:p w14:paraId="4848B0B1" w14:textId="734742B6" w:rsidR="0080460B" w:rsidRPr="009B6986" w:rsidRDefault="0080460B" w:rsidP="00383A0C">
      <w:pPr>
        <w:pStyle w:val="Style3"/>
        <w:widowControl/>
        <w:spacing w:before="235" w:line="235" w:lineRule="exact"/>
        <w:ind w:left="993" w:right="-132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Dobrowolne przerwanie ciąży a prawa seksualne i reprodukcyjne (art. 2,</w:t>
      </w:r>
      <w:r w:rsidR="0033527D">
        <w:rPr>
          <w:rStyle w:val="FontStyle19"/>
          <w:lang w:eastAsia="en-US"/>
        </w:rPr>
        <w:t xml:space="preserve"> </w:t>
      </w:r>
      <w:r>
        <w:rPr>
          <w:rStyle w:val="FontStyle19"/>
          <w:lang w:eastAsia="en-US"/>
        </w:rPr>
        <w:t>3, 6, 7, 8, 17</w:t>
      </w:r>
      <w:r w:rsidR="0033527D">
        <w:rPr>
          <w:rStyle w:val="FontStyle19"/>
          <w:lang w:eastAsia="en-US"/>
        </w:rPr>
        <w:t>,</w:t>
      </w:r>
      <w:r>
        <w:rPr>
          <w:rStyle w:val="FontStyle19"/>
          <w:lang w:eastAsia="en-US"/>
        </w:rPr>
        <w:t xml:space="preserve"> 26)</w:t>
      </w:r>
    </w:p>
    <w:p w14:paraId="618CAD31" w14:textId="79E514B5" w:rsidR="00AA790B" w:rsidRDefault="0080460B" w:rsidP="000230B8">
      <w:pPr>
        <w:pStyle w:val="Style9"/>
        <w:widowControl/>
        <w:numPr>
          <w:ilvl w:val="0"/>
          <w:numId w:val="9"/>
        </w:numPr>
        <w:tabs>
          <w:tab w:val="left" w:pos="571"/>
        </w:tabs>
        <w:spacing w:before="130" w:line="235" w:lineRule="exact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Proszę poinformować o postępach poczynionych w zapewnianiu dostępu do odpowiednich </w:t>
      </w:r>
      <w:r w:rsidR="0033527D">
        <w:rPr>
          <w:rStyle w:val="FontStyle18"/>
          <w:lang w:eastAsia="en-US"/>
        </w:rPr>
        <w:t xml:space="preserve">             </w:t>
      </w:r>
      <w:r>
        <w:rPr>
          <w:rStyle w:val="FontStyle18"/>
          <w:lang w:eastAsia="en-US"/>
        </w:rPr>
        <w:t xml:space="preserve">i przystępnych cenowo usług w zakresie zdrowia seksualnego i reprodukcyjnego dla wszystkich, zwłaszcza kobiet i młodzieży, w tym na obszarach wiejskich. W nawiązaniu do najnowszych uwag końcowych Komitetu (ust. 24) oraz oceny informacji na temat działań podjętych w związku z uwagami końcowymi do sprawozdania Państwa-Strony </w:t>
      </w:r>
      <w:hyperlink r:id="rId7" w:history="1">
        <w:r>
          <w:rPr>
            <w:rStyle w:val="Hipercze"/>
            <w:sz w:val="18"/>
            <w:szCs w:val="18"/>
            <w:lang w:eastAsia="en-US"/>
          </w:rPr>
          <w:t xml:space="preserve">(CCPR/C/128/3/Add.3), </w:t>
        </w:r>
      </w:hyperlink>
      <w:r>
        <w:rPr>
          <w:rStyle w:val="FontStyle18"/>
          <w:lang w:eastAsia="en-US"/>
        </w:rPr>
        <w:t>proszę opisać kroki podjęte w celu zapewnienia odpowiedniego dostępu do bezpiecznych usług aborcyjnych dla wszystkich, zapewniając, że jego ustawodawstwo nie skłania kobiet do uciekania się do potajemnych aborcji, które zagrażają ich życiu i zdrowiu,  m.in. w świetle wyroku Trybunału Konstytucyjnego z 22 października 2020 r., w którym stwierdzono, że aborcja z powodu "ciężkiej i nieodwracalnej wady płodu lub nieuleczalnej choroby zagrażającej życiu płodu" jest niezgodna z Konstytucją. Proszę również poinformować o wysiłkach podjętych w celu usunięcia istniejących barier w skutecznym dostępie kobiet i dziewcząt do bezpiecznej i legalnej aborcji, w tym poprzez zniesienie sankcji karnych wobec osób, które im pomagają, oraz poprzez zapewnienie, aby w praktyce sprzeciw sumienia pracowników służby zdrowia nie stanowił przeszkody dla bezpiecznej, legalnej i skutecznej aborcji.</w:t>
      </w:r>
    </w:p>
    <w:p w14:paraId="774A031C" w14:textId="5E8C7A58" w:rsidR="00AA790B" w:rsidRPr="00AA790B" w:rsidRDefault="00AA790B" w:rsidP="00383A0C">
      <w:pPr>
        <w:pStyle w:val="Style9"/>
        <w:widowControl/>
        <w:tabs>
          <w:tab w:val="left" w:pos="571"/>
        </w:tabs>
        <w:spacing w:before="130" w:line="235" w:lineRule="exact"/>
        <w:ind w:left="851" w:right="10" w:firstLine="142"/>
        <w:rPr>
          <w:rStyle w:val="FontStyle18"/>
          <w:b/>
          <w:bCs/>
          <w:lang w:eastAsia="en-US"/>
        </w:rPr>
      </w:pPr>
      <w:r w:rsidRPr="00AA790B">
        <w:rPr>
          <w:rStyle w:val="FontStyle18"/>
          <w:b/>
          <w:bCs/>
          <w:lang w:eastAsia="en-US"/>
        </w:rPr>
        <w:t>(</w:t>
      </w:r>
      <w:r w:rsidR="003F4425">
        <w:rPr>
          <w:rStyle w:val="FontStyle18"/>
          <w:b/>
          <w:bCs/>
          <w:lang w:eastAsia="en-US"/>
        </w:rPr>
        <w:t xml:space="preserve">MS, </w:t>
      </w:r>
      <w:r w:rsidRPr="00AA790B">
        <w:rPr>
          <w:rStyle w:val="FontStyle18"/>
          <w:b/>
          <w:bCs/>
          <w:lang w:eastAsia="en-US"/>
        </w:rPr>
        <w:t>MZ)</w:t>
      </w:r>
    </w:p>
    <w:p w14:paraId="058A571D" w14:textId="77777777" w:rsidR="00AA790B" w:rsidRPr="009B6986" w:rsidRDefault="00AA790B" w:rsidP="00383A0C">
      <w:pPr>
        <w:pStyle w:val="Style9"/>
        <w:widowControl/>
        <w:tabs>
          <w:tab w:val="left" w:pos="571"/>
        </w:tabs>
        <w:spacing w:before="130" w:line="235" w:lineRule="exact"/>
        <w:ind w:left="1128" w:right="10"/>
        <w:rPr>
          <w:rStyle w:val="FontStyle18"/>
          <w:lang w:eastAsia="en-US"/>
        </w:rPr>
      </w:pPr>
    </w:p>
    <w:p w14:paraId="0B3DAB48" w14:textId="77777777" w:rsidR="0080460B" w:rsidRPr="009B6986" w:rsidRDefault="0080460B" w:rsidP="00383A0C">
      <w:pPr>
        <w:pStyle w:val="Style3"/>
        <w:widowControl/>
        <w:spacing w:before="240" w:line="240" w:lineRule="exact"/>
        <w:ind w:left="993" w:right="10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Wolność i bezpieczeństwo osobiste oraz traktowanie osób pozbawionych wolności (art. 9 i 10)</w:t>
      </w:r>
    </w:p>
    <w:p w14:paraId="57E092F7" w14:textId="77777777" w:rsidR="0080460B" w:rsidRPr="009B6986" w:rsidRDefault="0080460B" w:rsidP="00383A0C">
      <w:pPr>
        <w:pStyle w:val="Style9"/>
        <w:widowControl/>
        <w:numPr>
          <w:ilvl w:val="0"/>
          <w:numId w:val="10"/>
        </w:numPr>
        <w:tabs>
          <w:tab w:val="left" w:pos="571"/>
        </w:tabs>
        <w:spacing w:before="125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wskazać wszystkie środki, które są stosowane w celu zapewnienia pełnego poszanowania podstawowych gwarancji proceduralnych, w szczególności prawa do natychmiastowego dostępu do adwokata od początku pozbawienia wolności oraz prawa do dostępu do badań lekarskich dla wszystkich osób zatrzymanych, w tym dla osób przebywających w areszcie śledczym. Proszę opisać ramy prawne dotyczące zasad kontaktów osób pozbawionych wolności z członkami ich rodzin, w tym nowelizację Kodeksu karnego wykonawczego, która weszła w życie 1 stycznia 2023 r. Proszę o udzielenie informacji na temat wprowadzenia do kodeksu karnego od 1 października 2023 r. możliwości zakazania przez sądy warunkowego przedterminowego zwolnienia więźniów odbywających karę dożywotniego pozbawienia wolności oraz opisanie jej zgodności z międzynarodowymi standardami dotyczącymi zakazu okrutnego i nieludzkiego karania.</w:t>
      </w:r>
    </w:p>
    <w:p w14:paraId="4BAD9D95" w14:textId="44016910" w:rsidR="00E058E1" w:rsidRDefault="0080460B" w:rsidP="000230B8">
      <w:pPr>
        <w:pStyle w:val="Style9"/>
        <w:widowControl/>
        <w:numPr>
          <w:ilvl w:val="0"/>
          <w:numId w:val="10"/>
        </w:numPr>
        <w:tabs>
          <w:tab w:val="left" w:pos="571"/>
        </w:tabs>
        <w:spacing w:before="120" w:line="235" w:lineRule="exact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W świetle najnowszych uwag końcowych Komisji Petycji (ust. 30) proszę omówić podjęte środki i ich skutki: a) skrócenie czasu trwania aresztu </w:t>
      </w:r>
      <w:proofErr w:type="spellStart"/>
      <w:r>
        <w:rPr>
          <w:rStyle w:val="FontStyle18"/>
          <w:lang w:eastAsia="en-US"/>
        </w:rPr>
        <w:t>przedprocesowego</w:t>
      </w:r>
      <w:proofErr w:type="spellEnd"/>
      <w:r>
        <w:rPr>
          <w:rStyle w:val="FontStyle18"/>
          <w:lang w:eastAsia="en-US"/>
        </w:rPr>
        <w:t xml:space="preserve">, w tym poprzez ustanowienie określonego ograniczenia czasowego dla tymczasowego aresztowania; oraz b) zwiększenie stosowania środków i kar niepolegających na pozbawieniu wolności zgodnie ze Standardowymi regułami minimalnymi ONZ dotyczącymi środków niepolegających na pozbawieniu wolności (Reguły Tokijskie). Proszę podać zaktualizowane dane statystyczne dotyczące liczby osób tymczasowo aresztowanych, w tym osób przetrzymywanych na posterunkach policji, oraz odsetka, jaki stanowią oni w ogólnej liczbie osób pozbawionych wolności, a także średniego i maksymalnego czasu trwania aresztu </w:t>
      </w:r>
      <w:proofErr w:type="spellStart"/>
      <w:r>
        <w:rPr>
          <w:rStyle w:val="FontStyle18"/>
          <w:lang w:eastAsia="en-US"/>
        </w:rPr>
        <w:t>przedprocesowego</w:t>
      </w:r>
      <w:proofErr w:type="spellEnd"/>
      <w:r>
        <w:rPr>
          <w:rStyle w:val="FontStyle18"/>
          <w:lang w:eastAsia="en-US"/>
        </w:rPr>
        <w:t xml:space="preserve"> w okresie sprawozdawczym.</w:t>
      </w:r>
    </w:p>
    <w:p w14:paraId="69092EF9" w14:textId="08760E30" w:rsidR="00E058E1" w:rsidRPr="00E058E1" w:rsidRDefault="00E058E1" w:rsidP="000230B8">
      <w:pPr>
        <w:pStyle w:val="Style9"/>
        <w:widowControl/>
        <w:tabs>
          <w:tab w:val="left" w:pos="571"/>
        </w:tabs>
        <w:spacing w:before="120" w:line="235" w:lineRule="exact"/>
        <w:ind w:left="1128" w:right="10" w:hanging="135"/>
        <w:rPr>
          <w:rStyle w:val="FontStyle18"/>
          <w:b/>
          <w:bCs/>
          <w:lang w:eastAsia="en-US"/>
        </w:rPr>
      </w:pPr>
      <w:r w:rsidRPr="00E058E1">
        <w:rPr>
          <w:rStyle w:val="FontStyle18"/>
          <w:b/>
          <w:bCs/>
          <w:lang w:eastAsia="en-US"/>
        </w:rPr>
        <w:t>(MS, SW, PK</w:t>
      </w:r>
      <w:r w:rsidR="003F4425">
        <w:rPr>
          <w:rStyle w:val="FontStyle18"/>
          <w:b/>
          <w:bCs/>
          <w:lang w:eastAsia="en-US"/>
        </w:rPr>
        <w:t>, MSWiA,</w:t>
      </w:r>
      <w:r w:rsidRPr="00E058E1">
        <w:rPr>
          <w:rStyle w:val="FontStyle18"/>
          <w:b/>
          <w:bCs/>
          <w:lang w:eastAsia="en-US"/>
        </w:rPr>
        <w:t xml:space="preserve"> KGP)</w:t>
      </w:r>
    </w:p>
    <w:p w14:paraId="0333AD32" w14:textId="77777777" w:rsidR="00E058E1" w:rsidRPr="009B6986" w:rsidRDefault="00E058E1" w:rsidP="00383A0C">
      <w:pPr>
        <w:pStyle w:val="Style9"/>
        <w:widowControl/>
        <w:tabs>
          <w:tab w:val="left" w:pos="571"/>
        </w:tabs>
        <w:spacing w:before="120" w:line="235" w:lineRule="exact"/>
        <w:ind w:left="1128" w:right="10"/>
        <w:rPr>
          <w:rStyle w:val="FontStyle18"/>
          <w:lang w:eastAsia="en-US"/>
        </w:rPr>
      </w:pPr>
    </w:p>
    <w:p w14:paraId="1E35C62D" w14:textId="77777777" w:rsidR="0080460B" w:rsidRDefault="0080460B" w:rsidP="00383A0C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558D9C3C" w14:textId="18CDDF14" w:rsidR="00AA790B" w:rsidRPr="009B6986" w:rsidRDefault="0080460B" w:rsidP="00846DDA">
      <w:pPr>
        <w:pStyle w:val="Style3"/>
        <w:widowControl/>
        <w:spacing w:before="5"/>
        <w:ind w:left="408" w:firstLine="585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Eliminacja niewolnictwa</w:t>
      </w:r>
      <w:r w:rsidR="003C0501">
        <w:rPr>
          <w:rStyle w:val="FontStyle19"/>
          <w:lang w:eastAsia="en-US"/>
        </w:rPr>
        <w:t xml:space="preserve"> </w:t>
      </w:r>
      <w:r>
        <w:rPr>
          <w:rStyle w:val="FontStyle19"/>
          <w:lang w:eastAsia="en-US"/>
        </w:rPr>
        <w:t>i handlu ludźmi (art. 2, 7, 8 i 26)</w:t>
      </w:r>
    </w:p>
    <w:p w14:paraId="1D30D5EE" w14:textId="08CC6C4C" w:rsidR="00E058E1" w:rsidRDefault="0080460B" w:rsidP="00881B7E">
      <w:pPr>
        <w:pStyle w:val="Style9"/>
        <w:widowControl/>
        <w:numPr>
          <w:ilvl w:val="0"/>
          <w:numId w:val="11"/>
        </w:numPr>
        <w:tabs>
          <w:tab w:val="left" w:pos="571"/>
        </w:tabs>
        <w:spacing w:before="125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Przywołując poprzednie zalecenie Komitetu (ust. 28), proszę o udzielenie informacji na temat: a) środków podjętych w celu poprawy identyfikacji ofiar i zapewnienia im podstawowej pomocy materialnej, w tym schronisk, wsparcia psychospołecznego i ochrony prawnej, w tym na temat tego, czy </w:t>
      </w:r>
      <w:r>
        <w:rPr>
          <w:rStyle w:val="FontStyle18"/>
          <w:lang w:eastAsia="en-US"/>
        </w:rPr>
        <w:lastRenderedPageBreak/>
        <w:t>istnieją jakiekolwiek przepisy zapobiegające karaniu osób będących ofiarami handlu ludźmi za czyny niezgodne z prawem, do których zostali zmuszeni handlarze ludźmi; b) czy istnieje mechanizm identyfikacji osób wymagających szczególnego traktowania w przepływie migracyjnym, w tym małoletnich bez opieki, którzy są szczególnie narażeni na handel ludźmi; oraz c) wszelkie środki legislacyjne podjęte w celu odpowiedniego zdefiniowania pracy przymusowej w kodeksie karnym. Proszę przedstawić aktualne dane statystyczne dotyczące liczby zarzutów handlu ludźmi, liczby uznanych ofiar, liczby dochodzeń i postępowań karnych oraz wszelkich wyroków skazujących, a także wszelkich środków zaradczych, w tym odszkodowań, przyznanych ofiarom.</w:t>
      </w:r>
    </w:p>
    <w:p w14:paraId="11955BE8" w14:textId="01CB864A" w:rsidR="00E058E1" w:rsidRPr="00B07868" w:rsidRDefault="00CF689F" w:rsidP="00881B7E">
      <w:pPr>
        <w:pStyle w:val="Style9"/>
        <w:widowControl/>
        <w:tabs>
          <w:tab w:val="left" w:pos="571"/>
        </w:tabs>
        <w:spacing w:before="125"/>
        <w:ind w:left="1128" w:right="10" w:hanging="135"/>
        <w:rPr>
          <w:rStyle w:val="FontStyle18"/>
          <w:b/>
          <w:bCs/>
          <w:lang w:eastAsia="en-US"/>
        </w:rPr>
      </w:pPr>
      <w:r>
        <w:rPr>
          <w:rStyle w:val="FontStyle18"/>
          <w:b/>
          <w:bCs/>
          <w:lang w:eastAsia="en-US"/>
        </w:rPr>
        <w:t>(</w:t>
      </w:r>
      <w:r w:rsidR="00B07868" w:rsidRPr="00B07868">
        <w:rPr>
          <w:rStyle w:val="FontStyle18"/>
          <w:b/>
          <w:bCs/>
          <w:lang w:eastAsia="en-US"/>
        </w:rPr>
        <w:t>MSWiA, MS, PK</w:t>
      </w:r>
      <w:r>
        <w:rPr>
          <w:rStyle w:val="FontStyle18"/>
          <w:b/>
          <w:bCs/>
          <w:lang w:eastAsia="en-US"/>
        </w:rPr>
        <w:t>)</w:t>
      </w:r>
    </w:p>
    <w:p w14:paraId="0256E62F" w14:textId="77777777" w:rsidR="00E058E1" w:rsidRDefault="00E058E1" w:rsidP="00383A0C">
      <w:pPr>
        <w:pStyle w:val="Style9"/>
        <w:widowControl/>
        <w:tabs>
          <w:tab w:val="left" w:pos="571"/>
        </w:tabs>
        <w:spacing w:before="125"/>
        <w:ind w:left="1128" w:right="10"/>
        <w:rPr>
          <w:rStyle w:val="FontStyle18"/>
          <w:lang w:eastAsia="en-US"/>
        </w:rPr>
      </w:pPr>
    </w:p>
    <w:p w14:paraId="4EE93866" w14:textId="77777777" w:rsidR="00AA790B" w:rsidRPr="009B6986" w:rsidRDefault="00AA790B" w:rsidP="00383A0C">
      <w:pPr>
        <w:pStyle w:val="Style9"/>
        <w:widowControl/>
        <w:tabs>
          <w:tab w:val="left" w:pos="571"/>
        </w:tabs>
        <w:spacing w:before="125"/>
        <w:ind w:left="1128" w:right="1118"/>
        <w:rPr>
          <w:rStyle w:val="FontStyle18"/>
          <w:lang w:eastAsia="en-US"/>
        </w:rPr>
      </w:pPr>
    </w:p>
    <w:p w14:paraId="0FC29405" w14:textId="2CF3CB52" w:rsidR="00AA790B" w:rsidRPr="009B6986" w:rsidRDefault="0080460B" w:rsidP="00846DDA">
      <w:pPr>
        <w:pStyle w:val="Style3"/>
        <w:widowControl/>
        <w:spacing w:before="48" w:line="240" w:lineRule="exact"/>
        <w:ind w:left="993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Traktowanie cudzoziemców, w tym migrantów, uchodźców, osób ubiegających się o azyl i bezpaństwowców (art. 6, 7, 9, 12, 13 i 24)</w:t>
      </w:r>
    </w:p>
    <w:p w14:paraId="32BB2038" w14:textId="77777777" w:rsidR="0080460B" w:rsidRPr="009B6986" w:rsidRDefault="0080460B" w:rsidP="00881B7E">
      <w:pPr>
        <w:pStyle w:val="Style9"/>
        <w:widowControl/>
        <w:numPr>
          <w:ilvl w:val="0"/>
          <w:numId w:val="12"/>
        </w:numPr>
        <w:tabs>
          <w:tab w:val="left" w:pos="1699"/>
        </w:tabs>
        <w:spacing w:before="125" w:line="235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o udzielenie informacji na temat środków ustawodawczych przyjętych od 2021 r. w odniesieniu do wjazdu na terytorium i dostępu do ochrony międzynarodowej oraz o omówienie zgodności takich zmian ze zobowiązaniami państwa-strony wynikającymi z prawa międzynarodowego, w tym z pełnym poszanowaniem zasady non-</w:t>
      </w:r>
      <w:proofErr w:type="spellStart"/>
      <w:r>
        <w:rPr>
          <w:rStyle w:val="FontStyle18"/>
          <w:lang w:eastAsia="en-US"/>
        </w:rPr>
        <w:t>refoulement</w:t>
      </w:r>
      <w:proofErr w:type="spellEnd"/>
      <w:r>
        <w:rPr>
          <w:rStyle w:val="FontStyle18"/>
          <w:lang w:eastAsia="en-US"/>
        </w:rPr>
        <w:t>. Proszę reagować na doniesienia o doraźnych powrotach i złym traktowaniu, w niektórych przypadkach prowadzącym do zaginięcia lub śmierci, osób ubiegających się o ochronę międzynarodową, które zostały zatrzymane na granicy z Białorusią z naruszeniem zasady non-</w:t>
      </w:r>
      <w:proofErr w:type="spellStart"/>
      <w:r>
        <w:rPr>
          <w:rStyle w:val="FontStyle18"/>
          <w:lang w:eastAsia="en-US"/>
        </w:rPr>
        <w:t>refoulement</w:t>
      </w:r>
      <w:proofErr w:type="spellEnd"/>
      <w:r>
        <w:rPr>
          <w:rStyle w:val="FontStyle18"/>
          <w:lang w:eastAsia="en-US"/>
        </w:rPr>
        <w:t>, a także o odmowie dostępu dla podmiotów świadczących pomoc humanitarną. Proszę przedstawić informacje na temat obowiązujących zabezpieczeń zapewniających skuteczny dostęp do zastępstwa prawnego i procedur odwoławczych od decyzji o udzieleniu azylu i deportacji, w tym decyzji o zastosowaniu środka detencyjnego.</w:t>
      </w:r>
    </w:p>
    <w:p w14:paraId="4FCFC17C" w14:textId="77777777" w:rsidR="0080460B" w:rsidRPr="009B6986" w:rsidRDefault="0080460B" w:rsidP="00881B7E">
      <w:pPr>
        <w:pStyle w:val="Style9"/>
        <w:widowControl/>
        <w:numPr>
          <w:ilvl w:val="0"/>
          <w:numId w:val="12"/>
        </w:numPr>
        <w:tabs>
          <w:tab w:val="left" w:pos="1699"/>
        </w:tabs>
        <w:spacing w:before="125" w:line="235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ustosunkować się do doniesień o systematycznym i długotrwałym przetrzymywaniu migrantów i osób ubiegających się o azyl na granicy państwa-strony z Białorusią oraz udzielić informacji na temat wdrażania alternatyw dla zatrzymania, w szczególności w odniesieniu do osób o szczególnych potrzebach, w tym dzieci, zgodnie z art. 317 ustawy o cudzoziemcach i art. 88 ustawy o udzielaniu ochrony międzynarodowej. W świetle najnowszych uwag końcowych Komitetu (ust. 32) proszę przedstawić sprawozdanie na temat wysiłków podjętych w celu zapewnienia, by dzieci ubiegające się o azyl nie były pozbawiane wolności, chyba że w ostateczności i na możliwie najkrótszy odpowiedni okres, z uwzględnieniem ich najlepszego interesu. Proszę podać dane dotyczące liczby dzieci ubiegających się o azyl pod opieką, a także dzieci bez opieki przetrzymywanych w ośrodku detencyjnym w okresie sprawozdawczym, wskazując również czas trwania ich zatrzymania.</w:t>
      </w:r>
    </w:p>
    <w:p w14:paraId="703E9446" w14:textId="77777777" w:rsidR="0080460B" w:rsidRDefault="0080460B" w:rsidP="00881B7E">
      <w:pPr>
        <w:pStyle w:val="Style9"/>
        <w:widowControl/>
        <w:numPr>
          <w:ilvl w:val="0"/>
          <w:numId w:val="12"/>
        </w:numPr>
        <w:tabs>
          <w:tab w:val="left" w:pos="1699"/>
        </w:tabs>
        <w:spacing w:before="125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skomentować doniesienia, że osoby ubiegające się o azyl są często przetrzymywane w przepełnionych, zamkniętych ośrodkach, gdzie nie ma odpowiedniego dostępu do odpowiedniej opieki medycznej lub pomocy prawnej, a także są narażone na znęcanie się psychiczne ze strony strażników. Proszę przedstawić informacje na temat środków kontroli przesiewowej stosowanych w celu zapewnienia identyfikacji osób wymagających szczególnego traktowania, w tym ofiar handlu ludźmi i przemocy, oraz zapewnić im odpowiednią pomoc. Proszę przedstawić informacje na temat środków podjętych lub planowanych w celu ustanowienia procedury stwierdzania bezpaństwowości.</w:t>
      </w:r>
    </w:p>
    <w:p w14:paraId="49736648" w14:textId="64882347" w:rsidR="009F5DD6" w:rsidRPr="009F5DD6" w:rsidRDefault="00881B7E" w:rsidP="00881B7E">
      <w:pPr>
        <w:pStyle w:val="Style9"/>
        <w:widowControl/>
        <w:tabs>
          <w:tab w:val="left" w:pos="1134"/>
        </w:tabs>
        <w:spacing w:before="125"/>
        <w:ind w:left="1276" w:hanging="425"/>
        <w:rPr>
          <w:rStyle w:val="FontStyle18"/>
          <w:b/>
          <w:bCs/>
          <w:lang w:eastAsia="en-US"/>
        </w:rPr>
      </w:pPr>
      <w:r>
        <w:rPr>
          <w:rStyle w:val="FontStyle18"/>
          <w:lang w:eastAsia="en-US"/>
        </w:rPr>
        <w:t xml:space="preserve">  </w:t>
      </w:r>
      <w:r w:rsidR="009F5DD6" w:rsidRPr="009F5DD6">
        <w:rPr>
          <w:rStyle w:val="FontStyle18"/>
          <w:b/>
          <w:bCs/>
          <w:lang w:eastAsia="en-US"/>
        </w:rPr>
        <w:t>[MSWiA, SG (pkt 14), UDSC, MSWiA, MSZ (pkt 15, 16)]</w:t>
      </w:r>
    </w:p>
    <w:p w14:paraId="6EAD60BE" w14:textId="77777777" w:rsidR="009F5DD6" w:rsidRPr="009B6986" w:rsidRDefault="009F5DD6" w:rsidP="00383A0C">
      <w:pPr>
        <w:pStyle w:val="Style9"/>
        <w:widowControl/>
        <w:tabs>
          <w:tab w:val="left" w:pos="1699"/>
        </w:tabs>
        <w:spacing w:before="125"/>
        <w:ind w:left="1109"/>
        <w:rPr>
          <w:rStyle w:val="FontStyle18"/>
          <w:lang w:eastAsia="en-US"/>
        </w:rPr>
      </w:pPr>
    </w:p>
    <w:p w14:paraId="2BCB46A7" w14:textId="77777777" w:rsidR="0080460B" w:rsidRPr="009B6986" w:rsidRDefault="0080460B" w:rsidP="00881B7E">
      <w:pPr>
        <w:pStyle w:val="Style3"/>
        <w:widowControl/>
        <w:spacing w:before="235" w:line="240" w:lineRule="exact"/>
        <w:ind w:left="993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Dostęp do wymiaru sprawiedliwości, niezawisłość sądownictwa i prawo do rzetelnego procesu sądowego (art. 2, 9 i 14)</w:t>
      </w:r>
    </w:p>
    <w:p w14:paraId="30624D02" w14:textId="77777777" w:rsidR="0080460B" w:rsidRPr="009B6986" w:rsidRDefault="0080460B" w:rsidP="00881B7E">
      <w:pPr>
        <w:pStyle w:val="Style9"/>
        <w:widowControl/>
        <w:numPr>
          <w:ilvl w:val="0"/>
          <w:numId w:val="13"/>
        </w:numPr>
        <w:tabs>
          <w:tab w:val="left" w:pos="1699"/>
        </w:tabs>
        <w:spacing w:before="125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Przywołując wcześniejsze uwagi końcowe Komitetu (ust. 33 i 34), proszę wyjaśnić, w jaki sposób Państwo-Strona gwarantuje w prawie i w praktyce prawo do rzetelnego procesu sądowego bez zbędnej zwłoki, w pełnej zgodności z artykułem 14 Paktu i ogólnym komentarzem Komitetu nr 32 (2007). Proszę poinformować o środkach podjętych w celu zapewnienia skutecznego dostępu do bezpłatnej pomocy prawnej, od początku zatrzymania, wszystkim osobom, które nie dysponują wystarczającymi środkami, oraz aby wszelka korespondencja między obrońcą a oskarżonym pozostała poufna. Proszę odnieść się do doniesień, że adwokaci napotykają przeszkody w przygotowaniu obrony swoich klientów, w szczególności że odmawia się im dostępu do klientów i informacji o klientach, w tym w przypadku zatrzymań i zatrzymań podczas protestów publicznych i podczas tymczasowego aresztowania, a także że w sprawach dotyczących tymczasowego aresztowania często nie przyznaje się im wystarczająco dużo czasu na przygotowanie postępowania sądowego w pierwszej instancji.</w:t>
      </w:r>
    </w:p>
    <w:p w14:paraId="4631257C" w14:textId="77777777" w:rsidR="0080460B" w:rsidRPr="009B6986" w:rsidRDefault="0080460B" w:rsidP="00881B7E">
      <w:pPr>
        <w:pStyle w:val="Style9"/>
        <w:widowControl/>
        <w:numPr>
          <w:ilvl w:val="0"/>
          <w:numId w:val="13"/>
        </w:numPr>
        <w:tabs>
          <w:tab w:val="left" w:pos="1699"/>
        </w:tabs>
        <w:spacing w:before="120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lastRenderedPageBreak/>
        <w:t>Przywołując najnowsze uwagi końcowe Komitetu (ust. 8 i 34) oraz ocenę informacji na temat działań podjętych w związku z uwagami końcowymi do sprawozdania Państwa-Strony (CCPR/C/128/3/Add.3), proszę opisać kroki podjęte w celu zapewnienia, pod względem prawnym i praktycznym, pełnej niezawisłości i bezstronności sądownictwa i prokuratury,  w tym Trybunału Konstytucyjnego. Proszę o przedstawienie informacji na temat środków mających na celu zapewnienie pełnego wykonania wyroków Trybunału Konstytucyjnego oraz wyjaśnienie, w jaki sposób Państwo-Strona zamierza odnieść się do wyroków wydanych przez nieprawidłowo powołane składy orzekające Trybunału Konstytucyjnego.</w:t>
      </w:r>
    </w:p>
    <w:p w14:paraId="6677E521" w14:textId="77777777" w:rsidR="0080460B" w:rsidRPr="009B6986" w:rsidRDefault="0080460B" w:rsidP="00881B7E">
      <w:pPr>
        <w:pStyle w:val="Style9"/>
        <w:widowControl/>
        <w:numPr>
          <w:ilvl w:val="0"/>
          <w:numId w:val="13"/>
        </w:numPr>
        <w:tabs>
          <w:tab w:val="left" w:pos="1699"/>
        </w:tabs>
        <w:spacing w:before="120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podać informacje na temat procedur i kryteriów wyboru, powoływania, awansowania, przenoszenia, dyscyplinowania, zawieszania i odwoływania sędziów, w tym sędziów Krajowej Rady Sądownictwa, oraz prokuratorów. Proszę opisać środki wdrożone w celu zapewnienia niezależności Krajowej Rady Sądownictwa od wpływów politycznych rządu i parlamentu.</w:t>
      </w:r>
    </w:p>
    <w:p w14:paraId="209E1016" w14:textId="77777777" w:rsidR="0080460B" w:rsidRDefault="0080460B" w:rsidP="00881B7E">
      <w:pPr>
        <w:pStyle w:val="Style9"/>
        <w:widowControl/>
        <w:numPr>
          <w:ilvl w:val="0"/>
          <w:numId w:val="14"/>
        </w:numPr>
        <w:tabs>
          <w:tab w:val="left" w:pos="590"/>
        </w:tabs>
        <w:spacing w:before="120" w:line="230" w:lineRule="exact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skomentować doniesienia o nękaniu i zastraszaniu prawników oraz ogólnej ingerencji w ich pracę, w tym arbitralnych aresztowań i zatrzymań, przeszukań i konfiskat, postępowań dyscyplinarnych i postępowań karnych, w szczególności w odniesieniu do prawników zajmujących się sprawami wrażliwymi politycznie. Odnosząc się do wcześniejszych uwag końcowych Komitetu (ust. 36), proszę opisać wysiłki podjęte w celu zapewnienia, że system wymiaru sprawiedliwości wobec nieletnich jest zgodny ze zobowiązaniami Państwa-Strony wynikającymi z artykułów 9, 10, 14 i 24 Paktu.</w:t>
      </w:r>
    </w:p>
    <w:p w14:paraId="60F67D29" w14:textId="58122AD6" w:rsidR="00C93BD9" w:rsidRPr="00C93BD9" w:rsidRDefault="00C93BD9" w:rsidP="00C93BD9">
      <w:pPr>
        <w:pStyle w:val="Style9"/>
        <w:widowControl/>
        <w:tabs>
          <w:tab w:val="left" w:pos="590"/>
        </w:tabs>
        <w:spacing w:before="120" w:line="230" w:lineRule="exact"/>
        <w:ind w:left="993" w:right="10"/>
        <w:rPr>
          <w:rStyle w:val="FontStyle18"/>
          <w:b/>
          <w:bCs/>
          <w:lang w:eastAsia="en-US"/>
        </w:rPr>
      </w:pPr>
      <w:r w:rsidRPr="00C93BD9">
        <w:rPr>
          <w:rStyle w:val="FontStyle18"/>
          <w:b/>
          <w:bCs/>
          <w:lang w:eastAsia="en-US"/>
        </w:rPr>
        <w:t>(MS, KRS, PK, NRA, KRRP)</w:t>
      </w:r>
    </w:p>
    <w:p w14:paraId="79436EC9" w14:textId="77777777" w:rsidR="009F5DD6" w:rsidRPr="009B6986" w:rsidRDefault="009F5DD6" w:rsidP="00383A0C">
      <w:pPr>
        <w:pStyle w:val="Style9"/>
        <w:widowControl/>
        <w:tabs>
          <w:tab w:val="left" w:pos="590"/>
        </w:tabs>
        <w:spacing w:before="120" w:line="230" w:lineRule="exact"/>
        <w:ind w:left="1109" w:right="10"/>
        <w:rPr>
          <w:rStyle w:val="FontStyle18"/>
          <w:lang w:eastAsia="en-US"/>
        </w:rPr>
      </w:pPr>
    </w:p>
    <w:p w14:paraId="6ADBE173" w14:textId="77777777" w:rsidR="0080460B" w:rsidRDefault="0080460B" w:rsidP="00383A0C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7197D0D5" w14:textId="1FCBE674" w:rsidR="009F5DD6" w:rsidRPr="00846DDA" w:rsidRDefault="0080460B" w:rsidP="00846DDA">
      <w:pPr>
        <w:pStyle w:val="Style3"/>
        <w:widowControl/>
        <w:spacing w:before="5"/>
        <w:ind w:left="389" w:firstLine="604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Prawo do prywatności (art. 17)</w:t>
      </w:r>
    </w:p>
    <w:p w14:paraId="09215001" w14:textId="77777777" w:rsidR="0080460B" w:rsidRDefault="0080460B" w:rsidP="00881B7E">
      <w:pPr>
        <w:pStyle w:val="Style9"/>
        <w:widowControl/>
        <w:numPr>
          <w:ilvl w:val="0"/>
          <w:numId w:val="15"/>
        </w:numPr>
        <w:tabs>
          <w:tab w:val="left" w:pos="590"/>
        </w:tabs>
        <w:spacing w:before="125" w:line="235" w:lineRule="exact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W związku z poprzednimi uwagami końcowymi (pkt 40) proszę przedstawić sprawozdanie na temat zabezpieczeń instytucjonalnych i prawnych, w tym niezależnego nadzoru, które wprowadzono w celu zapewnienia, aby wszystkie działania w zakresie nadzoru były zgodne z zasadami legalności, proporcjonalności i konieczności oraz aby wszelkie osoby, które są niezgodnie z prawem monitorowane, były o nich informowane i miały dostęp do odpowiednich środków odwoławczych. Proszę skomentować zarzuty ukierunkowanej inwigilacji w celu arbitralnego prowadzenia inwigilacji polityków i członków partii opozycyjnej, w szczególności podczas wyborów parlamentarnych w 2019 r., w tym z wykorzystaniem technologii, takich jak oprogramowanie szpiegowskie </w:t>
      </w:r>
      <w:proofErr w:type="spellStart"/>
      <w:r>
        <w:rPr>
          <w:rStyle w:val="FontStyle18"/>
          <w:lang w:eastAsia="en-US"/>
        </w:rPr>
        <w:t>Pegasus</w:t>
      </w:r>
      <w:proofErr w:type="spellEnd"/>
      <w:r>
        <w:rPr>
          <w:rStyle w:val="FontStyle18"/>
          <w:lang w:eastAsia="en-US"/>
        </w:rPr>
        <w:t>.</w:t>
      </w:r>
    </w:p>
    <w:p w14:paraId="0EF6CCA0" w14:textId="73537E12" w:rsidR="00C93BD9" w:rsidRPr="005438A3" w:rsidRDefault="00C93BD9" w:rsidP="00C93BD9">
      <w:pPr>
        <w:pStyle w:val="Style9"/>
        <w:widowControl/>
        <w:tabs>
          <w:tab w:val="left" w:pos="590"/>
        </w:tabs>
        <w:spacing w:before="125" w:line="235" w:lineRule="exact"/>
        <w:ind w:left="993" w:right="10"/>
        <w:rPr>
          <w:rStyle w:val="FontStyle18"/>
          <w:b/>
          <w:bCs/>
          <w:lang w:eastAsia="en-US"/>
        </w:rPr>
      </w:pPr>
      <w:r w:rsidRPr="005438A3">
        <w:rPr>
          <w:rStyle w:val="FontStyle18"/>
          <w:b/>
          <w:bCs/>
          <w:lang w:eastAsia="en-US"/>
        </w:rPr>
        <w:t>(Komisj</w:t>
      </w:r>
      <w:r w:rsidR="005438A3" w:rsidRPr="005438A3">
        <w:rPr>
          <w:rStyle w:val="FontStyle18"/>
          <w:b/>
          <w:bCs/>
          <w:lang w:eastAsia="en-US"/>
        </w:rPr>
        <w:t>a</w:t>
      </w:r>
      <w:r w:rsidRPr="005438A3">
        <w:rPr>
          <w:rStyle w:val="FontStyle18"/>
          <w:b/>
          <w:bCs/>
          <w:lang w:eastAsia="en-US"/>
        </w:rPr>
        <w:t xml:space="preserve"> Śledcz</w:t>
      </w:r>
      <w:r w:rsidR="005438A3" w:rsidRPr="005438A3">
        <w:rPr>
          <w:rStyle w:val="FontStyle18"/>
          <w:b/>
          <w:bCs/>
          <w:lang w:eastAsia="en-US"/>
        </w:rPr>
        <w:t>a</w:t>
      </w:r>
      <w:r w:rsidRPr="005438A3">
        <w:rPr>
          <w:rStyle w:val="FontStyle18"/>
          <w:b/>
          <w:bCs/>
          <w:lang w:eastAsia="en-US"/>
        </w:rPr>
        <w:t xml:space="preserve"> do zbadania legalności, prawidłowości oraz celowości czynności operacyjno-rozpoznawczych podejmowanych m.in. z wykorzystaniem oprogramowania </w:t>
      </w:r>
      <w:proofErr w:type="spellStart"/>
      <w:r w:rsidRPr="005438A3">
        <w:rPr>
          <w:rStyle w:val="FontStyle18"/>
          <w:b/>
          <w:bCs/>
          <w:lang w:eastAsia="en-US"/>
        </w:rPr>
        <w:t>Pegasus</w:t>
      </w:r>
      <w:proofErr w:type="spellEnd"/>
      <w:r w:rsidRPr="005438A3">
        <w:rPr>
          <w:rStyle w:val="FontStyle18"/>
          <w:b/>
          <w:bCs/>
          <w:lang w:eastAsia="en-US"/>
        </w:rPr>
        <w:t xml:space="preserve"> przez członków Rady Ministrów, służby specjalne, Policję, organy kontroli skarbowej oraz celno-skarbowej, organy powołane do ścigania przestępstw i prokuraturę w okresie od dnia 16 listopada 2015 r. do dnia 20 listopada 2023 r. (SKPG), Komisj</w:t>
      </w:r>
      <w:r w:rsidR="005438A3" w:rsidRPr="005438A3">
        <w:rPr>
          <w:rStyle w:val="FontStyle18"/>
          <w:b/>
          <w:bCs/>
          <w:lang w:eastAsia="en-US"/>
        </w:rPr>
        <w:t>a</w:t>
      </w:r>
      <w:r w:rsidRPr="005438A3">
        <w:rPr>
          <w:rStyle w:val="FontStyle18"/>
          <w:b/>
          <w:bCs/>
          <w:lang w:eastAsia="en-US"/>
        </w:rPr>
        <w:t xml:space="preserve"> do Spraw Służb Specjalnych</w:t>
      </w:r>
      <w:r w:rsidR="005438A3" w:rsidRPr="005438A3">
        <w:rPr>
          <w:rStyle w:val="FontStyle18"/>
          <w:b/>
          <w:bCs/>
          <w:lang w:eastAsia="en-US"/>
        </w:rPr>
        <w:t>)</w:t>
      </w:r>
    </w:p>
    <w:p w14:paraId="5E06F959" w14:textId="77777777" w:rsidR="0080460B" w:rsidRDefault="0080460B" w:rsidP="00383A0C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14:paraId="5D80C805" w14:textId="77777777" w:rsidR="005438A3" w:rsidRDefault="005438A3" w:rsidP="00383A0C">
      <w:pPr>
        <w:pStyle w:val="Style3"/>
        <w:widowControl/>
        <w:spacing w:before="5"/>
        <w:jc w:val="both"/>
        <w:rPr>
          <w:rStyle w:val="FontStyle19"/>
          <w:lang w:eastAsia="en-US"/>
        </w:rPr>
      </w:pPr>
    </w:p>
    <w:p w14:paraId="37CA9FDF" w14:textId="77777777" w:rsidR="009F5DD6" w:rsidRDefault="009F5DD6" w:rsidP="00383A0C">
      <w:pPr>
        <w:pStyle w:val="Style3"/>
        <w:widowControl/>
        <w:spacing w:before="5"/>
        <w:jc w:val="both"/>
        <w:rPr>
          <w:rStyle w:val="FontStyle19"/>
          <w:lang w:eastAsia="en-US"/>
        </w:rPr>
      </w:pPr>
    </w:p>
    <w:p w14:paraId="4C98B402" w14:textId="699C99F1" w:rsidR="0080460B" w:rsidRDefault="0080460B" w:rsidP="00881B7E">
      <w:pPr>
        <w:pStyle w:val="Style3"/>
        <w:widowControl/>
        <w:spacing w:before="5"/>
        <w:ind w:left="389" w:firstLine="604"/>
        <w:jc w:val="both"/>
        <w:rPr>
          <w:rStyle w:val="FontStyle19"/>
          <w:lang w:val="en-US" w:eastAsia="en-US"/>
        </w:rPr>
      </w:pPr>
      <w:r>
        <w:rPr>
          <w:rStyle w:val="FontStyle19"/>
          <w:lang w:eastAsia="en-US"/>
        </w:rPr>
        <w:t>Wolność wypowiedzi (art. 19 i 20)</w:t>
      </w:r>
    </w:p>
    <w:p w14:paraId="193E810D" w14:textId="77777777" w:rsidR="0080460B" w:rsidRDefault="0080460B" w:rsidP="00881B7E">
      <w:pPr>
        <w:pStyle w:val="Style9"/>
        <w:widowControl/>
        <w:numPr>
          <w:ilvl w:val="0"/>
          <w:numId w:val="16"/>
        </w:numPr>
        <w:tabs>
          <w:tab w:val="left" w:pos="590"/>
        </w:tabs>
        <w:spacing w:before="125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przedstawić informacje na temat środków podjętych w celu zapewnienia niezależności organów regulacyjnych ds. mediów i mediów publicznych od wpływów władzy wykonawczej, a także środków mających na celu zapewnienie pluralistycznego krajobrazu medialnego z równym dostępem do państwowych funduszy reklamowych. Prosimy o reagowanie na doniesienia o nękaniu, w tym nękaniu sądowym, kampaniach oszczerstw, postępowaniach dyscyplinarnych, groźbach i aktach przemocy wobec dziennikarzy, sędziów, prokuratorów i obrońców praw człowieka postrzeganych jako krytyczni wobec rządu, a także o informacje na temat środków podjętych w celu zapewnienia, że osoby odpowiedzialne zostaną pociągnięte do odpowiedzialności. W nawiązaniu do poprzednich zaleceń Komitetu (ust. 38) prosimy o przedstawienie informacji na temat kroków podjętych w celu dokonania przeglądu przepisów dotyczących zniesławienia oraz przepisów dotyczących znieważania symboli państwowych, wyższych urzędników i religii, w tym kroków podjętych w kierunku dekryminalizacji zniesławienia, a także środków ochrony dziennikarzy i środków masowego przekazu przed strategicznymi procesami sądowymi mającymi na celu utrudnienie ich pracy.</w:t>
      </w:r>
    </w:p>
    <w:p w14:paraId="728D146E" w14:textId="291850FF" w:rsidR="005438A3" w:rsidRPr="003F4425" w:rsidRDefault="005438A3" w:rsidP="005438A3">
      <w:pPr>
        <w:pStyle w:val="Style9"/>
        <w:widowControl/>
        <w:tabs>
          <w:tab w:val="left" w:pos="590"/>
        </w:tabs>
        <w:spacing w:before="125"/>
        <w:ind w:left="993" w:right="10"/>
        <w:rPr>
          <w:rStyle w:val="FontStyle18"/>
          <w:b/>
          <w:bCs/>
          <w:lang w:val="en-US" w:eastAsia="en-US"/>
        </w:rPr>
      </w:pPr>
      <w:r w:rsidRPr="003F4425">
        <w:rPr>
          <w:rStyle w:val="FontStyle18"/>
          <w:b/>
          <w:bCs/>
          <w:lang w:val="en-US" w:eastAsia="en-US"/>
        </w:rPr>
        <w:t xml:space="preserve">(MS, </w:t>
      </w:r>
      <w:proofErr w:type="spellStart"/>
      <w:r w:rsidRPr="003F4425">
        <w:rPr>
          <w:rStyle w:val="FontStyle18"/>
          <w:b/>
          <w:bCs/>
          <w:lang w:val="en-US" w:eastAsia="en-US"/>
        </w:rPr>
        <w:t>KRRiT</w:t>
      </w:r>
      <w:proofErr w:type="spellEnd"/>
      <w:r w:rsidRPr="003F4425">
        <w:rPr>
          <w:rStyle w:val="FontStyle18"/>
          <w:b/>
          <w:bCs/>
          <w:lang w:val="en-US" w:eastAsia="en-US"/>
        </w:rPr>
        <w:t>, PK, KRS)</w:t>
      </w:r>
    </w:p>
    <w:p w14:paraId="1DEC5A1B" w14:textId="77777777" w:rsidR="009F5DD6" w:rsidRPr="003F4425" w:rsidRDefault="009F5DD6" w:rsidP="00383A0C">
      <w:pPr>
        <w:pStyle w:val="Style9"/>
        <w:widowControl/>
        <w:tabs>
          <w:tab w:val="left" w:pos="590"/>
        </w:tabs>
        <w:spacing w:before="125"/>
        <w:ind w:left="1109" w:right="10"/>
        <w:rPr>
          <w:rStyle w:val="FontStyle18"/>
          <w:lang w:val="en-US" w:eastAsia="en-US"/>
        </w:rPr>
      </w:pPr>
    </w:p>
    <w:p w14:paraId="0DE99EC6" w14:textId="77777777" w:rsidR="0080460B" w:rsidRPr="003F4425" w:rsidRDefault="0080460B" w:rsidP="00383A0C">
      <w:pPr>
        <w:pStyle w:val="Style3"/>
        <w:widowControl/>
        <w:spacing w:line="240" w:lineRule="exact"/>
        <w:jc w:val="both"/>
        <w:rPr>
          <w:sz w:val="20"/>
          <w:szCs w:val="20"/>
          <w:lang w:val="en-US"/>
        </w:rPr>
      </w:pPr>
    </w:p>
    <w:p w14:paraId="14151AF2" w14:textId="6C54A590" w:rsidR="009F5DD6" w:rsidRPr="009B6986" w:rsidRDefault="0080460B" w:rsidP="00846DDA">
      <w:pPr>
        <w:pStyle w:val="Style3"/>
        <w:widowControl/>
        <w:spacing w:before="5"/>
        <w:ind w:left="389" w:firstLine="604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Wolność pokojowego zgromadzania się (art. 21)</w:t>
      </w:r>
    </w:p>
    <w:p w14:paraId="0F4E6EAF" w14:textId="77777777" w:rsidR="0080460B" w:rsidRDefault="0080460B" w:rsidP="00881B7E">
      <w:pPr>
        <w:pStyle w:val="Style9"/>
        <w:widowControl/>
        <w:numPr>
          <w:ilvl w:val="0"/>
          <w:numId w:val="17"/>
        </w:numPr>
        <w:tabs>
          <w:tab w:val="left" w:pos="590"/>
        </w:tabs>
        <w:spacing w:before="130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lastRenderedPageBreak/>
        <w:t>W świetle Komentarza ogólnego Komitetu nr 37 (2020) w sprawie prawa do pokojowych zgromadzeń proszę wyjaśnić zgodność ustawodawstwa Państwa-Strony z prawem do pokojowych zgromadzeń przewidzianym w art. 21 Paktu, w tym w odniesieniu do spontanicznych zgromadzeń, oraz nowelizacją ustawy o zgromadzeniach z 2016 r., która wprowadziła ograniczenia w organizowaniu oddzielnych zgromadzeń w pobliżu siebie i przyznaje pierwszeństwo "zgromadzeniom cyklicznym". Proszę ustosunkować się do doniesień, że uczestnicy pokojowych protestów, które odbyły się w okresie sprawozdawczym, w tym protestów w odpowiedzi na reformy Sądu Najwyższego i orzeczenie Trybunału Konstytucyjnego w sprawie aborcji, są coraz częściej arbitralnie aresztowani i karani grzywnami, a podczas tłumienia pokojowych protestów związanych z aborcją w listopadzie 2020 r. użyto nieproporcjonalnej siły, w tym pałek i gazu pieprzowego. Proszę podać informacje dotyczące okresu sprawozdawczego dotyczące: a) wszelkich protestów, które nie zostały dopuszczone lub które zostały rozproszone, w tym szczegółowe informacje na temat podstawy prawnej; (b) zatrzymania i postępowań sądowych wszczętych przeciwko protestującym, oraz (c) informacje o wszelkich otrzymanych skargach i dochodzeniach podjętych w związku z nieproporcjonalnym użyciem siły przez funkcjonariuszy organów ścigania podczas protestów, a także o wynikach takich dochodzeń.</w:t>
      </w:r>
    </w:p>
    <w:p w14:paraId="2E1DC754" w14:textId="3970A041" w:rsidR="005438A3" w:rsidRPr="005438A3" w:rsidRDefault="005438A3" w:rsidP="005438A3">
      <w:pPr>
        <w:pStyle w:val="Style9"/>
        <w:widowControl/>
        <w:tabs>
          <w:tab w:val="left" w:pos="590"/>
        </w:tabs>
        <w:spacing w:before="130"/>
        <w:ind w:left="993" w:right="10"/>
        <w:rPr>
          <w:rStyle w:val="FontStyle18"/>
          <w:b/>
          <w:bCs/>
          <w:lang w:eastAsia="en-US"/>
        </w:rPr>
      </w:pPr>
      <w:r w:rsidRPr="005438A3">
        <w:rPr>
          <w:rStyle w:val="FontStyle18"/>
          <w:b/>
          <w:bCs/>
          <w:lang w:eastAsia="en-US"/>
        </w:rPr>
        <w:t>(MSWiA, PK, KGP)</w:t>
      </w:r>
    </w:p>
    <w:p w14:paraId="59C0625B" w14:textId="77777777" w:rsidR="009F5DD6" w:rsidRPr="009B6986" w:rsidRDefault="009F5DD6" w:rsidP="00383A0C">
      <w:pPr>
        <w:pStyle w:val="Style9"/>
        <w:widowControl/>
        <w:tabs>
          <w:tab w:val="left" w:pos="590"/>
        </w:tabs>
        <w:spacing w:before="130"/>
        <w:ind w:left="1109" w:right="10"/>
        <w:rPr>
          <w:rStyle w:val="FontStyle18"/>
          <w:lang w:eastAsia="en-US"/>
        </w:rPr>
      </w:pPr>
    </w:p>
    <w:p w14:paraId="014F7F36" w14:textId="066072B6" w:rsidR="009F5DD6" w:rsidRPr="00846DDA" w:rsidRDefault="0080460B" w:rsidP="00846DDA">
      <w:pPr>
        <w:pStyle w:val="Style3"/>
        <w:widowControl/>
        <w:spacing w:before="240"/>
        <w:ind w:left="389" w:firstLine="604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Wolność zrzeszania się (art. 22)</w:t>
      </w:r>
    </w:p>
    <w:p w14:paraId="3ED78820" w14:textId="77777777" w:rsidR="0080460B" w:rsidRDefault="0080460B" w:rsidP="00881B7E">
      <w:pPr>
        <w:pStyle w:val="Style9"/>
        <w:widowControl/>
        <w:numPr>
          <w:ilvl w:val="0"/>
          <w:numId w:val="18"/>
        </w:numPr>
        <w:tabs>
          <w:tab w:val="left" w:pos="590"/>
        </w:tabs>
        <w:spacing w:before="125"/>
        <w:ind w:left="993" w:right="10"/>
        <w:rPr>
          <w:rStyle w:val="FontStyle18"/>
          <w:lang w:eastAsia="en-US"/>
        </w:rPr>
      </w:pPr>
      <w:r>
        <w:rPr>
          <w:rStyle w:val="FontStyle18"/>
          <w:lang w:eastAsia="en-US"/>
        </w:rPr>
        <w:t>Proszę wskazać kroki podjęte w celu zapewnienia bezpiecznego i sprzyjającego środowiska dla obrońców praw człowieka, w tym tych, którzy udzielają pomocy migrantom i osobom ubiegającym się o azyl na granicy z Białorusią. Proszę o udzielenie informacji na temat środków podjętych w celu zapewnienia, aby obrońcy praw człowieka i organizacje pozarządowe zajmujące się prawami człowieka nie byli narażeni na kampanie oszczerstw, groźby i nękanie sądowe mające na celu utrudnienie ich pracy, w szczególności te promujące i broniące praw kobiet, praw w zakresie zdrowia seksualnego i reprodukcyjnego oraz praw człowieka osób LGBTI. Proszę ustosunkować się do doniesień, że organizacjom pozarządowym, które są nieprzychylnie oceniane przez rząd, odmawia się równego i sprawiedliwego dostępu do finansowania publicznego.</w:t>
      </w:r>
    </w:p>
    <w:p w14:paraId="6DB4DE84" w14:textId="02B212A0" w:rsidR="005438A3" w:rsidRPr="003F4425" w:rsidRDefault="005438A3" w:rsidP="005438A3">
      <w:pPr>
        <w:pStyle w:val="Style9"/>
        <w:widowControl/>
        <w:tabs>
          <w:tab w:val="left" w:pos="590"/>
        </w:tabs>
        <w:spacing w:before="125"/>
        <w:ind w:left="993" w:right="10"/>
        <w:rPr>
          <w:rStyle w:val="FontStyle18"/>
          <w:b/>
          <w:bCs/>
          <w:lang w:val="en-US" w:eastAsia="en-US"/>
        </w:rPr>
      </w:pPr>
      <w:r w:rsidRPr="003F4425">
        <w:rPr>
          <w:rStyle w:val="FontStyle18"/>
          <w:b/>
          <w:bCs/>
          <w:lang w:val="en-US" w:eastAsia="en-US"/>
        </w:rPr>
        <w:t xml:space="preserve">(UDCS, </w:t>
      </w:r>
      <w:proofErr w:type="spellStart"/>
      <w:r w:rsidRPr="003F4425">
        <w:rPr>
          <w:rStyle w:val="FontStyle18"/>
          <w:b/>
          <w:bCs/>
          <w:lang w:val="en-US" w:eastAsia="en-US"/>
        </w:rPr>
        <w:t>MSWiA</w:t>
      </w:r>
      <w:proofErr w:type="spellEnd"/>
      <w:r w:rsidRPr="003F4425">
        <w:rPr>
          <w:rStyle w:val="FontStyle18"/>
          <w:b/>
          <w:bCs/>
          <w:lang w:val="en-US" w:eastAsia="en-US"/>
        </w:rPr>
        <w:t xml:space="preserve">, </w:t>
      </w:r>
      <w:r w:rsidR="00B0438A">
        <w:rPr>
          <w:rStyle w:val="FontStyle18"/>
          <w:b/>
          <w:bCs/>
          <w:lang w:val="en-US" w:eastAsia="en-US"/>
        </w:rPr>
        <w:t>MS</w:t>
      </w:r>
      <w:r w:rsidR="00BD3630">
        <w:rPr>
          <w:rStyle w:val="FontStyle18"/>
          <w:b/>
          <w:bCs/>
          <w:lang w:val="en-US" w:eastAsia="en-US"/>
        </w:rPr>
        <w:t>)</w:t>
      </w:r>
    </w:p>
    <w:p w14:paraId="4B3789DE" w14:textId="77777777" w:rsidR="009F5DD6" w:rsidRPr="003F4425" w:rsidRDefault="009F5DD6" w:rsidP="00383A0C">
      <w:pPr>
        <w:pStyle w:val="Style9"/>
        <w:widowControl/>
        <w:tabs>
          <w:tab w:val="left" w:pos="590"/>
        </w:tabs>
        <w:spacing w:before="125"/>
        <w:ind w:left="1109" w:right="10"/>
        <w:rPr>
          <w:rStyle w:val="FontStyle18"/>
          <w:lang w:val="en-US" w:eastAsia="en-US"/>
        </w:rPr>
      </w:pPr>
    </w:p>
    <w:p w14:paraId="1A58D579" w14:textId="3D1D6B16" w:rsidR="009F5DD6" w:rsidRPr="009B6986" w:rsidRDefault="0080460B" w:rsidP="00846DDA">
      <w:pPr>
        <w:pStyle w:val="Style3"/>
        <w:widowControl/>
        <w:spacing w:before="240"/>
        <w:ind w:left="993"/>
        <w:jc w:val="both"/>
        <w:rPr>
          <w:rStyle w:val="FontStyle19"/>
          <w:lang w:eastAsia="en-US"/>
        </w:rPr>
      </w:pPr>
      <w:r>
        <w:rPr>
          <w:rStyle w:val="FontStyle19"/>
          <w:lang w:eastAsia="en-US"/>
        </w:rPr>
        <w:t>Udział w sprawach publicznych (art. 25 i 26)</w:t>
      </w:r>
    </w:p>
    <w:p w14:paraId="7D8D8110" w14:textId="6D5968A5" w:rsidR="0080460B" w:rsidRDefault="0080460B" w:rsidP="00881B7E">
      <w:pPr>
        <w:pStyle w:val="Style5"/>
        <w:widowControl/>
        <w:numPr>
          <w:ilvl w:val="0"/>
          <w:numId w:val="18"/>
        </w:numPr>
        <w:spacing w:before="130" w:line="240" w:lineRule="exact"/>
        <w:ind w:left="993"/>
        <w:rPr>
          <w:rStyle w:val="FontStyle18"/>
          <w:lang w:eastAsia="en-US"/>
        </w:rPr>
      </w:pPr>
      <w:r>
        <w:rPr>
          <w:rStyle w:val="FontStyle18"/>
          <w:lang w:eastAsia="en-US"/>
        </w:rPr>
        <w:t xml:space="preserve"> Proszę przedstawić sprawozdanie na temat środków podjętych w celu zapewnienia przeprowadzenia wolnych i uczciwych wyborów oraz w nawiązaniu do najnowszych uwag końcowych Komitetu (ust. 42) opisać podjęte środki: a) ułatwienie wszystkim korzystania z praw wyborczych bez dyskryminacji, w szczególności osobom z niepełnosprawnością intelektualną i psychospołeczną; b) zapewnienie pełnej dostępności i kompleksowego wsparcia dla wszystkich osób z niepełnosprawnościami; oraz (c) dostarczanie wyborcom informacji o wyborach i procesie głosowania w przystępnych formatach.</w:t>
      </w:r>
    </w:p>
    <w:p w14:paraId="55507CCF" w14:textId="5313C89B" w:rsidR="005438A3" w:rsidRPr="005438A3" w:rsidRDefault="005438A3" w:rsidP="005438A3">
      <w:pPr>
        <w:pStyle w:val="Style5"/>
        <w:widowControl/>
        <w:spacing w:before="130" w:line="240" w:lineRule="exact"/>
        <w:ind w:left="993"/>
        <w:rPr>
          <w:rStyle w:val="FontStyle18"/>
          <w:b/>
          <w:bCs/>
          <w:lang w:eastAsia="en-US"/>
        </w:rPr>
      </w:pPr>
      <w:r w:rsidRPr="005438A3">
        <w:rPr>
          <w:rStyle w:val="FontStyle18"/>
          <w:b/>
          <w:bCs/>
          <w:lang w:eastAsia="en-US"/>
        </w:rPr>
        <w:t>(PKW</w:t>
      </w:r>
      <w:r w:rsidR="008209B0">
        <w:rPr>
          <w:rStyle w:val="FontStyle18"/>
          <w:b/>
          <w:bCs/>
          <w:lang w:eastAsia="en-US"/>
        </w:rPr>
        <w:t>, MSZ</w:t>
      </w:r>
      <w:r w:rsidRPr="005438A3">
        <w:rPr>
          <w:rStyle w:val="FontStyle18"/>
          <w:b/>
          <w:bCs/>
          <w:lang w:eastAsia="en-US"/>
        </w:rPr>
        <w:t>)</w:t>
      </w:r>
    </w:p>
    <w:sectPr w:rsidR="005438A3" w:rsidRPr="005438A3">
      <w:headerReference w:type="default" r:id="rId8"/>
      <w:footerReference w:type="default" r:id="rId9"/>
      <w:type w:val="continuous"/>
      <w:pgSz w:w="11905" w:h="16837"/>
      <w:pgMar w:top="1027" w:right="2055" w:bottom="853" w:left="13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B085" w14:textId="77777777" w:rsidR="00E10BBA" w:rsidRDefault="00E10BBA">
      <w:r>
        <w:separator/>
      </w:r>
    </w:p>
  </w:endnote>
  <w:endnote w:type="continuationSeparator" w:id="0">
    <w:p w14:paraId="1F2E7651" w14:textId="77777777" w:rsidR="00E10BBA" w:rsidRDefault="00E1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8C9B" w14:textId="77777777" w:rsidR="0080460B" w:rsidRDefault="0080460B">
    <w:pPr>
      <w:pStyle w:val="Style3"/>
      <w:widowControl/>
      <w:jc w:val="both"/>
      <w:rPr>
        <w:rStyle w:val="FontStyle19"/>
        <w:lang w:val="en-US" w:eastAsia="en-US"/>
      </w:rPr>
    </w:pPr>
    <w:r>
      <w:rPr>
        <w:rStyle w:val="FontStyle19"/>
        <w:lang w:eastAsia="en-US"/>
      </w:rPr>
      <w:fldChar w:fldCharType="begin"/>
    </w:r>
    <w:r>
      <w:rPr>
        <w:rStyle w:val="FontStyle19"/>
        <w:lang w:eastAsia="en-US"/>
      </w:rPr>
      <w:instrText>PAGE</w:instrText>
    </w:r>
    <w:r>
      <w:rPr>
        <w:rStyle w:val="FontStyle19"/>
        <w:lang w:eastAsia="en-US"/>
      </w:rPr>
      <w:fldChar w:fldCharType="separate"/>
    </w:r>
    <w:r>
      <w:rPr>
        <w:rStyle w:val="FontStyle19"/>
        <w:lang w:eastAsia="en-US"/>
      </w:rPr>
      <w:t>2</w:t>
    </w:r>
    <w:r>
      <w:rPr>
        <w:rStyle w:val="FontStyle19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C7298" w14:textId="77777777" w:rsidR="00E10BBA" w:rsidRDefault="00E10BBA">
      <w:r>
        <w:separator/>
      </w:r>
    </w:p>
  </w:footnote>
  <w:footnote w:type="continuationSeparator" w:id="0">
    <w:p w14:paraId="3A7D4B27" w14:textId="77777777" w:rsidR="00E10BBA" w:rsidRDefault="00E10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F145" w14:textId="77777777" w:rsidR="0080460B" w:rsidRDefault="0080460B">
    <w:pPr>
      <w:pStyle w:val="Style10"/>
      <w:widowControl/>
      <w:jc w:val="both"/>
      <w:rPr>
        <w:rStyle w:val="FontStyle18"/>
        <w:lang w:val="en-US" w:eastAsia="en-US"/>
      </w:rPr>
    </w:pPr>
    <w:r>
      <w:rPr>
        <w:rStyle w:val="FontStyle20"/>
        <w:lang w:eastAsia="en-US"/>
      </w:rPr>
      <w:t>CCPR/C/POL/QPR/</w:t>
    </w:r>
    <w:r>
      <w:rPr>
        <w:rStyle w:val="FontStyle18"/>
        <w:lang w:eastAsia="en-US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0751"/>
    <w:multiLevelType w:val="singleLevel"/>
    <w:tmpl w:val="B7FA9AD2"/>
    <w:lvl w:ilvl="0">
      <w:start w:val="21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CD6C1F"/>
    <w:multiLevelType w:val="singleLevel"/>
    <w:tmpl w:val="44CE11F4"/>
    <w:lvl w:ilvl="0">
      <w:start w:val="1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6A7C34"/>
    <w:multiLevelType w:val="singleLevel"/>
    <w:tmpl w:val="4852ED38"/>
    <w:lvl w:ilvl="0">
      <w:start w:val="17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74A3257"/>
    <w:multiLevelType w:val="singleLevel"/>
    <w:tmpl w:val="C46AC782"/>
    <w:lvl w:ilvl="0">
      <w:start w:val="14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9AF61AA"/>
    <w:multiLevelType w:val="singleLevel"/>
    <w:tmpl w:val="FEC21D50"/>
    <w:lvl w:ilvl="0">
      <w:start w:val="2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30E65E6"/>
    <w:multiLevelType w:val="singleLevel"/>
    <w:tmpl w:val="CC9C05B2"/>
    <w:lvl w:ilvl="0">
      <w:start w:val="11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DA52755"/>
    <w:multiLevelType w:val="singleLevel"/>
    <w:tmpl w:val="39FCC06E"/>
    <w:lvl w:ilvl="0">
      <w:start w:val="23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E7D06AD"/>
    <w:multiLevelType w:val="singleLevel"/>
    <w:tmpl w:val="71487946"/>
    <w:lvl w:ilvl="0">
      <w:start w:val="8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7886FDE"/>
    <w:multiLevelType w:val="singleLevel"/>
    <w:tmpl w:val="AAAC0BE8"/>
    <w:lvl w:ilvl="0">
      <w:start w:val="4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922D9D"/>
    <w:multiLevelType w:val="singleLevel"/>
    <w:tmpl w:val="11F2CAF2"/>
    <w:lvl w:ilvl="0">
      <w:start w:val="9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A932037"/>
    <w:multiLevelType w:val="singleLevel"/>
    <w:tmpl w:val="4FB4111C"/>
    <w:lvl w:ilvl="0">
      <w:start w:val="22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1B42202"/>
    <w:multiLevelType w:val="singleLevel"/>
    <w:tmpl w:val="B358E330"/>
    <w:lvl w:ilvl="0">
      <w:start w:val="10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B220029"/>
    <w:multiLevelType w:val="singleLevel"/>
    <w:tmpl w:val="BAFE3250"/>
    <w:lvl w:ilvl="0">
      <w:start w:val="13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B79697D"/>
    <w:multiLevelType w:val="singleLevel"/>
    <w:tmpl w:val="4992B940"/>
    <w:lvl w:ilvl="0">
      <w:start w:val="1"/>
      <w:numFmt w:val="upperLetter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ED842D5"/>
    <w:multiLevelType w:val="singleLevel"/>
    <w:tmpl w:val="6A92D1B0"/>
    <w:lvl w:ilvl="0">
      <w:start w:val="2"/>
      <w:numFmt w:val="upperLetter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0AF744D"/>
    <w:multiLevelType w:val="singleLevel"/>
    <w:tmpl w:val="D91A423A"/>
    <w:lvl w:ilvl="0">
      <w:start w:val="5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10A5BBD"/>
    <w:multiLevelType w:val="singleLevel"/>
    <w:tmpl w:val="6B82C4BA"/>
    <w:lvl w:ilvl="0">
      <w:start w:val="24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num w:numId="1" w16cid:durableId="906919734">
    <w:abstractNumId w:val="13"/>
  </w:num>
  <w:num w:numId="2" w16cid:durableId="486363837">
    <w:abstractNumId w:val="1"/>
  </w:num>
  <w:num w:numId="3" w16cid:durableId="1757630313">
    <w:abstractNumId w:val="14"/>
  </w:num>
  <w:num w:numId="4" w16cid:durableId="1781491406">
    <w:abstractNumId w:val="4"/>
  </w:num>
  <w:num w:numId="5" w16cid:durableId="570849353">
    <w:abstractNumId w:val="8"/>
  </w:num>
  <w:num w:numId="6" w16cid:durableId="367951748">
    <w:abstractNumId w:val="15"/>
  </w:num>
  <w:num w:numId="7" w16cid:durableId="1998872293">
    <w:abstractNumId w:val="7"/>
  </w:num>
  <w:num w:numId="8" w16cid:durableId="593436965">
    <w:abstractNumId w:val="9"/>
  </w:num>
  <w:num w:numId="9" w16cid:durableId="872764617">
    <w:abstractNumId w:val="11"/>
  </w:num>
  <w:num w:numId="10" w16cid:durableId="2058820004">
    <w:abstractNumId w:val="5"/>
  </w:num>
  <w:num w:numId="11" w16cid:durableId="1061517073">
    <w:abstractNumId w:val="12"/>
  </w:num>
  <w:num w:numId="12" w16cid:durableId="526875863">
    <w:abstractNumId w:val="3"/>
  </w:num>
  <w:num w:numId="13" w16cid:durableId="183518259">
    <w:abstractNumId w:val="2"/>
  </w:num>
  <w:num w:numId="14" w16cid:durableId="567232526">
    <w:abstractNumId w:val="2"/>
    <w:lvlOverride w:ilvl="0">
      <w:lvl w:ilvl="0">
        <w:start w:val="20"/>
        <w:numFmt w:val="decimal"/>
        <w:lvlText w:val="%1."/>
        <w:legacy w:legacy="1" w:legacySpace="0" w:legacyIndent="590"/>
        <w:lvlJc w:val="left"/>
        <w:rPr>
          <w:rFonts w:ascii="Times New Roman" w:hAnsi="Times New Roman" w:cs="Times New Roman" w:hint="default"/>
        </w:rPr>
      </w:lvl>
    </w:lvlOverride>
  </w:num>
  <w:num w:numId="15" w16cid:durableId="1771005917">
    <w:abstractNumId w:val="0"/>
  </w:num>
  <w:num w:numId="16" w16cid:durableId="1354721802">
    <w:abstractNumId w:val="10"/>
  </w:num>
  <w:num w:numId="17" w16cid:durableId="1598442613">
    <w:abstractNumId w:val="6"/>
  </w:num>
  <w:num w:numId="18" w16cid:durableId="1566838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5F"/>
    <w:rsid w:val="000230B8"/>
    <w:rsid w:val="000C6D28"/>
    <w:rsid w:val="00261387"/>
    <w:rsid w:val="002E090D"/>
    <w:rsid w:val="002F72FD"/>
    <w:rsid w:val="00314920"/>
    <w:rsid w:val="0033527D"/>
    <w:rsid w:val="00362F5F"/>
    <w:rsid w:val="00383A0C"/>
    <w:rsid w:val="00393442"/>
    <w:rsid w:val="003C0501"/>
    <w:rsid w:val="003F4425"/>
    <w:rsid w:val="00427099"/>
    <w:rsid w:val="00495616"/>
    <w:rsid w:val="005047A3"/>
    <w:rsid w:val="00523FCE"/>
    <w:rsid w:val="005438A3"/>
    <w:rsid w:val="005E761D"/>
    <w:rsid w:val="005F3A4B"/>
    <w:rsid w:val="00682B3E"/>
    <w:rsid w:val="006D4E37"/>
    <w:rsid w:val="006E716C"/>
    <w:rsid w:val="007734E2"/>
    <w:rsid w:val="007A156F"/>
    <w:rsid w:val="0080460B"/>
    <w:rsid w:val="008209B0"/>
    <w:rsid w:val="00846DDA"/>
    <w:rsid w:val="00881B7E"/>
    <w:rsid w:val="008E1A21"/>
    <w:rsid w:val="009B6986"/>
    <w:rsid w:val="009F5DD6"/>
    <w:rsid w:val="00A005DF"/>
    <w:rsid w:val="00AA790B"/>
    <w:rsid w:val="00AC1A13"/>
    <w:rsid w:val="00AC4896"/>
    <w:rsid w:val="00AF478F"/>
    <w:rsid w:val="00B0438A"/>
    <w:rsid w:val="00B07868"/>
    <w:rsid w:val="00B245F1"/>
    <w:rsid w:val="00B962CA"/>
    <w:rsid w:val="00BD3630"/>
    <w:rsid w:val="00C000B2"/>
    <w:rsid w:val="00C93BD9"/>
    <w:rsid w:val="00CF1FDE"/>
    <w:rsid w:val="00CF689F"/>
    <w:rsid w:val="00DA58FF"/>
    <w:rsid w:val="00DB745E"/>
    <w:rsid w:val="00E058E1"/>
    <w:rsid w:val="00E10BBA"/>
    <w:rsid w:val="00EC555E"/>
    <w:rsid w:val="00F9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9E2D0"/>
  <w14:defaultImageDpi w14:val="0"/>
  <w15:docId w15:val="{48B274C4-519E-4245-A9A7-71768ADE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30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298" w:lineRule="exact"/>
      <w:jc w:val="both"/>
    </w:pPr>
  </w:style>
  <w:style w:type="paragraph" w:customStyle="1" w:styleId="Style8">
    <w:name w:val="Style8"/>
    <w:basedOn w:val="Normalny"/>
    <w:uiPriority w:val="99"/>
    <w:pPr>
      <w:spacing w:line="278" w:lineRule="exact"/>
      <w:ind w:hanging="571"/>
    </w:pPr>
  </w:style>
  <w:style w:type="paragraph" w:customStyle="1" w:styleId="Style9">
    <w:name w:val="Style9"/>
    <w:basedOn w:val="Normalny"/>
    <w:uiPriority w:val="99"/>
    <w:pPr>
      <w:spacing w:line="240" w:lineRule="exact"/>
      <w:jc w:val="both"/>
    </w:pPr>
  </w:style>
  <w:style w:type="paragraph" w:customStyle="1" w:styleId="Style10">
    <w:name w:val="Style10"/>
    <w:basedOn w:val="Normalny"/>
    <w:uiPriority w:val="99"/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sz w:val="38"/>
      <w:szCs w:val="38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styleId="Tekstzastpczy">
    <w:name w:val="Placeholder Text"/>
    <w:basedOn w:val="Domylnaczcionkaakapitu"/>
    <w:uiPriority w:val="99"/>
    <w:semiHidden/>
    <w:rsid w:val="00EC55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binternet.ohchr.org/_layouts/15/treatybodyexternal/Download.aspx?symbolno=CCPR%2FC%2F128%2F3%2FAdd.3&amp;Lang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3346</Words>
  <Characters>20077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CCPR/C/AUT/QPR/R.6</vt:lpstr>
    </vt:vector>
  </TitlesOfParts>
  <Company/>
  <LinksUpToDate>false</LinksUpToDate>
  <CharactersWithSpaces>23377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CCPR/C/AUT/QPR/R.6</dc:title>
  <dc:subject/>
  <dc:creator>Kisłowski Karol  (DLPK)</dc:creator>
  <cp:keywords/>
  <dc:description/>
  <cp:lastModifiedBy>Charkiewicz Piotr  (DWMPC)</cp:lastModifiedBy>
  <cp:revision>2</cp:revision>
  <dcterms:created xsi:type="dcterms:W3CDTF">2025-11-24T13:28:00Z</dcterms:created>
  <dcterms:modified xsi:type="dcterms:W3CDTF">2025-11-24T13:28:00Z</dcterms:modified>
</cp:coreProperties>
</file>