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4691" w14:textId="5D35DEAA" w:rsidR="0080460B" w:rsidRPr="009B6986" w:rsidRDefault="0080460B" w:rsidP="00383A0C">
      <w:pPr>
        <w:pStyle w:val="Style2"/>
        <w:widowControl/>
        <w:tabs>
          <w:tab w:val="left" w:pos="6802"/>
        </w:tabs>
        <w:spacing w:before="82"/>
        <w:ind w:left="1272"/>
        <w:jc w:val="both"/>
        <w:rPr>
          <w:rStyle w:val="FontStyle18"/>
          <w:lang w:eastAsia="en-US"/>
        </w:rPr>
      </w:pPr>
      <w:r>
        <w:rPr>
          <w:rStyle w:val="FontStyle13"/>
          <w:lang w:eastAsia="en-US"/>
        </w:rPr>
        <w:tab/>
      </w:r>
      <w:proofErr w:type="spellStart"/>
      <w:r>
        <w:rPr>
          <w:rStyle w:val="FontStyle18"/>
          <w:lang w:eastAsia="en-US"/>
        </w:rPr>
        <w:t>Dystr</w:t>
      </w:r>
      <w:proofErr w:type="spellEnd"/>
      <w:r>
        <w:rPr>
          <w:rStyle w:val="FontStyle18"/>
          <w:lang w:eastAsia="en-US"/>
        </w:rPr>
        <w:t xml:space="preserve"> </w:t>
      </w:r>
      <w:r>
        <w:rPr>
          <w:rStyle w:val="FontStyle18"/>
          <w:vertAlign w:val="subscript"/>
          <w:lang w:eastAsia="en-US"/>
        </w:rPr>
        <w:t>:</w:t>
      </w:r>
      <w:r>
        <w:rPr>
          <w:rStyle w:val="FontStyle18"/>
          <w:lang w:eastAsia="en-US"/>
        </w:rPr>
        <w:t xml:space="preserve"> Ogólne</w:t>
      </w:r>
    </w:p>
    <w:p w14:paraId="337621D6" w14:textId="77777777" w:rsidR="0080460B" w:rsidRPr="009B6986" w:rsidRDefault="0080460B" w:rsidP="00383A0C">
      <w:pPr>
        <w:pStyle w:val="Style5"/>
        <w:widowControl/>
        <w:spacing w:before="24"/>
        <w:ind w:right="1411"/>
        <w:rPr>
          <w:rStyle w:val="FontStyle18"/>
          <w:lang w:eastAsia="en-US"/>
        </w:rPr>
      </w:pPr>
      <w:r>
        <w:rPr>
          <w:rStyle w:val="FontStyle18"/>
          <w:lang w:eastAsia="en-US"/>
        </w:rPr>
        <w:t>2 grudnia 2024</w:t>
      </w:r>
    </w:p>
    <w:p w14:paraId="55FCDDA4" w14:textId="77777777" w:rsidR="0080460B" w:rsidRDefault="0080460B" w:rsidP="00383A0C">
      <w:pPr>
        <w:pStyle w:val="Style5"/>
        <w:widowControl/>
        <w:spacing w:line="240" w:lineRule="exact"/>
        <w:ind w:left="6806"/>
        <w:rPr>
          <w:sz w:val="20"/>
          <w:szCs w:val="20"/>
        </w:rPr>
      </w:pPr>
    </w:p>
    <w:p w14:paraId="60CFC0AE" w14:textId="77777777" w:rsidR="0080460B" w:rsidRPr="009B6986" w:rsidRDefault="0080460B" w:rsidP="00383A0C">
      <w:pPr>
        <w:pStyle w:val="Style5"/>
        <w:widowControl/>
        <w:spacing w:before="34"/>
        <w:ind w:left="6806"/>
        <w:rPr>
          <w:rStyle w:val="FontStyle18"/>
          <w:lang w:eastAsia="en-US"/>
        </w:rPr>
      </w:pPr>
      <w:r>
        <w:rPr>
          <w:rStyle w:val="FontStyle18"/>
          <w:lang w:eastAsia="en-US"/>
        </w:rPr>
        <w:t>Oryginał: angielski</w:t>
      </w:r>
    </w:p>
    <w:p w14:paraId="1D1FC6D4" w14:textId="77777777" w:rsidR="0080460B" w:rsidRPr="009B6986" w:rsidRDefault="0080460B" w:rsidP="00383A0C">
      <w:pPr>
        <w:pStyle w:val="Style5"/>
        <w:widowControl/>
        <w:spacing w:before="24"/>
        <w:ind w:left="6802"/>
        <w:rPr>
          <w:rStyle w:val="FontStyle18"/>
          <w:lang w:eastAsia="en-US"/>
        </w:rPr>
      </w:pPr>
      <w:r>
        <w:rPr>
          <w:rStyle w:val="FontStyle18"/>
          <w:lang w:eastAsia="en-US"/>
        </w:rPr>
        <w:t>Tylko w języku angielskim, francuskim i hiszpańskim</w:t>
      </w:r>
    </w:p>
    <w:p w14:paraId="671B70E8" w14:textId="77777777" w:rsidR="0080460B" w:rsidRDefault="0080460B" w:rsidP="00383A0C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14:paraId="22C74F79" w14:textId="77777777" w:rsidR="0080460B" w:rsidRDefault="0080460B" w:rsidP="00383A0C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14:paraId="53408A9B" w14:textId="77777777" w:rsidR="0080460B" w:rsidRDefault="0080460B" w:rsidP="00383A0C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14:paraId="6E12383E" w14:textId="77777777" w:rsidR="0080460B" w:rsidRDefault="0080460B" w:rsidP="00383A0C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14:paraId="4C049DDB" w14:textId="77777777" w:rsidR="0080460B" w:rsidRDefault="0080460B" w:rsidP="00383A0C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14:paraId="6828B3CC" w14:textId="77777777" w:rsidR="0080460B" w:rsidRDefault="0080460B" w:rsidP="00383A0C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14:paraId="7C867FC2" w14:textId="77777777" w:rsidR="0080460B" w:rsidRPr="009B6986" w:rsidRDefault="0080460B" w:rsidP="00383A0C">
      <w:pPr>
        <w:pStyle w:val="Style6"/>
        <w:widowControl/>
        <w:spacing w:before="120"/>
        <w:jc w:val="both"/>
        <w:rPr>
          <w:rStyle w:val="FontStyle15"/>
          <w:lang w:eastAsia="en-US"/>
        </w:rPr>
      </w:pPr>
      <w:r>
        <w:rPr>
          <w:rStyle w:val="FontStyle15"/>
          <w:lang w:eastAsia="en-US"/>
        </w:rPr>
        <w:t>Komitet Praw Człowieka</w:t>
      </w:r>
    </w:p>
    <w:p w14:paraId="4EE02FD5" w14:textId="77777777" w:rsidR="0080460B" w:rsidRDefault="0080460B" w:rsidP="00383A0C">
      <w:pPr>
        <w:pStyle w:val="Style7"/>
        <w:widowControl/>
        <w:spacing w:line="240" w:lineRule="exact"/>
        <w:ind w:left="1138" w:right="1138"/>
        <w:rPr>
          <w:sz w:val="20"/>
          <w:szCs w:val="20"/>
        </w:rPr>
      </w:pPr>
    </w:p>
    <w:p w14:paraId="0997F00C" w14:textId="77777777" w:rsidR="0080460B" w:rsidRPr="009B6986" w:rsidRDefault="0080460B" w:rsidP="00383A0C">
      <w:pPr>
        <w:pStyle w:val="Style7"/>
        <w:widowControl/>
        <w:spacing w:before="120"/>
        <w:ind w:left="1138" w:right="1138"/>
        <w:rPr>
          <w:rStyle w:val="FontStyle14"/>
          <w:lang w:eastAsia="en-US"/>
        </w:rPr>
      </w:pPr>
      <w:r>
        <w:rPr>
          <w:rStyle w:val="FontStyle14"/>
          <w:lang w:eastAsia="en-US"/>
        </w:rPr>
        <w:t>Wykaz zagadnień sprzed złożenia ósmego raportu okresowego Polski*</w:t>
      </w:r>
    </w:p>
    <w:p w14:paraId="24E0C4E4" w14:textId="77777777" w:rsidR="0080460B" w:rsidRPr="009B6986" w:rsidRDefault="0080460B" w:rsidP="00383A0C">
      <w:pPr>
        <w:pStyle w:val="Style8"/>
        <w:widowControl/>
        <w:numPr>
          <w:ilvl w:val="0"/>
          <w:numId w:val="1"/>
        </w:numPr>
        <w:tabs>
          <w:tab w:val="left" w:pos="1133"/>
        </w:tabs>
        <w:spacing w:before="230"/>
        <w:ind w:left="1133" w:right="1133"/>
        <w:jc w:val="both"/>
        <w:rPr>
          <w:rStyle w:val="FontStyle15"/>
          <w:lang w:eastAsia="en-US"/>
        </w:rPr>
      </w:pPr>
      <w:r>
        <w:rPr>
          <w:rStyle w:val="FontStyle15"/>
          <w:lang w:eastAsia="en-US"/>
        </w:rPr>
        <w:t>Ogólne informacje na temat sytuacji w zakresie praw człowieka w poszczególnych krajach, w tym nowe środki i wydarzenia związane z wdrażaniem Paktu</w:t>
      </w:r>
    </w:p>
    <w:p w14:paraId="5DEE3212" w14:textId="77777777" w:rsidR="0080460B" w:rsidRDefault="0080460B" w:rsidP="00383A0C">
      <w:pPr>
        <w:widowControl/>
        <w:jc w:val="both"/>
        <w:rPr>
          <w:sz w:val="2"/>
          <w:szCs w:val="2"/>
        </w:rPr>
      </w:pPr>
    </w:p>
    <w:p w14:paraId="1603D52D" w14:textId="77777777" w:rsidR="0080460B" w:rsidRDefault="0080460B" w:rsidP="00383A0C">
      <w:pPr>
        <w:pStyle w:val="Style9"/>
        <w:widowControl/>
        <w:numPr>
          <w:ilvl w:val="0"/>
          <w:numId w:val="2"/>
        </w:numPr>
        <w:tabs>
          <w:tab w:val="left" w:pos="1699"/>
        </w:tabs>
        <w:spacing w:before="120"/>
        <w:ind w:left="1123" w:right="1123"/>
        <w:rPr>
          <w:rStyle w:val="FontStyle18"/>
          <w:lang w:eastAsia="en-US"/>
        </w:rPr>
      </w:pPr>
      <w:r>
        <w:rPr>
          <w:rStyle w:val="FontStyle18"/>
          <w:lang w:eastAsia="en-US"/>
        </w:rPr>
        <w:t>Proszę przedstawić wszelkie istotne zmiany w ramach prawnych i instytucjonalnych, w których propaguje się i chroni prawa człowieka, które miały miejsce od czasu przyjęcia poprzednich uwag końcowych (CCPR/C/POL/CO/7), w tym przykłady spraw, w których sądy krajowe, w tym trybunał konstytucyjny, powołały się na postanowienia Paktu.</w:t>
      </w:r>
    </w:p>
    <w:p w14:paraId="16F41935" w14:textId="586A3B33" w:rsidR="00393442" w:rsidRPr="00393442" w:rsidRDefault="00393442" w:rsidP="00383A0C">
      <w:pPr>
        <w:pStyle w:val="Style9"/>
        <w:widowControl/>
        <w:tabs>
          <w:tab w:val="left" w:pos="1699"/>
        </w:tabs>
        <w:spacing w:before="120"/>
        <w:ind w:left="1123" w:right="1123"/>
        <w:rPr>
          <w:rStyle w:val="FontStyle18"/>
          <w:b/>
          <w:bCs/>
          <w:lang w:eastAsia="en-US"/>
        </w:rPr>
      </w:pPr>
      <w:r w:rsidRPr="00393442">
        <w:rPr>
          <w:rStyle w:val="FontStyle18"/>
          <w:b/>
          <w:bCs/>
          <w:lang w:eastAsia="en-US"/>
        </w:rPr>
        <w:t>(wszystkie resorty)</w:t>
      </w:r>
    </w:p>
    <w:p w14:paraId="4E42B232" w14:textId="12883D11" w:rsidR="00427099" w:rsidRPr="009B6986" w:rsidRDefault="0080460B" w:rsidP="00383A0C">
      <w:pPr>
        <w:pStyle w:val="Style8"/>
        <w:widowControl/>
        <w:numPr>
          <w:ilvl w:val="0"/>
          <w:numId w:val="3"/>
        </w:numPr>
        <w:tabs>
          <w:tab w:val="left" w:pos="1133"/>
        </w:tabs>
        <w:spacing w:before="350"/>
        <w:ind w:left="1133" w:right="1133"/>
        <w:jc w:val="both"/>
        <w:rPr>
          <w:rStyle w:val="FontStyle15"/>
          <w:lang w:eastAsia="en-US"/>
        </w:rPr>
      </w:pPr>
      <w:r>
        <w:rPr>
          <w:rStyle w:val="FontStyle15"/>
          <w:lang w:eastAsia="en-US"/>
        </w:rPr>
        <w:t>Szczegółowe informacje na temat stosowania artykułów 1–27 Paktu, w tym w odniesieniu do poprzednich zaleceń Komitetu</w:t>
      </w:r>
    </w:p>
    <w:p w14:paraId="5ECF5D18" w14:textId="77777777" w:rsidR="0080460B" w:rsidRDefault="0080460B" w:rsidP="00383A0C">
      <w:pPr>
        <w:pStyle w:val="Style3"/>
        <w:widowControl/>
        <w:spacing w:line="240" w:lineRule="exact"/>
        <w:ind w:left="1138"/>
        <w:jc w:val="both"/>
        <w:rPr>
          <w:sz w:val="20"/>
          <w:szCs w:val="20"/>
        </w:rPr>
      </w:pPr>
    </w:p>
    <w:p w14:paraId="72884635" w14:textId="00C8582D" w:rsidR="00427099" w:rsidRPr="009B6986" w:rsidRDefault="0080460B" w:rsidP="00383A0C">
      <w:pPr>
        <w:pStyle w:val="Style3"/>
        <w:widowControl/>
        <w:spacing w:before="5"/>
        <w:ind w:left="1138"/>
        <w:jc w:val="both"/>
        <w:rPr>
          <w:rStyle w:val="FontStyle19"/>
          <w:lang w:eastAsia="en-US"/>
        </w:rPr>
      </w:pPr>
      <w:r>
        <w:rPr>
          <w:rStyle w:val="FontStyle19"/>
          <w:lang w:eastAsia="en-US"/>
        </w:rPr>
        <w:t>Ramy konstytucyjne i prawne, w których wdraża się Pakt (art. 2)</w:t>
      </w:r>
    </w:p>
    <w:p w14:paraId="5096FF8C" w14:textId="77777777" w:rsidR="0080460B" w:rsidRDefault="0080460B" w:rsidP="00CF689F">
      <w:pPr>
        <w:pStyle w:val="Style9"/>
        <w:widowControl/>
        <w:numPr>
          <w:ilvl w:val="0"/>
          <w:numId w:val="4"/>
        </w:numPr>
        <w:tabs>
          <w:tab w:val="left" w:pos="1699"/>
        </w:tabs>
        <w:ind w:left="1123" w:right="1111"/>
        <w:rPr>
          <w:rStyle w:val="FontStyle18"/>
          <w:lang w:eastAsia="en-US"/>
        </w:rPr>
      </w:pPr>
      <w:r>
        <w:rPr>
          <w:rStyle w:val="FontStyle18"/>
          <w:lang w:eastAsia="en-US"/>
        </w:rPr>
        <w:t xml:space="preserve">Proszę wskazać obowiązujące procedury wdrażania stanowisk Komitetu na mocy Protokołu fakultatywnego oraz przedstawić informacje na temat środków podjętych w celu zapewnienia pełnej zgodności z każdym ze stanowisk przyjętych w odniesieniu do Państwa-Strony, w tym </w:t>
      </w:r>
      <w:r>
        <w:rPr>
          <w:rStyle w:val="FontStyle16"/>
          <w:lang w:eastAsia="en-US"/>
        </w:rPr>
        <w:t xml:space="preserve">A.B. i B.D. przeciwko Polsce (2022) </w:t>
      </w:r>
      <w:r>
        <w:rPr>
          <w:rStyle w:val="FontStyle18"/>
          <w:lang w:eastAsia="en-US"/>
        </w:rPr>
        <w:t>(CCPR/C/135/D/3017/2017). Proszę informować o środkach podjętych w celu podniesienia świadomości na temat Protokołu fakultatywnego, w szczególności wśród sędziów, prokuratorów, adwokatów i wszystkich tych, którzy uważają, że mogło dojść do naruszenia ich praw człowieka wynikających z Paktu.</w:t>
      </w:r>
    </w:p>
    <w:p w14:paraId="152F2A02" w14:textId="5A01F745" w:rsidR="00393442" w:rsidRPr="00393442" w:rsidRDefault="00393442" w:rsidP="00CF689F">
      <w:pPr>
        <w:pStyle w:val="Style9"/>
        <w:widowControl/>
        <w:tabs>
          <w:tab w:val="left" w:pos="1699"/>
        </w:tabs>
        <w:ind w:left="1123" w:right="1111"/>
        <w:rPr>
          <w:rStyle w:val="FontStyle18"/>
          <w:b/>
          <w:bCs/>
          <w:lang w:eastAsia="en-US"/>
        </w:rPr>
      </w:pPr>
      <w:r w:rsidRPr="00393442">
        <w:rPr>
          <w:rStyle w:val="FontStyle18"/>
          <w:b/>
          <w:bCs/>
          <w:lang w:eastAsia="en-US"/>
        </w:rPr>
        <w:t>(MS, KRS, PK, NRA, KRRP</w:t>
      </w:r>
      <w:r w:rsidR="00B245F1">
        <w:rPr>
          <w:rStyle w:val="FontStyle18"/>
          <w:b/>
          <w:bCs/>
          <w:lang w:eastAsia="en-US"/>
        </w:rPr>
        <w:t xml:space="preserve">, </w:t>
      </w:r>
      <w:proofErr w:type="spellStart"/>
      <w:r w:rsidR="00B245F1">
        <w:rPr>
          <w:rStyle w:val="FontStyle18"/>
          <w:b/>
          <w:bCs/>
          <w:lang w:eastAsia="en-US"/>
        </w:rPr>
        <w:t>KSSiP</w:t>
      </w:r>
      <w:proofErr w:type="spellEnd"/>
      <w:r w:rsidRPr="00393442">
        <w:rPr>
          <w:rStyle w:val="FontStyle18"/>
          <w:b/>
          <w:bCs/>
          <w:lang w:eastAsia="en-US"/>
        </w:rPr>
        <w:t>)</w:t>
      </w:r>
    </w:p>
    <w:p w14:paraId="4BD6735A" w14:textId="77777777" w:rsidR="0080460B" w:rsidRDefault="0080460B" w:rsidP="00CF689F">
      <w:pPr>
        <w:pStyle w:val="Style9"/>
        <w:widowControl/>
        <w:numPr>
          <w:ilvl w:val="0"/>
          <w:numId w:val="4"/>
        </w:numPr>
        <w:tabs>
          <w:tab w:val="left" w:pos="1699"/>
        </w:tabs>
        <w:ind w:left="1123" w:right="1123"/>
        <w:rPr>
          <w:rStyle w:val="FontStyle18"/>
          <w:lang w:eastAsia="en-US"/>
        </w:rPr>
      </w:pPr>
      <w:r>
        <w:rPr>
          <w:rStyle w:val="FontStyle18"/>
          <w:lang w:eastAsia="en-US"/>
        </w:rPr>
        <w:t>W świetle najnowszych uwag końcowych (ust. 6) proszę wskazać środki podjęte w celu umożliwienia Biuru Rzecznika Praw Obywatelskich pełnego wypełniania jego funkcji zgodnie z zasadami dotyczącymi statusu krajowych instytucji na rzecz promowania i ochrony praw człowieka (zasady paryskie), w tym poprzez:  a) zapewnienie Urzędowi wystarczających zasobów ludzkich i finansowych, zapewniając, aby były one odpowiednie do wykonywania pełnego zakresu mandatu Urzędu, w tym krajowego mechanizmu prewencyjnego i organu wspierającego sygnalistów, który ma zostać ustanowiony w grudniu 2024 r.; b) sformalizowanie jasnego, przejrzystego i partycypacyjnego procesu selekcji i mianowania w odpowiednich przepisach; oraz c) zapewnienie działań następczych w związku z zaleceniami i ich wdrożenia.</w:t>
      </w:r>
    </w:p>
    <w:p w14:paraId="5B9CB736" w14:textId="0AA0152F" w:rsidR="00427099" w:rsidRPr="00393442" w:rsidRDefault="00383A0C" w:rsidP="00CF689F">
      <w:pPr>
        <w:pStyle w:val="Style9"/>
        <w:widowControl/>
        <w:tabs>
          <w:tab w:val="left" w:pos="1699"/>
        </w:tabs>
        <w:ind w:left="1134" w:right="1123" w:hanging="1134"/>
        <w:rPr>
          <w:rStyle w:val="FontStyle18"/>
          <w:b/>
          <w:bCs/>
          <w:lang w:eastAsia="en-US"/>
        </w:rPr>
      </w:pPr>
      <w:r>
        <w:rPr>
          <w:rStyle w:val="FontStyle18"/>
          <w:lang w:eastAsia="en-US"/>
        </w:rPr>
        <w:tab/>
      </w:r>
      <w:r w:rsidR="00393442" w:rsidRPr="00393442">
        <w:rPr>
          <w:rStyle w:val="FontStyle18"/>
          <w:b/>
          <w:bCs/>
          <w:lang w:eastAsia="en-US"/>
        </w:rPr>
        <w:t>(RPO)</w:t>
      </w:r>
    </w:p>
    <w:p w14:paraId="4D91A1AC" w14:textId="25E5ED2B" w:rsidR="00427099" w:rsidRPr="009B6986" w:rsidRDefault="0080460B" w:rsidP="00383A0C">
      <w:pPr>
        <w:pStyle w:val="Style3"/>
        <w:widowControl/>
        <w:spacing w:before="240"/>
        <w:ind w:left="1138"/>
        <w:jc w:val="both"/>
        <w:rPr>
          <w:rStyle w:val="FontStyle19"/>
          <w:lang w:eastAsia="en-US"/>
        </w:rPr>
      </w:pPr>
      <w:r>
        <w:rPr>
          <w:rStyle w:val="FontStyle19"/>
          <w:lang w:eastAsia="en-US"/>
        </w:rPr>
        <w:t>Środki zwalczania terroryzmu (art. 2, 6, 7, 14, 17 i 21)</w:t>
      </w:r>
    </w:p>
    <w:p w14:paraId="20F20C28" w14:textId="1F1173C0" w:rsidR="00383A0C" w:rsidRDefault="0080460B" w:rsidP="00CF689F">
      <w:pPr>
        <w:pStyle w:val="Style9"/>
        <w:widowControl/>
        <w:numPr>
          <w:ilvl w:val="0"/>
          <w:numId w:val="5"/>
        </w:numPr>
        <w:tabs>
          <w:tab w:val="left" w:pos="1699"/>
        </w:tabs>
        <w:spacing w:before="130" w:line="226" w:lineRule="exact"/>
        <w:ind w:left="1138" w:right="1123"/>
        <w:rPr>
          <w:rStyle w:val="FontStyle18"/>
          <w:lang w:eastAsia="en-US"/>
        </w:rPr>
      </w:pPr>
      <w:r>
        <w:rPr>
          <w:rStyle w:val="FontStyle18"/>
          <w:lang w:eastAsia="en-US"/>
        </w:rPr>
        <w:t xml:space="preserve">W nawiązaniu do najnowszych uwag końcowych Komitetu (ust. 10 i 12) proszę o udzielenie informacji na temat wszelkich kroków podjętych w celu dokonania przeglądu ustawodawstwa Państwa-Strony w zakresie zwalczania terroryzmu, w tym art. 115 kodeksu karnego i ustawy o zwalczaniu terroryzmu z czerwca 2016 r. oraz </w:t>
      </w:r>
      <w:r>
        <w:rPr>
          <w:rStyle w:val="FontStyle18"/>
          <w:lang w:eastAsia="en-US"/>
        </w:rPr>
        <w:lastRenderedPageBreak/>
        <w:t>rozporządzenia z lipca 2016 r., w celu dostosowania jej do zobowiązań wynikających z</w:t>
      </w:r>
      <w:r w:rsidR="00CF689F">
        <w:rPr>
          <w:rStyle w:val="FontStyle18"/>
          <w:lang w:eastAsia="en-US"/>
        </w:rPr>
        <w:t xml:space="preserve"> </w:t>
      </w:r>
      <w:r>
        <w:rPr>
          <w:rStyle w:val="FontStyle18"/>
          <w:lang w:eastAsia="en-US"/>
        </w:rPr>
        <w:t>Paktu oraz zapewnienie: a) że zarówno cel, jak i charakter przestępstw terrorystycznych są ściśle określone; oraz b) zawarto precyzyjną definicję "incydentów terrorystycznych". Proszę również o aktualne informacje na temat stanu i wyników śledztw i postępowań w sprawie udziału polskich funkcjonariuszy w tajnych zatrzymaniach, torturach i wydawaniu więźniów w latach 2003-2005 w Starych Kiejkutach.</w:t>
      </w:r>
    </w:p>
    <w:p w14:paraId="6134428E" w14:textId="0E67F547" w:rsidR="00495616" w:rsidRDefault="00495616" w:rsidP="00383A0C">
      <w:pPr>
        <w:pStyle w:val="Style1"/>
        <w:widowControl/>
        <w:spacing w:before="43"/>
        <w:ind w:left="272" w:firstLine="720"/>
        <w:rPr>
          <w:rStyle w:val="FontStyle18"/>
          <w:b/>
          <w:bCs/>
          <w:lang w:eastAsia="en-US"/>
        </w:rPr>
      </w:pPr>
      <w:r w:rsidRPr="00495616">
        <w:rPr>
          <w:rStyle w:val="FontStyle18"/>
          <w:b/>
          <w:bCs/>
          <w:lang w:eastAsia="en-US"/>
        </w:rPr>
        <w:t>(PK, MSWiA, ABW, KGP, SG, AW, MON, SWW, ŻW</w:t>
      </w:r>
      <w:r w:rsidR="00DA58FF">
        <w:rPr>
          <w:rStyle w:val="FontStyle18"/>
          <w:b/>
          <w:bCs/>
          <w:lang w:eastAsia="en-US"/>
        </w:rPr>
        <w:t xml:space="preserve">, </w:t>
      </w:r>
      <w:r w:rsidR="00DA58FF" w:rsidRPr="00495616">
        <w:rPr>
          <w:rStyle w:val="FontStyle18"/>
          <w:b/>
          <w:bCs/>
          <w:lang w:eastAsia="en-US"/>
        </w:rPr>
        <w:t>SKW</w:t>
      </w:r>
      <w:r w:rsidRPr="00495616">
        <w:rPr>
          <w:rStyle w:val="FontStyle18"/>
          <w:b/>
          <w:bCs/>
          <w:lang w:eastAsia="en-US"/>
        </w:rPr>
        <w:t>)</w:t>
      </w:r>
    </w:p>
    <w:p w14:paraId="550EDD1F" w14:textId="77777777" w:rsidR="00261387" w:rsidRPr="00495616" w:rsidRDefault="00261387" w:rsidP="00383A0C">
      <w:pPr>
        <w:pStyle w:val="Style1"/>
        <w:widowControl/>
        <w:spacing w:before="43"/>
        <w:ind w:left="272" w:firstLine="720"/>
        <w:rPr>
          <w:rStyle w:val="FontStyle18"/>
          <w:b/>
          <w:bCs/>
          <w:lang w:eastAsia="en-US"/>
        </w:rPr>
      </w:pPr>
    </w:p>
    <w:p w14:paraId="3C9156D0" w14:textId="2EBC2DDD" w:rsidR="00383A0C" w:rsidRPr="00383A0C" w:rsidRDefault="0080460B" w:rsidP="00383A0C">
      <w:pPr>
        <w:pStyle w:val="Style3"/>
        <w:widowControl/>
        <w:spacing w:before="240"/>
        <w:ind w:left="272" w:firstLine="720"/>
        <w:jc w:val="both"/>
        <w:rPr>
          <w:rStyle w:val="FontStyle19"/>
          <w:lang w:eastAsia="en-US"/>
        </w:rPr>
      </w:pPr>
      <w:r>
        <w:rPr>
          <w:rStyle w:val="FontStyle19"/>
          <w:lang w:eastAsia="en-US"/>
        </w:rPr>
        <w:t>Niedyskryminacja (art. 2, 19, 20 i 26)</w:t>
      </w:r>
    </w:p>
    <w:p w14:paraId="1BFB4541" w14:textId="2F92A43A" w:rsidR="00495616" w:rsidRDefault="0080460B" w:rsidP="00CF689F">
      <w:pPr>
        <w:pStyle w:val="Style9"/>
        <w:widowControl/>
        <w:numPr>
          <w:ilvl w:val="0"/>
          <w:numId w:val="5"/>
        </w:numPr>
        <w:spacing w:line="226" w:lineRule="exact"/>
        <w:ind w:left="992"/>
        <w:rPr>
          <w:rStyle w:val="FontStyle18"/>
          <w:lang w:eastAsia="en-US"/>
        </w:rPr>
      </w:pPr>
      <w:r>
        <w:rPr>
          <w:rStyle w:val="FontStyle18"/>
          <w:lang w:eastAsia="en-US"/>
        </w:rPr>
        <w:t>Mając na uwadze ostatnie uwagi końcowe Komitetu (ust. 14). proszę o przedstawienie środków podjętych w celu zapewnienia, że ustawodawstwo i ramy polityki antydyskryminacyjnej Państwa-Strony, w tym Ustawa o równym traktowaniu oraz Krajowy Program Działań na rzecz Równego Traktowania na lata 2022-2030, zapewniają pełną i skuteczną ochronę przed dyskryminacją bezpośrednią, pośrednią i wieloraką we wszystkich sferach, w tym w sferze prywatnej, oraz ze wszystkich przyczyn zabronionych przez Pakt,  a także skuteczne środki zaradcze, w tym odszkodowania, dla ofiar dyskryminacji. Proszę załączyć dane statystyczne dotyczące skarg na dyskryminację wniesionych do sądów i Rzecznika Praw Obywatelskich w okresie sprawozdawczym, wraz ze wskazaniem podstawy dyskryminacji, charakteru prowadzonych dochodzeń i ich wyników oraz wszelkich środków zadośćuczynienia przyznanych ofiarom. Proszę również opisać kroki podjęte w celu podniesienia świadomości społecznej i zapewnienia dostępu do informacji na temat organów antydyskryminacyjnych i zasobów dostępnych dla ofiar dyskryminacji.</w:t>
      </w:r>
    </w:p>
    <w:p w14:paraId="40FA4732" w14:textId="1610AFAA" w:rsidR="00495616" w:rsidRPr="00495616" w:rsidRDefault="00495616" w:rsidP="00CF689F">
      <w:pPr>
        <w:pStyle w:val="Style9"/>
        <w:widowControl/>
        <w:tabs>
          <w:tab w:val="left" w:pos="1704"/>
        </w:tabs>
        <w:spacing w:line="226" w:lineRule="exact"/>
        <w:ind w:left="992"/>
        <w:rPr>
          <w:rStyle w:val="FontStyle18"/>
          <w:b/>
          <w:bCs/>
          <w:lang w:eastAsia="en-US"/>
        </w:rPr>
      </w:pPr>
      <w:bookmarkStart w:id="0" w:name="_Hlk203742155"/>
      <w:r w:rsidRPr="00495616">
        <w:rPr>
          <w:rStyle w:val="FontStyle18"/>
          <w:b/>
          <w:bCs/>
          <w:lang w:eastAsia="en-US"/>
        </w:rPr>
        <w:t>(RPO, MS, PK</w:t>
      </w:r>
      <w:r w:rsidR="003F4425">
        <w:rPr>
          <w:rStyle w:val="FontStyle18"/>
          <w:b/>
          <w:bCs/>
          <w:lang w:eastAsia="en-US"/>
        </w:rPr>
        <w:t>, MSWiA, KGP</w:t>
      </w:r>
      <w:r w:rsidRPr="00495616">
        <w:rPr>
          <w:rStyle w:val="FontStyle18"/>
          <w:b/>
          <w:bCs/>
          <w:lang w:eastAsia="en-US"/>
        </w:rPr>
        <w:t>)</w:t>
      </w:r>
      <w:bookmarkEnd w:id="0"/>
    </w:p>
    <w:p w14:paraId="448D1FFF" w14:textId="6A2182AD" w:rsidR="00495616" w:rsidRDefault="0080460B" w:rsidP="00CF689F">
      <w:pPr>
        <w:pStyle w:val="Style9"/>
        <w:widowControl/>
        <w:numPr>
          <w:ilvl w:val="0"/>
          <w:numId w:val="5"/>
        </w:numPr>
        <w:tabs>
          <w:tab w:val="left" w:pos="1704"/>
        </w:tabs>
        <w:spacing w:line="226" w:lineRule="exact"/>
        <w:ind w:left="993"/>
        <w:rPr>
          <w:rStyle w:val="FontStyle18"/>
          <w:lang w:eastAsia="en-US"/>
        </w:rPr>
      </w:pPr>
      <w:r>
        <w:rPr>
          <w:rStyle w:val="FontStyle18"/>
          <w:lang w:eastAsia="en-US"/>
        </w:rPr>
        <w:t xml:space="preserve">W związku z najnowszymi uwagami końcowymi Komitetu (pkt 16 i 18) proszę przedstawić sprawozdanie na temat wysiłków podjętych w celu zapobiegania wszelkim aktom rasizmu, ksenofobii, islamofobii, antysemityzmu i homofobii, w tym nawoływaniu do nienawiści w </w:t>
      </w:r>
      <w:proofErr w:type="spellStart"/>
      <w:r>
        <w:rPr>
          <w:rStyle w:val="FontStyle18"/>
          <w:lang w:eastAsia="en-US"/>
        </w:rPr>
        <w:t>internecie</w:t>
      </w:r>
      <w:proofErr w:type="spellEnd"/>
      <w:r>
        <w:rPr>
          <w:rStyle w:val="FontStyle18"/>
          <w:lang w:eastAsia="en-US"/>
        </w:rPr>
        <w:t>, oraz ich eliminowania, a także przedstawić dane statystyczne dotyczące liczby zgłoszeń i dochodzeń dotyczących takich aktów, a także wyników przeprowadzonych dochodzeń. Proszę przedstawić informacje na temat środków podjętych w celu zmiany przepisów chroniących przed przestępstwami z nienawiści, w tym art. 119 i 257 kodeksu karnego, zapewniających, że przestępstwa motywowane dyskryminacją z jakichkolwiek powodów zgodnie z Paktem są badane i ścigane jako kwalifikowane formy postępowania przestępczego. Proszę o udzielenie informacji na temat środków podjętych w celu zaradzenia ciągłemu wzrostowi ataków i przemocy wobec lesbijek, gejów, osób biseksualnych, transpłciowych i interseksualnych, w tym wrogiej i stygmatyzującej retoryki skierowanej przeciwko nim przez urzędników wysokiego szczebla, a także o skomentowanie uchwał władz lokalnych tworzących tzw. "strefy wolne od ideologii LGBTI", które rzekomo miały na celu zakazanie różnych działań dla lesbijek, gejów,  osoby biseksualne, transpłciowe i interseksualne, z których część rzekomo nadal obowiązuje.</w:t>
      </w:r>
    </w:p>
    <w:p w14:paraId="0D534010" w14:textId="11F5C1EA" w:rsidR="00495616" w:rsidRPr="000230B8" w:rsidRDefault="000230B8" w:rsidP="00CF689F">
      <w:pPr>
        <w:pStyle w:val="Style9"/>
        <w:widowControl/>
        <w:tabs>
          <w:tab w:val="left" w:pos="1704"/>
        </w:tabs>
        <w:spacing w:line="226" w:lineRule="exact"/>
        <w:rPr>
          <w:rStyle w:val="FontStyle18"/>
          <w:b/>
          <w:bCs/>
          <w:lang w:eastAsia="en-US"/>
        </w:rPr>
      </w:pPr>
      <w:bookmarkStart w:id="1" w:name="_Hlk203742173"/>
      <w:r>
        <w:rPr>
          <w:rStyle w:val="FontStyle18"/>
          <w:b/>
          <w:bCs/>
          <w:lang w:eastAsia="en-US"/>
        </w:rPr>
        <w:t xml:space="preserve">             </w:t>
      </w:r>
      <w:r w:rsidR="0033527D" w:rsidRPr="0033527D">
        <w:rPr>
          <w:rStyle w:val="FontStyle18"/>
          <w:b/>
          <w:bCs/>
          <w:lang w:eastAsia="en-US"/>
        </w:rPr>
        <w:t>(RPO, MS, PK</w:t>
      </w:r>
      <w:r w:rsidR="003F4425">
        <w:rPr>
          <w:rStyle w:val="FontStyle18"/>
          <w:b/>
          <w:bCs/>
          <w:lang w:eastAsia="en-US"/>
        </w:rPr>
        <w:t>, MSWiA, KGP</w:t>
      </w:r>
      <w:r w:rsidR="0033527D" w:rsidRPr="0033527D">
        <w:rPr>
          <w:rStyle w:val="FontStyle18"/>
          <w:b/>
          <w:bCs/>
          <w:lang w:eastAsia="en-US"/>
        </w:rPr>
        <w:t>)</w:t>
      </w:r>
      <w:bookmarkEnd w:id="1"/>
    </w:p>
    <w:p w14:paraId="366FCF2C" w14:textId="76768D2A" w:rsidR="0033527D" w:rsidRDefault="0080460B" w:rsidP="00CF689F">
      <w:pPr>
        <w:pStyle w:val="Style9"/>
        <w:widowControl/>
        <w:numPr>
          <w:ilvl w:val="0"/>
          <w:numId w:val="5"/>
        </w:numPr>
        <w:tabs>
          <w:tab w:val="left" w:pos="1704"/>
        </w:tabs>
        <w:spacing w:line="230" w:lineRule="exact"/>
        <w:ind w:left="993"/>
        <w:rPr>
          <w:rStyle w:val="FontStyle18"/>
          <w:lang w:eastAsia="en-US"/>
        </w:rPr>
      </w:pPr>
      <w:r>
        <w:rPr>
          <w:rStyle w:val="FontStyle18"/>
          <w:lang w:eastAsia="en-US"/>
        </w:rPr>
        <w:t>Proszę podać informacje na temat ram prawnych dotyczących prawnego uznania zmiany płci, w tym na temat tego, czy były jakiekolwiek skargi od osób transpłciowych dotyczące jej praktycznego stosowania. Prosimy o informowanie o środkach legislacyjnych i innych środkach podjętych w celu zakazania i ostrzeżenia społeczeństwa przed stosowaniem tak zwanej "terapii konwersyjnej".</w:t>
      </w:r>
    </w:p>
    <w:p w14:paraId="0131547E" w14:textId="5E03DDC6" w:rsidR="0033527D" w:rsidRPr="0033527D" w:rsidRDefault="0033527D" w:rsidP="00CF689F">
      <w:pPr>
        <w:pStyle w:val="Style9"/>
        <w:widowControl/>
        <w:tabs>
          <w:tab w:val="left" w:pos="1704"/>
        </w:tabs>
        <w:spacing w:line="226" w:lineRule="exact"/>
        <w:ind w:left="1128" w:hanging="135"/>
        <w:rPr>
          <w:rStyle w:val="FontStyle18"/>
          <w:b/>
          <w:bCs/>
          <w:lang w:eastAsia="en-US"/>
        </w:rPr>
      </w:pPr>
      <w:r w:rsidRPr="0033527D">
        <w:rPr>
          <w:rStyle w:val="FontStyle18"/>
          <w:b/>
          <w:bCs/>
          <w:lang w:eastAsia="en-US"/>
        </w:rPr>
        <w:t>(RPO, MS, PK)</w:t>
      </w:r>
    </w:p>
    <w:p w14:paraId="5BE77586" w14:textId="77777777" w:rsidR="0080460B" w:rsidRDefault="0080460B" w:rsidP="000230B8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14:paraId="00E1251F" w14:textId="77777777" w:rsidR="000230B8" w:rsidRDefault="000230B8" w:rsidP="000230B8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14:paraId="599479B6" w14:textId="77777777" w:rsidR="0080460B" w:rsidRDefault="0080460B" w:rsidP="000230B8">
      <w:pPr>
        <w:pStyle w:val="Style3"/>
        <w:widowControl/>
        <w:spacing w:before="5"/>
        <w:ind w:left="1142" w:hanging="149"/>
        <w:jc w:val="both"/>
        <w:rPr>
          <w:rStyle w:val="FontStyle19"/>
          <w:lang w:eastAsia="en-US"/>
        </w:rPr>
      </w:pPr>
      <w:r>
        <w:rPr>
          <w:rStyle w:val="FontStyle19"/>
          <w:lang w:eastAsia="en-US"/>
        </w:rPr>
        <w:t>Równość płci (art. 2, 3 i 26)</w:t>
      </w:r>
    </w:p>
    <w:p w14:paraId="6667AE4B" w14:textId="77777777" w:rsidR="00427099" w:rsidRPr="003F4425" w:rsidRDefault="00427099" w:rsidP="00383A0C">
      <w:pPr>
        <w:pStyle w:val="Style3"/>
        <w:widowControl/>
        <w:spacing w:before="5"/>
        <w:ind w:left="1142"/>
        <w:jc w:val="both"/>
        <w:rPr>
          <w:rStyle w:val="FontStyle19"/>
          <w:lang w:eastAsia="en-US"/>
        </w:rPr>
      </w:pPr>
    </w:p>
    <w:p w14:paraId="57D12A22" w14:textId="6758300C" w:rsidR="0033527D" w:rsidRDefault="0080460B" w:rsidP="00CF689F">
      <w:pPr>
        <w:pStyle w:val="Style9"/>
        <w:widowControl/>
        <w:numPr>
          <w:ilvl w:val="0"/>
          <w:numId w:val="7"/>
        </w:numPr>
        <w:tabs>
          <w:tab w:val="left" w:pos="1704"/>
        </w:tabs>
        <w:spacing w:line="230" w:lineRule="exact"/>
        <w:ind w:left="993"/>
        <w:rPr>
          <w:rStyle w:val="FontStyle18"/>
          <w:lang w:eastAsia="en-US"/>
        </w:rPr>
      </w:pPr>
      <w:r>
        <w:rPr>
          <w:rStyle w:val="FontStyle18"/>
          <w:lang w:eastAsia="en-US"/>
        </w:rPr>
        <w:t>Mając na uwadze ostatnie uwagi końcowe Komitetu (ust. 21), proszę o udzielenie informacji na temat środków podjętych przez Państwo-Stronę w celu osiągnięcia parytetu płci na rynku pracy i w życiu publicznym, w szczególności na stanowiskach kierowniczych, w tym reprezentacji kobiet w organach spółek oraz w polityce, służbie publicznej, sądownictwie, prokuraturze i środowisku akademickim,  i ocenić osiągnięte wyniki. Proszę podać informacje na temat tego, czy w okresie sprawozdawczym poczyniono postępy w zmniejszaniu zróżnicowania wynagrodzenia ze względu na płeć. Proszę opisać kroki podjęte w celu wyeliminowania uprzedzeń i stereotypów związanych z płcią</w:t>
      </w:r>
      <w:r w:rsidR="00682B3E">
        <w:rPr>
          <w:rStyle w:val="FontStyle18"/>
          <w:lang w:eastAsia="en-US"/>
        </w:rPr>
        <w:t>.</w:t>
      </w:r>
    </w:p>
    <w:p w14:paraId="697A52EE" w14:textId="442344B3" w:rsidR="0033527D" w:rsidRPr="0033527D" w:rsidRDefault="0033527D" w:rsidP="00CF689F">
      <w:pPr>
        <w:pStyle w:val="Style9"/>
        <w:widowControl/>
        <w:tabs>
          <w:tab w:val="left" w:pos="1704"/>
        </w:tabs>
        <w:spacing w:line="230" w:lineRule="exact"/>
        <w:ind w:left="1128" w:hanging="135"/>
        <w:rPr>
          <w:rStyle w:val="FontStyle18"/>
          <w:b/>
          <w:bCs/>
          <w:lang w:eastAsia="en-US"/>
        </w:rPr>
      </w:pPr>
      <w:r w:rsidRPr="0033527D">
        <w:rPr>
          <w:rStyle w:val="FontStyle18"/>
          <w:b/>
          <w:bCs/>
          <w:lang w:eastAsia="en-US"/>
        </w:rPr>
        <w:t>(</w:t>
      </w:r>
      <w:r w:rsidR="003F4425">
        <w:rPr>
          <w:rStyle w:val="FontStyle18"/>
          <w:b/>
          <w:bCs/>
          <w:lang w:eastAsia="en-US"/>
        </w:rPr>
        <w:t xml:space="preserve">MS, </w:t>
      </w:r>
      <w:proofErr w:type="spellStart"/>
      <w:r w:rsidRPr="0033527D">
        <w:rPr>
          <w:rStyle w:val="FontStyle18"/>
          <w:b/>
          <w:bCs/>
          <w:lang w:eastAsia="en-US"/>
        </w:rPr>
        <w:t>MRPiPS</w:t>
      </w:r>
      <w:proofErr w:type="spellEnd"/>
      <w:r w:rsidRPr="0033527D">
        <w:rPr>
          <w:rStyle w:val="FontStyle18"/>
          <w:b/>
          <w:bCs/>
          <w:lang w:eastAsia="en-US"/>
        </w:rPr>
        <w:t>)</w:t>
      </w:r>
    </w:p>
    <w:p w14:paraId="7F7CB3C4" w14:textId="77777777" w:rsidR="0033527D" w:rsidRPr="009B6986" w:rsidRDefault="0033527D" w:rsidP="00CF689F">
      <w:pPr>
        <w:pStyle w:val="Style9"/>
        <w:widowControl/>
        <w:tabs>
          <w:tab w:val="left" w:pos="1704"/>
        </w:tabs>
        <w:spacing w:line="230" w:lineRule="exact"/>
        <w:ind w:left="1128"/>
        <w:rPr>
          <w:rStyle w:val="FontStyle18"/>
          <w:lang w:eastAsia="en-US"/>
        </w:rPr>
      </w:pPr>
    </w:p>
    <w:p w14:paraId="27CB06BB" w14:textId="77777777" w:rsidR="0080460B" w:rsidRDefault="0080460B" w:rsidP="00383A0C">
      <w:pPr>
        <w:pStyle w:val="Style3"/>
        <w:widowControl/>
        <w:spacing w:line="240" w:lineRule="exact"/>
        <w:ind w:left="1133"/>
        <w:jc w:val="both"/>
        <w:rPr>
          <w:sz w:val="20"/>
          <w:szCs w:val="20"/>
        </w:rPr>
      </w:pPr>
    </w:p>
    <w:p w14:paraId="32CDE935" w14:textId="77777777" w:rsidR="0080460B" w:rsidRPr="009B6986" w:rsidRDefault="0080460B" w:rsidP="00383A0C">
      <w:pPr>
        <w:pStyle w:val="Style3"/>
        <w:widowControl/>
        <w:spacing w:before="5"/>
        <w:ind w:left="993"/>
        <w:jc w:val="both"/>
        <w:rPr>
          <w:rStyle w:val="FontStyle19"/>
          <w:lang w:eastAsia="en-US"/>
        </w:rPr>
      </w:pPr>
      <w:r>
        <w:rPr>
          <w:rStyle w:val="FontStyle19"/>
          <w:lang w:eastAsia="en-US"/>
        </w:rPr>
        <w:t>Przemoc wobec kobiet i przemoc domowa (art. 2-3,6-7 i 26)</w:t>
      </w:r>
    </w:p>
    <w:p w14:paraId="500AE09A" w14:textId="2808B372" w:rsidR="00523FCE" w:rsidRDefault="0080460B" w:rsidP="000230B8">
      <w:pPr>
        <w:pStyle w:val="Style9"/>
        <w:widowControl/>
        <w:numPr>
          <w:ilvl w:val="0"/>
          <w:numId w:val="8"/>
        </w:numPr>
        <w:tabs>
          <w:tab w:val="left" w:pos="1704"/>
        </w:tabs>
        <w:spacing w:before="125" w:line="226" w:lineRule="exact"/>
        <w:ind w:left="993"/>
        <w:rPr>
          <w:rStyle w:val="FontStyle18"/>
          <w:lang w:eastAsia="en-US"/>
        </w:rPr>
      </w:pPr>
      <w:r>
        <w:rPr>
          <w:rStyle w:val="FontStyle18"/>
          <w:lang w:eastAsia="en-US"/>
        </w:rPr>
        <w:t xml:space="preserve">Zgodnie z ostatnimi uwagami końcowymi Komitetu (ust. 20) proszę przedstawić sprawozdanie na temat konkretnych środków przyjętych w celu zapewnienia, by wszystkie akty przemocy wobec kobiet, w tym przemoc domowa, były dokładnie badane, by sprawcy tych czynów byli odpowiednio ścigani i karani, a ofiary otrzymywały pełne zadośćuczynienie, skuteczną ochronę i rehabilitację, w tym dostęp do specjalistycznych usług wsparcia finansowanych w sposób zrównoważony, a także  w </w:t>
      </w:r>
      <w:r>
        <w:rPr>
          <w:rStyle w:val="FontStyle18"/>
          <w:lang w:eastAsia="en-US"/>
        </w:rPr>
        <w:lastRenderedPageBreak/>
        <w:t>stosownych przypadkach, schronienia. W związku z tym proszę przedstawić dane statystyczne dotyczące liczby złożonych skarg, przeprowadzonych dochodzeń, wszczętych postępowań karnych, wydanych wyroków i środków zadośćuczynienia przyznanych ofiarom przemocy wobec kobiet. Proszę poinformować o krokach podjętych w celu przyjęcia kompleksowej strategii zapobiegania przemocy ze względu na płeć we wszystkich jej formach i przejawach, w tym przemocy seksualnej, gwałtom, molestowaniu i uporczywemu nękaniu, oraz o środkach podjętych w celu podniesienia świadomości wśród policji, wymiaru sprawiedliwości, prokuratorów i przedstawicieli społeczności oraz ogółu kobiet i mężczyzn na temat powagi przemocy domowej i jej szkodliwego wpływu na życie ofiar.</w:t>
      </w:r>
    </w:p>
    <w:p w14:paraId="4BBA876B" w14:textId="535D695B" w:rsidR="00523FCE" w:rsidRPr="003F4425" w:rsidRDefault="00523FCE" w:rsidP="00383A0C">
      <w:pPr>
        <w:pStyle w:val="Style9"/>
        <w:widowControl/>
        <w:tabs>
          <w:tab w:val="left" w:pos="1704"/>
        </w:tabs>
        <w:spacing w:before="125" w:line="226" w:lineRule="exact"/>
        <w:ind w:left="993"/>
        <w:rPr>
          <w:rStyle w:val="FontStyle18"/>
          <w:b/>
          <w:bCs/>
          <w:lang w:val="en-US" w:eastAsia="en-US"/>
        </w:rPr>
      </w:pPr>
      <w:r w:rsidRPr="003F4425">
        <w:rPr>
          <w:rStyle w:val="FontStyle18"/>
          <w:b/>
          <w:bCs/>
          <w:lang w:val="en-US" w:eastAsia="en-US"/>
        </w:rPr>
        <w:t xml:space="preserve">(PK, </w:t>
      </w:r>
      <w:proofErr w:type="spellStart"/>
      <w:r w:rsidRPr="003F4425">
        <w:rPr>
          <w:rStyle w:val="FontStyle18"/>
          <w:b/>
          <w:bCs/>
          <w:lang w:val="en-US" w:eastAsia="en-US"/>
        </w:rPr>
        <w:t>MRPiPS</w:t>
      </w:r>
      <w:proofErr w:type="spellEnd"/>
      <w:r w:rsidRPr="003F4425">
        <w:rPr>
          <w:rStyle w:val="FontStyle18"/>
          <w:b/>
          <w:bCs/>
          <w:lang w:val="en-US" w:eastAsia="en-US"/>
        </w:rPr>
        <w:t>, MS,</w:t>
      </w:r>
      <w:r w:rsidR="003F4425" w:rsidRPr="003F4425">
        <w:rPr>
          <w:rStyle w:val="FontStyle18"/>
          <w:b/>
          <w:bCs/>
          <w:lang w:val="en-US" w:eastAsia="en-US"/>
        </w:rPr>
        <w:t xml:space="preserve"> </w:t>
      </w:r>
      <w:proofErr w:type="spellStart"/>
      <w:r w:rsidR="003F4425" w:rsidRPr="003F4425">
        <w:rPr>
          <w:rStyle w:val="FontStyle18"/>
          <w:b/>
          <w:bCs/>
          <w:lang w:val="en-US" w:eastAsia="en-US"/>
        </w:rPr>
        <w:t>MSWiA</w:t>
      </w:r>
      <w:proofErr w:type="spellEnd"/>
      <w:r w:rsidR="003F4425" w:rsidRPr="003F4425">
        <w:rPr>
          <w:rStyle w:val="FontStyle18"/>
          <w:b/>
          <w:bCs/>
          <w:lang w:val="en-US" w:eastAsia="en-US"/>
        </w:rPr>
        <w:t>,</w:t>
      </w:r>
      <w:r w:rsidRPr="003F4425">
        <w:rPr>
          <w:rStyle w:val="FontStyle18"/>
          <w:b/>
          <w:bCs/>
          <w:lang w:val="en-US" w:eastAsia="en-US"/>
        </w:rPr>
        <w:t xml:space="preserve"> KGP)</w:t>
      </w:r>
    </w:p>
    <w:p w14:paraId="24427A6B" w14:textId="77777777" w:rsidR="00523FCE" w:rsidRPr="003F4425" w:rsidRDefault="00523FCE" w:rsidP="00383A0C">
      <w:pPr>
        <w:pStyle w:val="Style9"/>
        <w:widowControl/>
        <w:tabs>
          <w:tab w:val="left" w:pos="1704"/>
        </w:tabs>
        <w:spacing w:before="125" w:line="226" w:lineRule="exact"/>
        <w:ind w:left="1128"/>
        <w:rPr>
          <w:rStyle w:val="FontStyle18"/>
          <w:lang w:val="en-US" w:eastAsia="en-US"/>
        </w:rPr>
      </w:pPr>
    </w:p>
    <w:p w14:paraId="4848B0B1" w14:textId="734742B6" w:rsidR="0080460B" w:rsidRPr="009B6986" w:rsidRDefault="0080460B" w:rsidP="00383A0C">
      <w:pPr>
        <w:pStyle w:val="Style3"/>
        <w:widowControl/>
        <w:spacing w:before="235" w:line="235" w:lineRule="exact"/>
        <w:ind w:left="993" w:right="-132"/>
        <w:jc w:val="both"/>
        <w:rPr>
          <w:rStyle w:val="FontStyle19"/>
          <w:lang w:eastAsia="en-US"/>
        </w:rPr>
      </w:pPr>
      <w:r>
        <w:rPr>
          <w:rStyle w:val="FontStyle19"/>
          <w:lang w:eastAsia="en-US"/>
        </w:rPr>
        <w:t>Dobrowolne przerwanie ciąży a prawa seksualne i reprodukcyjne (art. 2,</w:t>
      </w:r>
      <w:r w:rsidR="0033527D">
        <w:rPr>
          <w:rStyle w:val="FontStyle19"/>
          <w:lang w:eastAsia="en-US"/>
        </w:rPr>
        <w:t xml:space="preserve"> </w:t>
      </w:r>
      <w:r>
        <w:rPr>
          <w:rStyle w:val="FontStyle19"/>
          <w:lang w:eastAsia="en-US"/>
        </w:rPr>
        <w:t>3, 6, 7, 8, 17</w:t>
      </w:r>
      <w:r w:rsidR="0033527D">
        <w:rPr>
          <w:rStyle w:val="FontStyle19"/>
          <w:lang w:eastAsia="en-US"/>
        </w:rPr>
        <w:t>,</w:t>
      </w:r>
      <w:r>
        <w:rPr>
          <w:rStyle w:val="FontStyle19"/>
          <w:lang w:eastAsia="en-US"/>
        </w:rPr>
        <w:t xml:space="preserve"> 26)</w:t>
      </w:r>
    </w:p>
    <w:p w14:paraId="618CAD31" w14:textId="79E514B5" w:rsidR="00AA790B" w:rsidRDefault="0080460B" w:rsidP="000230B8">
      <w:pPr>
        <w:pStyle w:val="Style9"/>
        <w:widowControl/>
        <w:numPr>
          <w:ilvl w:val="0"/>
          <w:numId w:val="9"/>
        </w:numPr>
        <w:tabs>
          <w:tab w:val="left" w:pos="571"/>
        </w:tabs>
        <w:spacing w:before="130" w:line="235" w:lineRule="exact"/>
        <w:ind w:left="993" w:right="10"/>
        <w:rPr>
          <w:rStyle w:val="FontStyle18"/>
          <w:lang w:eastAsia="en-US"/>
        </w:rPr>
      </w:pPr>
      <w:r>
        <w:rPr>
          <w:rStyle w:val="FontStyle18"/>
          <w:lang w:eastAsia="en-US"/>
        </w:rPr>
        <w:t xml:space="preserve">Proszę poinformować o postępach poczynionych w zapewnianiu dostępu do odpowiednich </w:t>
      </w:r>
      <w:r w:rsidR="0033527D">
        <w:rPr>
          <w:rStyle w:val="FontStyle18"/>
          <w:lang w:eastAsia="en-US"/>
        </w:rPr>
        <w:t xml:space="preserve">             </w:t>
      </w:r>
      <w:r>
        <w:rPr>
          <w:rStyle w:val="FontStyle18"/>
          <w:lang w:eastAsia="en-US"/>
        </w:rPr>
        <w:t xml:space="preserve">i przystępnych cenowo usług w zakresie zdrowia seksualnego i reprodukcyjnego dla wszystkich, zwłaszcza kobiet i młodzieży, w tym na obszarach wiejskich. W nawiązaniu do najnowszych uwag końcowych Komitetu (ust. 24) oraz oceny informacji na temat działań podjętych w związku z uwagami końcowymi do sprawozdania Państwa-Strony </w:t>
      </w:r>
      <w:hyperlink r:id="rId7" w:history="1">
        <w:r>
          <w:rPr>
            <w:rStyle w:val="Hipercze"/>
            <w:sz w:val="18"/>
            <w:szCs w:val="18"/>
            <w:lang w:eastAsia="en-US"/>
          </w:rPr>
          <w:t xml:space="preserve">(CCPR/C/128/3/Add.3), </w:t>
        </w:r>
      </w:hyperlink>
      <w:r>
        <w:rPr>
          <w:rStyle w:val="FontStyle18"/>
          <w:lang w:eastAsia="en-US"/>
        </w:rPr>
        <w:t>proszę opisać kroki podjęte w celu zapewnienia odpowiedniego dostępu do bezpiecznych usług aborcyjnych dla wszystkich, zapewniając, że jego ustawodawstwo nie skłania kobiet do uciekania się do potajemnych aborcji, które zagrażają ich życiu i zdrowiu,  m.in. w świetle wyroku Trybunału Konstytucyjnego z 22 października 2020 r., w którym stwierdzono, że aborcja z powodu "ciężkiej i nieodwracalnej wady płodu lub nieuleczalnej choroby zagrażającej życiu płodu" jest niezgodna z Konstytucją. Proszę również poinformować o wysiłkach podjętych w celu usunięcia istniejących barier w skutecznym dostępie kobiet i dziewcząt do bezpiecznej i legalnej aborcji, w tym poprzez zniesienie sankcji karnych wobec osób, które im pomagają, oraz poprzez zapewnienie, aby w praktyce sprzeciw sumienia pracowników służby zdrowia nie stanowił przeszkody dla bezpiecznej, legalnej i skutecznej aborcji.</w:t>
      </w:r>
    </w:p>
    <w:p w14:paraId="774A031C" w14:textId="5E8C7A58" w:rsidR="00AA790B" w:rsidRPr="00AA790B" w:rsidRDefault="00AA790B" w:rsidP="00383A0C">
      <w:pPr>
        <w:pStyle w:val="Style9"/>
        <w:widowControl/>
        <w:tabs>
          <w:tab w:val="left" w:pos="571"/>
        </w:tabs>
        <w:spacing w:before="130" w:line="235" w:lineRule="exact"/>
        <w:ind w:left="851" w:right="10" w:firstLine="142"/>
        <w:rPr>
          <w:rStyle w:val="FontStyle18"/>
          <w:b/>
          <w:bCs/>
          <w:lang w:eastAsia="en-US"/>
        </w:rPr>
      </w:pPr>
      <w:r w:rsidRPr="00AA790B">
        <w:rPr>
          <w:rStyle w:val="FontStyle18"/>
          <w:b/>
          <w:bCs/>
          <w:lang w:eastAsia="en-US"/>
        </w:rPr>
        <w:t>(</w:t>
      </w:r>
      <w:r w:rsidR="003F4425">
        <w:rPr>
          <w:rStyle w:val="FontStyle18"/>
          <w:b/>
          <w:bCs/>
          <w:lang w:eastAsia="en-US"/>
        </w:rPr>
        <w:t xml:space="preserve">MS, </w:t>
      </w:r>
      <w:r w:rsidRPr="00AA790B">
        <w:rPr>
          <w:rStyle w:val="FontStyle18"/>
          <w:b/>
          <w:bCs/>
          <w:lang w:eastAsia="en-US"/>
        </w:rPr>
        <w:t>MZ)</w:t>
      </w:r>
    </w:p>
    <w:p w14:paraId="058A571D" w14:textId="77777777" w:rsidR="00AA790B" w:rsidRPr="009B6986" w:rsidRDefault="00AA790B" w:rsidP="00383A0C">
      <w:pPr>
        <w:pStyle w:val="Style9"/>
        <w:widowControl/>
        <w:tabs>
          <w:tab w:val="left" w:pos="571"/>
        </w:tabs>
        <w:spacing w:before="130" w:line="235" w:lineRule="exact"/>
        <w:ind w:left="1128" w:right="10"/>
        <w:rPr>
          <w:rStyle w:val="FontStyle18"/>
          <w:lang w:eastAsia="en-US"/>
        </w:rPr>
      </w:pPr>
    </w:p>
    <w:p w14:paraId="0B3DAB48" w14:textId="77777777" w:rsidR="0080460B" w:rsidRPr="009B6986" w:rsidRDefault="0080460B" w:rsidP="00383A0C">
      <w:pPr>
        <w:pStyle w:val="Style3"/>
        <w:widowControl/>
        <w:spacing w:before="240" w:line="240" w:lineRule="exact"/>
        <w:ind w:left="993" w:right="10"/>
        <w:jc w:val="both"/>
        <w:rPr>
          <w:rStyle w:val="FontStyle19"/>
          <w:lang w:eastAsia="en-US"/>
        </w:rPr>
      </w:pPr>
      <w:r>
        <w:rPr>
          <w:rStyle w:val="FontStyle19"/>
          <w:lang w:eastAsia="en-US"/>
        </w:rPr>
        <w:t>Wolność i bezpieczeństwo osobiste oraz traktowanie osób pozbawionych wolności (art. 9 i 10)</w:t>
      </w:r>
    </w:p>
    <w:p w14:paraId="57E092F7" w14:textId="77777777" w:rsidR="0080460B" w:rsidRPr="009B6986" w:rsidRDefault="0080460B" w:rsidP="00383A0C">
      <w:pPr>
        <w:pStyle w:val="Style9"/>
        <w:widowControl/>
        <w:numPr>
          <w:ilvl w:val="0"/>
          <w:numId w:val="10"/>
        </w:numPr>
        <w:tabs>
          <w:tab w:val="left" w:pos="571"/>
        </w:tabs>
        <w:spacing w:before="125"/>
        <w:ind w:left="993" w:right="10"/>
        <w:rPr>
          <w:rStyle w:val="FontStyle18"/>
          <w:lang w:eastAsia="en-US"/>
        </w:rPr>
      </w:pPr>
      <w:r>
        <w:rPr>
          <w:rStyle w:val="FontStyle18"/>
          <w:lang w:eastAsia="en-US"/>
        </w:rPr>
        <w:t>Proszę wskazać wszystkie środki, które są stosowane w celu zapewnienia pełnego poszanowania podstawowych gwarancji proceduralnych, w szczególności prawa do natychmiastowego dostępu do adwokata od początku pozbawienia wolności oraz prawa do dostępu do badań lekarskich dla wszystkich osób zatrzymanych, w tym dla osób przebywających w areszcie śledczym. Proszę opisać ramy prawne dotyczące zasad kontaktów osób pozbawionych wolności z członkami ich rodzin, w tym nowelizację Kodeksu karnego wykonawczego, która weszła w życie 1 stycznia 2023 r. Proszę o udzielenie informacji na temat wprowadzenia do kodeksu karnego od 1 października 2023 r. możliwości zakazania przez sądy warunkowego przedterminowego zwolnienia więźniów odbywających karę dożywotniego pozbawienia wolności oraz opisanie jej zgodności z międzynarodowymi standardami dotyczącymi zakazu okrutnego i nieludzkiego karania.</w:t>
      </w:r>
    </w:p>
    <w:p w14:paraId="4BAD9D95" w14:textId="44016910" w:rsidR="00E058E1" w:rsidRDefault="0080460B" w:rsidP="000230B8">
      <w:pPr>
        <w:pStyle w:val="Style9"/>
        <w:widowControl/>
        <w:numPr>
          <w:ilvl w:val="0"/>
          <w:numId w:val="10"/>
        </w:numPr>
        <w:tabs>
          <w:tab w:val="left" w:pos="571"/>
        </w:tabs>
        <w:spacing w:before="120" w:line="235" w:lineRule="exact"/>
        <w:ind w:left="993" w:right="10"/>
        <w:rPr>
          <w:rStyle w:val="FontStyle18"/>
          <w:lang w:eastAsia="en-US"/>
        </w:rPr>
      </w:pPr>
      <w:r>
        <w:rPr>
          <w:rStyle w:val="FontStyle18"/>
          <w:lang w:eastAsia="en-US"/>
        </w:rPr>
        <w:t xml:space="preserve">W świetle najnowszych uwag końcowych Komisji Petycji (ust. 30) proszę omówić podjęte środki i ich skutki: a) skrócenie czasu trwania aresztu </w:t>
      </w:r>
      <w:proofErr w:type="spellStart"/>
      <w:r>
        <w:rPr>
          <w:rStyle w:val="FontStyle18"/>
          <w:lang w:eastAsia="en-US"/>
        </w:rPr>
        <w:t>przedprocesowego</w:t>
      </w:r>
      <w:proofErr w:type="spellEnd"/>
      <w:r>
        <w:rPr>
          <w:rStyle w:val="FontStyle18"/>
          <w:lang w:eastAsia="en-US"/>
        </w:rPr>
        <w:t xml:space="preserve">, w tym poprzez ustanowienie określonego ograniczenia czasowego dla tymczasowego aresztowania; oraz b) zwiększenie stosowania środków i kar niepolegających na pozbawieniu wolności zgodnie ze Standardowymi regułami minimalnymi ONZ dotyczącymi środków niepolegających na pozbawieniu wolności (Reguły Tokijskie). Proszę podać zaktualizowane dane statystyczne dotyczące liczby osób tymczasowo aresztowanych, w tym osób przetrzymywanych na posterunkach policji, oraz odsetka, jaki stanowią oni w ogólnej liczbie osób pozbawionych wolności, a także średniego i maksymalnego czasu trwania aresztu </w:t>
      </w:r>
      <w:proofErr w:type="spellStart"/>
      <w:r>
        <w:rPr>
          <w:rStyle w:val="FontStyle18"/>
          <w:lang w:eastAsia="en-US"/>
        </w:rPr>
        <w:t>przedprocesowego</w:t>
      </w:r>
      <w:proofErr w:type="spellEnd"/>
      <w:r>
        <w:rPr>
          <w:rStyle w:val="FontStyle18"/>
          <w:lang w:eastAsia="en-US"/>
        </w:rPr>
        <w:t xml:space="preserve"> w okresie sprawozdawczym.</w:t>
      </w:r>
    </w:p>
    <w:p w14:paraId="69092EF9" w14:textId="08760E30" w:rsidR="00E058E1" w:rsidRPr="00E058E1" w:rsidRDefault="00E058E1" w:rsidP="000230B8">
      <w:pPr>
        <w:pStyle w:val="Style9"/>
        <w:widowControl/>
        <w:tabs>
          <w:tab w:val="left" w:pos="571"/>
        </w:tabs>
        <w:spacing w:before="120" w:line="235" w:lineRule="exact"/>
        <w:ind w:left="1128" w:right="10" w:hanging="135"/>
        <w:rPr>
          <w:rStyle w:val="FontStyle18"/>
          <w:b/>
          <w:bCs/>
          <w:lang w:eastAsia="en-US"/>
        </w:rPr>
      </w:pPr>
      <w:r w:rsidRPr="00E058E1">
        <w:rPr>
          <w:rStyle w:val="FontStyle18"/>
          <w:b/>
          <w:bCs/>
          <w:lang w:eastAsia="en-US"/>
        </w:rPr>
        <w:t>(MS, SW, PK</w:t>
      </w:r>
      <w:r w:rsidR="003F4425">
        <w:rPr>
          <w:rStyle w:val="FontStyle18"/>
          <w:b/>
          <w:bCs/>
          <w:lang w:eastAsia="en-US"/>
        </w:rPr>
        <w:t>, MSWiA,</w:t>
      </w:r>
      <w:r w:rsidRPr="00E058E1">
        <w:rPr>
          <w:rStyle w:val="FontStyle18"/>
          <w:b/>
          <w:bCs/>
          <w:lang w:eastAsia="en-US"/>
        </w:rPr>
        <w:t xml:space="preserve"> KGP)</w:t>
      </w:r>
    </w:p>
    <w:p w14:paraId="0333AD32" w14:textId="77777777" w:rsidR="00E058E1" w:rsidRPr="009B6986" w:rsidRDefault="00E058E1" w:rsidP="00383A0C">
      <w:pPr>
        <w:pStyle w:val="Style9"/>
        <w:widowControl/>
        <w:tabs>
          <w:tab w:val="left" w:pos="571"/>
        </w:tabs>
        <w:spacing w:before="120" w:line="235" w:lineRule="exact"/>
        <w:ind w:left="1128" w:right="10"/>
        <w:rPr>
          <w:rStyle w:val="FontStyle18"/>
          <w:lang w:eastAsia="en-US"/>
        </w:rPr>
      </w:pPr>
    </w:p>
    <w:p w14:paraId="1E35C62D" w14:textId="77777777" w:rsidR="0080460B" w:rsidRDefault="0080460B" w:rsidP="00383A0C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14:paraId="558D9C3C" w14:textId="18CDDF14" w:rsidR="00AA790B" w:rsidRPr="009B6986" w:rsidRDefault="0080460B" w:rsidP="00846DDA">
      <w:pPr>
        <w:pStyle w:val="Style3"/>
        <w:widowControl/>
        <w:spacing w:before="5"/>
        <w:ind w:left="408" w:firstLine="585"/>
        <w:jc w:val="both"/>
        <w:rPr>
          <w:rStyle w:val="FontStyle19"/>
          <w:lang w:eastAsia="en-US"/>
        </w:rPr>
      </w:pPr>
      <w:r>
        <w:rPr>
          <w:rStyle w:val="FontStyle19"/>
          <w:lang w:eastAsia="en-US"/>
        </w:rPr>
        <w:t>Eliminacja niewolnictwa</w:t>
      </w:r>
      <w:r w:rsidR="003C0501">
        <w:rPr>
          <w:rStyle w:val="FontStyle19"/>
          <w:lang w:eastAsia="en-US"/>
        </w:rPr>
        <w:t xml:space="preserve"> </w:t>
      </w:r>
      <w:r>
        <w:rPr>
          <w:rStyle w:val="FontStyle19"/>
          <w:lang w:eastAsia="en-US"/>
        </w:rPr>
        <w:t>i handlu ludźmi (art. 2, 7, 8 i 26)</w:t>
      </w:r>
    </w:p>
    <w:p w14:paraId="1D30D5EE" w14:textId="08CC6C4C" w:rsidR="00E058E1" w:rsidRDefault="0080460B" w:rsidP="00881B7E">
      <w:pPr>
        <w:pStyle w:val="Style9"/>
        <w:widowControl/>
        <w:numPr>
          <w:ilvl w:val="0"/>
          <w:numId w:val="11"/>
        </w:numPr>
        <w:tabs>
          <w:tab w:val="left" w:pos="571"/>
        </w:tabs>
        <w:spacing w:before="125"/>
        <w:ind w:left="993" w:right="10"/>
        <w:rPr>
          <w:rStyle w:val="FontStyle18"/>
          <w:lang w:eastAsia="en-US"/>
        </w:rPr>
      </w:pPr>
      <w:r>
        <w:rPr>
          <w:rStyle w:val="FontStyle18"/>
          <w:lang w:eastAsia="en-US"/>
        </w:rPr>
        <w:t xml:space="preserve">Przywołując poprzednie zalecenie Komitetu (ust. 28), proszę o udzielenie informacji na temat: a) środków podjętych w celu poprawy identyfikacji ofiar i zapewnienia im podstawowej pomocy materialnej, w tym schronisk, wsparcia psychospołecznego i ochrony prawnej, w tym na temat tego, czy </w:t>
      </w:r>
      <w:r>
        <w:rPr>
          <w:rStyle w:val="FontStyle18"/>
          <w:lang w:eastAsia="en-US"/>
        </w:rPr>
        <w:lastRenderedPageBreak/>
        <w:t>istnieją jakiekolwiek przepisy zapobiegające karaniu osób będących ofiarami handlu ludźmi za czyny niezgodne z prawem, do których zostali zmuszeni handlarze ludźmi; b) czy istnieje mechanizm identyfikacji osób wymagających szczególnego traktowania w przepływie migracyjnym, w tym małoletnich bez opieki, którzy są szczególnie narażeni na handel ludźmi; oraz c) wszelkie środki legislacyjne podjęte w celu odpowiedniego zdefiniowania pracy przymusowej w kodeksie karnym. Proszę przedstawić aktualne dane statystyczne dotyczące liczby zarzutów handlu ludźmi, liczby uznanych ofiar, liczby dochodzeń i postępowań karnych oraz wszelkich wyroków skazujących, a także wszelkich środków zaradczych, w tym odszkodowań, przyznanych ofiarom.</w:t>
      </w:r>
    </w:p>
    <w:p w14:paraId="11955BE8" w14:textId="01CB864A" w:rsidR="00E058E1" w:rsidRPr="00B07868" w:rsidRDefault="00CF689F" w:rsidP="00881B7E">
      <w:pPr>
        <w:pStyle w:val="Style9"/>
        <w:widowControl/>
        <w:tabs>
          <w:tab w:val="left" w:pos="571"/>
        </w:tabs>
        <w:spacing w:before="125"/>
        <w:ind w:left="1128" w:right="10" w:hanging="135"/>
        <w:rPr>
          <w:rStyle w:val="FontStyle18"/>
          <w:b/>
          <w:bCs/>
          <w:lang w:eastAsia="en-US"/>
        </w:rPr>
      </w:pPr>
      <w:r>
        <w:rPr>
          <w:rStyle w:val="FontStyle18"/>
          <w:b/>
          <w:bCs/>
          <w:lang w:eastAsia="en-US"/>
        </w:rPr>
        <w:t>(</w:t>
      </w:r>
      <w:r w:rsidR="00B07868" w:rsidRPr="00B07868">
        <w:rPr>
          <w:rStyle w:val="FontStyle18"/>
          <w:b/>
          <w:bCs/>
          <w:lang w:eastAsia="en-US"/>
        </w:rPr>
        <w:t>MSWiA, MS, PK</w:t>
      </w:r>
      <w:r>
        <w:rPr>
          <w:rStyle w:val="FontStyle18"/>
          <w:b/>
          <w:bCs/>
          <w:lang w:eastAsia="en-US"/>
        </w:rPr>
        <w:t>)</w:t>
      </w:r>
    </w:p>
    <w:p w14:paraId="0256E62F" w14:textId="77777777" w:rsidR="00E058E1" w:rsidRDefault="00E058E1" w:rsidP="00383A0C">
      <w:pPr>
        <w:pStyle w:val="Style9"/>
        <w:widowControl/>
        <w:tabs>
          <w:tab w:val="left" w:pos="571"/>
        </w:tabs>
        <w:spacing w:before="125"/>
        <w:ind w:left="1128" w:right="10"/>
        <w:rPr>
          <w:rStyle w:val="FontStyle18"/>
          <w:lang w:eastAsia="en-US"/>
        </w:rPr>
      </w:pPr>
    </w:p>
    <w:p w14:paraId="4EE93866" w14:textId="77777777" w:rsidR="00AA790B" w:rsidRPr="009B6986" w:rsidRDefault="00AA790B" w:rsidP="00383A0C">
      <w:pPr>
        <w:pStyle w:val="Style9"/>
        <w:widowControl/>
        <w:tabs>
          <w:tab w:val="left" w:pos="571"/>
        </w:tabs>
        <w:spacing w:before="125"/>
        <w:ind w:left="1128" w:right="1118"/>
        <w:rPr>
          <w:rStyle w:val="FontStyle18"/>
          <w:lang w:eastAsia="en-US"/>
        </w:rPr>
      </w:pPr>
    </w:p>
    <w:p w14:paraId="0FC29405" w14:textId="2CF3CB52" w:rsidR="00AA790B" w:rsidRPr="009B6986" w:rsidRDefault="0080460B" w:rsidP="00846DDA">
      <w:pPr>
        <w:pStyle w:val="Style3"/>
        <w:widowControl/>
        <w:spacing w:before="48" w:line="240" w:lineRule="exact"/>
        <w:ind w:left="993"/>
        <w:jc w:val="both"/>
        <w:rPr>
          <w:rStyle w:val="FontStyle19"/>
          <w:lang w:eastAsia="en-US"/>
        </w:rPr>
      </w:pPr>
      <w:r>
        <w:rPr>
          <w:rStyle w:val="FontStyle19"/>
          <w:lang w:eastAsia="en-US"/>
        </w:rPr>
        <w:t>Traktowanie cudzoziemców, w tym migrantów, uchodźców, osób ubiegających się o azyl i bezpaństwowców (art. 6, 7, 9, 12, 13 i 24)</w:t>
      </w:r>
    </w:p>
    <w:p w14:paraId="32BB2038" w14:textId="77777777" w:rsidR="0080460B" w:rsidRPr="009B6986" w:rsidRDefault="0080460B" w:rsidP="00881B7E">
      <w:pPr>
        <w:pStyle w:val="Style9"/>
        <w:widowControl/>
        <w:numPr>
          <w:ilvl w:val="0"/>
          <w:numId w:val="12"/>
        </w:numPr>
        <w:tabs>
          <w:tab w:val="left" w:pos="1699"/>
        </w:tabs>
        <w:spacing w:before="125" w:line="235" w:lineRule="exact"/>
        <w:ind w:left="993"/>
        <w:rPr>
          <w:rStyle w:val="FontStyle18"/>
          <w:lang w:eastAsia="en-US"/>
        </w:rPr>
      </w:pPr>
      <w:r>
        <w:rPr>
          <w:rStyle w:val="FontStyle18"/>
          <w:lang w:eastAsia="en-US"/>
        </w:rPr>
        <w:t>Proszę o udzielenie informacji na temat środków ustawodawczych przyjętych od 2021 r. w odniesieniu do wjazdu na terytorium i dostępu do ochrony międzynarodowej oraz o omówienie zgodności takich zmian ze zobowiązaniami państwa-strony wynikającymi z prawa międzynarodowego, w tym z pełnym poszanowaniem zasady non-</w:t>
      </w:r>
      <w:proofErr w:type="spellStart"/>
      <w:r>
        <w:rPr>
          <w:rStyle w:val="FontStyle18"/>
          <w:lang w:eastAsia="en-US"/>
        </w:rPr>
        <w:t>refoulement</w:t>
      </w:r>
      <w:proofErr w:type="spellEnd"/>
      <w:r>
        <w:rPr>
          <w:rStyle w:val="FontStyle18"/>
          <w:lang w:eastAsia="en-US"/>
        </w:rPr>
        <w:t>. Proszę reagować na doniesienia o doraźnych powrotach i złym traktowaniu, w niektórych przypadkach prowadzącym do zaginięcia lub śmierci, osób ubiegających się o ochronę międzynarodową, które zostały zatrzymane na granicy z Białorusią z naruszeniem zasady non-</w:t>
      </w:r>
      <w:proofErr w:type="spellStart"/>
      <w:r>
        <w:rPr>
          <w:rStyle w:val="FontStyle18"/>
          <w:lang w:eastAsia="en-US"/>
        </w:rPr>
        <w:t>refoulement</w:t>
      </w:r>
      <w:proofErr w:type="spellEnd"/>
      <w:r>
        <w:rPr>
          <w:rStyle w:val="FontStyle18"/>
          <w:lang w:eastAsia="en-US"/>
        </w:rPr>
        <w:t>, a także o odmowie dostępu dla podmiotów świadczących pomoc humanitarną. Proszę przedstawić informacje na temat obowiązujących zabezpieczeń zapewniających skuteczny dostęp do zastępstwa prawnego i procedur odwoławczych od decyzji o udzieleniu azylu i deportacji, w tym decyzji o zastosowaniu środka detencyjnego.</w:t>
      </w:r>
    </w:p>
    <w:p w14:paraId="4FCFC17C" w14:textId="77777777" w:rsidR="0080460B" w:rsidRPr="009B6986" w:rsidRDefault="0080460B" w:rsidP="00881B7E">
      <w:pPr>
        <w:pStyle w:val="Style9"/>
        <w:widowControl/>
        <w:numPr>
          <w:ilvl w:val="0"/>
          <w:numId w:val="12"/>
        </w:numPr>
        <w:tabs>
          <w:tab w:val="left" w:pos="1699"/>
        </w:tabs>
        <w:spacing w:before="125" w:line="235" w:lineRule="exact"/>
        <w:ind w:left="993"/>
        <w:rPr>
          <w:rStyle w:val="FontStyle18"/>
          <w:lang w:eastAsia="en-US"/>
        </w:rPr>
      </w:pPr>
      <w:r>
        <w:rPr>
          <w:rStyle w:val="FontStyle18"/>
          <w:lang w:eastAsia="en-US"/>
        </w:rPr>
        <w:t>Proszę ustosunkować się do doniesień o systematycznym i długotrwałym przetrzymywaniu migrantów i osób ubiegających się o azyl na granicy państwa-strony z Białorusią oraz udzielić informacji na temat wdrażania alternatyw dla zatrzymania, w szczególności w odniesieniu do osób o szczególnych potrzebach, w tym dzieci, zgodnie z art. 317 ustawy o cudzoziemcach i art. 88 ustawy o udzielaniu ochrony międzynarodowej. W świetle najnowszych uwag końcowych Komitetu (ust. 32) proszę przedstawić sprawozdanie na temat wysiłków podjętych w celu zapewnienia, by dzieci ubiegające się o azyl nie były pozbawiane wolności, chyba że w ostateczności i na możliwie najkrótszy odpowiedni okres, z uwzględnieniem ich najlepszego interesu. Proszę podać dane dotyczące liczby dzieci ubiegających się o azyl pod opieką, a także dzieci bez opieki przetrzymywanych w ośrodku detencyjnym w okresie sprawozdawczym, wskazując również czas trwania ich zatrzymania.</w:t>
      </w:r>
    </w:p>
    <w:p w14:paraId="703E9446" w14:textId="77777777" w:rsidR="0080460B" w:rsidRDefault="0080460B" w:rsidP="00881B7E">
      <w:pPr>
        <w:pStyle w:val="Style9"/>
        <w:widowControl/>
        <w:numPr>
          <w:ilvl w:val="0"/>
          <w:numId w:val="12"/>
        </w:numPr>
        <w:tabs>
          <w:tab w:val="left" w:pos="1699"/>
        </w:tabs>
        <w:spacing w:before="125"/>
        <w:ind w:left="993"/>
        <w:rPr>
          <w:rStyle w:val="FontStyle18"/>
          <w:lang w:eastAsia="en-US"/>
        </w:rPr>
      </w:pPr>
      <w:r>
        <w:rPr>
          <w:rStyle w:val="FontStyle18"/>
          <w:lang w:eastAsia="en-US"/>
        </w:rPr>
        <w:t>Proszę skomentować doniesienia, że osoby ubiegające się o azyl są często przetrzymywane w przepełnionych, zamkniętych ośrodkach, gdzie nie ma odpowiedniego dostępu do odpowiedniej opieki medycznej lub pomocy prawnej, a także są narażone na znęcanie się psychiczne ze strony strażników. Proszę przedstawić informacje na temat środków kontroli przesiewowej stosowanych w celu zapewnienia identyfikacji osób wymagających szczególnego traktowania, w tym ofiar handlu ludźmi i przemocy, oraz zapewnić im odpowiednią pomoc. Proszę przedstawić informacje na temat środków podjętych lub planowanych w celu ustanowienia procedury stwierdzania bezpaństwowości.</w:t>
      </w:r>
    </w:p>
    <w:p w14:paraId="49736648" w14:textId="64882347" w:rsidR="009F5DD6" w:rsidRPr="009F5DD6" w:rsidRDefault="00881B7E" w:rsidP="00881B7E">
      <w:pPr>
        <w:pStyle w:val="Style9"/>
        <w:widowControl/>
        <w:tabs>
          <w:tab w:val="left" w:pos="1134"/>
        </w:tabs>
        <w:spacing w:before="125"/>
        <w:ind w:left="1276" w:hanging="425"/>
        <w:rPr>
          <w:rStyle w:val="FontStyle18"/>
          <w:b/>
          <w:bCs/>
          <w:lang w:eastAsia="en-US"/>
        </w:rPr>
      </w:pPr>
      <w:r>
        <w:rPr>
          <w:rStyle w:val="FontStyle18"/>
          <w:lang w:eastAsia="en-US"/>
        </w:rPr>
        <w:t xml:space="preserve">  </w:t>
      </w:r>
      <w:r w:rsidR="009F5DD6" w:rsidRPr="009F5DD6">
        <w:rPr>
          <w:rStyle w:val="FontStyle18"/>
          <w:b/>
          <w:bCs/>
          <w:lang w:eastAsia="en-US"/>
        </w:rPr>
        <w:t>[MSWiA, SG (pkt 14), UDSC, MSWiA, MSZ (pkt 15, 16)]</w:t>
      </w:r>
    </w:p>
    <w:p w14:paraId="6EAD60BE" w14:textId="77777777" w:rsidR="009F5DD6" w:rsidRPr="009B6986" w:rsidRDefault="009F5DD6" w:rsidP="00383A0C">
      <w:pPr>
        <w:pStyle w:val="Style9"/>
        <w:widowControl/>
        <w:tabs>
          <w:tab w:val="left" w:pos="1699"/>
        </w:tabs>
        <w:spacing w:before="125"/>
        <w:ind w:left="1109"/>
        <w:rPr>
          <w:rStyle w:val="FontStyle18"/>
          <w:lang w:eastAsia="en-US"/>
        </w:rPr>
      </w:pPr>
    </w:p>
    <w:p w14:paraId="2BCB46A7" w14:textId="77777777" w:rsidR="0080460B" w:rsidRPr="009B6986" w:rsidRDefault="0080460B" w:rsidP="00881B7E">
      <w:pPr>
        <w:pStyle w:val="Style3"/>
        <w:widowControl/>
        <w:spacing w:before="235" w:line="240" w:lineRule="exact"/>
        <w:ind w:left="993"/>
        <w:jc w:val="both"/>
        <w:rPr>
          <w:rStyle w:val="FontStyle19"/>
          <w:lang w:eastAsia="en-US"/>
        </w:rPr>
      </w:pPr>
      <w:r>
        <w:rPr>
          <w:rStyle w:val="FontStyle19"/>
          <w:lang w:eastAsia="en-US"/>
        </w:rPr>
        <w:t>Dostęp do wymiaru sprawiedliwości, niezawisłość sądownictwa i prawo do rzetelnego procesu sądowego (art. 2, 9 i 14)</w:t>
      </w:r>
    </w:p>
    <w:p w14:paraId="30624D02" w14:textId="77777777" w:rsidR="0080460B" w:rsidRPr="009B6986" w:rsidRDefault="0080460B" w:rsidP="00881B7E">
      <w:pPr>
        <w:pStyle w:val="Style9"/>
        <w:widowControl/>
        <w:numPr>
          <w:ilvl w:val="0"/>
          <w:numId w:val="13"/>
        </w:numPr>
        <w:tabs>
          <w:tab w:val="left" w:pos="1699"/>
        </w:tabs>
        <w:spacing w:before="125"/>
        <w:ind w:left="993"/>
        <w:rPr>
          <w:rStyle w:val="FontStyle18"/>
          <w:lang w:eastAsia="en-US"/>
        </w:rPr>
      </w:pPr>
      <w:r>
        <w:rPr>
          <w:rStyle w:val="FontStyle18"/>
          <w:lang w:eastAsia="en-US"/>
        </w:rPr>
        <w:t>Przywołując wcześniejsze uwagi końcowe Komitetu (ust. 33 i 34), proszę wyjaśnić, w jaki sposób Państwo-Strona gwarantuje w prawie i w praktyce prawo do rzetelnego procesu sądowego bez zbędnej zwłoki, w pełnej zgodności z artykułem 14 Paktu i ogólnym komentarzem Komitetu nr 32 (2007). Proszę poinformować o środkach podjętych w celu zapewnienia skutecznego dostępu do bezpłatnej pomocy prawnej, od początku zatrzymania, wszystkim osobom, które nie dysponują wystarczającymi środkami, oraz aby wszelka korespondencja między obrońcą a oskarżonym pozostała poufna. Proszę odnieść się do doniesień, że adwokaci napotykają przeszkody w przygotowaniu obrony swoich klientów, w szczególności że odmawia się im dostępu do klientów i informacji o klientach, w tym w przypadku zatrzymań i zatrzymań podczas protestów publicznych i podczas tymczasowego aresztowania, a także że w sprawach dotyczących tymczasowego aresztowania często nie przyznaje się im wystarczająco dużo czasu na przygotowanie postępowania sądowego w pierwszej instancji.</w:t>
      </w:r>
    </w:p>
    <w:p w14:paraId="4631257C" w14:textId="77777777" w:rsidR="0080460B" w:rsidRPr="009B6986" w:rsidRDefault="0080460B" w:rsidP="00881B7E">
      <w:pPr>
        <w:pStyle w:val="Style9"/>
        <w:widowControl/>
        <w:numPr>
          <w:ilvl w:val="0"/>
          <w:numId w:val="13"/>
        </w:numPr>
        <w:tabs>
          <w:tab w:val="left" w:pos="1699"/>
        </w:tabs>
        <w:spacing w:before="120"/>
        <w:ind w:left="993"/>
        <w:rPr>
          <w:rStyle w:val="FontStyle18"/>
          <w:lang w:eastAsia="en-US"/>
        </w:rPr>
      </w:pPr>
      <w:r>
        <w:rPr>
          <w:rStyle w:val="FontStyle18"/>
          <w:lang w:eastAsia="en-US"/>
        </w:rPr>
        <w:lastRenderedPageBreak/>
        <w:t>Przywołując najnowsze uwagi końcowe Komitetu (ust. 8 i 34) oraz ocenę informacji na temat działań podjętych w związku z uwagami końcowymi do sprawozdania Państwa-Strony (CCPR/C/128/3/Add.3), proszę opisać kroki podjęte w celu zapewnienia, pod względem prawnym i praktycznym, pełnej niezawisłości i bezstronności sądownictwa i prokuratury,  w tym Trybunału Konstytucyjnego. Proszę o przedstawienie informacji na temat środków mających na celu zapewnienie pełnego wykonania wyroków Trybunału Konstytucyjnego oraz wyjaśnienie, w jaki sposób Państwo-Strona zamierza odnieść się do wyroków wydanych przez nieprawidłowo powołane składy orzekające Trybunału Konstytucyjnego.</w:t>
      </w:r>
    </w:p>
    <w:p w14:paraId="6677E521" w14:textId="77777777" w:rsidR="0080460B" w:rsidRPr="009B6986" w:rsidRDefault="0080460B" w:rsidP="00881B7E">
      <w:pPr>
        <w:pStyle w:val="Style9"/>
        <w:widowControl/>
        <w:numPr>
          <w:ilvl w:val="0"/>
          <w:numId w:val="13"/>
        </w:numPr>
        <w:tabs>
          <w:tab w:val="left" w:pos="1699"/>
        </w:tabs>
        <w:spacing w:before="120"/>
        <w:ind w:left="993"/>
        <w:rPr>
          <w:rStyle w:val="FontStyle18"/>
          <w:lang w:eastAsia="en-US"/>
        </w:rPr>
      </w:pPr>
      <w:r>
        <w:rPr>
          <w:rStyle w:val="FontStyle18"/>
          <w:lang w:eastAsia="en-US"/>
        </w:rPr>
        <w:t>Proszę podać informacje na temat procedur i kryteriów wyboru, powoływania, awansowania, przenoszenia, dyscyplinowania, zawieszania i odwoływania sędziów, w tym sędziów Krajowej Rady Sądownictwa, oraz prokuratorów. Proszę opisać środki wdrożone w celu zapewnienia niezależności Krajowej Rady Sądownictwa od wpływów politycznych rządu i parlamentu.</w:t>
      </w:r>
    </w:p>
    <w:p w14:paraId="209E1016" w14:textId="77777777" w:rsidR="0080460B" w:rsidRDefault="0080460B" w:rsidP="00881B7E">
      <w:pPr>
        <w:pStyle w:val="Style9"/>
        <w:widowControl/>
        <w:numPr>
          <w:ilvl w:val="0"/>
          <w:numId w:val="14"/>
        </w:numPr>
        <w:tabs>
          <w:tab w:val="left" w:pos="590"/>
        </w:tabs>
        <w:spacing w:before="120" w:line="230" w:lineRule="exact"/>
        <w:ind w:left="993" w:right="10"/>
        <w:rPr>
          <w:rStyle w:val="FontStyle18"/>
          <w:lang w:eastAsia="en-US"/>
        </w:rPr>
      </w:pPr>
      <w:r>
        <w:rPr>
          <w:rStyle w:val="FontStyle18"/>
          <w:lang w:eastAsia="en-US"/>
        </w:rPr>
        <w:t>Proszę skomentować doniesienia o nękaniu i zastraszaniu prawników oraz ogólnej ingerencji w ich pracę, w tym arbitralnych aresztowań i zatrzymań, przeszukań i konfiskat, postępowań dyscyplinarnych i postępowań karnych, w szczególności w odniesieniu do prawników zajmujących się sprawami wrażliwymi politycznie. Odnosząc się do wcześniejszych uwag końcowych Komitetu (ust. 36), proszę opisać wysiłki podjęte w celu zapewnienia, że system wymiaru sprawiedliwości wobec nieletnich jest zgodny ze zobowiązaniami Państwa-Strony wynikającymi z artykułów 9, 10, 14 i 24 Paktu.</w:t>
      </w:r>
    </w:p>
    <w:p w14:paraId="60F67D29" w14:textId="58122AD6" w:rsidR="00C93BD9" w:rsidRPr="00C93BD9" w:rsidRDefault="00C93BD9" w:rsidP="00C93BD9">
      <w:pPr>
        <w:pStyle w:val="Style9"/>
        <w:widowControl/>
        <w:tabs>
          <w:tab w:val="left" w:pos="590"/>
        </w:tabs>
        <w:spacing w:before="120" w:line="230" w:lineRule="exact"/>
        <w:ind w:left="993" w:right="10"/>
        <w:rPr>
          <w:rStyle w:val="FontStyle18"/>
          <w:b/>
          <w:bCs/>
          <w:lang w:eastAsia="en-US"/>
        </w:rPr>
      </w:pPr>
      <w:r w:rsidRPr="00C93BD9">
        <w:rPr>
          <w:rStyle w:val="FontStyle18"/>
          <w:b/>
          <w:bCs/>
          <w:lang w:eastAsia="en-US"/>
        </w:rPr>
        <w:t>(MS, KRS, PK, NRA, KRRP)</w:t>
      </w:r>
    </w:p>
    <w:p w14:paraId="79436EC9" w14:textId="77777777" w:rsidR="009F5DD6" w:rsidRPr="009B6986" w:rsidRDefault="009F5DD6" w:rsidP="00383A0C">
      <w:pPr>
        <w:pStyle w:val="Style9"/>
        <w:widowControl/>
        <w:tabs>
          <w:tab w:val="left" w:pos="590"/>
        </w:tabs>
        <w:spacing w:before="120" w:line="230" w:lineRule="exact"/>
        <w:ind w:left="1109" w:right="10"/>
        <w:rPr>
          <w:rStyle w:val="FontStyle18"/>
          <w:lang w:eastAsia="en-US"/>
        </w:rPr>
      </w:pPr>
    </w:p>
    <w:p w14:paraId="6ADBE173" w14:textId="77777777" w:rsidR="0080460B" w:rsidRDefault="0080460B" w:rsidP="00383A0C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14:paraId="7197D0D5" w14:textId="1FCBE674" w:rsidR="009F5DD6" w:rsidRPr="00846DDA" w:rsidRDefault="0080460B" w:rsidP="00846DDA">
      <w:pPr>
        <w:pStyle w:val="Style3"/>
        <w:widowControl/>
        <w:spacing w:before="5"/>
        <w:ind w:left="389" w:firstLine="604"/>
        <w:jc w:val="both"/>
        <w:rPr>
          <w:rStyle w:val="FontStyle19"/>
          <w:lang w:eastAsia="en-US"/>
        </w:rPr>
      </w:pPr>
      <w:r>
        <w:rPr>
          <w:rStyle w:val="FontStyle19"/>
          <w:lang w:eastAsia="en-US"/>
        </w:rPr>
        <w:t>Prawo do prywatności (art. 17)</w:t>
      </w:r>
    </w:p>
    <w:p w14:paraId="09215001" w14:textId="77777777" w:rsidR="0080460B" w:rsidRDefault="0080460B" w:rsidP="00881B7E">
      <w:pPr>
        <w:pStyle w:val="Style9"/>
        <w:widowControl/>
        <w:numPr>
          <w:ilvl w:val="0"/>
          <w:numId w:val="15"/>
        </w:numPr>
        <w:tabs>
          <w:tab w:val="left" w:pos="590"/>
        </w:tabs>
        <w:spacing w:before="125" w:line="235" w:lineRule="exact"/>
        <w:ind w:left="993" w:right="10"/>
        <w:rPr>
          <w:rStyle w:val="FontStyle18"/>
          <w:lang w:eastAsia="en-US"/>
        </w:rPr>
      </w:pPr>
      <w:r>
        <w:rPr>
          <w:rStyle w:val="FontStyle18"/>
          <w:lang w:eastAsia="en-US"/>
        </w:rPr>
        <w:t xml:space="preserve">W związku z poprzednimi uwagami końcowymi (pkt 40) proszę przedstawić sprawozdanie na temat zabezpieczeń instytucjonalnych i prawnych, w tym niezależnego nadzoru, które wprowadzono w celu zapewnienia, aby wszystkie działania w zakresie nadzoru były zgodne z zasadami legalności, proporcjonalności i konieczności oraz aby wszelkie osoby, które są niezgodnie z prawem monitorowane, były o nich informowane i miały dostęp do odpowiednich środków odwoławczych. Proszę skomentować zarzuty ukierunkowanej inwigilacji w celu arbitralnego prowadzenia inwigilacji polityków i członków partii opozycyjnej, w szczególności podczas wyborów parlamentarnych w 2019 r., w tym z wykorzystaniem technologii, takich jak oprogramowanie szpiegowskie </w:t>
      </w:r>
      <w:proofErr w:type="spellStart"/>
      <w:r>
        <w:rPr>
          <w:rStyle w:val="FontStyle18"/>
          <w:lang w:eastAsia="en-US"/>
        </w:rPr>
        <w:t>Pegasus</w:t>
      </w:r>
      <w:proofErr w:type="spellEnd"/>
      <w:r>
        <w:rPr>
          <w:rStyle w:val="FontStyle18"/>
          <w:lang w:eastAsia="en-US"/>
        </w:rPr>
        <w:t>.</w:t>
      </w:r>
    </w:p>
    <w:p w14:paraId="0EF6CCA0" w14:textId="73537E12" w:rsidR="00C93BD9" w:rsidRPr="005438A3" w:rsidRDefault="00C93BD9" w:rsidP="00C93BD9">
      <w:pPr>
        <w:pStyle w:val="Style9"/>
        <w:widowControl/>
        <w:tabs>
          <w:tab w:val="left" w:pos="590"/>
        </w:tabs>
        <w:spacing w:before="125" w:line="235" w:lineRule="exact"/>
        <w:ind w:left="993" w:right="10"/>
        <w:rPr>
          <w:rStyle w:val="FontStyle18"/>
          <w:b/>
          <w:bCs/>
          <w:lang w:eastAsia="en-US"/>
        </w:rPr>
      </w:pPr>
      <w:r w:rsidRPr="005438A3">
        <w:rPr>
          <w:rStyle w:val="FontStyle18"/>
          <w:b/>
          <w:bCs/>
          <w:lang w:eastAsia="en-US"/>
        </w:rPr>
        <w:t>(Komisj</w:t>
      </w:r>
      <w:r w:rsidR="005438A3" w:rsidRPr="005438A3">
        <w:rPr>
          <w:rStyle w:val="FontStyle18"/>
          <w:b/>
          <w:bCs/>
          <w:lang w:eastAsia="en-US"/>
        </w:rPr>
        <w:t>a</w:t>
      </w:r>
      <w:r w:rsidRPr="005438A3">
        <w:rPr>
          <w:rStyle w:val="FontStyle18"/>
          <w:b/>
          <w:bCs/>
          <w:lang w:eastAsia="en-US"/>
        </w:rPr>
        <w:t xml:space="preserve"> Śledcz</w:t>
      </w:r>
      <w:r w:rsidR="005438A3" w:rsidRPr="005438A3">
        <w:rPr>
          <w:rStyle w:val="FontStyle18"/>
          <w:b/>
          <w:bCs/>
          <w:lang w:eastAsia="en-US"/>
        </w:rPr>
        <w:t>a</w:t>
      </w:r>
      <w:r w:rsidRPr="005438A3">
        <w:rPr>
          <w:rStyle w:val="FontStyle18"/>
          <w:b/>
          <w:bCs/>
          <w:lang w:eastAsia="en-US"/>
        </w:rPr>
        <w:t xml:space="preserve"> do zbadania legalności, prawidłowości oraz celowości czynności operacyjno-rozpoznawczych podejmowanych m.in. z wykorzystaniem oprogramowania </w:t>
      </w:r>
      <w:proofErr w:type="spellStart"/>
      <w:r w:rsidRPr="005438A3">
        <w:rPr>
          <w:rStyle w:val="FontStyle18"/>
          <w:b/>
          <w:bCs/>
          <w:lang w:eastAsia="en-US"/>
        </w:rPr>
        <w:t>Pegasus</w:t>
      </w:r>
      <w:proofErr w:type="spellEnd"/>
      <w:r w:rsidRPr="005438A3">
        <w:rPr>
          <w:rStyle w:val="FontStyle18"/>
          <w:b/>
          <w:bCs/>
          <w:lang w:eastAsia="en-US"/>
        </w:rPr>
        <w:t xml:space="preserve"> przez członków Rady Ministrów, służby specjalne, Policję, organy kontroli skarbowej oraz celno-skarbowej, organy powołane do ścigania przestępstw i prokuraturę w okresie od dnia 16 listopada 2015 r. do dnia 20 listopada 2023 r. (SKPG), Komisj</w:t>
      </w:r>
      <w:r w:rsidR="005438A3" w:rsidRPr="005438A3">
        <w:rPr>
          <w:rStyle w:val="FontStyle18"/>
          <w:b/>
          <w:bCs/>
          <w:lang w:eastAsia="en-US"/>
        </w:rPr>
        <w:t>a</w:t>
      </w:r>
      <w:r w:rsidRPr="005438A3">
        <w:rPr>
          <w:rStyle w:val="FontStyle18"/>
          <w:b/>
          <w:bCs/>
          <w:lang w:eastAsia="en-US"/>
        </w:rPr>
        <w:t xml:space="preserve"> do Spraw Służb Specjalnych</w:t>
      </w:r>
      <w:r w:rsidR="005438A3" w:rsidRPr="005438A3">
        <w:rPr>
          <w:rStyle w:val="FontStyle18"/>
          <w:b/>
          <w:bCs/>
          <w:lang w:eastAsia="en-US"/>
        </w:rPr>
        <w:t>)</w:t>
      </w:r>
    </w:p>
    <w:p w14:paraId="5E06F959" w14:textId="77777777" w:rsidR="0080460B" w:rsidRDefault="0080460B" w:rsidP="00383A0C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14:paraId="5D80C805" w14:textId="77777777" w:rsidR="005438A3" w:rsidRDefault="005438A3" w:rsidP="00383A0C">
      <w:pPr>
        <w:pStyle w:val="Style3"/>
        <w:widowControl/>
        <w:spacing w:before="5"/>
        <w:jc w:val="both"/>
        <w:rPr>
          <w:rStyle w:val="FontStyle19"/>
          <w:lang w:eastAsia="en-US"/>
        </w:rPr>
      </w:pPr>
    </w:p>
    <w:p w14:paraId="37CA9FDF" w14:textId="77777777" w:rsidR="009F5DD6" w:rsidRDefault="009F5DD6" w:rsidP="00383A0C">
      <w:pPr>
        <w:pStyle w:val="Style3"/>
        <w:widowControl/>
        <w:spacing w:before="5"/>
        <w:jc w:val="both"/>
        <w:rPr>
          <w:rStyle w:val="FontStyle19"/>
          <w:lang w:eastAsia="en-US"/>
        </w:rPr>
      </w:pPr>
    </w:p>
    <w:p w14:paraId="4C98B402" w14:textId="699C99F1" w:rsidR="0080460B" w:rsidRDefault="0080460B" w:rsidP="00881B7E">
      <w:pPr>
        <w:pStyle w:val="Style3"/>
        <w:widowControl/>
        <w:spacing w:before="5"/>
        <w:ind w:left="389" w:firstLine="604"/>
        <w:jc w:val="both"/>
        <w:rPr>
          <w:rStyle w:val="FontStyle19"/>
          <w:lang w:val="en-US" w:eastAsia="en-US"/>
        </w:rPr>
      </w:pPr>
      <w:r>
        <w:rPr>
          <w:rStyle w:val="FontStyle19"/>
          <w:lang w:eastAsia="en-US"/>
        </w:rPr>
        <w:t>Wolność wypowiedzi (art. 19 i 20)</w:t>
      </w:r>
    </w:p>
    <w:p w14:paraId="193E810D" w14:textId="77777777" w:rsidR="0080460B" w:rsidRDefault="0080460B" w:rsidP="00881B7E">
      <w:pPr>
        <w:pStyle w:val="Style9"/>
        <w:widowControl/>
        <w:numPr>
          <w:ilvl w:val="0"/>
          <w:numId w:val="16"/>
        </w:numPr>
        <w:tabs>
          <w:tab w:val="left" w:pos="590"/>
        </w:tabs>
        <w:spacing w:before="125"/>
        <w:ind w:left="993" w:right="10"/>
        <w:rPr>
          <w:rStyle w:val="FontStyle18"/>
          <w:lang w:eastAsia="en-US"/>
        </w:rPr>
      </w:pPr>
      <w:r>
        <w:rPr>
          <w:rStyle w:val="FontStyle18"/>
          <w:lang w:eastAsia="en-US"/>
        </w:rPr>
        <w:t>Proszę przedstawić informacje na temat środków podjętych w celu zapewnienia niezależności organów regulacyjnych ds. mediów i mediów publicznych od wpływów władzy wykonawczej, a także środków mających na celu zapewnienie pluralistycznego krajobrazu medialnego z równym dostępem do państwowych funduszy reklamowych. Prosimy o reagowanie na doniesienia o nękaniu, w tym nękaniu sądowym, kampaniach oszczerstw, postępowaniach dyscyplinarnych, groźbach i aktach przemocy wobec dziennikarzy, sędziów, prokuratorów i obrońców praw człowieka postrzeganych jako krytyczni wobec rządu, a także o informacje na temat środków podjętych w celu zapewnienia, że osoby odpowiedzialne zostaną pociągnięte do odpowiedzialności. W nawiązaniu do poprzednich zaleceń Komitetu (ust. 38) prosimy o przedstawienie informacji na temat kroków podjętych w celu dokonania przeglądu przepisów dotyczących zniesławienia oraz przepisów dotyczących znieważania symboli państwowych, wyższych urzędników i religii, w tym kroków podjętych w kierunku dekryminalizacji zniesławienia, a także środków ochrony dziennikarzy i środków masowego przekazu przed strategicznymi procesami sądowymi mającymi na celu utrudnienie ich pracy.</w:t>
      </w:r>
    </w:p>
    <w:p w14:paraId="728D146E" w14:textId="291850FF" w:rsidR="005438A3" w:rsidRPr="003F4425" w:rsidRDefault="005438A3" w:rsidP="005438A3">
      <w:pPr>
        <w:pStyle w:val="Style9"/>
        <w:widowControl/>
        <w:tabs>
          <w:tab w:val="left" w:pos="590"/>
        </w:tabs>
        <w:spacing w:before="125"/>
        <w:ind w:left="993" w:right="10"/>
        <w:rPr>
          <w:rStyle w:val="FontStyle18"/>
          <w:b/>
          <w:bCs/>
          <w:lang w:val="en-US" w:eastAsia="en-US"/>
        </w:rPr>
      </w:pPr>
      <w:r w:rsidRPr="003F4425">
        <w:rPr>
          <w:rStyle w:val="FontStyle18"/>
          <w:b/>
          <w:bCs/>
          <w:lang w:val="en-US" w:eastAsia="en-US"/>
        </w:rPr>
        <w:t xml:space="preserve">(MS, </w:t>
      </w:r>
      <w:proofErr w:type="spellStart"/>
      <w:r w:rsidRPr="003F4425">
        <w:rPr>
          <w:rStyle w:val="FontStyle18"/>
          <w:b/>
          <w:bCs/>
          <w:lang w:val="en-US" w:eastAsia="en-US"/>
        </w:rPr>
        <w:t>KRRiT</w:t>
      </w:r>
      <w:proofErr w:type="spellEnd"/>
      <w:r w:rsidRPr="003F4425">
        <w:rPr>
          <w:rStyle w:val="FontStyle18"/>
          <w:b/>
          <w:bCs/>
          <w:lang w:val="en-US" w:eastAsia="en-US"/>
        </w:rPr>
        <w:t>, PK, KRS)</w:t>
      </w:r>
    </w:p>
    <w:p w14:paraId="1DEC5A1B" w14:textId="77777777" w:rsidR="009F5DD6" w:rsidRPr="003F4425" w:rsidRDefault="009F5DD6" w:rsidP="00383A0C">
      <w:pPr>
        <w:pStyle w:val="Style9"/>
        <w:widowControl/>
        <w:tabs>
          <w:tab w:val="left" w:pos="590"/>
        </w:tabs>
        <w:spacing w:before="125"/>
        <w:ind w:left="1109" w:right="10"/>
        <w:rPr>
          <w:rStyle w:val="FontStyle18"/>
          <w:lang w:val="en-US" w:eastAsia="en-US"/>
        </w:rPr>
      </w:pPr>
    </w:p>
    <w:p w14:paraId="0DE99EC6" w14:textId="77777777" w:rsidR="0080460B" w:rsidRPr="003F4425" w:rsidRDefault="0080460B" w:rsidP="00383A0C">
      <w:pPr>
        <w:pStyle w:val="Style3"/>
        <w:widowControl/>
        <w:spacing w:line="240" w:lineRule="exact"/>
        <w:jc w:val="both"/>
        <w:rPr>
          <w:sz w:val="20"/>
          <w:szCs w:val="20"/>
          <w:lang w:val="en-US"/>
        </w:rPr>
      </w:pPr>
    </w:p>
    <w:p w14:paraId="14151AF2" w14:textId="6C54A590" w:rsidR="009F5DD6" w:rsidRPr="009B6986" w:rsidRDefault="0080460B" w:rsidP="00846DDA">
      <w:pPr>
        <w:pStyle w:val="Style3"/>
        <w:widowControl/>
        <w:spacing w:before="5"/>
        <w:ind w:left="389" w:firstLine="604"/>
        <w:jc w:val="both"/>
        <w:rPr>
          <w:rStyle w:val="FontStyle19"/>
          <w:lang w:eastAsia="en-US"/>
        </w:rPr>
      </w:pPr>
      <w:r>
        <w:rPr>
          <w:rStyle w:val="FontStyle19"/>
          <w:lang w:eastAsia="en-US"/>
        </w:rPr>
        <w:t>Wolność pokojowego zgromadzania się (art. 21)</w:t>
      </w:r>
    </w:p>
    <w:p w14:paraId="0F4E6EAF" w14:textId="77777777" w:rsidR="0080460B" w:rsidRDefault="0080460B" w:rsidP="00881B7E">
      <w:pPr>
        <w:pStyle w:val="Style9"/>
        <w:widowControl/>
        <w:numPr>
          <w:ilvl w:val="0"/>
          <w:numId w:val="17"/>
        </w:numPr>
        <w:tabs>
          <w:tab w:val="left" w:pos="590"/>
        </w:tabs>
        <w:spacing w:before="130"/>
        <w:ind w:left="993" w:right="10"/>
        <w:rPr>
          <w:rStyle w:val="FontStyle18"/>
          <w:lang w:eastAsia="en-US"/>
        </w:rPr>
      </w:pPr>
      <w:r>
        <w:rPr>
          <w:rStyle w:val="FontStyle18"/>
          <w:lang w:eastAsia="en-US"/>
        </w:rPr>
        <w:lastRenderedPageBreak/>
        <w:t>W świetle Komentarza ogólnego Komitetu nr 37 (2020) w sprawie prawa do pokojowych zgromadzeń proszę wyjaśnić zgodność ustawodawstwa Państwa-Strony z prawem do pokojowych zgromadzeń przewidzianym w art. 21 Paktu, w tym w odniesieniu do spontanicznych zgromadzeń, oraz nowelizacją ustawy o zgromadzeniach z 2016 r., która wprowadziła ograniczenia w organizowaniu oddzielnych zgromadzeń w pobliżu siebie i przyznaje pierwszeństwo "zgromadzeniom cyklicznym". Proszę ustosunkować się do doniesień, że uczestnicy pokojowych protestów, które odbyły się w okresie sprawozdawczym, w tym protestów w odpowiedzi na reformy Sądu Najwyższego i orzeczenie Trybunału Konstytucyjnego w sprawie aborcji, są coraz częściej arbitralnie aresztowani i karani grzywnami, a podczas tłumienia pokojowych protestów związanych z aborcją w listopadzie 2020 r. użyto nieproporcjonalnej siły, w tym pałek i gazu pieprzowego. Proszę podać informacje dotyczące okresu sprawozdawczego dotyczące: a) wszelkich protestów, które nie zostały dopuszczone lub które zostały rozproszone, w tym szczegółowe informacje na temat podstawy prawnej; (b) zatrzymania i postępowań sądowych wszczętych przeciwko protestującym, oraz (c) informacje o wszelkich otrzymanych skargach i dochodzeniach podjętych w związku z nieproporcjonalnym użyciem siły przez funkcjonariuszy organów ścigania podczas protestów, a także o wynikach takich dochodzeń.</w:t>
      </w:r>
    </w:p>
    <w:p w14:paraId="2E1DC754" w14:textId="3970A041" w:rsidR="005438A3" w:rsidRPr="005438A3" w:rsidRDefault="005438A3" w:rsidP="005438A3">
      <w:pPr>
        <w:pStyle w:val="Style9"/>
        <w:widowControl/>
        <w:tabs>
          <w:tab w:val="left" w:pos="590"/>
        </w:tabs>
        <w:spacing w:before="130"/>
        <w:ind w:left="993" w:right="10"/>
        <w:rPr>
          <w:rStyle w:val="FontStyle18"/>
          <w:b/>
          <w:bCs/>
          <w:lang w:eastAsia="en-US"/>
        </w:rPr>
      </w:pPr>
      <w:r w:rsidRPr="005438A3">
        <w:rPr>
          <w:rStyle w:val="FontStyle18"/>
          <w:b/>
          <w:bCs/>
          <w:lang w:eastAsia="en-US"/>
        </w:rPr>
        <w:t>(MSWiA, PK, KGP)</w:t>
      </w:r>
    </w:p>
    <w:p w14:paraId="59C0625B" w14:textId="77777777" w:rsidR="009F5DD6" w:rsidRPr="009B6986" w:rsidRDefault="009F5DD6" w:rsidP="00383A0C">
      <w:pPr>
        <w:pStyle w:val="Style9"/>
        <w:widowControl/>
        <w:tabs>
          <w:tab w:val="left" w:pos="590"/>
        </w:tabs>
        <w:spacing w:before="130"/>
        <w:ind w:left="1109" w:right="10"/>
        <w:rPr>
          <w:rStyle w:val="FontStyle18"/>
          <w:lang w:eastAsia="en-US"/>
        </w:rPr>
      </w:pPr>
    </w:p>
    <w:p w14:paraId="014F7F36" w14:textId="066072B6" w:rsidR="009F5DD6" w:rsidRPr="00846DDA" w:rsidRDefault="0080460B" w:rsidP="00846DDA">
      <w:pPr>
        <w:pStyle w:val="Style3"/>
        <w:widowControl/>
        <w:spacing w:before="240"/>
        <w:ind w:left="389" w:firstLine="604"/>
        <w:jc w:val="both"/>
        <w:rPr>
          <w:rStyle w:val="FontStyle19"/>
          <w:lang w:eastAsia="en-US"/>
        </w:rPr>
      </w:pPr>
      <w:r>
        <w:rPr>
          <w:rStyle w:val="FontStyle19"/>
          <w:lang w:eastAsia="en-US"/>
        </w:rPr>
        <w:t>Wolność zrzeszania się (art. 22)</w:t>
      </w:r>
    </w:p>
    <w:p w14:paraId="3ED78820" w14:textId="77777777" w:rsidR="0080460B" w:rsidRDefault="0080460B" w:rsidP="00881B7E">
      <w:pPr>
        <w:pStyle w:val="Style9"/>
        <w:widowControl/>
        <w:numPr>
          <w:ilvl w:val="0"/>
          <w:numId w:val="18"/>
        </w:numPr>
        <w:tabs>
          <w:tab w:val="left" w:pos="590"/>
        </w:tabs>
        <w:spacing w:before="125"/>
        <w:ind w:left="993" w:right="10"/>
        <w:rPr>
          <w:rStyle w:val="FontStyle18"/>
          <w:lang w:eastAsia="en-US"/>
        </w:rPr>
      </w:pPr>
      <w:r>
        <w:rPr>
          <w:rStyle w:val="FontStyle18"/>
          <w:lang w:eastAsia="en-US"/>
        </w:rPr>
        <w:t>Proszę wskazać kroki podjęte w celu zapewnienia bezpiecznego i sprzyjającego środowiska dla obrońców praw człowieka, w tym tych, którzy udzielają pomocy migrantom i osobom ubiegającym się o azyl na granicy z Białorusią. Proszę o udzielenie informacji na temat środków podjętych w celu zapewnienia, aby obrońcy praw człowieka i organizacje pozarządowe zajmujące się prawami człowieka nie byli narażeni na kampanie oszczerstw, groźby i nękanie sądowe mające na celu utrudnienie ich pracy, w szczególności te promujące i broniące praw kobiet, praw w zakresie zdrowia seksualnego i reprodukcyjnego oraz praw człowieka osób LGBTI. Proszę ustosunkować się do doniesień, że organizacjom pozarządowym, które są nieprzychylnie oceniane przez rząd, odmawia się równego i sprawiedliwego dostępu do finansowania publicznego.</w:t>
      </w:r>
    </w:p>
    <w:p w14:paraId="6DB4DE84" w14:textId="02B212A0" w:rsidR="005438A3" w:rsidRPr="003F4425" w:rsidRDefault="005438A3" w:rsidP="005438A3">
      <w:pPr>
        <w:pStyle w:val="Style9"/>
        <w:widowControl/>
        <w:tabs>
          <w:tab w:val="left" w:pos="590"/>
        </w:tabs>
        <w:spacing w:before="125"/>
        <w:ind w:left="993" w:right="10"/>
        <w:rPr>
          <w:rStyle w:val="FontStyle18"/>
          <w:b/>
          <w:bCs/>
          <w:lang w:val="en-US" w:eastAsia="en-US"/>
        </w:rPr>
      </w:pPr>
      <w:r w:rsidRPr="003F4425">
        <w:rPr>
          <w:rStyle w:val="FontStyle18"/>
          <w:b/>
          <w:bCs/>
          <w:lang w:val="en-US" w:eastAsia="en-US"/>
        </w:rPr>
        <w:t xml:space="preserve">(UDCS, </w:t>
      </w:r>
      <w:proofErr w:type="spellStart"/>
      <w:r w:rsidRPr="003F4425">
        <w:rPr>
          <w:rStyle w:val="FontStyle18"/>
          <w:b/>
          <w:bCs/>
          <w:lang w:val="en-US" w:eastAsia="en-US"/>
        </w:rPr>
        <w:t>MSWiA</w:t>
      </w:r>
      <w:proofErr w:type="spellEnd"/>
      <w:r w:rsidRPr="003F4425">
        <w:rPr>
          <w:rStyle w:val="FontStyle18"/>
          <w:b/>
          <w:bCs/>
          <w:lang w:val="en-US" w:eastAsia="en-US"/>
        </w:rPr>
        <w:t xml:space="preserve">, </w:t>
      </w:r>
      <w:r w:rsidR="00B0438A">
        <w:rPr>
          <w:rStyle w:val="FontStyle18"/>
          <w:b/>
          <w:bCs/>
          <w:lang w:val="en-US" w:eastAsia="en-US"/>
        </w:rPr>
        <w:t>MS</w:t>
      </w:r>
      <w:r w:rsidR="00BD3630">
        <w:rPr>
          <w:rStyle w:val="FontStyle18"/>
          <w:b/>
          <w:bCs/>
          <w:lang w:val="en-US" w:eastAsia="en-US"/>
        </w:rPr>
        <w:t>)</w:t>
      </w:r>
    </w:p>
    <w:p w14:paraId="4B3789DE" w14:textId="77777777" w:rsidR="009F5DD6" w:rsidRPr="003F4425" w:rsidRDefault="009F5DD6" w:rsidP="00383A0C">
      <w:pPr>
        <w:pStyle w:val="Style9"/>
        <w:widowControl/>
        <w:tabs>
          <w:tab w:val="left" w:pos="590"/>
        </w:tabs>
        <w:spacing w:before="125"/>
        <w:ind w:left="1109" w:right="10"/>
        <w:rPr>
          <w:rStyle w:val="FontStyle18"/>
          <w:lang w:val="en-US" w:eastAsia="en-US"/>
        </w:rPr>
      </w:pPr>
    </w:p>
    <w:p w14:paraId="1A58D579" w14:textId="3D1D6B16" w:rsidR="009F5DD6" w:rsidRPr="009B6986" w:rsidRDefault="0080460B" w:rsidP="00846DDA">
      <w:pPr>
        <w:pStyle w:val="Style3"/>
        <w:widowControl/>
        <w:spacing w:before="240"/>
        <w:ind w:left="993"/>
        <w:jc w:val="both"/>
        <w:rPr>
          <w:rStyle w:val="FontStyle19"/>
          <w:lang w:eastAsia="en-US"/>
        </w:rPr>
      </w:pPr>
      <w:r>
        <w:rPr>
          <w:rStyle w:val="FontStyle19"/>
          <w:lang w:eastAsia="en-US"/>
        </w:rPr>
        <w:t>Udział w sprawach publicznych (art. 25 i 26)</w:t>
      </w:r>
    </w:p>
    <w:p w14:paraId="7D8D8110" w14:textId="6D5968A5" w:rsidR="0080460B" w:rsidRDefault="0080460B" w:rsidP="00881B7E">
      <w:pPr>
        <w:pStyle w:val="Style5"/>
        <w:widowControl/>
        <w:numPr>
          <w:ilvl w:val="0"/>
          <w:numId w:val="18"/>
        </w:numPr>
        <w:spacing w:before="130" w:line="240" w:lineRule="exact"/>
        <w:ind w:left="993"/>
        <w:rPr>
          <w:rStyle w:val="FontStyle18"/>
          <w:lang w:eastAsia="en-US"/>
        </w:rPr>
      </w:pPr>
      <w:r>
        <w:rPr>
          <w:rStyle w:val="FontStyle18"/>
          <w:lang w:eastAsia="en-US"/>
        </w:rPr>
        <w:t xml:space="preserve"> Proszę przedstawić sprawozdanie na temat środków podjętych w celu zapewnienia przeprowadzenia wolnych i uczciwych wyborów oraz w nawiązaniu do najnowszych uwag końcowych Komitetu (ust. 42) opisać podjęte środki: a) ułatwienie wszystkim korzystania z praw wyborczych bez dyskryminacji, w szczególności osobom z niepełnosprawnością intelektualną i psychospołeczną; b) zapewnienie pełnej dostępności i kompleksowego wsparcia dla wszystkich osób z niepełnosprawnościami; oraz (c) dostarczanie wyborcom informacji o wyborach i procesie głosowania w przystępnych formatach.</w:t>
      </w:r>
    </w:p>
    <w:p w14:paraId="55507CCF" w14:textId="5313C89B" w:rsidR="005438A3" w:rsidRPr="005438A3" w:rsidRDefault="005438A3" w:rsidP="005438A3">
      <w:pPr>
        <w:pStyle w:val="Style5"/>
        <w:widowControl/>
        <w:spacing w:before="130" w:line="240" w:lineRule="exact"/>
        <w:ind w:left="993"/>
        <w:rPr>
          <w:rStyle w:val="FontStyle18"/>
          <w:b/>
          <w:bCs/>
          <w:lang w:eastAsia="en-US"/>
        </w:rPr>
      </w:pPr>
      <w:r w:rsidRPr="005438A3">
        <w:rPr>
          <w:rStyle w:val="FontStyle18"/>
          <w:b/>
          <w:bCs/>
          <w:lang w:eastAsia="en-US"/>
        </w:rPr>
        <w:t>(PKW</w:t>
      </w:r>
      <w:r w:rsidR="008209B0">
        <w:rPr>
          <w:rStyle w:val="FontStyle18"/>
          <w:b/>
          <w:bCs/>
          <w:lang w:eastAsia="en-US"/>
        </w:rPr>
        <w:t>, MSZ</w:t>
      </w:r>
      <w:r w:rsidRPr="005438A3">
        <w:rPr>
          <w:rStyle w:val="FontStyle18"/>
          <w:b/>
          <w:bCs/>
          <w:lang w:eastAsia="en-US"/>
        </w:rPr>
        <w:t>)</w:t>
      </w:r>
    </w:p>
    <w:sectPr w:rsidR="005438A3" w:rsidRPr="005438A3">
      <w:headerReference w:type="default" r:id="rId8"/>
      <w:footerReference w:type="default" r:id="rId9"/>
      <w:type w:val="continuous"/>
      <w:pgSz w:w="11905" w:h="16837"/>
      <w:pgMar w:top="1027" w:right="2055" w:bottom="853" w:left="133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9B085" w14:textId="77777777" w:rsidR="00E10BBA" w:rsidRDefault="00E10BBA">
      <w:r>
        <w:separator/>
      </w:r>
    </w:p>
  </w:endnote>
  <w:endnote w:type="continuationSeparator" w:id="0">
    <w:p w14:paraId="1F2E7651" w14:textId="77777777" w:rsidR="00E10BBA" w:rsidRDefault="00E1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8C9B" w14:textId="77777777" w:rsidR="0080460B" w:rsidRDefault="0080460B">
    <w:pPr>
      <w:pStyle w:val="Style3"/>
      <w:widowControl/>
      <w:jc w:val="both"/>
      <w:rPr>
        <w:rStyle w:val="FontStyle19"/>
        <w:lang w:val="en-US" w:eastAsia="en-US"/>
      </w:rPr>
    </w:pPr>
    <w:r>
      <w:rPr>
        <w:rStyle w:val="FontStyle19"/>
        <w:lang w:eastAsia="en-US"/>
      </w:rPr>
      <w:fldChar w:fldCharType="begin"/>
    </w:r>
    <w:r>
      <w:rPr>
        <w:rStyle w:val="FontStyle19"/>
        <w:lang w:eastAsia="en-US"/>
      </w:rPr>
      <w:instrText>PAGE</w:instrText>
    </w:r>
    <w:r>
      <w:rPr>
        <w:rStyle w:val="FontStyle19"/>
        <w:lang w:eastAsia="en-US"/>
      </w:rPr>
      <w:fldChar w:fldCharType="separate"/>
    </w:r>
    <w:r>
      <w:rPr>
        <w:rStyle w:val="FontStyle19"/>
        <w:lang w:eastAsia="en-US"/>
      </w:rPr>
      <w:t>2</w:t>
    </w:r>
    <w:r>
      <w:rPr>
        <w:rStyle w:val="FontStyle19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7298" w14:textId="77777777" w:rsidR="00E10BBA" w:rsidRDefault="00E10BBA">
      <w:r>
        <w:separator/>
      </w:r>
    </w:p>
  </w:footnote>
  <w:footnote w:type="continuationSeparator" w:id="0">
    <w:p w14:paraId="3A7D4B27" w14:textId="77777777" w:rsidR="00E10BBA" w:rsidRDefault="00E10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F145" w14:textId="77777777" w:rsidR="0080460B" w:rsidRDefault="0080460B">
    <w:pPr>
      <w:pStyle w:val="Style10"/>
      <w:widowControl/>
      <w:jc w:val="both"/>
      <w:rPr>
        <w:rStyle w:val="FontStyle18"/>
        <w:lang w:val="en-US" w:eastAsia="en-US"/>
      </w:rPr>
    </w:pPr>
    <w:r>
      <w:rPr>
        <w:rStyle w:val="FontStyle20"/>
        <w:lang w:eastAsia="en-US"/>
      </w:rPr>
      <w:t>CCPR/C/POL/QPR/</w:t>
    </w:r>
    <w:r>
      <w:rPr>
        <w:rStyle w:val="FontStyle18"/>
        <w:lang w:eastAsia="en-US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751"/>
    <w:multiLevelType w:val="singleLevel"/>
    <w:tmpl w:val="B7FA9AD2"/>
    <w:lvl w:ilvl="0">
      <w:start w:val="21"/>
      <w:numFmt w:val="decimal"/>
      <w:lvlText w:val="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CD6C1F"/>
    <w:multiLevelType w:val="singleLevel"/>
    <w:tmpl w:val="44CE11F4"/>
    <w:lvl w:ilvl="0">
      <w:start w:val="1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6A7C34"/>
    <w:multiLevelType w:val="singleLevel"/>
    <w:tmpl w:val="4852ED38"/>
    <w:lvl w:ilvl="0">
      <w:start w:val="17"/>
      <w:numFmt w:val="decimal"/>
      <w:lvlText w:val="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4A3257"/>
    <w:multiLevelType w:val="singleLevel"/>
    <w:tmpl w:val="C46AC782"/>
    <w:lvl w:ilvl="0">
      <w:start w:val="14"/>
      <w:numFmt w:val="decimal"/>
      <w:lvlText w:val="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9AF61AA"/>
    <w:multiLevelType w:val="singleLevel"/>
    <w:tmpl w:val="FEC21D50"/>
    <w:lvl w:ilvl="0">
      <w:start w:val="2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30E65E6"/>
    <w:multiLevelType w:val="singleLevel"/>
    <w:tmpl w:val="CC9C05B2"/>
    <w:lvl w:ilvl="0">
      <w:start w:val="1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DA52755"/>
    <w:multiLevelType w:val="singleLevel"/>
    <w:tmpl w:val="39FCC06E"/>
    <w:lvl w:ilvl="0">
      <w:start w:val="23"/>
      <w:numFmt w:val="decimal"/>
      <w:lvlText w:val="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E7D06AD"/>
    <w:multiLevelType w:val="singleLevel"/>
    <w:tmpl w:val="71487946"/>
    <w:lvl w:ilvl="0">
      <w:start w:val="8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886FDE"/>
    <w:multiLevelType w:val="singleLevel"/>
    <w:tmpl w:val="AAAC0BE8"/>
    <w:lvl w:ilvl="0">
      <w:start w:val="4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922D9D"/>
    <w:multiLevelType w:val="singleLevel"/>
    <w:tmpl w:val="11F2CAF2"/>
    <w:lvl w:ilvl="0">
      <w:start w:val="9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A932037"/>
    <w:multiLevelType w:val="singleLevel"/>
    <w:tmpl w:val="4FB4111C"/>
    <w:lvl w:ilvl="0">
      <w:start w:val="22"/>
      <w:numFmt w:val="decimal"/>
      <w:lvlText w:val="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1B42202"/>
    <w:multiLevelType w:val="singleLevel"/>
    <w:tmpl w:val="B358E330"/>
    <w:lvl w:ilvl="0">
      <w:start w:val="10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B220029"/>
    <w:multiLevelType w:val="singleLevel"/>
    <w:tmpl w:val="BAFE3250"/>
    <w:lvl w:ilvl="0">
      <w:start w:val="13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B79697D"/>
    <w:multiLevelType w:val="singleLevel"/>
    <w:tmpl w:val="4992B940"/>
    <w:lvl w:ilvl="0">
      <w:start w:val="1"/>
      <w:numFmt w:val="upperLetter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ED842D5"/>
    <w:multiLevelType w:val="singleLevel"/>
    <w:tmpl w:val="6A92D1B0"/>
    <w:lvl w:ilvl="0">
      <w:start w:val="2"/>
      <w:numFmt w:val="upperLetter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0AF744D"/>
    <w:multiLevelType w:val="singleLevel"/>
    <w:tmpl w:val="D91A423A"/>
    <w:lvl w:ilvl="0">
      <w:start w:val="5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10A5BBD"/>
    <w:multiLevelType w:val="singleLevel"/>
    <w:tmpl w:val="6B82C4BA"/>
    <w:lvl w:ilvl="0">
      <w:start w:val="24"/>
      <w:numFmt w:val="decimal"/>
      <w:lvlText w:val="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num w:numId="1" w16cid:durableId="906919734">
    <w:abstractNumId w:val="13"/>
  </w:num>
  <w:num w:numId="2" w16cid:durableId="486363837">
    <w:abstractNumId w:val="1"/>
  </w:num>
  <w:num w:numId="3" w16cid:durableId="1757630313">
    <w:abstractNumId w:val="14"/>
  </w:num>
  <w:num w:numId="4" w16cid:durableId="1781491406">
    <w:abstractNumId w:val="4"/>
  </w:num>
  <w:num w:numId="5" w16cid:durableId="570849353">
    <w:abstractNumId w:val="8"/>
  </w:num>
  <w:num w:numId="6" w16cid:durableId="367951748">
    <w:abstractNumId w:val="15"/>
  </w:num>
  <w:num w:numId="7" w16cid:durableId="1998872293">
    <w:abstractNumId w:val="7"/>
  </w:num>
  <w:num w:numId="8" w16cid:durableId="593436965">
    <w:abstractNumId w:val="9"/>
  </w:num>
  <w:num w:numId="9" w16cid:durableId="872764617">
    <w:abstractNumId w:val="11"/>
  </w:num>
  <w:num w:numId="10" w16cid:durableId="2058820004">
    <w:abstractNumId w:val="5"/>
  </w:num>
  <w:num w:numId="11" w16cid:durableId="1061517073">
    <w:abstractNumId w:val="12"/>
  </w:num>
  <w:num w:numId="12" w16cid:durableId="526875863">
    <w:abstractNumId w:val="3"/>
  </w:num>
  <w:num w:numId="13" w16cid:durableId="183518259">
    <w:abstractNumId w:val="2"/>
  </w:num>
  <w:num w:numId="14" w16cid:durableId="567232526">
    <w:abstractNumId w:val="2"/>
    <w:lvlOverride w:ilvl="0">
      <w:lvl w:ilvl="0">
        <w:start w:val="20"/>
        <w:numFmt w:val="decimal"/>
        <w:lvlText w:val="%1."/>
        <w:legacy w:legacy="1" w:legacySpace="0" w:legacyIndent="590"/>
        <w:lvlJc w:val="left"/>
        <w:rPr>
          <w:rFonts w:ascii="Times New Roman" w:hAnsi="Times New Roman" w:cs="Times New Roman" w:hint="default"/>
        </w:rPr>
      </w:lvl>
    </w:lvlOverride>
  </w:num>
  <w:num w:numId="15" w16cid:durableId="1771005917">
    <w:abstractNumId w:val="0"/>
  </w:num>
  <w:num w:numId="16" w16cid:durableId="1354721802">
    <w:abstractNumId w:val="10"/>
  </w:num>
  <w:num w:numId="17" w16cid:durableId="1598442613">
    <w:abstractNumId w:val="6"/>
  </w:num>
  <w:num w:numId="18" w16cid:durableId="15668383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5F"/>
    <w:rsid w:val="000230B8"/>
    <w:rsid w:val="000C6D28"/>
    <w:rsid w:val="00261387"/>
    <w:rsid w:val="002E090D"/>
    <w:rsid w:val="002F72FD"/>
    <w:rsid w:val="00314920"/>
    <w:rsid w:val="0033527D"/>
    <w:rsid w:val="00362F5F"/>
    <w:rsid w:val="00383A0C"/>
    <w:rsid w:val="00393442"/>
    <w:rsid w:val="003C0501"/>
    <w:rsid w:val="003F4425"/>
    <w:rsid w:val="00427099"/>
    <w:rsid w:val="00495616"/>
    <w:rsid w:val="005047A3"/>
    <w:rsid w:val="00523FCE"/>
    <w:rsid w:val="005438A3"/>
    <w:rsid w:val="005E761D"/>
    <w:rsid w:val="005F3A4B"/>
    <w:rsid w:val="00682B3E"/>
    <w:rsid w:val="006D4E37"/>
    <w:rsid w:val="006E716C"/>
    <w:rsid w:val="007734E2"/>
    <w:rsid w:val="007A156F"/>
    <w:rsid w:val="0080460B"/>
    <w:rsid w:val="008209B0"/>
    <w:rsid w:val="00846DDA"/>
    <w:rsid w:val="00881B7E"/>
    <w:rsid w:val="008E1A21"/>
    <w:rsid w:val="009B6986"/>
    <w:rsid w:val="009F5DD6"/>
    <w:rsid w:val="00A005DF"/>
    <w:rsid w:val="00AA790B"/>
    <w:rsid w:val="00AC1A13"/>
    <w:rsid w:val="00AC4896"/>
    <w:rsid w:val="00AF478F"/>
    <w:rsid w:val="00B0438A"/>
    <w:rsid w:val="00B07868"/>
    <w:rsid w:val="00B245F1"/>
    <w:rsid w:val="00B962CA"/>
    <w:rsid w:val="00BD3630"/>
    <w:rsid w:val="00C000B2"/>
    <w:rsid w:val="00C93BD9"/>
    <w:rsid w:val="00CF1FDE"/>
    <w:rsid w:val="00CF689F"/>
    <w:rsid w:val="00DA58FF"/>
    <w:rsid w:val="00DB745E"/>
    <w:rsid w:val="00E058E1"/>
    <w:rsid w:val="00E10BBA"/>
    <w:rsid w:val="00EC555E"/>
    <w:rsid w:val="00F9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9E2D0"/>
  <w14:defaultImageDpi w14:val="0"/>
  <w15:docId w15:val="{48B274C4-519E-4245-A9A7-71768ADE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30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98" w:lineRule="exact"/>
      <w:jc w:val="both"/>
    </w:pPr>
  </w:style>
  <w:style w:type="paragraph" w:customStyle="1" w:styleId="Style8">
    <w:name w:val="Style8"/>
    <w:basedOn w:val="Normalny"/>
    <w:uiPriority w:val="99"/>
    <w:pPr>
      <w:spacing w:line="278" w:lineRule="exact"/>
      <w:ind w:hanging="571"/>
    </w:pPr>
  </w:style>
  <w:style w:type="paragraph" w:customStyle="1" w:styleId="Style9">
    <w:name w:val="Style9"/>
    <w:basedOn w:val="Normalny"/>
    <w:uiPriority w:val="99"/>
    <w:pPr>
      <w:spacing w:line="240" w:lineRule="exact"/>
      <w:jc w:val="both"/>
    </w:pPr>
  </w:style>
  <w:style w:type="paragraph" w:customStyle="1" w:styleId="Style10">
    <w:name w:val="Style10"/>
    <w:basedOn w:val="Normalny"/>
    <w:uiPriority w:val="99"/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sz w:val="38"/>
      <w:szCs w:val="38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styleId="Tekstzastpczy">
    <w:name w:val="Placeholder Text"/>
    <w:basedOn w:val="Domylnaczcionkaakapitu"/>
    <w:uiPriority w:val="99"/>
    <w:semiHidden/>
    <w:rsid w:val="00EC55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binternet.ohchr.org/_layouts/15/treatybodyexternal/Download.aspx?symbolno=CCPR%2FC%2F128%2F3%2FAdd.3&amp;Lang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3346</Words>
  <Characters>20077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CCPR/C/AUT/QPR/R.6</vt:lpstr>
    </vt:vector>
  </TitlesOfParts>
  <Company/>
  <LinksUpToDate>false</LinksUpToDate>
  <CharactersWithSpaces>23377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CCPR/C/AUT/QPR/R.6</dc:title>
  <dc:subject/>
  <dc:creator>Kisłowski Karol  (DLPK)</dc:creator>
  <cp:keywords/>
  <dc:description/>
  <cp:lastModifiedBy>Charkiewicz Piotr  (DWMPC)</cp:lastModifiedBy>
  <cp:revision>2</cp:revision>
  <dcterms:created xsi:type="dcterms:W3CDTF">2025-11-24T13:28:00Z</dcterms:created>
  <dcterms:modified xsi:type="dcterms:W3CDTF">2025-11-24T13:28:00Z</dcterms:modified>
</cp:coreProperties>
</file>