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D6FA0" w14:textId="78E511D3" w:rsidR="009A3E8F" w:rsidRPr="00475A79" w:rsidRDefault="009A3E8F" w:rsidP="00475A79">
      <w:pPr>
        <w:pStyle w:val="Bezodstpw"/>
        <w:spacing w:line="360" w:lineRule="auto"/>
        <w:rPr>
          <w:rFonts w:ascii="Arial" w:hAnsi="Arial" w:cs="Arial"/>
          <w:sz w:val="28"/>
          <w:szCs w:val="28"/>
        </w:rPr>
      </w:pPr>
      <w:r w:rsidRPr="00475A79">
        <w:rPr>
          <w:rFonts w:ascii="Arial" w:hAnsi="Arial" w:cs="Arial"/>
          <w:noProof/>
          <w:sz w:val="28"/>
          <w:szCs w:val="28"/>
        </w:rPr>
        <w:drawing>
          <wp:anchor distT="0" distB="0" distL="0" distR="0" simplePos="0" relativeHeight="251659264" behindDoc="0" locked="0" layoutInCell="1" allowOverlap="1" wp14:anchorId="343E1247" wp14:editId="3D6513D0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2591435" cy="623570"/>
            <wp:effectExtent l="0" t="0" r="0" b="5080"/>
            <wp:wrapSquare wrapText="largest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FB2EDF" w14:textId="77777777" w:rsidR="00475A79" w:rsidRDefault="00475A79" w:rsidP="00475A79">
      <w:pPr>
        <w:tabs>
          <w:tab w:val="left" w:pos="930"/>
          <w:tab w:val="right" w:pos="9072"/>
        </w:tabs>
        <w:spacing w:after="0" w:line="360" w:lineRule="auto"/>
        <w:rPr>
          <w:rFonts w:ascii="Arial" w:hAnsi="Arial" w:cs="Arial"/>
          <w:b/>
          <w:color w:val="57575B"/>
          <w:sz w:val="28"/>
          <w:szCs w:val="28"/>
        </w:rPr>
      </w:pPr>
    </w:p>
    <w:p w14:paraId="54D69CA2" w14:textId="77777777" w:rsidR="00475A79" w:rsidRDefault="00475A79" w:rsidP="00475A79">
      <w:pPr>
        <w:tabs>
          <w:tab w:val="left" w:pos="930"/>
          <w:tab w:val="right" w:pos="9072"/>
        </w:tabs>
        <w:spacing w:after="0" w:line="360" w:lineRule="auto"/>
        <w:rPr>
          <w:rFonts w:ascii="Arial" w:hAnsi="Arial" w:cs="Arial"/>
          <w:b/>
          <w:color w:val="57575B"/>
          <w:sz w:val="28"/>
          <w:szCs w:val="28"/>
        </w:rPr>
      </w:pPr>
    </w:p>
    <w:p w14:paraId="01525314" w14:textId="7C8374F3" w:rsidR="00475A79" w:rsidRPr="00475A79" w:rsidRDefault="00475A79" w:rsidP="00475A79">
      <w:pPr>
        <w:spacing w:after="480" w:line="360" w:lineRule="auto"/>
        <w:rPr>
          <w:rFonts w:ascii="Arial" w:hAnsi="Arial" w:cs="Arial"/>
          <w:sz w:val="28"/>
          <w:szCs w:val="28"/>
          <w:lang w:eastAsia="pl-PL"/>
        </w:rPr>
      </w:pPr>
      <w:r w:rsidRPr="00475A79">
        <w:rPr>
          <w:rFonts w:ascii="Arial" w:hAnsi="Arial" w:cs="Arial"/>
          <w:sz w:val="28"/>
          <w:szCs w:val="28"/>
          <w:lang w:eastAsia="pl-PL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754E5CC0" w14:textId="53BE01CB" w:rsidR="00505C5C" w:rsidRPr="00475A79" w:rsidRDefault="00505C5C" w:rsidP="00475A79">
      <w:pPr>
        <w:tabs>
          <w:tab w:val="left" w:pos="930"/>
          <w:tab w:val="right" w:pos="9072"/>
        </w:tabs>
        <w:spacing w:after="0" w:line="360" w:lineRule="auto"/>
        <w:rPr>
          <w:rFonts w:ascii="Arial" w:eastAsia="Calibri" w:hAnsi="Arial" w:cs="Arial"/>
          <w:sz w:val="28"/>
          <w:szCs w:val="28"/>
          <w:lang w:eastAsia="pl-PL"/>
        </w:rPr>
      </w:pPr>
      <w:r w:rsidRPr="00475A79">
        <w:rPr>
          <w:rFonts w:ascii="Arial" w:eastAsia="Calibri" w:hAnsi="Arial" w:cs="Arial"/>
          <w:sz w:val="28"/>
          <w:szCs w:val="28"/>
          <w:lang w:eastAsia="en-US"/>
        </w:rPr>
        <w:t xml:space="preserve">Warszawa, </w:t>
      </w:r>
      <w:r w:rsidR="00CA1AF7">
        <w:rPr>
          <w:rFonts w:ascii="Arial" w:eastAsia="Calibri" w:hAnsi="Arial" w:cs="Arial"/>
          <w:sz w:val="28"/>
          <w:szCs w:val="28"/>
          <w:lang w:eastAsia="pl-PL"/>
        </w:rPr>
        <w:t>26 stycznia</w:t>
      </w:r>
      <w:r w:rsidRPr="00475A79">
        <w:rPr>
          <w:rFonts w:ascii="Arial" w:eastAsia="Calibri" w:hAnsi="Arial" w:cs="Arial"/>
          <w:sz w:val="28"/>
          <w:szCs w:val="28"/>
          <w:lang w:eastAsia="pl-PL"/>
        </w:rPr>
        <w:t xml:space="preserve"> 202</w:t>
      </w:r>
      <w:r w:rsidR="00CA1AF7">
        <w:rPr>
          <w:rFonts w:ascii="Arial" w:eastAsia="Calibri" w:hAnsi="Arial" w:cs="Arial"/>
          <w:sz w:val="28"/>
          <w:szCs w:val="28"/>
          <w:lang w:eastAsia="pl-PL"/>
        </w:rPr>
        <w:t>2</w:t>
      </w:r>
      <w:r w:rsidRPr="00475A79">
        <w:rPr>
          <w:rFonts w:ascii="Arial" w:eastAsia="Calibri" w:hAnsi="Arial" w:cs="Arial"/>
          <w:sz w:val="28"/>
          <w:szCs w:val="28"/>
          <w:lang w:eastAsia="pl-PL"/>
        </w:rPr>
        <w:t xml:space="preserve"> r.</w:t>
      </w:r>
    </w:p>
    <w:p w14:paraId="5A493027" w14:textId="77777777" w:rsidR="00505C5C" w:rsidRPr="00475A79" w:rsidRDefault="00505C5C" w:rsidP="00475A79">
      <w:pPr>
        <w:suppressAutoHyphens w:val="0"/>
        <w:spacing w:after="0" w:line="360" w:lineRule="auto"/>
        <w:rPr>
          <w:rFonts w:ascii="Arial" w:hAnsi="Arial" w:cs="Arial"/>
          <w:sz w:val="28"/>
          <w:szCs w:val="28"/>
          <w:lang w:eastAsia="pl-PL"/>
        </w:rPr>
      </w:pPr>
    </w:p>
    <w:p w14:paraId="44C9327E" w14:textId="639C4350" w:rsidR="00505C5C" w:rsidRPr="00475A79" w:rsidRDefault="00505C5C" w:rsidP="00475A79">
      <w:pPr>
        <w:suppressAutoHyphens w:val="0"/>
        <w:spacing w:after="0" w:line="360" w:lineRule="auto"/>
        <w:rPr>
          <w:rFonts w:ascii="Arial" w:hAnsi="Arial" w:cs="Arial"/>
          <w:sz w:val="28"/>
          <w:szCs w:val="28"/>
          <w:lang w:eastAsia="pl-PL"/>
        </w:rPr>
      </w:pPr>
      <w:r w:rsidRPr="00475A79">
        <w:rPr>
          <w:rFonts w:ascii="Arial" w:hAnsi="Arial" w:cs="Arial"/>
          <w:sz w:val="28"/>
          <w:szCs w:val="28"/>
          <w:lang w:eastAsia="pl-PL"/>
        </w:rPr>
        <w:t xml:space="preserve">Sygn. akt KR VI R </w:t>
      </w:r>
      <w:r w:rsidR="006902A2">
        <w:rPr>
          <w:rFonts w:ascii="Arial" w:hAnsi="Arial" w:cs="Arial"/>
          <w:sz w:val="28"/>
          <w:szCs w:val="28"/>
          <w:lang w:eastAsia="pl-PL"/>
        </w:rPr>
        <w:t>5</w:t>
      </w:r>
      <w:r w:rsidR="00CA1AF7">
        <w:rPr>
          <w:rFonts w:ascii="Arial" w:hAnsi="Arial" w:cs="Arial"/>
          <w:sz w:val="28"/>
          <w:szCs w:val="28"/>
          <w:lang w:eastAsia="pl-PL"/>
        </w:rPr>
        <w:t>/22</w:t>
      </w:r>
    </w:p>
    <w:p w14:paraId="58B3D561" w14:textId="77777777" w:rsidR="00505C5C" w:rsidRPr="00475A79" w:rsidRDefault="00505C5C" w:rsidP="00475A79">
      <w:pPr>
        <w:spacing w:after="0" w:line="360" w:lineRule="auto"/>
        <w:rPr>
          <w:rFonts w:ascii="Arial" w:hAnsi="Arial" w:cs="Arial"/>
          <w:sz w:val="28"/>
          <w:szCs w:val="28"/>
          <w:lang w:eastAsia="pl-PL"/>
        </w:rPr>
      </w:pPr>
    </w:p>
    <w:p w14:paraId="060DD22B" w14:textId="77777777" w:rsidR="00505C5C" w:rsidRPr="006967DD" w:rsidRDefault="00505C5C" w:rsidP="00475A79">
      <w:pPr>
        <w:pStyle w:val="Nagwek1"/>
        <w:rPr>
          <w:rFonts w:ascii="Arial" w:hAnsi="Arial" w:cs="Arial"/>
          <w:color w:val="auto"/>
          <w:lang w:eastAsia="pl-PL"/>
        </w:rPr>
      </w:pPr>
      <w:r w:rsidRPr="006967DD">
        <w:rPr>
          <w:rFonts w:ascii="Arial" w:hAnsi="Arial" w:cs="Arial"/>
          <w:color w:val="auto"/>
          <w:lang w:eastAsia="pl-PL"/>
        </w:rPr>
        <w:t>ZAWIADOMIENIE</w:t>
      </w:r>
    </w:p>
    <w:p w14:paraId="5B446C9F" w14:textId="77777777" w:rsidR="00505C5C" w:rsidRPr="006967DD" w:rsidRDefault="00505C5C" w:rsidP="00475A79">
      <w:pPr>
        <w:pStyle w:val="Nagwek1"/>
        <w:rPr>
          <w:rFonts w:ascii="Arial" w:hAnsi="Arial" w:cs="Arial"/>
          <w:color w:val="auto"/>
          <w:lang w:eastAsia="pl-PL"/>
        </w:rPr>
      </w:pPr>
      <w:r w:rsidRPr="006967DD">
        <w:rPr>
          <w:rFonts w:ascii="Arial" w:hAnsi="Arial" w:cs="Arial"/>
          <w:color w:val="auto"/>
          <w:lang w:eastAsia="pl-PL"/>
        </w:rPr>
        <w:t>o wszczęciu postępowania rozpoznawczego</w:t>
      </w:r>
    </w:p>
    <w:p w14:paraId="6B080805" w14:textId="77777777" w:rsidR="00505C5C" w:rsidRPr="006967DD" w:rsidRDefault="00505C5C" w:rsidP="00475A79">
      <w:pPr>
        <w:spacing w:after="0" w:line="360" w:lineRule="auto"/>
        <w:rPr>
          <w:rFonts w:ascii="Arial" w:hAnsi="Arial" w:cs="Arial"/>
          <w:sz w:val="28"/>
          <w:szCs w:val="28"/>
          <w:lang w:eastAsia="pl-PL"/>
        </w:rPr>
      </w:pPr>
    </w:p>
    <w:p w14:paraId="2E28961D" w14:textId="77777777" w:rsidR="00505C5C" w:rsidRPr="00475A79" w:rsidRDefault="00505C5C" w:rsidP="00475A79">
      <w:pPr>
        <w:spacing w:after="0" w:line="360" w:lineRule="auto"/>
        <w:rPr>
          <w:rFonts w:ascii="Arial" w:hAnsi="Arial" w:cs="Arial"/>
          <w:sz w:val="28"/>
          <w:szCs w:val="28"/>
          <w:lang w:eastAsia="pl-PL"/>
        </w:rPr>
      </w:pPr>
    </w:p>
    <w:p w14:paraId="66139865" w14:textId="77777777" w:rsidR="00505C5C" w:rsidRPr="00475A79" w:rsidRDefault="00505C5C" w:rsidP="00CA1AF7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475A79">
        <w:rPr>
          <w:rFonts w:ascii="Arial" w:hAnsi="Arial" w:cs="Arial"/>
          <w:sz w:val="28"/>
          <w:szCs w:val="28"/>
        </w:rPr>
        <w:t>Na podstawie art. 16 ust. 2, ust. 3 i ust. 4 ustawy z dnia 9 marca 2017 roku o szczególnych zasadach usuwania skutków prawnych decyzji reprywatyzacyjnych dotyczących nieruchomości warszawskich, wydanych z naruszeniem prawa (</w:t>
      </w:r>
      <w:bookmarkStart w:id="0" w:name="_Hlk57289058"/>
      <w:r w:rsidRPr="00475A79">
        <w:rPr>
          <w:rFonts w:ascii="Arial" w:hAnsi="Arial" w:cs="Arial"/>
          <w:sz w:val="28"/>
          <w:szCs w:val="28"/>
        </w:rPr>
        <w:t>Dz. U. z 2021 r. poz. 795)</w:t>
      </w:r>
      <w:bookmarkEnd w:id="0"/>
      <w:r w:rsidRPr="00475A79">
        <w:rPr>
          <w:rFonts w:ascii="Arial" w:hAnsi="Arial" w:cs="Arial"/>
          <w:sz w:val="28"/>
          <w:szCs w:val="28"/>
        </w:rPr>
        <w:t>,</w:t>
      </w:r>
    </w:p>
    <w:p w14:paraId="18CA4DEF" w14:textId="77777777" w:rsidR="00505C5C" w:rsidRPr="00475A79" w:rsidRDefault="00505C5C" w:rsidP="00475A79">
      <w:pPr>
        <w:spacing w:after="0" w:line="360" w:lineRule="auto"/>
        <w:ind w:firstLine="709"/>
        <w:rPr>
          <w:rFonts w:ascii="Arial" w:hAnsi="Arial" w:cs="Arial"/>
          <w:sz w:val="28"/>
          <w:szCs w:val="28"/>
        </w:rPr>
      </w:pPr>
    </w:p>
    <w:p w14:paraId="241C8B3D" w14:textId="77777777" w:rsidR="00505C5C" w:rsidRPr="00475A79" w:rsidRDefault="00505C5C" w:rsidP="00475A79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475A79">
        <w:rPr>
          <w:rFonts w:ascii="Arial" w:hAnsi="Arial" w:cs="Arial"/>
          <w:sz w:val="28"/>
          <w:szCs w:val="28"/>
        </w:rPr>
        <w:t>zawiadamiam następujące strony:</w:t>
      </w:r>
    </w:p>
    <w:p w14:paraId="76166C96" w14:textId="77777777" w:rsidR="00505C5C" w:rsidRPr="00475A79" w:rsidRDefault="00505C5C" w:rsidP="00475A79">
      <w:pPr>
        <w:spacing w:after="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475A79">
        <w:rPr>
          <w:rFonts w:ascii="Arial" w:eastAsia="Calibri" w:hAnsi="Arial" w:cs="Arial"/>
          <w:sz w:val="28"/>
          <w:szCs w:val="28"/>
          <w:lang w:eastAsia="en-US"/>
        </w:rPr>
        <w:t xml:space="preserve">- Miasto Stołeczne Warszawa, </w:t>
      </w:r>
    </w:p>
    <w:p w14:paraId="267892BC" w14:textId="73FC54EF" w:rsidR="00505C5C" w:rsidRDefault="00505C5C" w:rsidP="00CA1AF7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475A79">
        <w:rPr>
          <w:rFonts w:ascii="Arial" w:hAnsi="Arial" w:cs="Arial"/>
          <w:sz w:val="28"/>
          <w:szCs w:val="28"/>
        </w:rPr>
        <w:t xml:space="preserve">- </w:t>
      </w:r>
      <w:r w:rsidR="00CA1AF7">
        <w:rPr>
          <w:rFonts w:ascii="Arial" w:hAnsi="Arial" w:cs="Arial"/>
          <w:sz w:val="28"/>
          <w:szCs w:val="28"/>
        </w:rPr>
        <w:t xml:space="preserve">Błażeja Krupę, </w:t>
      </w:r>
    </w:p>
    <w:p w14:paraId="3253545A" w14:textId="07F690F1" w:rsidR="00CA1AF7" w:rsidRDefault="00CA1AF7" w:rsidP="00CA1AF7">
      <w:p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Elżbietę Mych, </w:t>
      </w:r>
    </w:p>
    <w:p w14:paraId="192332A3" w14:textId="3BD6DB97" w:rsidR="00CA1AF7" w:rsidRDefault="00CA1AF7" w:rsidP="00CA1AF7">
      <w:p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Lecha Włodzimierza Walaszka, </w:t>
      </w:r>
    </w:p>
    <w:p w14:paraId="3CB2F850" w14:textId="7E9E5562" w:rsidR="00CA1AF7" w:rsidRDefault="00CA1AF7" w:rsidP="00CA1AF7">
      <w:p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Marka Błażeja Walaszka, </w:t>
      </w:r>
    </w:p>
    <w:p w14:paraId="5B36656C" w14:textId="77777777" w:rsidR="00CA1AF7" w:rsidRDefault="00CA1AF7" w:rsidP="00475A79">
      <w:pPr>
        <w:suppressAutoHyphens w:val="0"/>
        <w:spacing w:after="0" w:line="360" w:lineRule="auto"/>
        <w:rPr>
          <w:rFonts w:ascii="Arial" w:eastAsia="Calibri" w:hAnsi="Arial" w:cs="Arial"/>
          <w:sz w:val="28"/>
          <w:szCs w:val="28"/>
          <w:lang w:eastAsia="en-US"/>
        </w:rPr>
      </w:pPr>
    </w:p>
    <w:p w14:paraId="69CA27F0" w14:textId="77777777" w:rsidR="00CA1AF7" w:rsidRDefault="00CA1AF7" w:rsidP="00475A79">
      <w:pPr>
        <w:suppressAutoHyphens w:val="0"/>
        <w:spacing w:after="0" w:line="360" w:lineRule="auto"/>
        <w:rPr>
          <w:rFonts w:ascii="Arial" w:eastAsia="Calibri" w:hAnsi="Arial" w:cs="Arial"/>
          <w:sz w:val="28"/>
          <w:szCs w:val="28"/>
          <w:lang w:eastAsia="en-US"/>
        </w:rPr>
      </w:pPr>
    </w:p>
    <w:p w14:paraId="4FA3702C" w14:textId="01C4A0C6" w:rsidR="00505C5C" w:rsidRPr="00475A79" w:rsidRDefault="00505C5C" w:rsidP="00475A79">
      <w:pPr>
        <w:suppressAutoHyphens w:val="0"/>
        <w:spacing w:after="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475A79">
        <w:rPr>
          <w:rFonts w:ascii="Arial" w:hAnsi="Arial" w:cs="Arial"/>
          <w:sz w:val="28"/>
          <w:szCs w:val="28"/>
        </w:rPr>
        <w:lastRenderedPageBreak/>
        <w:t>o wszczęciu z urzędu postępowania rozpoznawczego w sprawie</w:t>
      </w:r>
      <w:r w:rsidRPr="00475A79">
        <w:rPr>
          <w:rFonts w:ascii="Arial" w:eastAsia="Calibri" w:hAnsi="Arial" w:cs="Arial"/>
          <w:sz w:val="28"/>
          <w:szCs w:val="28"/>
          <w:lang w:eastAsia="en-US"/>
        </w:rPr>
        <w:t xml:space="preserve"> decyzji Prezydenta m.st. Warszawy z  dnia </w:t>
      </w:r>
      <w:bookmarkStart w:id="1" w:name="_Hlk74923132"/>
      <w:r w:rsidR="006902A2">
        <w:rPr>
          <w:rFonts w:ascii="Arial" w:eastAsia="Calibri" w:hAnsi="Arial" w:cs="Arial"/>
          <w:sz w:val="28"/>
          <w:szCs w:val="28"/>
          <w:lang w:eastAsia="en-US"/>
        </w:rPr>
        <w:t xml:space="preserve">2 lipca </w:t>
      </w:r>
      <w:r w:rsidR="00CA1AF7">
        <w:rPr>
          <w:rFonts w:ascii="Arial" w:eastAsia="Calibri" w:hAnsi="Arial" w:cs="Arial"/>
          <w:sz w:val="28"/>
          <w:szCs w:val="28"/>
          <w:lang w:eastAsia="en-US"/>
        </w:rPr>
        <w:t xml:space="preserve"> 20</w:t>
      </w:r>
      <w:r w:rsidR="006902A2">
        <w:rPr>
          <w:rFonts w:ascii="Arial" w:eastAsia="Calibri" w:hAnsi="Arial" w:cs="Arial"/>
          <w:sz w:val="28"/>
          <w:szCs w:val="28"/>
          <w:lang w:eastAsia="en-US"/>
        </w:rPr>
        <w:t>10</w:t>
      </w:r>
      <w:r w:rsidR="00CA1AF7">
        <w:rPr>
          <w:rFonts w:ascii="Arial" w:eastAsia="Calibri" w:hAnsi="Arial" w:cs="Arial"/>
          <w:sz w:val="28"/>
          <w:szCs w:val="28"/>
          <w:lang w:eastAsia="en-US"/>
        </w:rPr>
        <w:t xml:space="preserve"> </w:t>
      </w:r>
      <w:r w:rsidRPr="00475A79">
        <w:rPr>
          <w:rFonts w:ascii="Arial" w:eastAsia="Calibri" w:hAnsi="Arial" w:cs="Arial"/>
          <w:sz w:val="28"/>
          <w:szCs w:val="28"/>
          <w:lang w:eastAsia="en-US"/>
        </w:rPr>
        <w:t xml:space="preserve">r. nr </w:t>
      </w:r>
      <w:r w:rsidR="006902A2">
        <w:rPr>
          <w:rFonts w:ascii="Arial" w:eastAsia="Calibri" w:hAnsi="Arial" w:cs="Arial"/>
          <w:sz w:val="28"/>
          <w:szCs w:val="28"/>
          <w:lang w:eastAsia="en-US"/>
        </w:rPr>
        <w:t>243/</w:t>
      </w:r>
      <w:r w:rsidRPr="00475A79">
        <w:rPr>
          <w:rFonts w:ascii="Arial" w:eastAsia="Calibri" w:hAnsi="Arial" w:cs="Arial"/>
          <w:sz w:val="28"/>
          <w:szCs w:val="28"/>
          <w:lang w:eastAsia="en-US"/>
        </w:rPr>
        <w:t>GK/DW/20</w:t>
      </w:r>
      <w:r w:rsidR="006902A2">
        <w:rPr>
          <w:rFonts w:ascii="Arial" w:eastAsia="Calibri" w:hAnsi="Arial" w:cs="Arial"/>
          <w:sz w:val="28"/>
          <w:szCs w:val="28"/>
          <w:lang w:eastAsia="en-US"/>
        </w:rPr>
        <w:t>10</w:t>
      </w:r>
      <w:r w:rsidRPr="00475A79">
        <w:rPr>
          <w:rFonts w:ascii="Arial" w:eastAsia="Calibri" w:hAnsi="Arial" w:cs="Arial"/>
          <w:sz w:val="28"/>
          <w:szCs w:val="28"/>
          <w:lang w:eastAsia="en-US"/>
        </w:rPr>
        <w:t xml:space="preserve">, </w:t>
      </w:r>
      <w:bookmarkEnd w:id="1"/>
      <w:r w:rsidRPr="00475A79">
        <w:rPr>
          <w:rFonts w:ascii="Arial" w:eastAsia="Calibri" w:hAnsi="Arial" w:cs="Arial"/>
          <w:sz w:val="28"/>
          <w:szCs w:val="28"/>
          <w:lang w:eastAsia="en-US"/>
        </w:rPr>
        <w:t xml:space="preserve">ustanawiającej prawo użytkowania wieczystego do </w:t>
      </w:r>
      <w:r w:rsidR="00CA1AF7">
        <w:rPr>
          <w:rFonts w:ascii="Arial" w:eastAsia="Calibri" w:hAnsi="Arial" w:cs="Arial"/>
          <w:sz w:val="28"/>
          <w:szCs w:val="28"/>
          <w:lang w:eastAsia="en-US"/>
        </w:rPr>
        <w:t xml:space="preserve">gruntu </w:t>
      </w:r>
      <w:r w:rsidRPr="00475A79">
        <w:rPr>
          <w:rFonts w:ascii="Arial" w:eastAsia="Calibri" w:hAnsi="Arial" w:cs="Arial"/>
          <w:sz w:val="28"/>
          <w:szCs w:val="28"/>
          <w:lang w:eastAsia="en-US"/>
        </w:rPr>
        <w:t xml:space="preserve">o powierzchni </w:t>
      </w:r>
      <w:r w:rsidR="006902A2">
        <w:rPr>
          <w:rFonts w:ascii="Arial" w:eastAsia="Calibri" w:hAnsi="Arial" w:cs="Arial"/>
          <w:sz w:val="28"/>
          <w:szCs w:val="28"/>
          <w:lang w:eastAsia="en-US"/>
        </w:rPr>
        <w:t>367</w:t>
      </w:r>
      <w:r w:rsidRPr="00475A79">
        <w:rPr>
          <w:rFonts w:ascii="Arial" w:eastAsia="Calibri" w:hAnsi="Arial" w:cs="Arial"/>
          <w:sz w:val="28"/>
          <w:szCs w:val="28"/>
          <w:lang w:eastAsia="en-US"/>
        </w:rPr>
        <w:t xml:space="preserve"> m</w:t>
      </w:r>
      <w:r w:rsidRPr="00475A79">
        <w:rPr>
          <w:rFonts w:ascii="Arial" w:eastAsia="Calibri" w:hAnsi="Arial" w:cs="Arial"/>
          <w:sz w:val="28"/>
          <w:szCs w:val="28"/>
          <w:vertAlign w:val="superscript"/>
          <w:lang w:eastAsia="en-US"/>
        </w:rPr>
        <w:t>2</w:t>
      </w:r>
      <w:r w:rsidRPr="00475A79">
        <w:rPr>
          <w:rFonts w:ascii="Arial" w:eastAsia="Calibri" w:hAnsi="Arial" w:cs="Arial"/>
          <w:sz w:val="28"/>
          <w:szCs w:val="28"/>
          <w:lang w:eastAsia="en-US"/>
        </w:rPr>
        <w:t xml:space="preserve"> oznaczone</w:t>
      </w:r>
      <w:r w:rsidR="006902A2">
        <w:rPr>
          <w:rFonts w:ascii="Arial" w:eastAsia="Calibri" w:hAnsi="Arial" w:cs="Arial"/>
          <w:sz w:val="28"/>
          <w:szCs w:val="28"/>
          <w:lang w:eastAsia="en-US"/>
        </w:rPr>
        <w:t>go</w:t>
      </w:r>
      <w:r w:rsidRPr="00475A79">
        <w:rPr>
          <w:rFonts w:ascii="Arial" w:eastAsia="Calibri" w:hAnsi="Arial" w:cs="Arial"/>
          <w:sz w:val="28"/>
          <w:szCs w:val="28"/>
          <w:lang w:eastAsia="en-US"/>
        </w:rPr>
        <w:t xml:space="preserve"> jako działk</w:t>
      </w:r>
      <w:r w:rsidR="006902A2">
        <w:rPr>
          <w:rFonts w:ascii="Arial" w:eastAsia="Calibri" w:hAnsi="Arial" w:cs="Arial"/>
          <w:sz w:val="28"/>
          <w:szCs w:val="28"/>
          <w:lang w:eastAsia="en-US"/>
        </w:rPr>
        <w:t>i</w:t>
      </w:r>
      <w:r w:rsidRPr="00475A79">
        <w:rPr>
          <w:rFonts w:ascii="Arial" w:eastAsia="Calibri" w:hAnsi="Arial" w:cs="Arial"/>
          <w:sz w:val="28"/>
          <w:szCs w:val="28"/>
          <w:lang w:eastAsia="en-US"/>
        </w:rPr>
        <w:t xml:space="preserve"> ewidencyjn</w:t>
      </w:r>
      <w:r w:rsidR="006902A2">
        <w:rPr>
          <w:rFonts w:ascii="Arial" w:eastAsia="Calibri" w:hAnsi="Arial" w:cs="Arial"/>
          <w:sz w:val="28"/>
          <w:szCs w:val="28"/>
          <w:lang w:eastAsia="en-US"/>
        </w:rPr>
        <w:t>e</w:t>
      </w:r>
      <w:r w:rsidRPr="00475A79">
        <w:rPr>
          <w:rFonts w:ascii="Arial" w:eastAsia="Calibri" w:hAnsi="Arial" w:cs="Arial"/>
          <w:sz w:val="28"/>
          <w:szCs w:val="28"/>
          <w:lang w:eastAsia="en-US"/>
        </w:rPr>
        <w:t xml:space="preserve"> nr </w:t>
      </w:r>
      <w:r w:rsidR="00CA1AF7">
        <w:rPr>
          <w:rFonts w:ascii="Arial" w:eastAsia="Calibri" w:hAnsi="Arial" w:cs="Arial"/>
          <w:sz w:val="28"/>
          <w:szCs w:val="28"/>
          <w:lang w:eastAsia="en-US"/>
        </w:rPr>
        <w:t>1</w:t>
      </w:r>
      <w:r w:rsidR="006902A2">
        <w:rPr>
          <w:rFonts w:ascii="Arial" w:eastAsia="Calibri" w:hAnsi="Arial" w:cs="Arial"/>
          <w:sz w:val="28"/>
          <w:szCs w:val="28"/>
          <w:lang w:eastAsia="en-US"/>
        </w:rPr>
        <w:t>7/1 i 17/2</w:t>
      </w:r>
      <w:r w:rsidR="00CA1AF7">
        <w:rPr>
          <w:rFonts w:ascii="Arial" w:eastAsia="Calibri" w:hAnsi="Arial" w:cs="Arial"/>
          <w:sz w:val="28"/>
          <w:szCs w:val="28"/>
          <w:lang w:eastAsia="en-US"/>
        </w:rPr>
        <w:t xml:space="preserve"> </w:t>
      </w:r>
      <w:r w:rsidRPr="00475A79">
        <w:rPr>
          <w:rFonts w:ascii="Arial" w:eastAsia="Calibri" w:hAnsi="Arial" w:cs="Arial"/>
          <w:sz w:val="28"/>
          <w:szCs w:val="28"/>
          <w:lang w:eastAsia="en-US"/>
        </w:rPr>
        <w:t xml:space="preserve"> </w:t>
      </w:r>
      <w:r w:rsidR="00CA1AF7">
        <w:rPr>
          <w:rFonts w:ascii="Arial" w:eastAsia="Calibri" w:hAnsi="Arial" w:cs="Arial"/>
          <w:sz w:val="28"/>
          <w:szCs w:val="28"/>
          <w:lang w:eastAsia="en-US"/>
        </w:rPr>
        <w:t>(obecnie wchodz</w:t>
      </w:r>
      <w:r w:rsidR="006902A2">
        <w:rPr>
          <w:rFonts w:ascii="Arial" w:eastAsia="Calibri" w:hAnsi="Arial" w:cs="Arial"/>
          <w:sz w:val="28"/>
          <w:szCs w:val="28"/>
          <w:lang w:eastAsia="en-US"/>
        </w:rPr>
        <w:t xml:space="preserve">ące </w:t>
      </w:r>
      <w:r w:rsidR="00CA1AF7">
        <w:rPr>
          <w:rFonts w:ascii="Arial" w:eastAsia="Calibri" w:hAnsi="Arial" w:cs="Arial"/>
          <w:sz w:val="28"/>
          <w:szCs w:val="28"/>
          <w:lang w:eastAsia="en-US"/>
        </w:rPr>
        <w:t xml:space="preserve">w skład działki nr 108) z obrębu 4-14-04, </w:t>
      </w:r>
      <w:r w:rsidRPr="00475A79">
        <w:rPr>
          <w:rFonts w:ascii="Arial" w:eastAsia="Calibri" w:hAnsi="Arial" w:cs="Arial"/>
          <w:sz w:val="28"/>
          <w:szCs w:val="28"/>
          <w:lang w:eastAsia="en-US"/>
        </w:rPr>
        <w:t>położone</w:t>
      </w:r>
      <w:r w:rsidR="00CA1AF7">
        <w:rPr>
          <w:rFonts w:ascii="Arial" w:eastAsia="Calibri" w:hAnsi="Arial" w:cs="Arial"/>
          <w:sz w:val="28"/>
          <w:szCs w:val="28"/>
          <w:lang w:eastAsia="en-US"/>
        </w:rPr>
        <w:t>go</w:t>
      </w:r>
      <w:r w:rsidRPr="00475A79">
        <w:rPr>
          <w:rFonts w:ascii="Arial" w:eastAsia="Calibri" w:hAnsi="Arial" w:cs="Arial"/>
          <w:sz w:val="28"/>
          <w:szCs w:val="28"/>
          <w:lang w:eastAsia="en-US"/>
        </w:rPr>
        <w:t xml:space="preserve"> w Warszawie przy ul</w:t>
      </w:r>
      <w:r w:rsidR="00CA1AF7">
        <w:rPr>
          <w:rFonts w:ascii="Arial" w:eastAsia="Calibri" w:hAnsi="Arial" w:cs="Arial"/>
          <w:sz w:val="28"/>
          <w:szCs w:val="28"/>
          <w:lang w:eastAsia="en-US"/>
        </w:rPr>
        <w:t>. Radzymińskiej 34</w:t>
      </w:r>
      <w:r w:rsidRPr="00475A79">
        <w:rPr>
          <w:rFonts w:ascii="Arial" w:eastAsia="Calibri" w:hAnsi="Arial" w:cs="Arial"/>
          <w:sz w:val="28"/>
          <w:szCs w:val="28"/>
          <w:lang w:eastAsia="en-US"/>
        </w:rPr>
        <w:t>,  dla które</w:t>
      </w:r>
      <w:r w:rsidR="00CA1AF7">
        <w:rPr>
          <w:rFonts w:ascii="Arial" w:eastAsia="Calibri" w:hAnsi="Arial" w:cs="Arial"/>
          <w:sz w:val="28"/>
          <w:szCs w:val="28"/>
          <w:lang w:eastAsia="en-US"/>
        </w:rPr>
        <w:t>go</w:t>
      </w:r>
      <w:r w:rsidRPr="00475A79">
        <w:rPr>
          <w:rFonts w:ascii="Arial" w:eastAsia="Calibri" w:hAnsi="Arial" w:cs="Arial"/>
          <w:sz w:val="28"/>
          <w:szCs w:val="28"/>
          <w:lang w:eastAsia="en-US"/>
        </w:rPr>
        <w:t xml:space="preserve"> Sąd Rejonowy dla Wars</w:t>
      </w:r>
      <w:r w:rsidR="00CA1AF7">
        <w:rPr>
          <w:rFonts w:ascii="Arial" w:eastAsia="Calibri" w:hAnsi="Arial" w:cs="Arial"/>
          <w:sz w:val="28"/>
          <w:szCs w:val="28"/>
          <w:lang w:eastAsia="en-US"/>
        </w:rPr>
        <w:t>zawy</w:t>
      </w:r>
      <w:r w:rsidRPr="00475A79">
        <w:rPr>
          <w:rFonts w:ascii="Arial" w:eastAsia="Calibri" w:hAnsi="Arial" w:cs="Arial"/>
          <w:sz w:val="28"/>
          <w:szCs w:val="28"/>
          <w:lang w:eastAsia="en-US"/>
        </w:rPr>
        <w:t xml:space="preserve"> - Mokotowa w Warszawie prowadzi księgę wieczystą nr WA</w:t>
      </w:r>
      <w:r w:rsidR="00CA1AF7">
        <w:rPr>
          <w:rFonts w:ascii="Arial" w:eastAsia="Calibri" w:hAnsi="Arial" w:cs="Arial"/>
          <w:sz w:val="28"/>
          <w:szCs w:val="28"/>
          <w:lang w:eastAsia="en-US"/>
        </w:rPr>
        <w:t xml:space="preserve">3M/00439013/8, </w:t>
      </w:r>
      <w:r w:rsidRPr="00475A79">
        <w:rPr>
          <w:rFonts w:ascii="Arial" w:eastAsia="Calibri" w:hAnsi="Arial" w:cs="Arial"/>
          <w:sz w:val="28"/>
          <w:szCs w:val="28"/>
          <w:lang w:eastAsia="en-US"/>
        </w:rPr>
        <w:t xml:space="preserve">dawne oznaczenie </w:t>
      </w:r>
      <w:r w:rsidR="00CA1AF7">
        <w:rPr>
          <w:rFonts w:ascii="Arial" w:eastAsia="Calibri" w:hAnsi="Arial" w:cs="Arial"/>
          <w:sz w:val="28"/>
          <w:szCs w:val="28"/>
          <w:lang w:eastAsia="en-US"/>
        </w:rPr>
        <w:t xml:space="preserve">numerem </w:t>
      </w:r>
      <w:r w:rsidRPr="00475A79">
        <w:rPr>
          <w:rFonts w:ascii="Arial" w:eastAsia="Calibri" w:hAnsi="Arial" w:cs="Arial"/>
          <w:sz w:val="28"/>
          <w:szCs w:val="28"/>
          <w:lang w:eastAsia="en-US"/>
        </w:rPr>
        <w:t>hipotecznym</w:t>
      </w:r>
      <w:r w:rsidR="00CA1AF7">
        <w:rPr>
          <w:rFonts w:ascii="Arial" w:eastAsia="Calibri" w:hAnsi="Arial" w:cs="Arial"/>
          <w:sz w:val="28"/>
          <w:szCs w:val="28"/>
          <w:lang w:eastAsia="en-US"/>
        </w:rPr>
        <w:t xml:space="preserve"> „Dobra Ziemskie Osada </w:t>
      </w:r>
      <w:proofErr w:type="spellStart"/>
      <w:r w:rsidR="00CA1AF7">
        <w:rPr>
          <w:rFonts w:ascii="Arial" w:eastAsia="Calibri" w:hAnsi="Arial" w:cs="Arial"/>
          <w:sz w:val="28"/>
          <w:szCs w:val="28"/>
          <w:lang w:eastAsia="en-US"/>
        </w:rPr>
        <w:t>Szmulowizna</w:t>
      </w:r>
      <w:proofErr w:type="spellEnd"/>
      <w:r w:rsidR="00CA1AF7">
        <w:rPr>
          <w:rFonts w:ascii="Arial" w:eastAsia="Calibri" w:hAnsi="Arial" w:cs="Arial"/>
          <w:sz w:val="28"/>
          <w:szCs w:val="28"/>
          <w:lang w:eastAsia="en-US"/>
        </w:rPr>
        <w:t xml:space="preserve"> nr 15 rej hip W-1428”. </w:t>
      </w:r>
    </w:p>
    <w:p w14:paraId="4C1324E5" w14:textId="77777777" w:rsidR="00505C5C" w:rsidRPr="00475A79" w:rsidRDefault="00505C5C" w:rsidP="00475A79">
      <w:pPr>
        <w:suppressAutoHyphens w:val="0"/>
        <w:spacing w:after="0" w:line="360" w:lineRule="auto"/>
        <w:rPr>
          <w:rFonts w:ascii="Arial" w:eastAsia="Calibri" w:hAnsi="Arial" w:cs="Arial"/>
          <w:sz w:val="28"/>
          <w:szCs w:val="28"/>
          <w:lang w:eastAsia="pl-PL"/>
        </w:rPr>
      </w:pPr>
    </w:p>
    <w:p w14:paraId="157B4806" w14:textId="77777777" w:rsidR="00505C5C" w:rsidRPr="00475A79" w:rsidRDefault="00505C5C" w:rsidP="00475A79">
      <w:pPr>
        <w:suppressAutoHyphens w:val="0"/>
        <w:spacing w:after="0" w:line="360" w:lineRule="auto"/>
        <w:rPr>
          <w:rFonts w:ascii="Arial" w:eastAsia="Calibri" w:hAnsi="Arial" w:cs="Arial"/>
          <w:sz w:val="28"/>
          <w:szCs w:val="28"/>
          <w:lang w:eastAsia="en-US"/>
        </w:rPr>
      </w:pPr>
    </w:p>
    <w:p w14:paraId="3586D80F" w14:textId="43ACAA03" w:rsidR="00505C5C" w:rsidRDefault="00505C5C" w:rsidP="00CA1AF7">
      <w:pPr>
        <w:suppressAutoHyphens w:val="0"/>
        <w:spacing w:after="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475A79">
        <w:rPr>
          <w:rFonts w:ascii="Arial" w:eastAsia="Calibri" w:hAnsi="Arial" w:cs="Arial"/>
          <w:sz w:val="28"/>
          <w:szCs w:val="28"/>
          <w:lang w:eastAsia="en-US"/>
        </w:rPr>
        <w:t>Przewodniczący Komisji</w:t>
      </w:r>
    </w:p>
    <w:p w14:paraId="5202FB72" w14:textId="77777777" w:rsidR="00CA1AF7" w:rsidRPr="00475A79" w:rsidRDefault="00CA1AF7" w:rsidP="00CA1AF7">
      <w:pPr>
        <w:suppressAutoHyphens w:val="0"/>
        <w:spacing w:after="0" w:line="360" w:lineRule="auto"/>
        <w:rPr>
          <w:rFonts w:ascii="Arial" w:eastAsia="Calibri" w:hAnsi="Arial" w:cs="Arial"/>
          <w:sz w:val="28"/>
          <w:szCs w:val="28"/>
          <w:lang w:eastAsia="en-US"/>
        </w:rPr>
      </w:pPr>
    </w:p>
    <w:p w14:paraId="111B950A" w14:textId="46C8BB55" w:rsidR="00505C5C" w:rsidRPr="00475A79" w:rsidRDefault="00475A79" w:rsidP="00CA1AF7">
      <w:pPr>
        <w:suppressAutoHyphens w:val="0"/>
        <w:spacing w:after="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>
        <w:rPr>
          <w:rFonts w:ascii="Arial" w:eastAsia="Calibri" w:hAnsi="Arial" w:cs="Arial"/>
          <w:sz w:val="28"/>
          <w:szCs w:val="28"/>
          <w:lang w:eastAsia="en-US"/>
        </w:rPr>
        <w:t xml:space="preserve">Sebastian </w:t>
      </w:r>
      <w:r w:rsidR="00505C5C" w:rsidRPr="00475A79">
        <w:rPr>
          <w:rFonts w:ascii="Arial" w:eastAsia="Calibri" w:hAnsi="Arial" w:cs="Arial"/>
          <w:sz w:val="28"/>
          <w:szCs w:val="28"/>
          <w:lang w:eastAsia="en-US"/>
        </w:rPr>
        <w:t>Kaleta</w:t>
      </w:r>
    </w:p>
    <w:p w14:paraId="6A314F16" w14:textId="77777777" w:rsidR="00505C5C" w:rsidRPr="00475A79" w:rsidRDefault="00505C5C" w:rsidP="00475A79">
      <w:pPr>
        <w:suppressAutoHyphens w:val="0"/>
        <w:spacing w:after="0" w:line="360" w:lineRule="auto"/>
        <w:rPr>
          <w:rFonts w:ascii="Arial" w:eastAsia="Calibri" w:hAnsi="Arial" w:cs="Arial"/>
          <w:sz w:val="28"/>
          <w:szCs w:val="28"/>
          <w:lang w:eastAsia="en-US"/>
        </w:rPr>
      </w:pPr>
    </w:p>
    <w:p w14:paraId="3CC91C4E" w14:textId="77777777" w:rsidR="00505C5C" w:rsidRPr="00475A79" w:rsidRDefault="00505C5C" w:rsidP="00475A79">
      <w:pPr>
        <w:suppressAutoHyphens w:val="0"/>
        <w:spacing w:after="0" w:line="360" w:lineRule="auto"/>
        <w:rPr>
          <w:rFonts w:ascii="Arial" w:eastAsia="Calibri" w:hAnsi="Arial" w:cs="Arial"/>
          <w:sz w:val="28"/>
          <w:szCs w:val="28"/>
          <w:lang w:eastAsia="en-US"/>
        </w:rPr>
      </w:pPr>
    </w:p>
    <w:p w14:paraId="0A4FC2EB" w14:textId="150F9BBE" w:rsidR="00505C5C" w:rsidRDefault="00505C5C" w:rsidP="00475A79">
      <w:pPr>
        <w:pStyle w:val="Nagwek1"/>
        <w:rPr>
          <w:rFonts w:ascii="Arial" w:eastAsia="Calibri" w:hAnsi="Arial" w:cs="Arial"/>
          <w:color w:val="auto"/>
          <w:lang w:eastAsia="en-US"/>
        </w:rPr>
      </w:pPr>
      <w:r w:rsidRPr="00CA1AF7">
        <w:rPr>
          <w:rFonts w:ascii="Arial" w:eastAsia="Calibri" w:hAnsi="Arial" w:cs="Arial"/>
          <w:color w:val="auto"/>
          <w:lang w:eastAsia="en-US"/>
        </w:rPr>
        <w:t>POUCZENIE:</w:t>
      </w:r>
    </w:p>
    <w:p w14:paraId="12D69534" w14:textId="77777777" w:rsidR="00CA1AF7" w:rsidRPr="00CA1AF7" w:rsidRDefault="00CA1AF7" w:rsidP="00CA1AF7">
      <w:pPr>
        <w:rPr>
          <w:rFonts w:eastAsia="Calibri"/>
          <w:lang w:eastAsia="en-US"/>
        </w:rPr>
      </w:pPr>
    </w:p>
    <w:p w14:paraId="30F55809" w14:textId="34857F90" w:rsidR="00505C5C" w:rsidRPr="00475A79" w:rsidRDefault="00505C5C" w:rsidP="00475A79">
      <w:pPr>
        <w:pStyle w:val="Akapitzlist"/>
        <w:numPr>
          <w:ilvl w:val="0"/>
          <w:numId w:val="3"/>
        </w:numPr>
        <w:suppressAutoHyphens w:val="0"/>
        <w:spacing w:after="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475A79">
        <w:rPr>
          <w:rFonts w:ascii="Arial" w:eastAsia="Calibri" w:hAnsi="Arial" w:cs="Arial"/>
          <w:sz w:val="28"/>
          <w:szCs w:val="28"/>
          <w:lang w:eastAsia="en-US"/>
        </w:rPr>
        <w:t xml:space="preserve">Zgodnie z art. 16 ust. 2 ustawy z dnia 9 marca 2017 r. o szczególnych zasadach usuwania skutków prawnych decyzji reprywatyzacyjnych dotyczących nieruchomości warszawskich, wydanych z naruszeniem prawa (tj. Dz. U. z 2021 r. poz. 795, dalej: ustawa)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Publicznej, na stronie podmiotowej urzędu obsługującego Ministra </w:t>
      </w:r>
      <w:r w:rsidRPr="00475A79">
        <w:rPr>
          <w:rFonts w:ascii="Arial" w:eastAsia="Calibri" w:hAnsi="Arial" w:cs="Arial"/>
          <w:sz w:val="28"/>
          <w:szCs w:val="28"/>
          <w:lang w:eastAsia="en-US"/>
        </w:rPr>
        <w:lastRenderedPageBreak/>
        <w:t xml:space="preserve">Sprawiedliwości. Zgodnie z art. 16 ust. 4 ustawy zawiadomienie albo doręczenie uważa się za dokonane po upływie 7 dni od dnia publicznego ogłoszenia. </w:t>
      </w:r>
    </w:p>
    <w:p w14:paraId="4F3F209E" w14:textId="10C9BC39" w:rsidR="00505C5C" w:rsidRPr="00475A79" w:rsidRDefault="00505C5C" w:rsidP="00475A79">
      <w:pPr>
        <w:pStyle w:val="Akapitzlist"/>
        <w:numPr>
          <w:ilvl w:val="0"/>
          <w:numId w:val="3"/>
        </w:numPr>
        <w:suppressAutoHyphens w:val="0"/>
        <w:spacing w:after="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475A79">
        <w:rPr>
          <w:rFonts w:ascii="Arial" w:eastAsia="Calibri" w:hAnsi="Arial" w:cs="Arial"/>
          <w:sz w:val="28"/>
          <w:szCs w:val="28"/>
          <w:lang w:eastAsia="en-US"/>
        </w:rPr>
        <w:t>Zgodnie z art. 33 ustawy z dnia 14 czerwca 1960 r. – Kodeks postępowania administracyjnego (Dz. U. z 2021 r. poz. 735):</w:t>
      </w:r>
    </w:p>
    <w:p w14:paraId="43D334F3" w14:textId="77777777" w:rsidR="00505C5C" w:rsidRPr="00475A79" w:rsidRDefault="00505C5C" w:rsidP="00CA1AF7">
      <w:pPr>
        <w:pStyle w:val="Akapitzlist"/>
        <w:suppressAutoHyphens w:val="0"/>
        <w:spacing w:after="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475A79">
        <w:rPr>
          <w:rFonts w:ascii="Arial" w:eastAsia="Calibri" w:hAnsi="Arial" w:cs="Arial"/>
          <w:sz w:val="28"/>
          <w:szCs w:val="28"/>
          <w:lang w:eastAsia="en-US"/>
        </w:rPr>
        <w:t>§ 1. Pełnomocnikiem strony może być osoba fizyczna posiadająca zdolność do czynności prawnych.</w:t>
      </w:r>
    </w:p>
    <w:p w14:paraId="18A3292B" w14:textId="77777777" w:rsidR="00505C5C" w:rsidRPr="00475A79" w:rsidRDefault="00505C5C" w:rsidP="00CA1AF7">
      <w:pPr>
        <w:pStyle w:val="Akapitzlist"/>
        <w:suppressAutoHyphens w:val="0"/>
        <w:spacing w:after="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475A79">
        <w:rPr>
          <w:rFonts w:ascii="Arial" w:eastAsia="Calibri" w:hAnsi="Arial" w:cs="Arial"/>
          <w:sz w:val="28"/>
          <w:szCs w:val="28"/>
          <w:lang w:eastAsia="en-US"/>
        </w:rPr>
        <w:t>§ 2. Pełnomocnictwo powinno być udzielone na piśmie, w formie dokumentu elektronicznego lub zgłoszone do protokołu.</w:t>
      </w:r>
    </w:p>
    <w:p w14:paraId="466F16C2" w14:textId="77777777" w:rsidR="00505C5C" w:rsidRPr="00475A79" w:rsidRDefault="00505C5C" w:rsidP="00CA1AF7">
      <w:pPr>
        <w:pStyle w:val="Akapitzlist"/>
        <w:suppressAutoHyphens w:val="0"/>
        <w:spacing w:after="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475A79">
        <w:rPr>
          <w:rFonts w:ascii="Arial" w:eastAsia="Calibri" w:hAnsi="Arial" w:cs="Arial"/>
          <w:sz w:val="28"/>
          <w:szCs w:val="28"/>
          <w:lang w:eastAsia="en-US"/>
        </w:rPr>
        <w:t>§ 2a. Pełnomocnictwo w formie dokumentu elektronicznego powinno być opatrzone kwalifikowanym podpisem elektronicznym, podpisem zaufanym albo podpisem osobistym.</w:t>
      </w:r>
    </w:p>
    <w:p w14:paraId="2EC8FCE6" w14:textId="77777777" w:rsidR="00505C5C" w:rsidRPr="00475A79" w:rsidRDefault="00505C5C" w:rsidP="00CA1AF7">
      <w:pPr>
        <w:pStyle w:val="Akapitzlist"/>
        <w:suppressAutoHyphens w:val="0"/>
        <w:spacing w:after="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475A79">
        <w:rPr>
          <w:rFonts w:ascii="Arial" w:eastAsia="Calibri" w:hAnsi="Arial" w:cs="Arial"/>
          <w:sz w:val="28"/>
          <w:szCs w:val="28"/>
          <w:lang w:eastAsia="en-US"/>
        </w:rPr>
        <w:t>§ 3. 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6F9AD706" w14:textId="35245783" w:rsidR="00505C5C" w:rsidRPr="00475A79" w:rsidRDefault="00505C5C" w:rsidP="00CA1AF7">
      <w:pPr>
        <w:pStyle w:val="Akapitzlist"/>
        <w:suppressAutoHyphens w:val="0"/>
        <w:spacing w:after="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475A79">
        <w:rPr>
          <w:rFonts w:ascii="Arial" w:eastAsia="Calibri" w:hAnsi="Arial" w:cs="Arial"/>
          <w:sz w:val="28"/>
          <w:szCs w:val="28"/>
          <w:lang w:eastAsia="en-US"/>
        </w:rPr>
        <w:t xml:space="preserve">§ 3a. Jeżeli odpis pełnomocnictwa lub odpisy innych dokumentów wykazujących umocowanie zostały sporządzone w formie dokumentu elektronicznego, ich uwierzytelnienia, o którym mowa </w:t>
      </w:r>
      <w:r w:rsidR="00A41FA3">
        <w:rPr>
          <w:rFonts w:ascii="Arial" w:eastAsia="Calibri" w:hAnsi="Arial" w:cs="Arial"/>
          <w:sz w:val="28"/>
          <w:szCs w:val="28"/>
          <w:lang w:eastAsia="en-US"/>
        </w:rPr>
        <w:br/>
      </w:r>
      <w:r w:rsidRPr="00475A79">
        <w:rPr>
          <w:rFonts w:ascii="Arial" w:eastAsia="Calibri" w:hAnsi="Arial" w:cs="Arial"/>
          <w:sz w:val="28"/>
          <w:szCs w:val="28"/>
          <w:lang w:eastAsia="en-US"/>
        </w:rPr>
        <w:t>w § 3</w:t>
      </w:r>
      <w:r w:rsidR="00A41FA3">
        <w:rPr>
          <w:rFonts w:ascii="Arial" w:eastAsia="Calibri" w:hAnsi="Arial" w:cs="Arial"/>
          <w:sz w:val="28"/>
          <w:szCs w:val="28"/>
          <w:lang w:eastAsia="en-US"/>
        </w:rPr>
        <w:t>.</w:t>
      </w:r>
      <w:r w:rsidRPr="00475A79">
        <w:rPr>
          <w:rFonts w:ascii="Arial" w:eastAsia="Calibri" w:hAnsi="Arial" w:cs="Arial"/>
          <w:sz w:val="28"/>
          <w:szCs w:val="28"/>
          <w:lang w:eastAsia="en-US"/>
        </w:rPr>
        <w:t xml:space="preserve"> dokonuje się, opatrując odpisy kwalifikowanym podpisem elektronicznym, podpisem zaufanym albo podpisem osobistym. Odpisy pełnomocnictwa lub odpisy innych dokumentów wykazujących umocowanie uwierzytelniane elektronicznie są sporządzane w formatach danych określonych w przepisach wydanych na podstawie art. 18 delegacja ustawowa pkt 1 ustawy z </w:t>
      </w:r>
      <w:r w:rsidRPr="00475A79">
        <w:rPr>
          <w:rFonts w:ascii="Arial" w:eastAsia="Calibri" w:hAnsi="Arial" w:cs="Arial"/>
          <w:sz w:val="28"/>
          <w:szCs w:val="28"/>
          <w:lang w:eastAsia="en-US"/>
        </w:rPr>
        <w:lastRenderedPageBreak/>
        <w:t>dnia 17 lutego 2005 r. o informatyzacji działalności podmiotów realizujących zadania publiczne.</w:t>
      </w:r>
    </w:p>
    <w:p w14:paraId="2237E85C" w14:textId="77777777" w:rsidR="00505C5C" w:rsidRPr="00475A79" w:rsidRDefault="00505C5C" w:rsidP="00CA1AF7">
      <w:pPr>
        <w:pStyle w:val="Akapitzlist"/>
        <w:suppressAutoHyphens w:val="0"/>
        <w:spacing w:after="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475A79">
        <w:rPr>
          <w:rFonts w:ascii="Arial" w:eastAsia="Calibri" w:hAnsi="Arial" w:cs="Arial"/>
          <w:sz w:val="28"/>
          <w:szCs w:val="28"/>
          <w:lang w:eastAsia="en-US"/>
        </w:rPr>
        <w:t>§ 4. 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55D9C98B" w14:textId="313623AC" w:rsidR="00505C5C" w:rsidRPr="00475A79" w:rsidRDefault="00505C5C" w:rsidP="00475A79">
      <w:pPr>
        <w:pStyle w:val="Akapitzlist"/>
        <w:numPr>
          <w:ilvl w:val="0"/>
          <w:numId w:val="3"/>
        </w:numPr>
        <w:suppressAutoHyphens w:val="0"/>
        <w:spacing w:after="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475A79">
        <w:rPr>
          <w:rFonts w:ascii="Arial" w:eastAsia="Calibri" w:hAnsi="Arial" w:cs="Arial"/>
          <w:sz w:val="28"/>
          <w:szCs w:val="28"/>
          <w:lang w:eastAsia="en-US"/>
        </w:rPr>
        <w:t>Zgodnie z art.  21 ust. 1 ustawy z dnia 6 lipca 1982 r. ustawy o radach prawnych (Dz. U. z 2020 r. poz. 75) radca prawny może udzielić dalszego pełnomocnictwa (substytucji) innemu radcy prawnemu, adwokatowi, prawnikowi zagranicznemu wykonującemu stałą praktykę w zakresie wynikającym z ustawy o świadczeniu przez prawników zagranicznych pomocy prawnej w Rzeczypospolitej Polskiej.</w:t>
      </w:r>
    </w:p>
    <w:p w14:paraId="1ED598AF" w14:textId="59704C77" w:rsidR="00505C5C" w:rsidRPr="00CA1AF7" w:rsidRDefault="00505C5C" w:rsidP="00475A79">
      <w:pPr>
        <w:pStyle w:val="Akapitzlist"/>
        <w:numPr>
          <w:ilvl w:val="0"/>
          <w:numId w:val="3"/>
        </w:numPr>
        <w:suppressAutoHyphens w:val="0"/>
        <w:spacing w:after="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475A79">
        <w:rPr>
          <w:rFonts w:ascii="Arial" w:eastAsia="Calibri" w:hAnsi="Arial" w:cs="Arial"/>
          <w:sz w:val="28"/>
          <w:szCs w:val="28"/>
          <w:lang w:eastAsia="en-US"/>
        </w:rPr>
        <w:t>Zgodnie z art.  351 ust. 4 ustawy z dnia 6 lipca 1982 r. ustawy o radach prawnych (Dz. U. z 2020 r. poz. 75) aplikant radcowski może sporządzać i podpisywać pisma procesowe związane z występowaniem radcy prawnego przed sądami, organami ścigania i organami państwowymi, samorządowymi i innymi instytucjami - z wyraźnego upoważnienia radcy prawnego, z wyłączeniem apelacji, skargi kasacyjnej i skargi konstytucyjnej.</w:t>
      </w:r>
    </w:p>
    <w:p w14:paraId="034F30AB" w14:textId="6ACC9EED" w:rsidR="00505C5C" w:rsidRPr="00475A79" w:rsidRDefault="00505C5C" w:rsidP="00475A79">
      <w:pPr>
        <w:pStyle w:val="Akapitzlist"/>
        <w:numPr>
          <w:ilvl w:val="0"/>
          <w:numId w:val="3"/>
        </w:numPr>
        <w:suppressAutoHyphens w:val="0"/>
        <w:spacing w:after="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475A79">
        <w:rPr>
          <w:rFonts w:ascii="Arial" w:eastAsia="Calibri" w:hAnsi="Arial" w:cs="Arial"/>
          <w:sz w:val="28"/>
          <w:szCs w:val="28"/>
          <w:lang w:eastAsia="en-US"/>
        </w:rPr>
        <w:t xml:space="preserve">Zgodnie z art. 25 ust. 3 ustawy z dnia 26 maja 1982 r. – Prawo o adwokaturze (Dz. U. z 2019 r. poz. 1513 z </w:t>
      </w:r>
      <w:proofErr w:type="spellStart"/>
      <w:r w:rsidRPr="00475A79">
        <w:rPr>
          <w:rFonts w:ascii="Arial" w:eastAsia="Calibri" w:hAnsi="Arial" w:cs="Arial"/>
          <w:sz w:val="28"/>
          <w:szCs w:val="28"/>
          <w:lang w:eastAsia="en-US"/>
        </w:rPr>
        <w:t>późn</w:t>
      </w:r>
      <w:proofErr w:type="spellEnd"/>
      <w:r w:rsidRPr="00475A79">
        <w:rPr>
          <w:rFonts w:ascii="Arial" w:eastAsia="Calibri" w:hAnsi="Arial" w:cs="Arial"/>
          <w:sz w:val="28"/>
          <w:szCs w:val="28"/>
          <w:lang w:eastAsia="en-US"/>
        </w:rPr>
        <w:t>. zm.) w</w:t>
      </w:r>
      <w:r w:rsidR="001A252C" w:rsidRPr="00475A79">
        <w:rPr>
          <w:rFonts w:ascii="Arial" w:eastAsia="Calibri" w:hAnsi="Arial" w:cs="Arial"/>
          <w:sz w:val="28"/>
          <w:szCs w:val="28"/>
          <w:lang w:eastAsia="en-US"/>
        </w:rPr>
        <w:t> </w:t>
      </w:r>
      <w:r w:rsidRPr="00475A79">
        <w:rPr>
          <w:rFonts w:ascii="Arial" w:eastAsia="Calibri" w:hAnsi="Arial" w:cs="Arial"/>
          <w:sz w:val="28"/>
          <w:szCs w:val="28"/>
          <w:lang w:eastAsia="en-US"/>
        </w:rPr>
        <w:t>wypadku gdy adwokat prowadzący sprawę nie może wziąć osobiście udziału w rozprawie lub wykonać osobiście poszczególnych czynności w sprawie, może on udzielić substytucji.</w:t>
      </w:r>
    </w:p>
    <w:p w14:paraId="100AC15A" w14:textId="0042EA64" w:rsidR="00505C5C" w:rsidRPr="00475A79" w:rsidRDefault="00505C5C" w:rsidP="00475A79">
      <w:pPr>
        <w:pStyle w:val="Akapitzlist"/>
        <w:numPr>
          <w:ilvl w:val="0"/>
          <w:numId w:val="3"/>
        </w:numPr>
        <w:suppressAutoHyphens w:val="0"/>
        <w:spacing w:after="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475A79">
        <w:rPr>
          <w:rFonts w:ascii="Arial" w:eastAsia="Calibri" w:hAnsi="Arial" w:cs="Arial"/>
          <w:sz w:val="28"/>
          <w:szCs w:val="28"/>
          <w:lang w:eastAsia="en-US"/>
        </w:rPr>
        <w:t xml:space="preserve">Zgodnie z art. 77 ust. 5 ustawy z dnia 26 maja 1982 r. – Prawo o adwokaturze (Dz. U. z 2019 r. poz. 1513 z </w:t>
      </w:r>
      <w:proofErr w:type="spellStart"/>
      <w:r w:rsidRPr="00475A79">
        <w:rPr>
          <w:rFonts w:ascii="Arial" w:eastAsia="Calibri" w:hAnsi="Arial" w:cs="Arial"/>
          <w:sz w:val="28"/>
          <w:szCs w:val="28"/>
          <w:lang w:eastAsia="en-US"/>
        </w:rPr>
        <w:t>późn</w:t>
      </w:r>
      <w:proofErr w:type="spellEnd"/>
      <w:r w:rsidRPr="00475A79">
        <w:rPr>
          <w:rFonts w:ascii="Arial" w:eastAsia="Calibri" w:hAnsi="Arial" w:cs="Arial"/>
          <w:sz w:val="28"/>
          <w:szCs w:val="28"/>
          <w:lang w:eastAsia="en-US"/>
        </w:rPr>
        <w:t xml:space="preserve">. zm.) aplikant adwokacki może sporządzać i podpisywać pisma procesowe </w:t>
      </w:r>
      <w:r w:rsidRPr="00475A79">
        <w:rPr>
          <w:rFonts w:ascii="Arial" w:eastAsia="Calibri" w:hAnsi="Arial" w:cs="Arial"/>
          <w:sz w:val="28"/>
          <w:szCs w:val="28"/>
          <w:lang w:eastAsia="en-US"/>
        </w:rPr>
        <w:lastRenderedPageBreak/>
        <w:t>związane z występowaniem adwokata przed sądami, organami ścigania i organami państwowymi, samorządowymi i innymi instytucjami - z wyraźnego upoważnienia adwokata, z</w:t>
      </w:r>
      <w:r w:rsidR="001A252C" w:rsidRPr="00475A79">
        <w:rPr>
          <w:rFonts w:ascii="Arial" w:eastAsia="Calibri" w:hAnsi="Arial" w:cs="Arial"/>
          <w:sz w:val="28"/>
          <w:szCs w:val="28"/>
          <w:lang w:eastAsia="en-US"/>
        </w:rPr>
        <w:t> </w:t>
      </w:r>
      <w:r w:rsidRPr="00475A79">
        <w:rPr>
          <w:rFonts w:ascii="Arial" w:eastAsia="Calibri" w:hAnsi="Arial" w:cs="Arial"/>
          <w:sz w:val="28"/>
          <w:szCs w:val="28"/>
          <w:lang w:eastAsia="en-US"/>
        </w:rPr>
        <w:t>wyłączeniem apelacji, skargi kasacyjnej i skargi konstytucyjnej.</w:t>
      </w:r>
    </w:p>
    <w:p w14:paraId="07A85A24" w14:textId="77777777" w:rsidR="00505C5C" w:rsidRPr="00475A79" w:rsidRDefault="00505C5C" w:rsidP="00475A79">
      <w:pPr>
        <w:spacing w:line="360" w:lineRule="auto"/>
        <w:rPr>
          <w:rFonts w:ascii="Arial" w:hAnsi="Arial" w:cs="Arial"/>
          <w:sz w:val="28"/>
          <w:szCs w:val="28"/>
        </w:rPr>
      </w:pPr>
    </w:p>
    <w:p w14:paraId="6F107777" w14:textId="77777777" w:rsidR="00505C5C" w:rsidRPr="00475A79" w:rsidRDefault="00505C5C" w:rsidP="00475A79">
      <w:pPr>
        <w:spacing w:line="360" w:lineRule="auto"/>
        <w:rPr>
          <w:rFonts w:ascii="Arial" w:hAnsi="Arial" w:cs="Arial"/>
          <w:sz w:val="28"/>
          <w:szCs w:val="28"/>
        </w:rPr>
      </w:pPr>
    </w:p>
    <w:sectPr w:rsidR="00505C5C" w:rsidRPr="00475A7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EED36F" w14:textId="77777777" w:rsidR="00DE001D" w:rsidRDefault="00DE001D" w:rsidP="009A3E8F">
      <w:pPr>
        <w:spacing w:after="0" w:line="240" w:lineRule="auto"/>
      </w:pPr>
      <w:r>
        <w:separator/>
      </w:r>
    </w:p>
  </w:endnote>
  <w:endnote w:type="continuationSeparator" w:id="0">
    <w:p w14:paraId="41C04E72" w14:textId="77777777" w:rsidR="00DE001D" w:rsidRDefault="00DE001D" w:rsidP="009A3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1AA73" w14:textId="7823AB4C" w:rsidR="009A3E8F" w:rsidRDefault="009A3E8F">
    <w:pPr>
      <w:pStyle w:val="Stopka"/>
    </w:pPr>
    <w:r>
      <w:rPr>
        <w:noProof/>
      </w:rPr>
      <w:drawing>
        <wp:anchor distT="0" distB="0" distL="0" distR="0" simplePos="0" relativeHeight="251659264" behindDoc="0" locked="0" layoutInCell="1" allowOverlap="1" wp14:anchorId="5B7531DD" wp14:editId="3A06C4AD">
          <wp:simplePos x="0" y="0"/>
          <wp:positionH relativeFrom="column">
            <wp:posOffset>0</wp:posOffset>
          </wp:positionH>
          <wp:positionV relativeFrom="paragraph">
            <wp:posOffset>161290</wp:posOffset>
          </wp:positionV>
          <wp:extent cx="1963420" cy="373380"/>
          <wp:effectExtent l="0" t="0" r="0" b="7620"/>
          <wp:wrapSquare wrapText="largest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420" cy="37338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51CB1C9" w14:textId="77777777" w:rsidR="009A3E8F" w:rsidRDefault="009A3E8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6E158" w14:textId="77777777" w:rsidR="00DE001D" w:rsidRDefault="00DE001D" w:rsidP="009A3E8F">
      <w:pPr>
        <w:spacing w:after="0" w:line="240" w:lineRule="auto"/>
      </w:pPr>
      <w:r>
        <w:separator/>
      </w:r>
    </w:p>
  </w:footnote>
  <w:footnote w:type="continuationSeparator" w:id="0">
    <w:p w14:paraId="73AEB82D" w14:textId="77777777" w:rsidR="00DE001D" w:rsidRDefault="00DE001D" w:rsidP="009A3E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B20C9"/>
    <w:multiLevelType w:val="hybridMultilevel"/>
    <w:tmpl w:val="3F2E16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59784D"/>
    <w:multiLevelType w:val="hybridMultilevel"/>
    <w:tmpl w:val="DA22DD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E27E4F"/>
    <w:multiLevelType w:val="hybridMultilevel"/>
    <w:tmpl w:val="D6E00C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E8F"/>
    <w:rsid w:val="00023903"/>
    <w:rsid w:val="00047CA5"/>
    <w:rsid w:val="000A6FF5"/>
    <w:rsid w:val="001906C3"/>
    <w:rsid w:val="001A252C"/>
    <w:rsid w:val="001A2D24"/>
    <w:rsid w:val="001D649F"/>
    <w:rsid w:val="001F430D"/>
    <w:rsid w:val="00282F18"/>
    <w:rsid w:val="002C446B"/>
    <w:rsid w:val="002D24FE"/>
    <w:rsid w:val="002F0972"/>
    <w:rsid w:val="003079E4"/>
    <w:rsid w:val="00314A81"/>
    <w:rsid w:val="00376BB0"/>
    <w:rsid w:val="003C35B7"/>
    <w:rsid w:val="003E4AEC"/>
    <w:rsid w:val="003F7BFD"/>
    <w:rsid w:val="004056F2"/>
    <w:rsid w:val="0047100C"/>
    <w:rsid w:val="00475A79"/>
    <w:rsid w:val="004927CC"/>
    <w:rsid w:val="00505C5C"/>
    <w:rsid w:val="00506F94"/>
    <w:rsid w:val="005107BD"/>
    <w:rsid w:val="00521E27"/>
    <w:rsid w:val="00525241"/>
    <w:rsid w:val="00525411"/>
    <w:rsid w:val="0058521A"/>
    <w:rsid w:val="005C2E60"/>
    <w:rsid w:val="005C529B"/>
    <w:rsid w:val="005F1362"/>
    <w:rsid w:val="00637704"/>
    <w:rsid w:val="00643D61"/>
    <w:rsid w:val="006902A2"/>
    <w:rsid w:val="006945D4"/>
    <w:rsid w:val="006967DD"/>
    <w:rsid w:val="006A321F"/>
    <w:rsid w:val="006B0DC3"/>
    <w:rsid w:val="00726631"/>
    <w:rsid w:val="00754656"/>
    <w:rsid w:val="00780CC6"/>
    <w:rsid w:val="00783CAA"/>
    <w:rsid w:val="007954C5"/>
    <w:rsid w:val="007C044F"/>
    <w:rsid w:val="007D0A42"/>
    <w:rsid w:val="007F0655"/>
    <w:rsid w:val="0086238B"/>
    <w:rsid w:val="00920683"/>
    <w:rsid w:val="00992C8C"/>
    <w:rsid w:val="00994608"/>
    <w:rsid w:val="009A3E8F"/>
    <w:rsid w:val="009A55CB"/>
    <w:rsid w:val="009E7F64"/>
    <w:rsid w:val="00A276FA"/>
    <w:rsid w:val="00A41FA3"/>
    <w:rsid w:val="00A4278B"/>
    <w:rsid w:val="00AC23F2"/>
    <w:rsid w:val="00BA0144"/>
    <w:rsid w:val="00C37AB2"/>
    <w:rsid w:val="00C40620"/>
    <w:rsid w:val="00CA1AF7"/>
    <w:rsid w:val="00CE3608"/>
    <w:rsid w:val="00DA70ED"/>
    <w:rsid w:val="00DE001D"/>
    <w:rsid w:val="00E31054"/>
    <w:rsid w:val="00E62E00"/>
    <w:rsid w:val="00E6459F"/>
    <w:rsid w:val="00E67032"/>
    <w:rsid w:val="00EB3034"/>
    <w:rsid w:val="00FD5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6F15B"/>
  <w15:chartTrackingRefBased/>
  <w15:docId w15:val="{736C4203-5D3D-4594-8B58-94591076C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3E8F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75A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9A3E8F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9A3E8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A3E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3E8F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9A3E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3E8F"/>
    <w:rPr>
      <w:rFonts w:ascii="Calibri" w:eastAsia="Times New Roman" w:hAnsi="Calibri" w:cs="Times New Roman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475A7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02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765</Words>
  <Characters>4593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stron o wszczeciu postepowania w sprawie ul. Sekocińska 19, KR VI R 27/21</vt:lpstr>
    </vt:vector>
  </TitlesOfParts>
  <Company/>
  <LinksUpToDate>false</LinksUpToDate>
  <CharactersWithSpaces>5348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stron o wszczeciu postepowania w sprawie ul. Sekocińska 19, KR VI R 27/21</dc:title>
  <dc:subject/>
  <dc:creator>Warchoł Marcin  (DPA)</dc:creator>
  <cp:keywords/>
  <dc:description/>
  <cp:lastModifiedBy>Warchoł Marcin  (DPA)</cp:lastModifiedBy>
  <cp:revision>2</cp:revision>
  <dcterms:created xsi:type="dcterms:W3CDTF">2022-02-03T10:31:00Z</dcterms:created>
  <dcterms:modified xsi:type="dcterms:W3CDTF">2022-02-03T10:31:00Z</dcterms:modified>
</cp:coreProperties>
</file>