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1F9238E4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0861DE75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Stacje dokujące 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6CCC47E7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C409D97" w14:textId="77777777" w:rsidTr="00843111">
        <w:trPr>
          <w:trHeight w:val="3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1C1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93B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Pakiety oprogramowania biurowego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F79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F6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5452" w14:textId="3D98D5F2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Zestawy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65447020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7B9D6F41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230F29FF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Podstawki chłodzące</w:t>
            </w:r>
            <w:r w:rsidR="00EF20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2C3D1C31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4A7E45" w:rsidRPr="00BF601C" w14:paraId="20AA3D67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16A43F0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4F85092F" w:rsidR="004A7E45" w:rsidRPr="00BF601C" w:rsidRDefault="00EF2093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Plecaki 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2C90C376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482F392D" w:rsidR="00405449" w:rsidRPr="00BF601C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BF601C">
        <w:rPr>
          <w:rFonts w:asciiTheme="minorHAnsi" w:hAnsiTheme="minorHAnsi" w:cstheme="minorHAnsi"/>
          <w:sz w:val="24"/>
          <w:szCs w:val="24"/>
        </w:rPr>
        <w:t>„Zapewnienie właściwego stanu ochrony obszarów cennych przyrodniczo 2024-2025”, podzadanie „</w:t>
      </w:r>
      <w:r w:rsidR="00BF601C" w:rsidRPr="00BF601C">
        <w:rPr>
          <w:rFonts w:asciiTheme="minorHAnsi" w:hAnsiTheme="minorHAnsi" w:cstheme="minorHAnsi"/>
          <w:sz w:val="24"/>
          <w:szCs w:val="24"/>
        </w:rPr>
        <w:t>Zakup zestawów komputerowych wraz z oprogramowaniem</w:t>
      </w:r>
      <w:r w:rsidR="00486289" w:rsidRPr="00BF601C">
        <w:rPr>
          <w:rFonts w:asciiTheme="minorHAnsi" w:hAnsiTheme="minorHAnsi" w:cstheme="minorHAnsi"/>
          <w:sz w:val="24"/>
          <w:szCs w:val="24"/>
        </w:rPr>
        <w:t>”</w:t>
      </w:r>
      <w:r w:rsidRPr="00BF601C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 w Toruniu.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479AE79" w14:textId="7A18F314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D22E8C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77777777" w:rsidR="0048665F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46ABE0EF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4AE1087D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14:paraId="360F912E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4F31C95A" w:rsidR="004A7E45" w:rsidRPr="00BF601C" w:rsidRDefault="00BF601C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Plecaki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laptopów - ……………………………………………………………………………………………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085B834C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6D48EC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7777777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0008A944" w14:textId="2851191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Zamawiający może odstąpić od umowy w przypadku braku uzyskania środków </w:t>
      </w:r>
      <w:r w:rsidR="005F4F96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>na realizację zamówienia, bez prawa do żądania jakichkolwiek roszczeń przez Wykonawcę od Zamawiającego, w szczególności z tytułu szkód, utraconych korzyści i poniesionych kosztów oraz kar umownych</w:t>
      </w:r>
      <w:r w:rsidR="006D48EC">
        <w:rPr>
          <w:rFonts w:asciiTheme="minorHAnsi" w:hAnsiTheme="minorHAnsi" w:cstheme="minorHAnsi"/>
          <w:sz w:val="24"/>
          <w:szCs w:val="24"/>
        </w:rPr>
        <w:t>.</w:t>
      </w:r>
    </w:p>
    <w:p w14:paraId="4D22074E" w14:textId="77777777" w:rsidR="00BF601C" w:rsidRPr="00BF601C" w:rsidRDefault="00BF601C" w:rsidP="00BF601C">
      <w:pPr>
        <w:tabs>
          <w:tab w:val="left" w:pos="374"/>
        </w:tabs>
        <w:suppressAutoHyphens w:val="0"/>
        <w:overflowPunct/>
        <w:autoSpaceDE/>
        <w:spacing w:line="276" w:lineRule="auto"/>
        <w:ind w:left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E649C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E649C2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E649C2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77777777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BF601C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8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755E" w14:textId="77777777" w:rsidR="00D46270" w:rsidRDefault="00D46270">
      <w:r>
        <w:separator/>
      </w:r>
    </w:p>
  </w:endnote>
  <w:endnote w:type="continuationSeparator" w:id="0">
    <w:p w14:paraId="4504B63E" w14:textId="77777777" w:rsidR="00D46270" w:rsidRDefault="00D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1CD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48DBC756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C63B" w14:textId="77777777" w:rsidR="00D46270" w:rsidRDefault="00D46270">
      <w:r>
        <w:separator/>
      </w:r>
    </w:p>
  </w:footnote>
  <w:footnote w:type="continuationSeparator" w:id="0">
    <w:p w14:paraId="38C9DF5A" w14:textId="77777777" w:rsidR="00D46270" w:rsidRDefault="00D4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866672689">
    <w:abstractNumId w:val="0"/>
  </w:num>
  <w:num w:numId="2" w16cid:durableId="315492884">
    <w:abstractNumId w:val="1"/>
  </w:num>
  <w:num w:numId="3" w16cid:durableId="1673141306">
    <w:abstractNumId w:val="2"/>
  </w:num>
  <w:num w:numId="4" w16cid:durableId="469640752">
    <w:abstractNumId w:val="3"/>
  </w:num>
  <w:num w:numId="5" w16cid:durableId="61415579">
    <w:abstractNumId w:val="4"/>
  </w:num>
  <w:num w:numId="6" w16cid:durableId="1422289249">
    <w:abstractNumId w:val="5"/>
  </w:num>
  <w:num w:numId="7" w16cid:durableId="1210145893">
    <w:abstractNumId w:val="6"/>
  </w:num>
  <w:num w:numId="8" w16cid:durableId="1074009913">
    <w:abstractNumId w:val="7"/>
  </w:num>
  <w:num w:numId="9" w16cid:durableId="1993943509">
    <w:abstractNumId w:val="17"/>
  </w:num>
  <w:num w:numId="10" w16cid:durableId="1749838982">
    <w:abstractNumId w:val="19"/>
  </w:num>
  <w:num w:numId="11" w16cid:durableId="1801454725">
    <w:abstractNumId w:val="14"/>
  </w:num>
  <w:num w:numId="12" w16cid:durableId="1865753092">
    <w:abstractNumId w:val="13"/>
  </w:num>
  <w:num w:numId="13" w16cid:durableId="54764878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145990">
    <w:abstractNumId w:val="10"/>
  </w:num>
  <w:num w:numId="15" w16cid:durableId="1530487124">
    <w:abstractNumId w:val="12"/>
  </w:num>
  <w:num w:numId="16" w16cid:durableId="743650843">
    <w:abstractNumId w:val="16"/>
  </w:num>
  <w:num w:numId="17" w16cid:durableId="948001106">
    <w:abstractNumId w:val="9"/>
  </w:num>
  <w:num w:numId="18" w16cid:durableId="343244667">
    <w:abstractNumId w:val="21"/>
  </w:num>
  <w:num w:numId="19" w16cid:durableId="1048143307">
    <w:abstractNumId w:val="8"/>
  </w:num>
  <w:num w:numId="20" w16cid:durableId="372966409">
    <w:abstractNumId w:val="15"/>
  </w:num>
  <w:num w:numId="21" w16cid:durableId="290946305">
    <w:abstractNumId w:val="20"/>
  </w:num>
  <w:num w:numId="22" w16cid:durableId="926883821">
    <w:abstractNumId w:val="11"/>
  </w:num>
  <w:num w:numId="23" w16cid:durableId="1432050797">
    <w:abstractNumId w:val="18"/>
  </w:num>
  <w:num w:numId="24" w16cid:durableId="11320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C2CA3"/>
    <w:rsid w:val="001C2F59"/>
    <w:rsid w:val="001C799D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C305B"/>
    <w:rsid w:val="002C7576"/>
    <w:rsid w:val="002E2D9C"/>
    <w:rsid w:val="002F0468"/>
    <w:rsid w:val="002F2186"/>
    <w:rsid w:val="00327E02"/>
    <w:rsid w:val="00343364"/>
    <w:rsid w:val="003460E0"/>
    <w:rsid w:val="0038617B"/>
    <w:rsid w:val="00391D8A"/>
    <w:rsid w:val="003D7E6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116D1"/>
    <w:rsid w:val="0051173F"/>
    <w:rsid w:val="00526FEC"/>
    <w:rsid w:val="0056155A"/>
    <w:rsid w:val="00572785"/>
    <w:rsid w:val="005A5F1D"/>
    <w:rsid w:val="005E2196"/>
    <w:rsid w:val="005F4F96"/>
    <w:rsid w:val="006205E0"/>
    <w:rsid w:val="00632FB4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F44C6"/>
    <w:rsid w:val="00B129F0"/>
    <w:rsid w:val="00B73DA4"/>
    <w:rsid w:val="00B77F84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CE3E42"/>
    <w:rsid w:val="00D16F25"/>
    <w:rsid w:val="00D215C2"/>
    <w:rsid w:val="00D22E8C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9094F"/>
    <w:rsid w:val="00FA7E90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7</cp:revision>
  <cp:lastPrinted>2025-04-25T09:03:00Z</cp:lastPrinted>
  <dcterms:created xsi:type="dcterms:W3CDTF">2025-09-23T08:56:00Z</dcterms:created>
  <dcterms:modified xsi:type="dcterms:W3CDTF">2025-11-21T11:19:00Z</dcterms:modified>
</cp:coreProperties>
</file>