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6E417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2E8913FC" w14:textId="77777777" w:rsidR="00E615CD" w:rsidRPr="008516AC" w:rsidRDefault="00E615CD" w:rsidP="008516AC">
      <w:pPr>
        <w:pStyle w:val="TYTUROZDZIAU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INFORMACJA DLA AUTORÓW</w:t>
      </w:r>
    </w:p>
    <w:p w14:paraId="5BD064EA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64BC51F4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Publikacja w czasopiśmie „Probacja” wymaga spełnienia przez Autorów wymogów formalnych, merytorycznych i technicznych.</w:t>
      </w:r>
    </w:p>
    <w:p w14:paraId="27A0DB87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>Autor winien złożyć oświadczenie o oryginalności tekstu oraz o tym, że tekst nie był wcześniej publikowany w żadnym wydawnictwie – druk do pobrania znajduje się na stronie Probacji www.probacja.com w zakładce „Dla Autorów”.</w:t>
      </w:r>
    </w:p>
    <w:p w14:paraId="6112945F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Redakcja przyjmuje materiały autorskie w wersji elektronicznej (plik.doc lub docx).</w:t>
      </w:r>
    </w:p>
    <w:p w14:paraId="20D2E18C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Redakcja nie zwraca nadesłanych materiałów i zastrzega sobie prawo dokonywania formalnych zmian i niezbędnych skrótów.</w:t>
      </w:r>
    </w:p>
    <w:p w14:paraId="552373F3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>Materiały należy składać korzystając z systemu redakcyjnego ICI Publishers Panel na stronie Probacji www.probacja.com w zakładce „Złóż Manuskrypt” lub przesłać na adres e-mail: joanna.strzalkowska@ms.gov.pl</w:t>
      </w:r>
    </w:p>
    <w:p w14:paraId="4C24250B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</w:p>
    <w:p w14:paraId="21ADE2D3" w14:textId="77777777" w:rsidR="00E615CD" w:rsidRPr="008516AC" w:rsidRDefault="00E615CD" w:rsidP="008516AC">
      <w:pPr>
        <w:pStyle w:val="NAGLOWEK2"/>
        <w:jc w:val="both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1. Wymogi merytoryczne</w:t>
      </w:r>
    </w:p>
    <w:p w14:paraId="26E38B9A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026F4959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Przesłane teksty winny zawierać analizę tematyki dotychczas w literaturze nieopracowanej.</w:t>
      </w:r>
    </w:p>
    <w:p w14:paraId="025D89DE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Każdy przesłany do redakcji tekst winien zaczynać się od sprecyzowania przedmiotu analizy, wyjaśnienia dlaczego zdaniem autora wybrana tematyka jest ważna z punktu widzenia określonej dziedziny wiedzy, wskazania stawianych przez autora tez badawczych, a kończyć czytelnymi konkluzjami wynikającymi z przeprowadzonego wnioskowania.</w:t>
      </w:r>
    </w:p>
    <w:p w14:paraId="597EB568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6D024A9D" w14:textId="77777777" w:rsidR="00E615CD" w:rsidRPr="008516AC" w:rsidRDefault="00E615CD" w:rsidP="008516AC">
      <w:pPr>
        <w:pStyle w:val="NAGLOWEK2"/>
        <w:jc w:val="both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2. Wymogi techniczne tekstów</w:t>
      </w:r>
    </w:p>
    <w:p w14:paraId="0BF55A8E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5E9FB441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Objętość tekstu dla artykułu: maks. 25 stron znormalizowanego tekstu (włączając bibliografię, rysunki, tabele i wykresy), dla pozostałych opracowań: 10 stron. </w:t>
      </w:r>
    </w:p>
    <w:p w14:paraId="2FD30412" w14:textId="28CB90E6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1"/>
          <w:sz w:val="24"/>
          <w:szCs w:val="24"/>
        </w:rPr>
      </w:pPr>
      <w:r w:rsidRPr="008516AC">
        <w:rPr>
          <w:rFonts w:ascii="Times New Roman" w:hAnsi="Times New Roman" w:cs="Times New Roman"/>
          <w:spacing w:val="-1"/>
          <w:sz w:val="24"/>
          <w:szCs w:val="24"/>
        </w:rPr>
        <w:t>Edytor tekstu: Word, preferowana czcionka Times New Roman 11 punktów, interlinia 1,5 (dla przypisów dolnych 9). Tekst powinien być wyjustowany, śródtytuły numerowane, należy unikać pogrubienia i podkreślenia. Do cytatów należy stosować cudzysłów.</w:t>
      </w:r>
    </w:p>
    <w:p w14:paraId="4D4FF3F1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0F4E3062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>Należy dołączyć: słowa kluczowe (do 8 słów) oraz streszczenie (do 500 znaków) w języku polskim i angielskim oraz ułożoną w porządku alfabetycznym bibliografię.</w:t>
      </w:r>
    </w:p>
    <w:p w14:paraId="45A2CC2F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>Autor powinien dostarczyć materiał ilustracyjny (zdjęcia, wykresy, tabele) dodatkowo w formie osobnych plików graficznych.</w:t>
      </w:r>
    </w:p>
    <w:p w14:paraId="118003D7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771FFDA2" w14:textId="77777777" w:rsidR="00E615CD" w:rsidRPr="008516AC" w:rsidRDefault="00E615CD" w:rsidP="008516AC">
      <w:pPr>
        <w:pStyle w:val="NAGLOWEK2"/>
        <w:jc w:val="both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3. Sporządzanie przypisów</w:t>
      </w:r>
    </w:p>
    <w:p w14:paraId="21522857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67E24814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Pierwszy przypis w artykule powinien być afiliacją autora (autorów): posiadane tytuły naukowe, nazwa instytucji zatrudniającej i adres e-mail, ORCID:, np.:</w:t>
      </w:r>
    </w:p>
    <w:p w14:paraId="6EF40320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2228D6FE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dr Jan Kowalski, Katedra Prawa Karnego Wykonawczego, Uniwersytet Warszawski, autor do korespondencji, e-mail: mail@mail.pl, ORCID: …</w:t>
      </w:r>
    </w:p>
    <w:p w14:paraId="13CC8533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281EAE7A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Zwroty obcojęzyczne oraz tytuły cytowanych prac zaznacza się kursywą.</w:t>
      </w:r>
    </w:p>
    <w:p w14:paraId="3C183398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Dłuższe cytaty są niedopuszczalne, chyba, że ich zastosowanie jest uzasadnione i celowe, 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lastRenderedPageBreak/>
        <w:t>przykładowo poprzez przeprowadzenie dokładnej analiza zacytowanego fragmentu.</w:t>
      </w:r>
    </w:p>
    <w:p w14:paraId="07802DAE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Przypisy powinny zostać umieszczone na dole strony przy wykorzystaniu funkcji automatycznego numerowania. Należy unikać rozbudowanych fragmentów tekstów w przypisach oraz zamieszczania w przypisach dłuższych cytatów. </w:t>
      </w:r>
    </w:p>
    <w:p w14:paraId="5B652F6C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>W tekście głównym stosowane są powszechnie przyjęte skrótowce, także na oznaczenie aktów prawnych (k.k., k.p.k.) oraz w przypisie odesłania do pełnej nazwy aktu prawnego, daty jego wydania oraz publikatora.</w:t>
      </w:r>
    </w:p>
    <w:p w14:paraId="53D91973" w14:textId="77777777" w:rsidR="00E615CD" w:rsidRPr="008516AC" w:rsidRDefault="00E615CD" w:rsidP="008516AC">
      <w:pPr>
        <w:pStyle w:val="NAGLOWEK3"/>
        <w:jc w:val="both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Formalny kształt przypisów:</w:t>
      </w:r>
    </w:p>
    <w:p w14:paraId="4AB23B1A" w14:textId="77777777" w:rsidR="00E615CD" w:rsidRPr="008516AC" w:rsidRDefault="00E615CD" w:rsidP="008516AC">
      <w:pPr>
        <w:pStyle w:val="NAGLOWEK3"/>
        <w:jc w:val="both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Książki</w:t>
      </w:r>
    </w:p>
    <w:p w14:paraId="3292249F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2B93A8E0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>inicjał imienia i nazwisko autora, tytuł kursywą, miejsce i rok wydania, strona:</w:t>
      </w:r>
    </w:p>
    <w:p w14:paraId="5AC26D4B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</w:p>
    <w:p w14:paraId="6FE7C0DE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B. Stańdo-Kawecka, </w:t>
      </w:r>
      <w:r w:rsidRPr="008516AC">
        <w:rPr>
          <w:rStyle w:val="Kursywa"/>
          <w:rFonts w:ascii="Times New Roman" w:hAnsi="Times New Roman" w:cs="Times New Roman"/>
          <w:spacing w:val="-2"/>
          <w:sz w:val="24"/>
          <w:szCs w:val="24"/>
        </w:rPr>
        <w:t>Prawo karne nieletnich. Od opieki do odpowiedzialności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t>, Warszawa 2007, s. 100.</w:t>
      </w:r>
    </w:p>
    <w:p w14:paraId="28DEF0B2" w14:textId="77777777" w:rsidR="00E615CD" w:rsidRPr="008516AC" w:rsidRDefault="00E615CD" w:rsidP="008516AC">
      <w:pPr>
        <w:pStyle w:val="NAGLOWEK3"/>
        <w:jc w:val="both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Dzieła z jednolitym współautorstwem</w:t>
      </w:r>
    </w:p>
    <w:p w14:paraId="0BC4B3CF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1432C932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>inicjały imion i nazwisko autorów, tytuł kursywą, miejsce i rok wydania, strona:</w:t>
      </w:r>
    </w:p>
    <w:p w14:paraId="7B5D3118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41314CD2" w14:textId="248284D9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 xml:space="preserve">S. Tarapata, P. Zakrzewski, 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>O funkcjach urojenia okoliczności wyłącza</w:t>
      </w:r>
      <w:r w:rsidRPr="008516AC">
        <w:rPr>
          <w:rStyle w:val="Kursywa"/>
          <w:rFonts w:ascii="Times New Roman" w:hAnsi="Times New Roman" w:cs="Times New Roman"/>
          <w:spacing w:val="-2"/>
          <w:sz w:val="24"/>
          <w:szCs w:val="24"/>
        </w:rPr>
        <w:t>jących bezprawność. Wybrane zagadnienia teoretycznoprawne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, w: </w:t>
      </w:r>
      <w:r w:rsidRPr="008516AC">
        <w:rPr>
          <w:rStyle w:val="Kursywa"/>
          <w:rFonts w:ascii="Times New Roman" w:hAnsi="Times New Roman" w:cs="Times New Roman"/>
          <w:spacing w:val="-2"/>
          <w:sz w:val="24"/>
          <w:szCs w:val="24"/>
        </w:rPr>
        <w:t>Nowa ko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>dyfikacja prawa karnego. Tom XLIII, Księga Jubileuszowa Profesora Tomasza Kaczmarka</w:t>
      </w:r>
      <w:r w:rsidRPr="008516AC">
        <w:rPr>
          <w:rFonts w:ascii="Times New Roman" w:hAnsi="Times New Roman" w:cs="Times New Roman"/>
          <w:sz w:val="24"/>
          <w:szCs w:val="24"/>
        </w:rPr>
        <w:t>, red. J. Giezek, D. Gruszecka, T. Kalisz, Warszawa 2017, s. 100.</w:t>
      </w:r>
    </w:p>
    <w:p w14:paraId="1B5CEBBC" w14:textId="77777777" w:rsidR="00E615CD" w:rsidRPr="008516AC" w:rsidRDefault="00E615CD" w:rsidP="008516AC">
      <w:pPr>
        <w:pStyle w:val="NAGLOWEK3"/>
        <w:jc w:val="both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Prace w dziełach zbiorowych</w:t>
      </w:r>
    </w:p>
    <w:p w14:paraId="56CC3DCC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746BA548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inicjał imienia i nazwisko autora, tytuł pracy kursywą, „w:” bez nawiasów, tytuł dzieła kursywą, skrót „red.” bez nawiasów, inicjał imienia i nazwisko redaktora/redaktorów, miejsce i rok wydania, strona:</w:t>
      </w:r>
    </w:p>
    <w:p w14:paraId="60B0A3C1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738712D4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P.D. Zakrzewski, </w:t>
      </w:r>
      <w:r w:rsidRPr="008516AC">
        <w:rPr>
          <w:rStyle w:val="Kursywa"/>
          <w:rFonts w:ascii="Times New Roman" w:hAnsi="Times New Roman" w:cs="Times New Roman"/>
          <w:spacing w:val="-2"/>
          <w:sz w:val="24"/>
          <w:szCs w:val="24"/>
        </w:rPr>
        <w:t>Kara łączna a prawo karne intertemporalne. Analiza problematyki na tle pojęcia czynu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 w: </w:t>
      </w:r>
      <w:r w:rsidRPr="008516AC">
        <w:rPr>
          <w:rStyle w:val="Kursywa"/>
          <w:rFonts w:ascii="Times New Roman" w:hAnsi="Times New Roman" w:cs="Times New Roman"/>
          <w:spacing w:val="-2"/>
          <w:sz w:val="24"/>
          <w:szCs w:val="24"/>
        </w:rPr>
        <w:t>Zagadnienia teorii i nauczania prawa karnego. Kara łączna. Księga Jubileuszowa Profesor Marii Szewczyk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t>, W. Górowski, P. Kardas, T. Sroka, W. Wróbel, Warszawa 2013, s. 100.</w:t>
      </w:r>
    </w:p>
    <w:p w14:paraId="1FEA488D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79EE14AC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Komentarze w wydaniach papierowych</w:t>
      </w:r>
    </w:p>
    <w:p w14:paraId="3D9C0751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25D17995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inicjał imienia i nazwisko autora, „w:” bez nawiasów, pełny tytuł komentarza kursywą, skrót „red.” bez nawiasów, inicjał imienia i nazwisko redaktora/redaktorów, miejsce i rok wydania, strona:</w:t>
      </w:r>
    </w:p>
    <w:p w14:paraId="703203B8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49C5ABB2" w14:textId="3E2F42A3" w:rsidR="00E615CD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 xml:space="preserve">S. Tarapata, A. Zoll, w: 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 xml:space="preserve">Kodeks karny. Cześć ogólna. Komentarz. Tom I. 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br/>
        <w:t>Komentarz do art. 53–116 (cz. 2)</w:t>
      </w:r>
      <w:r w:rsidRPr="008516AC">
        <w:rPr>
          <w:rFonts w:ascii="Times New Roman" w:hAnsi="Times New Roman" w:cs="Times New Roman"/>
          <w:sz w:val="24"/>
          <w:szCs w:val="24"/>
        </w:rPr>
        <w:t>, red. W. Wróbel, A. Zoll, wyd. 5, War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t>szawa 2016, s. 180.</w:t>
      </w:r>
    </w:p>
    <w:p w14:paraId="361C3DD5" w14:textId="77777777" w:rsidR="00DC792E" w:rsidRPr="008516AC" w:rsidRDefault="00DC792E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</w:p>
    <w:p w14:paraId="3F589D43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4595E5C3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Komentarze w wydaniach cyfrowych</w:t>
      </w:r>
    </w:p>
    <w:p w14:paraId="229C3C30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5EBDC8D0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>inicjał imienia i nazwisko autora, komentarz do art. … „w:” bez nawiasów, pełny tytuł komentarza kursywą, skrót „red.” bez nawiasów, inicjał imienia i nazwisko redaktora/redaktorów, miejsce i rok wydania, numer tezy:</w:t>
      </w:r>
    </w:p>
    <w:p w14:paraId="31CDC96D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S. Tarapata, A. Zoll, </w:t>
      </w:r>
      <w:r w:rsidRPr="008516AC">
        <w:rPr>
          <w:rStyle w:val="Kursywa"/>
          <w:rFonts w:ascii="Times New Roman" w:hAnsi="Times New Roman" w:cs="Times New Roman"/>
          <w:spacing w:val="-2"/>
          <w:sz w:val="24"/>
          <w:szCs w:val="24"/>
        </w:rPr>
        <w:t>Komentarz do art. 101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, w: </w:t>
      </w:r>
      <w:r w:rsidRPr="008516AC">
        <w:rPr>
          <w:rStyle w:val="Kursywa"/>
          <w:rFonts w:ascii="Times New Roman" w:hAnsi="Times New Roman" w:cs="Times New Roman"/>
          <w:spacing w:val="-2"/>
          <w:sz w:val="24"/>
          <w:szCs w:val="24"/>
        </w:rPr>
        <w:t>Kodeks Karny. Część ogól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>na. Komentarz. Tom I. Komentarz do art. 53–116 (cz. 2)</w:t>
      </w:r>
      <w:r w:rsidRPr="008516AC">
        <w:rPr>
          <w:rStyle w:val="Regular"/>
          <w:rFonts w:ascii="Times New Roman" w:hAnsi="Times New Roman" w:cs="Times New Roman"/>
          <w:sz w:val="24"/>
          <w:szCs w:val="24"/>
        </w:rPr>
        <w:t>,</w:t>
      </w:r>
      <w:r w:rsidRPr="008516AC">
        <w:rPr>
          <w:rFonts w:ascii="Times New Roman" w:hAnsi="Times New Roman" w:cs="Times New Roman"/>
          <w:sz w:val="24"/>
          <w:szCs w:val="24"/>
        </w:rPr>
        <w:t xml:space="preserve"> red. W. Wróbel, 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t>A. Zoll, Warszawa 2016, LEX teza nr 5.</w:t>
      </w:r>
    </w:p>
    <w:p w14:paraId="3EB529B9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470E70DA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 xml:space="preserve">S. Lelental, 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>Komentarz do art. 156 k.k.</w:t>
      </w:r>
      <w:r w:rsidRPr="008516AC">
        <w:rPr>
          <w:rFonts w:ascii="Times New Roman" w:hAnsi="Times New Roman" w:cs="Times New Roman"/>
          <w:sz w:val="24"/>
          <w:szCs w:val="24"/>
        </w:rPr>
        <w:t xml:space="preserve">, w: 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>Kodeks karny wykonawczy. Komentarz</w:t>
      </w:r>
      <w:r w:rsidRPr="008516AC">
        <w:rPr>
          <w:rFonts w:ascii="Times New Roman" w:hAnsi="Times New Roman" w:cs="Times New Roman"/>
          <w:sz w:val="24"/>
          <w:szCs w:val="24"/>
        </w:rPr>
        <w:t>, red. S. Lelental, Warszawa 2020, Legalis teza nr II.1.</w:t>
      </w:r>
    </w:p>
    <w:p w14:paraId="100C4273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415DF4CB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System Prawa Karnego</w:t>
      </w:r>
    </w:p>
    <w:p w14:paraId="4C84E05E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20A06113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inicjał imienia i nazwisko autora, tytuł rozdziału, „w:” bez nawiasów, tytuł, podtytuł i tom Systemu, skrót „red.” bez nawiasów, inicjał imienia i nazwisko redaktora, miejsce i rok wydania, strona:</w:t>
      </w:r>
    </w:p>
    <w:p w14:paraId="43B8D119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243A7297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J. Majewski, </w:t>
      </w:r>
      <w:r w:rsidRPr="008516AC">
        <w:rPr>
          <w:rStyle w:val="Kursywa"/>
          <w:rFonts w:ascii="Times New Roman" w:hAnsi="Times New Roman" w:cs="Times New Roman"/>
          <w:spacing w:val="-2"/>
          <w:sz w:val="24"/>
          <w:szCs w:val="24"/>
        </w:rPr>
        <w:t>Rozdział IV. Zbieg przepisów ustawy. Zagadnienia węzłowe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, w: </w:t>
      </w:r>
      <w:r w:rsidRPr="008516AC">
        <w:rPr>
          <w:rStyle w:val="Kursywa"/>
          <w:rFonts w:ascii="Times New Roman" w:hAnsi="Times New Roman" w:cs="Times New Roman"/>
          <w:spacing w:val="-2"/>
          <w:sz w:val="24"/>
          <w:szCs w:val="24"/>
        </w:rPr>
        <w:t>System Prawa Karnego. Tom 3. Nauka o przestępstwie. Zasady odpowiedzialności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t>, red. R. Dębski, wyd. 2, Warszawa 2013, s. 1100.</w:t>
      </w:r>
    </w:p>
    <w:p w14:paraId="714AE1C5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60C43761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Artykuł w czasopiśmie</w:t>
      </w:r>
    </w:p>
    <w:p w14:paraId="628D64F8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65676B0A" w14:textId="2AD38EE6" w:rsidR="00E615CD" w:rsidRPr="008516AC" w:rsidRDefault="0024072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inicjał imienia i nazwisko autora, tytuł kursywą, tytuł </w:t>
      </w:r>
      <w:r w:rsidR="00847D71" w:rsidRPr="008516AC">
        <w:rPr>
          <w:rFonts w:ascii="Times New Roman" w:hAnsi="Times New Roman" w:cs="Times New Roman"/>
          <w:spacing w:val="-2"/>
          <w:sz w:val="24"/>
          <w:szCs w:val="24"/>
        </w:rPr>
        <w:t>czasopisma (pełna nazwa), numer/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t>zeszyt/tom / na rok wydania, strona:</w:t>
      </w:r>
    </w:p>
    <w:p w14:paraId="7DB0ECCA" w14:textId="77777777" w:rsidR="002B3A9C" w:rsidRPr="008516AC" w:rsidRDefault="002B3A9C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</w:p>
    <w:p w14:paraId="4B823C85" w14:textId="77777777" w:rsidR="0024072D" w:rsidRPr="008516AC" w:rsidRDefault="0024072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5E5884A5" w14:textId="2061D574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 xml:space="preserve">P. Zakrzewski, 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>O sposobach normowa</w:t>
      </w:r>
      <w:r w:rsidR="00847D71" w:rsidRPr="008516AC">
        <w:rPr>
          <w:rStyle w:val="Kursywa"/>
          <w:rFonts w:ascii="Times New Roman" w:hAnsi="Times New Roman" w:cs="Times New Roman"/>
          <w:sz w:val="24"/>
          <w:szCs w:val="24"/>
        </w:rPr>
        <w:t>nia i dekodowania treści zamiar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>u w perspektywie tzw. znamion normatywnych oraz okoliczności wyłączających bezprawność</w:t>
      </w:r>
      <w:r w:rsidRPr="008516AC">
        <w:rPr>
          <w:rFonts w:ascii="Times New Roman" w:hAnsi="Times New Roman" w:cs="Times New Roman"/>
          <w:sz w:val="24"/>
          <w:szCs w:val="24"/>
        </w:rPr>
        <w:t>, „Acta Iuris Stetinensis” 1/2018, s. 100.</w:t>
      </w:r>
    </w:p>
    <w:p w14:paraId="04E58EFA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75AAC8E9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Glosa w czasopiśmie</w:t>
      </w:r>
    </w:p>
    <w:p w14:paraId="33EA8669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4733360C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inicjał imienia i nazwisko autora, określenie orzeczenia, którego dotyczy glosa (z zastosowaniem skrótów SO, SA, SN itp., miesiąc cyfrą rzymską wg poniższego wzoru), tytuł czasopisma w cudzysłowie (zawsze pełna nazwa), rocznik, numer/zeszyt/tom, strona:</w:t>
      </w:r>
    </w:p>
    <w:p w14:paraId="12AD4447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1C210A13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 xml:space="preserve">S. Tarapata, P. Zakrzewski, </w:t>
      </w:r>
      <w:r w:rsidRPr="008516AC">
        <w:rPr>
          <w:rStyle w:val="Kursywa"/>
          <w:rFonts w:ascii="Times New Roman" w:hAnsi="Times New Roman" w:cs="Times New Roman"/>
          <w:spacing w:val="-2"/>
          <w:sz w:val="24"/>
          <w:szCs w:val="24"/>
        </w:rPr>
        <w:t>Glosa do postanowienia SN z dnia 28 kwietnia 2015 r., I KZP 3/2016</w:t>
      </w:r>
      <w:r w:rsidRPr="008516AC">
        <w:rPr>
          <w:rFonts w:ascii="Times New Roman" w:hAnsi="Times New Roman" w:cs="Times New Roman"/>
          <w:spacing w:val="-2"/>
          <w:sz w:val="24"/>
          <w:szCs w:val="24"/>
        </w:rPr>
        <w:t>, „Orzecznictwo Sądów Polskich” 2/2017, s. 100.</w:t>
      </w:r>
    </w:p>
    <w:p w14:paraId="3A8C29CF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E2CB8CD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Akty normatywne</w:t>
      </w:r>
    </w:p>
    <w:p w14:paraId="04BA58B5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7BE9CF1F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dokładny tytuł aktu normatywnego i publikator:</w:t>
      </w:r>
    </w:p>
    <w:p w14:paraId="53BBE161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69C22FA9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Ustawa z dnia 6 czerwca 1997 r. Kodeks karny (Dz.U. 2018, poz. 1600 t.j.) dalej: k.k..</w:t>
      </w:r>
    </w:p>
    <w:p w14:paraId="59AB5609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1D1089D6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Orzecznictwo</w:t>
      </w:r>
    </w:p>
    <w:p w14:paraId="1E84A62B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61E787C6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rodzaj orzeczenia, nazwa organu (ewentualnie skrót), data wydania (miesiąc cyfrą rzymską), sygnatura (bez dopisku „sygn. akt”), miejsce publikacji:</w:t>
      </w:r>
    </w:p>
    <w:p w14:paraId="0A50B410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55188A53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>Wyrok Sądu Najwyższego z dnia 8 lutego 2017 r., III KK 226/16, LEX nr 2224610.</w:t>
      </w:r>
    </w:p>
    <w:p w14:paraId="297F7B0E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1AA086F4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Materiały legislacyjne</w:t>
      </w:r>
    </w:p>
    <w:p w14:paraId="1B660154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334DC051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pełny tytuł projektu aktu prawnego, nr druku sejmowego, nr kadencji Sejmu; dodatkowo można podać datę projektu (dzień, miesiąc, rok) oraz adres, pod którym projekt został udostępniony w Internecie (analogicznie do stron internetowych):</w:t>
      </w:r>
    </w:p>
    <w:p w14:paraId="48D7C43C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188FFF5A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pacing w:val="-2"/>
          <w:sz w:val="24"/>
          <w:szCs w:val="24"/>
        </w:rPr>
      </w:pPr>
      <w:r w:rsidRPr="008516AC">
        <w:rPr>
          <w:rFonts w:ascii="Times New Roman" w:hAnsi="Times New Roman" w:cs="Times New Roman"/>
          <w:spacing w:val="-2"/>
          <w:sz w:val="24"/>
          <w:szCs w:val="24"/>
        </w:rPr>
        <w:t>projekt ustawy o zmianie ustawy – Kodeks karny oraz niektórych innych ustaw z projektami aktów wykonawczych, druk nr 2393, Sejm VII kadencji.</w:t>
      </w:r>
    </w:p>
    <w:p w14:paraId="6743D318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300630C9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Źródła internetowe</w:t>
      </w:r>
    </w:p>
    <w:p w14:paraId="788A6C87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71726B41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inicjał imienia i nazwisko autora, tytuł kursywą, adres www, data dostępu:</w:t>
      </w:r>
    </w:p>
    <w:p w14:paraId="4D899253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31BF61C8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 xml:space="preserve">B. Stańdo-Kawecka, 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>Prawo karne nieletnich. Od opieki do odpowiedzialności</w:t>
      </w:r>
      <w:r w:rsidRPr="008516AC">
        <w:rPr>
          <w:rFonts w:ascii="Times New Roman" w:hAnsi="Times New Roman" w:cs="Times New Roman"/>
          <w:sz w:val="24"/>
          <w:szCs w:val="24"/>
        </w:rPr>
        <w:t>, https://books.google.pl/books?id=dl6kYKgrjNIC&amp;pg=PA15&amp;dq=psychologiczne+uwarunkowania+kompetencji+spo%C5%82ecznych&amp;hl=pl&amp;sa=X&amp;ved=0ahUKEwiHuMDzleDPAhXK2SwKHQmCDkwQ6AEIIDAB#v=onepage&amp;q&amp;f=false, dostęp: 07.12.2010.</w:t>
      </w:r>
    </w:p>
    <w:p w14:paraId="1616F127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092E2130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Sposób powtórnego cytowania</w:t>
      </w:r>
    </w:p>
    <w:p w14:paraId="49BBF4DF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4AADDEF6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 xml:space="preserve">W razie powtórnego cytowania literatury w przypisach należy stosować skróty ibidem, op. cit. a w razie powtórzenia cytowania tego samego autora, którego cytujemy więcej niż jedną pracę należy tytuł opracowania skrócić i użyć …, s. 100. W wypadku orzecznictwa i aktów normatywnych należy powołać za każdym razem pełne dane. </w:t>
      </w:r>
    </w:p>
    <w:p w14:paraId="0B4F55F1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7DA0B878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Powtórne cytowanie książki albo artykułu w czasopiśmie</w:t>
      </w:r>
    </w:p>
    <w:p w14:paraId="19D1BD18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1E5011F8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 xml:space="preserve">P. Zakrzewski, 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>O sposobach normowania…</w:t>
      </w:r>
      <w:r w:rsidRPr="008516AC">
        <w:rPr>
          <w:rStyle w:val="Regular"/>
          <w:rFonts w:ascii="Times New Roman" w:hAnsi="Times New Roman" w:cs="Times New Roman"/>
          <w:sz w:val="24"/>
          <w:szCs w:val="24"/>
        </w:rPr>
        <w:t>,</w:t>
      </w:r>
      <w:r w:rsidRPr="008516AC">
        <w:rPr>
          <w:rFonts w:ascii="Times New Roman" w:hAnsi="Times New Roman" w:cs="Times New Roman"/>
          <w:sz w:val="24"/>
          <w:szCs w:val="24"/>
        </w:rPr>
        <w:t xml:space="preserve"> s. 100.</w:t>
      </w:r>
    </w:p>
    <w:p w14:paraId="00CE1F2E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7E8ED125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Powtórne cytowanie komentarzy w wydaniach papierowych</w:t>
      </w:r>
    </w:p>
    <w:p w14:paraId="47FA6371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6BC5B3C0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 xml:space="preserve">S. Tarapata, A. Zoll, 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>op. cit.</w:t>
      </w:r>
      <w:r w:rsidRPr="008516AC">
        <w:rPr>
          <w:rFonts w:ascii="Times New Roman" w:hAnsi="Times New Roman" w:cs="Times New Roman"/>
          <w:sz w:val="24"/>
          <w:szCs w:val="24"/>
        </w:rPr>
        <w:t>, s. 180.</w:t>
      </w:r>
    </w:p>
    <w:p w14:paraId="1A8DB474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4950889A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Powtórne cytowanie komentarzy w wydaniach elektronicznych</w:t>
      </w:r>
    </w:p>
    <w:p w14:paraId="31955A35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49B26A10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 xml:space="preserve">S. Lelental, </w:t>
      </w:r>
      <w:r w:rsidRPr="008516AC">
        <w:rPr>
          <w:rStyle w:val="Kursywa"/>
          <w:rFonts w:ascii="Times New Roman" w:hAnsi="Times New Roman" w:cs="Times New Roman"/>
          <w:sz w:val="24"/>
          <w:szCs w:val="24"/>
        </w:rPr>
        <w:t>Komentarz do art. 156 k.k.w.…</w:t>
      </w:r>
      <w:r w:rsidRPr="008516AC">
        <w:rPr>
          <w:rFonts w:ascii="Times New Roman" w:hAnsi="Times New Roman" w:cs="Times New Roman"/>
          <w:sz w:val="24"/>
          <w:szCs w:val="24"/>
        </w:rPr>
        <w:t>, Legalis teza nr II.1.</w:t>
      </w:r>
    </w:p>
    <w:p w14:paraId="5C9BB43D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5C5E6C7D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Powtórne cytowanie orzeczeń</w:t>
      </w:r>
    </w:p>
    <w:p w14:paraId="2D74D991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76CB6790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  <w:r w:rsidRPr="008516AC">
        <w:rPr>
          <w:rFonts w:ascii="Times New Roman" w:hAnsi="Times New Roman" w:cs="Times New Roman"/>
          <w:sz w:val="24"/>
          <w:szCs w:val="24"/>
        </w:rPr>
        <w:t>Wyrok Sądu Najwyższego z dnia 8 lutego 2017 r., III KK 226/16, LEX nr 2224610.</w:t>
      </w:r>
    </w:p>
    <w:p w14:paraId="745101FC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62C6185B" w14:textId="77777777" w:rsidR="00E615CD" w:rsidRPr="008516AC" w:rsidRDefault="00E615CD" w:rsidP="008516AC">
      <w:pPr>
        <w:pStyle w:val="Podstawowyakapitowy"/>
        <w:ind w:firstLine="0"/>
        <w:rPr>
          <w:rStyle w:val="Pogrubienie"/>
          <w:rFonts w:ascii="Times New Roman" w:hAnsi="Times New Roman" w:cs="Times New Roman"/>
          <w:sz w:val="24"/>
          <w:szCs w:val="24"/>
        </w:rPr>
      </w:pPr>
      <w:r w:rsidRPr="008516AC">
        <w:rPr>
          <w:rStyle w:val="Pogrubienie"/>
          <w:rFonts w:ascii="Times New Roman" w:hAnsi="Times New Roman" w:cs="Times New Roman"/>
          <w:sz w:val="24"/>
          <w:szCs w:val="24"/>
        </w:rPr>
        <w:t>Bibliografia opracowania</w:t>
      </w:r>
    </w:p>
    <w:p w14:paraId="64A145FB" w14:textId="77777777" w:rsidR="00E615CD" w:rsidRPr="008516AC" w:rsidRDefault="00E615CD" w:rsidP="008516AC">
      <w:pPr>
        <w:pStyle w:val="Podstawowyakapitowy"/>
        <w:rPr>
          <w:rFonts w:ascii="Times New Roman" w:hAnsi="Times New Roman" w:cs="Times New Roman"/>
          <w:sz w:val="24"/>
          <w:szCs w:val="24"/>
        </w:rPr>
      </w:pPr>
    </w:p>
    <w:p w14:paraId="1A068FBE" w14:textId="77777777" w:rsidR="00F87457" w:rsidRPr="008516AC" w:rsidRDefault="00E615CD" w:rsidP="008516AC">
      <w:pPr>
        <w:jc w:val="both"/>
        <w:rPr>
          <w:rFonts w:ascii="Times New Roman" w:hAnsi="Times New Roman" w:cs="Times New Roman"/>
        </w:rPr>
      </w:pPr>
      <w:r w:rsidRPr="008516AC">
        <w:rPr>
          <w:rFonts w:ascii="Times New Roman" w:hAnsi="Times New Roman" w:cs="Times New Roman"/>
        </w:rPr>
        <w:t>Do każdego artykułu i glosy należy załączyć – w osobnym pliku – bibliografię cytowanych prac, ułożoną w kolejności alfabetycznej według nazwisk autorów.</w:t>
      </w:r>
    </w:p>
    <w:sectPr w:rsidR="00F87457" w:rsidRPr="008516AC" w:rsidSect="00F359A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aramon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CD"/>
    <w:rsid w:val="0024072D"/>
    <w:rsid w:val="002B3A9C"/>
    <w:rsid w:val="005C1B4F"/>
    <w:rsid w:val="00847D71"/>
    <w:rsid w:val="008516AC"/>
    <w:rsid w:val="009A7BCD"/>
    <w:rsid w:val="00D37D3C"/>
    <w:rsid w:val="00DC792E"/>
    <w:rsid w:val="00E615CD"/>
    <w:rsid w:val="00F359AF"/>
    <w:rsid w:val="00F8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06254"/>
  <w14:defaultImageDpi w14:val="300"/>
  <w15:docId w15:val="{1EDBC749-5C80-4188-8C69-51E7F2D2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E615CD"/>
    <w:pPr>
      <w:widowControl w:val="0"/>
      <w:autoSpaceDE w:val="0"/>
      <w:autoSpaceDN w:val="0"/>
      <w:adjustRightInd w:val="0"/>
      <w:spacing w:line="298" w:lineRule="atLeast"/>
      <w:ind w:firstLine="283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  <w:lang w:val="pl-PL"/>
    </w:rPr>
  </w:style>
  <w:style w:type="paragraph" w:customStyle="1" w:styleId="TYTUROZDZIAU">
    <w:name w:val="TYTUŁ ROZDZIAŁU"/>
    <w:basedOn w:val="Podstawowyakapitowy"/>
    <w:uiPriority w:val="99"/>
    <w:rsid w:val="00E615CD"/>
    <w:pPr>
      <w:keepNext/>
      <w:keepLines/>
      <w:tabs>
        <w:tab w:val="left" w:pos="567"/>
        <w:tab w:val="left" w:pos="1134"/>
      </w:tabs>
      <w:suppressAutoHyphens/>
      <w:spacing w:before="187" w:line="400" w:lineRule="atLeast"/>
      <w:ind w:firstLine="0"/>
      <w:jc w:val="center"/>
    </w:pPr>
    <w:rPr>
      <w:rFonts w:ascii="AGaramondPro-Bold" w:hAnsi="AGaramondPro-Bold" w:cs="AGaramondPro-Bold"/>
      <w:b/>
      <w:bCs/>
      <w:caps/>
      <w:sz w:val="28"/>
      <w:szCs w:val="28"/>
    </w:rPr>
  </w:style>
  <w:style w:type="paragraph" w:customStyle="1" w:styleId="NAGLOWEK2">
    <w:name w:val="NAGLOWEK2"/>
    <w:basedOn w:val="Podstawowyakapitowy"/>
    <w:uiPriority w:val="99"/>
    <w:rsid w:val="00E615CD"/>
    <w:pPr>
      <w:keepNext/>
      <w:keepLines/>
      <w:suppressAutoHyphens/>
      <w:ind w:firstLine="0"/>
      <w:jc w:val="center"/>
    </w:pPr>
    <w:rPr>
      <w:rFonts w:ascii="AGaramondPro-Bold" w:hAnsi="AGaramondPro-Bold" w:cs="AGaramondPro-Bold"/>
      <w:b/>
      <w:bCs/>
      <w:sz w:val="27"/>
      <w:szCs w:val="27"/>
    </w:rPr>
  </w:style>
  <w:style w:type="paragraph" w:customStyle="1" w:styleId="NAGLOWEK3">
    <w:name w:val="NAGLOWEK3"/>
    <w:basedOn w:val="Podstawowyakapitowy"/>
    <w:uiPriority w:val="99"/>
    <w:rsid w:val="00E615CD"/>
    <w:pPr>
      <w:keepNext/>
      <w:keepLines/>
      <w:tabs>
        <w:tab w:val="left" w:pos="720"/>
        <w:tab w:val="left" w:pos="993"/>
      </w:tabs>
      <w:suppressAutoHyphens/>
      <w:spacing w:before="260"/>
      <w:ind w:firstLine="0"/>
      <w:jc w:val="center"/>
    </w:pPr>
    <w:rPr>
      <w:rFonts w:ascii="AGaramondPro-Bold" w:hAnsi="AGaramondPro-Bold" w:cs="AGaramondPro-Bold"/>
      <w:b/>
      <w:bCs/>
    </w:rPr>
  </w:style>
  <w:style w:type="character" w:customStyle="1" w:styleId="Kursywa">
    <w:name w:val="Kursywa"/>
    <w:uiPriority w:val="99"/>
    <w:rsid w:val="00E615CD"/>
    <w:rPr>
      <w:i/>
      <w:iCs/>
    </w:rPr>
  </w:style>
  <w:style w:type="character" w:styleId="Pogrubienie">
    <w:name w:val="Strong"/>
    <w:basedOn w:val="Domylnaczcionkaakapitu"/>
    <w:uiPriority w:val="99"/>
    <w:qFormat/>
    <w:rsid w:val="00E615CD"/>
    <w:rPr>
      <w:b/>
      <w:bCs/>
    </w:rPr>
  </w:style>
  <w:style w:type="character" w:customStyle="1" w:styleId="Regular">
    <w:name w:val="Regular"/>
    <w:uiPriority w:val="99"/>
    <w:rsid w:val="00E6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Studio Graficzne Piotr Kurasiak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Kurasiak</dc:creator>
  <cp:keywords/>
  <dc:description/>
  <cp:lastModifiedBy>Strzałkowska Joanna  (DWOiP)</cp:lastModifiedBy>
  <cp:revision>3</cp:revision>
  <dcterms:created xsi:type="dcterms:W3CDTF">2021-01-25T12:33:00Z</dcterms:created>
  <dcterms:modified xsi:type="dcterms:W3CDTF">2021-03-01T11:14:00Z</dcterms:modified>
</cp:coreProperties>
</file>