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9E" w:rsidRDefault="001A6573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1A6573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787284176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1A6573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6192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838692644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7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29 grudnia 2021 r.</w:t>
      </w:r>
      <w:bookmarkEnd w:id="0"/>
    </w:p>
    <w:p w:rsidR="004824F3" w:rsidRPr="006710A0" w:rsidRDefault="001A6573" w:rsidP="006710A0">
      <w:pPr>
        <w:ind w:right="6660"/>
        <w:jc w:val="center"/>
        <w:rPr>
          <w:rFonts w:asciiTheme="minorHAnsi" w:hAnsiTheme="minorHAnsi" w:cstheme="minorHAnsi"/>
        </w:rPr>
      </w:pPr>
      <w:r>
        <w:rPr>
          <w:rFonts w:ascii="Calibri" w:hAnsi="Calibri" w:cs="Calibri"/>
          <w:b/>
        </w:rPr>
        <w:br/>
      </w:r>
    </w:p>
    <w:p w:rsidR="00B166C0" w:rsidRDefault="001A6573" w:rsidP="006710A0">
      <w:pPr>
        <w:spacing w:line="276" w:lineRule="auto"/>
        <w:ind w:left="5669"/>
        <w:rPr>
          <w:rFonts w:asciiTheme="minorHAnsi" w:hAnsiTheme="minorHAnsi" w:cstheme="minorHAnsi"/>
          <w:b/>
        </w:rPr>
      </w:pPr>
    </w:p>
    <w:p w:rsidR="006710A0" w:rsidRDefault="001A6573" w:rsidP="006710A0">
      <w:pPr>
        <w:spacing w:line="276" w:lineRule="auto"/>
        <w:rPr>
          <w:rFonts w:asciiTheme="minorHAnsi" w:hAnsiTheme="minorHAnsi" w:cstheme="minorHAnsi"/>
          <w:b/>
        </w:rPr>
      </w:pPr>
    </w:p>
    <w:p w:rsidR="006710A0" w:rsidRPr="00EF1E74" w:rsidRDefault="001A6573" w:rsidP="006710A0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</w:t>
      </w:r>
      <w:bookmarkStart w:id="1" w:name="_GoBack"/>
      <w:r w:rsidRPr="00EF1E74">
        <w:rPr>
          <w:rFonts w:asciiTheme="minorHAnsi" w:hAnsiTheme="minorHAnsi" w:cstheme="minorHAnsi"/>
          <w:sz w:val="20"/>
          <w:szCs w:val="20"/>
        </w:rPr>
        <w:t>WNP-P.4131.17</w:t>
      </w:r>
      <w:r w:rsidRPr="00EF1E74">
        <w:rPr>
          <w:rFonts w:asciiTheme="minorHAnsi" w:hAnsiTheme="minorHAnsi" w:cstheme="minorHAnsi"/>
          <w:sz w:val="20"/>
          <w:szCs w:val="20"/>
        </w:rPr>
        <w:t>.2021</w:t>
      </w:r>
      <w:r w:rsidRPr="00EF1E74">
        <w:rPr>
          <w:rFonts w:asciiTheme="minorHAnsi" w:hAnsiTheme="minorHAnsi" w:cstheme="minorHAnsi"/>
          <w:sz w:val="20"/>
          <w:szCs w:val="20"/>
        </w:rPr>
        <w:t xml:space="preserve"> PC</w:t>
      </w:r>
      <w:bookmarkEnd w:id="1"/>
    </w:p>
    <w:p w:rsidR="006710A0" w:rsidRPr="006710A0" w:rsidRDefault="001A6573" w:rsidP="006710A0">
      <w:pPr>
        <w:spacing w:line="276" w:lineRule="auto"/>
        <w:rPr>
          <w:rFonts w:asciiTheme="minorHAnsi" w:hAnsiTheme="minorHAnsi" w:cstheme="minorHAnsi"/>
          <w:b/>
        </w:rPr>
      </w:pPr>
    </w:p>
    <w:p w:rsidR="00C623C6" w:rsidRPr="006710A0" w:rsidRDefault="001A6573" w:rsidP="009F3D0D">
      <w:pPr>
        <w:ind w:left="5669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-5403215</wp:posOffset>
            </wp:positionH>
            <wp:positionV relativeFrom="paragraph">
              <wp:posOffset>292735</wp:posOffset>
            </wp:positionV>
            <wp:extent cx="2448560" cy="82677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0A0">
        <w:rPr>
          <w:rFonts w:asciiTheme="minorHAnsi" w:hAnsiTheme="minorHAnsi" w:cstheme="minorHAnsi"/>
          <w:b/>
        </w:rPr>
        <w:t xml:space="preserve">Rada </w:t>
      </w:r>
      <w:r>
        <w:rPr>
          <w:rFonts w:asciiTheme="minorHAnsi" w:hAnsiTheme="minorHAnsi" w:cstheme="minorHAnsi"/>
          <w:b/>
        </w:rPr>
        <w:t>Gminy Mochowo</w:t>
      </w:r>
    </w:p>
    <w:p w:rsidR="006710A0" w:rsidRDefault="001A6573" w:rsidP="009F3D0D">
      <w:pPr>
        <w:ind w:left="5669"/>
        <w:rPr>
          <w:rStyle w:val="lrzxr"/>
          <w:rFonts w:asciiTheme="minorHAnsi" w:hAnsiTheme="minorHAnsi" w:cstheme="minorHAnsi"/>
        </w:rPr>
      </w:pPr>
      <w:r>
        <w:rPr>
          <w:rStyle w:val="lrzxr"/>
          <w:rFonts w:asciiTheme="minorHAnsi" w:hAnsiTheme="minorHAnsi" w:cstheme="minorHAnsi"/>
        </w:rPr>
        <w:t>ul. Sierpecka 2</w:t>
      </w:r>
    </w:p>
    <w:p w:rsidR="009F3D0D" w:rsidRDefault="001A6573" w:rsidP="009F3D0D">
      <w:pPr>
        <w:ind w:left="5669"/>
        <w:rPr>
          <w:rStyle w:val="lrzxr"/>
          <w:rFonts w:asciiTheme="minorHAnsi" w:hAnsiTheme="minorHAnsi" w:cstheme="minorHAnsi"/>
        </w:rPr>
      </w:pPr>
      <w:r>
        <w:rPr>
          <w:rStyle w:val="lrzxr"/>
          <w:rFonts w:asciiTheme="minorHAnsi" w:hAnsiTheme="minorHAnsi" w:cstheme="minorHAnsi"/>
        </w:rPr>
        <w:t>09-214 Mochowo</w:t>
      </w:r>
    </w:p>
    <w:p w:rsidR="009F3D0D" w:rsidRPr="006710A0" w:rsidRDefault="001A6573" w:rsidP="006710A0">
      <w:pPr>
        <w:spacing w:line="276" w:lineRule="auto"/>
        <w:ind w:left="5669"/>
        <w:rPr>
          <w:rFonts w:asciiTheme="minorHAnsi" w:hAnsiTheme="minorHAnsi" w:cstheme="minorHAnsi"/>
          <w:b/>
        </w:rPr>
      </w:pPr>
    </w:p>
    <w:p w:rsidR="00B57095" w:rsidRPr="006710A0" w:rsidRDefault="001A6573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 xml:space="preserve">Rozstrzygnięcie nadzorcze </w:t>
      </w:r>
    </w:p>
    <w:p w:rsidR="00421970" w:rsidRPr="006710A0" w:rsidRDefault="001A6573" w:rsidP="006710A0">
      <w:pPr>
        <w:spacing w:line="276" w:lineRule="auto"/>
        <w:ind w:firstLine="709"/>
        <w:rPr>
          <w:rFonts w:asciiTheme="minorHAnsi" w:hAnsiTheme="minorHAnsi" w:cstheme="minorHAnsi"/>
        </w:rPr>
      </w:pPr>
    </w:p>
    <w:p w:rsidR="00421970" w:rsidRPr="006710A0" w:rsidRDefault="001A6573" w:rsidP="006710A0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Na podstawie art. 91 ustawy z dnia 8 marca 1990 r. o samorządzie gminnym (Dz. U. z</w:t>
      </w:r>
      <w:r w:rsidRPr="006710A0">
        <w:rPr>
          <w:rFonts w:asciiTheme="minorHAnsi" w:hAnsiTheme="minorHAnsi" w:cstheme="minorHAnsi"/>
        </w:rPr>
        <w:t xml:space="preserve"> 2021 r. poz. 1372 i 1834)</w:t>
      </w:r>
    </w:p>
    <w:p w:rsidR="00421970" w:rsidRPr="006710A0" w:rsidRDefault="001A6573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>stwierdzam nieważność</w:t>
      </w:r>
    </w:p>
    <w:p w:rsidR="00D768B8" w:rsidRPr="006710A0" w:rsidRDefault="001A6573" w:rsidP="006710A0">
      <w:pPr>
        <w:spacing w:line="276" w:lineRule="auto"/>
        <w:jc w:val="center"/>
        <w:rPr>
          <w:rFonts w:asciiTheme="minorHAnsi" w:hAnsiTheme="minorHAnsi" w:cstheme="minorHAnsi"/>
        </w:rPr>
      </w:pPr>
    </w:p>
    <w:p w:rsidR="00421970" w:rsidRDefault="001A6573" w:rsidP="009F3D0D">
      <w:pPr>
        <w:pStyle w:val="Default"/>
        <w:jc w:val="both"/>
        <w:rPr>
          <w:rStyle w:val="info-list-value-uzasadnienie"/>
          <w:rFonts w:asciiTheme="minorHAnsi" w:hAnsiTheme="minorHAnsi" w:cstheme="minorHAnsi"/>
        </w:rPr>
      </w:pPr>
      <w:r>
        <w:rPr>
          <w:rStyle w:val="info-list-value-uzasadnienie"/>
          <w:rFonts w:asciiTheme="minorHAnsi" w:hAnsiTheme="minorHAnsi" w:cstheme="minorHAnsi"/>
        </w:rPr>
        <w:t>u</w:t>
      </w:r>
      <w:r w:rsidRPr="006710A0">
        <w:rPr>
          <w:rStyle w:val="info-list-value-uzasadnienie"/>
          <w:rFonts w:asciiTheme="minorHAnsi" w:hAnsiTheme="minorHAnsi" w:cstheme="minorHAnsi"/>
        </w:rPr>
        <w:t xml:space="preserve">chwały </w:t>
      </w:r>
      <w:r>
        <w:rPr>
          <w:rStyle w:val="info-list-value-uzasadnienie"/>
          <w:rFonts w:asciiTheme="minorHAnsi" w:hAnsiTheme="minorHAnsi" w:cstheme="minorHAnsi"/>
        </w:rPr>
        <w:t>Nr 253.XXXI.2021 Rady Gminy Mochowo z dnia 26 listopada 2021 r. w sprawie ustalenia wysokości diet Radnym Rady Gminy Mochowo</w:t>
      </w:r>
    </w:p>
    <w:p w:rsidR="009F3D0D" w:rsidRPr="006710A0" w:rsidRDefault="001A6573" w:rsidP="009F3D0D">
      <w:pPr>
        <w:pStyle w:val="Default"/>
        <w:jc w:val="both"/>
        <w:rPr>
          <w:rFonts w:asciiTheme="minorHAnsi" w:hAnsiTheme="minorHAnsi" w:cstheme="minorHAnsi"/>
        </w:rPr>
      </w:pPr>
    </w:p>
    <w:p w:rsidR="00421970" w:rsidRPr="006710A0" w:rsidRDefault="001A6573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>Uzasadnienie</w:t>
      </w:r>
    </w:p>
    <w:p w:rsidR="000834FE" w:rsidRPr="006710A0" w:rsidRDefault="001A6573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07399B" w:rsidRPr="006710A0" w:rsidRDefault="001A6573" w:rsidP="00EF1E74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W dniu 26</w:t>
      </w:r>
      <w:r w:rsidRPr="006710A0">
        <w:rPr>
          <w:rFonts w:asciiTheme="minorHAnsi" w:hAnsiTheme="minorHAnsi" w:cstheme="minorHAnsi"/>
        </w:rPr>
        <w:t xml:space="preserve"> listopada 2021 r. Rada</w:t>
      </w:r>
      <w:r>
        <w:rPr>
          <w:rFonts w:asciiTheme="minorHAnsi" w:hAnsiTheme="minorHAnsi" w:cstheme="minorHAnsi"/>
        </w:rPr>
        <w:t xml:space="preserve"> Gminy Mochowo</w:t>
      </w:r>
      <w:r w:rsidRPr="006710A0">
        <w:rPr>
          <w:rFonts w:asciiTheme="minorHAnsi" w:hAnsiTheme="minorHAnsi" w:cstheme="minorHAnsi"/>
        </w:rPr>
        <w:t xml:space="preserve"> podjęła uchwałę Nr </w:t>
      </w:r>
      <w:r>
        <w:rPr>
          <w:rFonts w:asciiTheme="minorHAnsi" w:hAnsiTheme="minorHAnsi" w:cstheme="minorHAnsi"/>
        </w:rPr>
        <w:t xml:space="preserve">253.XXXI.2021 </w:t>
      </w:r>
      <w:r w:rsidRPr="006710A0">
        <w:rPr>
          <w:rStyle w:val="info-list-value-uzasadnienie"/>
          <w:rFonts w:asciiTheme="minorHAnsi" w:hAnsiTheme="minorHAnsi" w:cstheme="minorHAnsi"/>
          <w:i/>
        </w:rPr>
        <w:t>w</w:t>
      </w:r>
      <w:r>
        <w:rPr>
          <w:rStyle w:val="info-list-value-uzasadnienie"/>
          <w:rFonts w:asciiTheme="minorHAnsi" w:hAnsiTheme="minorHAnsi" w:cstheme="minorHAnsi"/>
          <w:i/>
        </w:rPr>
        <w:t> </w:t>
      </w:r>
      <w:r w:rsidRPr="006710A0">
        <w:rPr>
          <w:rStyle w:val="info-list-value-uzasadnienie"/>
          <w:rFonts w:asciiTheme="minorHAnsi" w:hAnsiTheme="minorHAnsi" w:cstheme="minorHAnsi"/>
          <w:i/>
        </w:rPr>
        <w:t>sprawie</w:t>
      </w:r>
      <w:r>
        <w:rPr>
          <w:rStyle w:val="info-list-value-uzasadnienie"/>
          <w:rFonts w:asciiTheme="minorHAnsi" w:hAnsiTheme="minorHAnsi" w:cstheme="minorHAnsi"/>
          <w:i/>
        </w:rPr>
        <w:t xml:space="preserve"> ustalenia wysokości diet Radnym Rady Gminy Mochowo</w:t>
      </w:r>
      <w:r w:rsidRPr="006710A0">
        <w:rPr>
          <w:rStyle w:val="info-list-value-uzasadnienie"/>
          <w:rFonts w:asciiTheme="minorHAnsi" w:hAnsiTheme="minorHAnsi" w:cstheme="minorHAnsi"/>
          <w:i/>
        </w:rPr>
        <w:t>.</w:t>
      </w:r>
    </w:p>
    <w:p w:rsidR="000834FE" w:rsidRPr="006710A0" w:rsidRDefault="001A6573" w:rsidP="00EF1E74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Uchwała powyższa została doręczona Wojewodzie Mazowieckiemu w dniu </w:t>
      </w:r>
      <w:r>
        <w:rPr>
          <w:rFonts w:asciiTheme="minorHAnsi" w:hAnsiTheme="minorHAnsi" w:cstheme="minorHAnsi"/>
        </w:rPr>
        <w:t>6</w:t>
      </w:r>
      <w:r w:rsidRPr="006710A0">
        <w:rPr>
          <w:rFonts w:asciiTheme="minorHAnsi" w:hAnsiTheme="minorHAnsi" w:cstheme="minorHAnsi"/>
        </w:rPr>
        <w:t xml:space="preserve"> grudnia 2021 r. </w:t>
      </w:r>
      <w:r w:rsidRPr="006710A0">
        <w:rPr>
          <w:rFonts w:asciiTheme="minorHAnsi" w:hAnsiTheme="minorHAnsi" w:cstheme="minorHAnsi"/>
        </w:rPr>
        <w:t xml:space="preserve">Jako podstawę prawną uchwały Rada Gminy wskazała </w:t>
      </w:r>
      <w:hyperlink r:id="rId9" w:anchor="/document/16793509?unitId=art(25)ust(4)&amp;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art. 25 ust. 4</w:t>
        </w:r>
      </w:hyperlink>
      <w:r w:rsidRPr="006710A0">
        <w:rPr>
          <w:rFonts w:asciiTheme="minorHAnsi" w:hAnsiTheme="minorHAnsi" w:cstheme="minorHAnsi"/>
        </w:rPr>
        <w:t xml:space="preserve">, </w:t>
      </w:r>
      <w:hyperlink r:id="rId10" w:anchor="/document/16793509?unitId=art(25)ust(6)&amp;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6</w:t>
        </w:r>
      </w:hyperlink>
      <w:r>
        <w:rPr>
          <w:rFonts w:asciiTheme="minorHAnsi" w:hAnsiTheme="minorHAnsi" w:cstheme="minorHAnsi"/>
        </w:rPr>
        <w:t xml:space="preserve">, 8 </w:t>
      </w:r>
      <w:r w:rsidRPr="006710A0">
        <w:rPr>
          <w:rFonts w:asciiTheme="minorHAnsi" w:hAnsiTheme="minorHAnsi" w:cstheme="minorHAnsi"/>
        </w:rPr>
        <w:t>ustawy z dnia 8</w:t>
      </w:r>
      <w:r w:rsidRPr="006710A0"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marca 1990 r. o samorządzie gm</w:t>
      </w:r>
      <w:r>
        <w:rPr>
          <w:rFonts w:asciiTheme="minorHAnsi" w:hAnsiTheme="minorHAnsi" w:cstheme="minorHAnsi"/>
        </w:rPr>
        <w:t>innym (Dz. U. z 2021 r., poz. 1372 z późn. zm.</w:t>
      </w:r>
      <w:r w:rsidRPr="006710A0">
        <w:rPr>
          <w:rFonts w:asciiTheme="minorHAnsi" w:hAnsiTheme="minorHAnsi" w:cstheme="minorHAnsi"/>
        </w:rPr>
        <w:t>).</w:t>
      </w:r>
    </w:p>
    <w:p w:rsidR="000834FE" w:rsidRPr="006710A0" w:rsidRDefault="001A6573" w:rsidP="00EF1E74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Zgodnie z brzmieniem ww przepisu ustawy o samorządzie gminnym, radnemu przysługują diety oraz zwrot kosztów podróży służbowych na zasadach ustalonych przez radę gminy (ust. 4), a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rada gminy przy ustalaniu wy</w:t>
      </w:r>
      <w:r w:rsidRPr="006710A0">
        <w:rPr>
          <w:rFonts w:asciiTheme="minorHAnsi" w:hAnsiTheme="minorHAnsi" w:cstheme="minorHAnsi"/>
        </w:rPr>
        <w:t>sokości diet radnych bierze pod uwagę funkcje pełnione przez radnego (ust. 8).</w:t>
      </w:r>
    </w:p>
    <w:p w:rsidR="00BF7E73" w:rsidRPr="006710A0" w:rsidRDefault="001A6573" w:rsidP="00EF1E74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§ 1 uchwały</w:t>
      </w:r>
      <w:r w:rsidRPr="006710A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Rada Gminy Mochowo</w:t>
      </w:r>
      <w:r>
        <w:rPr>
          <w:rFonts w:asciiTheme="minorHAnsi" w:hAnsiTheme="minorHAnsi" w:cstheme="minorHAnsi"/>
        </w:rPr>
        <w:t xml:space="preserve"> ustaliła </w:t>
      </w:r>
      <w:r>
        <w:rPr>
          <w:rFonts w:asciiTheme="minorHAnsi" w:hAnsiTheme="minorHAnsi" w:cstheme="minorHAnsi"/>
        </w:rPr>
        <w:t>wysokość diet przysługujących Radnym Rady Gminy Mochowo za udział w pracach Rady Gminy i komisjach Rady Gminy</w:t>
      </w:r>
      <w:r>
        <w:rPr>
          <w:rFonts w:asciiTheme="minorHAnsi" w:hAnsiTheme="minorHAnsi" w:cstheme="minorHAnsi"/>
        </w:rPr>
        <w:t xml:space="preserve"> uwzględniając pełnione pr</w:t>
      </w:r>
      <w:r>
        <w:rPr>
          <w:rFonts w:asciiTheme="minorHAnsi" w:hAnsiTheme="minorHAnsi" w:cstheme="minorHAnsi"/>
        </w:rPr>
        <w:t>zez radnych funkcje</w:t>
      </w:r>
      <w:r>
        <w:rPr>
          <w:rFonts w:asciiTheme="minorHAnsi" w:hAnsiTheme="minorHAnsi" w:cstheme="minorHAnsi"/>
        </w:rPr>
        <w:t>.</w:t>
      </w:r>
    </w:p>
    <w:p w:rsidR="00C360E0" w:rsidRDefault="001A6573" w:rsidP="00EF1E74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W § 2 uchwały</w:t>
      </w:r>
      <w:r>
        <w:rPr>
          <w:rFonts w:asciiTheme="minorHAnsi" w:hAnsiTheme="minorHAnsi" w:cstheme="minorHAnsi"/>
        </w:rPr>
        <w:t xml:space="preserve"> Rada postanowiła, że</w:t>
      </w:r>
      <w:r>
        <w:rPr>
          <w:rFonts w:asciiTheme="minorHAnsi" w:hAnsiTheme="minorHAnsi" w:cstheme="minorHAnsi"/>
        </w:rPr>
        <w:t xml:space="preserve">: </w:t>
      </w:r>
      <w:r w:rsidRPr="001B1E56">
        <w:rPr>
          <w:rFonts w:asciiTheme="minorHAnsi" w:hAnsiTheme="minorHAnsi" w:cstheme="minorHAnsi"/>
          <w:i/>
        </w:rPr>
        <w:t xml:space="preserve">„Należne Przewodniczącemu Rady Gminy, Wiceprzewodniczącemu Rady Gminy oraz pozostałym radnym diety określone w § 1 ulegają </w:t>
      </w:r>
      <w:r w:rsidRPr="001B1E56">
        <w:rPr>
          <w:rFonts w:asciiTheme="minorHAnsi" w:hAnsiTheme="minorHAnsi" w:cstheme="minorHAnsi"/>
          <w:i/>
        </w:rPr>
        <w:lastRenderedPageBreak/>
        <w:t>zmniejszeniu o 5 % kwoty określonej w § 1 pkt. 2, za każdą nieobecność na se</w:t>
      </w:r>
      <w:r w:rsidRPr="001B1E56">
        <w:rPr>
          <w:rFonts w:asciiTheme="minorHAnsi" w:hAnsiTheme="minorHAnsi" w:cstheme="minorHAnsi"/>
          <w:i/>
        </w:rPr>
        <w:t xml:space="preserve">sji oraz posiedzeniu komisji, której są członkami”. </w:t>
      </w:r>
    </w:p>
    <w:p w:rsidR="000834FE" w:rsidRPr="006710A0" w:rsidRDefault="001A6573" w:rsidP="00EF1E74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6710A0">
        <w:rPr>
          <w:rFonts w:asciiTheme="minorHAnsi" w:hAnsiTheme="minorHAnsi" w:cstheme="minorHAnsi"/>
        </w:rPr>
        <w:t>Zarówno w doktrynie prawa jak i orzecznictwie sądów administracyjnych przyjęto, że dieta radnego, o której mowa w wyżej przytoczonych przepisach, stanowi jedynie rekompensatę utraconych przez radnego kor</w:t>
      </w:r>
      <w:r w:rsidRPr="006710A0">
        <w:rPr>
          <w:rFonts w:asciiTheme="minorHAnsi" w:hAnsiTheme="minorHAnsi" w:cstheme="minorHAnsi"/>
        </w:rPr>
        <w:t>zyści i nie posiada charakteru świadczenia pracowniczego. W wyroku Wojewódzkiego Sądu Administracyjnego w Opolu z dnia 7 listopada 2013 r. (sygn. akt II SA/Op 316/13) stwierdzono, że użyte przez ustawodawcę określenie "dieta" należy rozumieć jako zwrot kos</w:t>
      </w:r>
      <w:r w:rsidRPr="006710A0">
        <w:rPr>
          <w:rFonts w:asciiTheme="minorHAnsi" w:hAnsiTheme="minorHAnsi" w:cstheme="minorHAnsi"/>
        </w:rPr>
        <w:t>ztów związanych z pełnieniem funkcji radnego. Istota diety sprowadza się do wyrównania wydatków i strat spowodowanych pełnieniem wskazanej funkcji. Osoba pełniąca daną funkcję zachowuje prawo do zwrotu kosztów i wydatków (strat) poniesionych w związku ze s</w:t>
      </w:r>
      <w:r w:rsidRPr="006710A0">
        <w:rPr>
          <w:rFonts w:asciiTheme="minorHAnsi" w:hAnsiTheme="minorHAnsi" w:cstheme="minorHAnsi"/>
        </w:rPr>
        <w:t>prawowaniem funkcji, a nie jedynie z powodu uzyskania danej funkcji. Dieta powinna być zatem ściśle powiązana z aktywnością radnych w pracach rady i zależna od rzeczywistego wy</w:t>
      </w:r>
      <w:r w:rsidRPr="006710A0">
        <w:rPr>
          <w:rFonts w:asciiTheme="minorHAnsi" w:hAnsiTheme="minorHAnsi" w:cstheme="minorHAnsi"/>
        </w:rPr>
        <w:t>konywania obowiązków związanych</w:t>
      </w:r>
      <w:r w:rsidRPr="006710A0">
        <w:rPr>
          <w:rFonts w:asciiTheme="minorHAnsi" w:hAnsiTheme="minorHAnsi" w:cstheme="minorHAnsi"/>
        </w:rPr>
        <w:t xml:space="preserve"> z pełnioną funkcją (por. również wyroki Wojewódzkiego </w:t>
      </w:r>
      <w:r w:rsidRPr="006710A0">
        <w:rPr>
          <w:rFonts w:asciiTheme="minorHAnsi" w:hAnsiTheme="minorHAnsi" w:cstheme="minorHAnsi"/>
        </w:rPr>
        <w:t xml:space="preserve">Sądu Administracyjnego w Opolu: </w:t>
      </w:r>
      <w:r w:rsidRPr="006710A0">
        <w:rPr>
          <w:rFonts w:asciiTheme="minorHAnsi" w:hAnsiTheme="minorHAnsi" w:cstheme="minorHAnsi"/>
        </w:rPr>
        <w:t xml:space="preserve">z dnia 9 lipca 2015 r. </w:t>
      </w:r>
      <w:hyperlink r:id="rId11" w:anchor="/document/521903988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161/15</w:t>
        </w:r>
      </w:hyperlink>
      <w:r w:rsidRPr="006710A0">
        <w:rPr>
          <w:rFonts w:asciiTheme="minorHAnsi" w:hAnsiTheme="minorHAnsi" w:cstheme="minorHAnsi"/>
        </w:rPr>
        <w:t>, z dnia 21l</w:t>
      </w:r>
      <w:r w:rsidRPr="006710A0">
        <w:rPr>
          <w:rFonts w:asciiTheme="minorHAnsi" w:hAnsiTheme="minorHAnsi" w:cstheme="minorHAnsi"/>
        </w:rPr>
        <w:t xml:space="preserve">ipca 2015 r. </w:t>
      </w:r>
      <w:hyperlink r:id="rId12" w:anchor="/document/521910185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177/15</w:t>
        </w:r>
      </w:hyperlink>
      <w:r w:rsidRPr="006710A0">
        <w:rPr>
          <w:rFonts w:asciiTheme="minorHAnsi" w:hAnsiTheme="minorHAnsi" w:cstheme="minorHAnsi"/>
        </w:rPr>
        <w:t xml:space="preserve">, z dnia  4 sierpnia 2015 r., </w:t>
      </w:r>
      <w:hyperlink r:id="rId13" w:anchor="/document/521904032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252/15</w:t>
        </w:r>
      </w:hyperlink>
      <w:r w:rsidRPr="006710A0">
        <w:rPr>
          <w:rFonts w:asciiTheme="minorHAnsi" w:hAnsiTheme="minorHAnsi" w:cstheme="minorHAnsi"/>
        </w:rPr>
        <w:t>).</w:t>
      </w:r>
    </w:p>
    <w:p w:rsidR="00C360E0" w:rsidRPr="006710A0" w:rsidRDefault="001A6573" w:rsidP="00EF1E74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W orzecznictwie podkreślono ponadto, że do</w:t>
      </w:r>
      <w:r w:rsidRPr="006710A0">
        <w:rPr>
          <w:rFonts w:asciiTheme="minorHAnsi" w:hAnsiTheme="minorHAnsi" w:cstheme="minorHAnsi"/>
        </w:rPr>
        <w:t xml:space="preserve">puszczalność wprowadzenia diety </w:t>
      </w:r>
      <w:r w:rsidRPr="006710A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char</w:t>
      </w:r>
      <w:r w:rsidRPr="006710A0">
        <w:rPr>
          <w:rFonts w:asciiTheme="minorHAnsi" w:hAnsiTheme="minorHAnsi" w:cstheme="minorHAnsi"/>
        </w:rPr>
        <w:t>akterze ryczałtowym nie może prowadzić do sytuacji powstania stałego miesięcznego wynagrodzenia</w:t>
      </w:r>
      <w:r>
        <w:rPr>
          <w:rFonts w:asciiTheme="minorHAnsi" w:hAnsiTheme="minorHAnsi" w:cstheme="minorHAnsi"/>
        </w:rPr>
        <w:t>,</w:t>
      </w:r>
      <w:r w:rsidRPr="006710A0">
        <w:rPr>
          <w:rFonts w:asciiTheme="minorHAnsi" w:hAnsiTheme="minorHAnsi" w:cstheme="minorHAnsi"/>
        </w:rPr>
        <w:t xml:space="preserve"> niezależnego od udziału w pracach organów gminy. W wyroku z dnia 26 czerwca 2014 r. Naczelny Sąd Administracyjny (sygn. akt </w:t>
      </w:r>
      <w:hyperlink r:id="rId14" w:anchor="/document/521613099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OSK 406/14</w:t>
        </w:r>
      </w:hyperlink>
      <w:r w:rsidRPr="006710A0">
        <w:rPr>
          <w:rFonts w:asciiTheme="minorHAnsi" w:hAnsiTheme="minorHAnsi" w:cstheme="minorHAnsi"/>
        </w:rPr>
        <w:t>) orzekł, że:</w:t>
      </w:r>
      <w:r w:rsidRPr="006710A0">
        <w:rPr>
          <w:rFonts w:asciiTheme="minorHAnsi" w:hAnsiTheme="minorHAnsi" w:cstheme="minorHAnsi"/>
        </w:rPr>
        <w:t xml:space="preserve"> </w:t>
      </w:r>
      <w:r w:rsidRPr="006710A0">
        <w:rPr>
          <w:rFonts w:asciiTheme="minorHAnsi" w:hAnsiTheme="minorHAnsi" w:cstheme="minorHAnsi"/>
        </w:rPr>
        <w:t>w sytuacji, gdy ustalenie świadczenia następuje w formie ryczałtu, brak przewidzianych potrąceń diety za przypadki nieobecności przewodniczącego na posiedzeniach, czy innych obowiązkowych czy</w:t>
      </w:r>
      <w:r w:rsidRPr="006710A0">
        <w:rPr>
          <w:rFonts w:asciiTheme="minorHAnsi" w:hAnsiTheme="minorHAnsi" w:cstheme="minorHAnsi"/>
        </w:rPr>
        <w:t xml:space="preserve">nnościach, sprawia, że nie mamy już do czynienia ze świadczeniem wyrównawczym (kompensacyjnym). </w:t>
      </w:r>
    </w:p>
    <w:p w:rsidR="000834FE" w:rsidRPr="006710A0" w:rsidRDefault="001A6573" w:rsidP="00EF1E74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Zasadniczo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Rada Gminy Mochowo</w:t>
      </w:r>
      <w:r w:rsidRPr="006710A0">
        <w:rPr>
          <w:rFonts w:asciiTheme="minorHAnsi" w:hAnsiTheme="minorHAnsi" w:cstheme="minorHAnsi"/>
        </w:rPr>
        <w:t xml:space="preserve"> ustaliła potrącenia diety z tytułu nieobecności Przewodniczącego</w:t>
      </w:r>
      <w:r>
        <w:rPr>
          <w:rFonts w:asciiTheme="minorHAnsi" w:hAnsiTheme="minorHAnsi" w:cstheme="minorHAnsi"/>
        </w:rPr>
        <w:t>, Wiceprzewodniczącego i pozostałych radnych</w:t>
      </w:r>
      <w:r>
        <w:rPr>
          <w:rFonts w:asciiTheme="minorHAnsi" w:hAnsiTheme="minorHAnsi" w:cstheme="minorHAnsi"/>
        </w:rPr>
        <w:t xml:space="preserve"> na sesjach Rady i p</w:t>
      </w:r>
      <w:r>
        <w:rPr>
          <w:rFonts w:asciiTheme="minorHAnsi" w:hAnsiTheme="minorHAnsi" w:cstheme="minorHAnsi"/>
        </w:rPr>
        <w:t>osiedzeniach komisji</w:t>
      </w:r>
      <w:r>
        <w:rPr>
          <w:rFonts w:asciiTheme="minorHAnsi" w:hAnsiTheme="minorHAnsi" w:cstheme="minorHAnsi"/>
        </w:rPr>
        <w:t>, które spowodują zmniejszenie należnej diety o 5 %</w:t>
      </w:r>
      <w:r w:rsidRPr="006710A0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Jednak</w:t>
      </w:r>
      <w:r w:rsidRPr="006710A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>godnie z wyżej przytoczonym orzecznictwem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6710A0">
        <w:rPr>
          <w:rFonts w:asciiTheme="minorHAnsi" w:hAnsiTheme="minorHAnsi" w:cstheme="minorHAnsi"/>
        </w:rPr>
        <w:t>dieta ma stanowić rekompensatę za utracone zarobki związa</w:t>
      </w:r>
      <w:r>
        <w:rPr>
          <w:rFonts w:asciiTheme="minorHAnsi" w:hAnsiTheme="minorHAnsi" w:cstheme="minorHAnsi"/>
        </w:rPr>
        <w:t>ne z pełnieniem funkcji radnego. Zatem</w:t>
      </w:r>
      <w:r w:rsidRPr="006710A0">
        <w:rPr>
          <w:rFonts w:asciiTheme="minorHAnsi" w:hAnsiTheme="minorHAnsi" w:cstheme="minorHAnsi"/>
        </w:rPr>
        <w:t xml:space="preserve"> sf</w:t>
      </w:r>
      <w:r>
        <w:rPr>
          <w:rFonts w:asciiTheme="minorHAnsi" w:hAnsiTheme="minorHAnsi" w:cstheme="minorHAnsi"/>
        </w:rPr>
        <w:t>ormułowanie zawarte w §2 ust. 1</w:t>
      </w:r>
      <w:r w:rsidRPr="006710A0">
        <w:rPr>
          <w:rFonts w:asciiTheme="minorHAnsi" w:hAnsiTheme="minorHAnsi" w:cstheme="minorHAnsi"/>
        </w:rPr>
        <w:t xml:space="preserve"> uchwały, wprowadzające procentowe obniżenia kwoty bazowej spowodują, </w:t>
      </w:r>
      <w:r>
        <w:rPr>
          <w:rFonts w:asciiTheme="minorHAnsi" w:hAnsiTheme="minorHAnsi" w:cstheme="minorHAnsi"/>
        </w:rPr>
        <w:t xml:space="preserve">że </w:t>
      </w:r>
      <w:r w:rsidRPr="006710A0">
        <w:rPr>
          <w:rFonts w:asciiTheme="minorHAnsi" w:hAnsiTheme="minorHAnsi" w:cstheme="minorHAnsi"/>
        </w:rPr>
        <w:t>w przypadku, gdy sesj</w:t>
      </w:r>
      <w:r>
        <w:rPr>
          <w:rFonts w:asciiTheme="minorHAnsi" w:hAnsiTheme="minorHAnsi" w:cstheme="minorHAnsi"/>
        </w:rPr>
        <w:t xml:space="preserve">e </w:t>
      </w:r>
      <w:r>
        <w:rPr>
          <w:rFonts w:asciiTheme="minorHAnsi" w:hAnsiTheme="minorHAnsi" w:cstheme="minorHAnsi"/>
        </w:rPr>
        <w:t xml:space="preserve">będą </w:t>
      </w:r>
      <w:r>
        <w:rPr>
          <w:rFonts w:asciiTheme="minorHAnsi" w:hAnsiTheme="minorHAnsi" w:cstheme="minorHAnsi"/>
        </w:rPr>
        <w:t>się odbywały, a radny</w:t>
      </w:r>
      <w:r w:rsidRPr="006710A0">
        <w:rPr>
          <w:rFonts w:asciiTheme="minorHAnsi" w:hAnsiTheme="minorHAnsi" w:cstheme="minorHAnsi"/>
        </w:rPr>
        <w:t xml:space="preserve"> będzie nieobecny na jednej bądź kilku sesjach</w:t>
      </w:r>
      <w:r>
        <w:rPr>
          <w:rFonts w:asciiTheme="minorHAnsi" w:hAnsiTheme="minorHAnsi" w:cstheme="minorHAnsi"/>
        </w:rPr>
        <w:t xml:space="preserve"> (posiedzeniach komisji)</w:t>
      </w:r>
      <w:r w:rsidRPr="006710A0">
        <w:rPr>
          <w:rFonts w:asciiTheme="minorHAnsi" w:hAnsiTheme="minorHAnsi" w:cstheme="minorHAnsi"/>
        </w:rPr>
        <w:t xml:space="preserve"> w miesiącu</w:t>
      </w:r>
      <w:r>
        <w:rPr>
          <w:rFonts w:asciiTheme="minorHAnsi" w:hAnsiTheme="minorHAnsi" w:cstheme="minorHAnsi"/>
        </w:rPr>
        <w:t>, to</w:t>
      </w:r>
      <w:r w:rsidRPr="006710A0">
        <w:rPr>
          <w:rFonts w:asciiTheme="minorHAnsi" w:hAnsiTheme="minorHAnsi" w:cstheme="minorHAnsi"/>
        </w:rPr>
        <w:t xml:space="preserve"> i tak część diety, mimo nie wykonywania czynnośc</w:t>
      </w:r>
      <w:r w:rsidRPr="006710A0">
        <w:rPr>
          <w:rFonts w:asciiTheme="minorHAnsi" w:hAnsiTheme="minorHAnsi" w:cstheme="minorHAnsi"/>
        </w:rPr>
        <w:t>i, będzie mu wypłacana. Zapisy te powodują, że dieta traci ch</w:t>
      </w:r>
      <w:r>
        <w:rPr>
          <w:rFonts w:asciiTheme="minorHAnsi" w:hAnsiTheme="minorHAnsi" w:cstheme="minorHAnsi"/>
        </w:rPr>
        <w:t>a</w:t>
      </w:r>
      <w:r w:rsidRPr="006710A0">
        <w:rPr>
          <w:rFonts w:asciiTheme="minorHAnsi" w:hAnsiTheme="minorHAnsi" w:cstheme="minorHAnsi"/>
        </w:rPr>
        <w:t xml:space="preserve">rakter </w:t>
      </w:r>
      <w:r w:rsidRPr="006710A0">
        <w:rPr>
          <w:rFonts w:asciiTheme="minorHAnsi" w:hAnsiTheme="minorHAnsi" w:cstheme="minorHAnsi"/>
        </w:rPr>
        <w:lastRenderedPageBreak/>
        <w:t>rekompensaty</w:t>
      </w:r>
      <w:r>
        <w:rPr>
          <w:rFonts w:asciiTheme="minorHAnsi" w:hAnsiTheme="minorHAnsi" w:cstheme="minorHAnsi"/>
        </w:rPr>
        <w:t>,</w:t>
      </w:r>
      <w:r w:rsidRPr="006710A0">
        <w:rPr>
          <w:rFonts w:asciiTheme="minorHAnsi" w:hAnsiTheme="minorHAnsi" w:cstheme="minorHAnsi"/>
        </w:rPr>
        <w:t xml:space="preserve"> a zbliża się do formy wynagrodzenia </w:t>
      </w:r>
      <w:r>
        <w:rPr>
          <w:rFonts w:asciiTheme="minorHAnsi" w:hAnsiTheme="minorHAnsi" w:cstheme="minorHAnsi"/>
        </w:rPr>
        <w:t>czy uposażenia z tytułu samego uzyskania mandatu radnego</w:t>
      </w:r>
      <w:r w:rsidRPr="006710A0">
        <w:rPr>
          <w:rFonts w:asciiTheme="minorHAnsi" w:hAnsiTheme="minorHAnsi" w:cstheme="minorHAnsi"/>
        </w:rPr>
        <w:t xml:space="preserve">. </w:t>
      </w:r>
    </w:p>
    <w:p w:rsidR="0004100A" w:rsidRDefault="001A6573" w:rsidP="00EF1E74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ab/>
        <w:t>Stanowisko organu nadzoru znajduje oparcie w wyrokach sądów administracyjnych</w:t>
      </w:r>
      <w:r>
        <w:rPr>
          <w:rFonts w:asciiTheme="minorHAnsi" w:hAnsiTheme="minorHAnsi" w:cstheme="minorHAnsi"/>
        </w:rPr>
        <w:t>,</w:t>
      </w:r>
      <w:r w:rsidRPr="006710A0">
        <w:rPr>
          <w:rFonts w:asciiTheme="minorHAnsi" w:hAnsiTheme="minorHAnsi" w:cstheme="minorHAnsi"/>
        </w:rPr>
        <w:t xml:space="preserve"> zapadłych w następstwie </w:t>
      </w:r>
      <w:r w:rsidRPr="006710A0">
        <w:rPr>
          <w:rFonts w:asciiTheme="minorHAnsi" w:hAnsiTheme="minorHAnsi" w:cstheme="minorHAnsi"/>
        </w:rPr>
        <w:t>rozpatrzenia skarg Wojewody Mazowieckiego na uchwały w sprawie zasad ustalania diet dla radnych (wyrok WSA w Warszawie z dnia 23 października 2019 r. sygn. akt. II Sa/Wa 978/19, z dnia 24 października 2019 r. sygn. akt II SA/Wa 92</w:t>
      </w:r>
      <w:r w:rsidRPr="006710A0">
        <w:rPr>
          <w:rFonts w:asciiTheme="minorHAnsi" w:hAnsiTheme="minorHAnsi" w:cstheme="minorHAnsi"/>
        </w:rPr>
        <w:t>1/19 i z dnia 29 listopada 2019 r. sygn. akt. II SA/Wa 1259/19)</w:t>
      </w:r>
      <w:r>
        <w:rPr>
          <w:rFonts w:asciiTheme="minorHAnsi" w:hAnsiTheme="minorHAnsi" w:cstheme="minorHAnsi"/>
        </w:rPr>
        <w:t>.</w:t>
      </w:r>
    </w:p>
    <w:p w:rsidR="006418B9" w:rsidRPr="006710A0" w:rsidRDefault="001A6573" w:rsidP="00EF1E74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Mając powyższe na uwadze, organ nad</w:t>
      </w:r>
      <w:r w:rsidRPr="006710A0">
        <w:rPr>
          <w:rFonts w:asciiTheme="minorHAnsi" w:hAnsiTheme="minorHAnsi" w:cstheme="minorHAnsi"/>
        </w:rPr>
        <w:t xml:space="preserve">zoru </w:t>
      </w:r>
      <w:r>
        <w:rPr>
          <w:rFonts w:asciiTheme="minorHAnsi" w:hAnsiTheme="minorHAnsi" w:cstheme="minorHAnsi"/>
        </w:rPr>
        <w:t>stwierdził, że Rada Gminy Mochowo</w:t>
      </w:r>
      <w:r w:rsidRPr="006710A0">
        <w:rPr>
          <w:rFonts w:asciiTheme="minorHAnsi" w:hAnsiTheme="minorHAnsi" w:cstheme="minorHAnsi"/>
        </w:rPr>
        <w:t xml:space="preserve"> nie wypełniła prawidłowo delegacji ustawowej z art. 25 ust. </w:t>
      </w:r>
      <w:r w:rsidRPr="006710A0">
        <w:rPr>
          <w:rFonts w:asciiTheme="minorHAnsi" w:hAnsiTheme="minorHAnsi" w:cstheme="minorHAnsi"/>
        </w:rPr>
        <w:t xml:space="preserve">4 ustawy o samorządzie gminnym i </w:t>
      </w:r>
      <w:r w:rsidRPr="006710A0">
        <w:rPr>
          <w:rFonts w:asciiTheme="minorHAnsi" w:hAnsiTheme="minorHAnsi" w:cstheme="minorHAnsi"/>
        </w:rPr>
        <w:t>w spo</w:t>
      </w:r>
      <w:r w:rsidRPr="006710A0">
        <w:rPr>
          <w:rFonts w:asciiTheme="minorHAnsi" w:hAnsiTheme="minorHAnsi" w:cstheme="minorHAnsi"/>
        </w:rPr>
        <w:t>sób sprzeczny z pra</w:t>
      </w:r>
      <w:r w:rsidRPr="006710A0">
        <w:rPr>
          <w:rFonts w:asciiTheme="minorHAnsi" w:hAnsiTheme="minorHAnsi" w:cstheme="minorHAnsi"/>
        </w:rPr>
        <w:t>wem ustaliła</w:t>
      </w:r>
      <w:r w:rsidRPr="006710A0">
        <w:rPr>
          <w:rFonts w:asciiTheme="minorHAnsi" w:hAnsiTheme="minorHAnsi" w:cstheme="minorHAnsi"/>
        </w:rPr>
        <w:t xml:space="preserve"> zasady przyznawania diet Przew</w:t>
      </w:r>
      <w:r w:rsidRPr="006710A0">
        <w:rPr>
          <w:rFonts w:asciiTheme="minorHAnsi" w:hAnsiTheme="minorHAnsi" w:cstheme="minorHAnsi"/>
        </w:rPr>
        <w:t xml:space="preserve">odniczącemu </w:t>
      </w:r>
      <w:r w:rsidRPr="006710A0">
        <w:rPr>
          <w:rFonts w:asciiTheme="minorHAnsi" w:hAnsiTheme="minorHAnsi" w:cstheme="minorHAnsi"/>
        </w:rPr>
        <w:t xml:space="preserve">Rady, </w:t>
      </w:r>
      <w:r>
        <w:rPr>
          <w:rFonts w:asciiTheme="minorHAnsi" w:hAnsiTheme="minorHAnsi" w:cstheme="minorHAnsi"/>
        </w:rPr>
        <w:t xml:space="preserve"> a zatem </w:t>
      </w:r>
      <w:r w:rsidRPr="006710A0">
        <w:rPr>
          <w:rFonts w:asciiTheme="minorHAnsi" w:hAnsiTheme="minorHAnsi" w:cstheme="minorHAnsi"/>
        </w:rPr>
        <w:t xml:space="preserve">należało orzec, jak w </w:t>
      </w:r>
      <w:r>
        <w:rPr>
          <w:rFonts w:asciiTheme="minorHAnsi" w:hAnsiTheme="minorHAnsi" w:cstheme="minorHAnsi"/>
        </w:rPr>
        <w:t>sentencji</w:t>
      </w:r>
      <w:r w:rsidRPr="006710A0">
        <w:rPr>
          <w:rFonts w:asciiTheme="minorHAnsi" w:hAnsiTheme="minorHAnsi" w:cstheme="minorHAnsi"/>
        </w:rPr>
        <w:t xml:space="preserve"> rozstrzygnięcia. </w:t>
      </w:r>
    </w:p>
    <w:p w:rsidR="006418B9" w:rsidRPr="006710A0" w:rsidRDefault="001A6573" w:rsidP="00EF1E74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Na rozstrzygnięcie nadzorcze przy</w:t>
      </w:r>
      <w:r w:rsidRPr="006710A0">
        <w:rPr>
          <w:rFonts w:asciiTheme="minorHAnsi" w:hAnsiTheme="minorHAnsi" w:cstheme="minorHAnsi"/>
        </w:rPr>
        <w:t>sługuje Gminie s</w:t>
      </w:r>
      <w:r w:rsidRPr="006710A0">
        <w:rPr>
          <w:rFonts w:asciiTheme="minorHAnsi" w:hAnsiTheme="minorHAnsi" w:cstheme="minorHAnsi"/>
        </w:rPr>
        <w:t xml:space="preserve">karga do Wojewódzkiego Sądu Administracyjnego w Warszawie, wnoszona za pośrednictwem </w:t>
      </w:r>
      <w:r w:rsidRPr="006710A0">
        <w:rPr>
          <w:rFonts w:asciiTheme="minorHAnsi" w:hAnsiTheme="minorHAnsi" w:cstheme="minorHAnsi"/>
        </w:rPr>
        <w:t>Wojewody Mazowieckiego, 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 xml:space="preserve">terminie 30 dni od daty doręczenia rozstrzygnięcia nadzorczego. </w:t>
      </w:r>
    </w:p>
    <w:p w:rsidR="00421970" w:rsidRPr="006710A0" w:rsidRDefault="001A6573" w:rsidP="00EF1E74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Stwierdzenie nieważności uchwały wstrzymuje jej wykonanie z mocy prawa z dniem doręczenia rozstrzygnięcia nadzorczego. </w:t>
      </w:r>
      <w:r w:rsidRPr="006710A0">
        <w:rPr>
          <w:rFonts w:asciiTheme="minorHAnsi" w:hAnsiTheme="minorHAnsi" w:cstheme="minorHAnsi"/>
        </w:rPr>
        <w:t xml:space="preserve">  </w:t>
      </w:r>
    </w:p>
    <w:p w:rsidR="004824F3" w:rsidRDefault="001A6573" w:rsidP="00EF1E74">
      <w:pPr>
        <w:spacing w:before="840" w:after="240" w:line="276" w:lineRule="auto"/>
        <w:rPr>
          <w:rFonts w:ascii="Calibri" w:hAnsi="Calibri" w:cs="Calibri"/>
        </w:rPr>
      </w:pPr>
    </w:p>
    <w:p w:rsidR="004824F3" w:rsidRDefault="001A6573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2" w:name="ezdPracownikStanowisko"/>
      <w:r>
        <w:rPr>
          <w:rFonts w:ascii="Calibri" w:hAnsi="Calibri" w:cs="Calibri"/>
        </w:rPr>
        <w:t>Wojewoda Mazowiecki</w:t>
      </w:r>
      <w:bookmarkEnd w:id="2"/>
    </w:p>
    <w:p w:rsidR="004824F3" w:rsidRDefault="001A6573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3" w:name="ezdPracownikNazwa"/>
      <w:r>
        <w:rPr>
          <w:rFonts w:ascii="Calibri" w:hAnsi="Calibri" w:cs="Calibri"/>
        </w:rPr>
        <w:t>Konstanty Radziwiłł</w:t>
      </w:r>
      <w:bookmarkEnd w:id="3"/>
    </w:p>
    <w:p w:rsidR="00691727" w:rsidRDefault="001A6573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1A6573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D2B7B"/>
    <w:multiLevelType w:val="hybridMultilevel"/>
    <w:tmpl w:val="04DA906A"/>
    <w:lvl w:ilvl="0" w:tplc="794279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7312155A" w:tentative="1">
      <w:start w:val="1"/>
      <w:numFmt w:val="lowerLetter"/>
      <w:lvlText w:val="%2."/>
      <w:lvlJc w:val="left"/>
      <w:pPr>
        <w:ind w:left="1788" w:hanging="360"/>
      </w:pPr>
    </w:lvl>
    <w:lvl w:ilvl="2" w:tplc="69184C18" w:tentative="1">
      <w:start w:val="1"/>
      <w:numFmt w:val="lowerRoman"/>
      <w:lvlText w:val="%3."/>
      <w:lvlJc w:val="right"/>
      <w:pPr>
        <w:ind w:left="2508" w:hanging="180"/>
      </w:pPr>
    </w:lvl>
    <w:lvl w:ilvl="3" w:tplc="B2D662BE" w:tentative="1">
      <w:start w:val="1"/>
      <w:numFmt w:val="decimal"/>
      <w:lvlText w:val="%4."/>
      <w:lvlJc w:val="left"/>
      <w:pPr>
        <w:ind w:left="3228" w:hanging="360"/>
      </w:pPr>
    </w:lvl>
    <w:lvl w:ilvl="4" w:tplc="93CA21C4" w:tentative="1">
      <w:start w:val="1"/>
      <w:numFmt w:val="lowerLetter"/>
      <w:lvlText w:val="%5."/>
      <w:lvlJc w:val="left"/>
      <w:pPr>
        <w:ind w:left="3948" w:hanging="360"/>
      </w:pPr>
    </w:lvl>
    <w:lvl w:ilvl="5" w:tplc="CA14D470" w:tentative="1">
      <w:start w:val="1"/>
      <w:numFmt w:val="lowerRoman"/>
      <w:lvlText w:val="%6."/>
      <w:lvlJc w:val="right"/>
      <w:pPr>
        <w:ind w:left="4668" w:hanging="180"/>
      </w:pPr>
    </w:lvl>
    <w:lvl w:ilvl="6" w:tplc="4E3CB4E0" w:tentative="1">
      <w:start w:val="1"/>
      <w:numFmt w:val="decimal"/>
      <w:lvlText w:val="%7."/>
      <w:lvlJc w:val="left"/>
      <w:pPr>
        <w:ind w:left="5388" w:hanging="360"/>
      </w:pPr>
    </w:lvl>
    <w:lvl w:ilvl="7" w:tplc="7EA852AA" w:tentative="1">
      <w:start w:val="1"/>
      <w:numFmt w:val="lowerLetter"/>
      <w:lvlText w:val="%8."/>
      <w:lvlJc w:val="left"/>
      <w:pPr>
        <w:ind w:left="6108" w:hanging="360"/>
      </w:pPr>
    </w:lvl>
    <w:lvl w:ilvl="8" w:tplc="D0A61AF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EA96DBD"/>
    <w:multiLevelType w:val="hybridMultilevel"/>
    <w:tmpl w:val="DDF48ACC"/>
    <w:lvl w:ilvl="0" w:tplc="D09EDD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E00974" w:tentative="1">
      <w:start w:val="1"/>
      <w:numFmt w:val="lowerLetter"/>
      <w:lvlText w:val="%2."/>
      <w:lvlJc w:val="left"/>
      <w:pPr>
        <w:ind w:left="1440" w:hanging="360"/>
      </w:pPr>
    </w:lvl>
    <w:lvl w:ilvl="2" w:tplc="2488BD18" w:tentative="1">
      <w:start w:val="1"/>
      <w:numFmt w:val="lowerRoman"/>
      <w:lvlText w:val="%3."/>
      <w:lvlJc w:val="right"/>
      <w:pPr>
        <w:ind w:left="2160" w:hanging="180"/>
      </w:pPr>
    </w:lvl>
    <w:lvl w:ilvl="3" w:tplc="CEE24568" w:tentative="1">
      <w:start w:val="1"/>
      <w:numFmt w:val="decimal"/>
      <w:lvlText w:val="%4."/>
      <w:lvlJc w:val="left"/>
      <w:pPr>
        <w:ind w:left="2880" w:hanging="360"/>
      </w:pPr>
    </w:lvl>
    <w:lvl w:ilvl="4" w:tplc="FEF8F8CA" w:tentative="1">
      <w:start w:val="1"/>
      <w:numFmt w:val="lowerLetter"/>
      <w:lvlText w:val="%5."/>
      <w:lvlJc w:val="left"/>
      <w:pPr>
        <w:ind w:left="3600" w:hanging="360"/>
      </w:pPr>
    </w:lvl>
    <w:lvl w:ilvl="5" w:tplc="FBFC8B98" w:tentative="1">
      <w:start w:val="1"/>
      <w:numFmt w:val="lowerRoman"/>
      <w:lvlText w:val="%6."/>
      <w:lvlJc w:val="right"/>
      <w:pPr>
        <w:ind w:left="4320" w:hanging="180"/>
      </w:pPr>
    </w:lvl>
    <w:lvl w:ilvl="6" w:tplc="DA36CDFC" w:tentative="1">
      <w:start w:val="1"/>
      <w:numFmt w:val="decimal"/>
      <w:lvlText w:val="%7."/>
      <w:lvlJc w:val="left"/>
      <w:pPr>
        <w:ind w:left="5040" w:hanging="360"/>
      </w:pPr>
    </w:lvl>
    <w:lvl w:ilvl="7" w:tplc="ECA87CE2" w:tentative="1">
      <w:start w:val="1"/>
      <w:numFmt w:val="lowerLetter"/>
      <w:lvlText w:val="%8."/>
      <w:lvlJc w:val="left"/>
      <w:pPr>
        <w:ind w:left="5760" w:hanging="360"/>
      </w:pPr>
    </w:lvl>
    <w:lvl w:ilvl="8" w:tplc="77462E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573"/>
    <w:rsid w:val="001A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FF6D22-3883-4B98-9879-BEB4A6F7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omylnaczcionkaakapitu"/>
    <w:rsid w:val="00B166C0"/>
  </w:style>
  <w:style w:type="paragraph" w:customStyle="1" w:styleId="Default">
    <w:name w:val="Default"/>
    <w:rsid w:val="00B166C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info-list-value-uzasadnienie">
    <w:name w:val="info-list-value-uzasadnienie"/>
    <w:rsid w:val="00B166C0"/>
  </w:style>
  <w:style w:type="paragraph" w:styleId="NormalnyWeb">
    <w:name w:val="Normal (Web)"/>
    <w:basedOn w:val="Normalny"/>
    <w:uiPriority w:val="99"/>
    <w:unhideWhenUsed/>
    <w:rsid w:val="000834FE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0834FE"/>
    <w:rPr>
      <w:color w:val="0000FF"/>
      <w:u w:val="single"/>
    </w:rPr>
  </w:style>
  <w:style w:type="character" w:customStyle="1" w:styleId="ng-binding">
    <w:name w:val="ng-binding"/>
    <w:basedOn w:val="Domylnaczcionkaakapitu"/>
    <w:rsid w:val="004F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094DB-0F0B-49C3-885E-A5CDAFB7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2021-12-22T11:42:00Z</cp:lastPrinted>
  <dcterms:created xsi:type="dcterms:W3CDTF">2021-12-29T13:42:00Z</dcterms:created>
  <dcterms:modified xsi:type="dcterms:W3CDTF">2021-12-29T13:42:00Z</dcterms:modified>
</cp:coreProperties>
</file>