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1FDC8BD0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ED0BDB">
        <w:rPr>
          <w:rFonts w:ascii="Times New Roman" w:hAnsi="Times New Roman" w:cs="Times New Roman"/>
          <w:iCs/>
        </w:rPr>
        <w:t xml:space="preserve">nr </w:t>
      </w:r>
      <w:r w:rsidR="00641339">
        <w:rPr>
          <w:rFonts w:ascii="Times New Roman" w:hAnsi="Times New Roman" w:cs="Times New Roman"/>
          <w:iCs/>
        </w:rPr>
        <w:t>1</w:t>
      </w:r>
      <w:r w:rsidR="00B15411">
        <w:rPr>
          <w:rFonts w:ascii="Times New Roman" w:hAnsi="Times New Roman" w:cs="Times New Roman"/>
          <w:iCs/>
        </w:rPr>
        <w:t>7</w:t>
      </w:r>
      <w:r w:rsidR="00A64953" w:rsidRPr="00ED0BDB">
        <w:rPr>
          <w:rFonts w:ascii="Times New Roman" w:hAnsi="Times New Roman" w:cs="Times New Roman"/>
          <w:iCs/>
        </w:rPr>
        <w:t>/</w:t>
      </w:r>
      <w:r w:rsidR="00093C48" w:rsidRPr="00ED0BDB">
        <w:rPr>
          <w:rFonts w:ascii="Times New Roman" w:hAnsi="Times New Roman" w:cs="Times New Roman"/>
          <w:iCs/>
        </w:rPr>
        <w:t>202</w:t>
      </w:r>
      <w:r w:rsidR="00060827" w:rsidRPr="00ED0BDB">
        <w:rPr>
          <w:rFonts w:ascii="Times New Roman" w:hAnsi="Times New Roman" w:cs="Times New Roman"/>
          <w:iCs/>
        </w:rPr>
        <w:t>6</w:t>
      </w:r>
      <w:r w:rsidR="00093C48" w:rsidRPr="00ED0BDB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1558F6A2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B26D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253C4D28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BA04E5">
        <w:rPr>
          <w:rFonts w:ascii="Times New Roman" w:hAnsi="Times New Roman" w:cs="Times New Roman"/>
          <w:sz w:val="24"/>
          <w:szCs w:val="24"/>
        </w:rPr>
        <w:t>………….</w:t>
      </w:r>
      <w:r w:rsidRPr="00517E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9F53D4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64133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  <w:r w:rsidR="00B24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2B3E218D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641339">
        <w:rPr>
          <w:rFonts w:ascii="Times New Roman" w:hAnsi="Times New Roman" w:cs="Times New Roman"/>
          <w:sz w:val="24"/>
          <w:szCs w:val="24"/>
        </w:rPr>
        <w:t>……………</w:t>
      </w:r>
      <w:r w:rsidRPr="00ED0BDB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641339">
        <w:rPr>
          <w:rFonts w:ascii="Times New Roman" w:hAnsi="Times New Roman" w:cs="Times New Roman"/>
          <w:sz w:val="24"/>
          <w:szCs w:val="24"/>
        </w:rPr>
        <w:t>……………</w:t>
      </w:r>
      <w:r w:rsidR="00BA04E5" w:rsidRPr="00ED0BDB">
        <w:rPr>
          <w:rFonts w:ascii="Times New Roman" w:hAnsi="Times New Roman" w:cs="Times New Roman"/>
          <w:sz w:val="24"/>
          <w:szCs w:val="24"/>
        </w:rPr>
        <w:t xml:space="preserve"> </w:t>
      </w:r>
      <w:r w:rsidRPr="00ED0BDB">
        <w:rPr>
          <w:rFonts w:ascii="Times New Roman" w:hAnsi="Times New Roman" w:cs="Times New Roman"/>
          <w:sz w:val="24"/>
          <w:szCs w:val="24"/>
        </w:rPr>
        <w:t xml:space="preserve">złotych 00/100 groszy) wpłacona przez Kupującego tytułem obowiązkowego wadium. Po potrąceniu kwoty wadium, do zapłaty przez Kupującego pozostaje kwota </w:t>
      </w:r>
      <w:r w:rsidR="00641339">
        <w:rPr>
          <w:rFonts w:ascii="Times New Roman" w:hAnsi="Times New Roman" w:cs="Times New Roman"/>
          <w:sz w:val="24"/>
          <w:szCs w:val="24"/>
        </w:rPr>
        <w:t>………………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15808335" w:rsidR="002B30DC" w:rsidRPr="00ED0BDB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</w:t>
      </w:r>
      <w:r w:rsidR="00B15411">
        <w:rPr>
          <w:rFonts w:ascii="Times New Roman" w:hAnsi="Times New Roman" w:cs="Times New Roman"/>
          <w:sz w:val="24"/>
          <w:szCs w:val="24"/>
        </w:rPr>
        <w:t xml:space="preserve"> Kierownik Pracowni w Giżycku.</w:t>
      </w:r>
      <w:r w:rsidR="00B2476A" w:rsidRPr="00ED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05908468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1 – upoważnienie nr </w:t>
      </w:r>
      <w:r w:rsidR="006F7A30">
        <w:rPr>
          <w:rFonts w:ascii="Times New Roman" w:hAnsi="Times New Roman" w:cs="Times New Roman"/>
          <w:sz w:val="24"/>
          <w:szCs w:val="24"/>
        </w:rPr>
        <w:t>….</w:t>
      </w:r>
      <w:r w:rsidRPr="00D76F8F">
        <w:rPr>
          <w:rFonts w:ascii="Times New Roman" w:hAnsi="Times New Roman" w:cs="Times New Roman"/>
          <w:sz w:val="24"/>
          <w:szCs w:val="24"/>
        </w:rPr>
        <w:t>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F1C253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AEDD9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58845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12616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F49BD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5EAFE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66534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34276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32406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2F97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41339"/>
    <w:rsid w:val="00650553"/>
    <w:rsid w:val="00674556"/>
    <w:rsid w:val="006B0138"/>
    <w:rsid w:val="006B3141"/>
    <w:rsid w:val="006B70E2"/>
    <w:rsid w:val="006C5210"/>
    <w:rsid w:val="006E15A4"/>
    <w:rsid w:val="006E6292"/>
    <w:rsid w:val="006F1CA7"/>
    <w:rsid w:val="006F7A30"/>
    <w:rsid w:val="0074108E"/>
    <w:rsid w:val="0074756D"/>
    <w:rsid w:val="00764030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5411"/>
    <w:rsid w:val="00B16B7B"/>
    <w:rsid w:val="00B17D5A"/>
    <w:rsid w:val="00B22845"/>
    <w:rsid w:val="00B2476A"/>
    <w:rsid w:val="00B26DB6"/>
    <w:rsid w:val="00B75ADE"/>
    <w:rsid w:val="00B93367"/>
    <w:rsid w:val="00BA0027"/>
    <w:rsid w:val="00BA04E5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A2375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B26D7"/>
    <w:rsid w:val="00ED0BDB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55B5-8A9A-43CE-AEF1-8378ADF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24</cp:revision>
  <cp:lastPrinted>2022-03-25T09:38:00Z</cp:lastPrinted>
  <dcterms:created xsi:type="dcterms:W3CDTF">2025-01-24T12:21:00Z</dcterms:created>
  <dcterms:modified xsi:type="dcterms:W3CDTF">2026-06-08T11:42:00Z</dcterms:modified>
</cp:coreProperties>
</file>