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351C" w14:textId="77777777" w:rsidR="004B303F" w:rsidRPr="00CB1E64" w:rsidRDefault="00585473" w:rsidP="00CB1E64">
      <w:pPr>
        <w:spacing w:before="4320"/>
        <w:jc w:val="center"/>
        <w:rPr>
          <w:rFonts w:eastAsiaTheme="majorEastAsia" w:cstheme="minorHAnsi"/>
          <w:b/>
          <w:bCs/>
          <w:iCs/>
          <w:sz w:val="24"/>
          <w:szCs w:val="24"/>
        </w:rPr>
      </w:pPr>
      <w:r w:rsidRPr="00CB1E64">
        <w:rPr>
          <w:rFonts w:eastAsiaTheme="majorEastAsia" w:cstheme="minorHAnsi"/>
          <w:b/>
          <w:bCs/>
          <w:iCs/>
          <w:sz w:val="24"/>
          <w:szCs w:val="24"/>
        </w:rPr>
        <w:t>Załącznik</w:t>
      </w:r>
      <w:r w:rsidR="00A9616F" w:rsidRPr="00CB1E64">
        <w:rPr>
          <w:rFonts w:eastAsiaTheme="majorEastAsia" w:cstheme="minorHAnsi"/>
          <w:b/>
          <w:bCs/>
          <w:iCs/>
          <w:sz w:val="24"/>
          <w:szCs w:val="24"/>
        </w:rPr>
        <w:t xml:space="preserve"> 1</w:t>
      </w:r>
      <w:bookmarkStart w:id="0" w:name="_Toc428535187"/>
      <w:bookmarkStart w:id="1" w:name="_Toc431295988"/>
      <w:bookmarkStart w:id="2" w:name="_Toc78468497"/>
      <w:bookmarkStart w:id="3" w:name="_Toc406509583"/>
    </w:p>
    <w:p w14:paraId="171562BE" w14:textId="59BA22D0" w:rsidR="005B065F" w:rsidRPr="00CB1E64" w:rsidRDefault="003F4FBA" w:rsidP="00CB1E64">
      <w:pPr>
        <w:jc w:val="center"/>
        <w:rPr>
          <w:rFonts w:cstheme="minorHAnsi"/>
          <w:b/>
          <w:iCs/>
          <w:sz w:val="24"/>
          <w:szCs w:val="24"/>
        </w:rPr>
      </w:pPr>
      <w:r w:rsidRPr="00CB1E64">
        <w:rPr>
          <w:rFonts w:cstheme="minorHAnsi"/>
          <w:b/>
          <w:iCs/>
          <w:sz w:val="24"/>
          <w:szCs w:val="24"/>
        </w:rPr>
        <w:t>Zamówienia udzielane w Przedsięwzięciach</w:t>
      </w:r>
      <w:bookmarkEnd w:id="0"/>
      <w:bookmarkEnd w:id="1"/>
      <w:bookmarkEnd w:id="2"/>
      <w:r w:rsidRPr="00CB1E64">
        <w:rPr>
          <w:rFonts w:cstheme="minorHAnsi"/>
          <w:b/>
          <w:iCs/>
          <w:sz w:val="24"/>
          <w:szCs w:val="24"/>
        </w:rPr>
        <w:t xml:space="preserve"> real</w:t>
      </w:r>
      <w:r w:rsidR="00FA6EB4" w:rsidRPr="00CB1E64">
        <w:rPr>
          <w:rFonts w:cstheme="minorHAnsi"/>
          <w:b/>
          <w:iCs/>
          <w:sz w:val="24"/>
          <w:szCs w:val="24"/>
        </w:rPr>
        <w:t>izowanych w ramach inwestycji C2.1.1</w:t>
      </w:r>
    </w:p>
    <w:p w14:paraId="54D66D43" w14:textId="77777777" w:rsidR="005B065F" w:rsidRPr="00FC6D62" w:rsidRDefault="005B065F" w:rsidP="00FC6D62">
      <w:pPr>
        <w:rPr>
          <w:rFonts w:cstheme="minorHAnsi"/>
          <w:b/>
          <w:i/>
          <w:sz w:val="24"/>
          <w:szCs w:val="24"/>
        </w:rPr>
      </w:pPr>
      <w:r w:rsidRPr="00FC6D62">
        <w:rPr>
          <w:rFonts w:cstheme="minorHAnsi"/>
          <w:b/>
          <w:i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sz w:val="22"/>
          <w:szCs w:val="24"/>
          <w:lang w:eastAsia="en-US"/>
        </w:rPr>
        <w:id w:val="-1936120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0A91F9" w14:textId="1794B3A4" w:rsidR="00722124" w:rsidRPr="00FC6D62" w:rsidRDefault="00722124" w:rsidP="00FC6D62">
          <w:pPr>
            <w:pStyle w:val="Nagwekspisutreci"/>
            <w:rPr>
              <w:rFonts w:asciiTheme="minorHAnsi" w:hAnsiTheme="minorHAnsi" w:cstheme="minorHAnsi"/>
              <w:b w:val="0"/>
              <w:szCs w:val="24"/>
            </w:rPr>
          </w:pPr>
          <w:r w:rsidRPr="00FC6D62">
            <w:rPr>
              <w:rFonts w:asciiTheme="minorHAnsi" w:hAnsiTheme="minorHAnsi" w:cstheme="minorHAnsi"/>
              <w:szCs w:val="24"/>
            </w:rPr>
            <w:t>Spis treści</w:t>
          </w:r>
        </w:p>
        <w:p w14:paraId="55694A33" w14:textId="5AF82E30" w:rsidR="00CB783C" w:rsidRDefault="00722124" w:rsidP="00CB1E64">
          <w:pPr>
            <w:pStyle w:val="Spistreci1"/>
            <w:tabs>
              <w:tab w:val="right" w:leader="dot" w:pos="9062"/>
            </w:tabs>
            <w:spacing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FC6D62">
            <w:rPr>
              <w:rFonts w:cstheme="minorHAnsi"/>
              <w:sz w:val="24"/>
              <w:szCs w:val="24"/>
            </w:rPr>
            <w:fldChar w:fldCharType="begin"/>
          </w:r>
          <w:r w:rsidRPr="00FC6D62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FC6D62">
            <w:rPr>
              <w:rFonts w:cstheme="minorHAnsi"/>
              <w:sz w:val="24"/>
              <w:szCs w:val="24"/>
            </w:rPr>
            <w:fldChar w:fldCharType="separate"/>
          </w:r>
          <w:hyperlink w:anchor="_Toc169702709" w:history="1">
            <w:r w:rsidR="00CB783C" w:rsidRPr="00FD27A9">
              <w:rPr>
                <w:rStyle w:val="Hipercze"/>
                <w:rFonts w:eastAsia="MS Mincho" w:cstheme="minorHAnsi"/>
                <w:noProof/>
                <w:lang w:eastAsia="ja-JP"/>
              </w:rPr>
              <w:t>1. Zamówienia udzielane w ramach Przedsięwzięć</w:t>
            </w:r>
            <w:r w:rsidR="00CB783C">
              <w:rPr>
                <w:noProof/>
                <w:webHidden/>
              </w:rPr>
              <w:tab/>
            </w:r>
            <w:r w:rsidR="00CB783C">
              <w:rPr>
                <w:noProof/>
                <w:webHidden/>
              </w:rPr>
              <w:fldChar w:fldCharType="begin"/>
            </w:r>
            <w:r w:rsidR="00CB783C">
              <w:rPr>
                <w:noProof/>
                <w:webHidden/>
              </w:rPr>
              <w:instrText xml:space="preserve"> PAGEREF _Toc169702709 \h </w:instrText>
            </w:r>
            <w:r w:rsidR="00CB783C">
              <w:rPr>
                <w:noProof/>
                <w:webHidden/>
              </w:rPr>
            </w:r>
            <w:r w:rsidR="00CB783C">
              <w:rPr>
                <w:noProof/>
                <w:webHidden/>
              </w:rPr>
              <w:fldChar w:fldCharType="separate"/>
            </w:r>
            <w:r w:rsidR="00CB783C">
              <w:rPr>
                <w:noProof/>
                <w:webHidden/>
              </w:rPr>
              <w:t>2</w:t>
            </w:r>
            <w:r w:rsidR="00CB783C">
              <w:rPr>
                <w:noProof/>
                <w:webHidden/>
              </w:rPr>
              <w:fldChar w:fldCharType="end"/>
            </w:r>
          </w:hyperlink>
        </w:p>
        <w:p w14:paraId="43506FCD" w14:textId="0CF17F9A" w:rsidR="00CB783C" w:rsidRDefault="00CB783C" w:rsidP="00CB1E64">
          <w:pPr>
            <w:pStyle w:val="Spistreci2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0" w:history="1">
            <w:r w:rsidRPr="00FD27A9">
              <w:rPr>
                <w:rStyle w:val="Hipercze"/>
                <w:rFonts w:eastAsia="MS Mincho" w:cstheme="minorHAnsi"/>
                <w:iCs/>
                <w:noProof/>
                <w:lang w:eastAsia="ja-JP"/>
              </w:rPr>
              <w:t>1.1. Zasada konkurencyjności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_Toc169702710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DED2D" w14:textId="11973CE9" w:rsidR="00CB783C" w:rsidRDefault="00CB783C" w:rsidP="00CB1E64">
          <w:pPr>
            <w:pStyle w:val="Spistreci2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1" w:history="1">
            <w:r w:rsidRPr="00FD27A9">
              <w:rPr>
                <w:rStyle w:val="Hipercze"/>
                <w:rFonts w:eastAsia="MS Mincho"/>
                <w:noProof/>
                <w:lang w:eastAsia="ja-JP"/>
              </w:rPr>
              <w:t xml:space="preserve">1.2. </w:t>
            </w:r>
            <w:r w:rsidRPr="00FD27A9">
              <w:rPr>
                <w:rStyle w:val="Hipercze"/>
                <w:noProof/>
              </w:rPr>
              <w:t>Zamówienia w trybie in-house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_Toc169702711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0D227" w14:textId="2BE81F7C" w:rsidR="00CB783C" w:rsidRDefault="00CB783C" w:rsidP="00CB1E64">
          <w:pPr>
            <w:pStyle w:val="Spistreci1"/>
            <w:tabs>
              <w:tab w:val="right" w:leader="dot" w:pos="9062"/>
            </w:tabs>
            <w:spacing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2" w:history="1">
            <w:r w:rsidRPr="00FD27A9">
              <w:rPr>
                <w:rStyle w:val="Hipercze"/>
                <w:rFonts w:eastAsia="MS Mincho" w:cstheme="minorHAnsi"/>
                <w:noProof/>
                <w:lang w:eastAsia="ja-JP"/>
              </w:rPr>
              <w:t>2. Przykłady możliwych nieprawidłowości w obszarze zamówień.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_Toc169702712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B1747" w14:textId="33D03B57" w:rsidR="00CB783C" w:rsidRDefault="00CB783C" w:rsidP="00CB1E64">
          <w:pPr>
            <w:pStyle w:val="Spistreci1"/>
            <w:tabs>
              <w:tab w:val="right" w:leader="dot" w:pos="9062"/>
            </w:tabs>
            <w:spacing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3" w:history="1">
            <w:r w:rsidRPr="00FD27A9">
              <w:rPr>
                <w:rStyle w:val="Hipercze"/>
                <w:rFonts w:eastAsia="MS Mincho" w:cstheme="minorHAnsi"/>
                <w:noProof/>
                <w:lang w:eastAsia="ja-JP"/>
              </w:rPr>
              <w:t>3. Zestawienie regulacji w zakresie zasady konkurencyjności w odniesieniu do konieczności stosowania przez zamawiającego określonej ścieżki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_Toc169702713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02458" w14:textId="0E11A4B4" w:rsidR="00CB1E64" w:rsidRPr="00CB1E64" w:rsidRDefault="00722124" w:rsidP="00CB1E64">
          <w:pPr>
            <w:spacing w:line="276" w:lineRule="auto"/>
            <w:rPr>
              <w:rFonts w:cstheme="minorHAnsi"/>
              <w:b/>
              <w:bCs/>
              <w:sz w:val="24"/>
              <w:szCs w:val="24"/>
            </w:rPr>
          </w:pPr>
          <w:r w:rsidRPr="00FC6D62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bookmarkEnd w:id="3" w:displacedByCustomXml="prev"/>
    <w:bookmarkStart w:id="4" w:name="_Toc169702709" w:displacedByCustomXml="prev"/>
    <w:p w14:paraId="061FA9EB" w14:textId="77777777" w:rsidR="00CB1E64" w:rsidRDefault="00CB1E64">
      <w:pPr>
        <w:rPr>
          <w:rFonts w:asciiTheme="majorHAnsi" w:eastAsia="MS Mincho" w:hAnsiTheme="majorHAnsi" w:cstheme="majorBidi"/>
          <w:b/>
          <w:sz w:val="24"/>
          <w:szCs w:val="32"/>
          <w:lang w:eastAsia="ja-JP"/>
        </w:rPr>
      </w:pPr>
      <w:r>
        <w:rPr>
          <w:rFonts w:eastAsia="MS Mincho"/>
          <w:lang w:eastAsia="ja-JP"/>
        </w:rPr>
        <w:br w:type="page"/>
      </w:r>
    </w:p>
    <w:p w14:paraId="677F43A3" w14:textId="41577E3B" w:rsidR="00D24E7A" w:rsidRPr="00CB783C" w:rsidRDefault="00CB1E64" w:rsidP="00CB783C">
      <w:pPr>
        <w:pStyle w:val="Nagwek1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 xml:space="preserve">1. </w:t>
      </w:r>
      <w:r w:rsidR="00D24E7A" w:rsidRPr="00CB783C">
        <w:rPr>
          <w:rFonts w:eastAsia="MS Mincho"/>
          <w:lang w:eastAsia="ja-JP"/>
        </w:rPr>
        <w:t xml:space="preserve">Zamówienia udzielane w ramach </w:t>
      </w:r>
      <w:r w:rsidR="00D41CD7" w:rsidRPr="00CB783C">
        <w:rPr>
          <w:rFonts w:eastAsia="MS Mincho"/>
          <w:lang w:eastAsia="ja-JP"/>
        </w:rPr>
        <w:t>Przedsięwzięć</w:t>
      </w:r>
      <w:bookmarkEnd w:id="4"/>
    </w:p>
    <w:p w14:paraId="19D8C8AB" w14:textId="77777777" w:rsidR="005C1397" w:rsidRPr="00FC6D62" w:rsidRDefault="00691701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Beneficjent jest zobowiązany do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:</w:t>
      </w:r>
    </w:p>
    <w:p w14:paraId="0C899948" w14:textId="054B25D9" w:rsidR="005C1397" w:rsidRPr="00FC6D62" w:rsidRDefault="00CE5A47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s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 xml:space="preserve">tosowania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ustawy 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>PZP</w:t>
      </w:r>
    </w:p>
    <w:p w14:paraId="616A9C4E" w14:textId="2EF79EAB" w:rsidR="00691701" w:rsidRPr="00FC6D62" w:rsidRDefault="00691701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lub dla podmiotów nie zobowiązanych do stosowania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ustawy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PZP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, do stosowania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zasad, określonych w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niniejszym załączniku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5F1BCA2B" w14:textId="71C32D53" w:rsidR="000069FF" w:rsidRPr="00FC6D62" w:rsidRDefault="008068E6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jest</w:t>
      </w:r>
      <w:r w:rsidR="00D12C3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>zobowiązan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 xml:space="preserve"> do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przeprowadzenia postępowania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o udzielenie zamówienia o wartości szacunkowej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tj. bez podatku od towarów i usług (VAT) w sposób zapewniający przejrzystość oraz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zachowanie uczciwej konkurencji i równego traktowania wykonawców. Spełnienie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powyższych wymogów następuje w drodze zastosowania Pzp albo zasady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konkurencyjności określonej w sekcji 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6D97D19D" w14:textId="67AEB51F" w:rsidR="000069FF" w:rsidRPr="00FC6D62" w:rsidRDefault="004255E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Beneficjenci zobowiązani do stosowania ustawy PZP jak i podmioty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niemające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takiego obowiązku mogą 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dla wydatków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>0 tys. PLN netto stosować własne wewnętrzne uregulowania określające zasady dokonywania zakupu towarów, usług oraz robót budowlanych.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 xml:space="preserve">Koszty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ramach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 muszą być</w:t>
      </w:r>
      <w:r w:rsidR="00A053A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396D277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653A5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033023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organem administracji publicznej, może on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powierzać na podstawie art. 5 ust. 2 pkt 1 ustawy z dnia 24 kwietnia 2003 r.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działalności pożytku publicznego i o wolontariacie realizację zadań publicznych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trybie określonym w tej ustawie. Do powierzenia realizacji zadań publicznych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EF5F4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stosuje się.</w:t>
      </w:r>
    </w:p>
    <w:p w14:paraId="63007E30" w14:textId="27A58D33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 na podstawie obowiązujących przepisów prawa innych niż Pzp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wyłącza się stosowanie Pzp, </w:t>
      </w:r>
      <w:r w:rsidR="009D2F4A"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>będący zamawiającym w rozumieniu Pzp przeprowadza zamówienie z zastosowaniem tych przepisów. Do przeprowadzenia zamówienia 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 sek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nie stosuje 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się</w:t>
      </w:r>
      <w:r w:rsidR="00E87176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74EBECBC" w14:textId="0D4D01F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 xml:space="preserve">i 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nie stosuje się </w:t>
      </w:r>
      <w:r w:rsidR="00C256DD" w:rsidRPr="00FC6D62">
        <w:rPr>
          <w:rFonts w:eastAsia="MS Mincho" w:cstheme="minorHAnsi"/>
          <w:sz w:val="24"/>
          <w:szCs w:val="24"/>
          <w:lang w:eastAsia="ja-JP"/>
        </w:rPr>
        <w:t xml:space="preserve">także 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Pr="00FC6D62">
        <w:rPr>
          <w:rFonts w:eastAsia="MS Mincho" w:cstheme="minorHAnsi"/>
          <w:sz w:val="24"/>
          <w:szCs w:val="24"/>
          <w:lang w:eastAsia="ja-JP"/>
        </w:rPr>
        <w:t>zamówi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eń określonych w art. 9-14 Pzp. </w:t>
      </w:r>
    </w:p>
    <w:p w14:paraId="1B46A052" w14:textId="69B8780A" w:rsidR="00A149EC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Możliwe jest niestosowanie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określon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2737F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1.1 przy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 xml:space="preserve"> udzielaniu zamówień w następujących przypadkach:</w:t>
      </w:r>
      <w:r w:rsidR="008B068D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"/>
      </w:r>
    </w:p>
    <w:p w14:paraId="644183DF" w14:textId="6699D7D5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wyniku prawidłowego zastosowania zasady konkurencyjności 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>określonej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sekcji 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nie wpłynęła żadna oferta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wpłynęły tylko oferty podlegające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odrzuceniu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albo wszyscy wykonawcy zostali wykluczeni z postępowania lub nie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spełnili warunków udziału w postępowaniu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>. Z</w:t>
      </w:r>
      <w:r w:rsidRPr="00FC6D62">
        <w:rPr>
          <w:rFonts w:eastAsia="MS Mincho" w:cstheme="minorHAnsi"/>
          <w:sz w:val="24"/>
          <w:szCs w:val="24"/>
          <w:lang w:eastAsia="ja-JP"/>
        </w:rPr>
        <w:t>awarcie umowy w sprawie realizacji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pominięciem zasady konkurencyjności jest możliwe, gdy pierwotne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warunki zamówienia nie zostały zmienione,</w:t>
      </w:r>
    </w:p>
    <w:p w14:paraId="5AF0B3F2" w14:textId="26A00737" w:rsidR="00D24E7A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może być zrealizowane tylko przez jednego wykonawcę z jednego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 następujących powodów:</w:t>
      </w:r>
    </w:p>
    <w:p w14:paraId="1E2F0198" w14:textId="35DA3650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tzn. istnieje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tylko jeden wykonawca, który jako jedyny może zrealizować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zamówienie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39046CD6" w14:textId="3E18F5EE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przedmiot zamówienia jest objęty ochroną praw wyłącznych, w tym praw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własności intelektualnej, tzn. istnieje tylko jeden wykonawca, który ma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wyłączne prawo do dysponowania przedmiotem zamówienia, a prawo to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podlega ochronie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ustawowej; wyłączenie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być zastosowane, o ile nie istnieje rozwiązanie alternatywne lub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zastępcze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brak konkurencji nie jest wynikiem sztucznego zawężania</w:t>
      </w:r>
      <w:r w:rsidR="00543235" w:rsidRPr="00FC6D62">
        <w:rPr>
          <w:rFonts w:cstheme="minorHAnsi"/>
          <w:sz w:val="24"/>
          <w:szCs w:val="24"/>
          <w:lang w:eastAsia="ja-JP"/>
        </w:rPr>
        <w:t xml:space="preserve"> </w:t>
      </w:r>
      <w:r w:rsidRPr="00FC6D62">
        <w:rPr>
          <w:rFonts w:cstheme="minorHAnsi"/>
          <w:sz w:val="24"/>
          <w:szCs w:val="24"/>
          <w:lang w:eastAsia="ja-JP"/>
        </w:rPr>
        <w:t>parametrów zamówienia,</w:t>
      </w:r>
    </w:p>
    <w:p w14:paraId="33BC75A6" w14:textId="28BE2D2A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B62941" w:rsidRPr="00FC6D62">
        <w:rPr>
          <w:rFonts w:eastAsia="MS Mincho" w:cstheme="minorHAnsi"/>
          <w:sz w:val="24"/>
          <w:szCs w:val="24"/>
          <w:lang w:eastAsia="ja-JP"/>
        </w:rPr>
        <w:t>ze względu na pilną potrzebę (konieczność) udzielenia zamówienia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niewynikającą z przyczyn leżących po stronie zamawiającego, której wcześniej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można było przewidzieć, nie można zachować terminów określonych w sekcji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pkt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03CBF754" w14:textId="3CB4BD4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1A6C6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konkurencyjności,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na było przewidzieć (np. klęski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>żywiołowe, katastrofy, awarie), wymagane jest natychmiastowe wykonanie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zamówienia i nie można zachować terminów określonych w sekcji 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pkt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, </w:t>
      </w:r>
    </w:p>
    <w:p w14:paraId="753FC0A0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zamawiający udziela wykonawcy wybranemu zgodnie z zasadą konkurencyjności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dodatkowe dostawy, polegających na częściowej wymianie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dostarczonych produktów lub instalacji albo zwiększeniu bieżących dostaw lub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rozbudowie istniejących instalacji, a zmiana wykonawcy prowadziłaby do nabycia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materiałów o innych właściwościach technicznych, co powodowałoby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niekompatybilność techniczną lub nieproporcjonalnie duże trudności techniczne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użytkowaniu i utrzymaniu tych produktów lub instalacji. Czas trwania umowy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sprawie zamówienia na dostawy dodatkowe nie może przekraczać 3 lat,</w:t>
      </w:r>
    </w:p>
    <w:p w14:paraId="647E3210" w14:textId="149A406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 okresie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3 lat od dnia udzielenia zamówienia podstawowego,</w:t>
      </w:r>
      <w:r w:rsidR="003F3B4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do wysokości wartości pierwotnego zamówienia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5637A761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warunkach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związku z likwidacją działalności innego podmiotu,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postępowaniem egzekucyjnym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na dostawy jest dokonywane na giełdzie towarowej w rozumieniu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przepisów o giełdach towarowych, w tym na giełdzie towarowej innych państw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członkowskich Europejskiego Obszaru Gospodarczego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3E876AF0" w14:textId="34675CB9" w:rsidR="00D24E7A" w:rsidRPr="00FC6D62" w:rsidRDefault="00D24E7A" w:rsidP="00FC6D62">
      <w:pPr>
        <w:spacing w:after="0" w:line="360" w:lineRule="auto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E22C16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nie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zamawiającym w rozumieniu Pzp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 o wartości szacunkowej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>0 tys. PLN netto, o których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lit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. a - d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lub g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–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>h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mogą być udzielane podmiotom powiązanym z nim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osobowo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kapitałowo w s</w:t>
      </w:r>
      <w:r w:rsidR="00957265" w:rsidRPr="00FC6D62">
        <w:rPr>
          <w:rFonts w:eastAsia="MS Mincho" w:cstheme="minorHAnsi"/>
          <w:sz w:val="24"/>
          <w:szCs w:val="24"/>
          <w:lang w:eastAsia="ja-JP"/>
        </w:rPr>
        <w:t xml:space="preserve">posób określony w pkt 3 sekcji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bez zgody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54259" w:rsidRPr="00FC6D62">
        <w:rPr>
          <w:rFonts w:eastAsia="MS Mincho" w:cstheme="minorHAnsi"/>
          <w:sz w:val="24"/>
          <w:szCs w:val="24"/>
          <w:lang w:eastAsia="ja-JP"/>
        </w:rPr>
        <w:t>JW.</w:t>
      </w:r>
    </w:p>
    <w:p w14:paraId="4020BB6A" w14:textId="14E84EAA" w:rsidR="000069FF" w:rsidRPr="00FC6D62" w:rsidRDefault="00541534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gdy Beneficjentem jest Zamawiający w rozumieniu przepisów ustawy Pzp, m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ożliwe jest niestosowanie procedur określonych w niniejsz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przypadkach określonych w art. 214 ust. 1 Pzp. </w:t>
      </w:r>
    </w:p>
    <w:p w14:paraId="1FA60D53" w14:textId="36639C4C" w:rsidR="001241D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Spełnienie przesłanek z pkt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7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musi być pisemnie uzasadnione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a do uzasadnienia muszą być załączone dowody na uprawdopodobnienie twierdzeń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15469087" w14:textId="1CC85BA7" w:rsidR="00D24E7A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Podstawą ustalenia wartości zamówienia w ramach</w:t>
      </w:r>
      <w:r w:rsidR="00CC69AB" w:rsidRPr="00FC6D62">
        <w:rPr>
          <w:rFonts w:eastAsia="MS Mincho" w:cstheme="minorHAnsi"/>
          <w:sz w:val="24"/>
          <w:szCs w:val="24"/>
          <w:lang w:eastAsia="ja-JP"/>
        </w:rPr>
        <w:t xml:space="preserve"> Przedsięwzięcia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jest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całkowite szacunkowe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(VAT), ustalone z należytą starannością, z uwzględnieniem ewentualnych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zamówień, o których mowa w pkt 7 lit.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f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Brak uwzględnienia zamówień dodatkowych uniemożliwia 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lastRenderedPageBreak/>
        <w:t xml:space="preserve">skorzystanie z zamówień dodatkowych. </w:t>
      </w:r>
      <w:r w:rsidRPr="00FC6D62">
        <w:rPr>
          <w:rFonts w:eastAsia="MS Mincho" w:cstheme="minorHAnsi"/>
          <w:sz w:val="24"/>
          <w:szCs w:val="24"/>
          <w:lang w:eastAsia="ja-JP"/>
        </w:rPr>
        <w:t>Szacowanie jest dokumentowane w sposób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>wniosku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 xml:space="preserve">o objęcie Przedsięwzięcia wsparciem </w:t>
      </w:r>
      <w:r w:rsidRPr="00FC6D62">
        <w:rPr>
          <w:rFonts w:eastAsia="MS Mincho" w:cstheme="minorHAnsi"/>
          <w:sz w:val="24"/>
          <w:szCs w:val="24"/>
          <w:lang w:eastAsia="ja-JP"/>
        </w:rPr>
        <w:t>lub w notatce z szacowania).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Określenie szacunkowej wartości zamówienia musi </w:t>
      </w:r>
      <w:r w:rsidR="00511460" w:rsidRPr="00FC6D62">
        <w:rPr>
          <w:rFonts w:eastAsia="MS Mincho" w:cstheme="minorHAnsi"/>
          <w:sz w:val="24"/>
          <w:szCs w:val="24"/>
          <w:lang w:eastAsia="ja-JP"/>
        </w:rPr>
        <w:t xml:space="preserve">się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odbyć z zachowaniem należytej staranności. Musi objąć cały przedmiot zamówienia.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Zabronione jest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zawyżanie oraz </w:t>
      </w:r>
      <w:r w:rsidRPr="00FC6D62">
        <w:rPr>
          <w:rFonts w:eastAsia="MS Mincho" w:cstheme="minorHAnsi"/>
          <w:sz w:val="24"/>
          <w:szCs w:val="24"/>
          <w:lang w:eastAsia="ja-JP"/>
        </w:rPr>
        <w:t>zaniżanie wartości szacunkowej zamówienia lub jego podział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skutkujący zaniżeniem jego wartości szacunkowej, przy czym ustalając wartość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</w:t>
      </w:r>
      <w:r w:rsidR="003A7B91" w:rsidRPr="00FC6D62">
        <w:rPr>
          <w:rFonts w:eastAsia="MS Mincho" w:cstheme="minorHAnsi"/>
          <w:sz w:val="24"/>
          <w:szCs w:val="24"/>
          <w:lang w:eastAsia="ja-JP"/>
        </w:rPr>
        <w:t xml:space="preserve"> lub przy ewentualnym sumowaniu odrębnych zamówień</w:t>
      </w:r>
      <w:r w:rsidR="00BA4810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przesłanek (tożsamości):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2"/>
      </w:r>
    </w:p>
    <w:p w14:paraId="315A6906" w14:textId="77777777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usługi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dostawy są tożsame rodzajowo lub funkcjonalnie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(tożsamość przedmiotowa),</w:t>
      </w:r>
    </w:p>
    <w:p w14:paraId="5D98FD4D" w14:textId="448D657E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udzielenie zamówienia w tym samym czasie (tożsamość czasowa),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3"/>
      </w:r>
    </w:p>
    <w:p w14:paraId="58139971" w14:textId="2D19CC6A" w:rsidR="0065086E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wykonanie zamówienia przez jednego wykonawcę (tożsamość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podmiotowa).</w:t>
      </w:r>
      <w:r w:rsidR="009415E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 udzielania zamówienia w częściach (z określonych względów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ekonomicznych, organizacyjnych, celowościowych), wartość zamówienia ustala się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jako łączną wartość poszczególnych jego części</w:t>
      </w:r>
      <w:r w:rsidR="00F84F7A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4"/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A2C14BC" w14:textId="7C5D05B6" w:rsidR="000521A3" w:rsidRPr="00FC6D62" w:rsidRDefault="0065086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Podmioty będące Zamawiającymi w rozumieniu Pzp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a także podmioty nie będące zamawiającymi w rozumieniu Pzp,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Pzp nie przekracza wartości, od której istnieje obowiązek stosowania Pzp, podmioty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te </w:t>
      </w:r>
      <w:r w:rsidRPr="00FC6D62">
        <w:rPr>
          <w:rFonts w:eastAsia="MS Mincho" w:cstheme="minorHAnsi"/>
          <w:sz w:val="24"/>
          <w:szCs w:val="24"/>
          <w:lang w:eastAsia="ja-JP"/>
        </w:rPr>
        <w:t>zobowiązane są stosować zasady konkurencyjności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do zamówień których wartość szacunkowa przekracza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0 tys. PLN netto, tj. bez podatku od towarów i usług (VAT). </w:t>
      </w:r>
    </w:p>
    <w:p w14:paraId="246EFE22" w14:textId="77777777" w:rsidR="000521A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W przypadku naruszenia przez</w:t>
      </w:r>
      <w:r w:rsidR="006221C8" w:rsidRPr="00FC6D62">
        <w:rPr>
          <w:rFonts w:eastAsia="MS Mincho" w:cstheme="minorHAnsi"/>
          <w:sz w:val="24"/>
          <w:szCs w:val="24"/>
          <w:lang w:eastAsia="ja-JP"/>
        </w:rPr>
        <w:t xml:space="preserve"> B</w:t>
      </w:r>
      <w:r w:rsidRPr="00FC6D62">
        <w:rPr>
          <w:rFonts w:eastAsia="MS Mincho" w:cstheme="minorHAnsi"/>
          <w:sz w:val="24"/>
          <w:szCs w:val="24"/>
          <w:lang w:eastAsia="ja-JP"/>
        </w:rPr>
        <w:t>eneficjenta warunków i procedur postępowania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udzielenie zamówienia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492BA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548A5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uznaje całość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część </w:t>
      </w:r>
      <w:r w:rsidR="005011D3" w:rsidRPr="00FC6D62">
        <w:rPr>
          <w:rFonts w:eastAsia="MS Mincho" w:cstheme="minorHAnsi"/>
          <w:sz w:val="24"/>
          <w:szCs w:val="24"/>
          <w:lang w:eastAsia="ja-JP"/>
        </w:rPr>
        <w:t>kosztów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związanych z tym zamówieniem za niekwalifikowalne</w:t>
      </w:r>
      <w:r w:rsidR="003112C8" w:rsidRPr="00FC6D62">
        <w:rPr>
          <w:rFonts w:eastAsia="MS Mincho" w:cstheme="minorHAnsi"/>
          <w:sz w:val="24"/>
          <w:szCs w:val="24"/>
          <w:lang w:eastAsia="ja-JP"/>
        </w:rPr>
        <w:t xml:space="preserve"> w zależności od skali naruszenia. </w:t>
      </w:r>
    </w:p>
    <w:p w14:paraId="561DE8DB" w14:textId="475F210E" w:rsidR="00D24E7A" w:rsidRPr="00FC6D62" w:rsidRDefault="000521A3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Do zamówień udzielanych w ramach Krajowego Planu Odbudowy zastosowanie ma taryfikator korekt stanowiący załącznik do Rozporządzenia w sprawie warunków obniżania wartości korekt finansowych oraz wydatków poniesionych nieprawidłowo związanych z udzielaniem zamówień obowiązujące na dzień wszczęcia postępowania.</w:t>
      </w:r>
    </w:p>
    <w:p w14:paraId="5571DD82" w14:textId="2E27CB1A" w:rsidR="00D24E7A" w:rsidRPr="00FC6D62" w:rsidRDefault="00943D92" w:rsidP="00FC6D62">
      <w:pPr>
        <w:pStyle w:val="Nagwek2"/>
        <w:spacing w:line="360" w:lineRule="auto"/>
        <w:ind w:left="567"/>
        <w:rPr>
          <w:rFonts w:asciiTheme="minorHAnsi" w:eastAsia="MS Mincho" w:hAnsiTheme="minorHAnsi" w:cstheme="minorHAnsi"/>
          <w:iCs/>
          <w:szCs w:val="24"/>
          <w:lang w:eastAsia="ja-JP"/>
        </w:rPr>
      </w:pPr>
      <w:bookmarkStart w:id="5" w:name="_Toc169702710"/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>1.</w:t>
      </w:r>
      <w:r w:rsidR="004255EE" w:rsidRPr="00FC6D62">
        <w:rPr>
          <w:rFonts w:asciiTheme="minorHAnsi" w:eastAsia="MS Mincho" w:hAnsiTheme="minorHAnsi" w:cstheme="minorHAnsi"/>
          <w:iCs/>
          <w:szCs w:val="24"/>
          <w:lang w:eastAsia="ja-JP"/>
        </w:rPr>
        <w:t>1</w:t>
      </w:r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 xml:space="preserve">. </w:t>
      </w:r>
      <w:r w:rsidR="00D24E7A" w:rsidRPr="00FC6D62">
        <w:rPr>
          <w:rFonts w:asciiTheme="minorHAnsi" w:eastAsia="MS Mincho" w:hAnsiTheme="minorHAnsi" w:cstheme="minorHAnsi"/>
          <w:iCs/>
          <w:szCs w:val="24"/>
          <w:lang w:eastAsia="ja-JP"/>
        </w:rPr>
        <w:t>Zasada konkurencyjności</w:t>
      </w:r>
      <w:bookmarkEnd w:id="5"/>
    </w:p>
    <w:p w14:paraId="0C4BAA82" w14:textId="494674A7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Udzielenie zamówienia w ramach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Przedsięwzięcia przez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A1C8A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 następuje zgodnie</w:t>
      </w:r>
      <w:r w:rsidR="001B4CA4" w:rsidRPr="00FC6D62">
        <w:rPr>
          <w:rFonts w:eastAsia="MS Mincho" w:cstheme="minorHAnsi"/>
          <w:sz w:val="24"/>
          <w:szCs w:val="24"/>
          <w:lang w:eastAsia="ja-JP"/>
        </w:rPr>
        <w:t xml:space="preserve"> z zasadą konkurencyjności w przypadku:</w:t>
      </w:r>
    </w:p>
    <w:p w14:paraId="5FF5955E" w14:textId="17B11586" w:rsidR="001241D3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niebędącego zamawiającym w rozumieniu Pzp w przypadku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zamówień przekraczających wartość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 tj. bez podatku od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towarów i usług (VAT),</w:t>
      </w:r>
    </w:p>
    <w:p w14:paraId="4620676D" w14:textId="7F9379A3" w:rsidR="00D24E7A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 będącego zamawiającym w rozumieniu Pzp w przypadku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zamówień o wartości niższej niż kwoty określone w art. 2 ust. 1 Pzp, 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jednocześnie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 tj. bez podatku od towarów i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usług (VAT).</w:t>
      </w:r>
    </w:p>
    <w:p w14:paraId="642C9BC9" w14:textId="51D43F3E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uniknięcia konfliktu interesów:</w:t>
      </w:r>
    </w:p>
    <w:p w14:paraId="4EC03E59" w14:textId="4C86DF96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2F43B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nie jest zamawiającym w rozumieniu Pzp,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nie mogą być udzielane podmiotom powiązanym z nim osobowo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kapitałowo, z wyłączeniem zamówień sektorowych, zamówień określonych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 sekcji</w:t>
      </w:r>
      <w:r w:rsidR="003468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1 </w:t>
      </w:r>
      <w:r w:rsidRPr="00FC6D62">
        <w:rPr>
          <w:rFonts w:eastAsia="MS Mincho" w:cstheme="minorHAnsi"/>
          <w:sz w:val="24"/>
          <w:szCs w:val="24"/>
          <w:lang w:eastAsia="ja-JP"/>
        </w:rPr>
        <w:t>pkt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.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7 lit.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f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wyjątkowo w przypadku, w którym umożliwienie podmiotowi powiązanemu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wzięcia udziału w postępowaniu jest uzasadnione ze względu na specyfikę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CB1346" w:rsidRPr="00FC6D62">
        <w:rPr>
          <w:rFonts w:eastAsia="MS Mincho" w:cstheme="minorHAnsi"/>
          <w:sz w:val="24"/>
          <w:szCs w:val="24"/>
          <w:lang w:eastAsia="ja-JP"/>
        </w:rPr>
        <w:t xml:space="preserve">Przedsięwzięcia </w:t>
      </w:r>
      <w:r w:rsidRPr="00FC6D62">
        <w:rPr>
          <w:rFonts w:eastAsia="MS Mincho" w:cstheme="minorHAnsi"/>
          <w:sz w:val="24"/>
          <w:szCs w:val="24"/>
          <w:lang w:eastAsia="ja-JP"/>
        </w:rPr>
        <w:t>lub typ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wybór wykonawcy będącego podmiotem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powiązanym będzie dokonany zgodnie z procedurą opisaną w niniejsz</w:t>
      </w:r>
      <w:r w:rsidR="001B59CD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Pr="00FC6D62">
        <w:rPr>
          <w:rFonts w:eastAsia="MS Mincho" w:cstheme="minorHAnsi"/>
          <w:sz w:val="24"/>
          <w:szCs w:val="24"/>
          <w:lang w:eastAsia="ja-JP"/>
        </w:rPr>
        <w:t>, I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OI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wyrazić zgodę na wyłączenie zakazu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odniesieniu do danego postępowania przed jego przeprowadzeniem,</w:t>
      </w:r>
    </w:p>
    <w:p w14:paraId="33297017" w14:textId="369CE04A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osoby wykonujące w imieniu zamawiającego czynności związane z procedurą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wyboru wykonawcy, w szczególności osoby biorące udział w procesie oceny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ofert, nie mogą być powiązane osobowo lub kapitałowo z wykonawcami, którzy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złożyli oferty. Powinny być to osoby bezstronne i obiektywne.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 W tym celu składają oświadczenie o bezstronności o którym mowa w art. 56 Pzp. </w:t>
      </w:r>
    </w:p>
    <w:p w14:paraId="24C6C9EF" w14:textId="10B6879D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Przez powiązania kapitałowe lub osobowe rozumie się wzajemne powiązania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między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eneficjentem lub osobami upoważnionymi do zaciągania zobowiązań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eneficjenta lub osobami wykonującymi w 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 xml:space="preserve">Beneficjenta </w:t>
      </w:r>
      <w:r w:rsidRPr="00FC6D62">
        <w:rPr>
          <w:rFonts w:eastAsia="MS Mincho" w:cstheme="minorHAnsi"/>
          <w:sz w:val="24"/>
          <w:szCs w:val="24"/>
          <w:lang w:eastAsia="ja-JP"/>
        </w:rPr>
        <w:t>czynności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związane z przeprowadzeniem procedury wyboru wykonawcy a wykonawcą,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posiadaniu co najmniej 10% udziałów lub akcji, o ile niższy próg nie wynika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z przepisów prawa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6DBEC0DD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pełnieniu funkcji członka organu nadzorczego lub zarządzającego, prokurenta,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pełnomocnika,</w:t>
      </w:r>
    </w:p>
    <w:p w14:paraId="79500BA5" w14:textId="4998C94B" w:rsidR="00D24E7A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pozostawaniu w związku małżeńskim, w stosunku pokrewieństwa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powinowactwa w linii prostej, pokrewieństwa drugiego stopnia lub powinowactwa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drugiego stopnia w linii bocznej lub w stosunku przysposobienia, opieki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kurateli.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500E7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stwierdzi udzielenie</w:t>
      </w:r>
      <w:r w:rsidR="00AD2B3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podmiotowi powiązanemu w sposób inny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niż wskazane w lit. a-d, jest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zobowiązana przed wezwaniem do zwrotu środków wykazać istnienie naruszenia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zasady konkurencyjności poprzez istniejące powiązanie.</w:t>
      </w:r>
    </w:p>
    <w:p w14:paraId="056F2F58" w14:textId="52D185EF" w:rsidR="003758C7" w:rsidRPr="00FC6D62" w:rsidRDefault="003758C7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Podmiot, który nie jest zamawiającym w rozumieniu Pzp, stosuje zasady określone w art. 56 tej ustawy, niezależnie od wartości szacunkowej zamówienia. </w:t>
      </w:r>
    </w:p>
    <w:p w14:paraId="665BD6B3" w14:textId="76C70FD3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A9209B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jest zamawiającym w rozumieniu Pzp, zasadę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konkurencyjności uznaje się za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spełnioną,</w:t>
      </w:r>
      <w:r w:rsidR="00485AE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jeżeli postępowanie o udzielenie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przeprowadzone jest na zasadach i w trybach określonych w Pzp.</w:t>
      </w:r>
    </w:p>
    <w:p w14:paraId="15A19BFC" w14:textId="4F2D3C89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 xml:space="preserve">przy </w:t>
      </w:r>
      <w:r w:rsidRPr="00FC6D62">
        <w:rPr>
          <w:rFonts w:eastAsia="MS Mincho" w:cstheme="minorHAnsi"/>
          <w:sz w:val="24"/>
          <w:szCs w:val="24"/>
          <w:lang w:eastAsia="ja-JP"/>
        </w:rPr>
        <w:t>pomoc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przedmiot zamówienia, opis przedmiotu zamówienia nie może zawierać odniesień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znaków towarowych, patentów lub pochodzenia, źródła lub szczególnego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procesu, który charakteryzuje produkty lub usługi dostarczane przez konkretnego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wykonawcę, jeżeli mogłoby to doprowadzić do uprzywilejowania lub wyeliminowania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niektórych wykonawców lub produktów. W wyjątkowych przypadkach dopuszcza się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wystarczająco precyzyjny i zrozumiały sposób zgodnie ze zdaniem pierwszym.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Takim odniesieniom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muszą towarzyszyć słowa „lub równoważne”</w:t>
      </w:r>
      <w:r w:rsidR="003758C7" w:rsidRPr="00FC6D62">
        <w:rPr>
          <w:rFonts w:eastAsia="MS Mincho" w:cstheme="minorHAnsi"/>
          <w:sz w:val="24"/>
          <w:szCs w:val="24"/>
          <w:lang w:eastAsia="ja-JP"/>
        </w:rPr>
        <w:t xml:space="preserve"> wraz z podaniem kryteriów równoważności</w:t>
      </w:r>
      <w:r w:rsidRPr="00FC6D62">
        <w:rPr>
          <w:rFonts w:eastAsia="MS Mincho" w:cstheme="minorHAnsi"/>
          <w:sz w:val="24"/>
          <w:szCs w:val="24"/>
          <w:lang w:eastAsia="ja-JP"/>
        </w:rPr>
        <w:t>. W przypadku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gdy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 korzysta z możliwości zastosowania takich odniesień, nie może on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odrzucić oferty jako niezgodnej z zapytaniem ofertowym, jeżeli wykonawca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udowodni w swojej ofercie, że proponowane rozwiązania w równoważnym stopniu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 uwagi na konieczność ochrony tajemnicy przedsiębiorstwa dopuszcza się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ograniczenia zakresu opisu przedmiotu zamówienia, przy czym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wymagane jest udostępnienie uzupełnienia wyłączonego opisu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potencjalnemu wykonawcy, który zobowiązał się do zachowania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poufności w odniesieniu do przedstawionych informacji, w terminie umożliwiającym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Do opisu przedmiotu zamówienia stosuje się nazwy i kody określone we Wspólnym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Słowniku Zamówień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 mowa w rozporządzeniu (WE) nr 2195/2002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Parlamentu Europejskiego i Rady z dnia 5 listopada 2002 r. w sprawie Wspólnego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Urz. UE Polskie wydanie specjalne rozdz. 6, t. 5, str. 3).</w:t>
      </w:r>
      <w:r w:rsidR="00500C62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5"/>
      </w:r>
    </w:p>
    <w:p w14:paraId="1F73277C" w14:textId="6867D43B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 udzielenie zamówienia oraz opis sposobu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dokonywania oceny ich spełniania, o ile zostaną zawarte w zapytaniu ofertowym,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2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lit. a, określane są w sposób proporcjonalny do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zamówienia, zapewniający zachowanie uczciwej konkurencji i równego traktowania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wykonawców. Nie można formułować warunków przewyższających wymagania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składanych w ramach postępowania o udzielenie zamówienia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są formułowane w sposób zapewniający zachowanie uczciwej konkurencji oraz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równego traktowania wykonawców, przy czym:</w:t>
      </w:r>
    </w:p>
    <w:p w14:paraId="0DD2F9E7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oceny ofert musi odnosić się do danego przedmiotu zamówienia,</w:t>
      </w:r>
    </w:p>
    <w:p w14:paraId="14802C8B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(i opis jego stosowania) musi być sformułowane jednoznacznie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precyzyjnie, tak żeby każdy wykonawca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mógł interpretować je w jednakowy sposób,</w:t>
      </w:r>
    </w:p>
    <w:p w14:paraId="750B6BE7" w14:textId="63859B7E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wagi (znaczenie) poszczególnych kryteriów powinny być określone w sposób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umożliwiający wybór najkorzystniejszej oferty,</w:t>
      </w:r>
    </w:p>
    <w:p w14:paraId="501E7709" w14:textId="14956A76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kryteria oceny ofert nie mogą dotyczyć właściwości wykonawcy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w szczególności jego wiarygodności ekonomicznej, technicznej lub finansowej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doświadczenia. Zakaz ten nie dotyczy zamówień na usługi społeczne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innych szczególnych usług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6"/>
      </w:r>
    </w:p>
    <w:p w14:paraId="2B69EC99" w14:textId="3CF48103" w:rsidR="00D9038B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cena może być jedynym kryterium oceny ofert. Poza wymaganiami dotyczącymi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o</w:t>
      </w:r>
      <w:r w:rsidRPr="00FC6D62">
        <w:rPr>
          <w:rFonts w:eastAsia="MS Mincho" w:cstheme="minorHAnsi"/>
          <w:sz w:val="24"/>
          <w:szCs w:val="24"/>
          <w:lang w:eastAsia="ja-JP"/>
        </w:rPr>
        <w:t>ceny wskazane jest stosowanie jako kryterium oceny ofert innych wymagań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odnoszących się do przedmiotu zamówienia, takich jak np. jakość,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funkcjonalność, parametry techniczne, aspekty środowiskowe, społeczne,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innowacyjne, serwis, termin wykonania zamówienia, koszty eksploatacji oraz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organizacja, kwalifikacje zawodowe i doświadczenie osób wyznaczonych do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realizacji zamówienia, jeżeli mogą mieć zna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czący wpływ na jakość wykonania 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zamówienia.</w:t>
      </w:r>
    </w:p>
    <w:p w14:paraId="7C756C93" w14:textId="267C3ABD" w:rsidR="00AD2B32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na złożenie oferty (decyduje data wpływu oferty do zamawiającego) wynosi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progi unijne w rozumieniu art. 3 Pzp. W przypadku zamówień o wartości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szacunkowej równej lub przekraczającej progi unijne w rozumieniu art. 3 Pzp</w:t>
      </w:r>
      <w:r w:rsidR="0027410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7"/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termin wynosi co najmniej 30 dni. Bieg terminu rozpoczyna się w dniu następującym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 dniu upublicznienia zapytania ofertowego, a kończy się z upływem ostatniego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dnia. Jeżeli koniec terminu przypada na sobotę lub dzień ustawowo wolny od pracy,</w:t>
      </w:r>
      <w:r w:rsidR="00035E99" w:rsidRPr="00FC6D62">
        <w:rPr>
          <w:rFonts w:eastAsia="MS Mincho" w:cstheme="minorHAnsi"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spełnienia zasady konkurencyjności należy:</w:t>
      </w:r>
    </w:p>
    <w:p w14:paraId="51EB7CF6" w14:textId="79D1B2DF" w:rsidR="00D9038B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upublicznić zapytanie ofertowe zgodnie z warunkami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3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, które zawiera co najmniej:</w:t>
      </w:r>
    </w:p>
    <w:p w14:paraId="5225C4EE" w14:textId="0588A015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przedmiotu zamówienia,</w:t>
      </w:r>
    </w:p>
    <w:p w14:paraId="4C7775F9" w14:textId="340211B0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oraz opis sposobu dokonywania oceny ich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kryteria oceny oferty,</w:t>
      </w:r>
    </w:p>
    <w:p w14:paraId="49E29BEB" w14:textId="3D3F991D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</w:t>
      </w:r>
      <w:r w:rsidR="00042CE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przyznawania punktacji za spełnienie danego kryterium oceny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oferty,</w:t>
      </w:r>
    </w:p>
    <w:p w14:paraId="0A88CCB2" w14:textId="48D8FE2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składania ofert,</w:t>
      </w:r>
    </w:p>
    <w:p w14:paraId="3D218116" w14:textId="633FB229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realizacji umowy,</w:t>
      </w:r>
    </w:p>
    <w:p w14:paraId="0C2975B0" w14:textId="27A54EA8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na temat zakazu powiązań osobowych lub kapitałowych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2 lit. a,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8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 ile zakaz taki nie został wyłączony na podstawie pkt 2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lit. a </w:t>
      </w:r>
      <w:proofErr w:type="spellStart"/>
      <w:r w:rsidRPr="00FC6D62">
        <w:rPr>
          <w:rFonts w:eastAsia="MS Mincho" w:cstheme="minorHAnsi"/>
          <w:sz w:val="24"/>
          <w:szCs w:val="24"/>
          <w:lang w:eastAsia="ja-JP"/>
        </w:rPr>
        <w:t>tiret</w:t>
      </w:r>
      <w:proofErr w:type="spellEnd"/>
      <w:r w:rsidRPr="00FC6D62">
        <w:rPr>
          <w:rFonts w:eastAsia="MS Mincho" w:cstheme="minorHAnsi"/>
          <w:sz w:val="24"/>
          <w:szCs w:val="24"/>
          <w:lang w:eastAsia="ja-JP"/>
        </w:rPr>
        <w:t xml:space="preserve"> i,</w:t>
      </w:r>
    </w:p>
    <w:p w14:paraId="4302F1F5" w14:textId="285962A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określenie warunków istotnych zmian umowy zawartej w wyniku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przeprowadzonego postępowania o udzielenie zamówienia, o ile przewiduje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możliwości składania ofert częściowych, o ile zamawiający taką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przewiduje,</w:t>
      </w:r>
    </w:p>
    <w:p w14:paraId="5FAF5B38" w14:textId="4C5B7E6E" w:rsidR="00F70C46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przedstawiania ofert wariantowych oraz minimalne warunki,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jakim muszą odpowiadać oferty wariantowe wraz z wybranymi kryteriami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oceny, jeżeli zamawiający wymaga lub dopuszcza ich składanie,</w:t>
      </w:r>
    </w:p>
    <w:p w14:paraId="015D001F" w14:textId="48097C3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planowanych zamówieniach, o których mowa w pkt 7 lit. </w:t>
      </w:r>
      <w:r w:rsidR="00F34E10" w:rsidRPr="00FC6D62">
        <w:rPr>
          <w:rFonts w:eastAsia="MS Mincho" w:cstheme="minorHAnsi"/>
          <w:sz w:val="24"/>
          <w:szCs w:val="24"/>
          <w:lang w:eastAsia="ja-JP"/>
        </w:rPr>
        <w:t>f sekcji 1</w:t>
      </w:r>
      <w:r w:rsidRPr="00FC6D62">
        <w:rPr>
          <w:rFonts w:eastAsia="MS Mincho" w:cstheme="minorHAnsi"/>
          <w:sz w:val="24"/>
          <w:szCs w:val="24"/>
          <w:lang w:eastAsia="ja-JP"/>
        </w:rPr>
        <w:t>, ich zakres oraz warunki, na jakich zostaną udzielone,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zamawiający przewiduje udzielenie tego typu zamówień,</w:t>
      </w:r>
    </w:p>
    <w:p w14:paraId="2EF0202E" w14:textId="24B5894E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wadium (jeśli dotyczy), zakazane jest ustalenie wysokości wadium o wartości większej aniżeli wskazano w art. 97 ust. 2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1B7648F5" w14:textId="1D20AE91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zabezpieczenia należytego wykonania umowy (jeśli dotyczy), zakazane jest ustalenie wysokości zabezpieczenia o wartości większej aniżeli wskazano w art. 452 ust. 2 i 3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2C3EE8EF" w14:textId="2B383B64" w:rsidR="00B70D2F" w:rsidRPr="00FC6D62" w:rsidRDefault="006E6F42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wzór umowy,</w:t>
      </w:r>
    </w:p>
    <w:p w14:paraId="21BBE47C" w14:textId="4978489F" w:rsidR="00664ED4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wybrać najkorzystniejszą ofertę zgodną z opisem przedmiotu zamówienia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złożoną przez wykonawcę spełniającego warunki udziału w postępowaniu,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oparciu o ustalone w zapytaniu ofertowym kryteria oceny. Wybór oferty jest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dokumentowany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protokołem postępowania o udzielenie zamówienia, o którym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17. Postępowanie może zakończyć się wyborem kilku wykonawców,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gdy zamawiający dopuszcza składanie ofert częściowych</w:t>
      </w:r>
      <w:r w:rsidR="00344E81" w:rsidRPr="00FC6D62">
        <w:rPr>
          <w:rFonts w:eastAsia="MS Mincho" w:cstheme="minorHAnsi"/>
          <w:sz w:val="24"/>
          <w:szCs w:val="24"/>
          <w:lang w:eastAsia="ja-JP"/>
        </w:rPr>
        <w:t xml:space="preserve"> lub zamawiający planuje zawrzeć umowę ramową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236CFE4F" w14:textId="710392BC" w:rsidR="00E23146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Upublicznienie zapytania ofertowego polega na jego umieszczeniu w bazie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konkurencyjności,</w:t>
      </w:r>
      <w:r w:rsidR="002204D4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9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 przypadku zawieszenia działalności bazy potwierdzonego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odpowiednim komunikatem ministra właściwego do spraw rozwoju regionalnego –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skierowaniu zapytania ofertowego do co najmniej trzech potencjalnych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wykonawców, o ile na rynku istnieje trzech potencjalnych wykonawców danego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zamówienia oraz upublicznieniu tego zapytania co najmniej na stronie internetowej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eneficjenta, o ile posiada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ją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taką stronę. Upublicznienie zapytania ofertowego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Zapytanie ofertowe musi być ogólnodostępne do czasu formalnego zamknięcia Przedsięwzięcia wraz z finalnym rozliczeniem Wniosku o Płatność Końcową.</w:t>
      </w:r>
    </w:p>
    <w:p w14:paraId="63D7CCDA" w14:textId="20177A89" w:rsidR="00E23146" w:rsidRPr="00FC6D62" w:rsidRDefault="00C6456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8E3124" w:rsidRPr="00FC6D62">
        <w:rPr>
          <w:rFonts w:eastAsia="MS Mincho" w:cstheme="minorHAnsi"/>
          <w:sz w:val="24"/>
          <w:szCs w:val="24"/>
          <w:lang w:eastAsia="ja-JP"/>
        </w:rPr>
        <w:t xml:space="preserve"> przypadku, gdy Beneficjent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rozpoczyna realizację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na własne ryzyko</w:t>
      </w:r>
      <w:r w:rsidR="00664E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przed</w:t>
      </w:r>
      <w:r w:rsidR="004806D4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</w:t>
      </w:r>
      <w:r w:rsidR="00C1694B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wsparciem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, upublicznia zapytanie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ofertowe na stronie internetowej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hyperlink r:id="rId8" w:history="1">
        <w:r w:rsidR="00664ED4" w:rsidRPr="00FC6D62">
          <w:rPr>
            <w:rStyle w:val="Hipercze"/>
            <w:rFonts w:eastAsia="MS Mincho" w:cstheme="minorHAnsi"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1CCA7B" w14:textId="023D9B6E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wszczęcia postępowania przed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Przedsięwzięcia wsparciem,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ocena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koszt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za kwalifikowalny </w:t>
      </w:r>
      <w:r w:rsidRPr="00FC6D62">
        <w:rPr>
          <w:rFonts w:eastAsia="MS Mincho" w:cstheme="minorHAnsi"/>
          <w:sz w:val="24"/>
          <w:szCs w:val="24"/>
          <w:lang w:eastAsia="ja-JP"/>
        </w:rPr>
        <w:t>należy do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 xml:space="preserve"> JW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6FC6D47" w14:textId="2BE0F297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Zapytanie ofertowe może zostać zmienione przed upływem terminu składania ofert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przewidzianym w zapytaniu ofertowym. W takim przypadku należy w opublikowanym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4 </w:t>
      </w:r>
      <w:r w:rsidRPr="00FC6D62">
        <w:rPr>
          <w:rFonts w:eastAsia="MS Mincho" w:cstheme="minorHAnsi"/>
          <w:sz w:val="24"/>
          <w:szCs w:val="24"/>
          <w:lang w:eastAsia="ja-JP"/>
        </w:rPr>
        <w:t>zapytaniu ofertowym uwzględnić informację o zmianie.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Informacja ta powinna zawierać co najmniej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datę upublicznienia zmienianego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zapytania ofertowego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opis dokonanych zmian. Zamawiający </w:t>
      </w:r>
      <w:r w:rsidR="00977B8D" w:rsidRPr="00FC6D62">
        <w:rPr>
          <w:rFonts w:eastAsia="MS Mincho" w:cstheme="minorHAnsi"/>
          <w:sz w:val="24"/>
          <w:szCs w:val="24"/>
          <w:lang w:eastAsia="ja-JP"/>
        </w:rPr>
        <w:t>przedłuża termin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FC6D62">
        <w:rPr>
          <w:rFonts w:eastAsia="MS Mincho" w:cstheme="minorHAnsi"/>
          <w:sz w:val="24"/>
          <w:szCs w:val="24"/>
          <w:lang w:eastAsia="ja-JP"/>
        </w:rPr>
        <w:t xml:space="preserve"> jest to konieczne z uwag</w:t>
      </w:r>
      <w:r w:rsidR="00E23146" w:rsidRPr="00FC6D62">
        <w:rPr>
          <w:rFonts w:eastAsia="MS Mincho" w:cstheme="minorHAnsi"/>
          <w:sz w:val="24"/>
          <w:szCs w:val="24"/>
          <w:lang w:eastAsia="ja-JP"/>
        </w:rPr>
        <w:t>i na zakres wprowadzonych zmian.</w:t>
      </w:r>
    </w:p>
    <w:p w14:paraId="2A6B6B31" w14:textId="223EB620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Treść pytań dotyczących zapytania ofertowego wraz z wyjaśnieniami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zamawiającego publikowana jest 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0E2297A" w14:textId="5F9F71A6" w:rsidR="00D4563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Protokół postępowania o udzielenie zamówienia należy sporządzić w formie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pisemnej. Protokół zawiera co najmniej:</w:t>
      </w:r>
    </w:p>
    <w:p w14:paraId="1495C8D2" w14:textId="072CF916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wykaz wszystkich ofert, które wpłynęły w odpowiedzi na zapytanie ofertowe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wraz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ze wskazaniem daty wpłynięcia oferty do zamawiającego,</w:t>
      </w:r>
    </w:p>
    <w:p w14:paraId="09DC48F9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spełnieniu warunku, o którym mowa w pkt 2 lit. a,</w:t>
      </w:r>
    </w:p>
    <w:p w14:paraId="2CC02285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wykonawców 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 do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poszczególnych kryteriów oceny i sposobie przyznawania punktacji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poszczególnym wykonawcom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następujące załączniki:</w:t>
      </w:r>
    </w:p>
    <w:p w14:paraId="13DDA639" w14:textId="7632FBB2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potwierdzenie upublicznienia zapytania ofertowego w sposób wskazany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wraz ze zmianami w zapytaniu ofertowym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6</w:t>
      </w:r>
      <w:r w:rsidRPr="00FC6D62">
        <w:rPr>
          <w:rFonts w:eastAsia="MS Mincho" w:cstheme="minorHAnsi"/>
          <w:sz w:val="24"/>
          <w:szCs w:val="24"/>
          <w:lang w:eastAsia="ja-JP"/>
        </w:rPr>
        <w:t>, o ile zostały dokonane,</w:t>
      </w:r>
    </w:p>
    <w:p w14:paraId="393E9746" w14:textId="2B67DD0F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złożone oferty,</w:t>
      </w:r>
    </w:p>
    <w:p w14:paraId="61282CAE" w14:textId="639502AE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oświadczenia o braku powiązań z wykonawcami, którzy złożyli oferty,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podpisane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osoby uprawnione do reprezentowania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zamawiającego i osoby wykonujące w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imieniu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czynności związane z procedurą wyboru wykonawcy, w tym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biorące udział w procesie oceny ofert (tj. powiązań, o których mowa pkt 2 lit.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b).</w:t>
      </w:r>
    </w:p>
    <w:p w14:paraId="6694BF40" w14:textId="351D0CF7" w:rsidR="000D4C28" w:rsidRPr="00FC6D62" w:rsidRDefault="0095124F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oświadczenie,</w:t>
      </w:r>
      <w:r w:rsidR="000D4C28" w:rsidRPr="00FC6D62">
        <w:rPr>
          <w:rFonts w:eastAsia="MS Mincho" w:cstheme="minorHAnsi"/>
          <w:sz w:val="24"/>
          <w:szCs w:val="24"/>
          <w:lang w:eastAsia="ja-JP"/>
        </w:rPr>
        <w:t xml:space="preserve"> o którym mowa w art. 56 ust. 4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485C873F" w14:textId="2E1E4A12" w:rsidR="009C078D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wyniku postępowania upublicznia się w taki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sposób</w:t>
      </w:r>
      <w:r w:rsidR="002204D4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jaki zostało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upublicznione zapytanie ofertowe. Informacja o wyniku postępowania zawiera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nazwę wybranego wykonawcy,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adres </w:t>
      </w:r>
      <w:r w:rsidRPr="00FC6D62">
        <w:rPr>
          <w:rFonts w:eastAsia="MS Mincho" w:cstheme="minorHAnsi"/>
          <w:sz w:val="24"/>
          <w:szCs w:val="24"/>
          <w:lang w:eastAsia="ja-JP"/>
        </w:rPr>
        <w:t>jego siedzib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oraz cenę zamówienia. Na wniosek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wykonawcy, który złożył ofertę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innego zainteresowanego podmiotu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, należy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udostępnić protokół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postępowania o udzielenie zamówienia, z wyłączeniem części ofert stanowiących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tajemnicę przedsiębiorstwa.</w:t>
      </w:r>
      <w:r w:rsidR="003764D5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0"/>
      </w:r>
    </w:p>
    <w:p w14:paraId="45131AE5" w14:textId="79DB68B0" w:rsidR="009C078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 przeprowadzeniu procedury uregulowanej w niniejszej sekcji następuje zawarcie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umowy z wykonawcą w formie pisemnej lub elektronicznej (wraz z kwalifikowanym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podpisem elektronicznym). W przypadku, gdy zamawiający dopuszcza składanie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zamówienia. 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W przypadku gdy przedmiotem zamówienia jest zawarcie umowy ramowej, dopuszcza się sporządzenie jednej umowy z wieloma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wykonawcami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kilku samodzielnych umów. </w:t>
      </w:r>
      <w:r w:rsidRPr="00FC6D62">
        <w:rPr>
          <w:rFonts w:eastAsia="MS Mincho" w:cstheme="minorHAnsi"/>
          <w:sz w:val="24"/>
          <w:szCs w:val="24"/>
          <w:lang w:eastAsia="ja-JP"/>
        </w:rPr>
        <w:t>W przypadku gdy wybrany wykonawca odstąpi od zawarcia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 zamawiającym, zamawiający zawiera umowę z kolejnym wykonawcą, który w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Nie jest możliwe dokonywanie istotnych zmian</w:t>
      </w:r>
      <w:r w:rsidR="00683D29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1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postanowień zawartej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stosunku do treści oferty, na podstawie której dokonano wyboru wykonawcy,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chyba że:</w:t>
      </w:r>
    </w:p>
    <w:p w14:paraId="3FCDC685" w14:textId="61C6F4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zostały przewidziane w zapytaniu ofertowym w postaci jednoznacznych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postanowień umownych, które określają ich zakres i charakter oraz warunki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wprowadzenia zmian,</w:t>
      </w:r>
    </w:p>
    <w:p w14:paraId="19D92F32" w14:textId="28BEDBE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dotyczą realizacji dodatkowych dostaw</w:t>
      </w:r>
      <w:r w:rsidR="009C001A" w:rsidRPr="00FC6D62">
        <w:rPr>
          <w:rFonts w:eastAsia="MS Mincho" w:cstheme="minorHAnsi"/>
          <w:sz w:val="24"/>
          <w:szCs w:val="24"/>
          <w:lang w:eastAsia="ja-JP"/>
        </w:rPr>
        <w:t xml:space="preserve">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usług 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 dotychczasowego wykonawcy, nieobjętych zamówieniem podstawowym,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zmiana wykonawcy nie może zostać dokonana z powodów ekonomicznych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technicznych, w szczególności dotyczących zamienności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interoperacyjności sprzętu, usług lub instalacji, zamówionych w ramach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podstawowego,</w:t>
      </w:r>
    </w:p>
    <w:p w14:paraId="5AD874F9" w14:textId="73C1795F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spowodowałaby istotną niedogodność lub znaczne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zwiększenie kosztów dla zamawiającego,</w:t>
      </w:r>
    </w:p>
    <w:p w14:paraId="1F496713" w14:textId="17548670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każdej kolejnej zmiany nie przekracza 50% wartości zamówienia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nie prowadzi do zmiany charakteru umowy i zostały spełnione łącznie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następujące warunki:</w:t>
      </w:r>
    </w:p>
    <w:p w14:paraId="1EC16F2B" w14:textId="6BD9777D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konieczność zmiany umowy spowodowana jest okolicznościami, których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zmiany nie przekracza 50% wartości zamówienia określonej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pierwotnie w umowie,</w:t>
      </w:r>
    </w:p>
    <w:p w14:paraId="46DF799D" w14:textId="532D70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wykonawcę, któremu zamawiający udzielił 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>zamówienia ma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zastąpić nowy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 xml:space="preserve"> wykonawca:</w:t>
      </w:r>
    </w:p>
    <w:p w14:paraId="464AE5BA" w14:textId="49DCF902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 podstawie postanowień umownych, o których mowa w lit. a,</w:t>
      </w:r>
    </w:p>
    <w:p w14:paraId="3C14A91D" w14:textId="7AF752AA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połączenia, podziału, przekształcenia, upadłości, restrukturyzacji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nabycia dotychczasowego wykonawcy lub jego przedsiębiorstwa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nowy wykonawca spełnia warunki udziału w postępowaniu, nie zachodzą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wobec niego podstawy wykluczenia oraz nie pociąga to za sobą innych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istotnych zmian umowy,</w:t>
      </w:r>
    </w:p>
    <w:p w14:paraId="5F225AEB" w14:textId="0B119FBA" w:rsidR="00D45636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przejęcia przez zamawiającego zobowiązań wykonawcy względem jego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podwykonawców; w przypadku zmiany podwykonawcy, zamawiający może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zawrzeć umowę z nowym podwykonawcą bez zmiany warunków realizacji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uwzględnieniem dokonanych płatności z tytułu dotychczas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zrealizowanych prac,</w:t>
      </w:r>
    </w:p>
    <w:p w14:paraId="5AE942C3" w14:textId="6587F723" w:rsidR="00117196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nie prowadzi do zmiany charakteru umowy a łączna wartość zmian jest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mniejsza niż progi unijne w rozumieniu art. 3 Pzp</w:t>
      </w:r>
      <w:r w:rsidR="0097090F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2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jednocześnie jest mniejsza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 10% wartości zamówienia określonej pierwotnie w umowie w przypadku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usługi lub dostawy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FA4A47" w14:textId="2024C49A" w:rsidR="004B5A4B" w:rsidRPr="00FC6D62" w:rsidRDefault="00A11606" w:rsidP="00FC6D62">
      <w:pPr>
        <w:pStyle w:val="Nagwek2"/>
        <w:rPr>
          <w:rFonts w:eastAsia="MS Mincho"/>
          <w:szCs w:val="24"/>
          <w:lang w:eastAsia="ja-JP"/>
        </w:rPr>
      </w:pPr>
      <w:bookmarkStart w:id="6" w:name="_Toc169702711"/>
      <w:r w:rsidRPr="00FC6D62">
        <w:rPr>
          <w:rFonts w:eastAsia="MS Mincho"/>
          <w:szCs w:val="24"/>
          <w:lang w:eastAsia="ja-JP"/>
        </w:rPr>
        <w:lastRenderedPageBreak/>
        <w:t>1.</w:t>
      </w:r>
      <w:r w:rsidR="004255EE" w:rsidRPr="00FC6D62">
        <w:rPr>
          <w:rFonts w:eastAsia="MS Mincho"/>
          <w:szCs w:val="24"/>
          <w:lang w:eastAsia="ja-JP"/>
        </w:rPr>
        <w:t>2</w:t>
      </w:r>
      <w:bookmarkStart w:id="7" w:name="_Toc115082200"/>
      <w:r w:rsidR="004B5A4B" w:rsidRPr="00FC6D62">
        <w:rPr>
          <w:rFonts w:eastAsia="MS Mincho"/>
          <w:szCs w:val="24"/>
          <w:lang w:eastAsia="ja-JP"/>
        </w:rPr>
        <w:t xml:space="preserve">. </w:t>
      </w:r>
      <w:r w:rsidR="004B5A4B" w:rsidRPr="00FC6D62">
        <w:rPr>
          <w:szCs w:val="24"/>
        </w:rPr>
        <w:t>Zamówienia w trybie in-house</w:t>
      </w:r>
      <w:bookmarkEnd w:id="7"/>
      <w:bookmarkEnd w:id="6"/>
    </w:p>
    <w:p w14:paraId="7A003B97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 przypadku zamówień w trybie in-house, oprócz zasad i warunków zawartych w niniejszym dokumencie wraz z załącznikiem oraz spełnienia przesłanek wskazanych w ustawie – Prawo zamówień publicznych, w celu uznania kosztów poniesionych w związku z zamówieniem w trybie in-house za kwalifikowalne Beneficjent zobowiązany jest do:</w:t>
      </w:r>
    </w:p>
    <w:p w14:paraId="7BD983D1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zlecenie prac podmiotowi wewnętrznemu na </w:t>
      </w:r>
      <w:r w:rsidR="0095124F" w:rsidRPr="00522F3E">
        <w:rPr>
          <w:rFonts w:eastAsia="Times New Roman" w:cstheme="minorHAnsi"/>
          <w:sz w:val="24"/>
          <w:szCs w:val="24"/>
          <w:lang w:eastAsia="pl-PL"/>
        </w:rPr>
        <w:t>podstawie podpisanej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umowy z podmiotem wewnętrznym;</w:t>
      </w:r>
    </w:p>
    <w:p w14:paraId="03BCE8AF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rozeznania rynku przed zleceniem prac in-house (ex </w:t>
      </w:r>
      <w:proofErr w:type="spellStart"/>
      <w:r w:rsidRPr="00522F3E">
        <w:rPr>
          <w:rFonts w:eastAsia="Times New Roman" w:cstheme="minorHAnsi"/>
          <w:sz w:val="24"/>
          <w:szCs w:val="24"/>
          <w:lang w:eastAsia="pl-PL"/>
        </w:rPr>
        <w:t>ante</w:t>
      </w:r>
      <w:proofErr w:type="spellEnd"/>
      <w:r w:rsidRPr="00522F3E">
        <w:rPr>
          <w:rFonts w:eastAsia="Times New Roman" w:cstheme="minorHAnsi"/>
          <w:sz w:val="24"/>
          <w:szCs w:val="24"/>
          <w:lang w:eastAsia="pl-PL"/>
        </w:rPr>
        <w:t>) poprzez:</w:t>
      </w:r>
    </w:p>
    <w:p w14:paraId="0D8102F8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Beneficjenta;</w:t>
      </w:r>
    </w:p>
    <w:p w14:paraId="1224E007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</w:t>
      </w:r>
    </w:p>
    <w:p w14:paraId="5EEB8B41" w14:textId="423D1091" w:rsidR="004B5A4B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przeprowadzenie zewnętrznej, niezależnej analizy porównawczej wyceny rynkowej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(punkt 2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a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i oszacowania kosztów podmiotu wewnętrznego (punkt 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Pr="00522F3E">
        <w:rPr>
          <w:rFonts w:eastAsia="Times New Roman" w:cstheme="minorHAnsi"/>
          <w:sz w:val="24"/>
          <w:szCs w:val="24"/>
          <w:lang w:eastAsia="pl-PL"/>
        </w:rPr>
        <w:t>b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powyżej) przez wyłonionego w otwartym konkursie eksperta rynkowego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lub/i ekspertów z jednostek podległych i nadzorowanych przez - Beneficjenta, </w:t>
      </w:r>
      <w:r w:rsidRPr="00522F3E">
        <w:rPr>
          <w:rFonts w:eastAsia="Times New Roman" w:cstheme="minorHAnsi"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0D4A2F55" w14:textId="77777777" w:rsidR="004B5A4B" w:rsidRPr="00FC6D62" w:rsidRDefault="004B5A4B" w:rsidP="00FC6D62">
      <w:pPr>
        <w:rPr>
          <w:rFonts w:cstheme="minorHAnsi"/>
          <w:b/>
          <w:bCs/>
          <w:sz w:val="24"/>
          <w:szCs w:val="24"/>
        </w:rPr>
      </w:pPr>
      <w:r w:rsidRPr="00FC6D62">
        <w:rPr>
          <w:rFonts w:cstheme="minorHAnsi"/>
          <w:b/>
          <w:bCs/>
          <w:sz w:val="24"/>
          <w:szCs w:val="24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11A91850" w14:textId="77777777" w:rsidR="00522F3E" w:rsidRDefault="004B5A4B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Odbioru prac zgodnie z przyjętym harmonogramem realizacji Przedsięwzięcia wskazanym w Umowie/Porozumieniu o objęciu Przedsięwzięcia wsparciem;</w:t>
      </w:r>
    </w:p>
    <w:p w14:paraId="7F7125A6" w14:textId="2C27E5D6" w:rsidR="004B5A4B" w:rsidRPr="00522F3E" w:rsidRDefault="008B214E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c</w:t>
      </w:r>
      <w:r w:rsidR="004B5A4B" w:rsidRPr="00522F3E">
        <w:rPr>
          <w:rFonts w:eastAsia="Times New Roman" w:cstheme="minorHAnsi"/>
          <w:sz w:val="24"/>
          <w:szCs w:val="24"/>
          <w:lang w:eastAsia="pl-PL"/>
        </w:rPr>
        <w:t>yklicznego raportowania kosztów ponoszonych w trybie in-house do JW.</w:t>
      </w:r>
    </w:p>
    <w:p w14:paraId="32BE4F43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Podmiot wewnętrzny zobowiązany jest do:</w:t>
      </w:r>
    </w:p>
    <w:p w14:paraId="732EC863" w14:textId="77777777" w:rsidR="00522F3E" w:rsidRPr="00C66B1A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iCs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lastRenderedPageBreak/>
        <w:t xml:space="preserve">dokonywania zakupów towarów, materiałów i usług dotyczących podpisanej umowy zgodnie z ustawą Prawo zamówień publicznych lub zgodnie z 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8B214E" w:rsidRPr="00C66B1A">
        <w:rPr>
          <w:rFonts w:eastAsia="Times New Roman" w:cstheme="minorHAnsi"/>
          <w:iCs/>
          <w:sz w:val="24"/>
          <w:szCs w:val="24"/>
          <w:lang w:eastAsia="pl-PL"/>
        </w:rPr>
        <w:t>asadami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0523EFCF" w14:textId="77777777" w:rsid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62FFA9DA" w:rsidR="004B5A4B" w:rsidRP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1FF56F75" w:rsidR="00117196" w:rsidRPr="00FC6D62" w:rsidRDefault="00117196" w:rsidP="00684913">
      <w:pPr>
        <w:pStyle w:val="Nagwek1"/>
        <w:rPr>
          <w:rFonts w:asciiTheme="minorHAnsi" w:eastAsia="MS Mincho" w:hAnsiTheme="minorHAnsi" w:cstheme="minorHAnsi"/>
          <w:b w:val="0"/>
          <w:szCs w:val="24"/>
          <w:lang w:eastAsia="ja-JP"/>
        </w:rPr>
      </w:pPr>
      <w:bookmarkStart w:id="8" w:name="_Toc169702712"/>
      <w:bookmarkStart w:id="9" w:name="_Toc78468510"/>
      <w:r w:rsidRPr="00FC6D62">
        <w:rPr>
          <w:rFonts w:asciiTheme="minorHAnsi" w:eastAsia="MS Mincho" w:hAnsiTheme="minorHAnsi" w:cstheme="minorHAnsi"/>
          <w:szCs w:val="24"/>
          <w:lang w:eastAsia="ja-JP"/>
        </w:rPr>
        <w:t xml:space="preserve">2. Przykłady możliwych nieprawidłowości w obszarze </w:t>
      </w:r>
      <w:r w:rsidR="00D72C2E" w:rsidRPr="00FC6D62">
        <w:rPr>
          <w:rFonts w:asciiTheme="minorHAnsi" w:eastAsia="MS Mincho" w:hAnsiTheme="minorHAnsi" w:cstheme="minorHAnsi"/>
          <w:szCs w:val="24"/>
          <w:lang w:eastAsia="ja-JP"/>
        </w:rPr>
        <w:t>zamówień</w:t>
      </w:r>
      <w:bookmarkEnd w:id="8"/>
    </w:p>
    <w:p w14:paraId="5EBE33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stosowanie trybów niekonkurencyjnych lub nieuprawnione stosowanie procedur przyspieszonych powołując się np. na termin zakończenia projektu lub koniec roku budżetowego.</w:t>
      </w:r>
    </w:p>
    <w:p w14:paraId="41C72A66" w14:textId="70E7C518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</w:t>
      </w:r>
      <w:r w:rsidR="00C66B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pierwotnym przetargu autorskich</w:t>
      </w:r>
      <w:r w:rsidR="00BA1F4D" w:rsidRPr="00FC6D62">
        <w:rPr>
          <w:rFonts w:eastAsia="Times New Roman" w:cstheme="minorHAnsi"/>
          <w:sz w:val="24"/>
          <w:szCs w:val="24"/>
          <w:lang w:eastAsia="pl-PL"/>
        </w:rPr>
        <w:t xml:space="preserve"> praw</w:t>
      </w:r>
      <w:r w:rsidR="00BA1F4D" w:rsidRPr="00FC6D62">
        <w:rPr>
          <w:rFonts w:cstheme="minorHAnsi"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10B2558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24883161" w14:textId="4275100C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Niedopuszczenie przez zamawiającego zaoferowania produktu równoważnego lub usługi równoważnej, w</w:t>
      </w:r>
      <w:r w:rsidR="0046088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7DB0A17" w14:textId="5A288949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projektu.</w:t>
      </w:r>
    </w:p>
    <w:p w14:paraId="491EE281" w14:textId="6027ABFB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wymagają zastosowania różnych zasad udzielenia.</w:t>
      </w:r>
    </w:p>
    <w:p w14:paraId="4CAC62C0" w14:textId="55DA09A6" w:rsidR="00A43A42" w:rsidRPr="00FC6D62" w:rsidRDefault="00A43A42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lastRenderedPageBreak/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40E45A03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135DF53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480DE775" w14:textId="226674A3" w:rsidR="001D09F0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49A7A5F4" w14:textId="013C73DE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0735CA24" w14:textId="66976C74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3F966BE4" w14:textId="1CEA2D5A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5EDA8DF7" w14:textId="62E0D6A5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Nieuprawniony podział zamówienia na części, w </w:t>
      </w:r>
      <w:r w:rsidR="0095124F" w:rsidRPr="00FC6D62">
        <w:rPr>
          <w:rFonts w:eastAsia="Times New Roman" w:cstheme="minorHAnsi"/>
          <w:sz w:val="24"/>
          <w:szCs w:val="24"/>
          <w:lang w:eastAsia="pl-PL"/>
        </w:rPr>
        <w:t>sytuacji,</w:t>
      </w:r>
      <w:r w:rsidRPr="00FC6D62">
        <w:rPr>
          <w:rFonts w:eastAsia="Times New Roman" w:cstheme="minorHAnsi"/>
          <w:sz w:val="24"/>
          <w:szCs w:val="24"/>
          <w:lang w:eastAsia="pl-PL"/>
        </w:rPr>
        <w:t xml:space="preserve"> gdy w ramach kilku Przedsięwzięć realizowane są tożsame zamówienia, celem uniknięcia stosowania przepisów Ustawy lub zasad określonych w niniejszym dokumencie.</w:t>
      </w:r>
    </w:p>
    <w:p w14:paraId="08B5D309" w14:textId="1CF4355C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FC6D62">
        <w:rPr>
          <w:rFonts w:eastAsia="Calibri" w:cstheme="minorHAnsi"/>
          <w:sz w:val="24"/>
          <w:szCs w:val="24"/>
        </w:rPr>
        <w:t>Za niedopuszczalne uznaje się natomiast uprzednie uzgodnienie z wykonawcą lub jakimkolwiek innym podmiotem/jakąkolwiek inną osobą sposobu poprawienia omyłek, które pojawiły się w ofercie, a o których mowa w przepisie art.</w:t>
      </w:r>
      <w:r w:rsidR="0075766E">
        <w:rPr>
          <w:rFonts w:eastAsia="Calibri" w:cstheme="minorHAnsi"/>
          <w:sz w:val="24"/>
          <w:szCs w:val="24"/>
        </w:rPr>
        <w:t xml:space="preserve"> </w:t>
      </w:r>
      <w:r w:rsidRPr="00FC6D62">
        <w:rPr>
          <w:rFonts w:eastAsia="Calibri" w:cstheme="minorHAnsi"/>
          <w:sz w:val="24"/>
          <w:szCs w:val="24"/>
        </w:rPr>
        <w:t>87 ust. 2 ustawy Pzp.</w:t>
      </w:r>
    </w:p>
    <w:p w14:paraId="0E4FA8CA" w14:textId="254C9412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Konstruowanie kryteriów oceny ofert, które w połączeni</w:t>
      </w:r>
      <w:r w:rsidR="0025094C" w:rsidRPr="00FC6D62">
        <w:rPr>
          <w:rFonts w:eastAsia="Calibri" w:cstheme="minorHAnsi"/>
          <w:sz w:val="24"/>
          <w:szCs w:val="24"/>
        </w:rPr>
        <w:t>u z karami umownymi, mają charak</w:t>
      </w:r>
      <w:r w:rsidRPr="00FC6D62">
        <w:rPr>
          <w:rFonts w:eastAsia="Calibri" w:cstheme="minorHAnsi"/>
          <w:sz w:val="24"/>
          <w:szCs w:val="24"/>
        </w:rPr>
        <w:t xml:space="preserve">ter </w:t>
      </w:r>
      <w:r w:rsidR="0095124F" w:rsidRPr="00FC6D62">
        <w:rPr>
          <w:rFonts w:eastAsia="Calibri" w:cstheme="minorHAnsi"/>
          <w:sz w:val="24"/>
          <w:szCs w:val="24"/>
        </w:rPr>
        <w:t>iluzoryczny, m.in.</w:t>
      </w:r>
      <w:r w:rsidRPr="00FC6D62">
        <w:rPr>
          <w:rFonts w:eastAsia="Calibri" w:cstheme="minorHAnsi"/>
          <w:sz w:val="24"/>
          <w:szCs w:val="24"/>
        </w:rPr>
        <w:t xml:space="preserve"> takich jak kryterium terminu realizacji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brak jest kar umownej za zwłokę/opóźnienie </w:t>
      </w:r>
      <w:r w:rsidR="0025094C" w:rsidRPr="00FC6D62">
        <w:rPr>
          <w:rFonts w:eastAsia="Calibri" w:cstheme="minorHAnsi"/>
          <w:sz w:val="24"/>
          <w:szCs w:val="24"/>
        </w:rPr>
        <w:t xml:space="preserve">ze strony </w:t>
      </w:r>
      <w:r w:rsidRPr="00FC6D62">
        <w:rPr>
          <w:rFonts w:eastAsia="Calibri" w:cstheme="minorHAnsi"/>
          <w:sz w:val="24"/>
          <w:szCs w:val="24"/>
        </w:rPr>
        <w:t>wykonawcy.</w:t>
      </w:r>
    </w:p>
    <w:p w14:paraId="74DA7AD3" w14:textId="7631784B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lastRenderedPageBreak/>
        <w:t>Odrzucenie przez zamawiającego ofert przewyższający</w:t>
      </w:r>
      <w:r w:rsidR="0025094C" w:rsidRPr="00FC6D62">
        <w:rPr>
          <w:rFonts w:eastAsia="Calibri" w:cstheme="minorHAnsi"/>
          <w:sz w:val="24"/>
          <w:szCs w:val="24"/>
        </w:rPr>
        <w:t>ch wartość środków, które zostały przeznaczone na realizację z</w:t>
      </w:r>
      <w:r w:rsidRPr="00FC6D62">
        <w:rPr>
          <w:rFonts w:eastAsia="Calibri" w:cstheme="minorHAnsi"/>
          <w:sz w:val="24"/>
          <w:szCs w:val="24"/>
        </w:rPr>
        <w:t>amówienia.</w:t>
      </w:r>
    </w:p>
    <w:p w14:paraId="1772E49F" w14:textId="36264BAA" w:rsidR="00405EC4" w:rsidRPr="00FC6D62" w:rsidRDefault="00405EC4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426DC58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083EB9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695BB8EC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7ED23662" w14:textId="3B238D2F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41FF5D55" w14:textId="1A7AD09C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Przygotowanie dokumentacji zamówienia w oparciu o konkretny produkt lub dostawcę.</w:t>
      </w:r>
    </w:p>
    <w:p w14:paraId="44CFA6F1" w14:textId="74A1AE43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Skracanie terminów składania ofert celem uniemożliwienia lub utrudnienia złożenia ofert przez innych wykonawców.</w:t>
      </w:r>
    </w:p>
    <w:p w14:paraId="33874A22" w14:textId="79A72604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0B79C820" w14:textId="1C6A5407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Niepublikowanie wzoru umowy.</w:t>
      </w:r>
    </w:p>
    <w:p w14:paraId="5C481FF9" w14:textId="28265D66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 xml:space="preserve">Sporządzenie aneksu do umowy wydłużającego termin realizacji zamówienia,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przesłanka i warunki wydłużenia terminu nie zostały wprost określone w treści wzoru umowy a termin realizacji był kryterium punktowanym w ramach kryteriów oceny ofert.</w:t>
      </w:r>
    </w:p>
    <w:p w14:paraId="4126E254" w14:textId="77777777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Profilowanie opisu przedmiotu zamówienia pod konkretną technologię/produkt lub producenta/dostawcę.</w:t>
      </w:r>
    </w:p>
    <w:p w14:paraId="29A159D6" w14:textId="5482015B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60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lastRenderedPageBreak/>
        <w:t>Nieuzasadnione stosowanie wyłączeń ustawowych.</w:t>
      </w:r>
    </w:p>
    <w:p w14:paraId="6A367185" w14:textId="4349F999" w:rsidR="000C47F8" w:rsidRPr="00FC6D62" w:rsidRDefault="00AB33AB" w:rsidP="00684913">
      <w:pPr>
        <w:pStyle w:val="Nagwek1"/>
        <w:rPr>
          <w:rFonts w:asciiTheme="minorHAnsi" w:eastAsia="MS Mincho" w:hAnsiTheme="minorHAnsi" w:cstheme="minorHAnsi"/>
          <w:b w:val="0"/>
          <w:szCs w:val="24"/>
          <w:lang w:eastAsia="ja-JP"/>
        </w:rPr>
      </w:pPr>
      <w:bookmarkStart w:id="10" w:name="_Toc169702713"/>
      <w:r w:rsidRPr="00FC6D62">
        <w:rPr>
          <w:rFonts w:asciiTheme="minorHAnsi" w:eastAsia="MS Mincho" w:hAnsiTheme="minorHAnsi" w:cstheme="minorHAnsi"/>
          <w:szCs w:val="24"/>
          <w:lang w:eastAsia="ja-JP"/>
        </w:rPr>
        <w:t xml:space="preserve">3. </w:t>
      </w:r>
      <w:r w:rsidR="000C47F8" w:rsidRPr="00FC6D62">
        <w:rPr>
          <w:rFonts w:asciiTheme="minorHAnsi" w:eastAsia="MS Mincho" w:hAnsiTheme="minorHAnsi" w:cstheme="minorHAnsi"/>
          <w:szCs w:val="24"/>
          <w:lang w:eastAsia="ja-JP"/>
        </w:rPr>
        <w:t>Zestawienie regulacji w za</w:t>
      </w:r>
      <w:r w:rsidR="009E4385" w:rsidRPr="00FC6D62">
        <w:rPr>
          <w:rFonts w:asciiTheme="minorHAnsi" w:eastAsia="MS Mincho" w:hAnsiTheme="minorHAnsi" w:cstheme="minorHAnsi"/>
          <w:szCs w:val="24"/>
          <w:lang w:eastAsia="ja-JP"/>
        </w:rPr>
        <w:t xml:space="preserve">kresie zasady konkurencyjności </w:t>
      </w:r>
      <w:r w:rsidR="000C47F8" w:rsidRPr="00FC6D62">
        <w:rPr>
          <w:rFonts w:asciiTheme="minorHAnsi" w:eastAsia="MS Mincho" w:hAnsiTheme="minorHAnsi" w:cstheme="minorHAnsi"/>
          <w:szCs w:val="24"/>
          <w:lang w:eastAsia="ja-JP"/>
        </w:rPr>
        <w:t>w</w:t>
      </w:r>
      <w:r w:rsidR="0075766E">
        <w:rPr>
          <w:rFonts w:asciiTheme="minorHAnsi" w:eastAsia="MS Mincho" w:hAnsiTheme="minorHAnsi" w:cstheme="minorHAnsi"/>
          <w:szCs w:val="24"/>
          <w:lang w:eastAsia="ja-JP"/>
        </w:rPr>
        <w:t xml:space="preserve"> </w:t>
      </w:r>
      <w:r w:rsidR="000C47F8" w:rsidRPr="00FC6D62">
        <w:rPr>
          <w:rFonts w:asciiTheme="minorHAnsi" w:eastAsia="MS Mincho" w:hAnsiTheme="minorHAnsi" w:cstheme="minorHAnsi"/>
          <w:szCs w:val="24"/>
          <w:lang w:eastAsia="ja-JP"/>
        </w:rPr>
        <w:t>odniesieniu do konieczności stosowania przez zamawiającego określonej ścieżki postępowania</w:t>
      </w:r>
      <w:bookmarkEnd w:id="9"/>
      <w:bookmarkEnd w:id="10"/>
    </w:p>
    <w:p w14:paraId="3952CBA5" w14:textId="09267811" w:rsidR="000C47F8" w:rsidRPr="00FC6D62" w:rsidRDefault="000C47F8" w:rsidP="00FC6D62">
      <w:pPr>
        <w:spacing w:before="120" w:after="120" w:line="360" w:lineRule="auto"/>
        <w:rPr>
          <w:rFonts w:eastAsia="MS Mincho" w:cstheme="minorHAnsi"/>
          <w:i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Poniższe zestawienie zostało opracowane na podstawie informacji zawartych w niniejszym załączniku 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956"/>
        <w:gridCol w:w="2250"/>
        <w:gridCol w:w="2592"/>
        <w:gridCol w:w="2723"/>
      </w:tblGrid>
      <w:tr w:rsidR="000C47F8" w:rsidRPr="00FC6D62" w14:paraId="0A069939" w14:textId="77777777" w:rsidTr="007E62E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b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Regulacja w zakresie zasady uczciwej konkurencji</w:t>
            </w:r>
          </w:p>
        </w:tc>
      </w:tr>
      <w:tr w:rsidR="000C47F8" w:rsidRPr="00FC6D62" w14:paraId="5F328D1D" w14:textId="77777777" w:rsidTr="007E62E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zobligowani do stosowania Pzp (zgodnie z zapisami Pzp)</w:t>
            </w:r>
          </w:p>
        </w:tc>
        <w:tc>
          <w:tcPr>
            <w:tcW w:w="3543" w:type="dxa"/>
            <w:vAlign w:val="center"/>
          </w:tcPr>
          <w:p w14:paraId="4D9C0D61" w14:textId="3FF8EE61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zobowiązani do przestrz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egania zasady </w:t>
            </w:r>
            <w:r w:rsidR="0095124F" w:rsidRPr="00FC6D62">
              <w:rPr>
                <w:rFonts w:eastAsia="MS Mincho" w:cstheme="minorHAnsi"/>
                <w:sz w:val="24"/>
                <w:szCs w:val="24"/>
                <w:lang w:eastAsia="ja-JP"/>
              </w:rPr>
              <w:t>konkurencyjności,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o której mowa w sekcji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6BA2BE3" w14:textId="7E6B0E62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niezobowiązani do stosowania Pzp lub zasady konkurencyjności, o której mowa w s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ekcji 1.2 </w:t>
            </w:r>
          </w:p>
        </w:tc>
      </w:tr>
      <w:tr w:rsidR="000C47F8" w:rsidRPr="00FC6D62" w14:paraId="45AE1236" w14:textId="77777777" w:rsidTr="007E62E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4</w:t>
            </w:r>
          </w:p>
        </w:tc>
      </w:tr>
      <w:tr w:rsidR="000C47F8" w:rsidRPr="00FC6D62" w14:paraId="14A3AF14" w14:textId="77777777" w:rsidTr="007E62E8">
        <w:tc>
          <w:tcPr>
            <w:tcW w:w="2694" w:type="dxa"/>
            <w:vAlign w:val="center"/>
          </w:tcPr>
          <w:p w14:paraId="41FD8B44" w14:textId="57AE58C0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Do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- </w:t>
            </w:r>
            <w:r w:rsidR="00464820">
              <w:rPr>
                <w:rFonts w:eastAsia="MS Mincho" w:cstheme="minorHAnsi"/>
                <w:sz w:val="24"/>
                <w:szCs w:val="24"/>
                <w:lang w:eastAsia="ja-JP"/>
              </w:rPr>
              <w:t>8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  <w:r w:rsidR="00FF7E4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0C47F8" w:rsidRPr="00FC6D62" w14:paraId="69219D1D" w14:textId="77777777" w:rsidTr="007E62E8">
        <w:trPr>
          <w:trHeight w:val="944"/>
        </w:trPr>
        <w:tc>
          <w:tcPr>
            <w:tcW w:w="2694" w:type="dxa"/>
            <w:vAlign w:val="center"/>
          </w:tcPr>
          <w:p w14:paraId="66805194" w14:textId="568FA560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 xml:space="preserve">Powyżej </w:t>
            </w:r>
            <w:r w:rsidR="00464820">
              <w:rPr>
                <w:rFonts w:eastAsia="MS Mincho" w:cstheme="minorHAnsi"/>
                <w:sz w:val="24"/>
                <w:szCs w:val="24"/>
                <w:lang w:eastAsia="ja-JP"/>
              </w:rPr>
              <w:t>8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 – do kwoty 130 tys. zł netto</w:t>
            </w:r>
          </w:p>
        </w:tc>
        <w:tc>
          <w:tcPr>
            <w:tcW w:w="3402" w:type="dxa"/>
            <w:vAlign w:val="center"/>
          </w:tcPr>
          <w:p w14:paraId="63C68743" w14:textId="2639011B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543" w:type="dxa"/>
            <w:vAlign w:val="center"/>
          </w:tcPr>
          <w:p w14:paraId="523FEFC7" w14:textId="73EC342F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FC6D62" w:rsidRDefault="00FF7E4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0C47F8" w:rsidRPr="00FC6D62" w14:paraId="281C4866" w14:textId="77777777" w:rsidTr="007E62E8">
        <w:tc>
          <w:tcPr>
            <w:tcW w:w="2694" w:type="dxa"/>
            <w:vAlign w:val="center"/>
          </w:tcPr>
          <w:p w14:paraId="49955932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Od 130 tys. zł netto włącznie</w:t>
            </w:r>
          </w:p>
        </w:tc>
        <w:tc>
          <w:tcPr>
            <w:tcW w:w="3402" w:type="dxa"/>
            <w:vAlign w:val="center"/>
          </w:tcPr>
          <w:p w14:paraId="018BB01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479AE4F0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FC6D62" w:rsidRDefault="00FF7E4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5B065F" w:rsidRDefault="00D24E7A" w:rsidP="00FC6D62">
      <w:pPr>
        <w:spacing w:before="120" w:after="120" w:line="360" w:lineRule="auto"/>
        <w:rPr>
          <w:rFonts w:eastAsia="MS Mincho" w:cstheme="minorHAnsi"/>
          <w:sz w:val="24"/>
          <w:szCs w:val="24"/>
          <w:lang w:eastAsia="ja-JP"/>
        </w:rPr>
      </w:pPr>
    </w:p>
    <w:sectPr w:rsidR="00D24E7A" w:rsidRPr="005B065F" w:rsidSect="009A0D1C">
      <w:headerReference w:type="default" r:id="rId9"/>
      <w:footerReference w:type="default" r:id="rId10"/>
      <w:pgSz w:w="11906" w:h="16838"/>
      <w:pgMar w:top="1552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90E8" w14:textId="77777777" w:rsidR="00FD2757" w:rsidRPr="00FC6D62" w:rsidRDefault="00FD2757" w:rsidP="004A3775">
      <w:pPr>
        <w:spacing w:after="0" w:line="240" w:lineRule="auto"/>
      </w:pPr>
      <w:r w:rsidRPr="00FC6D62">
        <w:separator/>
      </w:r>
    </w:p>
  </w:endnote>
  <w:endnote w:type="continuationSeparator" w:id="0">
    <w:p w14:paraId="348041D4" w14:textId="77777777" w:rsidR="00FD2757" w:rsidRPr="00FC6D62" w:rsidRDefault="00FD2757" w:rsidP="004A3775">
      <w:pPr>
        <w:spacing w:after="0" w:line="240" w:lineRule="auto"/>
      </w:pPr>
      <w:r w:rsidRPr="00FC6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FC6D62" w:rsidRDefault="000D4C28">
        <w:pPr>
          <w:pStyle w:val="Stopka"/>
          <w:jc w:val="right"/>
        </w:pPr>
        <w:r w:rsidRPr="00FC6D62">
          <w:fldChar w:fldCharType="begin"/>
        </w:r>
        <w:r w:rsidRPr="00FC6D62">
          <w:instrText>PAGE   \* MERGEFORMAT</w:instrText>
        </w:r>
        <w:r w:rsidRPr="00FC6D62">
          <w:fldChar w:fldCharType="separate"/>
        </w:r>
        <w:r w:rsidR="00664ED4" w:rsidRPr="00FC6D62">
          <w:t>13</w:t>
        </w:r>
        <w:r w:rsidRPr="00FC6D6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5E57" w14:textId="77777777" w:rsidR="00FD2757" w:rsidRPr="00FC6D62" w:rsidRDefault="00FD2757" w:rsidP="004A3775">
      <w:pPr>
        <w:spacing w:after="0" w:line="240" w:lineRule="auto"/>
      </w:pPr>
      <w:r w:rsidRPr="00FC6D62">
        <w:separator/>
      </w:r>
    </w:p>
  </w:footnote>
  <w:footnote w:type="continuationSeparator" w:id="0">
    <w:p w14:paraId="7CD9FB88" w14:textId="77777777" w:rsidR="00FD2757" w:rsidRPr="00FC6D62" w:rsidRDefault="00FD2757" w:rsidP="004A3775">
      <w:pPr>
        <w:spacing w:after="0" w:line="240" w:lineRule="auto"/>
      </w:pPr>
      <w:r w:rsidRPr="00FC6D62">
        <w:continuationSeparator/>
      </w:r>
    </w:p>
  </w:footnote>
  <w:footnote w:id="1">
    <w:p w14:paraId="472D7534" w14:textId="00044696" w:rsidR="000D4C28" w:rsidRPr="00FC6D62" w:rsidRDefault="000D4C28" w:rsidP="009008E3">
      <w:pPr>
        <w:pStyle w:val="Tekstprzypisudolneg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Określone w sekcji 1</w:t>
      </w:r>
      <w:r w:rsidR="00543235" w:rsidRPr="00FC6D62">
        <w:rPr>
          <w:rFonts w:cstheme="minorHAnsi"/>
          <w:sz w:val="24"/>
          <w:szCs w:val="24"/>
        </w:rPr>
        <w:t xml:space="preserve"> </w:t>
      </w:r>
      <w:r w:rsidRPr="00FC6D62">
        <w:rPr>
          <w:rFonts w:cstheme="minorHAnsi"/>
          <w:sz w:val="24"/>
          <w:szCs w:val="24"/>
        </w:rPr>
        <w:t>pkt 7 i 8 przesłanki umożliwiające niestosowanie procedur należy interpretować biorąc pod uwagę wykładnię odpowiednich przepisów Pzp umożliwiających zastosowanie trybu niekonkurencyjnego po spełnieniu określonych warunków.</w:t>
      </w:r>
    </w:p>
  </w:footnote>
  <w:footnote w:id="2">
    <w:p w14:paraId="66B7D75D" w14:textId="2543B097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>Wskazane przesłanki należy interpretować zgodnie z wykładnią przepisów Pzp dotyczących szacowania wartości zamówienia.</w:t>
      </w:r>
    </w:p>
  </w:footnote>
  <w:footnote w:id="3">
    <w:p w14:paraId="219447E5" w14:textId="30DA4934" w:rsidR="000D4C28" w:rsidRPr="00FC6D62" w:rsidRDefault="000D4C28" w:rsidP="00522F3E">
      <w:pPr>
        <w:pStyle w:val="Tekstprzypisudolnego"/>
        <w:spacing w:line="276" w:lineRule="auto"/>
        <w:rPr>
          <w:rFonts w:ascii="Arial" w:hAnsi="Arial" w:cs="Arial"/>
          <w:sz w:val="28"/>
          <w:szCs w:val="28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>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41371A25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>W przypadku podmiotu zobowiązanego do stosowania Pzp – nie dotyczy to zamówień o których mowa w art. 30 ust. 4 Pzp.</w:t>
      </w:r>
    </w:p>
  </w:footnote>
  <w:footnote w:id="5">
    <w:p w14:paraId="2ECC6F39" w14:textId="77777777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Wspólny Słownik Zamówień dostępny jest m. in.: pod adresem: http://kody.uzp.gov.pl.</w:t>
      </w:r>
    </w:p>
  </w:footnote>
  <w:footnote w:id="6">
    <w:p w14:paraId="0B3F601F" w14:textId="58F319B8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7">
    <w:p w14:paraId="4B26B3F9" w14:textId="2D73AAE3" w:rsidR="000D4C28" w:rsidRPr="00FC6D62" w:rsidRDefault="000D4C28" w:rsidP="00FC6D62">
      <w:pPr>
        <w:pStyle w:val="Tekstprzypisudolnego"/>
        <w:spacing w:line="276" w:lineRule="auto"/>
      </w:pPr>
      <w:r w:rsidRPr="00FC6D62">
        <w:rPr>
          <w:rStyle w:val="Odwoanieprzypisudolnego"/>
          <w:sz w:val="24"/>
          <w:szCs w:val="24"/>
        </w:rPr>
        <w:footnoteRef/>
      </w:r>
      <w:r w:rsidRPr="00FC6D62">
        <w:rPr>
          <w:sz w:val="24"/>
          <w:szCs w:val="24"/>
        </w:rPr>
        <w:t xml:space="preserve"> Średni kurs PLN w stosunku do EUR stanowiący podstawę przeliczania wartości zamówień ustala się w oparciu o przepisy art. 3 Pzp.</w:t>
      </w:r>
    </w:p>
  </w:footnote>
  <w:footnote w:id="8">
    <w:p w14:paraId="0D3C6A0F" w14:textId="77777777" w:rsidR="000D4C28" w:rsidRPr="00FC6D62" w:rsidRDefault="000D4C28" w:rsidP="00FC6D62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Nie dotyczy podmiotów będących zamawiającymi w rozumieniu Pzp.</w:t>
      </w:r>
    </w:p>
  </w:footnote>
  <w:footnote w:id="9">
    <w:p w14:paraId="37AF51C4" w14:textId="6DB133E1" w:rsidR="000D4C28" w:rsidRPr="00FC6D62" w:rsidRDefault="000D4C28" w:rsidP="00FC6D62">
      <w:pPr>
        <w:pStyle w:val="Tekstprzypisudolnego"/>
        <w:spacing w:line="276" w:lineRule="auto"/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  <w:r w:rsidR="00571889">
        <w:rPr>
          <w:rFonts w:cstheme="minorHAnsi"/>
          <w:sz w:val="24"/>
          <w:szCs w:val="24"/>
        </w:rPr>
        <w:t>)</w:t>
      </w:r>
    </w:p>
  </w:footnote>
  <w:footnote w:id="10">
    <w:p w14:paraId="4AFFACF6" w14:textId="77777777" w:rsidR="000D4C28" w:rsidRPr="00FC6D62" w:rsidRDefault="000D4C28" w:rsidP="00FC6D62">
      <w:pPr>
        <w:pStyle w:val="Tekstprzypisudolnego"/>
        <w:spacing w:line="276" w:lineRule="auto"/>
        <w:jc w:val="both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Tajemnicę przedsiębiorstwa należy rozumieć zgodnie z przepisami o zwalczaniu nieuczciwej konkurencji (ustawa z dnia 16 kwietnia 1993 r. o zwalczaniu nieuczciwej konkurencji (Dz. U. z 2020 r. poz. 1913).</w:t>
      </w:r>
    </w:p>
  </w:footnote>
  <w:footnote w:id="11">
    <w:p w14:paraId="329B00D6" w14:textId="529D8D9F" w:rsidR="000D4C28" w:rsidRPr="00FC6D62" w:rsidRDefault="000D4C28" w:rsidP="00FC6D62">
      <w:pPr>
        <w:pStyle w:val="Tekstprzypisudolnego"/>
        <w:spacing w:line="276" w:lineRule="auto"/>
        <w:jc w:val="both"/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FC6D62">
        <w:rPr>
          <w:rFonts w:cstheme="minorHAnsi"/>
          <w:sz w:val="24"/>
          <w:szCs w:val="24"/>
        </w:rPr>
        <w:t xml:space="preserve"> </w:t>
      </w:r>
      <w:r w:rsidRPr="00FC6D62">
        <w:rPr>
          <w:rFonts w:cstheme="minorHAnsi"/>
          <w:sz w:val="24"/>
          <w:szCs w:val="24"/>
        </w:rPr>
        <w:t>zmiana znacznie rozszerza lub zmniejsza zakres świadczeń i zobowiązań wynikający z umowy lub polega na zastąpieniu wykonawcy, któremu zamawiający udzielił zamówienia, nowym wykonawcą, w przypadkach innych niż wymienione w lit. d.</w:t>
      </w:r>
    </w:p>
  </w:footnote>
  <w:footnote w:id="12">
    <w:p w14:paraId="60883367" w14:textId="0F02BC9B" w:rsidR="000D4C28" w:rsidRPr="009C078D" w:rsidRDefault="000D4C28" w:rsidP="00684913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684913">
        <w:rPr>
          <w:rStyle w:val="Odwoanieprzypisudolnego"/>
          <w:rFonts w:cstheme="minorHAnsi"/>
          <w:sz w:val="24"/>
          <w:szCs w:val="24"/>
        </w:rPr>
        <w:footnoteRef/>
      </w:r>
      <w:r w:rsidRPr="00684913">
        <w:rPr>
          <w:rFonts w:cstheme="minorHAnsi"/>
          <w:sz w:val="24"/>
          <w:szCs w:val="24"/>
        </w:rPr>
        <w:t xml:space="preserve"> Średni kurs PLN w stosunku do EUR stanowiący podstawę przeliczania wartości zamówień ustala się w oparciu o przepisy art. 3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FDE" w14:textId="6A7BEFD2" w:rsidR="0052562F" w:rsidRDefault="0052562F">
    <w:pPr>
      <w:pStyle w:val="Nagwek"/>
    </w:pPr>
    <w:r>
      <w:rPr>
        <w:noProof/>
      </w:rPr>
      <w:drawing>
        <wp:inline distT="0" distB="0" distL="0" distR="0" wp14:anchorId="2FAC2C66" wp14:editId="128BFC4D">
          <wp:extent cx="5757684" cy="344425"/>
          <wp:effectExtent l="0" t="0" r="0" b="0"/>
          <wp:docPr id="56454336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7080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35"/>
    <w:multiLevelType w:val="hybridMultilevel"/>
    <w:tmpl w:val="E3163EEA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E8BADBF8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E4B"/>
    <w:multiLevelType w:val="hybridMultilevel"/>
    <w:tmpl w:val="290A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9D4426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5FA4"/>
    <w:multiLevelType w:val="multilevel"/>
    <w:tmpl w:val="3090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2902F2"/>
    <w:multiLevelType w:val="multilevel"/>
    <w:tmpl w:val="6CD8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2B3860"/>
    <w:multiLevelType w:val="hybridMultilevel"/>
    <w:tmpl w:val="DA56A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4AF7"/>
    <w:multiLevelType w:val="multilevel"/>
    <w:tmpl w:val="40F8F0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366AE0"/>
    <w:multiLevelType w:val="hybridMultilevel"/>
    <w:tmpl w:val="54D87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7B93"/>
    <w:multiLevelType w:val="hybridMultilevel"/>
    <w:tmpl w:val="5CA0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262BE"/>
    <w:multiLevelType w:val="hybridMultilevel"/>
    <w:tmpl w:val="2B826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71C5"/>
    <w:multiLevelType w:val="hybridMultilevel"/>
    <w:tmpl w:val="D1FC386A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D6369E"/>
    <w:multiLevelType w:val="singleLevel"/>
    <w:tmpl w:val="6E289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1" w15:restartNumberingAfterBreak="0">
    <w:nsid w:val="3A9A651A"/>
    <w:multiLevelType w:val="hybridMultilevel"/>
    <w:tmpl w:val="E13C3AE2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200E1E"/>
    <w:multiLevelType w:val="hybridMultilevel"/>
    <w:tmpl w:val="B0F65D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A82ABB"/>
    <w:multiLevelType w:val="hybridMultilevel"/>
    <w:tmpl w:val="18BEA66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209"/>
    <w:multiLevelType w:val="hybridMultilevel"/>
    <w:tmpl w:val="1EC49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3141"/>
    <w:multiLevelType w:val="hybridMultilevel"/>
    <w:tmpl w:val="F1BE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12"/>
    <w:multiLevelType w:val="hybridMultilevel"/>
    <w:tmpl w:val="477E3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3470"/>
    <w:multiLevelType w:val="hybridMultilevel"/>
    <w:tmpl w:val="EE7A463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210B4"/>
    <w:multiLevelType w:val="hybridMultilevel"/>
    <w:tmpl w:val="0268A8C2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73FFC"/>
    <w:multiLevelType w:val="hybridMultilevel"/>
    <w:tmpl w:val="B6068C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38963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508B"/>
    <w:multiLevelType w:val="multilevel"/>
    <w:tmpl w:val="41CEC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C3457B"/>
    <w:multiLevelType w:val="multilevel"/>
    <w:tmpl w:val="E4648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C4031D"/>
    <w:multiLevelType w:val="hybridMultilevel"/>
    <w:tmpl w:val="DDAEF9B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97EB8"/>
    <w:multiLevelType w:val="hybridMultilevel"/>
    <w:tmpl w:val="47F85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B6DC9"/>
    <w:multiLevelType w:val="hybridMultilevel"/>
    <w:tmpl w:val="1E9EE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43C7"/>
    <w:multiLevelType w:val="hybridMultilevel"/>
    <w:tmpl w:val="EE1A0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2239D"/>
    <w:multiLevelType w:val="hybridMultilevel"/>
    <w:tmpl w:val="D3E0C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869CE"/>
    <w:multiLevelType w:val="hybridMultilevel"/>
    <w:tmpl w:val="D6B0B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0FC8"/>
    <w:multiLevelType w:val="hybridMultilevel"/>
    <w:tmpl w:val="38DA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99902">
    <w:abstractNumId w:val="10"/>
  </w:num>
  <w:num w:numId="2" w16cid:durableId="1466696273">
    <w:abstractNumId w:val="5"/>
  </w:num>
  <w:num w:numId="3" w16cid:durableId="586622290">
    <w:abstractNumId w:val="19"/>
  </w:num>
  <w:num w:numId="4" w16cid:durableId="1797411414">
    <w:abstractNumId w:val="14"/>
  </w:num>
  <w:num w:numId="5" w16cid:durableId="74058265">
    <w:abstractNumId w:val="26"/>
  </w:num>
  <w:num w:numId="6" w16cid:durableId="1073696772">
    <w:abstractNumId w:val="23"/>
  </w:num>
  <w:num w:numId="7" w16cid:durableId="615410709">
    <w:abstractNumId w:val="29"/>
  </w:num>
  <w:num w:numId="8" w16cid:durableId="241447655">
    <w:abstractNumId w:val="25"/>
  </w:num>
  <w:num w:numId="9" w16cid:durableId="1699236500">
    <w:abstractNumId w:val="6"/>
  </w:num>
  <w:num w:numId="10" w16cid:durableId="668098575">
    <w:abstractNumId w:val="11"/>
  </w:num>
  <w:num w:numId="11" w16cid:durableId="811562432">
    <w:abstractNumId w:val="27"/>
  </w:num>
  <w:num w:numId="12" w16cid:durableId="1281380575">
    <w:abstractNumId w:val="4"/>
  </w:num>
  <w:num w:numId="13" w16cid:durableId="762606606">
    <w:abstractNumId w:val="16"/>
  </w:num>
  <w:num w:numId="14" w16cid:durableId="554775024">
    <w:abstractNumId w:val="13"/>
  </w:num>
  <w:num w:numId="15" w16cid:durableId="2018654439">
    <w:abstractNumId w:val="1"/>
  </w:num>
  <w:num w:numId="16" w16cid:durableId="1741127279">
    <w:abstractNumId w:val="22"/>
  </w:num>
  <w:num w:numId="17" w16cid:durableId="543562037">
    <w:abstractNumId w:val="7"/>
  </w:num>
  <w:num w:numId="18" w16cid:durableId="576591377">
    <w:abstractNumId w:val="17"/>
  </w:num>
  <w:num w:numId="19" w16cid:durableId="813568068">
    <w:abstractNumId w:val="18"/>
  </w:num>
  <w:num w:numId="20" w16cid:durableId="851116159">
    <w:abstractNumId w:val="0"/>
  </w:num>
  <w:num w:numId="21" w16cid:durableId="244267154">
    <w:abstractNumId w:val="9"/>
  </w:num>
  <w:num w:numId="22" w16cid:durableId="6829549">
    <w:abstractNumId w:val="12"/>
  </w:num>
  <w:num w:numId="23" w16cid:durableId="1273823461">
    <w:abstractNumId w:val="15"/>
  </w:num>
  <w:num w:numId="24" w16cid:durableId="739252076">
    <w:abstractNumId w:val="8"/>
  </w:num>
  <w:num w:numId="25" w16cid:durableId="2120220957">
    <w:abstractNumId w:val="21"/>
  </w:num>
  <w:num w:numId="26" w16cid:durableId="1719470920">
    <w:abstractNumId w:val="2"/>
  </w:num>
  <w:num w:numId="27" w16cid:durableId="753740369">
    <w:abstractNumId w:val="20"/>
  </w:num>
  <w:num w:numId="28" w16cid:durableId="2096826487">
    <w:abstractNumId w:val="24"/>
  </w:num>
  <w:num w:numId="29" w16cid:durableId="920795569">
    <w:abstractNumId w:val="28"/>
  </w:num>
  <w:num w:numId="30" w16cid:durableId="43833242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33023"/>
    <w:rsid w:val="00033DE0"/>
    <w:rsid w:val="00035E99"/>
    <w:rsid w:val="00042CEF"/>
    <w:rsid w:val="00043291"/>
    <w:rsid w:val="000521A3"/>
    <w:rsid w:val="00056C35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14002"/>
    <w:rsid w:val="0011527F"/>
    <w:rsid w:val="00117196"/>
    <w:rsid w:val="001241D3"/>
    <w:rsid w:val="00142BF9"/>
    <w:rsid w:val="00147A62"/>
    <w:rsid w:val="001504BD"/>
    <w:rsid w:val="00167B43"/>
    <w:rsid w:val="00187603"/>
    <w:rsid w:val="00190DEE"/>
    <w:rsid w:val="00196524"/>
    <w:rsid w:val="001A1C8A"/>
    <w:rsid w:val="001A6C67"/>
    <w:rsid w:val="001B4CA4"/>
    <w:rsid w:val="001B59CD"/>
    <w:rsid w:val="001C4668"/>
    <w:rsid w:val="001C495C"/>
    <w:rsid w:val="001C5C0C"/>
    <w:rsid w:val="001D09F0"/>
    <w:rsid w:val="001E7E0C"/>
    <w:rsid w:val="001F5239"/>
    <w:rsid w:val="00211C2F"/>
    <w:rsid w:val="00211E7C"/>
    <w:rsid w:val="00217922"/>
    <w:rsid w:val="002204D4"/>
    <w:rsid w:val="00223657"/>
    <w:rsid w:val="0023787D"/>
    <w:rsid w:val="002379AF"/>
    <w:rsid w:val="00240912"/>
    <w:rsid w:val="00244837"/>
    <w:rsid w:val="00244F5E"/>
    <w:rsid w:val="0025094C"/>
    <w:rsid w:val="00253DE7"/>
    <w:rsid w:val="002548A5"/>
    <w:rsid w:val="00263204"/>
    <w:rsid w:val="002732B1"/>
    <w:rsid w:val="002737F0"/>
    <w:rsid w:val="00274100"/>
    <w:rsid w:val="0027692D"/>
    <w:rsid w:val="00277C5A"/>
    <w:rsid w:val="00283AFA"/>
    <w:rsid w:val="00285958"/>
    <w:rsid w:val="002A1648"/>
    <w:rsid w:val="002B2A9C"/>
    <w:rsid w:val="002B6B10"/>
    <w:rsid w:val="002C0035"/>
    <w:rsid w:val="002D0D26"/>
    <w:rsid w:val="002E5A1C"/>
    <w:rsid w:val="002E7271"/>
    <w:rsid w:val="002F2771"/>
    <w:rsid w:val="002F43B8"/>
    <w:rsid w:val="00302F3E"/>
    <w:rsid w:val="00304CD3"/>
    <w:rsid w:val="003112C8"/>
    <w:rsid w:val="00323634"/>
    <w:rsid w:val="00325211"/>
    <w:rsid w:val="003323DB"/>
    <w:rsid w:val="00332C3E"/>
    <w:rsid w:val="00344E81"/>
    <w:rsid w:val="00346826"/>
    <w:rsid w:val="00354668"/>
    <w:rsid w:val="00373A85"/>
    <w:rsid w:val="0037480D"/>
    <w:rsid w:val="003758C7"/>
    <w:rsid w:val="003764D5"/>
    <w:rsid w:val="00376A58"/>
    <w:rsid w:val="003862D6"/>
    <w:rsid w:val="003965DA"/>
    <w:rsid w:val="003A25F3"/>
    <w:rsid w:val="003A7B91"/>
    <w:rsid w:val="003C6C62"/>
    <w:rsid w:val="003D278B"/>
    <w:rsid w:val="003D5AA1"/>
    <w:rsid w:val="003F3A8F"/>
    <w:rsid w:val="003F3B47"/>
    <w:rsid w:val="003F4738"/>
    <w:rsid w:val="003F4FBA"/>
    <w:rsid w:val="00405A5A"/>
    <w:rsid w:val="00405EC4"/>
    <w:rsid w:val="004120F0"/>
    <w:rsid w:val="0041551C"/>
    <w:rsid w:val="0042267C"/>
    <w:rsid w:val="004255EE"/>
    <w:rsid w:val="0043321B"/>
    <w:rsid w:val="00433C71"/>
    <w:rsid w:val="00443C08"/>
    <w:rsid w:val="004470EC"/>
    <w:rsid w:val="00447FE0"/>
    <w:rsid w:val="00460889"/>
    <w:rsid w:val="00464820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5A4B"/>
    <w:rsid w:val="004C15F4"/>
    <w:rsid w:val="004D2A8E"/>
    <w:rsid w:val="004D4793"/>
    <w:rsid w:val="004E0213"/>
    <w:rsid w:val="004E391D"/>
    <w:rsid w:val="004E60F0"/>
    <w:rsid w:val="004E729C"/>
    <w:rsid w:val="00500C62"/>
    <w:rsid w:val="00500E70"/>
    <w:rsid w:val="005011D3"/>
    <w:rsid w:val="005068D7"/>
    <w:rsid w:val="00506C48"/>
    <w:rsid w:val="00511460"/>
    <w:rsid w:val="00522F3E"/>
    <w:rsid w:val="00525485"/>
    <w:rsid w:val="0052562F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7223"/>
    <w:rsid w:val="00570B0A"/>
    <w:rsid w:val="00571889"/>
    <w:rsid w:val="00571CC0"/>
    <w:rsid w:val="00577EB3"/>
    <w:rsid w:val="00585473"/>
    <w:rsid w:val="00591B6B"/>
    <w:rsid w:val="0059651F"/>
    <w:rsid w:val="005B065F"/>
    <w:rsid w:val="005B37C3"/>
    <w:rsid w:val="005B727A"/>
    <w:rsid w:val="005C1397"/>
    <w:rsid w:val="005F2B0B"/>
    <w:rsid w:val="00607139"/>
    <w:rsid w:val="006110FE"/>
    <w:rsid w:val="00620FB6"/>
    <w:rsid w:val="006221C8"/>
    <w:rsid w:val="00632497"/>
    <w:rsid w:val="00632C47"/>
    <w:rsid w:val="006363AB"/>
    <w:rsid w:val="00647C41"/>
    <w:rsid w:val="0065086E"/>
    <w:rsid w:val="00653A5E"/>
    <w:rsid w:val="00655F2C"/>
    <w:rsid w:val="00662525"/>
    <w:rsid w:val="00664ED4"/>
    <w:rsid w:val="00667448"/>
    <w:rsid w:val="00667DFF"/>
    <w:rsid w:val="006740F1"/>
    <w:rsid w:val="006756A2"/>
    <w:rsid w:val="00683D29"/>
    <w:rsid w:val="006848C8"/>
    <w:rsid w:val="00684913"/>
    <w:rsid w:val="006849B5"/>
    <w:rsid w:val="006854E3"/>
    <w:rsid w:val="00690AB6"/>
    <w:rsid w:val="00691701"/>
    <w:rsid w:val="00693B20"/>
    <w:rsid w:val="00696ED9"/>
    <w:rsid w:val="006B7054"/>
    <w:rsid w:val="006C1C85"/>
    <w:rsid w:val="006C4ADE"/>
    <w:rsid w:val="006C576D"/>
    <w:rsid w:val="006D7B08"/>
    <w:rsid w:val="006E2A7D"/>
    <w:rsid w:val="006E4408"/>
    <w:rsid w:val="006E6F42"/>
    <w:rsid w:val="006F2DAF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7566"/>
    <w:rsid w:val="00752E65"/>
    <w:rsid w:val="00756744"/>
    <w:rsid w:val="0075766E"/>
    <w:rsid w:val="00787499"/>
    <w:rsid w:val="007914F0"/>
    <w:rsid w:val="007A21C0"/>
    <w:rsid w:val="007A3B88"/>
    <w:rsid w:val="007A51DD"/>
    <w:rsid w:val="007A585A"/>
    <w:rsid w:val="007B2893"/>
    <w:rsid w:val="007C0C37"/>
    <w:rsid w:val="007C65D2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804FAF"/>
    <w:rsid w:val="00805608"/>
    <w:rsid w:val="008068E6"/>
    <w:rsid w:val="008131EF"/>
    <w:rsid w:val="00813E3F"/>
    <w:rsid w:val="00822264"/>
    <w:rsid w:val="00824B24"/>
    <w:rsid w:val="0083678B"/>
    <w:rsid w:val="0084083C"/>
    <w:rsid w:val="00853E14"/>
    <w:rsid w:val="008561E9"/>
    <w:rsid w:val="008600E6"/>
    <w:rsid w:val="00860AD5"/>
    <w:rsid w:val="00862662"/>
    <w:rsid w:val="008700FB"/>
    <w:rsid w:val="00872862"/>
    <w:rsid w:val="00876EDE"/>
    <w:rsid w:val="00895736"/>
    <w:rsid w:val="008968B0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9008E3"/>
    <w:rsid w:val="00907C68"/>
    <w:rsid w:val="00910FBB"/>
    <w:rsid w:val="00925D1B"/>
    <w:rsid w:val="009415E0"/>
    <w:rsid w:val="00943D92"/>
    <w:rsid w:val="00944452"/>
    <w:rsid w:val="0095036D"/>
    <w:rsid w:val="0095124F"/>
    <w:rsid w:val="00957265"/>
    <w:rsid w:val="0097090F"/>
    <w:rsid w:val="009725D7"/>
    <w:rsid w:val="00977B8D"/>
    <w:rsid w:val="00982C42"/>
    <w:rsid w:val="0098318F"/>
    <w:rsid w:val="0099611A"/>
    <w:rsid w:val="009A0D1C"/>
    <w:rsid w:val="009A1ED1"/>
    <w:rsid w:val="009C001A"/>
    <w:rsid w:val="009C078D"/>
    <w:rsid w:val="009C4831"/>
    <w:rsid w:val="009D2F4A"/>
    <w:rsid w:val="009D3A76"/>
    <w:rsid w:val="009E230B"/>
    <w:rsid w:val="009E4385"/>
    <w:rsid w:val="009E5053"/>
    <w:rsid w:val="009F30E8"/>
    <w:rsid w:val="00A01AC4"/>
    <w:rsid w:val="00A053A6"/>
    <w:rsid w:val="00A1007C"/>
    <w:rsid w:val="00A11606"/>
    <w:rsid w:val="00A1432C"/>
    <w:rsid w:val="00A149EC"/>
    <w:rsid w:val="00A35E8F"/>
    <w:rsid w:val="00A43A42"/>
    <w:rsid w:val="00A45735"/>
    <w:rsid w:val="00A533E6"/>
    <w:rsid w:val="00A601C9"/>
    <w:rsid w:val="00A636DE"/>
    <w:rsid w:val="00A8071B"/>
    <w:rsid w:val="00A83AF5"/>
    <w:rsid w:val="00A91A7B"/>
    <w:rsid w:val="00A9209B"/>
    <w:rsid w:val="00A94A40"/>
    <w:rsid w:val="00A95901"/>
    <w:rsid w:val="00A9616F"/>
    <w:rsid w:val="00A975F5"/>
    <w:rsid w:val="00AA4AC3"/>
    <w:rsid w:val="00AB33AB"/>
    <w:rsid w:val="00AB36F8"/>
    <w:rsid w:val="00AC7377"/>
    <w:rsid w:val="00AC7705"/>
    <w:rsid w:val="00AD2B32"/>
    <w:rsid w:val="00AD78EE"/>
    <w:rsid w:val="00B002A7"/>
    <w:rsid w:val="00B2578D"/>
    <w:rsid w:val="00B311D3"/>
    <w:rsid w:val="00B42ECD"/>
    <w:rsid w:val="00B434B0"/>
    <w:rsid w:val="00B46A3C"/>
    <w:rsid w:val="00B503A0"/>
    <w:rsid w:val="00B55554"/>
    <w:rsid w:val="00B62941"/>
    <w:rsid w:val="00B70D2F"/>
    <w:rsid w:val="00B848C8"/>
    <w:rsid w:val="00B8512D"/>
    <w:rsid w:val="00B9084E"/>
    <w:rsid w:val="00B90C7E"/>
    <w:rsid w:val="00BA1D2F"/>
    <w:rsid w:val="00BA1F4D"/>
    <w:rsid w:val="00BA4810"/>
    <w:rsid w:val="00BB0CA9"/>
    <w:rsid w:val="00BB3B13"/>
    <w:rsid w:val="00C060C2"/>
    <w:rsid w:val="00C07D05"/>
    <w:rsid w:val="00C1694B"/>
    <w:rsid w:val="00C1786F"/>
    <w:rsid w:val="00C2245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456A"/>
    <w:rsid w:val="00C66B1A"/>
    <w:rsid w:val="00C679CC"/>
    <w:rsid w:val="00C67A7E"/>
    <w:rsid w:val="00C826F1"/>
    <w:rsid w:val="00C910F1"/>
    <w:rsid w:val="00C94F8F"/>
    <w:rsid w:val="00CA1520"/>
    <w:rsid w:val="00CA3569"/>
    <w:rsid w:val="00CB1346"/>
    <w:rsid w:val="00CB1E64"/>
    <w:rsid w:val="00CB783C"/>
    <w:rsid w:val="00CC4B1E"/>
    <w:rsid w:val="00CC69AB"/>
    <w:rsid w:val="00CD5F79"/>
    <w:rsid w:val="00CD611B"/>
    <w:rsid w:val="00CE5A47"/>
    <w:rsid w:val="00D02136"/>
    <w:rsid w:val="00D045EE"/>
    <w:rsid w:val="00D124F4"/>
    <w:rsid w:val="00D12C3D"/>
    <w:rsid w:val="00D14C2B"/>
    <w:rsid w:val="00D16C82"/>
    <w:rsid w:val="00D20733"/>
    <w:rsid w:val="00D24E7A"/>
    <w:rsid w:val="00D41CD7"/>
    <w:rsid w:val="00D45636"/>
    <w:rsid w:val="00D523B9"/>
    <w:rsid w:val="00D6244A"/>
    <w:rsid w:val="00D72C2E"/>
    <w:rsid w:val="00D9038B"/>
    <w:rsid w:val="00D91320"/>
    <w:rsid w:val="00D92DC4"/>
    <w:rsid w:val="00D968C9"/>
    <w:rsid w:val="00D9788B"/>
    <w:rsid w:val="00DA00BA"/>
    <w:rsid w:val="00DA4E27"/>
    <w:rsid w:val="00DA533F"/>
    <w:rsid w:val="00DB0A88"/>
    <w:rsid w:val="00DB417D"/>
    <w:rsid w:val="00DB7D27"/>
    <w:rsid w:val="00DC255C"/>
    <w:rsid w:val="00DC6A5C"/>
    <w:rsid w:val="00DE113B"/>
    <w:rsid w:val="00DE296D"/>
    <w:rsid w:val="00DE4E96"/>
    <w:rsid w:val="00DF13BC"/>
    <w:rsid w:val="00E22C16"/>
    <w:rsid w:val="00E23146"/>
    <w:rsid w:val="00E3613A"/>
    <w:rsid w:val="00E46BF0"/>
    <w:rsid w:val="00E53FC2"/>
    <w:rsid w:val="00E54D30"/>
    <w:rsid w:val="00E63012"/>
    <w:rsid w:val="00E7323C"/>
    <w:rsid w:val="00E74CE0"/>
    <w:rsid w:val="00E773E3"/>
    <w:rsid w:val="00E83178"/>
    <w:rsid w:val="00E87176"/>
    <w:rsid w:val="00EA1302"/>
    <w:rsid w:val="00EA7218"/>
    <w:rsid w:val="00EB34D3"/>
    <w:rsid w:val="00EC0CA8"/>
    <w:rsid w:val="00EC73CE"/>
    <w:rsid w:val="00ED5A7D"/>
    <w:rsid w:val="00ED5CDC"/>
    <w:rsid w:val="00ED636E"/>
    <w:rsid w:val="00EE09AF"/>
    <w:rsid w:val="00EF5F4C"/>
    <w:rsid w:val="00EF6D16"/>
    <w:rsid w:val="00F01818"/>
    <w:rsid w:val="00F03471"/>
    <w:rsid w:val="00F1568A"/>
    <w:rsid w:val="00F21768"/>
    <w:rsid w:val="00F310AD"/>
    <w:rsid w:val="00F32B78"/>
    <w:rsid w:val="00F338D5"/>
    <w:rsid w:val="00F34E10"/>
    <w:rsid w:val="00F36EF6"/>
    <w:rsid w:val="00F42228"/>
    <w:rsid w:val="00F518E0"/>
    <w:rsid w:val="00F53607"/>
    <w:rsid w:val="00F622D0"/>
    <w:rsid w:val="00F70C46"/>
    <w:rsid w:val="00F72EFA"/>
    <w:rsid w:val="00F73E68"/>
    <w:rsid w:val="00F74B15"/>
    <w:rsid w:val="00F84F7A"/>
    <w:rsid w:val="00F95387"/>
    <w:rsid w:val="00F953E5"/>
    <w:rsid w:val="00FA594A"/>
    <w:rsid w:val="00FA6EB4"/>
    <w:rsid w:val="00FB0EA2"/>
    <w:rsid w:val="00FB790F"/>
    <w:rsid w:val="00FC118C"/>
    <w:rsid w:val="00FC6D62"/>
    <w:rsid w:val="00FD2675"/>
    <w:rsid w:val="00FD2757"/>
    <w:rsid w:val="00FD29A7"/>
    <w:rsid w:val="00FD2DEA"/>
    <w:rsid w:val="00FD4899"/>
    <w:rsid w:val="00FE4588"/>
    <w:rsid w:val="00FE5828"/>
    <w:rsid w:val="00FF7E48"/>
    <w:rsid w:val="08328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83C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D62"/>
    <w:pPr>
      <w:keepNext/>
      <w:keepLines/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C6D62"/>
    <w:rPr>
      <w:rFonts w:asciiTheme="majorHAnsi" w:eastAsiaTheme="majorEastAsia" w:hAnsiTheme="majorHAnsi" w:cstheme="majorBidi"/>
      <w:b/>
      <w:bCs/>
      <w:sz w:val="24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783C"/>
    <w:rPr>
      <w:rFonts w:asciiTheme="majorHAnsi" w:eastAsiaTheme="majorEastAsia" w:hAnsiTheme="majorHAnsi" w:cstheme="majorBidi"/>
      <w:b/>
      <w:sz w:val="24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47FE0"/>
    <w:pPr>
      <w:tabs>
        <w:tab w:val="right" w:leader="dot" w:pos="9062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532E0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32E0B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4999</Words>
  <Characters>29996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Zamówienia udzielane w Przedsięwzięciach Inwestycja C2.1.1</vt:lpstr>
    </vt:vector>
  </TitlesOfParts>
  <Company/>
  <LinksUpToDate>false</LinksUpToDate>
  <CharactersWithSpaces>34926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Zamówienia udzielane w Przedsięwzięciach Inwestycja C2.1.1</dc:title>
  <dc:creator>Violetta Korkuś</dc:creator>
  <cp:lastModifiedBy>Łukasz Szojda</cp:lastModifiedBy>
  <cp:revision>20</cp:revision>
  <dcterms:created xsi:type="dcterms:W3CDTF">2022-10-31T12:54:00Z</dcterms:created>
  <dcterms:modified xsi:type="dcterms:W3CDTF">2025-06-23T13:03:00Z</dcterms:modified>
</cp:coreProperties>
</file>