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DAE2A" w14:textId="77777777" w:rsidR="004C3B2B" w:rsidRDefault="004C3B2B" w:rsidP="008E375C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b/>
        </w:rPr>
      </w:pPr>
      <w:r>
        <w:rPr>
          <w:b/>
        </w:rPr>
        <w:t>ZAPYTANIE</w:t>
      </w:r>
    </w:p>
    <w:p w14:paraId="774F5C5E" w14:textId="77777777" w:rsidR="004C3B2B" w:rsidRDefault="004C3B2B" w:rsidP="008E375C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b/>
        </w:rPr>
      </w:pPr>
      <w:r>
        <w:rPr>
          <w:b/>
        </w:rPr>
        <w:t>w celu oszacowania wartości zamówienia</w:t>
      </w:r>
    </w:p>
    <w:p w14:paraId="3A978905" w14:textId="77777777" w:rsidR="004C3B2B" w:rsidRDefault="004C3B2B" w:rsidP="008E375C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b/>
        </w:rPr>
      </w:pPr>
    </w:p>
    <w:p w14:paraId="62705CDB" w14:textId="77777777" w:rsidR="00EE3E15" w:rsidRDefault="000A01F6" w:rsidP="008E375C">
      <w:pPr>
        <w:pStyle w:val="Tekstpodstawowy2"/>
      </w:pPr>
      <w:r>
        <w:t xml:space="preserve">Stworzenie internetowego narzędzia bazodanowego </w:t>
      </w:r>
      <w:r w:rsidRPr="000A01F6">
        <w:t>prezent</w:t>
      </w:r>
      <w:r>
        <w:t xml:space="preserve">ującego </w:t>
      </w:r>
      <w:r w:rsidRPr="000A01F6">
        <w:t>wynikow</w:t>
      </w:r>
      <w:r>
        <w:t xml:space="preserve">e </w:t>
      </w:r>
      <w:r w:rsidRPr="000A01F6">
        <w:t>dan</w:t>
      </w:r>
      <w:r>
        <w:t xml:space="preserve">e </w:t>
      </w:r>
      <w:r w:rsidRPr="000A01F6">
        <w:t>statystyczn</w:t>
      </w:r>
      <w:r>
        <w:t>e</w:t>
      </w:r>
      <w:r w:rsidRPr="000A01F6">
        <w:t xml:space="preserve"> dotycząc</w:t>
      </w:r>
      <w:r>
        <w:t>e</w:t>
      </w:r>
      <w:r w:rsidRPr="000A01F6">
        <w:t xml:space="preserve"> sektora ekonomii społecznej</w:t>
      </w:r>
    </w:p>
    <w:p w14:paraId="0BA727CF" w14:textId="77777777" w:rsidR="006616AD" w:rsidRDefault="006616AD" w:rsidP="008E375C">
      <w:pPr>
        <w:pStyle w:val="Tekstpodstawowy2"/>
      </w:pPr>
    </w:p>
    <w:p w14:paraId="26AEF968" w14:textId="77777777" w:rsidR="004C3B2B" w:rsidRDefault="004C3B2B" w:rsidP="004C3B2B">
      <w:pPr>
        <w:pStyle w:val="Default"/>
      </w:pPr>
    </w:p>
    <w:p w14:paraId="21A2D004" w14:textId="77777777" w:rsidR="004C3B2B" w:rsidRDefault="004C3B2B" w:rsidP="004C3B2B"/>
    <w:p w14:paraId="7E12FCFF" w14:textId="77777777" w:rsidR="004C3B2B" w:rsidRDefault="004C3B2B" w:rsidP="004C3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rPr>
          <w:b/>
        </w:rPr>
      </w:pPr>
      <w:r>
        <w:rPr>
          <w:b/>
        </w:rPr>
        <w:t>1. Zamawiający</w:t>
      </w:r>
    </w:p>
    <w:p w14:paraId="3980B0C8" w14:textId="77777777" w:rsidR="004C3B2B" w:rsidRDefault="004C3B2B" w:rsidP="004C3B2B">
      <w:pPr>
        <w:jc w:val="both"/>
      </w:pPr>
      <w:r>
        <w:tab/>
      </w:r>
    </w:p>
    <w:p w14:paraId="190AC319" w14:textId="77777777" w:rsidR="004C3B2B" w:rsidRDefault="004C3B2B" w:rsidP="004C3B2B">
      <w:pPr>
        <w:spacing w:line="360" w:lineRule="auto"/>
        <w:jc w:val="both"/>
      </w:pPr>
      <w:r>
        <w:t xml:space="preserve">Ministerstwo Rodziny, Pracy i Polityki Społecznej; Departament Ekonomii Społecznej </w:t>
      </w:r>
      <w:r>
        <w:br/>
        <w:t xml:space="preserve">i </w:t>
      </w:r>
      <w:r w:rsidR="005B6B29">
        <w:t>Solidarnej</w:t>
      </w:r>
      <w:r>
        <w:t>, ul. Nowogrodzka 1/3/5, 00-513 Warszawa.</w:t>
      </w:r>
    </w:p>
    <w:p w14:paraId="4CEB52C6" w14:textId="77777777" w:rsidR="004C3B2B" w:rsidRDefault="004C3B2B" w:rsidP="004C3B2B">
      <w:pPr>
        <w:spacing w:line="360" w:lineRule="auto"/>
        <w:jc w:val="both"/>
      </w:pPr>
    </w:p>
    <w:p w14:paraId="7AD354B6" w14:textId="77777777" w:rsidR="004C3B2B" w:rsidRDefault="004C3B2B" w:rsidP="004C3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rPr>
          <w:b/>
        </w:rPr>
      </w:pPr>
      <w:r>
        <w:rPr>
          <w:b/>
        </w:rPr>
        <w:t>2. Tryb</w:t>
      </w:r>
    </w:p>
    <w:p w14:paraId="1865C1B5" w14:textId="77777777" w:rsidR="004C3B2B" w:rsidRDefault="004C3B2B" w:rsidP="004C3B2B">
      <w:pPr>
        <w:spacing w:line="360" w:lineRule="auto"/>
        <w:jc w:val="both"/>
      </w:pPr>
    </w:p>
    <w:p w14:paraId="12C4EC56" w14:textId="77777777" w:rsidR="005E4F2F" w:rsidRPr="005E4F2F" w:rsidRDefault="005E4F2F" w:rsidP="005E4F2F">
      <w:pPr>
        <w:spacing w:line="360" w:lineRule="auto"/>
        <w:jc w:val="both"/>
      </w:pPr>
      <w:r>
        <w:t>Niniejsze zapytanie ma na celu oszacowanie wartości zamówienia i nie jest podstawą do złożenia oferty rozumianej zgodnie z art. 66 Kodeksu cywilnego (</w:t>
      </w:r>
      <w:r w:rsidR="00FE664A" w:rsidRPr="00FE664A">
        <w:t xml:space="preserve">Dz.U. z 2018 r. poz. 1025 </w:t>
      </w:r>
      <w:r>
        <w:t xml:space="preserve">z </w:t>
      </w:r>
      <w:proofErr w:type="spellStart"/>
      <w:r>
        <w:t>póź</w:t>
      </w:r>
      <w:proofErr w:type="spellEnd"/>
      <w:r>
        <w:t>. zm.)</w:t>
      </w:r>
      <w:r w:rsidR="00FE664A">
        <w:t>.</w:t>
      </w:r>
    </w:p>
    <w:p w14:paraId="27AB5FD5" w14:textId="77777777" w:rsidR="005E4F2F" w:rsidRDefault="005E4F2F" w:rsidP="004C3B2B">
      <w:pPr>
        <w:spacing w:line="360" w:lineRule="auto"/>
        <w:jc w:val="both"/>
      </w:pPr>
    </w:p>
    <w:p w14:paraId="748837E1" w14:textId="77777777" w:rsidR="004C3B2B" w:rsidRDefault="004C3B2B" w:rsidP="004C3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rPr>
          <w:b/>
        </w:rPr>
      </w:pPr>
      <w:r>
        <w:rPr>
          <w:b/>
        </w:rPr>
        <w:t xml:space="preserve">3. Opis przedmiotu zamówienia </w:t>
      </w:r>
    </w:p>
    <w:p w14:paraId="28D4BA36" w14:textId="77777777" w:rsidR="0050346B" w:rsidRDefault="0050346B" w:rsidP="0050346B"/>
    <w:p w14:paraId="03F86CAF" w14:textId="77777777" w:rsidR="0050346B" w:rsidRPr="008510A5" w:rsidRDefault="0050346B" w:rsidP="0050346B">
      <w:pPr>
        <w:rPr>
          <w:rFonts w:asciiTheme="majorHAnsi" w:hAnsiTheme="majorHAnsi"/>
          <w:b/>
        </w:rPr>
      </w:pPr>
      <w:r w:rsidRPr="008510A5">
        <w:rPr>
          <w:rFonts w:asciiTheme="majorHAnsi" w:hAnsiTheme="majorHAnsi"/>
          <w:b/>
        </w:rPr>
        <w:t>Wybrane funkcje narzędzia internetowego</w:t>
      </w:r>
    </w:p>
    <w:p w14:paraId="6C6E187D" w14:textId="77777777" w:rsidR="0050346B" w:rsidRPr="008510A5" w:rsidRDefault="0050346B" w:rsidP="0050346B">
      <w:pPr>
        <w:rPr>
          <w:rFonts w:asciiTheme="majorHAnsi" w:hAnsiTheme="majorHAnsi"/>
          <w:b/>
        </w:rPr>
      </w:pPr>
    </w:p>
    <w:p w14:paraId="56AE65F9" w14:textId="77777777" w:rsidR="0050346B" w:rsidRPr="008510A5" w:rsidRDefault="0050346B" w:rsidP="0050346B">
      <w:pPr>
        <w:spacing w:line="360" w:lineRule="auto"/>
        <w:jc w:val="both"/>
      </w:pPr>
      <w:r w:rsidRPr="008510A5">
        <w:t xml:space="preserve">Przygotowywane narzędzie powinno dostarczać w łatwy i szybki sposób wybrane informacje dotyczące sektora ekonomii społecznej w określonym obszarze. </w:t>
      </w:r>
    </w:p>
    <w:p w14:paraId="7B8AF751" w14:textId="1F9DDDA8" w:rsidR="00CF7D18" w:rsidRPr="008510A5" w:rsidRDefault="00CF7D18" w:rsidP="0050346B">
      <w:pPr>
        <w:spacing w:line="360" w:lineRule="auto"/>
        <w:jc w:val="both"/>
      </w:pPr>
      <w:r w:rsidRPr="008510A5">
        <w:t xml:space="preserve">Wykonawca przygotuje bazę danych </w:t>
      </w:r>
      <w:r w:rsidR="00F26E8C" w:rsidRPr="008510A5">
        <w:t xml:space="preserve">o strukturze niezbędnej </w:t>
      </w:r>
      <w:r w:rsidRPr="008510A5">
        <w:t xml:space="preserve">do zaprezentowania informacji wynikowych (map, tabel, wykresów), w której dane zawarte w tabeli nr 1 dostępne będą na poziomie powiatów. Dane prezentowane za pomocą </w:t>
      </w:r>
      <w:r w:rsidR="00F26E8C" w:rsidRPr="008510A5">
        <w:t>strony internetowej opartej na systemie zarządzania treścią „</w:t>
      </w:r>
      <w:proofErr w:type="spellStart"/>
      <w:r w:rsidR="00F26E8C" w:rsidRPr="008510A5">
        <w:t>Wordpress</w:t>
      </w:r>
      <w:proofErr w:type="spellEnd"/>
      <w:r w:rsidR="00F26E8C" w:rsidRPr="008510A5">
        <w:t>”</w:t>
      </w:r>
      <w:r w:rsidR="00FF5094" w:rsidRPr="008510A5">
        <w:t xml:space="preserve"> </w:t>
      </w:r>
      <w:r w:rsidR="00EF3197" w:rsidRPr="008510A5">
        <w:t xml:space="preserve">udostępniane będą </w:t>
      </w:r>
      <w:r w:rsidR="00F26E8C" w:rsidRPr="008510A5">
        <w:t xml:space="preserve">publicznie </w:t>
      </w:r>
      <w:r w:rsidR="00EF3197" w:rsidRPr="008510A5">
        <w:t>użytkownikom</w:t>
      </w:r>
      <w:r w:rsidR="009B51D7" w:rsidRPr="008510A5">
        <w:t xml:space="preserve"> </w:t>
      </w:r>
      <w:r w:rsidR="00F26E8C" w:rsidRPr="008510A5">
        <w:t>(</w:t>
      </w:r>
      <w:r w:rsidR="009B51D7" w:rsidRPr="008510A5">
        <w:t>bez autoryzacji</w:t>
      </w:r>
      <w:r w:rsidR="00F26E8C" w:rsidRPr="008510A5">
        <w:t>)</w:t>
      </w:r>
      <w:r w:rsidR="00EF3197" w:rsidRPr="008510A5">
        <w:t xml:space="preserve"> na poziomie agregacji </w:t>
      </w:r>
      <w:r w:rsidR="00F26E8C" w:rsidRPr="008510A5">
        <w:t xml:space="preserve">określonej </w:t>
      </w:r>
      <w:r w:rsidR="00EF3197" w:rsidRPr="008510A5">
        <w:t xml:space="preserve">w kolumnach D i E tabeli nr 1. Baza danych oraz </w:t>
      </w:r>
      <w:r w:rsidR="00F26E8C" w:rsidRPr="008510A5">
        <w:t>przygotowana str</w:t>
      </w:r>
      <w:r w:rsidR="00F8370E">
        <w:t>o</w:t>
      </w:r>
      <w:r w:rsidR="00F26E8C" w:rsidRPr="008510A5">
        <w:t xml:space="preserve">na  </w:t>
      </w:r>
      <w:r w:rsidR="00EF3197" w:rsidRPr="008510A5">
        <w:t>internetow</w:t>
      </w:r>
      <w:r w:rsidR="00F26E8C" w:rsidRPr="008510A5">
        <w:t>a</w:t>
      </w:r>
      <w:r w:rsidR="00EF3197" w:rsidRPr="008510A5">
        <w:t xml:space="preserve"> do ich prezentacji powinny umożliwiać </w:t>
      </w:r>
      <w:proofErr w:type="spellStart"/>
      <w:r w:rsidR="00EF3197" w:rsidRPr="008510A5">
        <w:t>dezagregację</w:t>
      </w:r>
      <w:proofErr w:type="spellEnd"/>
      <w:r w:rsidR="00EF3197" w:rsidRPr="008510A5">
        <w:t xml:space="preserve"> do poziomu gmin, a także rozszerzenie zakresu danych. Wykonawca zaproponuje sposób zasilenia bazy danych danymi, za pośrednictwem</w:t>
      </w:r>
      <w:r w:rsidR="00402EDC" w:rsidRPr="008510A5">
        <w:t xml:space="preserve"> </w:t>
      </w:r>
      <w:hyperlink r:id="rId8" w:tooltip="System zarządzania treścią" w:history="1">
        <w:r w:rsidR="00402EDC" w:rsidRPr="008510A5">
          <w:rPr>
            <w:rStyle w:val="Hipercze"/>
            <w:color w:val="auto"/>
            <w:u w:val="none"/>
            <w:shd w:val="clear" w:color="auto" w:fill="FFFFFF"/>
          </w:rPr>
          <w:t>systemu zarządzania treścią</w:t>
        </w:r>
      </w:hyperlink>
      <w:r w:rsidR="00025389" w:rsidRPr="008510A5">
        <w:rPr>
          <w:rStyle w:val="Hipercze"/>
          <w:color w:val="auto"/>
          <w:u w:val="none"/>
          <w:shd w:val="clear" w:color="auto" w:fill="FFFFFF"/>
        </w:rPr>
        <w:t xml:space="preserve"> lub za pomocą innego dedykowanego rozwiązania umożliwiającego w sposób intuicyjny zaimportowanie danych</w:t>
      </w:r>
      <w:r w:rsidR="00402EDC" w:rsidRPr="008510A5">
        <w:rPr>
          <w:shd w:val="clear" w:color="auto" w:fill="FFFFFF"/>
        </w:rPr>
        <w:t> </w:t>
      </w:r>
      <w:r w:rsidR="00EF3197" w:rsidRPr="008510A5">
        <w:t xml:space="preserve"> z </w:t>
      </w:r>
      <w:r w:rsidR="00EF3197" w:rsidRPr="008510A5">
        <w:lastRenderedPageBreak/>
        <w:t xml:space="preserve">wykorzystaniem </w:t>
      </w:r>
      <w:r w:rsidR="00025389" w:rsidRPr="008510A5">
        <w:t xml:space="preserve">ustrukturyzowanych </w:t>
      </w:r>
      <w:r w:rsidR="00EF3197" w:rsidRPr="008510A5">
        <w:t>formatów obsługiwanych przez aplikację MS Excel (np. CSV).</w:t>
      </w:r>
    </w:p>
    <w:p w14:paraId="1D3ED3EA" w14:textId="77777777" w:rsidR="0050346B" w:rsidRPr="008510A5" w:rsidRDefault="0050346B" w:rsidP="0050346B">
      <w:pPr>
        <w:jc w:val="both"/>
      </w:pPr>
    </w:p>
    <w:p w14:paraId="0E548AA8" w14:textId="19C9B0D0" w:rsidR="0050346B" w:rsidRPr="008510A5" w:rsidRDefault="0050346B" w:rsidP="0050346B">
      <w:pPr>
        <w:jc w:val="both"/>
      </w:pPr>
      <w:r w:rsidRPr="008510A5">
        <w:t xml:space="preserve">Narzędzie będzie umożliwiało skorzystanie z informacji </w:t>
      </w:r>
      <w:r w:rsidR="00402EDC" w:rsidRPr="008510A5">
        <w:t>poprzez</w:t>
      </w:r>
      <w:r w:rsidRPr="008510A5">
        <w:t>:</w:t>
      </w:r>
    </w:p>
    <w:p w14:paraId="5C580FEB" w14:textId="77777777" w:rsidR="0050346B" w:rsidRPr="008510A5" w:rsidRDefault="0050346B" w:rsidP="0050346B">
      <w:pPr>
        <w:jc w:val="both"/>
      </w:pPr>
    </w:p>
    <w:p w14:paraId="39678FC0" w14:textId="502A2509" w:rsidR="0050346B" w:rsidRPr="0050346B" w:rsidRDefault="0050346B" w:rsidP="00A47C12">
      <w:pPr>
        <w:numPr>
          <w:ilvl w:val="0"/>
          <w:numId w:val="3"/>
        </w:numPr>
        <w:spacing w:before="120" w:line="360" w:lineRule="auto"/>
        <w:ind w:left="360"/>
        <w:contextualSpacing/>
        <w:jc w:val="both"/>
      </w:pPr>
      <w:r w:rsidRPr="008510A5">
        <w:t>interaktywn</w:t>
      </w:r>
      <w:r w:rsidR="00F26E8C" w:rsidRPr="008510A5">
        <w:t>ą</w:t>
      </w:r>
      <w:r w:rsidRPr="008510A5">
        <w:t xml:space="preserve"> map</w:t>
      </w:r>
      <w:r w:rsidR="00F26E8C" w:rsidRPr="008510A5">
        <w:t>ę</w:t>
      </w:r>
      <w:r w:rsidRPr="008510A5">
        <w:t xml:space="preserve"> Polski z podziałem na województwa (KTS 2), regiony </w:t>
      </w:r>
      <w:r w:rsidRPr="0050346B">
        <w:t>(NUTS 2/KTS 3), podregiony (NUTS 3/KTS 4) oraz powiaty (LAU 1/KTS 5). Z uwagi na fakt, że podział na podregiony w niektórych województwach nie pokrywa się z podziałem na subregiony na których swoje zadania realizują akredytowane OWES, możliwe będzie również dokonanie „ręcznego” podziału na subregiony pop</w:t>
      </w:r>
      <w:r>
        <w:t>rzez zaznaczenie kilku powiatów,</w:t>
      </w:r>
    </w:p>
    <w:p w14:paraId="5502895F" w14:textId="0CBD688C" w:rsidR="0050346B" w:rsidRPr="0050346B" w:rsidRDefault="0050346B" w:rsidP="00A47C12">
      <w:pPr>
        <w:numPr>
          <w:ilvl w:val="0"/>
          <w:numId w:val="3"/>
        </w:numPr>
        <w:spacing w:before="120" w:line="360" w:lineRule="auto"/>
        <w:ind w:left="360"/>
        <w:contextualSpacing/>
        <w:jc w:val="both"/>
      </w:pPr>
      <w:r w:rsidRPr="0050346B">
        <w:t>generowani</w:t>
      </w:r>
      <w:r w:rsidR="00F26E8C">
        <w:t>e</w:t>
      </w:r>
      <w:r w:rsidRPr="0050346B">
        <w:t xml:space="preserve"> tabel i wykresów (on-line) dotyczących wybranych obszarów lub zagadnień</w:t>
      </w:r>
      <w:r>
        <w:t>,</w:t>
      </w:r>
    </w:p>
    <w:p w14:paraId="5D5CEC6F" w14:textId="2DAA9618" w:rsidR="0050346B" w:rsidRPr="0050346B" w:rsidRDefault="0050346B" w:rsidP="00A47C12">
      <w:pPr>
        <w:numPr>
          <w:ilvl w:val="0"/>
          <w:numId w:val="3"/>
        </w:numPr>
        <w:spacing w:before="120" w:line="360" w:lineRule="auto"/>
        <w:ind w:left="360"/>
        <w:contextualSpacing/>
        <w:jc w:val="both"/>
      </w:pPr>
      <w:r>
        <w:t>możliwoś</w:t>
      </w:r>
      <w:r w:rsidR="00F26E8C">
        <w:t>ć</w:t>
      </w:r>
      <w:r>
        <w:t xml:space="preserve"> eksportowania danych</w:t>
      </w:r>
      <w:r w:rsidRPr="0050346B">
        <w:t xml:space="preserve"> tabelarycznych do arkusza kalkulacyjnego.</w:t>
      </w:r>
    </w:p>
    <w:p w14:paraId="50E73FE1" w14:textId="77777777" w:rsidR="0050346B" w:rsidRPr="0050346B" w:rsidRDefault="0050346B" w:rsidP="0050346B">
      <w:pPr>
        <w:spacing w:before="120"/>
        <w:ind w:left="720"/>
        <w:contextualSpacing/>
        <w:jc w:val="both"/>
      </w:pPr>
    </w:p>
    <w:p w14:paraId="528A879C" w14:textId="77777777" w:rsidR="0050346B" w:rsidRPr="009F7DA3" w:rsidRDefault="0050346B" w:rsidP="0050346B">
      <w:pPr>
        <w:rPr>
          <w:rFonts w:asciiTheme="majorHAnsi" w:hAnsiTheme="majorHAnsi"/>
          <w:b/>
        </w:rPr>
      </w:pPr>
      <w:r w:rsidRPr="009F7DA3">
        <w:rPr>
          <w:rFonts w:asciiTheme="majorHAnsi" w:hAnsiTheme="majorHAnsi"/>
          <w:b/>
        </w:rPr>
        <w:t>Zakres danych i korzystanie z narzędzia</w:t>
      </w:r>
    </w:p>
    <w:p w14:paraId="27814297" w14:textId="77777777" w:rsidR="0050346B" w:rsidRDefault="0050346B" w:rsidP="0050346B">
      <w:pPr>
        <w:jc w:val="both"/>
      </w:pPr>
    </w:p>
    <w:p w14:paraId="401CA79C" w14:textId="77777777" w:rsidR="00926271" w:rsidRDefault="00926271" w:rsidP="0050346B">
      <w:pPr>
        <w:spacing w:before="120"/>
        <w:jc w:val="both"/>
      </w:pPr>
      <w:r w:rsidRPr="00926271">
        <w:t>Użytkownik końcowy powinien mieć możliwość zawężenia danych w oparciu o zadane parametry filtrujące, tak aby w sposób optymalny mógł dotrzeć do interesujących go danych</w:t>
      </w:r>
      <w:r w:rsidRPr="00926271" w:rsidDel="00926271">
        <w:t xml:space="preserve"> </w:t>
      </w:r>
    </w:p>
    <w:p w14:paraId="69A8B5FE" w14:textId="77777777" w:rsidR="0050346B" w:rsidRDefault="0050346B" w:rsidP="0050346B">
      <w:pPr>
        <w:spacing w:before="120"/>
        <w:jc w:val="both"/>
        <w:rPr>
          <w:rFonts w:asciiTheme="majorHAnsi" w:eastAsia="Calibri" w:hAnsiTheme="majorHAnsi"/>
        </w:rPr>
      </w:pPr>
      <w:r w:rsidRPr="009F7DA3">
        <w:rPr>
          <w:rFonts w:asciiTheme="majorHAnsi" w:eastAsia="Calibri" w:hAnsiTheme="majorHAnsi"/>
        </w:rPr>
        <w:t>Narzędzie umożliwiać będzie dostęp do danych w ramach 3 modułów:</w:t>
      </w:r>
    </w:p>
    <w:p w14:paraId="085AB741" w14:textId="77777777" w:rsidR="0050346B" w:rsidRPr="009F7DA3" w:rsidRDefault="0050346B" w:rsidP="0050346B">
      <w:pPr>
        <w:spacing w:before="120"/>
        <w:jc w:val="both"/>
        <w:rPr>
          <w:rFonts w:asciiTheme="majorHAnsi" w:eastAsia="Calibri" w:hAnsiTheme="majorHAnsi"/>
        </w:rPr>
      </w:pPr>
    </w:p>
    <w:p w14:paraId="1B34F442" w14:textId="77777777" w:rsidR="0050346B" w:rsidRPr="0050346B" w:rsidRDefault="0050346B" w:rsidP="0050346B">
      <w:pPr>
        <w:spacing w:before="120" w:line="360" w:lineRule="auto"/>
        <w:ind w:left="360"/>
        <w:contextualSpacing/>
        <w:jc w:val="both"/>
      </w:pPr>
      <w:r w:rsidRPr="0050346B">
        <w:t>Moduł 1. Dane przekrojowe.</w:t>
      </w:r>
    </w:p>
    <w:p w14:paraId="598B51EE" w14:textId="77777777" w:rsidR="0050346B" w:rsidRPr="0050346B" w:rsidRDefault="0050346B" w:rsidP="0050346B">
      <w:pPr>
        <w:spacing w:before="120" w:line="360" w:lineRule="auto"/>
        <w:ind w:left="360"/>
        <w:contextualSpacing/>
        <w:jc w:val="both"/>
      </w:pPr>
      <w:r w:rsidRPr="0050346B">
        <w:t>Moduł 2. Porównanie JST.</w:t>
      </w:r>
    </w:p>
    <w:p w14:paraId="50D2FC04" w14:textId="77777777" w:rsidR="0050346B" w:rsidRPr="0050346B" w:rsidRDefault="0050346B" w:rsidP="0050346B">
      <w:pPr>
        <w:spacing w:before="120" w:line="360" w:lineRule="auto"/>
        <w:ind w:left="360"/>
        <w:contextualSpacing/>
        <w:jc w:val="both"/>
      </w:pPr>
      <w:r w:rsidRPr="0050346B">
        <w:t>Moduł 3. Wskaźniki programowe.</w:t>
      </w:r>
    </w:p>
    <w:p w14:paraId="491AF627" w14:textId="77777777" w:rsidR="0050346B" w:rsidRPr="009F7DA3" w:rsidRDefault="0050346B" w:rsidP="0050346B">
      <w:pPr>
        <w:spacing w:before="120"/>
        <w:ind w:left="720"/>
        <w:contextualSpacing/>
        <w:jc w:val="both"/>
        <w:rPr>
          <w:rFonts w:asciiTheme="majorHAnsi" w:eastAsia="Calibri" w:hAnsiTheme="majorHAnsi"/>
        </w:rPr>
      </w:pPr>
    </w:p>
    <w:p w14:paraId="2A6201B3" w14:textId="77777777" w:rsidR="0050346B" w:rsidRPr="00BF4E87" w:rsidRDefault="0050346B" w:rsidP="0050346B">
      <w:pPr>
        <w:rPr>
          <w:rFonts w:asciiTheme="majorHAnsi" w:hAnsiTheme="majorHAnsi"/>
          <w:u w:val="single"/>
        </w:rPr>
      </w:pPr>
      <w:r w:rsidRPr="00BF4E87">
        <w:rPr>
          <w:rFonts w:asciiTheme="majorHAnsi" w:hAnsiTheme="majorHAnsi"/>
          <w:u w:val="single"/>
        </w:rPr>
        <w:t>Moduł 1. Dane przekrojowe.</w:t>
      </w:r>
    </w:p>
    <w:p w14:paraId="0CE7E71A" w14:textId="2851759F" w:rsidR="0050346B" w:rsidRPr="0050346B" w:rsidRDefault="0050346B" w:rsidP="0050346B">
      <w:pPr>
        <w:spacing w:before="120" w:line="360" w:lineRule="auto"/>
        <w:ind w:firstLine="708"/>
        <w:jc w:val="both"/>
        <w:rPr>
          <w:rFonts w:eastAsia="Calibri"/>
          <w:color w:val="000000"/>
        </w:rPr>
      </w:pPr>
      <w:r w:rsidRPr="0050346B">
        <w:rPr>
          <w:rFonts w:eastAsia="Calibri"/>
        </w:rPr>
        <w:t>W ramach tego modułu użytkownik będzie miał dostęp do tabel wynikowych zawierających dane na poziomie wojewódzkim</w:t>
      </w:r>
      <w:r w:rsidR="00261F92">
        <w:rPr>
          <w:rFonts w:eastAsia="Calibri"/>
        </w:rPr>
        <w:t xml:space="preserve"> w oparciu o wcześniej zdefiniowane i gotowe do użycia zestawienia</w:t>
      </w:r>
      <w:r w:rsidRPr="0050346B">
        <w:rPr>
          <w:rFonts w:eastAsia="Calibri"/>
        </w:rPr>
        <w:t xml:space="preserve">. Ponadto, będzie mógł też dokonać zawężenia lub zmiany zakresu prezentowanych informacji, dzięki skorzystaniu z filtrów zaawansowanych. Przy zastosowaniu filtrów, w zależności od dostępności danych, wybrane informacje prezentowane </w:t>
      </w:r>
      <w:r w:rsidRPr="0050346B">
        <w:rPr>
          <w:rFonts w:eastAsia="Calibri"/>
          <w:color w:val="000000"/>
        </w:rPr>
        <w:t>będą na poziomie powiatowym, podregionalnym lub wojewódzkim/ regionalnym.</w:t>
      </w:r>
    </w:p>
    <w:p w14:paraId="37999754" w14:textId="2FB9AA55" w:rsidR="0050346B" w:rsidRPr="0050346B" w:rsidRDefault="0050346B" w:rsidP="0050346B">
      <w:pPr>
        <w:spacing w:line="360" w:lineRule="auto"/>
        <w:ind w:firstLine="708"/>
        <w:jc w:val="both"/>
        <w:rPr>
          <w:rFonts w:eastAsia="Calibri"/>
        </w:rPr>
      </w:pPr>
      <w:r w:rsidRPr="0050346B">
        <w:rPr>
          <w:rFonts w:eastAsia="Calibri"/>
        </w:rPr>
        <w:t>W przypadku dostępu</w:t>
      </w:r>
      <w:r w:rsidR="00261F92">
        <w:rPr>
          <w:rFonts w:eastAsia="Calibri"/>
        </w:rPr>
        <w:t xml:space="preserve"> w oparciu o gotowe zestawienia</w:t>
      </w:r>
      <w:r w:rsidRPr="0050346B">
        <w:rPr>
          <w:rFonts w:eastAsia="Calibri"/>
        </w:rPr>
        <w:t xml:space="preserve"> ko</w:t>
      </w:r>
      <w:r w:rsidR="00FF5094">
        <w:rPr>
          <w:rFonts w:eastAsia="Calibri"/>
        </w:rPr>
        <w:t xml:space="preserve">nieczne będzie wybranie obszaru tematycznego, </w:t>
      </w:r>
      <w:r w:rsidRPr="0050346B">
        <w:rPr>
          <w:rFonts w:eastAsia="Calibri"/>
        </w:rPr>
        <w:t xml:space="preserve">o którym mowa w kolumnie A Tabeli nr 1, a następnie zakresu danych </w:t>
      </w:r>
      <w:r w:rsidRPr="0050346B">
        <w:rPr>
          <w:rFonts w:eastAsia="Calibri"/>
        </w:rPr>
        <w:lastRenderedPageBreak/>
        <w:t>o którym mowa w kolumnie C. Dane prezentowane będą w tabelach zawierających informacje o wszystkich województwach i dotyczyć będą ostatniego dostępnego roku.</w:t>
      </w:r>
    </w:p>
    <w:p w14:paraId="1A4F44EA" w14:textId="5939C285" w:rsidR="0050346B" w:rsidRPr="0050346B" w:rsidRDefault="0050346B" w:rsidP="005376B1">
      <w:pPr>
        <w:spacing w:line="360" w:lineRule="auto"/>
        <w:jc w:val="both"/>
        <w:rPr>
          <w:rFonts w:eastAsia="Calibri"/>
        </w:rPr>
      </w:pPr>
      <w:r w:rsidRPr="0050346B">
        <w:rPr>
          <w:rFonts w:eastAsia="Calibri"/>
        </w:rPr>
        <w:tab/>
        <w:t xml:space="preserve">Uzyskanie wybranych informacji szczegółowych </w:t>
      </w:r>
      <w:r w:rsidR="00060D3F">
        <w:rPr>
          <w:rFonts w:eastAsia="Calibri"/>
        </w:rPr>
        <w:t>możliwe będzie dzięki zastosowaniu następujących filtrów</w:t>
      </w:r>
      <w:r w:rsidRPr="0050346B">
        <w:rPr>
          <w:rFonts w:eastAsia="Calibri"/>
        </w:rPr>
        <w:t xml:space="preserve">: </w:t>
      </w:r>
    </w:p>
    <w:p w14:paraId="5449B694" w14:textId="1D913FB9" w:rsidR="00060D3F" w:rsidRPr="00060D3F" w:rsidRDefault="00060D3F" w:rsidP="00060D3F">
      <w:pPr>
        <w:numPr>
          <w:ilvl w:val="0"/>
          <w:numId w:val="7"/>
        </w:numPr>
        <w:spacing w:before="120" w:after="240" w:line="360" w:lineRule="auto"/>
        <w:ind w:left="0" w:hanging="284"/>
        <w:contextualSpacing/>
        <w:jc w:val="both"/>
        <w:rPr>
          <w:rFonts w:eastAsia="Calibri"/>
        </w:rPr>
      </w:pPr>
      <w:r w:rsidRPr="00060D3F">
        <w:rPr>
          <w:rFonts w:eastAsia="Calibri"/>
          <w:b/>
        </w:rPr>
        <w:t>Wymiar terytorialny</w:t>
      </w:r>
      <w:r w:rsidRPr="00060D3F">
        <w:rPr>
          <w:rFonts w:eastAsia="Calibri"/>
        </w:rPr>
        <w:t xml:space="preserve">. Użytkownik będzie wybierał, jakim obszarem terytorialnym jest zainteresowany (Polska, Województwo/region, </w:t>
      </w:r>
      <w:r>
        <w:rPr>
          <w:rFonts w:eastAsia="Calibri"/>
        </w:rPr>
        <w:t>Podregion, Powiat)</w:t>
      </w:r>
      <w:r w:rsidR="000277CB">
        <w:rPr>
          <w:rFonts w:eastAsia="Calibri"/>
        </w:rPr>
        <w:t xml:space="preserve"> oraz wskazywał konkretną jednostkę, której dotyczyć mają prezentowane informacje.</w:t>
      </w:r>
    </w:p>
    <w:p w14:paraId="7CF653B9" w14:textId="379647B5" w:rsidR="0050346B" w:rsidRPr="0050346B" w:rsidRDefault="0050346B" w:rsidP="00A47C12">
      <w:pPr>
        <w:numPr>
          <w:ilvl w:val="0"/>
          <w:numId w:val="7"/>
        </w:numPr>
        <w:spacing w:before="120" w:after="240" w:line="360" w:lineRule="auto"/>
        <w:ind w:left="0" w:hanging="284"/>
        <w:contextualSpacing/>
        <w:jc w:val="both"/>
        <w:rPr>
          <w:rFonts w:eastAsia="Calibri"/>
        </w:rPr>
      </w:pPr>
      <w:r w:rsidRPr="0050346B">
        <w:rPr>
          <w:rFonts w:eastAsia="Calibri"/>
          <w:b/>
        </w:rPr>
        <w:t>Zakres danych</w:t>
      </w:r>
      <w:r w:rsidRPr="0050346B">
        <w:rPr>
          <w:rFonts w:eastAsia="Calibri"/>
        </w:rPr>
        <w:t>. Użytkownik będzie mógł określić, które dane mają zostać zaprezentowane</w:t>
      </w:r>
      <w:r w:rsidR="00060D3F">
        <w:rPr>
          <w:rFonts w:eastAsia="Calibri"/>
        </w:rPr>
        <w:t xml:space="preserve"> (kolumna C tabeli nr 1)</w:t>
      </w:r>
      <w:r w:rsidRPr="0050346B">
        <w:rPr>
          <w:rFonts w:eastAsia="Calibri"/>
        </w:rPr>
        <w:t>.</w:t>
      </w:r>
    </w:p>
    <w:p w14:paraId="10F6DB05" w14:textId="24FA886F" w:rsidR="0050346B" w:rsidRPr="0050346B" w:rsidRDefault="0050346B" w:rsidP="00A47C12">
      <w:pPr>
        <w:numPr>
          <w:ilvl w:val="0"/>
          <w:numId w:val="7"/>
        </w:numPr>
        <w:spacing w:before="120" w:line="360" w:lineRule="auto"/>
        <w:ind w:left="0" w:hanging="284"/>
        <w:contextualSpacing/>
        <w:jc w:val="both"/>
        <w:rPr>
          <w:rFonts w:eastAsia="Calibri"/>
        </w:rPr>
      </w:pPr>
      <w:r w:rsidRPr="0050346B">
        <w:rPr>
          <w:rFonts w:eastAsia="Calibri"/>
          <w:b/>
        </w:rPr>
        <w:t xml:space="preserve">Zakres podmiotowy. </w:t>
      </w:r>
      <w:r w:rsidRPr="0050346B">
        <w:rPr>
          <w:rFonts w:eastAsia="Calibri"/>
        </w:rPr>
        <w:t>Użytkownik określi jakimi typami podmiotów (ze względu na formę prawną) jest zainteresowany</w:t>
      </w:r>
      <w:r w:rsidR="00060D3F">
        <w:rPr>
          <w:rFonts w:eastAsia="Calibri"/>
        </w:rPr>
        <w:t xml:space="preserve"> (kolumna </w:t>
      </w:r>
      <w:r w:rsidR="000277CB">
        <w:rPr>
          <w:rFonts w:eastAsia="Calibri"/>
        </w:rPr>
        <w:t>D</w:t>
      </w:r>
      <w:r w:rsidR="00060D3F">
        <w:rPr>
          <w:rFonts w:eastAsia="Calibri"/>
        </w:rPr>
        <w:t xml:space="preserve"> tabeli nr 1)</w:t>
      </w:r>
      <w:r w:rsidRPr="0050346B">
        <w:rPr>
          <w:rFonts w:eastAsia="Calibri"/>
        </w:rPr>
        <w:t>.</w:t>
      </w:r>
    </w:p>
    <w:p w14:paraId="693CF733" w14:textId="5F4EE8C0" w:rsidR="0050346B" w:rsidRPr="0050346B" w:rsidRDefault="0050346B" w:rsidP="00A47C12">
      <w:pPr>
        <w:numPr>
          <w:ilvl w:val="0"/>
          <w:numId w:val="7"/>
        </w:numPr>
        <w:spacing w:before="120" w:line="360" w:lineRule="auto"/>
        <w:ind w:left="0" w:hanging="284"/>
        <w:contextualSpacing/>
        <w:jc w:val="both"/>
        <w:rPr>
          <w:rFonts w:eastAsia="Calibri"/>
        </w:rPr>
      </w:pPr>
      <w:r w:rsidRPr="0050346B">
        <w:rPr>
          <w:rFonts w:eastAsia="Calibri"/>
          <w:b/>
        </w:rPr>
        <w:t>Wymiar czasowy.</w:t>
      </w:r>
      <w:r w:rsidRPr="0050346B">
        <w:rPr>
          <w:rFonts w:eastAsia="Calibri"/>
        </w:rPr>
        <w:t xml:space="preserve"> Użytkownik określi lata (maksymalnie 2 roczniki), z których pochodzić mają interesujące go informacje. </w:t>
      </w:r>
    </w:p>
    <w:p w14:paraId="1CB0BA06" w14:textId="3BAE9CB2" w:rsidR="00060D3F" w:rsidRPr="0050346B" w:rsidRDefault="00060D3F" w:rsidP="00060D3F">
      <w:pPr>
        <w:spacing w:before="120" w:after="240" w:line="360" w:lineRule="auto"/>
        <w:contextualSpacing/>
        <w:jc w:val="both"/>
        <w:rPr>
          <w:rFonts w:eastAsia="Calibri"/>
        </w:rPr>
      </w:pPr>
      <w:r>
        <w:rPr>
          <w:rFonts w:eastAsia="Calibri"/>
          <w:b/>
        </w:rPr>
        <w:t xml:space="preserve">Ponadto użytkownik będzie mógł, dzięki aktywnej mapie stworzyć </w:t>
      </w:r>
      <w:r w:rsidRPr="00060D3F">
        <w:rPr>
          <w:rFonts w:eastAsia="Calibri"/>
          <w:b/>
          <w:i/>
        </w:rPr>
        <w:t>Obszar użytkownika</w:t>
      </w:r>
      <w:r w:rsidRPr="0050346B">
        <w:rPr>
          <w:rFonts w:eastAsia="Calibri"/>
          <w:b/>
        </w:rPr>
        <w:t>.</w:t>
      </w:r>
      <w:r w:rsidRPr="0050346B">
        <w:rPr>
          <w:rFonts w:eastAsia="Calibri"/>
        </w:rPr>
        <w:t xml:space="preserve"> </w:t>
      </w:r>
      <w:r>
        <w:rPr>
          <w:rFonts w:eastAsia="Calibri"/>
        </w:rPr>
        <w:t>Opcja ta pozwoli</w:t>
      </w:r>
      <w:r w:rsidRPr="0050346B">
        <w:rPr>
          <w:rFonts w:eastAsia="Calibri"/>
        </w:rPr>
        <w:t xml:space="preserve"> użytkownik</w:t>
      </w:r>
      <w:r>
        <w:rPr>
          <w:rFonts w:eastAsia="Calibri"/>
        </w:rPr>
        <w:t>owi</w:t>
      </w:r>
      <w:r w:rsidRPr="0050346B">
        <w:rPr>
          <w:rFonts w:eastAsia="Calibri"/>
        </w:rPr>
        <w:t xml:space="preserve"> połączyć w jeden obszar do 12 powiatów wchodzących w skład województwa. W tej opcji prezentowane będą dane dostępne tylko na poziomie powiatowym. Dalsze zawężanie zakresu danych (w przypadku wybrania opcji </w:t>
      </w:r>
      <w:r w:rsidRPr="0050346B">
        <w:rPr>
          <w:rFonts w:eastAsia="Calibri"/>
          <w:i/>
        </w:rPr>
        <w:t>obszar użytkownika</w:t>
      </w:r>
      <w:r w:rsidRPr="0050346B">
        <w:rPr>
          <w:rFonts w:eastAsia="Calibri"/>
        </w:rPr>
        <w:t xml:space="preserve">) przebiegać będzie </w:t>
      </w:r>
      <w:r w:rsidR="000277CB">
        <w:rPr>
          <w:rFonts w:eastAsia="Calibri"/>
        </w:rPr>
        <w:t>przy wykorzystaniu filtrów zaawansowanych, o których mowa powyżej.</w:t>
      </w:r>
    </w:p>
    <w:p w14:paraId="519D1AB6" w14:textId="77777777" w:rsidR="0050346B" w:rsidRPr="009F7DA3" w:rsidRDefault="0050346B" w:rsidP="0050346B">
      <w:pPr>
        <w:spacing w:before="120"/>
        <w:ind w:left="567"/>
        <w:contextualSpacing/>
        <w:jc w:val="both"/>
        <w:rPr>
          <w:rFonts w:asciiTheme="majorHAnsi" w:eastAsia="Calibri" w:hAnsiTheme="majorHAnsi"/>
        </w:rPr>
      </w:pPr>
    </w:p>
    <w:p w14:paraId="131689F1" w14:textId="77777777" w:rsidR="0050346B" w:rsidRPr="005376B1" w:rsidRDefault="0050346B" w:rsidP="00CE760A">
      <w:pPr>
        <w:spacing w:line="360" w:lineRule="auto"/>
        <w:rPr>
          <w:u w:val="single"/>
        </w:rPr>
      </w:pPr>
      <w:r w:rsidRPr="005376B1">
        <w:rPr>
          <w:u w:val="single"/>
        </w:rPr>
        <w:t>Moduł 2. Porównywanie terytorialne.</w:t>
      </w:r>
    </w:p>
    <w:p w14:paraId="62B6A383" w14:textId="20058E1A" w:rsidR="0050346B" w:rsidRPr="005376B1" w:rsidRDefault="0050346B" w:rsidP="00CE760A">
      <w:pPr>
        <w:spacing w:line="360" w:lineRule="auto"/>
        <w:contextualSpacing/>
        <w:jc w:val="both"/>
        <w:rPr>
          <w:rFonts w:eastAsia="Calibri"/>
          <w:b/>
        </w:rPr>
      </w:pPr>
      <w:r w:rsidRPr="005376B1">
        <w:rPr>
          <w:rFonts w:eastAsia="Calibri"/>
        </w:rPr>
        <w:t>Użytkownik będzie mógł porównać nie więcej niż 16 jednostek terytorialnych (z tego samego szczebla). Opcja porównywania jednostek terytorialnych dostępna będzie dla województw/regionów, podregionów oraz powiatów.</w:t>
      </w:r>
      <w:r w:rsidRPr="000277CB">
        <w:rPr>
          <w:rFonts w:eastAsia="Calibri"/>
        </w:rPr>
        <w:t xml:space="preserve"> </w:t>
      </w:r>
      <w:r w:rsidR="000277CB" w:rsidRPr="000277CB">
        <w:rPr>
          <w:rFonts w:eastAsia="Calibri"/>
        </w:rPr>
        <w:t xml:space="preserve">Uzyskanie wybranych informacji </w:t>
      </w:r>
      <w:r w:rsidR="000277CB">
        <w:rPr>
          <w:rFonts w:eastAsia="Calibri"/>
        </w:rPr>
        <w:t xml:space="preserve">o porównywanych jednostkach </w:t>
      </w:r>
      <w:r w:rsidR="000277CB" w:rsidRPr="000277CB">
        <w:rPr>
          <w:rFonts w:eastAsia="Calibri"/>
        </w:rPr>
        <w:t>możliwe będzie dzięki zastosowaniu następujących filtrów</w:t>
      </w:r>
      <w:r w:rsidR="000277CB">
        <w:rPr>
          <w:rFonts w:eastAsia="Calibri"/>
        </w:rPr>
        <w:t>:</w:t>
      </w:r>
    </w:p>
    <w:p w14:paraId="13ABC4F0" w14:textId="077D8EE4" w:rsidR="0050346B" w:rsidRPr="005376B1" w:rsidRDefault="0050346B" w:rsidP="00A47C12">
      <w:pPr>
        <w:numPr>
          <w:ilvl w:val="0"/>
          <w:numId w:val="7"/>
        </w:numPr>
        <w:spacing w:before="120" w:line="360" w:lineRule="auto"/>
        <w:ind w:left="0" w:hanging="284"/>
        <w:contextualSpacing/>
        <w:jc w:val="both"/>
        <w:rPr>
          <w:rFonts w:eastAsia="Calibri"/>
        </w:rPr>
      </w:pPr>
      <w:r w:rsidRPr="005376B1">
        <w:rPr>
          <w:rFonts w:eastAsia="Calibri"/>
          <w:b/>
        </w:rPr>
        <w:t xml:space="preserve">Wymiar terytorialny. </w:t>
      </w:r>
      <w:r w:rsidRPr="005376B1">
        <w:rPr>
          <w:rFonts w:eastAsia="Calibri"/>
        </w:rPr>
        <w:t>Użytkownik określi czy jest zainteresowany porównywaniem powiatów, podregionów, czy województw, a następnie wybierze nie więcej niż 16 jednostek terytorialnych.</w:t>
      </w:r>
    </w:p>
    <w:p w14:paraId="3FAEF7B1" w14:textId="71D13F99" w:rsidR="0050346B" w:rsidRPr="005376B1" w:rsidRDefault="0050346B" w:rsidP="000277CB">
      <w:pPr>
        <w:numPr>
          <w:ilvl w:val="0"/>
          <w:numId w:val="7"/>
        </w:numPr>
        <w:spacing w:before="120" w:line="360" w:lineRule="auto"/>
        <w:ind w:left="0" w:hanging="284"/>
        <w:contextualSpacing/>
        <w:jc w:val="both"/>
        <w:rPr>
          <w:rFonts w:eastAsia="Calibri"/>
        </w:rPr>
      </w:pPr>
      <w:r w:rsidRPr="005376B1">
        <w:rPr>
          <w:rFonts w:eastAsia="Calibri"/>
          <w:b/>
        </w:rPr>
        <w:t>Zakres danych</w:t>
      </w:r>
      <w:r w:rsidRPr="005376B1">
        <w:rPr>
          <w:rFonts w:eastAsia="Calibri"/>
        </w:rPr>
        <w:t>. Użytkownik będzie mógł określić, które dane mają zostać zaprezentowane. Wybrane dane prezentowane będą w podziale na posz</w:t>
      </w:r>
      <w:r w:rsidR="000277CB">
        <w:rPr>
          <w:rFonts w:eastAsia="Calibri"/>
        </w:rPr>
        <w:t xml:space="preserve">czególne jednostki terytorialne </w:t>
      </w:r>
      <w:r w:rsidR="000277CB" w:rsidRPr="000277CB">
        <w:rPr>
          <w:rFonts w:eastAsia="Calibri"/>
        </w:rPr>
        <w:t>(kolumna C tabeli nr 1).</w:t>
      </w:r>
    </w:p>
    <w:p w14:paraId="25294418" w14:textId="77777777" w:rsidR="002E467A" w:rsidRDefault="0050346B" w:rsidP="000277CB">
      <w:pPr>
        <w:numPr>
          <w:ilvl w:val="0"/>
          <w:numId w:val="7"/>
        </w:numPr>
        <w:spacing w:before="120" w:line="360" w:lineRule="auto"/>
        <w:ind w:left="0" w:hanging="284"/>
        <w:contextualSpacing/>
        <w:jc w:val="both"/>
        <w:rPr>
          <w:rFonts w:eastAsia="Calibri"/>
        </w:rPr>
      </w:pPr>
      <w:r w:rsidRPr="000277CB">
        <w:rPr>
          <w:rFonts w:eastAsia="Calibri"/>
          <w:b/>
        </w:rPr>
        <w:lastRenderedPageBreak/>
        <w:t xml:space="preserve">Zakres podmiotowy. </w:t>
      </w:r>
      <w:r w:rsidRPr="000277CB">
        <w:rPr>
          <w:rFonts w:eastAsia="Calibri"/>
        </w:rPr>
        <w:t xml:space="preserve">Użytkownik określi jakimi typami podmiotów (ze względu </w:t>
      </w:r>
      <w:r w:rsidRPr="000277CB">
        <w:rPr>
          <w:rFonts w:eastAsia="Calibri"/>
        </w:rPr>
        <w:br/>
        <w:t>na fo</w:t>
      </w:r>
      <w:r w:rsidR="000277CB" w:rsidRPr="000277CB">
        <w:rPr>
          <w:rFonts w:eastAsia="Calibri"/>
        </w:rPr>
        <w:t>rmę prawną) jest zainteresowany (kolumna D tabeli nr 1</w:t>
      </w:r>
      <w:r w:rsidR="002E467A">
        <w:rPr>
          <w:rFonts w:eastAsia="Calibri"/>
        </w:rPr>
        <w:t>).</w:t>
      </w:r>
    </w:p>
    <w:p w14:paraId="20C2813C" w14:textId="77777777" w:rsidR="00F559E8" w:rsidRDefault="002E467A" w:rsidP="00F559E8">
      <w:pPr>
        <w:numPr>
          <w:ilvl w:val="0"/>
          <w:numId w:val="7"/>
        </w:numPr>
        <w:spacing w:before="120" w:line="360" w:lineRule="auto"/>
        <w:ind w:left="0" w:hanging="284"/>
        <w:contextualSpacing/>
        <w:jc w:val="both"/>
        <w:rPr>
          <w:rFonts w:eastAsia="Calibri"/>
        </w:rPr>
      </w:pPr>
      <w:r w:rsidRPr="002E467A">
        <w:rPr>
          <w:rFonts w:eastAsia="Calibri"/>
          <w:b/>
        </w:rPr>
        <w:t>Wymiar czasowy.</w:t>
      </w:r>
      <w:r w:rsidRPr="002E467A">
        <w:rPr>
          <w:rFonts w:eastAsia="Calibri"/>
        </w:rPr>
        <w:t xml:space="preserve"> Użytkownik określi rok, z którego pochodzić mają interesujące go informacje.</w:t>
      </w:r>
    </w:p>
    <w:p w14:paraId="53728314" w14:textId="0AED212F" w:rsidR="000277CB" w:rsidRDefault="00F559E8" w:rsidP="00F559E8">
      <w:pPr>
        <w:spacing w:before="12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Wykonawca może zaproponować również inny sposób prezentowania danych o, który powinien ułatwiać użytkownikom dotarcie do interesujących informacji, a także inne rozwiązania zwiększające przejrzystość i łatwość obsługi narzędzia o ile zostaną zachowane wszystkie funkcjonalności opisane powyżej. </w:t>
      </w:r>
    </w:p>
    <w:p w14:paraId="461EB674" w14:textId="77777777" w:rsidR="00F559E8" w:rsidRPr="00F559E8" w:rsidRDefault="00F559E8" w:rsidP="00F559E8">
      <w:pPr>
        <w:spacing w:before="120" w:line="360" w:lineRule="auto"/>
        <w:contextualSpacing/>
        <w:jc w:val="both"/>
        <w:rPr>
          <w:rFonts w:eastAsia="Calibri"/>
        </w:rPr>
        <w:sectPr w:rsidR="00F559E8" w:rsidRPr="00F559E8" w:rsidSect="0050346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2313AA" w14:textId="2CFE988A" w:rsidR="002E467A" w:rsidRPr="002E467A" w:rsidRDefault="002E467A" w:rsidP="002E467A">
      <w:pPr>
        <w:keepNext/>
        <w:framePr w:hSpace="141" w:wrap="around" w:vAnchor="text" w:hAnchor="page" w:x="475" w:y="17"/>
        <w:suppressOverlap/>
        <w:jc w:val="both"/>
        <w:rPr>
          <w:rFonts w:asciiTheme="majorHAnsi" w:eastAsia="Calibri" w:hAnsiTheme="majorHAnsi"/>
          <w:iCs/>
          <w:color w:val="44546A"/>
          <w:szCs w:val="18"/>
        </w:rPr>
      </w:pPr>
      <w:r>
        <w:rPr>
          <w:rFonts w:asciiTheme="majorHAnsi" w:eastAsia="Calibri" w:hAnsiTheme="majorHAnsi"/>
          <w:iCs/>
          <w:color w:val="44546A"/>
          <w:szCs w:val="18"/>
        </w:rPr>
        <w:lastRenderedPageBreak/>
        <w:t xml:space="preserve">Tabela nr 1. </w:t>
      </w:r>
      <w:r w:rsidRPr="009F7DA3">
        <w:rPr>
          <w:rFonts w:asciiTheme="majorHAnsi" w:eastAsia="Calibri" w:hAnsiTheme="majorHAnsi"/>
          <w:iCs/>
          <w:color w:val="44546A"/>
          <w:szCs w:val="18"/>
        </w:rPr>
        <w:t>Zakres danych</w:t>
      </w:r>
      <w:r w:rsidRPr="009F7DA3">
        <w:rPr>
          <w:rFonts w:asciiTheme="majorHAnsi" w:eastAsia="Calibri" w:hAnsiTheme="majorHAnsi"/>
          <w:iCs/>
          <w:noProof/>
          <w:color w:val="44546A"/>
          <w:szCs w:val="18"/>
        </w:rPr>
        <w:t xml:space="preserve"> - moduł 1 i moduł 2.</w:t>
      </w:r>
    </w:p>
    <w:p w14:paraId="044E1140" w14:textId="0B22DC85" w:rsidR="000277CB" w:rsidRPr="000277CB" w:rsidRDefault="000277CB" w:rsidP="000277CB">
      <w:pPr>
        <w:spacing w:before="120" w:line="360" w:lineRule="auto"/>
        <w:contextualSpacing/>
        <w:jc w:val="both"/>
        <w:rPr>
          <w:rFonts w:eastAsia="Calibri"/>
        </w:rPr>
      </w:pPr>
    </w:p>
    <w:tbl>
      <w:tblPr>
        <w:tblStyle w:val="Tabela-Siatka"/>
        <w:tblpPr w:leftFromText="141" w:rightFromText="141" w:vertAnchor="text" w:tblpX="-169" w:tblpY="1"/>
        <w:tblOverlap w:val="never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30"/>
        <w:gridCol w:w="816"/>
        <w:gridCol w:w="3512"/>
        <w:gridCol w:w="2327"/>
        <w:gridCol w:w="1611"/>
        <w:gridCol w:w="1360"/>
      </w:tblGrid>
      <w:tr w:rsidR="002E467A" w:rsidRPr="00CE760A" w14:paraId="21121F44" w14:textId="0BA47B98" w:rsidTr="005A58A8">
        <w:trPr>
          <w:trHeight w:val="675"/>
        </w:trPr>
        <w:tc>
          <w:tcPr>
            <w:tcW w:w="389" w:type="pct"/>
            <w:shd w:val="clear" w:color="auto" w:fill="365F91" w:themeFill="accent1" w:themeFillShade="BF"/>
            <w:vAlign w:val="center"/>
          </w:tcPr>
          <w:p w14:paraId="1BEAD781" w14:textId="0DD7EB08" w:rsidR="002E467A" w:rsidRPr="00CE760A" w:rsidRDefault="002E467A" w:rsidP="002E467A">
            <w:pPr>
              <w:jc w:val="center"/>
              <w:rPr>
                <w:rFonts w:eastAsia="Calibri"/>
                <w:color w:val="FFFFFF" w:themeColor="background1"/>
              </w:rPr>
            </w:pPr>
            <w:r w:rsidRPr="002E467A">
              <w:rPr>
                <w:rFonts w:eastAsia="Calibri"/>
                <w:color w:val="FFFFFF" w:themeColor="background1"/>
              </w:rPr>
              <w:t>Temat</w:t>
            </w:r>
          </w:p>
        </w:tc>
        <w:tc>
          <w:tcPr>
            <w:tcW w:w="392" w:type="pct"/>
            <w:shd w:val="clear" w:color="auto" w:fill="365F91" w:themeFill="accent1" w:themeFillShade="BF"/>
            <w:vAlign w:val="center"/>
          </w:tcPr>
          <w:p w14:paraId="34387A4F" w14:textId="6B4A494C" w:rsidR="002E467A" w:rsidRPr="00CE760A" w:rsidRDefault="002E467A" w:rsidP="0054119E">
            <w:pPr>
              <w:jc w:val="center"/>
              <w:rPr>
                <w:rFonts w:eastAsia="Calibri"/>
                <w:color w:val="FFFFFF" w:themeColor="background1"/>
              </w:rPr>
            </w:pPr>
            <w:r w:rsidRPr="00CE760A">
              <w:rPr>
                <w:rFonts w:eastAsia="Calibri"/>
                <w:color w:val="FFFFFF" w:themeColor="background1"/>
              </w:rPr>
              <w:t>L.p.</w:t>
            </w:r>
          </w:p>
        </w:tc>
        <w:tc>
          <w:tcPr>
            <w:tcW w:w="1681" w:type="pct"/>
            <w:shd w:val="clear" w:color="auto" w:fill="365F91" w:themeFill="accent1" w:themeFillShade="BF"/>
            <w:vAlign w:val="center"/>
          </w:tcPr>
          <w:p w14:paraId="75B8ED8E" w14:textId="77777777" w:rsidR="002E467A" w:rsidRPr="00CE760A" w:rsidRDefault="002E467A" w:rsidP="0054119E">
            <w:pPr>
              <w:jc w:val="center"/>
              <w:rPr>
                <w:rFonts w:eastAsia="Calibri"/>
                <w:color w:val="FFFFFF" w:themeColor="background1"/>
              </w:rPr>
            </w:pPr>
            <w:r w:rsidRPr="00CE760A">
              <w:rPr>
                <w:rFonts w:eastAsia="Calibri"/>
                <w:color w:val="FFFFFF" w:themeColor="background1"/>
              </w:rPr>
              <w:t>Zakres danych</w:t>
            </w:r>
          </w:p>
        </w:tc>
        <w:tc>
          <w:tcPr>
            <w:tcW w:w="1114" w:type="pct"/>
            <w:shd w:val="clear" w:color="auto" w:fill="365F91" w:themeFill="accent1" w:themeFillShade="BF"/>
            <w:vAlign w:val="center"/>
          </w:tcPr>
          <w:p w14:paraId="527E5E04" w14:textId="77777777" w:rsidR="002E467A" w:rsidRPr="00CE760A" w:rsidRDefault="002E467A" w:rsidP="0054119E">
            <w:pPr>
              <w:jc w:val="center"/>
              <w:rPr>
                <w:rFonts w:eastAsia="Calibri"/>
                <w:color w:val="FFFFFF" w:themeColor="background1"/>
              </w:rPr>
            </w:pPr>
            <w:r w:rsidRPr="00CE760A">
              <w:rPr>
                <w:rFonts w:eastAsia="Calibri"/>
                <w:color w:val="FFFFFF" w:themeColor="background1"/>
              </w:rPr>
              <w:t>Przekrój</w:t>
            </w:r>
          </w:p>
        </w:tc>
        <w:tc>
          <w:tcPr>
            <w:tcW w:w="772" w:type="pct"/>
            <w:shd w:val="clear" w:color="auto" w:fill="365F91" w:themeFill="accent1" w:themeFillShade="BF"/>
            <w:vAlign w:val="center"/>
          </w:tcPr>
          <w:p w14:paraId="54E99BFD" w14:textId="77777777" w:rsidR="002E467A" w:rsidRPr="00CE760A" w:rsidRDefault="002E467A" w:rsidP="0054119E">
            <w:pPr>
              <w:jc w:val="center"/>
              <w:rPr>
                <w:rFonts w:eastAsia="Calibri"/>
                <w:color w:val="FFFFFF" w:themeColor="background1"/>
              </w:rPr>
            </w:pPr>
            <w:r w:rsidRPr="00CE760A">
              <w:rPr>
                <w:rFonts w:eastAsia="Calibri"/>
                <w:color w:val="FFFFFF" w:themeColor="background1"/>
              </w:rPr>
              <w:t>Najniższy poziom terytorialnej agregacji danych</w:t>
            </w:r>
          </w:p>
        </w:tc>
        <w:tc>
          <w:tcPr>
            <w:tcW w:w="652" w:type="pct"/>
            <w:shd w:val="clear" w:color="auto" w:fill="365F91" w:themeFill="accent1" w:themeFillShade="BF"/>
          </w:tcPr>
          <w:p w14:paraId="40261D68" w14:textId="6229A47C" w:rsidR="002E467A" w:rsidRPr="00CE760A" w:rsidRDefault="002E467A" w:rsidP="0054119E">
            <w:pPr>
              <w:jc w:val="center"/>
              <w:rPr>
                <w:rFonts w:eastAsia="Calibri"/>
                <w:color w:val="FFFFFF" w:themeColor="background1"/>
              </w:rPr>
            </w:pPr>
            <w:r>
              <w:rPr>
                <w:rFonts w:eastAsia="Calibri"/>
                <w:color w:val="FFFFFF" w:themeColor="background1"/>
              </w:rPr>
              <w:t>Jednostki miary</w:t>
            </w:r>
          </w:p>
        </w:tc>
      </w:tr>
      <w:tr w:rsidR="002E467A" w:rsidRPr="00CE760A" w14:paraId="1E1C36DE" w14:textId="1142F88C" w:rsidTr="005A58A8">
        <w:trPr>
          <w:trHeight w:val="68"/>
        </w:trPr>
        <w:tc>
          <w:tcPr>
            <w:tcW w:w="389" w:type="pct"/>
            <w:shd w:val="clear" w:color="auto" w:fill="95B3D7" w:themeFill="accent1" w:themeFillTint="99"/>
          </w:tcPr>
          <w:p w14:paraId="70CD5B71" w14:textId="2BB65539" w:rsidR="002E467A" w:rsidRPr="00CE760A" w:rsidRDefault="002E467A" w:rsidP="0054119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</w:tc>
        <w:tc>
          <w:tcPr>
            <w:tcW w:w="392" w:type="pct"/>
            <w:shd w:val="clear" w:color="auto" w:fill="95B3D7" w:themeFill="accent1" w:themeFillTint="99"/>
            <w:vAlign w:val="center"/>
          </w:tcPr>
          <w:p w14:paraId="520C195D" w14:textId="1B5A431C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B</w:t>
            </w:r>
          </w:p>
        </w:tc>
        <w:tc>
          <w:tcPr>
            <w:tcW w:w="1681" w:type="pct"/>
            <w:shd w:val="clear" w:color="auto" w:fill="95B3D7" w:themeFill="accent1" w:themeFillTint="99"/>
            <w:vAlign w:val="center"/>
          </w:tcPr>
          <w:p w14:paraId="3535EB37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C</w:t>
            </w:r>
          </w:p>
        </w:tc>
        <w:tc>
          <w:tcPr>
            <w:tcW w:w="1114" w:type="pct"/>
            <w:shd w:val="clear" w:color="auto" w:fill="95B3D7" w:themeFill="accent1" w:themeFillTint="99"/>
            <w:vAlign w:val="center"/>
          </w:tcPr>
          <w:p w14:paraId="708D5C11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D</w:t>
            </w:r>
          </w:p>
        </w:tc>
        <w:tc>
          <w:tcPr>
            <w:tcW w:w="772" w:type="pct"/>
            <w:shd w:val="clear" w:color="auto" w:fill="95B3D7" w:themeFill="accent1" w:themeFillTint="99"/>
            <w:vAlign w:val="center"/>
          </w:tcPr>
          <w:p w14:paraId="7A11F621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E</w:t>
            </w:r>
          </w:p>
        </w:tc>
        <w:tc>
          <w:tcPr>
            <w:tcW w:w="652" w:type="pct"/>
            <w:shd w:val="clear" w:color="auto" w:fill="95B3D7" w:themeFill="accent1" w:themeFillTint="99"/>
          </w:tcPr>
          <w:p w14:paraId="5145DD90" w14:textId="04A44E83" w:rsidR="002E467A" w:rsidRPr="00CE760A" w:rsidRDefault="002E467A" w:rsidP="0054119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</w:t>
            </w:r>
          </w:p>
        </w:tc>
      </w:tr>
      <w:tr w:rsidR="002E467A" w:rsidRPr="00CE760A" w14:paraId="1A3452BC" w14:textId="0051BAD4" w:rsidTr="005A58A8">
        <w:trPr>
          <w:trHeight w:val="316"/>
        </w:trPr>
        <w:tc>
          <w:tcPr>
            <w:tcW w:w="389" w:type="pct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75A5BA58" w14:textId="4A8D1313" w:rsidR="002E467A" w:rsidRPr="00CE760A" w:rsidRDefault="002E467A" w:rsidP="00D259BB">
            <w:pPr>
              <w:ind w:left="113" w:right="113"/>
              <w:jc w:val="center"/>
              <w:rPr>
                <w:rFonts w:eastAsia="Calibri"/>
              </w:rPr>
            </w:pPr>
            <w:r w:rsidRPr="002E467A">
              <w:rPr>
                <w:rFonts w:eastAsia="Calibri"/>
              </w:rPr>
              <w:t>Liczba podmiotów</w:t>
            </w: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11DDC12D" w14:textId="1139E8D4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1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  <w:vAlign w:val="center"/>
          </w:tcPr>
          <w:p w14:paraId="034899EB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aktywnych</w:t>
            </w:r>
            <w:r w:rsidRPr="00CE760A">
              <w:rPr>
                <w:rFonts w:eastAsia="Calibri"/>
                <w:vertAlign w:val="superscript"/>
              </w:rPr>
              <w:footnoteReference w:id="1"/>
            </w:r>
            <w:r w:rsidRPr="00CE760A">
              <w:rPr>
                <w:rFonts w:eastAsia="Calibri"/>
              </w:rPr>
              <w:t xml:space="preserve"> PES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13457330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6A60AF5C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powiat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5A78FE80" w14:textId="4A552899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  <w:r>
              <w:rPr>
                <w:rStyle w:val="Odwoanieprzypisudolnego"/>
                <w:rFonts w:eastAsia="Calibri"/>
              </w:rPr>
              <w:footnoteReference w:id="2"/>
            </w:r>
          </w:p>
        </w:tc>
      </w:tr>
      <w:tr w:rsidR="002E467A" w:rsidRPr="00CE760A" w14:paraId="64BBFCAE" w14:textId="6EC86A23" w:rsidTr="005A58A8">
        <w:trPr>
          <w:trHeight w:val="405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5589CAC5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7064CCEE" w14:textId="71EABE0C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  <w:vAlign w:val="center"/>
          </w:tcPr>
          <w:p w14:paraId="6616AFF5" w14:textId="77777777" w:rsidR="002E467A" w:rsidRPr="00CE760A" w:rsidRDefault="002E467A" w:rsidP="0054119E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0F69409E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</w:t>
            </w:r>
            <w:r w:rsidRPr="00CE760A">
              <w:rPr>
                <w:rFonts w:eastAsia="Calibri"/>
                <w:vertAlign w:val="superscript"/>
              </w:rPr>
              <w:footnoteReference w:id="3"/>
            </w:r>
            <w:r w:rsidRPr="00CE760A">
              <w:rPr>
                <w:rFonts w:eastAsia="Calibri"/>
              </w:rPr>
              <w:t xml:space="preserve">, </w:t>
            </w:r>
          </w:p>
          <w:p w14:paraId="53E0B57B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6E9EFF7B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199CAFB0" w14:textId="40035B69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6FB7CBB3" w14:textId="2B0CA6DD" w:rsidTr="005A58A8">
        <w:trPr>
          <w:trHeight w:val="39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5C570B2D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2639200C" w14:textId="2234BD83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2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  <w:vAlign w:val="center"/>
          </w:tcPr>
          <w:p w14:paraId="788F43A6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aktywnych  PES na 10 tys. mieszkańców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2B232899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7ED941A1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powiat</w:t>
            </w:r>
            <w:r w:rsidRPr="00CE760A" w:rsidDel="00287157">
              <w:rPr>
                <w:rFonts w:eastAsia="Calibri"/>
              </w:rPr>
              <w:t xml:space="preserve">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1F6A4168" w14:textId="5BD69F36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5F3D1B0F" w14:textId="4A5BF372" w:rsidTr="005A58A8">
        <w:trPr>
          <w:trHeight w:val="32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5585F816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3DA84338" w14:textId="1254AD38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  <w:vAlign w:val="center"/>
          </w:tcPr>
          <w:p w14:paraId="7B2781B3" w14:textId="77777777" w:rsidR="002E467A" w:rsidRPr="00CE760A" w:rsidRDefault="002E467A" w:rsidP="0054119E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35A79F5F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według rodzaju podmiotu, </w:t>
            </w:r>
          </w:p>
          <w:p w14:paraId="7A99D65A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7AC12889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44972CE3" w14:textId="53A6D32D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3E864154" w14:textId="76A1DD73" w:rsidTr="005A58A8">
        <w:tc>
          <w:tcPr>
            <w:tcW w:w="389" w:type="pct"/>
            <w:vMerge/>
            <w:shd w:val="clear" w:color="auto" w:fill="B8CCE4" w:themeFill="accent1" w:themeFillTint="66"/>
          </w:tcPr>
          <w:p w14:paraId="6E25CB26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3A100411" w14:textId="0F8B4D6B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3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1378DB5E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zarejestrowanych podmiotów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1E845ACD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Fundacje, stowarzyszenia, spółki non profit</w:t>
            </w:r>
            <w:r w:rsidRPr="00CE760A">
              <w:rPr>
                <w:rFonts w:eastAsia="Calibri"/>
                <w:vertAlign w:val="superscript"/>
              </w:rPr>
              <w:footnoteReference w:id="4"/>
            </w:r>
            <w:r w:rsidRPr="00CE760A">
              <w:rPr>
                <w:rFonts w:eastAsia="Calibri"/>
              </w:rPr>
              <w:t>, spółdzielnie socjalne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569C200C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powiat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3AB96E94" w14:textId="3F8AC594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20ABA5A9" w14:textId="76D3E985" w:rsidTr="005A58A8">
        <w:trPr>
          <w:trHeight w:val="367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0CC40304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6E416F05" w14:textId="3AEF635F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4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  <w:vAlign w:val="center"/>
          </w:tcPr>
          <w:p w14:paraId="5F4D156A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aktywnych:</w:t>
            </w:r>
          </w:p>
          <w:p w14:paraId="2B3B746D" w14:textId="77777777" w:rsidR="002E467A" w:rsidRPr="00CE760A" w:rsidRDefault="002E467A" w:rsidP="00A47C12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CIS</w:t>
            </w:r>
          </w:p>
          <w:p w14:paraId="22EE492C" w14:textId="77777777" w:rsidR="002E467A" w:rsidRPr="00CE760A" w:rsidRDefault="002E467A" w:rsidP="00A47C12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KIS</w:t>
            </w:r>
          </w:p>
          <w:p w14:paraId="2A79F314" w14:textId="77777777" w:rsidR="002E467A" w:rsidRPr="00CE760A" w:rsidRDefault="002E467A" w:rsidP="00A47C12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WTZ</w:t>
            </w:r>
          </w:p>
          <w:p w14:paraId="236F14CB" w14:textId="77777777" w:rsidR="002E467A" w:rsidRPr="00CE760A" w:rsidRDefault="002E467A" w:rsidP="00A47C12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ZAZ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777D7101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22653B96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powiat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3AB297A4" w14:textId="7D613790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41AA3E96" w14:textId="70704006" w:rsidTr="005A58A8">
        <w:trPr>
          <w:trHeight w:val="84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5FCF65A0" w14:textId="77777777" w:rsidR="002E467A" w:rsidRPr="00CE760A" w:rsidRDefault="002E467A" w:rsidP="0054119E">
            <w:pPr>
              <w:jc w:val="center"/>
              <w:rPr>
                <w:rFonts w:eastAsia="Calibri"/>
                <w:strike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1C65DEE9" w14:textId="56B45937" w:rsidR="002E467A" w:rsidRPr="00CE760A" w:rsidRDefault="002E467A" w:rsidP="0054119E">
            <w:pPr>
              <w:jc w:val="center"/>
              <w:rPr>
                <w:rFonts w:eastAsia="Calibri"/>
                <w:strike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  <w:vAlign w:val="center"/>
          </w:tcPr>
          <w:p w14:paraId="0B25640B" w14:textId="77777777" w:rsidR="002E467A" w:rsidRPr="00CE760A" w:rsidRDefault="002E467A" w:rsidP="0054119E">
            <w:pPr>
              <w:rPr>
                <w:rFonts w:eastAsia="Calibri"/>
                <w:strike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347BB3D7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 podziale na podmioty prowadzone przez JST i PES</w:t>
            </w:r>
            <w:r w:rsidRPr="00CE760A" w:rsidDel="00287157">
              <w:rPr>
                <w:rFonts w:eastAsia="Calibri"/>
              </w:rPr>
              <w:t xml:space="preserve">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08AF21A4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  <w:r w:rsidRPr="00CE760A" w:rsidDel="00287157">
              <w:rPr>
                <w:rFonts w:eastAsia="Calibri"/>
              </w:rPr>
              <w:t xml:space="preserve">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1D551108" w14:textId="56BA622B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600C5BD1" w14:textId="637B1447" w:rsidTr="005A58A8">
        <w:trPr>
          <w:trHeight w:val="776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234E5241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33201FD9" w14:textId="327A9261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5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  <w:vAlign w:val="center"/>
          </w:tcPr>
          <w:p w14:paraId="7272A112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aktywnych:</w:t>
            </w:r>
          </w:p>
          <w:p w14:paraId="329A1631" w14:textId="77777777" w:rsidR="002E467A" w:rsidRPr="00CE760A" w:rsidRDefault="002E467A" w:rsidP="00A47C12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CIS</w:t>
            </w:r>
          </w:p>
          <w:p w14:paraId="5C5229F2" w14:textId="77777777" w:rsidR="002E467A" w:rsidRPr="00CE760A" w:rsidRDefault="002E467A" w:rsidP="00A47C12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KIS</w:t>
            </w:r>
          </w:p>
          <w:p w14:paraId="57200214" w14:textId="77777777" w:rsidR="002E467A" w:rsidRPr="00CE760A" w:rsidRDefault="002E467A" w:rsidP="00A47C12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WTZ</w:t>
            </w:r>
          </w:p>
          <w:p w14:paraId="01FC98F4" w14:textId="77777777" w:rsidR="002E467A" w:rsidRPr="00CE760A" w:rsidRDefault="002E467A" w:rsidP="00A47C12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ZAZ</w:t>
            </w:r>
          </w:p>
          <w:p w14:paraId="52847A64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na 10 tys. mieszkańców.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3F583F8C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378AB9F2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powiat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03C5E6BA" w14:textId="1EF69169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759E29AC" w14:textId="5A311581" w:rsidTr="005A58A8">
        <w:tc>
          <w:tcPr>
            <w:tcW w:w="389" w:type="pct"/>
            <w:vMerge/>
            <w:shd w:val="clear" w:color="auto" w:fill="B8CCE4" w:themeFill="accent1" w:themeFillTint="66"/>
          </w:tcPr>
          <w:p w14:paraId="0463E0B9" w14:textId="77777777" w:rsidR="002E467A" w:rsidRPr="00CE760A" w:rsidRDefault="002E467A" w:rsidP="0054119E">
            <w:pPr>
              <w:jc w:val="center"/>
              <w:rPr>
                <w:rFonts w:eastAsia="Calibri"/>
                <w:strike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7AE1102D" w14:textId="0EB6583D" w:rsidR="002E467A" w:rsidRPr="00CE760A" w:rsidRDefault="002E467A" w:rsidP="0054119E">
            <w:pPr>
              <w:jc w:val="center"/>
              <w:rPr>
                <w:rFonts w:eastAsia="Calibri"/>
                <w:strike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  <w:vAlign w:val="center"/>
          </w:tcPr>
          <w:p w14:paraId="273689E8" w14:textId="77777777" w:rsidR="002E467A" w:rsidRPr="00CE760A" w:rsidRDefault="002E467A" w:rsidP="0054119E">
            <w:pPr>
              <w:rPr>
                <w:rFonts w:eastAsia="Calibri"/>
                <w:strike/>
              </w:rPr>
            </w:pPr>
          </w:p>
        </w:tc>
        <w:tc>
          <w:tcPr>
            <w:tcW w:w="1114" w:type="pct"/>
            <w:shd w:val="clear" w:color="auto" w:fill="B8CCE4" w:themeFill="accent1" w:themeFillTint="66"/>
          </w:tcPr>
          <w:p w14:paraId="725550FC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 podziale na podmioty prowadzone przez JST i PES</w:t>
            </w:r>
            <w:r w:rsidRPr="00CE760A" w:rsidDel="00BD6CD3">
              <w:rPr>
                <w:rFonts w:eastAsia="Calibri"/>
              </w:rPr>
              <w:t xml:space="preserve">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4E10CD3B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  <w:r w:rsidRPr="00CE760A" w:rsidDel="00BD6CD3">
              <w:rPr>
                <w:rFonts w:eastAsia="Calibri"/>
              </w:rPr>
              <w:t xml:space="preserve">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2812EEF3" w14:textId="39A8371C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1D97B696" w14:textId="7965A821" w:rsidTr="005A58A8">
        <w:trPr>
          <w:trHeight w:val="27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48D139ED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6A401CDB" w14:textId="06B0D467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6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389FFD16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przedsiębiorstw społecznych (PS)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6CBD14AC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2CCF08F7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powiat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4BF0019C" w14:textId="74142E05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34CFD49D" w14:textId="517A8ED2" w:rsidTr="005A58A8">
        <w:trPr>
          <w:trHeight w:val="27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537B37E7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39C6BC60" w14:textId="1DA81004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7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18357EE7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przedsiębiorstw społecznych (PS)  na 10 tys. mieszkańców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57521718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034CCFE2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powiat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65C5DD43" w14:textId="56126749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377E00D8" w14:textId="72C63E69" w:rsidTr="005A58A8">
        <w:trPr>
          <w:cantSplit/>
          <w:trHeight w:val="1976"/>
        </w:trPr>
        <w:tc>
          <w:tcPr>
            <w:tcW w:w="389" w:type="pct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1470E262" w14:textId="2060E03E" w:rsidR="002E467A" w:rsidRPr="00CE760A" w:rsidRDefault="002E467A" w:rsidP="00D259BB">
            <w:pPr>
              <w:ind w:left="113" w:right="113"/>
              <w:jc w:val="center"/>
              <w:rPr>
                <w:rFonts w:eastAsia="Calibri"/>
              </w:rPr>
            </w:pPr>
            <w:r w:rsidRPr="002E467A">
              <w:rPr>
                <w:rFonts w:eastAsia="Calibri"/>
              </w:rPr>
              <w:lastRenderedPageBreak/>
              <w:t>Działalność</w:t>
            </w: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6E5FC4AE" w14:textId="391C7994" w:rsidR="002E467A" w:rsidRPr="00CE760A" w:rsidRDefault="002E467A" w:rsidP="002E467A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8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6B09362D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podmiotów prowadzących:</w:t>
            </w:r>
          </w:p>
          <w:p w14:paraId="5B705D00" w14:textId="77777777" w:rsidR="002E467A" w:rsidRPr="00CE760A" w:rsidRDefault="002E467A" w:rsidP="00A47C12">
            <w:pPr>
              <w:numPr>
                <w:ilvl w:val="0"/>
                <w:numId w:val="14"/>
              </w:numPr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wyłącznie nieodpłatną działalność statutową,</w:t>
            </w:r>
          </w:p>
          <w:p w14:paraId="00AC9E33" w14:textId="77777777" w:rsidR="002E467A" w:rsidRPr="00CE760A" w:rsidRDefault="002E467A" w:rsidP="00A47C12">
            <w:pPr>
              <w:numPr>
                <w:ilvl w:val="0"/>
                <w:numId w:val="14"/>
              </w:numPr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statutową działalność odpłatną lub działalność gospodarczą w tym: statutową działalność odpłatną bez działalności gospodarczej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793DABCB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ogółem, w tym PS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4DF47D76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  <w:r w:rsidRPr="00CE760A" w:rsidDel="00BD6CD3">
              <w:rPr>
                <w:rFonts w:eastAsia="Calibri"/>
              </w:rPr>
              <w:t xml:space="preserve">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3A5531A3" w14:textId="42004927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5D5B2617" w14:textId="715E1ED7" w:rsidTr="005A58A8">
        <w:trPr>
          <w:cantSplit/>
          <w:trHeight w:val="572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07698BD8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45C482E7" w14:textId="49A9853F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1EDEA52C" w14:textId="77777777" w:rsidR="002E467A" w:rsidRPr="00CE760A" w:rsidRDefault="002E467A" w:rsidP="0054119E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5E7346E0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według rodzaju podmiotu, </w:t>
            </w:r>
          </w:p>
          <w:p w14:paraId="0772DA91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5C37A253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województwo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42D21C23" w14:textId="200334E9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6832F05F" w14:textId="118E3246" w:rsidTr="005A58A8">
        <w:trPr>
          <w:cantSplit/>
          <w:trHeight w:val="572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1F2E7318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4C2BEA3E" w14:textId="77269BA8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9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4BC6253D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PES prowadzących działalność gospodarczą lub odpłatną na 1 tys. zarejestrowanych przedsiębiorstw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0B8F7167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ogółem, w tym PS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18FE2089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podregion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172B6CD1" w14:textId="36119D05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0421B760" w14:textId="77FA490B" w:rsidTr="005A58A8">
        <w:trPr>
          <w:cantSplit/>
          <w:trHeight w:val="572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7244CD31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7A31D981" w14:textId="54022B52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65721502" w14:textId="77777777" w:rsidR="002E467A" w:rsidRPr="00CE760A" w:rsidRDefault="002E467A" w:rsidP="0054119E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649CE456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według rodzaju podmiotu, </w:t>
            </w:r>
          </w:p>
          <w:p w14:paraId="71F0A5AF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 tym PS</w:t>
            </w:r>
            <w:r w:rsidRPr="00CE760A" w:rsidDel="00BD6CD3">
              <w:rPr>
                <w:rFonts w:eastAsia="Calibri"/>
              </w:rPr>
              <w:t xml:space="preserve">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381120BD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  <w:r w:rsidRPr="00CE760A" w:rsidDel="00BD6CD3">
              <w:rPr>
                <w:rFonts w:eastAsia="Calibri"/>
              </w:rPr>
              <w:t xml:space="preserve">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57D110E6" w14:textId="5CC1A281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2F8CF798" w14:textId="0A822299" w:rsidTr="005A58A8">
        <w:trPr>
          <w:cantSplit/>
          <w:trHeight w:val="572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69698CF1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2247F835" w14:textId="5480B9ED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10</w:t>
            </w:r>
          </w:p>
        </w:tc>
        <w:tc>
          <w:tcPr>
            <w:tcW w:w="1681" w:type="pct"/>
            <w:shd w:val="clear" w:color="auto" w:fill="B8CCE4" w:themeFill="accent1" w:themeFillTint="66"/>
          </w:tcPr>
          <w:p w14:paraId="3E09E0EC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zarejestrowanych PES na 1 tys. zarejestrowanych podmiotów gospodarki narodowej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1C068525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według rodzaju podmiotu, </w:t>
            </w:r>
          </w:p>
          <w:p w14:paraId="412E93E3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32EC5531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powiat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3D75EF4B" w14:textId="0B8418F7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2FBF4B16" w14:textId="7069F46C" w:rsidTr="005A58A8">
        <w:trPr>
          <w:cantSplit/>
          <w:trHeight w:val="728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6643040E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6D6BF11C" w14:textId="1150DD35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11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610D9F9A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Formy działalności: </w:t>
            </w:r>
          </w:p>
          <w:p w14:paraId="62B0CE74" w14:textId="77777777" w:rsidR="002E467A" w:rsidRPr="00CE760A" w:rsidRDefault="002E467A" w:rsidP="00A47C12">
            <w:pPr>
              <w:numPr>
                <w:ilvl w:val="0"/>
                <w:numId w:val="11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Świadczenie usług</w:t>
            </w:r>
          </w:p>
          <w:p w14:paraId="33ED2D7B" w14:textId="77777777" w:rsidR="002E467A" w:rsidRPr="00CE760A" w:rsidRDefault="002E467A" w:rsidP="00A47C12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Bezpłatnych</w:t>
            </w:r>
          </w:p>
          <w:p w14:paraId="2CF68C65" w14:textId="77777777" w:rsidR="002E467A" w:rsidRPr="00CE760A" w:rsidRDefault="002E467A" w:rsidP="00A47C12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Płatnych</w:t>
            </w:r>
          </w:p>
          <w:p w14:paraId="0974C7D3" w14:textId="77777777" w:rsidR="002E467A" w:rsidRPr="00CE760A" w:rsidRDefault="002E467A" w:rsidP="00A47C12">
            <w:pPr>
              <w:numPr>
                <w:ilvl w:val="0"/>
                <w:numId w:val="11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Wsparcie materialne</w:t>
            </w:r>
          </w:p>
          <w:p w14:paraId="6022A7EB" w14:textId="77777777" w:rsidR="002E467A" w:rsidRPr="00CE760A" w:rsidRDefault="002E467A" w:rsidP="00A47C12">
            <w:pPr>
              <w:numPr>
                <w:ilvl w:val="0"/>
                <w:numId w:val="11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Wytwarzanie towarów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2C90BA0A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</w:p>
          <w:p w14:paraId="473DD90A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ogółem, w tym PS</w:t>
            </w:r>
          </w:p>
          <w:p w14:paraId="2ABC3272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</w:p>
        </w:tc>
        <w:tc>
          <w:tcPr>
            <w:tcW w:w="772" w:type="pct"/>
            <w:vMerge w:val="restart"/>
            <w:shd w:val="clear" w:color="auto" w:fill="B8CCE4" w:themeFill="accent1" w:themeFillTint="66"/>
            <w:vAlign w:val="center"/>
          </w:tcPr>
          <w:p w14:paraId="10E802C7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2BD2CDD2" w14:textId="65BE76FF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5E2FF391" w14:textId="512EAB0F" w:rsidTr="005A58A8">
        <w:trPr>
          <w:cantSplit/>
          <w:trHeight w:val="728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6D60871D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7D958509" w14:textId="33FF8A11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6C1DB110" w14:textId="77777777" w:rsidR="002E467A" w:rsidRPr="00CE760A" w:rsidRDefault="002E467A" w:rsidP="0054119E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4A1EAA53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</w:t>
            </w:r>
          </w:p>
        </w:tc>
        <w:tc>
          <w:tcPr>
            <w:tcW w:w="772" w:type="pct"/>
            <w:vMerge/>
            <w:shd w:val="clear" w:color="auto" w:fill="B8CCE4" w:themeFill="accent1" w:themeFillTint="66"/>
            <w:vAlign w:val="center"/>
          </w:tcPr>
          <w:p w14:paraId="15790134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</w:p>
        </w:tc>
        <w:tc>
          <w:tcPr>
            <w:tcW w:w="652" w:type="pct"/>
            <w:shd w:val="clear" w:color="auto" w:fill="B8CCE4" w:themeFill="accent1" w:themeFillTint="66"/>
          </w:tcPr>
          <w:p w14:paraId="06653A04" w14:textId="56E8087A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6BC6060E" w14:textId="746F5D94" w:rsidTr="005A58A8">
        <w:trPr>
          <w:cantSplit/>
          <w:trHeight w:val="382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5EB9557A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4255CA5D" w14:textId="2B2C54AE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12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  <w:vAlign w:val="center"/>
          </w:tcPr>
          <w:p w14:paraId="704125ED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Główna branża </w:t>
            </w:r>
          </w:p>
        </w:tc>
        <w:tc>
          <w:tcPr>
            <w:tcW w:w="1114" w:type="pct"/>
            <w:shd w:val="clear" w:color="auto" w:fill="B8CCE4" w:themeFill="accent1" w:themeFillTint="66"/>
          </w:tcPr>
          <w:p w14:paraId="0E58F4A1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ogółem, w tym PS</w:t>
            </w:r>
            <w:r w:rsidRPr="00CE760A" w:rsidDel="007C08C7">
              <w:rPr>
                <w:rFonts w:eastAsia="Calibri"/>
              </w:rPr>
              <w:t xml:space="preserve">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05AD7DF6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podregion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6F65E475" w14:textId="1E9A031E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5F371EE2" w14:textId="32FA59B6" w:rsidTr="005A58A8">
        <w:trPr>
          <w:cantSplit/>
          <w:trHeight w:val="371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325FB151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74B79BB8" w14:textId="071100FD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42DDCDBE" w14:textId="77777777" w:rsidR="002E467A" w:rsidRPr="00CE760A" w:rsidRDefault="002E467A" w:rsidP="0054119E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</w:tcPr>
          <w:p w14:paraId="522ABB14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</w:t>
            </w:r>
            <w:r w:rsidRPr="00CE760A" w:rsidDel="007C08C7">
              <w:rPr>
                <w:rFonts w:eastAsia="Calibri"/>
              </w:rPr>
              <w:t xml:space="preserve">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4C57CBED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  <w:r w:rsidRPr="00CE760A" w:rsidDel="007C08C7">
              <w:rPr>
                <w:rFonts w:eastAsia="Calibri"/>
              </w:rPr>
              <w:t xml:space="preserve">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495062AC" w14:textId="157664BA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08835FB4" w14:textId="2BE64C3C" w:rsidTr="005A58A8">
        <w:trPr>
          <w:cantSplit/>
          <w:trHeight w:val="440"/>
        </w:trPr>
        <w:tc>
          <w:tcPr>
            <w:tcW w:w="389" w:type="pct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6B203D85" w14:textId="6D99811E" w:rsidR="002E467A" w:rsidRPr="00CE760A" w:rsidRDefault="002E467A" w:rsidP="00D259BB">
            <w:pPr>
              <w:ind w:left="113" w:right="113"/>
              <w:jc w:val="center"/>
              <w:rPr>
                <w:rFonts w:eastAsia="Calibri"/>
              </w:rPr>
            </w:pPr>
            <w:r w:rsidRPr="002E467A">
              <w:rPr>
                <w:rFonts w:eastAsia="Calibri"/>
              </w:rPr>
              <w:t>Zatrudnienie, wynagrodzenie, uczestnictwo</w:t>
            </w: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42AE3678" w14:textId="1C224E3D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13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306C7190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osób zatrudnionych w PES na podstawie stosunku pracy (w tym: kobiety i osoby  niepełnosprawne)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4B4D5E3B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ogółem,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7224CAC2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3D0754EA" w14:textId="7A02EA57" w:rsidR="002E467A" w:rsidRPr="00CE760A" w:rsidRDefault="004C470D" w:rsidP="0054119E">
            <w:pPr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3F90E4F9" w14:textId="5D517AE9" w:rsidTr="005A58A8">
        <w:trPr>
          <w:cantSplit/>
          <w:trHeight w:val="696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41B669D3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6900ADF9" w14:textId="4EE4FC78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5A1F241D" w14:textId="77777777" w:rsidR="002E467A" w:rsidRPr="00CE760A" w:rsidRDefault="002E467A" w:rsidP="0054119E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77B953A2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1BCA6BA9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19E517AF" w14:textId="5CE50357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77A0A92B" w14:textId="04CA62A7" w:rsidTr="005A58A8">
        <w:trPr>
          <w:cantSplit/>
          <w:trHeight w:val="393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2F9553C8" w14:textId="77777777" w:rsidR="002E467A" w:rsidRPr="00CE760A" w:rsidRDefault="002E467A" w:rsidP="0054119E">
            <w:pPr>
              <w:jc w:val="both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6962B546" w14:textId="0E06A284" w:rsidR="002E467A" w:rsidRPr="00CE760A" w:rsidRDefault="002E467A" w:rsidP="0054119E">
            <w:pPr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14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0AD12E87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osób zatrudnionych w PES na pełen etat (w tym: kobiety i osoby niepełnosprawne)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15F29A55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ogółem,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17176594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63375E7B" w14:textId="58BE04A2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2EE43ED9" w14:textId="5E308F44" w:rsidTr="005A58A8">
        <w:trPr>
          <w:cantSplit/>
          <w:trHeight w:val="59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5B2BBCA5" w14:textId="77777777" w:rsidR="002E467A" w:rsidRPr="00CE760A" w:rsidRDefault="002E467A" w:rsidP="0054119E">
            <w:pPr>
              <w:jc w:val="both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714BB818" w14:textId="0EBBF17B" w:rsidR="002E467A" w:rsidRPr="00CE760A" w:rsidRDefault="002E467A" w:rsidP="0054119E">
            <w:pPr>
              <w:jc w:val="both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00E264DD" w14:textId="77777777" w:rsidR="002E467A" w:rsidRPr="00CE760A" w:rsidRDefault="002E467A" w:rsidP="0054119E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08441462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36CE9984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07F503D7" w14:textId="0CC4A780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3B822421" w14:textId="5DA1044E" w:rsidTr="005A58A8">
        <w:trPr>
          <w:cantSplit/>
          <w:trHeight w:val="69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318BCD63" w14:textId="77777777" w:rsidR="002E467A" w:rsidRPr="00CE760A" w:rsidRDefault="002E467A" w:rsidP="0054119E">
            <w:pPr>
              <w:jc w:val="both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4A7F5871" w14:textId="37F0F24A" w:rsidR="002E467A" w:rsidRPr="00CE760A" w:rsidRDefault="002E467A" w:rsidP="0054119E">
            <w:pPr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15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1270C850" w14:textId="77777777" w:rsidR="002E467A" w:rsidRPr="00CE760A" w:rsidDel="007C08C7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osób zatrudnionych na podstawie umów cywilnoprawnych,  dla których PES są głównym miejscem pracy (w tym: kobiety i osoby niepełnosprawne)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0BC14FB3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ogółem,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121B4711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052EFCD5" w14:textId="6F5A9B82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387FF712" w14:textId="76A61858" w:rsidTr="005A58A8">
        <w:trPr>
          <w:cantSplit/>
          <w:trHeight w:val="88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1D2F3C98" w14:textId="77777777" w:rsidR="002E467A" w:rsidRPr="00CE760A" w:rsidRDefault="002E467A" w:rsidP="0054119E">
            <w:pPr>
              <w:jc w:val="both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3BE9D7D2" w14:textId="5B5313E6" w:rsidR="002E467A" w:rsidRPr="00CE760A" w:rsidRDefault="002E467A" w:rsidP="0054119E">
            <w:pPr>
              <w:jc w:val="both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15096DCE" w14:textId="77777777" w:rsidR="002E467A" w:rsidRPr="00CE760A" w:rsidRDefault="002E467A" w:rsidP="0054119E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25C63B80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40E551CD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5D00E52C" w14:textId="020CCB68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31696612" w14:textId="0664B6E8" w:rsidTr="005A58A8">
        <w:trPr>
          <w:cantSplit/>
          <w:trHeight w:val="327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484C8F0D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5C4092B6" w14:textId="3834451F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16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344941DC" w14:textId="77777777" w:rsidR="002E467A" w:rsidRPr="00CE760A" w:rsidRDefault="002E467A" w:rsidP="0054119E">
            <w:pPr>
              <w:rPr>
                <w:rFonts w:eastAsia="Calibri"/>
                <w:strike/>
              </w:rPr>
            </w:pPr>
            <w:r w:rsidRPr="00CE760A">
              <w:rPr>
                <w:rFonts w:eastAsia="Calibri"/>
              </w:rPr>
              <w:t>Liczba osób zatrudnionych w PES na podstawie stosunku pracy w stosunku do wszystkich zatrudnionych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7970646B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67C9525B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60C9A7AA" w14:textId="3FE40DF4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27EC151D" w14:textId="3332063E" w:rsidTr="005A58A8">
        <w:trPr>
          <w:cantSplit/>
          <w:trHeight w:val="628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1DE118D2" w14:textId="77777777" w:rsidR="002E467A" w:rsidRPr="00CE760A" w:rsidRDefault="002E467A" w:rsidP="0054119E">
            <w:pPr>
              <w:jc w:val="center"/>
              <w:rPr>
                <w:rFonts w:eastAsia="Calibri"/>
                <w:strike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70DB17F9" w14:textId="3C18C8EE" w:rsidR="002E467A" w:rsidRPr="00CE760A" w:rsidRDefault="002E467A" w:rsidP="0054119E">
            <w:pPr>
              <w:jc w:val="center"/>
              <w:rPr>
                <w:rFonts w:eastAsia="Calibri"/>
                <w:strike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2033A272" w14:textId="77777777" w:rsidR="002E467A" w:rsidRPr="00CE760A" w:rsidRDefault="002E467A" w:rsidP="0054119E">
            <w:pPr>
              <w:rPr>
                <w:rFonts w:eastAsia="Calibri"/>
                <w:strike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77EBB3F8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28643904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21263811" w14:textId="2AF813D3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10D6C008" w14:textId="524198D9" w:rsidTr="005A58A8">
        <w:trPr>
          <w:cantSplit/>
          <w:trHeight w:val="416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1844A2C3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488AAAC0" w14:textId="5F81F945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16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  <w:vAlign w:val="center"/>
          </w:tcPr>
          <w:p w14:paraId="0AC56929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podmiotów korzystających z pracy płatnej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52600277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ogółem, w tym PS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484B6E64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podregion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3991B145" w14:textId="0A1D4964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49E54F6C" w14:textId="254A883F" w:rsidTr="005A58A8">
        <w:trPr>
          <w:cantSplit/>
          <w:trHeight w:val="357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4AC1B89F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05BC975A" w14:textId="1C24CC63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  <w:vAlign w:val="center"/>
          </w:tcPr>
          <w:p w14:paraId="2F070F98" w14:textId="77777777" w:rsidR="002E467A" w:rsidRPr="00CE760A" w:rsidRDefault="002E467A" w:rsidP="0054119E">
            <w:pPr>
              <w:rPr>
                <w:rFonts w:eastAsia="Calibri"/>
                <w:strike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3CEE0107" w14:textId="77777777" w:rsidR="002E467A" w:rsidRPr="00CE760A" w:rsidDel="00C5632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11AA35F9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  <w:r w:rsidRPr="00CE760A" w:rsidDel="00F26F49">
              <w:rPr>
                <w:rFonts w:eastAsia="Calibri"/>
              </w:rPr>
              <w:t xml:space="preserve">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3759AD1B" w14:textId="20953C99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4209596A" w14:textId="0652C4F2" w:rsidTr="005A58A8">
        <w:trPr>
          <w:cantSplit/>
          <w:trHeight w:val="357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69BCC39B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068F0839" w14:textId="04D4909E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17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  <w:vAlign w:val="center"/>
          </w:tcPr>
          <w:p w14:paraId="383B28BB" w14:textId="77777777" w:rsidR="002E467A" w:rsidRPr="00CE760A" w:rsidRDefault="002E467A" w:rsidP="0054119E">
            <w:pPr>
              <w:rPr>
                <w:rFonts w:eastAsia="Calibri"/>
                <w:strike/>
              </w:rPr>
            </w:pPr>
            <w:r w:rsidRPr="00CE760A">
              <w:rPr>
                <w:rFonts w:eastAsia="Calibri"/>
              </w:rPr>
              <w:t>Liczba podmiotów korzystających z pracy etatowej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50966659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ogółem, w tym PS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34E14B0F" w14:textId="77777777" w:rsidR="002E467A" w:rsidRPr="00CE760A" w:rsidDel="00C5632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podregion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305A2D1D" w14:textId="18428710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432209CA" w14:textId="0E818A07" w:rsidTr="005A58A8">
        <w:trPr>
          <w:cantSplit/>
          <w:trHeight w:val="357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3174356A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5CAFB555" w14:textId="09A8F2B8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  <w:vAlign w:val="center"/>
          </w:tcPr>
          <w:p w14:paraId="5BCC7816" w14:textId="77777777" w:rsidR="002E467A" w:rsidRPr="00CE760A" w:rsidRDefault="002E467A" w:rsidP="0054119E">
            <w:pPr>
              <w:rPr>
                <w:rFonts w:eastAsia="Calibri"/>
                <w:strike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4E27C7A5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6722F51B" w14:textId="77777777" w:rsidR="002E467A" w:rsidRPr="00CE760A" w:rsidDel="00C5632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  <w:r w:rsidRPr="00CE760A" w:rsidDel="00F26F49">
              <w:rPr>
                <w:rFonts w:eastAsia="Calibri"/>
              </w:rPr>
              <w:t xml:space="preserve">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1A98F5E1" w14:textId="4B441D3F" w:rsidR="002E467A" w:rsidRPr="00CE760A" w:rsidRDefault="004C470D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4D11E0C9" w14:textId="791D6937" w:rsidTr="005A58A8">
        <w:trPr>
          <w:cantSplit/>
          <w:trHeight w:val="417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639D27D2" w14:textId="77777777" w:rsidR="002E467A" w:rsidRPr="00CE760A" w:rsidRDefault="002E467A" w:rsidP="0054119E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6D9531EE" w14:textId="523202AA" w:rsidR="002E467A" w:rsidRPr="00CE760A" w:rsidRDefault="002E467A" w:rsidP="0054119E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18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  <w:vAlign w:val="center"/>
          </w:tcPr>
          <w:p w14:paraId="0FA95BF1" w14:textId="77777777" w:rsidR="002E467A" w:rsidRPr="00CE760A" w:rsidRDefault="002E467A" w:rsidP="0054119E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Wysokość przeciętnego miesięcznego wynagrodzenia pracowników etatowych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6F38F65A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774FD7AC" w14:textId="77777777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785A50D2" w14:textId="056D8C43" w:rsidR="002E467A" w:rsidRPr="00CE760A" w:rsidRDefault="002E467A" w:rsidP="0054119E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 zł</w:t>
            </w:r>
          </w:p>
        </w:tc>
      </w:tr>
      <w:tr w:rsidR="002E467A" w:rsidRPr="00CE760A" w14:paraId="3DCE5390" w14:textId="3BDB9395" w:rsidTr="005A58A8">
        <w:trPr>
          <w:cantSplit/>
          <w:trHeight w:val="61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6599F4BC" w14:textId="77777777" w:rsidR="002E467A" w:rsidRPr="00CE760A" w:rsidRDefault="002E467A" w:rsidP="00CF08D4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3383993F" w14:textId="1F0D8AFE" w:rsidR="002E467A" w:rsidRPr="00CE760A" w:rsidRDefault="002E467A" w:rsidP="00CF08D4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  <w:vAlign w:val="center"/>
          </w:tcPr>
          <w:p w14:paraId="5A9ACB7E" w14:textId="77777777" w:rsidR="002E467A" w:rsidRPr="00CE760A" w:rsidRDefault="002E467A" w:rsidP="00CF08D4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7F7D9728" w14:textId="77777777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101CD970" w14:textId="77777777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71B98861" w14:textId="41356E1D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 zł</w:t>
            </w:r>
          </w:p>
        </w:tc>
      </w:tr>
      <w:tr w:rsidR="002E467A" w:rsidRPr="00CE760A" w14:paraId="0258A3A6" w14:textId="75B1D57D" w:rsidTr="005A58A8">
        <w:trPr>
          <w:cantSplit/>
          <w:trHeight w:val="1734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0B8B6AC3" w14:textId="77777777" w:rsidR="002E467A" w:rsidRPr="00CE760A" w:rsidRDefault="002E467A" w:rsidP="00CF08D4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57E1855A" w14:textId="5E4EAE8E" w:rsidR="002E467A" w:rsidRPr="00CE760A" w:rsidRDefault="002E467A" w:rsidP="00CF08D4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19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01C5A7EA" w14:textId="77777777" w:rsidR="002E467A" w:rsidRPr="00CE760A" w:rsidRDefault="002E467A" w:rsidP="00CF08D4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uczestników jednostek reintegracyjnych (w tym: osoby niepełnosprawne)</w:t>
            </w:r>
          </w:p>
          <w:p w14:paraId="16C763CC" w14:textId="77777777" w:rsidR="002E467A" w:rsidRPr="00CE760A" w:rsidRDefault="002E467A" w:rsidP="00CF08D4">
            <w:pPr>
              <w:numPr>
                <w:ilvl w:val="0"/>
                <w:numId w:val="15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CIS</w:t>
            </w:r>
          </w:p>
          <w:p w14:paraId="7A4C4DE5" w14:textId="77777777" w:rsidR="002E467A" w:rsidRPr="00CE760A" w:rsidRDefault="002E467A" w:rsidP="00CF08D4">
            <w:pPr>
              <w:numPr>
                <w:ilvl w:val="0"/>
                <w:numId w:val="15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KIS</w:t>
            </w:r>
          </w:p>
          <w:p w14:paraId="5C55314B" w14:textId="77777777" w:rsidR="002E467A" w:rsidRPr="00CE760A" w:rsidRDefault="002E467A" w:rsidP="00CF08D4">
            <w:pPr>
              <w:numPr>
                <w:ilvl w:val="0"/>
                <w:numId w:val="15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WTZ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4B50E1B0" w14:textId="77777777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  <w:r w:rsidRPr="00CE760A" w:rsidDel="00962F9E">
              <w:rPr>
                <w:rFonts w:eastAsia="Calibri"/>
              </w:rPr>
              <w:t xml:space="preserve">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78EEF5CD" w14:textId="77777777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42581E1C" w14:textId="0F7801C5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osoba</w:t>
            </w:r>
          </w:p>
        </w:tc>
      </w:tr>
      <w:tr w:rsidR="002E467A" w:rsidRPr="00CE760A" w14:paraId="0FE0319E" w14:textId="49880232" w:rsidTr="005A58A8">
        <w:trPr>
          <w:cantSplit/>
          <w:trHeight w:val="114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4411623F" w14:textId="77777777" w:rsidR="002E467A" w:rsidRPr="00CE760A" w:rsidRDefault="002E467A" w:rsidP="00CF08D4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72CB52B9" w14:textId="7E8B60E6" w:rsidR="002E467A" w:rsidRPr="00CE760A" w:rsidRDefault="002E467A" w:rsidP="00CF08D4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20</w:t>
            </w:r>
          </w:p>
        </w:tc>
        <w:tc>
          <w:tcPr>
            <w:tcW w:w="1681" w:type="pct"/>
            <w:shd w:val="clear" w:color="auto" w:fill="B8CCE4" w:themeFill="accent1" w:themeFillTint="66"/>
          </w:tcPr>
          <w:p w14:paraId="7D316942" w14:textId="77777777" w:rsidR="002E467A" w:rsidRPr="00CE760A" w:rsidRDefault="002E467A" w:rsidP="00CF08D4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osób zatrudnionych w ZAZ na podstawie stosunku pracy (w tym: osoby niepełnosprawne według stopnia niepełnosprawności).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6B9FF219" w14:textId="77777777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  <w:r w:rsidRPr="00CE760A" w:rsidDel="00962F9E">
              <w:rPr>
                <w:rFonts w:eastAsia="Calibri"/>
              </w:rPr>
              <w:t xml:space="preserve">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7217A34A" w14:textId="77777777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01C912D5" w14:textId="4C9A5B01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osoba</w:t>
            </w:r>
          </w:p>
        </w:tc>
      </w:tr>
      <w:tr w:rsidR="002E467A" w:rsidRPr="00CE760A" w14:paraId="2733909C" w14:textId="19E4209D" w:rsidTr="005A58A8">
        <w:trPr>
          <w:cantSplit/>
          <w:trHeight w:val="1129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277F76C2" w14:textId="77777777" w:rsidR="002E467A" w:rsidRPr="00CE760A" w:rsidRDefault="002E467A" w:rsidP="00CF08D4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667FCB90" w14:textId="69F2ED1E" w:rsidR="002E467A" w:rsidRPr="00CE760A" w:rsidRDefault="002E467A" w:rsidP="00CF08D4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21</w:t>
            </w:r>
          </w:p>
        </w:tc>
        <w:tc>
          <w:tcPr>
            <w:tcW w:w="1681" w:type="pct"/>
            <w:shd w:val="clear" w:color="auto" w:fill="B8CCE4" w:themeFill="accent1" w:themeFillTint="66"/>
          </w:tcPr>
          <w:p w14:paraId="4FB14EDE" w14:textId="77777777" w:rsidR="002E467A" w:rsidRPr="00CE760A" w:rsidRDefault="002E467A" w:rsidP="00CF08D4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osób zatrudnionych w ZAZ  w przeliczeniu na pełne etaty (w tym: osób niepełnosprawnych według stopnia niepełnosprawności)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602B88A4" w14:textId="77777777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  <w:r w:rsidRPr="00CE760A" w:rsidDel="00962F9E">
              <w:rPr>
                <w:rFonts w:eastAsia="Calibri"/>
              </w:rPr>
              <w:t xml:space="preserve">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0125EE4C" w14:textId="77777777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5FC3F975" w14:textId="6CDD9307" w:rsidR="002E467A" w:rsidRPr="00CE760A" w:rsidRDefault="002E467A" w:rsidP="00CF08D4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osoba</w:t>
            </w:r>
          </w:p>
        </w:tc>
      </w:tr>
      <w:tr w:rsidR="002E467A" w:rsidRPr="00CE760A" w14:paraId="68A097F8" w14:textId="77777777" w:rsidTr="005A58A8">
        <w:trPr>
          <w:cantSplit/>
          <w:trHeight w:val="1194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594E19F1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71F7F163" w14:textId="5FFBC8AA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22</w:t>
            </w:r>
          </w:p>
        </w:tc>
        <w:tc>
          <w:tcPr>
            <w:tcW w:w="1681" w:type="pct"/>
            <w:shd w:val="clear" w:color="auto" w:fill="B8CCE4" w:themeFill="accent1" w:themeFillTint="66"/>
          </w:tcPr>
          <w:p w14:paraId="1E35926C" w14:textId="77777777" w:rsidR="002E467A" w:rsidRPr="00FE19B7" w:rsidRDefault="002E467A" w:rsidP="00FE19B7">
            <w:pPr>
              <w:rPr>
                <w:rFonts w:eastAsia="Calibri"/>
              </w:rPr>
            </w:pPr>
            <w:r w:rsidRPr="00FE19B7">
              <w:rPr>
                <w:rFonts w:eastAsia="Calibri"/>
              </w:rPr>
              <w:t>Liczba miejsc pracy utworzonych w PS ze środków:</w:t>
            </w:r>
          </w:p>
          <w:p w14:paraId="083EF255" w14:textId="77777777" w:rsidR="002E467A" w:rsidRPr="00FE19B7" w:rsidRDefault="002E467A" w:rsidP="00FE19B7">
            <w:pPr>
              <w:rPr>
                <w:rFonts w:eastAsia="Calibri"/>
              </w:rPr>
            </w:pPr>
            <w:r w:rsidRPr="00FE19B7">
              <w:rPr>
                <w:rFonts w:eastAsia="Calibri"/>
              </w:rPr>
              <w:t>a)</w:t>
            </w:r>
            <w:r w:rsidRPr="00FE19B7">
              <w:rPr>
                <w:rFonts w:eastAsia="Calibri"/>
              </w:rPr>
              <w:tab/>
              <w:t>EFS</w:t>
            </w:r>
          </w:p>
          <w:p w14:paraId="71E36A16" w14:textId="77777777" w:rsidR="002E467A" w:rsidRPr="00FE19B7" w:rsidRDefault="002E467A" w:rsidP="00FE19B7">
            <w:pPr>
              <w:rPr>
                <w:rFonts w:eastAsia="Calibri"/>
              </w:rPr>
            </w:pPr>
            <w:r w:rsidRPr="00FE19B7">
              <w:rPr>
                <w:rFonts w:eastAsia="Calibri"/>
              </w:rPr>
              <w:t>b)</w:t>
            </w:r>
            <w:r w:rsidRPr="00FE19B7">
              <w:rPr>
                <w:rFonts w:eastAsia="Calibri"/>
              </w:rPr>
              <w:tab/>
              <w:t>Funduszu Pracy</w:t>
            </w:r>
          </w:p>
          <w:p w14:paraId="4FF45801" w14:textId="3C69CB93" w:rsidR="002E467A" w:rsidRPr="00CE760A" w:rsidRDefault="002E467A" w:rsidP="00FE19B7">
            <w:pPr>
              <w:rPr>
                <w:rFonts w:eastAsia="Calibri"/>
              </w:rPr>
            </w:pPr>
            <w:r w:rsidRPr="00FE19B7">
              <w:rPr>
                <w:rFonts w:eastAsia="Calibri"/>
              </w:rPr>
              <w:t>c)</w:t>
            </w:r>
            <w:r w:rsidRPr="00FE19B7">
              <w:rPr>
                <w:rFonts w:eastAsia="Calibri"/>
              </w:rPr>
              <w:tab/>
              <w:t>PFRON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6BE0EDB6" w14:textId="0631451C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ogółem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2F0C46AB" w14:textId="2EAE08F6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FE19B7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04FFE92A" w14:textId="332F2645" w:rsidR="002E467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7DFA14DD" w14:textId="7C45E6DA" w:rsidTr="005A58A8">
        <w:trPr>
          <w:cantSplit/>
          <w:trHeight w:val="444"/>
        </w:trPr>
        <w:tc>
          <w:tcPr>
            <w:tcW w:w="389" w:type="pct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305B92B9" w14:textId="17E1DBD6" w:rsidR="002E467A" w:rsidRPr="00CE760A" w:rsidRDefault="002E467A" w:rsidP="00D259BB">
            <w:pPr>
              <w:ind w:left="113" w:right="113"/>
              <w:jc w:val="center"/>
              <w:rPr>
                <w:rFonts w:eastAsia="Calibri"/>
              </w:rPr>
            </w:pPr>
            <w:r w:rsidRPr="002E467A">
              <w:rPr>
                <w:rFonts w:eastAsia="Calibri"/>
              </w:rPr>
              <w:t>Koszty, przychody, nadwyżka</w:t>
            </w: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0C1B565D" w14:textId="244619E1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  <w:p w14:paraId="1CCF0D83" w14:textId="0FCCDE44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23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4E4622B6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Średnia wysokość przychodów ogółem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73AE6E9A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05D6013C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20B621DF" w14:textId="7546FF0C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 zł</w:t>
            </w:r>
          </w:p>
        </w:tc>
      </w:tr>
      <w:tr w:rsidR="002E467A" w:rsidRPr="00CE760A" w14:paraId="36E5599E" w14:textId="063E386A" w:rsidTr="005A58A8">
        <w:trPr>
          <w:cantSplit/>
          <w:trHeight w:val="47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7D4DFE0C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4821D65D" w14:textId="44188FB5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552984A0" w14:textId="77777777" w:rsidR="002E467A" w:rsidRPr="00CE760A" w:rsidRDefault="002E467A" w:rsidP="00FE19B7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34D1DBF9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podmiotu, w tym PS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71F09DDF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1C06EA2A" w14:textId="6F83C04C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 zł</w:t>
            </w:r>
          </w:p>
        </w:tc>
      </w:tr>
      <w:tr w:rsidR="002E467A" w:rsidRPr="00CE760A" w14:paraId="7D62E336" w14:textId="505214D0" w:rsidTr="005A58A8">
        <w:trPr>
          <w:cantSplit/>
          <w:trHeight w:val="548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1B2DE8D2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24FC55DB" w14:textId="341816C2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  <w:p w14:paraId="332D8FE0" w14:textId="7F7671CB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24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  <w:vAlign w:val="center"/>
          </w:tcPr>
          <w:p w14:paraId="75F540B0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Średnie koszty działalności ogółem</w:t>
            </w:r>
          </w:p>
          <w:p w14:paraId="5CBFA89B" w14:textId="77777777" w:rsidR="002E467A" w:rsidRPr="00CE760A" w:rsidRDefault="002E467A" w:rsidP="00FE19B7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</w:tcPr>
          <w:p w14:paraId="3FB42823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ogółem, w tym PS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7D749AC8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podregion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77F55B4E" w14:textId="4CBB754D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 zł</w:t>
            </w:r>
          </w:p>
        </w:tc>
      </w:tr>
      <w:tr w:rsidR="002E467A" w:rsidRPr="00CE760A" w14:paraId="625D4240" w14:textId="1ABCC72F" w:rsidTr="005A58A8">
        <w:trPr>
          <w:cantSplit/>
          <w:trHeight w:val="446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5CCE0DA8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65FC0EB4" w14:textId="4B4979AF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11CD06FB" w14:textId="77777777" w:rsidR="002E467A" w:rsidRPr="00CE760A" w:rsidRDefault="002E467A" w:rsidP="00FE19B7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</w:tcPr>
          <w:p w14:paraId="01917AC4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podmiotu, w tym PS</w:t>
            </w:r>
            <w:r w:rsidRPr="00CE760A" w:rsidDel="00397E15">
              <w:rPr>
                <w:rFonts w:eastAsia="Calibri"/>
              </w:rPr>
              <w:t xml:space="preserve">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451F71CB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  <w:r w:rsidRPr="00CE760A" w:rsidDel="00397E15">
              <w:rPr>
                <w:rFonts w:eastAsia="Calibri"/>
              </w:rPr>
              <w:t xml:space="preserve"> 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573215B0" w14:textId="2629741E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 zł</w:t>
            </w:r>
          </w:p>
        </w:tc>
      </w:tr>
      <w:tr w:rsidR="002E467A" w:rsidRPr="00CE760A" w14:paraId="7F6A53FB" w14:textId="3776E2F2" w:rsidTr="005A58A8">
        <w:trPr>
          <w:cantSplit/>
          <w:trHeight w:val="400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50265E72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1CBEC2B3" w14:textId="67EED320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25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  <w:vAlign w:val="center"/>
          </w:tcPr>
          <w:p w14:paraId="5D400599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podmiotów wykazujących nadwyżkę finansową</w:t>
            </w:r>
          </w:p>
        </w:tc>
        <w:tc>
          <w:tcPr>
            <w:tcW w:w="1114" w:type="pct"/>
            <w:shd w:val="clear" w:color="auto" w:fill="B8CCE4" w:themeFill="accent1" w:themeFillTint="66"/>
          </w:tcPr>
          <w:p w14:paraId="7C239DBD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ogółem, w tym PS</w:t>
            </w:r>
          </w:p>
        </w:tc>
        <w:tc>
          <w:tcPr>
            <w:tcW w:w="772" w:type="pct"/>
            <w:shd w:val="clear" w:color="auto" w:fill="B8CCE4" w:themeFill="accent1" w:themeFillTint="66"/>
          </w:tcPr>
          <w:p w14:paraId="7D674FB8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66ED27DE" w14:textId="0F22C8B7" w:rsidR="002E467A" w:rsidRPr="00CE760A" w:rsidRDefault="004C470D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2677364B" w14:textId="331F5434" w:rsidTr="005A58A8">
        <w:trPr>
          <w:cantSplit/>
          <w:trHeight w:val="236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4C26B711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741C37E7" w14:textId="6B0223DD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7999894F" w14:textId="77777777" w:rsidR="002E467A" w:rsidRPr="00CE760A" w:rsidRDefault="002E467A" w:rsidP="00FE19B7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</w:tcPr>
          <w:p w14:paraId="12358739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według rodzaju podmiotu, </w:t>
            </w:r>
          </w:p>
        </w:tc>
        <w:tc>
          <w:tcPr>
            <w:tcW w:w="772" w:type="pct"/>
            <w:shd w:val="clear" w:color="auto" w:fill="B8CCE4" w:themeFill="accent1" w:themeFillTint="66"/>
          </w:tcPr>
          <w:p w14:paraId="2A91625C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53EE1F96" w14:textId="447ACB41" w:rsidR="002E467A" w:rsidRPr="00CE760A" w:rsidRDefault="004C470D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5083A56C" w14:textId="713EAF61" w:rsidTr="005A58A8">
        <w:trPr>
          <w:cantSplit/>
          <w:trHeight w:val="356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21896548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0616A5A7" w14:textId="0449E2AB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26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  <w:vAlign w:val="center"/>
          </w:tcPr>
          <w:p w14:paraId="2DDDA30E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Średnia wysokość nadwyżki finansowej</w:t>
            </w:r>
          </w:p>
        </w:tc>
        <w:tc>
          <w:tcPr>
            <w:tcW w:w="1114" w:type="pct"/>
            <w:shd w:val="clear" w:color="auto" w:fill="B8CCE4" w:themeFill="accent1" w:themeFillTint="66"/>
          </w:tcPr>
          <w:p w14:paraId="2AC50A15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ogółem, w tym PS</w:t>
            </w:r>
          </w:p>
        </w:tc>
        <w:tc>
          <w:tcPr>
            <w:tcW w:w="772" w:type="pct"/>
            <w:shd w:val="clear" w:color="auto" w:fill="B8CCE4" w:themeFill="accent1" w:themeFillTint="66"/>
          </w:tcPr>
          <w:p w14:paraId="642091BB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0CDB200A" w14:textId="1055DD59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 zł</w:t>
            </w:r>
          </w:p>
        </w:tc>
      </w:tr>
      <w:tr w:rsidR="002E467A" w:rsidRPr="00CE760A" w14:paraId="03959A67" w14:textId="4D68E697" w:rsidTr="005A58A8">
        <w:trPr>
          <w:cantSplit/>
          <w:trHeight w:val="573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1244A524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4A44585D" w14:textId="2EFF469C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3AFEBE2E" w14:textId="77777777" w:rsidR="002E467A" w:rsidRPr="00CE760A" w:rsidRDefault="002E467A" w:rsidP="00FE19B7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</w:tcPr>
          <w:p w14:paraId="59D2AEBF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podmiotu, w tym PS</w:t>
            </w:r>
          </w:p>
        </w:tc>
        <w:tc>
          <w:tcPr>
            <w:tcW w:w="772" w:type="pct"/>
            <w:shd w:val="clear" w:color="auto" w:fill="B8CCE4" w:themeFill="accent1" w:themeFillTint="66"/>
          </w:tcPr>
          <w:p w14:paraId="0286AC88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4C630938" w14:textId="7BE407DA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 zł</w:t>
            </w:r>
          </w:p>
        </w:tc>
      </w:tr>
      <w:tr w:rsidR="002E467A" w:rsidRPr="00CE760A" w14:paraId="1927E818" w14:textId="0E65856F" w:rsidTr="005A58A8">
        <w:trPr>
          <w:cantSplit/>
          <w:trHeight w:val="732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4481F5A6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49C6C76D" w14:textId="6E802114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27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69DD8616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podmiotów uzyskujących przychody ze środków publicznych (w tym ze źródeł UE) w tym:</w:t>
            </w:r>
          </w:p>
          <w:p w14:paraId="726DE849" w14:textId="77777777" w:rsidR="002E467A" w:rsidRPr="00CE760A" w:rsidRDefault="002E467A" w:rsidP="00FE19B7">
            <w:pPr>
              <w:numPr>
                <w:ilvl w:val="0"/>
                <w:numId w:val="5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Na podstawie PZP</w:t>
            </w:r>
          </w:p>
          <w:p w14:paraId="7D7520BE" w14:textId="77777777" w:rsidR="002E467A" w:rsidRPr="00CE760A" w:rsidRDefault="002E467A" w:rsidP="00FE19B7">
            <w:pPr>
              <w:numPr>
                <w:ilvl w:val="0"/>
                <w:numId w:val="5"/>
              </w:numPr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W trybach konkursowych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11760C57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ogółem, w tym PS</w:t>
            </w:r>
          </w:p>
        </w:tc>
        <w:tc>
          <w:tcPr>
            <w:tcW w:w="772" w:type="pct"/>
            <w:vMerge w:val="restart"/>
            <w:shd w:val="clear" w:color="auto" w:fill="B8CCE4" w:themeFill="accent1" w:themeFillTint="66"/>
            <w:vAlign w:val="center"/>
          </w:tcPr>
          <w:p w14:paraId="78C42E0F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67BCAFDD" w14:textId="35D44DFD" w:rsidR="002E467A" w:rsidRPr="00CE760A" w:rsidRDefault="004C470D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57355F69" w14:textId="4CB3A87F" w:rsidTr="005A58A8">
        <w:trPr>
          <w:cantSplit/>
          <w:trHeight w:val="662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19C8BB0B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29669987" w14:textId="48B9C509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601C9EF1" w14:textId="77777777" w:rsidR="002E467A" w:rsidRPr="00CE760A" w:rsidRDefault="002E467A" w:rsidP="00FE19B7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450A67A8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</w:t>
            </w:r>
          </w:p>
        </w:tc>
        <w:tc>
          <w:tcPr>
            <w:tcW w:w="772" w:type="pct"/>
            <w:vMerge/>
            <w:shd w:val="clear" w:color="auto" w:fill="B8CCE4" w:themeFill="accent1" w:themeFillTint="66"/>
            <w:vAlign w:val="center"/>
          </w:tcPr>
          <w:p w14:paraId="3B376548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</w:p>
        </w:tc>
        <w:tc>
          <w:tcPr>
            <w:tcW w:w="652" w:type="pct"/>
            <w:shd w:val="clear" w:color="auto" w:fill="B8CCE4" w:themeFill="accent1" w:themeFillTint="66"/>
          </w:tcPr>
          <w:p w14:paraId="2353E99A" w14:textId="2CC0A06E" w:rsidR="002E467A" w:rsidRPr="00CE760A" w:rsidRDefault="004C470D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5D1A4755" w14:textId="65358E23" w:rsidTr="005A58A8">
        <w:trPr>
          <w:cantSplit/>
          <w:trHeight w:val="798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0ADB2617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73F10AE3" w14:textId="44BC677E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28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013BA8C5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Udział przychodów uzyskiwanych ze środków publicznych (w tym ze źródeł UE) w tym:</w:t>
            </w:r>
          </w:p>
          <w:p w14:paraId="68C63C3F" w14:textId="77777777" w:rsidR="002E467A" w:rsidRPr="00CE760A" w:rsidRDefault="002E467A" w:rsidP="00FE19B7">
            <w:pPr>
              <w:numPr>
                <w:ilvl w:val="0"/>
                <w:numId w:val="17"/>
              </w:numPr>
              <w:ind w:left="690"/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Na podstawie PZP</w:t>
            </w:r>
          </w:p>
          <w:p w14:paraId="18021CF3" w14:textId="77777777" w:rsidR="002E467A" w:rsidRPr="00CE760A" w:rsidRDefault="002E467A" w:rsidP="00FE19B7">
            <w:pPr>
              <w:ind w:left="330"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b) W trybach konkursowych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241D4FF9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ogółem, w tym PS</w:t>
            </w:r>
          </w:p>
        </w:tc>
        <w:tc>
          <w:tcPr>
            <w:tcW w:w="772" w:type="pct"/>
            <w:vMerge w:val="restart"/>
            <w:shd w:val="clear" w:color="auto" w:fill="B8CCE4" w:themeFill="accent1" w:themeFillTint="66"/>
            <w:vAlign w:val="center"/>
          </w:tcPr>
          <w:p w14:paraId="1391D80E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529AC2B5" w14:textId="7479060B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proc.</w:t>
            </w:r>
            <w:r w:rsidR="004C470D">
              <w:rPr>
                <w:rStyle w:val="Odwoanieprzypisudolnego"/>
                <w:rFonts w:eastAsia="Calibri"/>
              </w:rPr>
              <w:footnoteReference w:id="5"/>
            </w:r>
          </w:p>
        </w:tc>
      </w:tr>
      <w:tr w:rsidR="002E467A" w:rsidRPr="00CE760A" w14:paraId="43E88006" w14:textId="162C8C79" w:rsidTr="005A58A8">
        <w:trPr>
          <w:cantSplit/>
          <w:trHeight w:val="613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039DE1EA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3BAFFFE4" w14:textId="1451079E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69F8A9EA" w14:textId="77777777" w:rsidR="002E467A" w:rsidRPr="00CE760A" w:rsidRDefault="002E467A" w:rsidP="00FE19B7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039B58EB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</w:t>
            </w:r>
          </w:p>
        </w:tc>
        <w:tc>
          <w:tcPr>
            <w:tcW w:w="772" w:type="pct"/>
            <w:vMerge/>
            <w:shd w:val="clear" w:color="auto" w:fill="B8CCE4" w:themeFill="accent1" w:themeFillTint="66"/>
          </w:tcPr>
          <w:p w14:paraId="79AED9DA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</w:p>
        </w:tc>
        <w:tc>
          <w:tcPr>
            <w:tcW w:w="652" w:type="pct"/>
            <w:shd w:val="clear" w:color="auto" w:fill="B8CCE4" w:themeFill="accent1" w:themeFillTint="66"/>
          </w:tcPr>
          <w:p w14:paraId="4615B4F4" w14:textId="79990863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proc.</w:t>
            </w:r>
          </w:p>
        </w:tc>
      </w:tr>
      <w:tr w:rsidR="002E467A" w:rsidRPr="00CE760A" w14:paraId="4A83A123" w14:textId="49CBDAEB" w:rsidTr="005A58A8">
        <w:trPr>
          <w:cantSplit/>
          <w:trHeight w:val="1134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55821C4A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70EC593F" w14:textId="5AF0733F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29</w:t>
            </w:r>
          </w:p>
        </w:tc>
        <w:tc>
          <w:tcPr>
            <w:tcW w:w="1681" w:type="pct"/>
            <w:shd w:val="clear" w:color="auto" w:fill="B8CCE4" w:themeFill="accent1" w:themeFillTint="66"/>
          </w:tcPr>
          <w:p w14:paraId="3628B05C" w14:textId="77777777" w:rsidR="002E467A" w:rsidRPr="00CE760A" w:rsidRDefault="002E467A" w:rsidP="00FE19B7">
            <w:pPr>
              <w:rPr>
                <w:rFonts w:eastAsia="Calibri"/>
                <w:color w:val="FF0000"/>
              </w:rPr>
            </w:pPr>
            <w:r w:rsidRPr="00CE760A">
              <w:rPr>
                <w:rFonts w:eastAsia="Calibri"/>
                <w:color w:val="000000"/>
              </w:rPr>
              <w:t>Wysokość środków przekazanych przez JST na realizację zadań publicznych na podstawie ustawy o działalności pożytku publicznego i o wolontariacie oraz na podstawie innych ustaw (z wyłączeniem PZP)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5202979B" w14:textId="77777777" w:rsidR="002E467A" w:rsidRPr="00CE760A" w:rsidDel="001D76B1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487EFB83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powiat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2C9A40E4" w14:textId="0CB2365F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 zł</w:t>
            </w:r>
          </w:p>
        </w:tc>
      </w:tr>
      <w:tr w:rsidR="002E467A" w:rsidRPr="00CE760A" w14:paraId="0240F9D7" w14:textId="34B8244D" w:rsidTr="005A58A8">
        <w:trPr>
          <w:cantSplit/>
          <w:trHeight w:val="523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18991C80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6FFF48CC" w14:textId="7B842C01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30</w:t>
            </w:r>
          </w:p>
        </w:tc>
        <w:tc>
          <w:tcPr>
            <w:tcW w:w="1681" w:type="pct"/>
            <w:shd w:val="clear" w:color="auto" w:fill="B8CCE4" w:themeFill="accent1" w:themeFillTint="66"/>
          </w:tcPr>
          <w:p w14:paraId="2F98A69B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Udział środków przeznaczonych na zlecanie realizacji zadań publicznych w ogólnej kwocie środków przeznaczonych na realizację usług społecznych użyteczności publicznej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0E3C62C0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3DA51C71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powiat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17555DAA" w14:textId="2345B04A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proc.</w:t>
            </w:r>
          </w:p>
        </w:tc>
      </w:tr>
      <w:tr w:rsidR="002E467A" w:rsidRPr="00CE760A" w14:paraId="457601F5" w14:textId="40F7055F" w:rsidTr="005A58A8">
        <w:trPr>
          <w:cantSplit/>
          <w:trHeight w:val="523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6F82FC51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27E474AD" w14:textId="44E710F9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31</w:t>
            </w:r>
          </w:p>
        </w:tc>
        <w:tc>
          <w:tcPr>
            <w:tcW w:w="1681" w:type="pct"/>
            <w:shd w:val="clear" w:color="auto" w:fill="B8CCE4" w:themeFill="accent1" w:themeFillTint="66"/>
          </w:tcPr>
          <w:p w14:paraId="025CE871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Udział środków przeznaczonych na zlecanie realizacji zadań publicznych w budżecie JST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414DF77D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671C5857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powiat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5F95D358" w14:textId="3F163CC6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proc.</w:t>
            </w:r>
          </w:p>
        </w:tc>
      </w:tr>
      <w:tr w:rsidR="002E467A" w:rsidRPr="00CE760A" w14:paraId="3085E5C5" w14:textId="11D9BBE6" w:rsidTr="005A58A8">
        <w:trPr>
          <w:cantSplit/>
          <w:trHeight w:val="523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729659AA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3FCF9F2F" w14:textId="0F16A3CB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32</w:t>
            </w:r>
          </w:p>
        </w:tc>
        <w:tc>
          <w:tcPr>
            <w:tcW w:w="1681" w:type="pct"/>
            <w:shd w:val="clear" w:color="auto" w:fill="B8CCE4" w:themeFill="accent1" w:themeFillTint="66"/>
          </w:tcPr>
          <w:p w14:paraId="1B1A9D0D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Udział ogólnej kwoty środków przeznaczonych na realizację usług społecznych użyteczności publicznej w budżecie JST.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6707C06E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2F6E2B75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powiat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690A33BB" w14:textId="2FC8AA04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proc.</w:t>
            </w:r>
          </w:p>
        </w:tc>
      </w:tr>
      <w:tr w:rsidR="002E467A" w:rsidRPr="00CE760A" w14:paraId="2EE750DF" w14:textId="476F6A38" w:rsidTr="005A58A8">
        <w:trPr>
          <w:cantSplit/>
          <w:trHeight w:val="238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0DB45B9A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11795B35" w14:textId="10E0B2E9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33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77ACB7B3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PES korzystających z pożyczek lub kredytów.</w:t>
            </w:r>
          </w:p>
        </w:tc>
        <w:tc>
          <w:tcPr>
            <w:tcW w:w="1114" w:type="pct"/>
            <w:shd w:val="clear" w:color="auto" w:fill="B8CCE4" w:themeFill="accent1" w:themeFillTint="66"/>
          </w:tcPr>
          <w:p w14:paraId="381037C1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ogółem, w tym PS</w:t>
            </w:r>
          </w:p>
        </w:tc>
        <w:tc>
          <w:tcPr>
            <w:tcW w:w="772" w:type="pct"/>
            <w:shd w:val="clear" w:color="auto" w:fill="B8CCE4" w:themeFill="accent1" w:themeFillTint="66"/>
          </w:tcPr>
          <w:p w14:paraId="6137A5FA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podregion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184AC5A8" w14:textId="74D7544E" w:rsidR="002E467A" w:rsidRPr="00CE760A" w:rsidRDefault="004C470D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0803211C" w14:textId="078D734F" w:rsidTr="005A58A8">
        <w:trPr>
          <w:cantSplit/>
          <w:trHeight w:val="237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16485536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20CDD75F" w14:textId="5B2ADC0A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13CC2511" w14:textId="77777777" w:rsidR="002E467A" w:rsidRPr="00CE760A" w:rsidRDefault="002E467A" w:rsidP="00FE19B7">
            <w:pPr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</w:tcPr>
          <w:p w14:paraId="19B6B094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podmiotu, w tym PS</w:t>
            </w:r>
          </w:p>
        </w:tc>
        <w:tc>
          <w:tcPr>
            <w:tcW w:w="772" w:type="pct"/>
            <w:shd w:val="clear" w:color="auto" w:fill="B8CCE4" w:themeFill="accent1" w:themeFillTint="66"/>
          </w:tcPr>
          <w:p w14:paraId="10A0E879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588D56CB" w14:textId="03CA24F5" w:rsidR="002E467A" w:rsidRPr="00CE760A" w:rsidRDefault="004C470D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</w:t>
            </w:r>
          </w:p>
        </w:tc>
      </w:tr>
      <w:tr w:rsidR="002E467A" w:rsidRPr="00CE760A" w14:paraId="424ABA7C" w14:textId="41479352" w:rsidTr="005A58A8">
        <w:trPr>
          <w:cantSplit/>
          <w:trHeight w:val="1908"/>
        </w:trPr>
        <w:tc>
          <w:tcPr>
            <w:tcW w:w="389" w:type="pct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57E74AEA" w14:textId="0100948D" w:rsidR="002E467A" w:rsidRPr="00CE760A" w:rsidRDefault="002E467A" w:rsidP="00D259BB">
            <w:pPr>
              <w:ind w:left="113" w:right="113"/>
              <w:jc w:val="center"/>
              <w:rPr>
                <w:rFonts w:eastAsia="Calibri"/>
              </w:rPr>
            </w:pPr>
            <w:r w:rsidRPr="002E467A">
              <w:rPr>
                <w:rFonts w:eastAsia="Calibri"/>
              </w:rPr>
              <w:lastRenderedPageBreak/>
              <w:t>Trwałość</w:t>
            </w:r>
          </w:p>
        </w:tc>
        <w:tc>
          <w:tcPr>
            <w:tcW w:w="392" w:type="pct"/>
            <w:vMerge w:val="restart"/>
            <w:shd w:val="clear" w:color="auto" w:fill="B8CCE4" w:themeFill="accent1" w:themeFillTint="66"/>
            <w:vAlign w:val="center"/>
          </w:tcPr>
          <w:p w14:paraId="0553E0DC" w14:textId="49FEF691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34</w:t>
            </w:r>
          </w:p>
        </w:tc>
        <w:tc>
          <w:tcPr>
            <w:tcW w:w="1681" w:type="pct"/>
            <w:vMerge w:val="restart"/>
            <w:shd w:val="clear" w:color="auto" w:fill="B8CCE4" w:themeFill="accent1" w:themeFillTint="66"/>
          </w:tcPr>
          <w:p w14:paraId="7DE5F823" w14:textId="77777777" w:rsidR="002E467A" w:rsidRPr="00CE760A" w:rsidRDefault="002E467A" w:rsidP="00FE19B7">
            <w:pPr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Liczba podmiotów, które na koniec roku posiadały status PS:</w:t>
            </w:r>
          </w:p>
          <w:p w14:paraId="7A6D5AF6" w14:textId="77777777" w:rsidR="002E467A" w:rsidRPr="00CE760A" w:rsidRDefault="002E467A" w:rsidP="00FE19B7">
            <w:pPr>
              <w:numPr>
                <w:ilvl w:val="0"/>
                <w:numId w:val="6"/>
              </w:numPr>
              <w:ind w:left="607"/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Nie dłużej niż 2 lata</w:t>
            </w:r>
          </w:p>
          <w:p w14:paraId="50478022" w14:textId="77777777" w:rsidR="002E467A" w:rsidRPr="00CE760A" w:rsidRDefault="002E467A" w:rsidP="00FE19B7">
            <w:pPr>
              <w:numPr>
                <w:ilvl w:val="0"/>
                <w:numId w:val="6"/>
              </w:numPr>
              <w:ind w:left="607"/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Dłużej niż 2 lata i nie dłużej niż 3 lata</w:t>
            </w:r>
          </w:p>
          <w:p w14:paraId="620B806D" w14:textId="77777777" w:rsidR="002E467A" w:rsidRPr="00CE760A" w:rsidRDefault="002E467A" w:rsidP="00FE19B7">
            <w:pPr>
              <w:numPr>
                <w:ilvl w:val="0"/>
                <w:numId w:val="6"/>
              </w:numPr>
              <w:ind w:left="607"/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Dłużej niż 3 lata i nie dłużej niż 4 lata</w:t>
            </w:r>
          </w:p>
          <w:p w14:paraId="6E4ABAE6" w14:textId="77777777" w:rsidR="002E467A" w:rsidRPr="00CE760A" w:rsidRDefault="002E467A" w:rsidP="00FE19B7">
            <w:pPr>
              <w:numPr>
                <w:ilvl w:val="0"/>
                <w:numId w:val="6"/>
              </w:numPr>
              <w:ind w:left="607"/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Dłużej niż 4 lata i nie dłużej niż 5 lat</w:t>
            </w:r>
          </w:p>
          <w:p w14:paraId="43F0F993" w14:textId="77777777" w:rsidR="002E467A" w:rsidRPr="00CE760A" w:rsidRDefault="002E467A" w:rsidP="00FE19B7">
            <w:pPr>
              <w:numPr>
                <w:ilvl w:val="0"/>
                <w:numId w:val="6"/>
              </w:numPr>
              <w:ind w:left="607"/>
              <w:contextualSpacing/>
              <w:jc w:val="both"/>
              <w:rPr>
                <w:rFonts w:eastAsia="Calibri"/>
              </w:rPr>
            </w:pPr>
            <w:r w:rsidRPr="00CE760A">
              <w:rPr>
                <w:rFonts w:eastAsia="Calibri"/>
              </w:rPr>
              <w:t>Dłużej niż 5 lat</w:t>
            </w: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0EA34529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ogółem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28A0F7AF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powiat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71EB8801" w14:textId="3141DC8B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3E59A783" w14:textId="73CD78AF" w:rsidTr="005A58A8">
        <w:trPr>
          <w:cantSplit/>
          <w:trHeight w:val="564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18DC40D8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vMerge/>
            <w:shd w:val="clear" w:color="auto" w:fill="B8CCE4" w:themeFill="accent1" w:themeFillTint="66"/>
            <w:vAlign w:val="center"/>
          </w:tcPr>
          <w:p w14:paraId="1AE0D930" w14:textId="5F31E99E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1681" w:type="pct"/>
            <w:vMerge/>
            <w:shd w:val="clear" w:color="auto" w:fill="B8CCE4" w:themeFill="accent1" w:themeFillTint="66"/>
          </w:tcPr>
          <w:p w14:paraId="3EF8BDBC" w14:textId="77777777" w:rsidR="002E467A" w:rsidRPr="00CE760A" w:rsidRDefault="002E467A" w:rsidP="00FE19B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114" w:type="pct"/>
            <w:shd w:val="clear" w:color="auto" w:fill="B8CCE4" w:themeFill="accent1" w:themeFillTint="66"/>
            <w:vAlign w:val="center"/>
          </w:tcPr>
          <w:p w14:paraId="6793B115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według rodzaju podmiotu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27FD6007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2C9BC830" w14:textId="6EB8225A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474EA80D" w14:textId="6F5BA197" w:rsidTr="005A58A8">
        <w:trPr>
          <w:cantSplit/>
          <w:trHeight w:val="533"/>
        </w:trPr>
        <w:tc>
          <w:tcPr>
            <w:tcW w:w="389" w:type="pct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0F8311B4" w14:textId="3484FBDF" w:rsidR="002E467A" w:rsidRPr="00CE760A" w:rsidRDefault="002E467A" w:rsidP="005A58A8">
            <w:pPr>
              <w:ind w:left="113" w:right="113"/>
              <w:jc w:val="center"/>
              <w:rPr>
                <w:rFonts w:eastAsia="Calibri"/>
              </w:rPr>
            </w:pPr>
            <w:r w:rsidRPr="002E467A">
              <w:rPr>
                <w:rFonts w:eastAsia="Calibri"/>
              </w:rPr>
              <w:t>Wsparcie OWES</w:t>
            </w: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05933EDF" w14:textId="54B06E44" w:rsidR="002E467A" w:rsidRPr="00CE760A" w:rsidDel="00267099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35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7CDF97F9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OWES</w:t>
            </w:r>
          </w:p>
        </w:tc>
        <w:tc>
          <w:tcPr>
            <w:tcW w:w="1114" w:type="pct"/>
            <w:shd w:val="clear" w:color="auto" w:fill="B8CCE4" w:themeFill="accent1" w:themeFillTint="66"/>
          </w:tcPr>
          <w:p w14:paraId="28D616AE" w14:textId="77777777" w:rsidR="002E467A" w:rsidRPr="00CE760A" w:rsidDel="00267099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3830E85A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29531AFD" w14:textId="0667FFEC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1BC8273E" w14:textId="743F1C92" w:rsidTr="005A58A8">
        <w:trPr>
          <w:cantSplit/>
          <w:trHeight w:val="542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7EC851F8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07BFB38F" w14:textId="324AE88E" w:rsidR="002E467A" w:rsidRPr="00CE760A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36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60582607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Przychody OWES</w:t>
            </w:r>
          </w:p>
        </w:tc>
        <w:tc>
          <w:tcPr>
            <w:tcW w:w="1114" w:type="pct"/>
            <w:shd w:val="clear" w:color="auto" w:fill="B8CCE4" w:themeFill="accent1" w:themeFillTint="66"/>
          </w:tcPr>
          <w:p w14:paraId="30B7B369" w14:textId="77777777" w:rsidR="002E467A" w:rsidRPr="00CE760A" w:rsidDel="00267099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126A86F5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343803E0" w14:textId="344482AE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 zł</w:t>
            </w:r>
          </w:p>
        </w:tc>
      </w:tr>
      <w:tr w:rsidR="002E467A" w:rsidRPr="00CE760A" w14:paraId="69203AAF" w14:textId="63F98582" w:rsidTr="005A58A8">
        <w:trPr>
          <w:cantSplit/>
          <w:trHeight w:val="542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4C4054C1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66F710E8" w14:textId="65FD94BF" w:rsidR="002E467A" w:rsidRPr="00CE760A" w:rsidDel="00267099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37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2F5085F3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utworzonych PES, w tym PS</w:t>
            </w:r>
          </w:p>
        </w:tc>
        <w:tc>
          <w:tcPr>
            <w:tcW w:w="1114" w:type="pct"/>
            <w:shd w:val="clear" w:color="auto" w:fill="B8CCE4" w:themeFill="accent1" w:themeFillTint="66"/>
          </w:tcPr>
          <w:p w14:paraId="3F2F83CF" w14:textId="77777777" w:rsidR="002E467A" w:rsidRPr="00CE760A" w:rsidDel="00267099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1CE06F72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7683C3F5" w14:textId="57D4D956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4E6940BC" w14:textId="3801983F" w:rsidTr="005A58A8">
        <w:trPr>
          <w:cantSplit/>
          <w:trHeight w:val="681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341C5315" w14:textId="77777777" w:rsidR="002E467A" w:rsidRPr="00CE760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62C9C7F3" w14:textId="5B004322" w:rsidR="002E467A" w:rsidRPr="00CE760A" w:rsidDel="00267099" w:rsidRDefault="002E467A" w:rsidP="00FE19B7">
            <w:pPr>
              <w:jc w:val="center"/>
              <w:rPr>
                <w:rFonts w:eastAsia="Calibri"/>
              </w:rPr>
            </w:pPr>
            <w:r w:rsidRPr="00CE760A">
              <w:rPr>
                <w:rFonts w:eastAsia="Calibri"/>
              </w:rPr>
              <w:t>38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7208AA63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istniejących PES, które uzyskały wsparcie od OWES</w:t>
            </w:r>
          </w:p>
        </w:tc>
        <w:tc>
          <w:tcPr>
            <w:tcW w:w="1114" w:type="pct"/>
            <w:shd w:val="clear" w:color="auto" w:fill="B8CCE4" w:themeFill="accent1" w:themeFillTint="66"/>
          </w:tcPr>
          <w:p w14:paraId="517D947F" w14:textId="77777777" w:rsidR="002E467A" w:rsidRPr="00CE760A" w:rsidDel="00267099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59B6A1C7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303A87AC" w14:textId="0075DFE6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2EB61D39" w14:textId="5073A2B5" w:rsidTr="005A58A8">
        <w:trPr>
          <w:cantSplit/>
          <w:trHeight w:val="644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0EF0CAEB" w14:textId="77777777" w:rsidR="002E467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14C63E22" w14:textId="3DAC1D67" w:rsidR="002E467A" w:rsidRPr="00CE760A" w:rsidDel="00267099" w:rsidRDefault="002E467A" w:rsidP="00FE19B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144A4923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Liczba miejsc pracy utworzonych dzięki wsparciu OWES</w:t>
            </w:r>
          </w:p>
        </w:tc>
        <w:tc>
          <w:tcPr>
            <w:tcW w:w="1114" w:type="pct"/>
            <w:shd w:val="clear" w:color="auto" w:fill="B8CCE4" w:themeFill="accent1" w:themeFillTint="66"/>
          </w:tcPr>
          <w:p w14:paraId="00E492B2" w14:textId="77777777" w:rsidR="002E467A" w:rsidRPr="00CE760A" w:rsidDel="00267099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5BDC5502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7F35CFB1" w14:textId="36831D20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szt.</w:t>
            </w:r>
          </w:p>
        </w:tc>
      </w:tr>
      <w:tr w:rsidR="002E467A" w:rsidRPr="00CE760A" w14:paraId="539F7EBA" w14:textId="4E6DC69D" w:rsidTr="005A58A8">
        <w:trPr>
          <w:cantSplit/>
          <w:trHeight w:val="644"/>
        </w:trPr>
        <w:tc>
          <w:tcPr>
            <w:tcW w:w="389" w:type="pct"/>
            <w:vMerge/>
            <w:shd w:val="clear" w:color="auto" w:fill="B8CCE4" w:themeFill="accent1" w:themeFillTint="66"/>
          </w:tcPr>
          <w:p w14:paraId="4E6DD369" w14:textId="77777777" w:rsidR="002E467A" w:rsidRDefault="002E467A" w:rsidP="00FE19B7">
            <w:pPr>
              <w:jc w:val="center"/>
              <w:rPr>
                <w:rFonts w:eastAsia="Calibri"/>
              </w:rPr>
            </w:pPr>
          </w:p>
        </w:tc>
        <w:tc>
          <w:tcPr>
            <w:tcW w:w="392" w:type="pct"/>
            <w:shd w:val="clear" w:color="auto" w:fill="B8CCE4" w:themeFill="accent1" w:themeFillTint="66"/>
            <w:vAlign w:val="center"/>
          </w:tcPr>
          <w:p w14:paraId="5FBAE156" w14:textId="46A54C52" w:rsidR="002E467A" w:rsidRPr="00CE760A" w:rsidRDefault="002E467A" w:rsidP="00FE19B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1F637D4E" w14:textId="77777777" w:rsidR="002E467A" w:rsidRPr="00CE760A" w:rsidRDefault="002E467A" w:rsidP="00FE19B7">
            <w:pPr>
              <w:rPr>
                <w:rFonts w:eastAsia="Calibri"/>
              </w:rPr>
            </w:pPr>
            <w:r w:rsidRPr="00CE760A">
              <w:rPr>
                <w:rFonts w:eastAsia="Calibri"/>
              </w:rPr>
              <w:t>Wysokość środków przeznaczonych na dotacje i wsparcie pomostowe udzielane przez akredytowane OWES</w:t>
            </w:r>
          </w:p>
        </w:tc>
        <w:tc>
          <w:tcPr>
            <w:tcW w:w="1114" w:type="pct"/>
            <w:shd w:val="clear" w:color="auto" w:fill="B8CCE4" w:themeFill="accent1" w:themeFillTint="66"/>
          </w:tcPr>
          <w:p w14:paraId="46CAE3BD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 xml:space="preserve">ogółem </w:t>
            </w:r>
          </w:p>
        </w:tc>
        <w:tc>
          <w:tcPr>
            <w:tcW w:w="772" w:type="pct"/>
            <w:shd w:val="clear" w:color="auto" w:fill="B8CCE4" w:themeFill="accent1" w:themeFillTint="66"/>
            <w:vAlign w:val="center"/>
          </w:tcPr>
          <w:p w14:paraId="708FB1A8" w14:textId="77777777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 w:rsidRPr="00CE760A">
              <w:rPr>
                <w:rFonts w:eastAsia="Calibri"/>
              </w:rPr>
              <w:t>województwo</w:t>
            </w:r>
          </w:p>
        </w:tc>
        <w:tc>
          <w:tcPr>
            <w:tcW w:w="652" w:type="pct"/>
            <w:shd w:val="clear" w:color="auto" w:fill="B8CCE4" w:themeFill="accent1" w:themeFillTint="66"/>
          </w:tcPr>
          <w:p w14:paraId="6469650D" w14:textId="248FE55E" w:rsidR="002E467A" w:rsidRPr="00CE760A" w:rsidRDefault="002E467A" w:rsidP="00FE19B7">
            <w:pPr>
              <w:ind w:left="-4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tys. zł</w:t>
            </w:r>
          </w:p>
        </w:tc>
      </w:tr>
    </w:tbl>
    <w:p w14:paraId="049389EB" w14:textId="77777777" w:rsidR="005A58A8" w:rsidRDefault="005A58A8" w:rsidP="0050346B">
      <w:pPr>
        <w:rPr>
          <w:rFonts w:asciiTheme="majorHAnsi" w:hAnsiTheme="majorHAnsi"/>
        </w:rPr>
        <w:sectPr w:rsidR="005A58A8" w:rsidSect="000277C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8CD99C9" w14:textId="1A13CC5B" w:rsidR="005376B1" w:rsidRDefault="005376B1" w:rsidP="0050346B">
      <w:pPr>
        <w:rPr>
          <w:rFonts w:asciiTheme="majorHAnsi" w:hAnsiTheme="majorHAnsi"/>
        </w:rPr>
      </w:pPr>
    </w:p>
    <w:p w14:paraId="7291834A" w14:textId="77777777" w:rsidR="0050346B" w:rsidRPr="00CE760A" w:rsidRDefault="0050346B" w:rsidP="00CE760A">
      <w:pPr>
        <w:spacing w:line="360" w:lineRule="auto"/>
        <w:rPr>
          <w:color w:val="000000" w:themeColor="text1"/>
          <w:u w:val="single"/>
        </w:rPr>
      </w:pPr>
      <w:r w:rsidRPr="00CE760A">
        <w:rPr>
          <w:color w:val="000000" w:themeColor="text1"/>
          <w:u w:val="single"/>
        </w:rPr>
        <w:t>Moduł 3. Wskaźniki programowe.</w:t>
      </w:r>
    </w:p>
    <w:p w14:paraId="5366B4D4" w14:textId="4F2FEA86" w:rsidR="0050346B" w:rsidRPr="00402EDC" w:rsidRDefault="0050346B" w:rsidP="00CE760A">
      <w:pPr>
        <w:spacing w:before="120" w:line="360" w:lineRule="auto"/>
        <w:ind w:firstLine="708"/>
        <w:jc w:val="both"/>
        <w:rPr>
          <w:rFonts w:eastAsia="Calibri"/>
        </w:rPr>
      </w:pPr>
      <w:r w:rsidRPr="00402EDC">
        <w:rPr>
          <w:rFonts w:eastAsia="Calibri"/>
        </w:rPr>
        <w:t>W tym module znajdą się informacje na temat realizacji wskaźników określonych w Krajowym Programie Rozwoju Ekonomii Społecznej oraz w Regionalnych Programach Rozwoju Ekonomii Społecznej. Uzyskanie wybranych informacji przebiegać będzie w 2 krokach:</w:t>
      </w:r>
    </w:p>
    <w:p w14:paraId="2634081A" w14:textId="77777777" w:rsidR="0050346B" w:rsidRPr="00402EDC" w:rsidRDefault="0050346B" w:rsidP="00A47C12">
      <w:pPr>
        <w:numPr>
          <w:ilvl w:val="0"/>
          <w:numId w:val="7"/>
        </w:numPr>
        <w:spacing w:before="120" w:line="360" w:lineRule="auto"/>
        <w:ind w:left="0" w:hanging="284"/>
        <w:contextualSpacing/>
        <w:jc w:val="both"/>
        <w:rPr>
          <w:rFonts w:eastAsia="Calibri"/>
        </w:rPr>
      </w:pPr>
      <w:r w:rsidRPr="00402EDC">
        <w:rPr>
          <w:rFonts w:eastAsia="Calibri"/>
          <w:b/>
        </w:rPr>
        <w:t>Krok 1.</w:t>
      </w:r>
      <w:r w:rsidRPr="00402EDC">
        <w:rPr>
          <w:rFonts w:eastAsia="Calibri"/>
        </w:rPr>
        <w:t xml:space="preserve"> Użytkownik wybiera spośród dwóch dostępnych opcji:</w:t>
      </w:r>
    </w:p>
    <w:p w14:paraId="3527942E" w14:textId="3406978F" w:rsidR="0050346B" w:rsidRPr="00402EDC" w:rsidRDefault="0050346B" w:rsidP="00A47C12">
      <w:pPr>
        <w:numPr>
          <w:ilvl w:val="0"/>
          <w:numId w:val="9"/>
        </w:numPr>
        <w:spacing w:before="120" w:line="360" w:lineRule="auto"/>
        <w:ind w:left="0"/>
        <w:contextualSpacing/>
        <w:jc w:val="both"/>
        <w:rPr>
          <w:rFonts w:eastAsia="Calibri"/>
        </w:rPr>
      </w:pPr>
      <w:r w:rsidRPr="00402EDC">
        <w:rPr>
          <w:rFonts w:eastAsia="Calibri"/>
        </w:rPr>
        <w:t xml:space="preserve">Krajowy Program Rozwoju Ekonomii Społecznej </w:t>
      </w:r>
      <w:r w:rsidR="006238CA">
        <w:rPr>
          <w:rFonts w:eastAsia="Calibri"/>
        </w:rPr>
        <w:t xml:space="preserve">do </w:t>
      </w:r>
      <w:r w:rsidRPr="00402EDC">
        <w:rPr>
          <w:rFonts w:eastAsia="Calibri"/>
        </w:rPr>
        <w:t>2023</w:t>
      </w:r>
      <w:r w:rsidR="006238CA">
        <w:rPr>
          <w:rFonts w:eastAsia="Calibri"/>
        </w:rPr>
        <w:t xml:space="preserve"> roku</w:t>
      </w:r>
      <w:r w:rsidRPr="00402EDC">
        <w:rPr>
          <w:rFonts w:eastAsia="Calibri"/>
        </w:rPr>
        <w:t xml:space="preserve">. Ekonomia Solidarności Społecznej. </w:t>
      </w:r>
    </w:p>
    <w:p w14:paraId="4A6C6E2B" w14:textId="77777777" w:rsidR="0050346B" w:rsidRPr="00402EDC" w:rsidRDefault="0050346B" w:rsidP="00A47C12">
      <w:pPr>
        <w:numPr>
          <w:ilvl w:val="0"/>
          <w:numId w:val="9"/>
        </w:numPr>
        <w:spacing w:before="120" w:line="360" w:lineRule="auto"/>
        <w:ind w:left="0"/>
        <w:contextualSpacing/>
        <w:jc w:val="both"/>
        <w:rPr>
          <w:rFonts w:eastAsia="Calibri"/>
        </w:rPr>
      </w:pPr>
      <w:r w:rsidRPr="00402EDC">
        <w:rPr>
          <w:rFonts w:eastAsia="Calibri"/>
        </w:rPr>
        <w:t>Regionalne Programy Rozwoju Ekonomii Społecznej. W tym przypadku użytkownik dokonuje wyboru regionalnego programu, którym jest zainteresowany.</w:t>
      </w:r>
    </w:p>
    <w:p w14:paraId="3CCB5012" w14:textId="77777777" w:rsidR="0050346B" w:rsidRPr="00402EDC" w:rsidRDefault="0050346B" w:rsidP="00A47C12">
      <w:pPr>
        <w:numPr>
          <w:ilvl w:val="0"/>
          <w:numId w:val="7"/>
        </w:numPr>
        <w:spacing w:before="120" w:line="360" w:lineRule="auto"/>
        <w:ind w:left="0" w:hanging="284"/>
        <w:contextualSpacing/>
        <w:jc w:val="both"/>
        <w:rPr>
          <w:rFonts w:eastAsia="Calibri"/>
        </w:rPr>
      </w:pPr>
      <w:r w:rsidRPr="00402EDC">
        <w:rPr>
          <w:rFonts w:eastAsia="Calibri"/>
          <w:b/>
        </w:rPr>
        <w:t>Krok 2.</w:t>
      </w:r>
      <w:r w:rsidRPr="00402EDC">
        <w:rPr>
          <w:rFonts w:eastAsia="Calibri"/>
        </w:rPr>
        <w:t xml:space="preserve"> Użytkownik wybiera spośród dwóch dostępnych opcji:</w:t>
      </w:r>
    </w:p>
    <w:p w14:paraId="5ECBA452" w14:textId="150EF526" w:rsidR="0050346B" w:rsidRPr="00402EDC" w:rsidRDefault="0050346B" w:rsidP="00A47C12">
      <w:pPr>
        <w:numPr>
          <w:ilvl w:val="0"/>
          <w:numId w:val="10"/>
        </w:numPr>
        <w:spacing w:before="120" w:line="360" w:lineRule="auto"/>
        <w:ind w:left="0"/>
        <w:contextualSpacing/>
        <w:jc w:val="both"/>
        <w:rPr>
          <w:rFonts w:eastAsia="Calibri"/>
        </w:rPr>
      </w:pPr>
      <w:r w:rsidRPr="00402EDC">
        <w:rPr>
          <w:rFonts w:eastAsia="Calibri"/>
        </w:rPr>
        <w:t>Realizacja wskaźników programowych. W tym przypadku użytkownik uzyska informację (w formie tabeli) o wartościach wszystkich wskaźników danego programu wraz z wartościami docelowymi.</w:t>
      </w:r>
      <w:r w:rsidR="006238CA">
        <w:rPr>
          <w:rFonts w:eastAsia="Calibri"/>
        </w:rPr>
        <w:t xml:space="preserve"> </w:t>
      </w:r>
      <w:r w:rsidR="00DE2429">
        <w:rPr>
          <w:rFonts w:eastAsia="Calibri"/>
        </w:rPr>
        <w:t>Brzmienie wskaźników oraz ich wartości nie będą wyliczane na podstawie danych ujętych w bazie danych. Strona powinna umożliwiać importowanie gotowych danych wynikowych do każdego ze wskaźników.</w:t>
      </w:r>
      <w:r w:rsidR="006238CA">
        <w:rPr>
          <w:rFonts w:eastAsia="Calibri"/>
        </w:rPr>
        <w:t xml:space="preserve"> </w:t>
      </w:r>
    </w:p>
    <w:p w14:paraId="456BB934" w14:textId="7DB49A00" w:rsidR="0050346B" w:rsidRDefault="0050346B" w:rsidP="00A47C12">
      <w:pPr>
        <w:numPr>
          <w:ilvl w:val="0"/>
          <w:numId w:val="10"/>
        </w:numPr>
        <w:spacing w:before="120" w:line="360" w:lineRule="auto"/>
        <w:ind w:left="0"/>
        <w:contextualSpacing/>
        <w:jc w:val="both"/>
        <w:rPr>
          <w:rFonts w:eastAsia="Calibri"/>
        </w:rPr>
      </w:pPr>
      <w:r w:rsidRPr="00402EDC">
        <w:rPr>
          <w:rFonts w:eastAsia="Calibri"/>
        </w:rPr>
        <w:t>Wskaźniki programowe w JST. W tym przypadku może wybrać województwo (tylko w przypadku wybrania w kroku 1 opcji nr 1), podregion lub powiat, dla którego prezentowane są wartości wskaźników. W tym przypadku nie są prezentowane wartości docelowe. W tej opcji dostępne będą jedynie wskaźniki, które można wyliczyć na podstawie danych określonych w  narzędziu.</w:t>
      </w:r>
    </w:p>
    <w:p w14:paraId="215A4E4B" w14:textId="77777777" w:rsidR="000E0C9E" w:rsidRPr="00402EDC" w:rsidRDefault="000E0C9E" w:rsidP="000E0C9E">
      <w:pPr>
        <w:spacing w:before="120" w:line="360" w:lineRule="auto"/>
        <w:contextualSpacing/>
        <w:jc w:val="both"/>
        <w:rPr>
          <w:rFonts w:eastAsia="Calibri"/>
        </w:rPr>
      </w:pPr>
    </w:p>
    <w:p w14:paraId="03B32E02" w14:textId="77777777" w:rsidR="004C3B2B" w:rsidRPr="0047421D" w:rsidRDefault="0037772B" w:rsidP="008115E0">
      <w:pPr>
        <w:pBdr>
          <w:top w:val="single" w:sz="4" w:space="0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CCCCCC"/>
        <w:rPr>
          <w:b/>
        </w:rPr>
      </w:pPr>
      <w:r w:rsidRPr="0047421D">
        <w:rPr>
          <w:b/>
        </w:rPr>
        <w:t>5</w:t>
      </w:r>
      <w:r w:rsidR="004C3B2B" w:rsidRPr="0047421D">
        <w:rPr>
          <w:b/>
        </w:rPr>
        <w:t xml:space="preserve">. Wymagania </w:t>
      </w:r>
      <w:r w:rsidR="00F8764F" w:rsidRPr="0047421D">
        <w:rPr>
          <w:b/>
        </w:rPr>
        <w:t>stawiane Wykonawcy</w:t>
      </w:r>
    </w:p>
    <w:p w14:paraId="0BF8AAE4" w14:textId="77777777" w:rsidR="00ED1E45" w:rsidRPr="0047421D" w:rsidRDefault="00ED1E45" w:rsidP="0047421D">
      <w:pPr>
        <w:spacing w:line="360" w:lineRule="auto"/>
        <w:jc w:val="both"/>
        <w:rPr>
          <w:highlight w:val="yellow"/>
        </w:rPr>
      </w:pPr>
    </w:p>
    <w:p w14:paraId="5DC0AE17" w14:textId="69507A30" w:rsidR="00ED1E45" w:rsidRPr="008510A5" w:rsidRDefault="00ED1E45" w:rsidP="0047421D">
      <w:pPr>
        <w:spacing w:line="360" w:lineRule="auto"/>
        <w:jc w:val="both"/>
        <w:rPr>
          <w:lang w:bidi="bn-BD"/>
        </w:rPr>
      </w:pPr>
      <w:r w:rsidRPr="0047421D">
        <w:t xml:space="preserve">Do realizacji projektu zostanie </w:t>
      </w:r>
      <w:r w:rsidR="00261F92" w:rsidRPr="0047421D">
        <w:t xml:space="preserve">wykorzystany silnik bazy </w:t>
      </w:r>
      <w:r w:rsidRPr="0047421D">
        <w:t>technologii Microsoft SQL Server 201</w:t>
      </w:r>
      <w:r w:rsidR="00B35038" w:rsidRPr="0047421D">
        <w:t>6</w:t>
      </w:r>
      <w:r w:rsidR="00261F92" w:rsidRPr="0047421D">
        <w:t>. Przy czym zamawiający dopuszcza inne silniki bazodanowe zgodne ze standardem SQL</w:t>
      </w:r>
      <w:r w:rsidR="002D7D5C" w:rsidRPr="0047421D">
        <w:t>.</w:t>
      </w:r>
      <w:r w:rsidRPr="0047421D">
        <w:t xml:space="preserve"> Rozwiązanie zakłada stworzenie nowej bazy danych, która będzie cyklicznie zasilana zagregowanymi danymi statystycznymi pochodzącymi z </w:t>
      </w:r>
      <w:r w:rsidR="004F769A" w:rsidRPr="0047421D">
        <w:t xml:space="preserve">Głównego Urzędu Statystycznego. </w:t>
      </w:r>
      <w:r w:rsidR="00967164" w:rsidRPr="0047421D">
        <w:rPr>
          <w:lang w:bidi="bn-BD"/>
        </w:rPr>
        <w:t xml:space="preserve">Przy tworzeniu internetowego narzędzia bazodanowego </w:t>
      </w:r>
      <w:r w:rsidR="00967164" w:rsidRPr="00842754">
        <w:rPr>
          <w:lang w:bidi="bn-BD"/>
        </w:rPr>
        <w:t xml:space="preserve">należy zachować standardy tworzenia stron WWW – W3C. Strony i CMS muszą być kodowane w </w:t>
      </w:r>
      <w:r w:rsidR="00025389" w:rsidRPr="00842754">
        <w:rPr>
          <w:lang w:bidi="bn-BD"/>
        </w:rPr>
        <w:t xml:space="preserve">formacie </w:t>
      </w:r>
      <w:r w:rsidR="00967164" w:rsidRPr="0047421D">
        <w:rPr>
          <w:lang w:bidi="bn-BD"/>
        </w:rPr>
        <w:t xml:space="preserve">UTF-8, zgodnie z </w:t>
      </w:r>
      <w:r w:rsidR="00967164" w:rsidRPr="0047421D">
        <w:rPr>
          <w:lang w:bidi="bn-BD"/>
        </w:rPr>
        <w:lastRenderedPageBreak/>
        <w:t xml:space="preserve">Rozporządzeniem Rady Ministrów z dnia 12 kwietnia 2012 r. w sprawie Krajowych Ram Interoperacyjności, minimalnych wymagań dla rejestrów publicznych i </w:t>
      </w:r>
      <w:r w:rsidR="00967164" w:rsidRPr="008510A5">
        <w:rPr>
          <w:lang w:bidi="bn-BD"/>
        </w:rPr>
        <w:t>wymiany informacji w postaci elektronicznej oraz minimalnych wymagań dla systemów teleinformatycznych.</w:t>
      </w:r>
    </w:p>
    <w:p w14:paraId="0B3A1C00" w14:textId="32C94CB5" w:rsidR="004F769A" w:rsidRPr="008510A5" w:rsidRDefault="00ED1E45" w:rsidP="0047421D">
      <w:pPr>
        <w:spacing w:line="360" w:lineRule="auto"/>
        <w:jc w:val="both"/>
        <w:rPr>
          <w:lang w:bidi="bn-BD"/>
        </w:rPr>
      </w:pPr>
      <w:r w:rsidRPr="008510A5">
        <w:rPr>
          <w:lang w:bidi="bn-BD"/>
        </w:rPr>
        <w:t xml:space="preserve">Witryna </w:t>
      </w:r>
      <w:r w:rsidR="004F769A" w:rsidRPr="008510A5">
        <w:rPr>
          <w:lang w:bidi="bn-BD"/>
        </w:rPr>
        <w:t>prezentująca dane</w:t>
      </w:r>
      <w:r w:rsidRPr="008510A5">
        <w:rPr>
          <w:lang w:bidi="bn-BD"/>
        </w:rPr>
        <w:t xml:space="preserve"> powinna spełniać wymien</w:t>
      </w:r>
      <w:r w:rsidR="0047421D" w:rsidRPr="008510A5">
        <w:rPr>
          <w:lang w:bidi="bn-BD"/>
        </w:rPr>
        <w:t>ione poniżej istotne wymagania.</w:t>
      </w:r>
    </w:p>
    <w:p w14:paraId="6F907C6A" w14:textId="77777777" w:rsidR="0047421D" w:rsidRPr="008510A5" w:rsidRDefault="0047421D" w:rsidP="0047421D">
      <w:pPr>
        <w:spacing w:line="360" w:lineRule="auto"/>
        <w:jc w:val="both"/>
        <w:rPr>
          <w:lang w:bidi="bn-BD"/>
        </w:rPr>
      </w:pPr>
    </w:p>
    <w:p w14:paraId="779DF291" w14:textId="60C60314" w:rsidR="00594E3E" w:rsidRPr="008510A5" w:rsidRDefault="00ED1E45" w:rsidP="0047421D">
      <w:pPr>
        <w:spacing w:line="360" w:lineRule="auto"/>
        <w:jc w:val="both"/>
        <w:rPr>
          <w:lang w:bidi="bn-BD"/>
        </w:rPr>
      </w:pPr>
      <w:r w:rsidRPr="008510A5">
        <w:rPr>
          <w:lang w:bidi="bn-BD"/>
        </w:rPr>
        <w:t>Należy zapewnić:</w:t>
      </w:r>
    </w:p>
    <w:p w14:paraId="6F715C45" w14:textId="25DD6872" w:rsidR="00ED1E45" w:rsidRPr="008510A5" w:rsidRDefault="001C1C3E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8510A5">
        <w:rPr>
          <w:lang w:bidi="bn-BD"/>
        </w:rPr>
        <w:t>w</w:t>
      </w:r>
      <w:r w:rsidR="00B35038" w:rsidRPr="008510A5">
        <w:rPr>
          <w:lang w:bidi="bn-BD"/>
        </w:rPr>
        <w:t>ykonanie serwisu zgodnie ze standardami w3c;</w:t>
      </w:r>
    </w:p>
    <w:p w14:paraId="6AEDBC00" w14:textId="6C2ADF84" w:rsidR="00ED1E45" w:rsidRPr="008510A5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8510A5">
        <w:rPr>
          <w:lang w:bidi="bn-BD"/>
        </w:rPr>
        <w:t>zastosowanie różnych systemów nawigacji głównej i pomocniczych</w:t>
      </w:r>
      <w:r w:rsidR="00E13AB6" w:rsidRPr="008510A5">
        <w:rPr>
          <w:lang w:bidi="bn-BD"/>
        </w:rPr>
        <w:t xml:space="preserve"> (menu)</w:t>
      </w:r>
      <w:r w:rsidRPr="008510A5">
        <w:rPr>
          <w:lang w:bidi="bn-BD"/>
        </w:rPr>
        <w:t>, które będzie można tworzyć i edytować przez panel administracyjny;</w:t>
      </w:r>
    </w:p>
    <w:p w14:paraId="3D522C6F" w14:textId="642485D6" w:rsidR="00ED1E45" w:rsidRPr="008510A5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8510A5">
        <w:rPr>
          <w:lang w:bidi="bn-BD"/>
        </w:rPr>
        <w:t xml:space="preserve">pełną </w:t>
      </w:r>
      <w:proofErr w:type="spellStart"/>
      <w:r w:rsidRPr="008510A5">
        <w:rPr>
          <w:lang w:bidi="bn-BD"/>
        </w:rPr>
        <w:t>responsywność</w:t>
      </w:r>
      <w:proofErr w:type="spellEnd"/>
      <w:r w:rsidRPr="008510A5">
        <w:rPr>
          <w:lang w:bidi="bn-BD"/>
        </w:rPr>
        <w:t xml:space="preserve"> (płynną obsługę za pomocą urządzeń mobilnych – smartfony, tablety, panele dotykowe etc.)</w:t>
      </w:r>
      <w:r w:rsidR="00A97D69" w:rsidRPr="008510A5">
        <w:rPr>
          <w:lang w:bidi="bn-BD"/>
        </w:rPr>
        <w:t xml:space="preserve"> dla najbardziej popularnych systemów: Android, iOS</w:t>
      </w:r>
      <w:r w:rsidRPr="008510A5">
        <w:rPr>
          <w:lang w:bidi="bn-BD"/>
        </w:rPr>
        <w:t>;</w:t>
      </w:r>
    </w:p>
    <w:p w14:paraId="00337606" w14:textId="02447CC1" w:rsidR="00594E3E" w:rsidRPr="008510A5" w:rsidRDefault="00996E57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8510A5">
        <w:rPr>
          <w:lang w:bidi="bn-BD"/>
        </w:rPr>
        <w:t>u</w:t>
      </w:r>
      <w:r w:rsidR="00261F92" w:rsidRPr="008510A5">
        <w:rPr>
          <w:lang w:bidi="bn-BD"/>
        </w:rPr>
        <w:t xml:space="preserve">trzymanie na odpowiednim poziomie bezpieczeństwa dostępu do redagowania strony. Możliwość edycji treści strony będzie możliwa dla właściwego poziomu uprawnień. </w:t>
      </w:r>
      <w:r w:rsidR="00A57ACB" w:rsidRPr="008510A5">
        <w:rPr>
          <w:lang w:bidi="bn-BD"/>
        </w:rPr>
        <w:br/>
      </w:r>
      <w:r w:rsidR="00261F92" w:rsidRPr="008510A5">
        <w:rPr>
          <w:lang w:bidi="bn-BD"/>
        </w:rPr>
        <w:t>W ramach systemu CMS, musi być możliwe spójne zarządzanie użytkownikami z podziałem na role administratora, redaktora, autora i współpracownika serwisu</w:t>
      </w:r>
      <w:r w:rsidR="004F753E" w:rsidRPr="008510A5">
        <w:rPr>
          <w:lang w:bidi="bn-BD"/>
        </w:rPr>
        <w:t>. Konieczne jest również udostępnienie narzędzia, które umożliwi zamawiającemu</w:t>
      </w:r>
      <w:r w:rsidR="00EF3197" w:rsidRPr="008510A5">
        <w:rPr>
          <w:lang w:bidi="bn-BD"/>
        </w:rPr>
        <w:t xml:space="preserve"> </w:t>
      </w:r>
      <w:r w:rsidR="00594E3E" w:rsidRPr="008510A5">
        <w:rPr>
          <w:lang w:bidi="bn-BD"/>
        </w:rPr>
        <w:t>zasilanie</w:t>
      </w:r>
      <w:r w:rsidR="00EF3197" w:rsidRPr="008510A5">
        <w:rPr>
          <w:lang w:bidi="bn-BD"/>
        </w:rPr>
        <w:t xml:space="preserve"> bazy danych danymi</w:t>
      </w:r>
      <w:r w:rsidR="004F753E" w:rsidRPr="008510A5">
        <w:rPr>
          <w:lang w:bidi="bn-BD"/>
        </w:rPr>
        <w:t xml:space="preserve"> </w:t>
      </w:r>
      <w:r w:rsidR="00A57ACB" w:rsidRPr="008510A5">
        <w:rPr>
          <w:lang w:bidi="bn-BD"/>
        </w:rPr>
        <w:br/>
      </w:r>
      <w:r w:rsidR="004F753E" w:rsidRPr="008510A5">
        <w:rPr>
          <w:lang w:bidi="bn-BD"/>
        </w:rPr>
        <w:t>z tabelarycznych plików zewnętrznych (</w:t>
      </w:r>
      <w:proofErr w:type="spellStart"/>
      <w:r w:rsidR="004F753E" w:rsidRPr="008510A5">
        <w:rPr>
          <w:lang w:bidi="bn-BD"/>
        </w:rPr>
        <w:t>csv</w:t>
      </w:r>
      <w:proofErr w:type="spellEnd"/>
      <w:r w:rsidR="004F753E" w:rsidRPr="008510A5">
        <w:rPr>
          <w:lang w:bidi="bn-BD"/>
        </w:rPr>
        <w:t xml:space="preserve">, </w:t>
      </w:r>
      <w:proofErr w:type="spellStart"/>
      <w:r w:rsidR="004F753E" w:rsidRPr="008510A5">
        <w:rPr>
          <w:lang w:bidi="bn-BD"/>
        </w:rPr>
        <w:t>excel</w:t>
      </w:r>
      <w:proofErr w:type="spellEnd"/>
      <w:r w:rsidR="004F753E" w:rsidRPr="008510A5">
        <w:rPr>
          <w:lang w:bidi="bn-BD"/>
        </w:rPr>
        <w:t>)</w:t>
      </w:r>
      <w:r w:rsidR="00ED1E45" w:rsidRPr="008510A5">
        <w:rPr>
          <w:lang w:bidi="bn-BD"/>
        </w:rPr>
        <w:t>;</w:t>
      </w:r>
    </w:p>
    <w:p w14:paraId="42B0A458" w14:textId="17C44A52" w:rsidR="00594E3E" w:rsidRPr="008510A5" w:rsidRDefault="00594E3E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8510A5">
        <w:rPr>
          <w:rFonts w:eastAsiaTheme="minorHAnsi"/>
          <w:bCs/>
          <w:iCs/>
          <w:lang w:eastAsia="en-US"/>
        </w:rPr>
        <w:t xml:space="preserve">Funkcjonalności </w:t>
      </w:r>
      <w:proofErr w:type="spellStart"/>
      <w:r w:rsidRPr="008510A5">
        <w:rPr>
          <w:rFonts w:eastAsiaTheme="minorHAnsi"/>
          <w:bCs/>
          <w:iCs/>
          <w:lang w:eastAsia="en-US"/>
        </w:rPr>
        <w:t>CMSa</w:t>
      </w:r>
      <w:proofErr w:type="spellEnd"/>
      <w:r w:rsidRPr="008510A5">
        <w:rPr>
          <w:rFonts w:eastAsiaTheme="minorHAnsi"/>
          <w:bCs/>
          <w:iCs/>
          <w:lang w:eastAsia="en-US"/>
        </w:rPr>
        <w:t xml:space="preserve"> dotyczące poszczególnych modułów</w:t>
      </w:r>
      <w:r w:rsidR="00DF0A48" w:rsidRPr="008510A5">
        <w:rPr>
          <w:rFonts w:eastAsiaTheme="minorHAnsi"/>
          <w:bCs/>
          <w:iCs/>
          <w:lang w:eastAsia="en-US"/>
        </w:rPr>
        <w:t>:</w:t>
      </w:r>
    </w:p>
    <w:p w14:paraId="0D9DA2E8" w14:textId="77777777" w:rsidR="00594E3E" w:rsidRPr="008510A5" w:rsidRDefault="00594E3E" w:rsidP="0047421D">
      <w:pPr>
        <w:tabs>
          <w:tab w:val="left" w:pos="720"/>
        </w:tabs>
        <w:autoSpaceDE w:val="0"/>
        <w:autoSpaceDN w:val="0"/>
        <w:adjustRightInd w:val="0"/>
        <w:spacing w:line="360" w:lineRule="auto"/>
        <w:ind w:hanging="340"/>
        <w:jc w:val="both"/>
        <w:rPr>
          <w:rFonts w:eastAsiaTheme="minorHAnsi"/>
          <w:lang w:eastAsia="en-US"/>
        </w:rPr>
      </w:pPr>
      <w:r w:rsidRPr="008510A5">
        <w:rPr>
          <w:rFonts w:eastAsiaTheme="minorHAnsi"/>
          <w:lang w:eastAsia="en-US"/>
        </w:rPr>
        <w:t>•</w:t>
      </w:r>
      <w:r w:rsidRPr="008510A5">
        <w:rPr>
          <w:rFonts w:eastAsiaTheme="minorHAnsi"/>
          <w:lang w:eastAsia="en-US"/>
        </w:rPr>
        <w:tab/>
        <w:t xml:space="preserve">moduł typu strony głównej - obsługa:  </w:t>
      </w:r>
    </w:p>
    <w:p w14:paraId="737F5713" w14:textId="77777777" w:rsidR="00594E3E" w:rsidRPr="008510A5" w:rsidRDefault="00594E3E" w:rsidP="0047421D">
      <w:pPr>
        <w:tabs>
          <w:tab w:val="left" w:pos="1516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rFonts w:eastAsiaTheme="minorHAnsi"/>
          <w:lang w:eastAsia="en-US"/>
        </w:rPr>
      </w:pPr>
      <w:r w:rsidRPr="008510A5">
        <w:rPr>
          <w:rFonts w:eastAsiaTheme="minorHAnsi"/>
          <w:lang w:eastAsia="en-US"/>
        </w:rPr>
        <w:t>▪</w:t>
      </w:r>
      <w:r w:rsidRPr="008510A5">
        <w:rPr>
          <w:rFonts w:eastAsiaTheme="minorHAnsi"/>
          <w:lang w:eastAsia="en-US"/>
        </w:rPr>
        <w:tab/>
        <w:t>modyfikacji lub wyłączenia ekranu powitalnego,</w:t>
      </w:r>
    </w:p>
    <w:p w14:paraId="773C67F7" w14:textId="77777777" w:rsidR="00594E3E" w:rsidRPr="0047421D" w:rsidRDefault="00594E3E" w:rsidP="0047421D">
      <w:pPr>
        <w:tabs>
          <w:tab w:val="left" w:pos="1516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rFonts w:eastAsiaTheme="minorHAnsi"/>
          <w:color w:val="000000"/>
          <w:lang w:eastAsia="en-US"/>
        </w:rPr>
      </w:pPr>
      <w:r w:rsidRPr="0047421D">
        <w:rPr>
          <w:rFonts w:eastAsiaTheme="minorHAnsi"/>
          <w:color w:val="000000"/>
          <w:lang w:eastAsia="en-US"/>
        </w:rPr>
        <w:t>▪</w:t>
      </w:r>
      <w:r w:rsidRPr="0047421D">
        <w:rPr>
          <w:rFonts w:eastAsiaTheme="minorHAnsi"/>
          <w:color w:val="000000"/>
          <w:lang w:eastAsia="en-US"/>
        </w:rPr>
        <w:tab/>
        <w:t>modyfikacji elementów znajdujących się na stronie głównej,</w:t>
      </w:r>
    </w:p>
    <w:p w14:paraId="636D5681" w14:textId="77777777" w:rsidR="00594E3E" w:rsidRPr="0047421D" w:rsidRDefault="00594E3E" w:rsidP="0047421D">
      <w:pPr>
        <w:tabs>
          <w:tab w:val="left" w:pos="1516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rFonts w:eastAsiaTheme="minorHAnsi"/>
          <w:color w:val="000000"/>
          <w:lang w:eastAsia="en-US"/>
        </w:rPr>
      </w:pPr>
      <w:r w:rsidRPr="0047421D">
        <w:rPr>
          <w:rFonts w:eastAsiaTheme="minorHAnsi"/>
          <w:color w:val="000000"/>
          <w:lang w:eastAsia="en-US"/>
        </w:rPr>
        <w:t>▪</w:t>
      </w:r>
      <w:r w:rsidRPr="0047421D">
        <w:rPr>
          <w:rFonts w:eastAsiaTheme="minorHAnsi"/>
          <w:color w:val="000000"/>
          <w:lang w:eastAsia="en-US"/>
        </w:rPr>
        <w:tab/>
        <w:t>edycji rozkładu elementów na stronie,</w:t>
      </w:r>
    </w:p>
    <w:p w14:paraId="749C82BA" w14:textId="77777777" w:rsidR="00594E3E" w:rsidRPr="0047421D" w:rsidRDefault="00594E3E" w:rsidP="0047421D">
      <w:pPr>
        <w:tabs>
          <w:tab w:val="left" w:pos="1516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rFonts w:eastAsiaTheme="minorHAnsi"/>
          <w:color w:val="000000"/>
          <w:lang w:eastAsia="en-US"/>
        </w:rPr>
      </w:pPr>
      <w:r w:rsidRPr="0047421D">
        <w:rPr>
          <w:rFonts w:eastAsiaTheme="minorHAnsi"/>
          <w:color w:val="000000"/>
          <w:lang w:eastAsia="en-US"/>
        </w:rPr>
        <w:t>▪</w:t>
      </w:r>
      <w:r w:rsidRPr="0047421D">
        <w:rPr>
          <w:rFonts w:eastAsiaTheme="minorHAnsi"/>
          <w:color w:val="000000"/>
          <w:lang w:eastAsia="en-US"/>
        </w:rPr>
        <w:tab/>
        <w:t>dodawanie nowych podstron,</w:t>
      </w:r>
    </w:p>
    <w:p w14:paraId="3350210B" w14:textId="77777777" w:rsidR="00594E3E" w:rsidRPr="0047421D" w:rsidRDefault="00594E3E" w:rsidP="0047421D">
      <w:pPr>
        <w:tabs>
          <w:tab w:val="left" w:pos="1516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rFonts w:eastAsiaTheme="minorHAnsi"/>
          <w:color w:val="000000"/>
          <w:lang w:eastAsia="en-US"/>
        </w:rPr>
      </w:pPr>
      <w:r w:rsidRPr="0047421D">
        <w:rPr>
          <w:rFonts w:eastAsiaTheme="minorHAnsi"/>
          <w:color w:val="000000"/>
          <w:lang w:eastAsia="en-US"/>
        </w:rPr>
        <w:t>▪</w:t>
      </w:r>
      <w:r w:rsidRPr="0047421D">
        <w:rPr>
          <w:rFonts w:eastAsiaTheme="minorHAnsi"/>
          <w:color w:val="000000"/>
          <w:lang w:eastAsia="en-US"/>
        </w:rPr>
        <w:tab/>
        <w:t>aktywacja i dezaktywacja okienka z losowo wybieranymi rezultatami.</w:t>
      </w:r>
    </w:p>
    <w:p w14:paraId="2410660F" w14:textId="77777777" w:rsidR="00594E3E" w:rsidRPr="0047421D" w:rsidRDefault="00594E3E" w:rsidP="0047421D">
      <w:pPr>
        <w:tabs>
          <w:tab w:val="left" w:pos="720"/>
        </w:tabs>
        <w:autoSpaceDE w:val="0"/>
        <w:autoSpaceDN w:val="0"/>
        <w:adjustRightInd w:val="0"/>
        <w:spacing w:line="360" w:lineRule="auto"/>
        <w:ind w:hanging="340"/>
        <w:jc w:val="both"/>
        <w:rPr>
          <w:rFonts w:eastAsiaTheme="minorHAnsi"/>
          <w:color w:val="000000"/>
          <w:lang w:eastAsia="en-US"/>
        </w:rPr>
      </w:pPr>
      <w:r w:rsidRPr="0047421D">
        <w:rPr>
          <w:rFonts w:eastAsiaTheme="minorHAnsi"/>
          <w:color w:val="000000"/>
          <w:lang w:eastAsia="en-US"/>
        </w:rPr>
        <w:t>•</w:t>
      </w:r>
      <w:r w:rsidRPr="0047421D">
        <w:rPr>
          <w:rFonts w:eastAsiaTheme="minorHAnsi"/>
          <w:color w:val="000000"/>
          <w:lang w:eastAsia="en-US"/>
        </w:rPr>
        <w:tab/>
        <w:t>pozostałe moduły:</w:t>
      </w:r>
    </w:p>
    <w:p w14:paraId="242816BB" w14:textId="6D723F49" w:rsidR="00594E3E" w:rsidRPr="0047421D" w:rsidRDefault="00594E3E" w:rsidP="0047421D">
      <w:pPr>
        <w:tabs>
          <w:tab w:val="left" w:pos="1516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rFonts w:eastAsiaTheme="minorHAnsi"/>
          <w:color w:val="000000"/>
          <w:lang w:eastAsia="en-US"/>
        </w:rPr>
      </w:pPr>
      <w:r w:rsidRPr="0047421D">
        <w:rPr>
          <w:rFonts w:eastAsiaTheme="minorHAnsi"/>
          <w:color w:val="000000"/>
          <w:lang w:eastAsia="en-US"/>
        </w:rPr>
        <w:t>▪</w:t>
      </w:r>
      <w:r w:rsidR="00710227" w:rsidRPr="0047421D">
        <w:rPr>
          <w:rFonts w:eastAsiaTheme="minorHAnsi"/>
          <w:color w:val="000000"/>
          <w:lang w:eastAsia="en-US"/>
        </w:rPr>
        <w:tab/>
        <w:t>formularz mapy itp.</w:t>
      </w:r>
      <w:r w:rsidRPr="0047421D">
        <w:rPr>
          <w:rFonts w:eastAsiaTheme="minorHAnsi"/>
          <w:color w:val="000000"/>
          <w:lang w:eastAsia="en-US"/>
        </w:rPr>
        <w:t xml:space="preserve"> </w:t>
      </w:r>
    </w:p>
    <w:p w14:paraId="30FCD023" w14:textId="77777777" w:rsidR="00594E3E" w:rsidRPr="0047421D" w:rsidRDefault="00594E3E" w:rsidP="0047421D">
      <w:pPr>
        <w:tabs>
          <w:tab w:val="left" w:pos="1516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rFonts w:eastAsiaTheme="minorHAnsi"/>
          <w:color w:val="000000"/>
          <w:lang w:eastAsia="en-US"/>
        </w:rPr>
      </w:pPr>
      <w:r w:rsidRPr="0047421D">
        <w:rPr>
          <w:rFonts w:eastAsiaTheme="minorHAnsi"/>
          <w:color w:val="000000"/>
          <w:lang w:eastAsia="en-US"/>
        </w:rPr>
        <w:t>▪</w:t>
      </w:r>
      <w:r w:rsidRPr="0047421D">
        <w:rPr>
          <w:rFonts w:eastAsiaTheme="minorHAnsi"/>
          <w:color w:val="000000"/>
          <w:lang w:eastAsia="en-US"/>
        </w:rPr>
        <w:tab/>
        <w:t>formularz kontaktowy,</w:t>
      </w:r>
    </w:p>
    <w:p w14:paraId="6DC99E23" w14:textId="77777777" w:rsidR="00594E3E" w:rsidRPr="0047421D" w:rsidRDefault="00594E3E" w:rsidP="0047421D">
      <w:pPr>
        <w:tabs>
          <w:tab w:val="left" w:pos="1516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rFonts w:eastAsiaTheme="minorHAnsi"/>
          <w:color w:val="000000"/>
          <w:lang w:eastAsia="en-US"/>
        </w:rPr>
      </w:pPr>
      <w:r w:rsidRPr="0047421D">
        <w:rPr>
          <w:rFonts w:eastAsiaTheme="minorHAnsi"/>
          <w:color w:val="000000"/>
          <w:lang w:eastAsia="en-US"/>
        </w:rPr>
        <w:t>▪</w:t>
      </w:r>
      <w:r w:rsidRPr="0047421D">
        <w:rPr>
          <w:rFonts w:eastAsiaTheme="minorHAnsi"/>
          <w:color w:val="000000"/>
          <w:lang w:eastAsia="en-US"/>
        </w:rPr>
        <w:tab/>
        <w:t>mapa serwisu,</w:t>
      </w:r>
    </w:p>
    <w:p w14:paraId="6AC4933B" w14:textId="77777777" w:rsidR="00594E3E" w:rsidRPr="0047421D" w:rsidRDefault="00594E3E" w:rsidP="0047421D">
      <w:pPr>
        <w:tabs>
          <w:tab w:val="left" w:pos="1516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rFonts w:eastAsiaTheme="minorHAnsi"/>
          <w:color w:val="000000"/>
          <w:lang w:eastAsia="en-US"/>
        </w:rPr>
      </w:pPr>
      <w:r w:rsidRPr="0047421D">
        <w:rPr>
          <w:rFonts w:eastAsiaTheme="minorHAnsi"/>
          <w:color w:val="000000"/>
          <w:lang w:eastAsia="en-US"/>
        </w:rPr>
        <w:t>▪</w:t>
      </w:r>
      <w:r w:rsidRPr="0047421D">
        <w:rPr>
          <w:rFonts w:eastAsiaTheme="minorHAnsi"/>
          <w:color w:val="000000"/>
          <w:lang w:eastAsia="en-US"/>
        </w:rPr>
        <w:tab/>
        <w:t>pozostałe serwisy,</w:t>
      </w:r>
    </w:p>
    <w:p w14:paraId="12513BA4" w14:textId="77777777" w:rsidR="00594E3E" w:rsidRPr="0047421D" w:rsidRDefault="00594E3E" w:rsidP="0047421D">
      <w:pPr>
        <w:tabs>
          <w:tab w:val="left" w:pos="1516"/>
        </w:tabs>
        <w:autoSpaceDE w:val="0"/>
        <w:autoSpaceDN w:val="0"/>
        <w:adjustRightInd w:val="0"/>
        <w:spacing w:line="360" w:lineRule="auto"/>
        <w:ind w:left="417" w:hanging="360"/>
        <w:jc w:val="both"/>
        <w:rPr>
          <w:rFonts w:eastAsiaTheme="minorHAnsi"/>
          <w:color w:val="000000"/>
          <w:lang w:eastAsia="en-US"/>
        </w:rPr>
      </w:pPr>
      <w:r w:rsidRPr="0047421D">
        <w:rPr>
          <w:rFonts w:eastAsiaTheme="minorHAnsi"/>
          <w:color w:val="000000"/>
          <w:lang w:eastAsia="en-US"/>
        </w:rPr>
        <w:t>▪</w:t>
      </w:r>
      <w:r w:rsidRPr="0047421D">
        <w:rPr>
          <w:rFonts w:eastAsiaTheme="minorHAnsi"/>
          <w:color w:val="000000"/>
          <w:lang w:eastAsia="en-US"/>
        </w:rPr>
        <w:tab/>
        <w:t>strona opisowa,</w:t>
      </w:r>
    </w:p>
    <w:p w14:paraId="48A6D11A" w14:textId="4A6A4376" w:rsidR="00594E3E" w:rsidRPr="0047421D" w:rsidRDefault="005A23CB" w:rsidP="0047421D">
      <w:pPr>
        <w:suppressAutoHyphens/>
        <w:spacing w:line="360" w:lineRule="auto"/>
        <w:ind w:left="57"/>
        <w:jc w:val="both"/>
        <w:textAlignment w:val="baseline"/>
        <w:rPr>
          <w:lang w:bidi="bn-BD"/>
        </w:rPr>
      </w:pPr>
      <w:r w:rsidRPr="0047421D">
        <w:rPr>
          <w:color w:val="000000"/>
        </w:rPr>
        <w:t xml:space="preserve">▪     </w:t>
      </w:r>
      <w:r w:rsidR="00594E3E" w:rsidRPr="0047421D">
        <w:rPr>
          <w:color w:val="000000"/>
        </w:rPr>
        <w:t>wyniki wyszukiwania.</w:t>
      </w:r>
    </w:p>
    <w:p w14:paraId="3A9F7EA6" w14:textId="7BF09E1B" w:rsidR="00A57ACB" w:rsidRPr="0047421D" w:rsidRDefault="0054119E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lastRenderedPageBreak/>
        <w:t xml:space="preserve">usługę modernizacji i rozwoju aplikacji w okresie od </w:t>
      </w:r>
      <w:r w:rsidR="00014C0E">
        <w:t xml:space="preserve">dnia </w:t>
      </w:r>
      <w:r w:rsidRPr="0047421D">
        <w:t>odbioru narzędzia</w:t>
      </w:r>
      <w:r w:rsidR="00014C0E">
        <w:t xml:space="preserve"> </w:t>
      </w:r>
      <w:r w:rsidR="00F11234">
        <w:t xml:space="preserve">do 30 czerwca 2021 r. </w:t>
      </w:r>
      <w:r w:rsidRPr="0047421D">
        <w:t xml:space="preserve"> – nie więcej niż 1</w:t>
      </w:r>
      <w:r w:rsidR="00F11234">
        <w:t>80</w:t>
      </w:r>
      <w:r w:rsidRPr="0047421D">
        <w:t xml:space="preserve"> godzin pracy programisty;</w:t>
      </w:r>
    </w:p>
    <w:p w14:paraId="4E7E972B" w14:textId="4D7CA375" w:rsidR="009E001F" w:rsidRPr="0047421D" w:rsidRDefault="009E001F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t xml:space="preserve">opracowanie instrukcji użytkownika i administratora </w:t>
      </w:r>
      <w:r w:rsidR="00793489" w:rsidRPr="0047421D">
        <w:t>zawierającej procedury obsługi aplikacji oraz przeszkolenie</w:t>
      </w:r>
      <w:r w:rsidR="000171A3" w:rsidRPr="0047421D">
        <w:t xml:space="preserve"> z obsługi narzędzia</w:t>
      </w:r>
      <w:r w:rsidR="00793489" w:rsidRPr="0047421D">
        <w:t xml:space="preserve"> maksymalnie 5 przedstawicieli Zamawiającego;</w:t>
      </w:r>
    </w:p>
    <w:p w14:paraId="5FA5D536" w14:textId="73A9BE29" w:rsidR="00A57ACB" w:rsidRPr="0047421D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 xml:space="preserve">posiadanie wersji dla osób słabowidzących (najważniejsze informacje), zgodnej z rekomendacjami WEB CONTENT ACCESSIBILITY GUIDELINES WCAG 2.0 dla systemów teleinformatycznych w zakresie dostępności dla osób niepełnosprawnych, </w:t>
      </w:r>
      <w:r w:rsidR="00007EB5" w:rsidRPr="0047421D">
        <w:rPr>
          <w:lang w:bidi="bn-BD"/>
        </w:rPr>
        <w:br/>
      </w:r>
      <w:r w:rsidRPr="0047421D">
        <w:rPr>
          <w:lang w:bidi="bn-BD"/>
        </w:rPr>
        <w:t>z uwzględnieniem poziomu AA;</w:t>
      </w:r>
    </w:p>
    <w:p w14:paraId="4A3DD8D6" w14:textId="77777777" w:rsidR="00A57ACB" w:rsidRPr="0047421D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uzyskanie pozytywnego wyniku testów na rzetelność kodu za pomocą narzędzia W3C HTML VALIDATOR oraz W3C HTML VALIDATOR (LEVEL 2.1);</w:t>
      </w:r>
    </w:p>
    <w:p w14:paraId="0DAB5EB1" w14:textId="5D16F347" w:rsidR="00A57ACB" w:rsidRPr="0047421D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 xml:space="preserve">szatę graficzną </w:t>
      </w:r>
      <w:r w:rsidR="00123C3D" w:rsidRPr="0047421D">
        <w:rPr>
          <w:lang w:bidi="bn-BD"/>
        </w:rPr>
        <w:t>spójną ze</w:t>
      </w:r>
      <w:r w:rsidRPr="0047421D">
        <w:rPr>
          <w:lang w:bidi="bn-BD"/>
        </w:rPr>
        <w:t xml:space="preserve"> stron</w:t>
      </w:r>
      <w:r w:rsidR="00123C3D" w:rsidRPr="0047421D">
        <w:rPr>
          <w:lang w:bidi="bn-BD"/>
        </w:rPr>
        <w:t>ą</w:t>
      </w:r>
      <w:r w:rsidRPr="0047421D">
        <w:rPr>
          <w:lang w:bidi="bn-BD"/>
        </w:rPr>
        <w:t xml:space="preserve"> internetow</w:t>
      </w:r>
      <w:r w:rsidR="00123C3D" w:rsidRPr="0047421D">
        <w:rPr>
          <w:lang w:bidi="bn-BD"/>
        </w:rPr>
        <w:t>ą</w:t>
      </w:r>
      <w:r w:rsidRPr="0047421D">
        <w:rPr>
          <w:lang w:bidi="bn-BD"/>
        </w:rPr>
        <w:t xml:space="preserve"> </w:t>
      </w:r>
      <w:r w:rsidR="004F0A93" w:rsidRPr="0047421D">
        <w:rPr>
          <w:lang w:bidi="bn-BD"/>
        </w:rPr>
        <w:t>Departa</w:t>
      </w:r>
      <w:r w:rsidR="00A57ACB" w:rsidRPr="0047421D">
        <w:rPr>
          <w:lang w:bidi="bn-BD"/>
        </w:rPr>
        <w:t xml:space="preserve">mentu </w:t>
      </w:r>
      <w:r w:rsidR="00A57ACB" w:rsidRPr="0047421D">
        <w:rPr>
          <w:lang w:bidi="bn-BD"/>
        </w:rPr>
        <w:br/>
        <w:t xml:space="preserve">tj. </w:t>
      </w:r>
      <w:hyperlink r:id="rId11" w:history="1">
        <w:r w:rsidR="00E13AB6" w:rsidRPr="0047421D">
          <w:rPr>
            <w:rStyle w:val="Hipercze"/>
            <w:lang w:bidi="bn-BD"/>
          </w:rPr>
          <w:t>www.ekonomiaspoleczna.gov.pl</w:t>
        </w:r>
      </w:hyperlink>
      <w:r w:rsidRPr="0047421D">
        <w:rPr>
          <w:lang w:bidi="bn-BD"/>
        </w:rPr>
        <w:t>;</w:t>
      </w:r>
      <w:r w:rsidR="00E13AB6" w:rsidRPr="0047421D">
        <w:rPr>
          <w:lang w:bidi="bn-BD"/>
        </w:rPr>
        <w:t xml:space="preserve"> </w:t>
      </w:r>
      <w:r w:rsidR="00DB00FA" w:rsidRPr="0047421D">
        <w:rPr>
          <w:lang w:bidi="bn-BD"/>
        </w:rPr>
        <w:t xml:space="preserve">z </w:t>
      </w:r>
      <w:r w:rsidR="00E13AB6" w:rsidRPr="0047421D">
        <w:rPr>
          <w:lang w:bidi="bn-BD"/>
        </w:rPr>
        <w:t>możliwością wprowadzenia do nie</w:t>
      </w:r>
      <w:r w:rsidR="00A57ACB" w:rsidRPr="0047421D">
        <w:rPr>
          <w:lang w:bidi="bn-BD"/>
        </w:rPr>
        <w:t xml:space="preserve">j modyfikacji </w:t>
      </w:r>
      <w:r w:rsidR="00E13AB6" w:rsidRPr="0047421D">
        <w:rPr>
          <w:lang w:bidi="bn-BD"/>
        </w:rPr>
        <w:t>kolorystyki (np. wersja na okres żałoby narodowej</w:t>
      </w:r>
      <w:r w:rsidR="00123C3D" w:rsidRPr="0047421D">
        <w:rPr>
          <w:lang w:bidi="bn-BD"/>
        </w:rPr>
        <w:t>)</w:t>
      </w:r>
      <w:r w:rsidR="00E13AB6" w:rsidRPr="0047421D">
        <w:rPr>
          <w:lang w:bidi="bn-BD"/>
        </w:rPr>
        <w:t>. Projekt powinien uwzględniać także zastosowanie nazwy i logotyp</w:t>
      </w:r>
      <w:r w:rsidR="00123C3D" w:rsidRPr="0047421D">
        <w:rPr>
          <w:lang w:bidi="bn-BD"/>
        </w:rPr>
        <w:t xml:space="preserve">ów: Ministerstwa Rodziny, Pracy i Polityki Społecznej, </w:t>
      </w:r>
      <w:r w:rsidR="00BE2C01" w:rsidRPr="0047421D">
        <w:rPr>
          <w:lang w:bidi="bn-BD"/>
        </w:rPr>
        <w:t>Departamentu</w:t>
      </w:r>
      <w:r w:rsidR="00123C3D" w:rsidRPr="0047421D">
        <w:rPr>
          <w:lang w:bidi="bn-BD"/>
        </w:rPr>
        <w:t xml:space="preserve"> Ekonomii S</w:t>
      </w:r>
      <w:r w:rsidR="00BE2C01" w:rsidRPr="0047421D">
        <w:rPr>
          <w:lang w:bidi="bn-BD"/>
        </w:rPr>
        <w:t>p</w:t>
      </w:r>
      <w:r w:rsidR="00123C3D" w:rsidRPr="0047421D">
        <w:rPr>
          <w:lang w:bidi="bn-BD"/>
        </w:rPr>
        <w:t>oł</w:t>
      </w:r>
      <w:r w:rsidR="00BE2C01" w:rsidRPr="0047421D">
        <w:rPr>
          <w:lang w:bidi="bn-BD"/>
        </w:rPr>
        <w:t>e</w:t>
      </w:r>
      <w:r w:rsidR="00123C3D" w:rsidRPr="0047421D">
        <w:rPr>
          <w:lang w:bidi="bn-BD"/>
        </w:rPr>
        <w:t xml:space="preserve">cznej i Solidarnej, Głównego Urzędu Statystycznego, projektu </w:t>
      </w:r>
      <w:r w:rsidR="00DB00FA" w:rsidRPr="0047421D">
        <w:rPr>
          <w:i/>
          <w:lang w:bidi="bn-BD"/>
        </w:rPr>
        <w:t xml:space="preserve">Zintegrowany system monitorowania sektora ekonomii społecznej </w:t>
      </w:r>
      <w:r w:rsidR="00DB00FA" w:rsidRPr="0047421D">
        <w:rPr>
          <w:lang w:bidi="bn-BD"/>
        </w:rPr>
        <w:t>PO WER</w:t>
      </w:r>
      <w:r w:rsidR="00A57ACB" w:rsidRPr="0047421D">
        <w:rPr>
          <w:lang w:bidi="bn-BD"/>
        </w:rPr>
        <w:t>;</w:t>
      </w:r>
    </w:p>
    <w:p w14:paraId="36822AA0" w14:textId="77777777" w:rsidR="00C46AF5" w:rsidRPr="0047421D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używanie przyjaznych dla użytkownika</w:t>
      </w:r>
      <w:r w:rsidR="004F0A93" w:rsidRPr="0047421D">
        <w:rPr>
          <w:lang w:bidi="bn-BD"/>
        </w:rPr>
        <w:t xml:space="preserve"> i zachęcających do korzystania np. </w:t>
      </w:r>
      <w:r w:rsidRPr="0047421D">
        <w:rPr>
          <w:lang w:bidi="bn-BD"/>
        </w:rPr>
        <w:t xml:space="preserve">elementów ruchomych, zmiennych etc. utworzonych za pomocą technologii </w:t>
      </w:r>
      <w:proofErr w:type="spellStart"/>
      <w:r w:rsidRPr="0047421D">
        <w:rPr>
          <w:lang w:bidi="bn-BD"/>
        </w:rPr>
        <w:t>JQuery</w:t>
      </w:r>
      <w:proofErr w:type="spellEnd"/>
      <w:r w:rsidRPr="0047421D">
        <w:rPr>
          <w:lang w:bidi="bn-BD"/>
        </w:rPr>
        <w:t xml:space="preserve"> lub podobnej;</w:t>
      </w:r>
    </w:p>
    <w:p w14:paraId="79AB5D6D" w14:textId="77777777" w:rsidR="00C46AF5" w:rsidRPr="0047421D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 xml:space="preserve">dostęp do witryny z Internetu i poprawne wyświetlanie się w przeglądarkach: Internet Explorer, Mozilla </w:t>
      </w:r>
      <w:proofErr w:type="spellStart"/>
      <w:r w:rsidRPr="0047421D">
        <w:rPr>
          <w:lang w:bidi="bn-BD"/>
        </w:rPr>
        <w:t>Firefox</w:t>
      </w:r>
      <w:proofErr w:type="spellEnd"/>
      <w:r w:rsidRPr="0047421D">
        <w:rPr>
          <w:lang w:bidi="bn-BD"/>
        </w:rPr>
        <w:t xml:space="preserve"> 3+, Safari 5+, Opera 10+, Chrome 5+ (w przypadku braku możliwości poprawnego wyświetlania strony w przeglądarce Internet Explorer lub innych ww. przeglądarkach w wersjach starszych użytkownik powinien być informowany o tym, iż korzysta z przestarzałej wersji przeglądarki i treści na stronach mogą wyświetlać się niepoprawnie)</w:t>
      </w:r>
      <w:r w:rsidR="006773E0" w:rsidRPr="0047421D">
        <w:rPr>
          <w:lang w:bidi="bn-BD"/>
        </w:rPr>
        <w:t>;</w:t>
      </w:r>
    </w:p>
    <w:p w14:paraId="49495752" w14:textId="77777777" w:rsidR="00C46AF5" w:rsidRPr="0047421D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zapełnienie treścią nowej strony na życzenie Zamawiającego</w:t>
      </w:r>
      <w:r w:rsidR="00E13AB6" w:rsidRPr="0047421D">
        <w:rPr>
          <w:lang w:bidi="bn-BD"/>
        </w:rPr>
        <w:t>. Przy czym dane do zasilenia zostaną przygotowane przez Zamawiającego w postaci osobnych plików tekstowych dla każdej z podstrony serwisu</w:t>
      </w:r>
      <w:r w:rsidR="006773E0" w:rsidRPr="0047421D">
        <w:rPr>
          <w:lang w:bidi="bn-BD"/>
        </w:rPr>
        <w:t>;</w:t>
      </w:r>
    </w:p>
    <w:p w14:paraId="08DA2641" w14:textId="77777777" w:rsidR="00C46AF5" w:rsidRPr="0047421D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możliwość dodawania plików, załączników, w dowolnym formacie, przyporządkowanych do wprowadzanej treści;</w:t>
      </w:r>
    </w:p>
    <w:p w14:paraId="162B8E5F" w14:textId="77777777" w:rsidR="00C46AF5" w:rsidRPr="0047421D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zarządzanie i edytowanie obrazami podczas dodawania ich do zawartości witryny;</w:t>
      </w:r>
    </w:p>
    <w:p w14:paraId="30A80F97" w14:textId="77777777" w:rsidR="00C46AF5" w:rsidRPr="0047421D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możliwość edycji linków dla każdego elementu witryny;</w:t>
      </w:r>
    </w:p>
    <w:p w14:paraId="4A513D0E" w14:textId="77777777" w:rsidR="00C46AF5" w:rsidRPr="0047421D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lastRenderedPageBreak/>
        <w:t>wyszukiwarkę na stronie</w:t>
      </w:r>
      <w:r w:rsidR="00230009" w:rsidRPr="0047421D">
        <w:rPr>
          <w:lang w:bidi="bn-BD"/>
        </w:rPr>
        <w:t>, która w sposób skuteczny przeszuka treści umieszczane na podstronach serwisu – również przy uwzględnieniu synonimów szukanych fraz</w:t>
      </w:r>
      <w:r w:rsidRPr="0047421D">
        <w:rPr>
          <w:lang w:bidi="bn-BD"/>
        </w:rPr>
        <w:t>;</w:t>
      </w:r>
    </w:p>
    <w:p w14:paraId="71FAA273" w14:textId="77777777" w:rsidR="00C46AF5" w:rsidRPr="0047421D" w:rsidRDefault="00DC47A4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narzędzie gromadzenia statystyki na temat odwiedzających ją użytkowników (Google Analytics lub równoważne funkcjonalnie). Narzędzie musi umożliwiać wysyłanie na wskazany adres zamawiającego cyklicznie zestawień statystyk strony w różnych przekrojach.</w:t>
      </w:r>
    </w:p>
    <w:p w14:paraId="509E5EEE" w14:textId="77777777" w:rsidR="00C46AF5" w:rsidRPr="0047421D" w:rsidRDefault="00ED1E4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 xml:space="preserve">mapę witryny w formacie </w:t>
      </w:r>
      <w:r w:rsidR="00A57ACB" w:rsidRPr="0047421D">
        <w:rPr>
          <w:lang w:bidi="bn-BD"/>
        </w:rPr>
        <w:t>XML, przyjazną dla wyszukiwarek;</w:t>
      </w:r>
    </w:p>
    <w:p w14:paraId="0944BB31" w14:textId="77777777" w:rsidR="00C46AF5" w:rsidRPr="0047421D" w:rsidRDefault="00C46AF5" w:rsidP="0047421D">
      <w:pPr>
        <w:pStyle w:val="Akapitzlist"/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</w:p>
    <w:p w14:paraId="40265AE9" w14:textId="77777777" w:rsidR="00C46AF5" w:rsidRPr="0047421D" w:rsidRDefault="00402EDC" w:rsidP="0047421D">
      <w:pPr>
        <w:pStyle w:val="Akapitzlist"/>
        <w:suppressAutoHyphens/>
        <w:spacing w:line="360" w:lineRule="auto"/>
        <w:ind w:left="-340"/>
        <w:contextualSpacing w:val="0"/>
        <w:jc w:val="both"/>
        <w:textAlignment w:val="baseline"/>
        <w:rPr>
          <w:u w:val="single"/>
          <w:lang w:bidi="bn-BD"/>
        </w:rPr>
      </w:pPr>
      <w:r w:rsidRPr="0047421D">
        <w:rPr>
          <w:u w:val="single"/>
          <w:lang w:bidi="bn-BD"/>
        </w:rPr>
        <w:t>WYMAGANIA DOTYCZĄCE BEZPIECZEŃSTWA STRONY</w:t>
      </w:r>
    </w:p>
    <w:p w14:paraId="59D2619A" w14:textId="77777777" w:rsidR="00C46AF5" w:rsidRPr="0047421D" w:rsidRDefault="00C46AF5" w:rsidP="0047421D">
      <w:pPr>
        <w:pStyle w:val="Akapitzlist"/>
        <w:suppressAutoHyphens/>
        <w:spacing w:line="360" w:lineRule="auto"/>
        <w:ind w:left="0"/>
        <w:contextualSpacing w:val="0"/>
        <w:jc w:val="both"/>
        <w:textAlignment w:val="baseline"/>
        <w:rPr>
          <w:u w:val="single"/>
          <w:lang w:bidi="bn-BD"/>
        </w:rPr>
      </w:pPr>
    </w:p>
    <w:p w14:paraId="7AB93903" w14:textId="77777777" w:rsidR="00C46AF5" w:rsidRPr="0047421D" w:rsidRDefault="00C46AF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u</w:t>
      </w:r>
      <w:r w:rsidR="00DC47A4" w:rsidRPr="0047421D">
        <w:rPr>
          <w:lang w:bidi="bn-BD"/>
        </w:rPr>
        <w:t xml:space="preserve">trzymanie na odpowiednim poziomie bezpieczeństwa dostępu </w:t>
      </w:r>
      <w:r w:rsidR="000D5939" w:rsidRPr="0047421D">
        <w:rPr>
          <w:lang w:bidi="bn-BD"/>
        </w:rPr>
        <w:t>do redago</w:t>
      </w:r>
      <w:r w:rsidRPr="0047421D">
        <w:rPr>
          <w:lang w:bidi="bn-BD"/>
        </w:rPr>
        <w:t>wania strony;</w:t>
      </w:r>
    </w:p>
    <w:p w14:paraId="54CD2004" w14:textId="29FDDDE7" w:rsidR="000D5939" w:rsidRPr="0047421D" w:rsidRDefault="00DC47A4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edycj</w:t>
      </w:r>
      <w:r w:rsidR="00C46AF5" w:rsidRPr="0047421D">
        <w:rPr>
          <w:lang w:bidi="bn-BD"/>
        </w:rPr>
        <w:t>a</w:t>
      </w:r>
      <w:r w:rsidRPr="0047421D">
        <w:rPr>
          <w:lang w:bidi="bn-BD"/>
        </w:rPr>
        <w:t xml:space="preserve"> treści strony będzie możliwa d</w:t>
      </w:r>
      <w:r w:rsidR="00C46AF5" w:rsidRPr="0047421D">
        <w:rPr>
          <w:lang w:bidi="bn-BD"/>
        </w:rPr>
        <w:t>la właściwego poziomu uprawnień;</w:t>
      </w:r>
      <w:r w:rsidRPr="0047421D">
        <w:rPr>
          <w:lang w:bidi="bn-BD"/>
        </w:rPr>
        <w:t xml:space="preserve"> </w:t>
      </w:r>
    </w:p>
    <w:p w14:paraId="41C8B347" w14:textId="77777777" w:rsidR="00C46AF5" w:rsidRPr="0047421D" w:rsidRDefault="00C46AF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a</w:t>
      </w:r>
      <w:r w:rsidR="00DC47A4" w:rsidRPr="0047421D">
        <w:rPr>
          <w:lang w:bidi="bn-BD"/>
        </w:rPr>
        <w:t>rchiwizacja serwisów w cyklach dziennych ze zdalnym dostępem dla wskazanego – uprawnionego pracownika. Umożliwienie dostępu do bazy i folderu serwisu jak i prawa administracyjne</w:t>
      </w:r>
      <w:r w:rsidRPr="0047421D">
        <w:rPr>
          <w:lang w:bidi="bn-BD"/>
        </w:rPr>
        <w:t xml:space="preserve"> do systemu wprowadzania treści;</w:t>
      </w:r>
    </w:p>
    <w:p w14:paraId="7C339007" w14:textId="6F0D53BA" w:rsidR="000D5939" w:rsidRPr="0047421D" w:rsidRDefault="00C46AF5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d</w:t>
      </w:r>
      <w:r w:rsidR="00DC47A4" w:rsidRPr="0047421D">
        <w:rPr>
          <w:lang w:bidi="bn-BD"/>
        </w:rPr>
        <w:t xml:space="preserve">ostarczenie i konfiguracja certyfikatu SSL typu DV </w:t>
      </w:r>
      <w:proofErr w:type="spellStart"/>
      <w:r w:rsidR="00DC47A4" w:rsidRPr="0047421D">
        <w:rPr>
          <w:lang w:bidi="bn-BD"/>
        </w:rPr>
        <w:t>Wildcard</w:t>
      </w:r>
      <w:proofErr w:type="spellEnd"/>
      <w:r w:rsidR="00DC47A4" w:rsidRPr="0047421D">
        <w:rPr>
          <w:lang w:bidi="bn-BD"/>
        </w:rPr>
        <w:t xml:space="preserve"> zapewniającego ochronę witryny, a także gwarantującego zachowanie poufności danych przesyłanych drogą </w:t>
      </w:r>
      <w:r w:rsidR="00537277" w:rsidRPr="0047421D">
        <w:rPr>
          <w:lang w:bidi="bn-BD"/>
        </w:rPr>
        <w:t>elektroniczną;</w:t>
      </w:r>
      <w:r w:rsidR="000D5939" w:rsidRPr="0047421D">
        <w:rPr>
          <w:lang w:bidi="bn-BD"/>
        </w:rPr>
        <w:t xml:space="preserve"> </w:t>
      </w:r>
    </w:p>
    <w:p w14:paraId="4CC8E114" w14:textId="6D51ED4B" w:rsidR="000D5939" w:rsidRPr="0047421D" w:rsidRDefault="006E62E0" w:rsidP="0047421D">
      <w:pPr>
        <w:suppressAutoHyphens/>
        <w:spacing w:line="360" w:lineRule="auto"/>
        <w:jc w:val="both"/>
        <w:textAlignment w:val="baseline"/>
        <w:rPr>
          <w:lang w:bidi="bn-BD"/>
        </w:rPr>
      </w:pPr>
      <w:r w:rsidRPr="0047421D">
        <w:rPr>
          <w:lang w:bidi="bn-BD"/>
        </w:rPr>
        <w:t xml:space="preserve"> </w:t>
      </w:r>
      <w:r w:rsidR="000D5939" w:rsidRPr="0047421D">
        <w:rPr>
          <w:lang w:bidi="bn-BD"/>
        </w:rPr>
        <w:t>Dodatkowe wymagania:</w:t>
      </w:r>
    </w:p>
    <w:p w14:paraId="6D1B863F" w14:textId="690CE94B" w:rsidR="000D5939" w:rsidRPr="0047421D" w:rsidRDefault="00DC47A4" w:rsidP="0047421D">
      <w:pPr>
        <w:pStyle w:val="Tekstkomentarza"/>
        <w:numPr>
          <w:ilvl w:val="1"/>
          <w:numId w:val="3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</w:pPr>
      <w:r w:rsidRPr="0047421D"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  <w:t>szyfrowanie 128/256 bit</w:t>
      </w:r>
      <w:r w:rsidR="0016615D" w:rsidRPr="0047421D"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  <w:t>,</w:t>
      </w:r>
      <w:r w:rsidRPr="0047421D"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  <w:t> </w:t>
      </w:r>
    </w:p>
    <w:p w14:paraId="3E9A6A8F" w14:textId="2F5EC0BB" w:rsidR="000D5939" w:rsidRPr="0047421D" w:rsidRDefault="00DC47A4" w:rsidP="0047421D">
      <w:pPr>
        <w:pStyle w:val="Tekstkomentarza"/>
        <w:numPr>
          <w:ilvl w:val="1"/>
          <w:numId w:val="3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</w:pPr>
      <w:r w:rsidRPr="0047421D"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  <w:t>długość klucza szyfrowania 2048 bit</w:t>
      </w:r>
      <w:r w:rsidR="0016615D" w:rsidRPr="0047421D"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  <w:t>,</w:t>
      </w:r>
    </w:p>
    <w:p w14:paraId="17E4C38A" w14:textId="77777777" w:rsidR="00F11234" w:rsidRDefault="00DC47A4" w:rsidP="00F11234">
      <w:pPr>
        <w:pStyle w:val="Tekstkomentarza"/>
        <w:numPr>
          <w:ilvl w:val="1"/>
          <w:numId w:val="3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</w:pPr>
      <w:r w:rsidRPr="0047421D"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  <w:t>rozpoznawany przez 99.90% przeglądarek (wszystkie najpopularniejsze</w:t>
      </w:r>
      <w:r w:rsidR="006E62E0" w:rsidRPr="0047421D"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  <w:t xml:space="preserve"> </w:t>
      </w:r>
      <w:r w:rsidRPr="0047421D"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  <w:t>przeglądarki)</w:t>
      </w:r>
      <w:r w:rsidR="00F11234"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  <w:t>,</w:t>
      </w:r>
    </w:p>
    <w:p w14:paraId="3098DA02" w14:textId="58ED04FA" w:rsidR="00537277" w:rsidRPr="00F11234" w:rsidRDefault="00DC47A4" w:rsidP="00F11234">
      <w:pPr>
        <w:pStyle w:val="Tekstkomentarza"/>
        <w:numPr>
          <w:ilvl w:val="1"/>
          <w:numId w:val="3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</w:pPr>
      <w:r w:rsidRPr="00F11234"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  <w:t>nielimitowana gwarancja ponownego wydania certyfikatu</w:t>
      </w:r>
      <w:r w:rsidR="00710227" w:rsidRPr="00F11234">
        <w:rPr>
          <w:rFonts w:ascii="Times New Roman" w:eastAsia="Times New Roman" w:hAnsi="Times New Roman" w:cs="Times New Roman"/>
          <w:sz w:val="24"/>
          <w:szCs w:val="24"/>
          <w:lang w:eastAsia="pl-PL" w:bidi="bn-BD"/>
        </w:rPr>
        <w:t>.</w:t>
      </w:r>
    </w:p>
    <w:p w14:paraId="1DAA748F" w14:textId="77777777" w:rsidR="00F32E5B" w:rsidRPr="0047421D" w:rsidRDefault="00F32E5B" w:rsidP="0047421D">
      <w:pPr>
        <w:pStyle w:val="Akapitzlist"/>
        <w:suppressAutoHyphens/>
        <w:spacing w:line="360" w:lineRule="auto"/>
        <w:ind w:left="360"/>
        <w:contextualSpacing w:val="0"/>
        <w:jc w:val="both"/>
        <w:textAlignment w:val="baseline"/>
        <w:rPr>
          <w:u w:val="single"/>
        </w:rPr>
      </w:pPr>
    </w:p>
    <w:p w14:paraId="62476294" w14:textId="60587AAE" w:rsidR="006773E0" w:rsidRPr="0047421D" w:rsidRDefault="006773E0" w:rsidP="0047421D">
      <w:pPr>
        <w:pStyle w:val="Akapitzlist"/>
        <w:suppressAutoHyphens/>
        <w:spacing w:line="360" w:lineRule="auto"/>
        <w:ind w:left="-340"/>
        <w:contextualSpacing w:val="0"/>
        <w:jc w:val="both"/>
        <w:textAlignment w:val="baseline"/>
        <w:rPr>
          <w:u w:val="single"/>
          <w:lang w:bidi="bn-BD"/>
        </w:rPr>
      </w:pPr>
      <w:r w:rsidRPr="0047421D">
        <w:rPr>
          <w:u w:val="single"/>
          <w:lang w:bidi="bn-BD"/>
        </w:rPr>
        <w:t>WYMAGANIA DOTYCZĄCE HOSTINGU</w:t>
      </w:r>
      <w:r w:rsidR="00F11234">
        <w:rPr>
          <w:u w:val="single"/>
          <w:lang w:bidi="bn-BD"/>
        </w:rPr>
        <w:t xml:space="preserve"> I SERWISU</w:t>
      </w:r>
    </w:p>
    <w:p w14:paraId="2F4654F0" w14:textId="77777777" w:rsidR="00F32E5B" w:rsidRPr="0047421D" w:rsidRDefault="00F32E5B" w:rsidP="0047421D">
      <w:pPr>
        <w:pStyle w:val="Akapitzlist"/>
        <w:suppressAutoHyphens/>
        <w:spacing w:line="360" w:lineRule="auto"/>
        <w:ind w:left="-340"/>
        <w:contextualSpacing w:val="0"/>
        <w:jc w:val="both"/>
        <w:textAlignment w:val="baseline"/>
        <w:rPr>
          <w:u w:val="single"/>
          <w:lang w:bidi="bn-BD"/>
        </w:rPr>
      </w:pPr>
    </w:p>
    <w:p w14:paraId="28291808" w14:textId="4436269B" w:rsidR="006773E0" w:rsidRPr="0047421D" w:rsidRDefault="006773E0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ponoszeni</w:t>
      </w:r>
      <w:r w:rsidR="00537277" w:rsidRPr="0047421D">
        <w:rPr>
          <w:lang w:bidi="bn-BD"/>
        </w:rPr>
        <w:t>e</w:t>
      </w:r>
      <w:r w:rsidRPr="0047421D">
        <w:rPr>
          <w:lang w:bidi="bn-BD"/>
        </w:rPr>
        <w:t xml:space="preserve"> odpowiedzialności za ciągłość działania </w:t>
      </w:r>
      <w:r w:rsidR="00332B14">
        <w:rPr>
          <w:lang w:bidi="bn-BD"/>
        </w:rPr>
        <w:t xml:space="preserve">witryny przez okres </w:t>
      </w:r>
      <w:r w:rsidR="00F11234">
        <w:rPr>
          <w:lang w:bidi="bn-BD"/>
        </w:rPr>
        <w:t>od dnia odbioru narzędzia do 30 czerwca 2021</w:t>
      </w:r>
      <w:r w:rsidR="00332B14">
        <w:rPr>
          <w:lang w:bidi="bn-BD"/>
        </w:rPr>
        <w:t>;</w:t>
      </w:r>
    </w:p>
    <w:p w14:paraId="4B8BB3D0" w14:textId="22EC0258" w:rsidR="006773E0" w:rsidRPr="0047421D" w:rsidRDefault="00537277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wdrożenie</w:t>
      </w:r>
      <w:r w:rsidR="006773E0" w:rsidRPr="0047421D">
        <w:rPr>
          <w:lang w:bidi="bn-BD"/>
        </w:rPr>
        <w:t xml:space="preserve"> rozwiązań kontrolujących zawartość portalu (od strony serwera) i</w:t>
      </w:r>
      <w:r w:rsidR="006E62E0" w:rsidRPr="0047421D">
        <w:rPr>
          <w:lang w:bidi="bn-BD"/>
        </w:rPr>
        <w:t> </w:t>
      </w:r>
      <w:r w:rsidR="006773E0" w:rsidRPr="0047421D">
        <w:rPr>
          <w:lang w:bidi="bn-BD"/>
        </w:rPr>
        <w:t>raportujących o nieuprawnionej modyfikacji treści wraz z możliwością automatycznej blokady wyświet</w:t>
      </w:r>
      <w:r w:rsidRPr="0047421D">
        <w:rPr>
          <w:lang w:bidi="bn-BD"/>
        </w:rPr>
        <w:t>lania zmienionej strony;</w:t>
      </w:r>
    </w:p>
    <w:p w14:paraId="497E0249" w14:textId="5E2CD8FC" w:rsidR="006773E0" w:rsidRPr="0047421D" w:rsidRDefault="006773E0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t>filtrowani</w:t>
      </w:r>
      <w:r w:rsidR="00F32E5B" w:rsidRPr="0047421D">
        <w:rPr>
          <w:lang w:bidi="bn-BD"/>
        </w:rPr>
        <w:t>e</w:t>
      </w:r>
      <w:r w:rsidRPr="0047421D">
        <w:rPr>
          <w:lang w:bidi="bn-BD"/>
        </w:rPr>
        <w:t xml:space="preserve"> ruchu określonych typów paki</w:t>
      </w:r>
      <w:r w:rsidR="00F32E5B" w:rsidRPr="0047421D">
        <w:rPr>
          <w:lang w:bidi="bn-BD"/>
        </w:rPr>
        <w:t>etów i usług (np. UDP czy ICMP);</w:t>
      </w:r>
    </w:p>
    <w:p w14:paraId="382CA428" w14:textId="7A3AC197" w:rsidR="000D5939" w:rsidRPr="0047421D" w:rsidRDefault="006773E0" w:rsidP="0047421D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7421D">
        <w:rPr>
          <w:lang w:bidi="bn-BD"/>
        </w:rPr>
        <w:lastRenderedPageBreak/>
        <w:t>wdrożeni</w:t>
      </w:r>
      <w:r w:rsidR="00F32E5B" w:rsidRPr="0047421D">
        <w:rPr>
          <w:lang w:bidi="bn-BD"/>
        </w:rPr>
        <w:t>e</w:t>
      </w:r>
      <w:r w:rsidRPr="0047421D">
        <w:rPr>
          <w:lang w:bidi="bn-BD"/>
        </w:rPr>
        <w:t xml:space="preserve"> systemów eliminujących ruch anonimowy (np. poprzez użycie serwerów TOR, PROXY) przy jednoczesnym zapewnieniu ciągłej aktualizacji tych systemów</w:t>
      </w:r>
      <w:r w:rsidR="00F32E5B" w:rsidRPr="0047421D">
        <w:rPr>
          <w:lang w:bidi="bn-BD"/>
        </w:rPr>
        <w:t>;</w:t>
      </w:r>
    </w:p>
    <w:p w14:paraId="0630679B" w14:textId="2E004FBD" w:rsidR="00AC54AA" w:rsidRPr="00402EDC" w:rsidRDefault="00AC54AA" w:rsidP="00537277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02EDC">
        <w:rPr>
          <w:lang w:bidi="bn-BD"/>
        </w:rPr>
        <w:t>minimalne parametry usługi</w:t>
      </w:r>
      <w:r w:rsidR="000D5939" w:rsidRPr="00402EDC">
        <w:rPr>
          <w:lang w:bidi="bn-BD"/>
        </w:rPr>
        <w:t xml:space="preserve"> hostingowej</w:t>
      </w:r>
      <w:r w:rsidRPr="00402EDC">
        <w:rPr>
          <w:lang w:bidi="bn-BD"/>
        </w:rPr>
        <w:t>:</w:t>
      </w:r>
    </w:p>
    <w:p w14:paraId="0A0348C1" w14:textId="523DAF3B" w:rsidR="00AC54AA" w:rsidRPr="00402EDC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>
        <w:rPr>
          <w:lang w:bidi="bn-BD"/>
        </w:rPr>
        <w:t>p</w:t>
      </w:r>
      <w:r w:rsidR="00AC54AA" w:rsidRPr="00402EDC">
        <w:rPr>
          <w:lang w:bidi="bn-BD"/>
        </w:rPr>
        <w:t>owierzchnia dyskowa min 50GB</w:t>
      </w:r>
      <w:r>
        <w:rPr>
          <w:lang w:bidi="bn-BD"/>
        </w:rPr>
        <w:t>;</w:t>
      </w:r>
    </w:p>
    <w:p w14:paraId="3B0AC45E" w14:textId="23784852" w:rsidR="00AC54AA" w:rsidRPr="00402EDC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>
        <w:rPr>
          <w:lang w:bidi="bn-BD"/>
        </w:rPr>
        <w:t>r</w:t>
      </w:r>
      <w:r w:rsidR="00AC54AA" w:rsidRPr="00402EDC">
        <w:rPr>
          <w:lang w:bidi="bn-BD"/>
        </w:rPr>
        <w:t>oczny pakiet transferu - bez limitu</w:t>
      </w:r>
      <w:r>
        <w:rPr>
          <w:lang w:bidi="bn-BD"/>
        </w:rPr>
        <w:t>;</w:t>
      </w:r>
    </w:p>
    <w:p w14:paraId="271C2317" w14:textId="587B3C1E" w:rsidR="00AC54AA" w:rsidRPr="00402EDC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>
        <w:rPr>
          <w:lang w:bidi="bn-BD"/>
        </w:rPr>
        <w:t>s</w:t>
      </w:r>
      <w:r w:rsidR="00AC54AA" w:rsidRPr="00402EDC">
        <w:rPr>
          <w:lang w:bidi="bn-BD"/>
        </w:rPr>
        <w:t xml:space="preserve">zybkość łącz serwerów - 10 </w:t>
      </w:r>
      <w:proofErr w:type="spellStart"/>
      <w:r w:rsidR="00AC54AA" w:rsidRPr="00402EDC">
        <w:rPr>
          <w:lang w:bidi="bn-BD"/>
        </w:rPr>
        <w:t>Gbps</w:t>
      </w:r>
      <w:proofErr w:type="spellEnd"/>
      <w:r>
        <w:rPr>
          <w:lang w:bidi="bn-BD"/>
        </w:rPr>
        <w:t>;</w:t>
      </w:r>
    </w:p>
    <w:p w14:paraId="7D7AF421" w14:textId="36F3822B" w:rsidR="00AC54AA" w:rsidRPr="00402EDC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402EDC">
        <w:rPr>
          <w:lang w:bidi="bn-BD"/>
        </w:rPr>
        <w:t>niezależna poczta w wielu domenach</w:t>
      </w:r>
      <w:r>
        <w:rPr>
          <w:lang w:bidi="bn-BD"/>
        </w:rPr>
        <w:t>;</w:t>
      </w:r>
    </w:p>
    <w:p w14:paraId="73CAD52E" w14:textId="223D44E5" w:rsidR="00AC54AA" w:rsidRPr="00402EDC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proofErr w:type="spellStart"/>
      <w:r w:rsidRPr="00402EDC">
        <w:rPr>
          <w:lang w:bidi="bn-BD"/>
        </w:rPr>
        <w:t>antyspam</w:t>
      </w:r>
      <w:proofErr w:type="spellEnd"/>
      <w:r>
        <w:rPr>
          <w:lang w:bidi="bn-BD"/>
        </w:rPr>
        <w:t>;</w:t>
      </w:r>
    </w:p>
    <w:p w14:paraId="476142C4" w14:textId="0197A67D" w:rsidR="00AC54AA" w:rsidRPr="00402EDC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402EDC">
        <w:rPr>
          <w:lang w:bidi="bn-BD"/>
        </w:rPr>
        <w:t>antywirus</w:t>
      </w:r>
      <w:r>
        <w:rPr>
          <w:lang w:bidi="bn-BD"/>
        </w:rPr>
        <w:t>;</w:t>
      </w:r>
    </w:p>
    <w:p w14:paraId="794B392F" w14:textId="16EA53E4" w:rsidR="00AC54AA" w:rsidRPr="00402EDC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proofErr w:type="spellStart"/>
      <w:r w:rsidRPr="00402EDC">
        <w:rPr>
          <w:lang w:bidi="bn-BD"/>
        </w:rPr>
        <w:t>autoinstalator</w:t>
      </w:r>
      <w:proofErr w:type="spellEnd"/>
      <w:r w:rsidRPr="00402EDC">
        <w:rPr>
          <w:lang w:bidi="bn-BD"/>
        </w:rPr>
        <w:t xml:space="preserve"> aplikacji</w:t>
      </w:r>
      <w:r>
        <w:rPr>
          <w:lang w:bidi="bn-BD"/>
        </w:rPr>
        <w:t>;</w:t>
      </w:r>
    </w:p>
    <w:p w14:paraId="55DDB410" w14:textId="0ABE2BEF" w:rsidR="00AC54AA" w:rsidRPr="00402EDC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402EDC">
        <w:rPr>
          <w:lang w:bidi="bn-BD"/>
        </w:rPr>
        <w:t xml:space="preserve">obsługa certyfikatów </w:t>
      </w:r>
      <w:r>
        <w:rPr>
          <w:lang w:bidi="bn-BD"/>
        </w:rPr>
        <w:t>SSL;</w:t>
      </w:r>
    </w:p>
    <w:p w14:paraId="3551AA8C" w14:textId="3A408893" w:rsidR="00AC54AA" w:rsidRPr="00402EDC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402EDC">
        <w:rPr>
          <w:lang w:bidi="bn-BD"/>
        </w:rPr>
        <w:t>statystyki odwiedzin</w:t>
      </w:r>
      <w:r>
        <w:rPr>
          <w:lang w:bidi="bn-BD"/>
        </w:rPr>
        <w:t>;</w:t>
      </w:r>
    </w:p>
    <w:p w14:paraId="19088372" w14:textId="624B9381" w:rsidR="00AC54AA" w:rsidRPr="00402EDC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402EDC">
        <w:rPr>
          <w:lang w:bidi="bn-BD"/>
        </w:rPr>
        <w:t xml:space="preserve">funkcja </w:t>
      </w:r>
      <w:proofErr w:type="spellStart"/>
      <w:r w:rsidR="00AC54AA" w:rsidRPr="00402EDC">
        <w:rPr>
          <w:lang w:bidi="bn-BD"/>
        </w:rPr>
        <w:t>Cron</w:t>
      </w:r>
      <w:proofErr w:type="spellEnd"/>
      <w:r>
        <w:rPr>
          <w:lang w:bidi="bn-BD"/>
        </w:rPr>
        <w:t>;</w:t>
      </w:r>
    </w:p>
    <w:p w14:paraId="76A763EF" w14:textId="3CA82BEB" w:rsidR="00AC54AA" w:rsidRPr="008510A5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8510A5">
        <w:rPr>
          <w:lang w:bidi="bn-BD"/>
        </w:rPr>
        <w:t>w</w:t>
      </w:r>
      <w:r w:rsidR="00AC54AA" w:rsidRPr="008510A5">
        <w:rPr>
          <w:lang w:bidi="bn-BD"/>
        </w:rPr>
        <w:t>ersje PHP: 5.4, 5.5, 5.6, 7.0, 7.1, 7.2</w:t>
      </w:r>
      <w:r w:rsidRPr="008510A5">
        <w:rPr>
          <w:lang w:bidi="bn-BD"/>
        </w:rPr>
        <w:t>;</w:t>
      </w:r>
    </w:p>
    <w:p w14:paraId="0EB1B885" w14:textId="78FCAEC1" w:rsidR="00AC54AA" w:rsidRPr="008510A5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8510A5">
        <w:rPr>
          <w:lang w:bidi="bn-BD"/>
        </w:rPr>
        <w:t>o</w:t>
      </w:r>
      <w:r w:rsidR="00AC54AA" w:rsidRPr="008510A5">
        <w:rPr>
          <w:lang w:bidi="bn-BD"/>
        </w:rPr>
        <w:t xml:space="preserve">bsługa PHP </w:t>
      </w:r>
      <w:r w:rsidRPr="008510A5">
        <w:rPr>
          <w:lang w:bidi="bn-BD"/>
        </w:rPr>
        <w:t>–</w:t>
      </w:r>
      <w:r w:rsidR="00AC54AA" w:rsidRPr="008510A5">
        <w:rPr>
          <w:lang w:bidi="bn-BD"/>
        </w:rPr>
        <w:t xml:space="preserve"> FPM</w:t>
      </w:r>
      <w:r w:rsidRPr="008510A5">
        <w:rPr>
          <w:lang w:bidi="bn-BD"/>
        </w:rPr>
        <w:t>;</w:t>
      </w:r>
    </w:p>
    <w:p w14:paraId="530080FC" w14:textId="10C91B6D" w:rsidR="00AC54AA" w:rsidRPr="008510A5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8510A5">
        <w:rPr>
          <w:lang w:bidi="bn-BD"/>
        </w:rPr>
        <w:t>b</w:t>
      </w:r>
      <w:r w:rsidR="00AC54AA" w:rsidRPr="008510A5">
        <w:rPr>
          <w:lang w:bidi="bn-BD"/>
        </w:rPr>
        <w:t>azy MySQL/</w:t>
      </w:r>
      <w:proofErr w:type="spellStart"/>
      <w:r w:rsidR="00AC54AA" w:rsidRPr="008510A5">
        <w:rPr>
          <w:lang w:bidi="bn-BD"/>
        </w:rPr>
        <w:t>MariaDB</w:t>
      </w:r>
      <w:proofErr w:type="spellEnd"/>
      <w:r w:rsidRPr="008510A5">
        <w:rPr>
          <w:lang w:bidi="bn-BD"/>
        </w:rPr>
        <w:t>;</w:t>
      </w:r>
    </w:p>
    <w:p w14:paraId="55612600" w14:textId="598FB3C2" w:rsidR="00AC54AA" w:rsidRPr="008510A5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8510A5">
        <w:rPr>
          <w:lang w:bidi="bn-BD"/>
        </w:rPr>
        <w:t>b</w:t>
      </w:r>
      <w:r w:rsidR="00AC54AA" w:rsidRPr="008510A5">
        <w:rPr>
          <w:lang w:bidi="bn-BD"/>
        </w:rPr>
        <w:t xml:space="preserve">azy </w:t>
      </w:r>
      <w:proofErr w:type="spellStart"/>
      <w:r w:rsidR="00AC54AA" w:rsidRPr="008510A5">
        <w:rPr>
          <w:lang w:bidi="bn-BD"/>
        </w:rPr>
        <w:t>PostgreSQL</w:t>
      </w:r>
      <w:proofErr w:type="spellEnd"/>
      <w:r w:rsidRPr="008510A5">
        <w:rPr>
          <w:lang w:bidi="bn-BD"/>
        </w:rPr>
        <w:t>;</w:t>
      </w:r>
    </w:p>
    <w:p w14:paraId="78EFFEED" w14:textId="40069394" w:rsidR="00A97D69" w:rsidRPr="008510A5" w:rsidRDefault="00D71262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8510A5">
        <w:rPr>
          <w:lang w:bidi="bn-BD"/>
        </w:rPr>
        <w:t>bazy MS SQL;</w:t>
      </w:r>
    </w:p>
    <w:p w14:paraId="0AFBC1C5" w14:textId="103A1D68" w:rsidR="00AC54AA" w:rsidRPr="008510A5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8510A5">
        <w:rPr>
          <w:lang w:bidi="bn-BD"/>
        </w:rPr>
        <w:t>k</w:t>
      </w:r>
      <w:r w:rsidR="00AC54AA" w:rsidRPr="008510A5">
        <w:rPr>
          <w:lang w:bidi="bn-BD"/>
        </w:rPr>
        <w:t>opie bezpieczeństwa</w:t>
      </w:r>
      <w:r w:rsidRPr="008510A5">
        <w:rPr>
          <w:lang w:bidi="bn-BD"/>
        </w:rPr>
        <w:t>;</w:t>
      </w:r>
    </w:p>
    <w:p w14:paraId="3F94CD38" w14:textId="2086C66C" w:rsidR="000D5939" w:rsidRPr="008510A5" w:rsidRDefault="006E62E0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8510A5">
        <w:rPr>
          <w:lang w:bidi="bn-BD"/>
        </w:rPr>
        <w:t>w</w:t>
      </w:r>
      <w:r w:rsidR="00AC54AA" w:rsidRPr="008510A5">
        <w:rPr>
          <w:lang w:bidi="bn-BD"/>
        </w:rPr>
        <w:t>sparcie 24/7 (telefon, e-mail, chat)</w:t>
      </w:r>
      <w:r w:rsidRPr="008510A5">
        <w:rPr>
          <w:lang w:bidi="bn-BD"/>
        </w:rPr>
        <w:t>;</w:t>
      </w:r>
    </w:p>
    <w:p w14:paraId="35AB7D82" w14:textId="285F66EE" w:rsidR="006773E0" w:rsidRPr="008510A5" w:rsidRDefault="00AC54AA" w:rsidP="0003735B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8510A5">
        <w:rPr>
          <w:lang w:bidi="bn-BD"/>
        </w:rPr>
        <w:t>SLA powyżej 99,9%</w:t>
      </w:r>
      <w:r w:rsidR="00133C26" w:rsidRPr="008510A5">
        <w:rPr>
          <w:lang w:bidi="bn-BD"/>
        </w:rPr>
        <w:t>;</w:t>
      </w:r>
    </w:p>
    <w:p w14:paraId="031F82A3" w14:textId="1F7241AD" w:rsidR="00F82D79" w:rsidRDefault="00F32E5B" w:rsidP="00F11234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textAlignment w:val="baseline"/>
        <w:rPr>
          <w:lang w:bidi="bn-BD"/>
        </w:rPr>
      </w:pPr>
      <w:r w:rsidRPr="008510A5">
        <w:rPr>
          <w:lang w:bidi="bn-BD"/>
        </w:rPr>
        <w:t>kompleksowa ochrona oraz monitoring usługi.</w:t>
      </w:r>
    </w:p>
    <w:p w14:paraId="7D4E48DC" w14:textId="77777777" w:rsidR="00F11234" w:rsidRPr="00F11234" w:rsidRDefault="00F11234" w:rsidP="0092068A">
      <w:pPr>
        <w:pStyle w:val="Akapitzlist"/>
        <w:suppressAutoHyphens/>
        <w:spacing w:line="360" w:lineRule="auto"/>
        <w:jc w:val="both"/>
        <w:textAlignment w:val="baseline"/>
        <w:rPr>
          <w:lang w:bidi="bn-BD"/>
        </w:rPr>
      </w:pPr>
    </w:p>
    <w:p w14:paraId="2310E255" w14:textId="53EE8572" w:rsidR="00133C26" w:rsidRPr="00F82D79" w:rsidRDefault="006773E0" w:rsidP="00F82D79">
      <w:pPr>
        <w:pStyle w:val="Akapitzlist"/>
        <w:suppressAutoHyphens/>
        <w:spacing w:line="360" w:lineRule="auto"/>
        <w:ind w:left="-340"/>
        <w:contextualSpacing w:val="0"/>
        <w:jc w:val="both"/>
        <w:textAlignment w:val="baseline"/>
        <w:rPr>
          <w:u w:val="single"/>
        </w:rPr>
      </w:pPr>
      <w:r w:rsidRPr="0003735B">
        <w:rPr>
          <w:lang w:bidi="bn-BD"/>
        </w:rPr>
        <w:t>Warunki serwisu świadczonego w ramach umowy:</w:t>
      </w:r>
    </w:p>
    <w:p w14:paraId="62B04449" w14:textId="19A370DE" w:rsidR="006773E0" w:rsidRDefault="006773E0" w:rsidP="00F82D79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03735B">
        <w:rPr>
          <w:lang w:bidi="bn-BD"/>
        </w:rPr>
        <w:t>reagowanie na zmiany</w:t>
      </w:r>
      <w:r w:rsidRPr="00402EDC">
        <w:rPr>
          <w:lang w:bidi="bn-BD"/>
        </w:rPr>
        <w:t xml:space="preserve"> w prawie, np. </w:t>
      </w:r>
      <w:proofErr w:type="spellStart"/>
      <w:r w:rsidRPr="00402EDC">
        <w:rPr>
          <w:lang w:bidi="bn-BD"/>
        </w:rPr>
        <w:t>cookies</w:t>
      </w:r>
      <w:proofErr w:type="spellEnd"/>
      <w:r w:rsidRPr="00402EDC">
        <w:rPr>
          <w:lang w:bidi="bn-BD"/>
        </w:rPr>
        <w:t xml:space="preserve"> w okresie od dnia odebrania przez Zamaw</w:t>
      </w:r>
      <w:r w:rsidR="008115E0" w:rsidRPr="00402EDC">
        <w:rPr>
          <w:lang w:bidi="bn-BD"/>
        </w:rPr>
        <w:t>iającego przedmiotu zamówienia</w:t>
      </w:r>
      <w:r w:rsidR="00F11234">
        <w:rPr>
          <w:lang w:bidi="bn-BD"/>
        </w:rPr>
        <w:t xml:space="preserve"> do 30 czerwca 2021</w:t>
      </w:r>
      <w:r w:rsidR="008115E0" w:rsidRPr="00402EDC">
        <w:rPr>
          <w:lang w:bidi="bn-BD"/>
        </w:rPr>
        <w:t>;</w:t>
      </w:r>
    </w:p>
    <w:p w14:paraId="1F3895E3" w14:textId="2A66FFA9" w:rsidR="006773E0" w:rsidRDefault="006773E0" w:rsidP="00F82D79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02EDC">
        <w:rPr>
          <w:lang w:bidi="bn-BD"/>
        </w:rPr>
        <w:t xml:space="preserve">gwarancja (co najmniej 24 miesiące od dnia odebrania przez Zamawiającego przedmiotu zamówienia) na prawidłowe, płynne i pozbawione błędów funkcjonowanie witryny </w:t>
      </w:r>
      <w:r w:rsidR="00F82D79">
        <w:rPr>
          <w:lang w:bidi="bn-BD"/>
        </w:rPr>
        <w:br/>
      </w:r>
      <w:r w:rsidRPr="00402EDC">
        <w:rPr>
          <w:lang w:bidi="bn-BD"/>
        </w:rPr>
        <w:t>w zakresie przewidzianych funkcjonalności; czas reakcji na zgłoszone błędy w działaniu strony – 24 godziny</w:t>
      </w:r>
      <w:r w:rsidR="00F82D79">
        <w:rPr>
          <w:lang w:bidi="bn-BD"/>
        </w:rPr>
        <w:t>;</w:t>
      </w:r>
    </w:p>
    <w:p w14:paraId="2D499A27" w14:textId="5DE44140" w:rsidR="00A50D36" w:rsidRDefault="006773E0" w:rsidP="00F82D79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02EDC">
        <w:rPr>
          <w:lang w:bidi="bn-BD"/>
        </w:rPr>
        <w:lastRenderedPageBreak/>
        <w:t>serwisowanie hostingu przez okres od dnia odebrania przez Zamawiającego przedmiotu zamówienia</w:t>
      </w:r>
      <w:r w:rsidR="00F11234">
        <w:rPr>
          <w:lang w:bidi="bn-BD"/>
        </w:rPr>
        <w:t xml:space="preserve"> do 30 czerwca 2021</w:t>
      </w:r>
      <w:r w:rsidR="00F82D79">
        <w:rPr>
          <w:lang w:bidi="bn-BD"/>
        </w:rPr>
        <w:t>;</w:t>
      </w:r>
    </w:p>
    <w:p w14:paraId="58DAF87C" w14:textId="7BF7369C" w:rsidR="006773E0" w:rsidRPr="008E0923" w:rsidRDefault="00133C26" w:rsidP="00F82D79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>
        <w:rPr>
          <w:lang w:bidi="bn-BD"/>
        </w:rPr>
        <w:t>w</w:t>
      </w:r>
      <w:r w:rsidR="00A50D36" w:rsidRPr="0003735B">
        <w:rPr>
          <w:lang w:bidi="bn-BD"/>
        </w:rPr>
        <w:t>sparcie dla co najmniej 99% czasu bezawaryjnej pracy serwis</w:t>
      </w:r>
      <w:r w:rsidR="00A76A3C" w:rsidRPr="0003735B">
        <w:rPr>
          <w:lang w:bidi="bn-BD"/>
        </w:rPr>
        <w:t>u</w:t>
      </w:r>
      <w:r w:rsidR="00A50D36" w:rsidRPr="0003735B">
        <w:rPr>
          <w:lang w:bidi="bn-BD"/>
        </w:rPr>
        <w:t xml:space="preserve"> w godz. od 6.00 - 17.00 </w:t>
      </w:r>
      <w:r w:rsidR="00F82D79">
        <w:rPr>
          <w:lang w:bidi="bn-BD"/>
        </w:rPr>
        <w:br/>
      </w:r>
      <w:r w:rsidR="00A50D36" w:rsidRPr="0003735B">
        <w:rPr>
          <w:lang w:bidi="bn-BD"/>
        </w:rPr>
        <w:t>w dni powszednie i 90% czasu średniej dostępności w pozostałym czasie</w:t>
      </w:r>
      <w:r w:rsidR="00F82D79">
        <w:rPr>
          <w:lang w:bidi="bn-BD"/>
        </w:rPr>
        <w:t>.</w:t>
      </w:r>
    </w:p>
    <w:p w14:paraId="55F6F55B" w14:textId="77777777" w:rsidR="00F82D79" w:rsidRDefault="00F82D79" w:rsidP="00F82D79">
      <w:pPr>
        <w:pStyle w:val="Akapitzlist"/>
        <w:suppressAutoHyphens/>
        <w:spacing w:line="360" w:lineRule="auto"/>
        <w:ind w:left="-340"/>
        <w:contextualSpacing w:val="0"/>
        <w:jc w:val="both"/>
        <w:textAlignment w:val="baseline"/>
        <w:rPr>
          <w:u w:val="single"/>
        </w:rPr>
      </w:pPr>
    </w:p>
    <w:p w14:paraId="166DF312" w14:textId="77899E29" w:rsidR="008115E0" w:rsidRDefault="008115E0" w:rsidP="00F82D79">
      <w:pPr>
        <w:pStyle w:val="Akapitzlist"/>
        <w:suppressAutoHyphens/>
        <w:spacing w:line="360" w:lineRule="auto"/>
        <w:ind w:left="-340"/>
        <w:contextualSpacing w:val="0"/>
        <w:jc w:val="both"/>
        <w:textAlignment w:val="baseline"/>
        <w:rPr>
          <w:u w:val="single"/>
        </w:rPr>
      </w:pPr>
      <w:r w:rsidRPr="0003735B">
        <w:rPr>
          <w:u w:val="single"/>
        </w:rPr>
        <w:t>POZOSTAŁE</w:t>
      </w:r>
      <w:r w:rsidRPr="008E0923">
        <w:rPr>
          <w:u w:val="single"/>
        </w:rPr>
        <w:t xml:space="preserve"> WYMAGANIA DOTYCZĄCE PRZEDMIOTU ZAMÓWIENIA</w:t>
      </w:r>
    </w:p>
    <w:p w14:paraId="7E2F9978" w14:textId="77777777" w:rsidR="00F82D79" w:rsidRPr="008E0923" w:rsidRDefault="00F82D79" w:rsidP="00F82D79">
      <w:pPr>
        <w:pStyle w:val="Akapitzlist"/>
        <w:suppressAutoHyphens/>
        <w:spacing w:line="360" w:lineRule="auto"/>
        <w:ind w:left="0"/>
        <w:contextualSpacing w:val="0"/>
        <w:jc w:val="both"/>
        <w:textAlignment w:val="baseline"/>
        <w:rPr>
          <w:u w:val="single"/>
        </w:rPr>
      </w:pPr>
    </w:p>
    <w:p w14:paraId="1312A5AD" w14:textId="2149B1F2" w:rsidR="008115E0" w:rsidRDefault="008115E0" w:rsidP="00F82D79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8E0923">
        <w:rPr>
          <w:lang w:bidi="bn-BD"/>
        </w:rPr>
        <w:t>Wykonawca</w:t>
      </w:r>
      <w:r w:rsidR="00107542" w:rsidRPr="008E0923">
        <w:rPr>
          <w:lang w:bidi="bn-BD"/>
        </w:rPr>
        <w:t xml:space="preserve"> po zakończeniu prac przekaże Zamawiającemu całość wytworzonych </w:t>
      </w:r>
      <w:r w:rsidR="002952EE" w:rsidRPr="008E0923">
        <w:rPr>
          <w:lang w:bidi="bn-BD"/>
        </w:rPr>
        <w:t>Utworów</w:t>
      </w:r>
      <w:r w:rsidR="00107542" w:rsidRPr="008E0923">
        <w:rPr>
          <w:lang w:bidi="bn-BD"/>
        </w:rPr>
        <w:t>, tak, aby umożliwić funkcjonowanie strony i narzędzia po zakończeniu okresu wsparcia technicznego i gwarancji, w tym</w:t>
      </w:r>
      <w:r w:rsidRPr="008E0923">
        <w:rPr>
          <w:lang w:bidi="bn-BD"/>
        </w:rPr>
        <w:t xml:space="preserve"> przeniesie wszelkie prawa autorskie do stworzonych </w:t>
      </w:r>
      <w:r w:rsidR="002952EE" w:rsidRPr="00F82D79">
        <w:rPr>
          <w:lang w:bidi="bn-BD"/>
        </w:rPr>
        <w:t>Utworów powstałych w wyniku wykonania przedmiotu zamówienia (w tym programów komputerowych i ich kodów źródłowych, interfejsów graficznych, baz danych, licencji) na wszystkich znanych polach eksploatacji</w:t>
      </w:r>
      <w:r w:rsidR="001900E9">
        <w:rPr>
          <w:lang w:bidi="bn-BD"/>
        </w:rPr>
        <w:t>;</w:t>
      </w:r>
    </w:p>
    <w:p w14:paraId="46DE0B38" w14:textId="77777777" w:rsidR="001900E9" w:rsidRDefault="008115E0" w:rsidP="001900E9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02EDC">
        <w:rPr>
          <w:lang w:bidi="bn-BD"/>
        </w:rPr>
        <w:t>Wykonawca dostarczy nieodpłatnie wszystkie licencje niez</w:t>
      </w:r>
      <w:r w:rsidR="005F2F2D" w:rsidRPr="00402EDC">
        <w:rPr>
          <w:lang w:bidi="bn-BD"/>
        </w:rPr>
        <w:t>będne do funkcjonowania witryny.</w:t>
      </w:r>
    </w:p>
    <w:p w14:paraId="0C41CFBC" w14:textId="48EA1362" w:rsidR="008115E0" w:rsidRDefault="008115E0" w:rsidP="001900E9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02EDC">
        <w:rPr>
          <w:lang w:bidi="bn-BD"/>
        </w:rPr>
        <w:t xml:space="preserve">Zamawiający zastrzega sobie prawo do zgłaszania uwag i wprowadzania zmian w terminie </w:t>
      </w:r>
      <w:r w:rsidR="00CF7D18" w:rsidRPr="00402EDC">
        <w:rPr>
          <w:lang w:bidi="bn-BD"/>
        </w:rPr>
        <w:t>21 </w:t>
      </w:r>
      <w:r w:rsidRPr="00402EDC">
        <w:rPr>
          <w:lang w:bidi="bn-BD"/>
        </w:rPr>
        <w:t>dni roboczych</w:t>
      </w:r>
      <w:r w:rsidR="001900E9">
        <w:rPr>
          <w:lang w:bidi="bn-BD"/>
        </w:rPr>
        <w:t xml:space="preserve"> od otrzymania projektu witryny;</w:t>
      </w:r>
    </w:p>
    <w:p w14:paraId="53CB08CE" w14:textId="632242A6" w:rsidR="008115E0" w:rsidRPr="00402EDC" w:rsidRDefault="008115E0" w:rsidP="001900E9">
      <w:pPr>
        <w:pStyle w:val="Akapitzlist"/>
        <w:numPr>
          <w:ilvl w:val="0"/>
          <w:numId w:val="18"/>
        </w:numPr>
        <w:suppressAutoHyphens/>
        <w:spacing w:line="360" w:lineRule="auto"/>
        <w:ind w:left="0"/>
        <w:contextualSpacing w:val="0"/>
        <w:jc w:val="both"/>
        <w:textAlignment w:val="baseline"/>
        <w:rPr>
          <w:lang w:bidi="bn-BD"/>
        </w:rPr>
      </w:pPr>
      <w:r w:rsidRPr="00402EDC">
        <w:rPr>
          <w:lang w:bidi="bn-BD"/>
        </w:rPr>
        <w:t>Wykonawca zobowiązany będzie do:</w:t>
      </w:r>
    </w:p>
    <w:p w14:paraId="2F1DB8CE" w14:textId="2082C9F3" w:rsidR="008115E0" w:rsidRPr="00402EDC" w:rsidRDefault="008115E0" w:rsidP="0003735B">
      <w:pPr>
        <w:pStyle w:val="Akapitzlist"/>
        <w:numPr>
          <w:ilvl w:val="0"/>
          <w:numId w:val="41"/>
        </w:numPr>
        <w:spacing w:before="105" w:after="105" w:line="360" w:lineRule="auto"/>
        <w:rPr>
          <w:lang w:bidi="bn-BD"/>
        </w:rPr>
      </w:pPr>
      <w:r w:rsidRPr="00402EDC">
        <w:rPr>
          <w:lang w:bidi="bn-BD"/>
        </w:rPr>
        <w:t>współpracy z Zamawiającym na każdym et</w:t>
      </w:r>
      <w:r w:rsidR="001900E9">
        <w:rPr>
          <w:lang w:bidi="bn-BD"/>
        </w:rPr>
        <w:t xml:space="preserve">apie realizacji zamówienia oraz </w:t>
      </w:r>
      <w:r w:rsidRPr="00402EDC">
        <w:rPr>
          <w:lang w:bidi="bn-BD"/>
        </w:rPr>
        <w:t>uwzględniania jego uwag i spostrzeżeń,</w:t>
      </w:r>
    </w:p>
    <w:p w14:paraId="224774E1" w14:textId="6CA2BD97" w:rsidR="008115E0" w:rsidRPr="00402EDC" w:rsidRDefault="001900E9" w:rsidP="0003735B">
      <w:pPr>
        <w:pStyle w:val="Akapitzlist"/>
        <w:numPr>
          <w:ilvl w:val="0"/>
          <w:numId w:val="41"/>
        </w:numPr>
        <w:spacing w:before="105" w:after="105" w:line="360" w:lineRule="auto"/>
        <w:rPr>
          <w:lang w:bidi="bn-BD"/>
        </w:rPr>
      </w:pPr>
      <w:r>
        <w:rPr>
          <w:lang w:bidi="bn-BD"/>
        </w:rPr>
        <w:t>s</w:t>
      </w:r>
      <w:r w:rsidR="008115E0" w:rsidRPr="00402EDC">
        <w:rPr>
          <w:lang w:bidi="bn-BD"/>
        </w:rPr>
        <w:t xml:space="preserve">prawnej i terminowej realizacji przedmiotu zamówienia, </w:t>
      </w:r>
    </w:p>
    <w:p w14:paraId="7E3EFADF" w14:textId="31957CE5" w:rsidR="00C2538F" w:rsidRDefault="008115E0" w:rsidP="0003735B">
      <w:pPr>
        <w:pStyle w:val="Akapitzlist"/>
        <w:numPr>
          <w:ilvl w:val="0"/>
          <w:numId w:val="41"/>
        </w:numPr>
        <w:spacing w:before="105" w:after="105" w:line="360" w:lineRule="auto"/>
        <w:rPr>
          <w:lang w:bidi="bn-BD"/>
        </w:rPr>
      </w:pPr>
      <w:r w:rsidRPr="00402EDC">
        <w:rPr>
          <w:lang w:bidi="bn-BD"/>
        </w:rPr>
        <w:t>informowania o stanie prac i problemach występujących w trakcie ich prowadzenia.</w:t>
      </w:r>
    </w:p>
    <w:p w14:paraId="182547A5" w14:textId="77777777" w:rsidR="00CD770A" w:rsidRPr="00402EDC" w:rsidRDefault="00CD770A" w:rsidP="00CD770A">
      <w:pPr>
        <w:pStyle w:val="Akapitzlist"/>
        <w:spacing w:before="105" w:after="105" w:line="360" w:lineRule="auto"/>
        <w:rPr>
          <w:lang w:bidi="bn-BD"/>
        </w:rPr>
      </w:pPr>
    </w:p>
    <w:p w14:paraId="512B3FE9" w14:textId="77777777" w:rsidR="004C3B2B" w:rsidRPr="00402EDC" w:rsidRDefault="004C3B2B" w:rsidP="005233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</w:pPr>
      <w:r w:rsidRPr="00402EDC">
        <w:rPr>
          <w:b/>
        </w:rPr>
        <w:t xml:space="preserve">7. </w:t>
      </w:r>
      <w:r w:rsidR="00875A2C" w:rsidRPr="00402EDC">
        <w:rPr>
          <w:b/>
        </w:rPr>
        <w:t>Wycena</w:t>
      </w:r>
    </w:p>
    <w:p w14:paraId="033FB413" w14:textId="77777777" w:rsidR="004C3B2B" w:rsidRPr="00402EDC" w:rsidRDefault="004C3B2B" w:rsidP="00EE3E15">
      <w:pPr>
        <w:spacing w:line="360" w:lineRule="auto"/>
        <w:jc w:val="both"/>
      </w:pPr>
    </w:p>
    <w:p w14:paraId="3DEBFBFE" w14:textId="1281D3B2" w:rsidR="00EE3E15" w:rsidRPr="00402EDC" w:rsidRDefault="00EE3E15" w:rsidP="00EE3E15">
      <w:pPr>
        <w:spacing w:line="360" w:lineRule="auto"/>
        <w:jc w:val="both"/>
      </w:pPr>
      <w:r w:rsidRPr="00402EDC">
        <w:t>Przedstawiona w</w:t>
      </w:r>
      <w:r w:rsidR="003F466B">
        <w:t xml:space="preserve">ycena posłuży </w:t>
      </w:r>
      <w:r w:rsidRPr="00402EDC">
        <w:t xml:space="preserve">Zamawiającemu do ustalenia szacunkowej </w:t>
      </w:r>
      <w:r w:rsidR="003F466B">
        <w:t>wartości zamówienia, w</w:t>
      </w:r>
      <w:r w:rsidRPr="00402EDC">
        <w:t xml:space="preserve"> </w:t>
      </w:r>
      <w:r w:rsidR="003F466B">
        <w:t>c</w:t>
      </w:r>
      <w:r w:rsidRPr="00402EDC">
        <w:t>elu  przeprowad</w:t>
      </w:r>
      <w:r w:rsidR="00955B30" w:rsidRPr="00402EDC">
        <w:t xml:space="preserve">zenia zamówienia publicznego </w:t>
      </w:r>
      <w:r w:rsidRPr="00402EDC">
        <w:t xml:space="preserve">zgodnie z ustawą z dnia 29 stycznia 2004 r. - Prawo </w:t>
      </w:r>
      <w:r w:rsidRPr="002A754A">
        <w:rPr>
          <w:u w:val="single"/>
        </w:rPr>
        <w:t xml:space="preserve">zamówień publicznych </w:t>
      </w:r>
      <w:hyperlink r:id="rId12" w:history="1">
        <w:r w:rsidR="00E50F10" w:rsidRPr="002A754A">
          <w:rPr>
            <w:rStyle w:val="Hipercze"/>
            <w:color w:val="auto"/>
          </w:rPr>
          <w:t>(Dz.U. z 2019 r. poz. 1843)</w:t>
        </w:r>
      </w:hyperlink>
      <w:r w:rsidR="00863B55" w:rsidRPr="002A754A">
        <w:rPr>
          <w:u w:val="single"/>
        </w:rPr>
        <w:t>.</w:t>
      </w:r>
    </w:p>
    <w:p w14:paraId="207A47B3" w14:textId="77777777" w:rsidR="000E0C9E" w:rsidRPr="00402EDC" w:rsidRDefault="000E0C9E" w:rsidP="00EE3E15">
      <w:pPr>
        <w:spacing w:line="360" w:lineRule="auto"/>
        <w:jc w:val="both"/>
      </w:pPr>
    </w:p>
    <w:p w14:paraId="268D1A17" w14:textId="77777777" w:rsidR="004C3B2B" w:rsidRPr="00402EDC" w:rsidRDefault="004C3B2B" w:rsidP="004C3B2B">
      <w:pPr>
        <w:spacing w:line="360" w:lineRule="auto"/>
        <w:jc w:val="both"/>
      </w:pPr>
      <w:r w:rsidRPr="00402EDC">
        <w:t xml:space="preserve">1. </w:t>
      </w:r>
      <w:r w:rsidR="00875A2C" w:rsidRPr="00402EDC">
        <w:t>Wycena</w:t>
      </w:r>
      <w:r w:rsidRPr="00402EDC">
        <w:t xml:space="preserve"> powinna być sporządzona w języku polskim.</w:t>
      </w:r>
    </w:p>
    <w:p w14:paraId="0E2EBD39" w14:textId="77777777" w:rsidR="004C3B2B" w:rsidRPr="00402EDC" w:rsidRDefault="004C3B2B" w:rsidP="004C3B2B">
      <w:pPr>
        <w:spacing w:line="360" w:lineRule="auto"/>
        <w:jc w:val="both"/>
      </w:pPr>
      <w:r w:rsidRPr="00402EDC">
        <w:t>2. Musi ona zawierać:</w:t>
      </w:r>
    </w:p>
    <w:p w14:paraId="321DF785" w14:textId="77777777" w:rsidR="004C3B2B" w:rsidRPr="00402EDC" w:rsidRDefault="004B6B4D" w:rsidP="0003735B">
      <w:pPr>
        <w:pStyle w:val="Akapitzlist"/>
        <w:numPr>
          <w:ilvl w:val="0"/>
          <w:numId w:val="42"/>
        </w:numPr>
        <w:spacing w:line="360" w:lineRule="auto"/>
        <w:jc w:val="both"/>
      </w:pPr>
      <w:r w:rsidRPr="00402EDC">
        <w:t>d</w:t>
      </w:r>
      <w:r w:rsidR="004C3B2B" w:rsidRPr="00402EDC">
        <w:t>ane oferenta</w:t>
      </w:r>
      <w:r w:rsidRPr="00402EDC">
        <w:t>,</w:t>
      </w:r>
    </w:p>
    <w:p w14:paraId="1ECD9B34" w14:textId="4FA14810" w:rsidR="0092068A" w:rsidRDefault="004B6B4D" w:rsidP="0003735B">
      <w:pPr>
        <w:pStyle w:val="Akapitzlist"/>
        <w:numPr>
          <w:ilvl w:val="0"/>
          <w:numId w:val="42"/>
        </w:numPr>
        <w:spacing w:line="360" w:lineRule="auto"/>
        <w:jc w:val="both"/>
      </w:pPr>
      <w:r w:rsidRPr="00402EDC">
        <w:lastRenderedPageBreak/>
        <w:t>w</w:t>
      </w:r>
      <w:r w:rsidR="004C3B2B" w:rsidRPr="00402EDC">
        <w:t>ycenę zawierającą informacje o</w:t>
      </w:r>
      <w:r w:rsidRPr="00402EDC">
        <w:t xml:space="preserve"> łącznej</w:t>
      </w:r>
      <w:r w:rsidR="004C3B2B" w:rsidRPr="00402EDC">
        <w:t xml:space="preserve"> cenie brutto</w:t>
      </w:r>
      <w:r w:rsidR="00523396" w:rsidRPr="00402EDC">
        <w:t xml:space="preserve"> i netto</w:t>
      </w:r>
      <w:r w:rsidR="00E50F10">
        <w:t xml:space="preserve"> wykonania przedmiotu zamówienia</w:t>
      </w:r>
      <w:r w:rsidR="0092068A">
        <w:t xml:space="preserve"> </w:t>
      </w:r>
      <w:r w:rsidR="00E50F10">
        <w:t>wraz ze wskazaniem kosztów dla:</w:t>
      </w:r>
    </w:p>
    <w:p w14:paraId="1B43C1D7" w14:textId="574222AF" w:rsidR="002A754A" w:rsidRDefault="002A754A" w:rsidP="002A754A">
      <w:pPr>
        <w:pStyle w:val="Akapitzlist"/>
        <w:spacing w:line="360" w:lineRule="auto"/>
        <w:jc w:val="both"/>
      </w:pPr>
      <w:r>
        <w:t xml:space="preserve">- </w:t>
      </w:r>
      <w:r w:rsidR="005244F4" w:rsidRPr="00402EDC">
        <w:t>przygotowani</w:t>
      </w:r>
      <w:r w:rsidR="00E50F10">
        <w:t>a</w:t>
      </w:r>
      <w:r>
        <w:t xml:space="preserve"> </w:t>
      </w:r>
      <w:r w:rsidR="005244F4" w:rsidRPr="00402EDC">
        <w:t>narzędzia</w:t>
      </w:r>
      <w:r w:rsidR="005736C4">
        <w:t xml:space="preserve">, </w:t>
      </w:r>
    </w:p>
    <w:p w14:paraId="3930A9F4" w14:textId="77777777" w:rsidR="002A754A" w:rsidRDefault="002A754A" w:rsidP="002A754A">
      <w:pPr>
        <w:pStyle w:val="Akapitzlist"/>
        <w:spacing w:line="360" w:lineRule="auto"/>
        <w:jc w:val="both"/>
      </w:pPr>
      <w:r>
        <w:t xml:space="preserve">- </w:t>
      </w:r>
      <w:r w:rsidR="00E50F10">
        <w:t xml:space="preserve">miesięcznej </w:t>
      </w:r>
      <w:r w:rsidR="005736C4">
        <w:t>usługi hostingu</w:t>
      </w:r>
      <w:r w:rsidR="0092068A">
        <w:t>,</w:t>
      </w:r>
      <w:r w:rsidR="005736C4">
        <w:t xml:space="preserve"> </w:t>
      </w:r>
      <w:r w:rsidR="00E50F10">
        <w:t>i serwisu</w:t>
      </w:r>
      <w:r>
        <w:t>,</w:t>
      </w:r>
    </w:p>
    <w:p w14:paraId="42AD6B8E" w14:textId="1AF4CFDB" w:rsidR="004C3B2B" w:rsidRPr="00402EDC" w:rsidRDefault="00E50F10" w:rsidP="002A754A">
      <w:pPr>
        <w:pStyle w:val="Akapitzlist"/>
        <w:spacing w:line="360" w:lineRule="auto"/>
        <w:jc w:val="both"/>
      </w:pPr>
      <w:r>
        <w:t xml:space="preserve"> -</w:t>
      </w:r>
      <w:r w:rsidR="005244F4" w:rsidRPr="00402EDC">
        <w:t xml:space="preserve">jednej godziny </w:t>
      </w:r>
      <w:r>
        <w:t xml:space="preserve">pracy </w:t>
      </w:r>
      <w:r w:rsidR="005244F4" w:rsidRPr="00402EDC">
        <w:t>programisty w ramach usługi modernizacji i rozwoju aplikacji</w:t>
      </w:r>
      <w:r w:rsidR="004B6B4D" w:rsidRPr="00402EDC">
        <w:t>;</w:t>
      </w:r>
    </w:p>
    <w:p w14:paraId="02400932" w14:textId="7229A3B1" w:rsidR="000B1042" w:rsidRDefault="004B6B4D" w:rsidP="0003735B">
      <w:pPr>
        <w:pStyle w:val="Akapitzlist"/>
        <w:numPr>
          <w:ilvl w:val="0"/>
          <w:numId w:val="42"/>
        </w:numPr>
        <w:spacing w:line="360" w:lineRule="auto"/>
        <w:jc w:val="both"/>
      </w:pPr>
      <w:r w:rsidRPr="00402EDC">
        <w:t>c</w:t>
      </w:r>
      <w:r w:rsidR="004C3B2B" w:rsidRPr="00402EDC">
        <w:t xml:space="preserve">ena podana w </w:t>
      </w:r>
      <w:r w:rsidR="00875A2C" w:rsidRPr="00402EDC">
        <w:t>wycenie</w:t>
      </w:r>
      <w:r w:rsidR="004C3B2B" w:rsidRPr="00402EDC">
        <w:t xml:space="preserve"> powinna uwzględni</w:t>
      </w:r>
      <w:r w:rsidR="003F466B">
        <w:t>ać wszystkie koszty związane z </w:t>
      </w:r>
      <w:r w:rsidR="004C3B2B" w:rsidRPr="00402EDC">
        <w:t xml:space="preserve">wykonaniem </w:t>
      </w:r>
      <w:r w:rsidR="00620786" w:rsidRPr="00402EDC">
        <w:t>powyżej opisanego zamówienia</w:t>
      </w:r>
      <w:r w:rsidR="000171A3">
        <w:t xml:space="preserve"> z </w:t>
      </w:r>
      <w:r w:rsidR="000B1042">
        <w:t>wyodrębnieniem</w:t>
      </w:r>
      <w:r w:rsidR="000171A3">
        <w:t xml:space="preserve"> dwóch </w:t>
      </w:r>
      <w:r w:rsidR="000B1042">
        <w:t>wariantów:</w:t>
      </w:r>
    </w:p>
    <w:p w14:paraId="7B7A7E89" w14:textId="77777777" w:rsidR="000B1042" w:rsidRDefault="000B1042" w:rsidP="000B1042">
      <w:pPr>
        <w:pStyle w:val="Akapitzlist"/>
        <w:numPr>
          <w:ilvl w:val="0"/>
          <w:numId w:val="45"/>
        </w:numPr>
        <w:spacing w:line="360" w:lineRule="auto"/>
        <w:jc w:val="both"/>
      </w:pPr>
      <w:r>
        <w:t xml:space="preserve">wykorzystania </w:t>
      </w:r>
      <w:r w:rsidRPr="001C1C3E">
        <w:t>technologii Microsoft SQL Server 2016</w:t>
      </w:r>
      <w:r>
        <w:t>,</w:t>
      </w:r>
    </w:p>
    <w:p w14:paraId="1203EFF2" w14:textId="17FE9045" w:rsidR="004C3B2B" w:rsidRPr="00402EDC" w:rsidRDefault="000B1042" w:rsidP="000B1042">
      <w:pPr>
        <w:pStyle w:val="Akapitzlist"/>
        <w:numPr>
          <w:ilvl w:val="0"/>
          <w:numId w:val="45"/>
        </w:numPr>
        <w:spacing w:line="360" w:lineRule="auto"/>
        <w:jc w:val="both"/>
      </w:pPr>
      <w:r>
        <w:t>wykorzystania innych silników</w:t>
      </w:r>
      <w:r w:rsidRPr="001C1C3E">
        <w:t xml:space="preserve"> bazodanow</w:t>
      </w:r>
      <w:r>
        <w:t xml:space="preserve">ych </w:t>
      </w:r>
      <w:r w:rsidRPr="001C1C3E">
        <w:t>zgodn</w:t>
      </w:r>
      <w:r>
        <w:t>ych</w:t>
      </w:r>
      <w:r w:rsidRPr="001C1C3E">
        <w:t xml:space="preserve"> ze standardem SQL</w:t>
      </w:r>
      <w:r w:rsidR="00620786" w:rsidRPr="00402EDC">
        <w:t xml:space="preserve">. </w:t>
      </w:r>
    </w:p>
    <w:p w14:paraId="3C18C3B9" w14:textId="77777777" w:rsidR="004C3B2B" w:rsidRPr="00402EDC" w:rsidRDefault="004C3B2B" w:rsidP="004C3B2B">
      <w:pPr>
        <w:spacing w:line="360" w:lineRule="auto"/>
        <w:jc w:val="both"/>
      </w:pPr>
    </w:p>
    <w:p w14:paraId="1D195B83" w14:textId="77777777" w:rsidR="004C3B2B" w:rsidRPr="00402EDC" w:rsidRDefault="004C3B2B" w:rsidP="004C3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b/>
        </w:rPr>
      </w:pPr>
      <w:r w:rsidRPr="00402EDC">
        <w:rPr>
          <w:b/>
        </w:rPr>
        <w:t>8. Termin</w:t>
      </w:r>
      <w:r w:rsidR="00523396" w:rsidRPr="00402EDC">
        <w:rPr>
          <w:b/>
        </w:rPr>
        <w:t xml:space="preserve"> przekazania</w:t>
      </w:r>
      <w:r w:rsidRPr="00402EDC">
        <w:rPr>
          <w:b/>
        </w:rPr>
        <w:t xml:space="preserve"> ofert</w:t>
      </w:r>
      <w:r w:rsidR="00523396" w:rsidRPr="00402EDC">
        <w:rPr>
          <w:b/>
        </w:rPr>
        <w:t xml:space="preserve"> cenowych</w:t>
      </w:r>
    </w:p>
    <w:p w14:paraId="70D8791E" w14:textId="77777777" w:rsidR="004C3B2B" w:rsidRPr="00402EDC" w:rsidRDefault="004C3B2B" w:rsidP="004C3B2B">
      <w:pPr>
        <w:spacing w:line="360" w:lineRule="auto"/>
        <w:jc w:val="both"/>
      </w:pPr>
    </w:p>
    <w:p w14:paraId="3BAB6D82" w14:textId="2BB097B6" w:rsidR="004C3B2B" w:rsidRPr="00402EDC" w:rsidRDefault="00EE3E15" w:rsidP="004C3B2B">
      <w:pPr>
        <w:spacing w:after="200" w:line="360" w:lineRule="auto"/>
        <w:jc w:val="both"/>
      </w:pPr>
      <w:r w:rsidRPr="00402EDC">
        <w:t xml:space="preserve">Wycenę </w:t>
      </w:r>
      <w:r w:rsidR="004C3B2B" w:rsidRPr="00402EDC">
        <w:t xml:space="preserve">należy przesłać na adres Ministerstwa Rodziny, Pracy i Polityki Społecznej Departamentu Ekonomii Społecznej i </w:t>
      </w:r>
      <w:r w:rsidR="005244F4" w:rsidRPr="00402EDC">
        <w:t>Solidarnej</w:t>
      </w:r>
      <w:r w:rsidR="004C3B2B" w:rsidRPr="00402EDC">
        <w:t>, w wersji elektronicznej na skrzynkę poczty elektronicznej Weronika.Tomaszewska@M</w:t>
      </w:r>
      <w:r w:rsidR="004A53F8" w:rsidRPr="00402EDC">
        <w:t>RPiPS.gov.pl w terminie do dnia</w:t>
      </w:r>
      <w:r w:rsidR="008510A5">
        <w:t xml:space="preserve"> </w:t>
      </w:r>
      <w:r w:rsidR="00BA2F98">
        <w:t>25</w:t>
      </w:r>
      <w:bookmarkStart w:id="0" w:name="_GoBack"/>
      <w:bookmarkEnd w:id="0"/>
      <w:r w:rsidR="00E50F10">
        <w:t xml:space="preserve"> lutego</w:t>
      </w:r>
      <w:r w:rsidR="008510A5">
        <w:t xml:space="preserve"> 20</w:t>
      </w:r>
      <w:r w:rsidR="00E50F10">
        <w:t>20</w:t>
      </w:r>
      <w:r w:rsidR="008510A5">
        <w:t xml:space="preserve"> r. </w:t>
      </w:r>
    </w:p>
    <w:p w14:paraId="3A94E693" w14:textId="77777777" w:rsidR="004C3B2B" w:rsidRPr="004A53F8" w:rsidRDefault="004C3B2B" w:rsidP="004C3B2B">
      <w:pPr>
        <w:spacing w:line="360" w:lineRule="auto"/>
        <w:rPr>
          <w:sz w:val="18"/>
        </w:rPr>
      </w:pPr>
    </w:p>
    <w:p w14:paraId="7D5E60C7" w14:textId="77777777" w:rsidR="004C3B2B" w:rsidRPr="004A53F8" w:rsidRDefault="004C3B2B" w:rsidP="004C3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b/>
        </w:rPr>
      </w:pPr>
      <w:r w:rsidRPr="004A53F8">
        <w:rPr>
          <w:b/>
        </w:rPr>
        <w:t>10. Kontakt</w:t>
      </w:r>
    </w:p>
    <w:p w14:paraId="28B3A828" w14:textId="77777777" w:rsidR="004C3B2B" w:rsidRPr="004A53F8" w:rsidRDefault="004C3B2B" w:rsidP="004C3B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4A53F8" w:rsidRPr="004A53F8" w14:paraId="2B82408D" w14:textId="77777777" w:rsidTr="0050346B">
        <w:tc>
          <w:tcPr>
            <w:tcW w:w="8434" w:type="dxa"/>
          </w:tcPr>
          <w:p w14:paraId="0F46D5BC" w14:textId="77777777" w:rsidR="004C3B2B" w:rsidRPr="004A53F8" w:rsidRDefault="004C3B2B" w:rsidP="0050346B">
            <w:pPr>
              <w:pStyle w:val="Nagwek"/>
              <w:tabs>
                <w:tab w:val="clear" w:pos="4536"/>
                <w:tab w:val="clear" w:pos="9072"/>
              </w:tabs>
            </w:pPr>
            <w:r w:rsidRPr="004A53F8">
              <w:rPr>
                <w:b/>
              </w:rPr>
              <w:t>Wszelkich informacji merytorycznych i organizacyjnych udziela</w:t>
            </w:r>
            <w:r w:rsidRPr="004A53F8">
              <w:t>:</w:t>
            </w:r>
          </w:p>
        </w:tc>
      </w:tr>
      <w:tr w:rsidR="004A53F8" w:rsidRPr="004A53F8" w14:paraId="0FD258AB" w14:textId="77777777" w:rsidTr="0050346B">
        <w:tc>
          <w:tcPr>
            <w:tcW w:w="8434" w:type="dxa"/>
          </w:tcPr>
          <w:p w14:paraId="3EF31DFD" w14:textId="77777777" w:rsidR="004C3B2B" w:rsidRPr="004A53F8" w:rsidRDefault="004C3B2B" w:rsidP="0050346B">
            <w:pPr>
              <w:jc w:val="both"/>
              <w:rPr>
                <w:b/>
                <w:lang w:val="de-DE"/>
              </w:rPr>
            </w:pPr>
            <w:r w:rsidRPr="004A53F8">
              <w:rPr>
                <w:b/>
                <w:lang w:val="de-DE"/>
              </w:rPr>
              <w:t>Weronika Tomaszewska</w:t>
            </w:r>
          </w:p>
        </w:tc>
      </w:tr>
      <w:tr w:rsidR="004A53F8" w:rsidRPr="004A53F8" w14:paraId="0598543E" w14:textId="77777777" w:rsidTr="0050346B">
        <w:tc>
          <w:tcPr>
            <w:tcW w:w="8434" w:type="dxa"/>
          </w:tcPr>
          <w:p w14:paraId="13A03EDD" w14:textId="77777777" w:rsidR="004C3B2B" w:rsidRPr="004A53F8" w:rsidRDefault="004C3B2B" w:rsidP="0050346B">
            <w:pPr>
              <w:jc w:val="both"/>
              <w:rPr>
                <w:lang w:val="de-DE"/>
              </w:rPr>
            </w:pPr>
            <w:r w:rsidRPr="004A53F8">
              <w:rPr>
                <w:lang w:val="de-DE"/>
              </w:rPr>
              <w:t>Weronika.Tomaszewska@mrpips.gov.pl</w:t>
            </w:r>
          </w:p>
        </w:tc>
      </w:tr>
      <w:tr w:rsidR="004C3B2B" w:rsidRPr="004A53F8" w14:paraId="3DCBFB1E" w14:textId="77777777" w:rsidTr="0050346B">
        <w:tc>
          <w:tcPr>
            <w:tcW w:w="8434" w:type="dxa"/>
          </w:tcPr>
          <w:p w14:paraId="3FE48B97" w14:textId="77777777" w:rsidR="004C3B2B" w:rsidRPr="004A53F8" w:rsidRDefault="004C3B2B" w:rsidP="00C2538F">
            <w:pPr>
              <w:jc w:val="both"/>
              <w:rPr>
                <w:lang w:val="de-DE"/>
              </w:rPr>
            </w:pPr>
            <w:r w:rsidRPr="004A53F8">
              <w:rPr>
                <w:lang w:val="de-DE"/>
              </w:rPr>
              <w:t xml:space="preserve">tel. </w:t>
            </w:r>
            <w:r w:rsidR="00C2538F">
              <w:rPr>
                <w:lang w:val="de-DE"/>
              </w:rPr>
              <w:t>22 461 61 43</w:t>
            </w:r>
          </w:p>
        </w:tc>
      </w:tr>
      <w:tr w:rsidR="00C2538F" w:rsidRPr="004A53F8" w14:paraId="675BDF8D" w14:textId="77777777" w:rsidTr="0050346B">
        <w:tc>
          <w:tcPr>
            <w:tcW w:w="8434" w:type="dxa"/>
          </w:tcPr>
          <w:p w14:paraId="556D90E1" w14:textId="77777777" w:rsidR="00C2538F" w:rsidRPr="004A53F8" w:rsidRDefault="00C2538F" w:rsidP="0054119E">
            <w:pPr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Jakub </w:t>
            </w:r>
            <w:proofErr w:type="spellStart"/>
            <w:r>
              <w:rPr>
                <w:b/>
                <w:lang w:val="de-DE"/>
              </w:rPr>
              <w:t>Szewczyk</w:t>
            </w:r>
            <w:proofErr w:type="spellEnd"/>
          </w:p>
        </w:tc>
      </w:tr>
      <w:tr w:rsidR="00C2538F" w:rsidRPr="004A53F8" w14:paraId="6281C307" w14:textId="77777777" w:rsidTr="0050346B">
        <w:tc>
          <w:tcPr>
            <w:tcW w:w="8434" w:type="dxa"/>
          </w:tcPr>
          <w:p w14:paraId="4A9C1FEE" w14:textId="77777777" w:rsidR="00C2538F" w:rsidRPr="004A53F8" w:rsidRDefault="00C2538F" w:rsidP="00C2538F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Jakub.Szewczyk</w:t>
            </w:r>
            <w:r w:rsidRPr="004A53F8">
              <w:rPr>
                <w:lang w:val="de-DE"/>
              </w:rPr>
              <w:t>@mrpips.gov.pl</w:t>
            </w:r>
          </w:p>
        </w:tc>
      </w:tr>
      <w:tr w:rsidR="00C2538F" w:rsidRPr="004A53F8" w14:paraId="23A34D91" w14:textId="77777777" w:rsidTr="0050346B">
        <w:tc>
          <w:tcPr>
            <w:tcW w:w="8434" w:type="dxa"/>
          </w:tcPr>
          <w:p w14:paraId="2723CE05" w14:textId="77777777" w:rsidR="00C2538F" w:rsidRPr="004A53F8" w:rsidRDefault="00C2538F" w:rsidP="00C2538F">
            <w:pPr>
              <w:jc w:val="both"/>
              <w:rPr>
                <w:lang w:val="de-DE"/>
              </w:rPr>
            </w:pPr>
            <w:r w:rsidRPr="004A53F8">
              <w:rPr>
                <w:lang w:val="de-DE"/>
              </w:rPr>
              <w:t xml:space="preserve">tel. </w:t>
            </w:r>
            <w:r>
              <w:rPr>
                <w:lang w:val="de-DE"/>
              </w:rPr>
              <w:t>22 461 61 58</w:t>
            </w:r>
          </w:p>
        </w:tc>
      </w:tr>
    </w:tbl>
    <w:p w14:paraId="4AE36C8C" w14:textId="77777777" w:rsidR="004C3B2B" w:rsidRPr="004A53F8" w:rsidRDefault="004C3B2B" w:rsidP="004C3B2B"/>
    <w:p w14:paraId="11C80B88" w14:textId="77777777" w:rsidR="004C3B2B" w:rsidRDefault="004C3B2B" w:rsidP="004C3B2B"/>
    <w:p w14:paraId="426F1D9F" w14:textId="77777777" w:rsidR="003B3EA6" w:rsidRDefault="003B3EA6" w:rsidP="004D3394"/>
    <w:sectPr w:rsidR="003B3EA6" w:rsidSect="005A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702D" w14:textId="77777777" w:rsidR="005D4ED7" w:rsidRDefault="005D4ED7" w:rsidP="004C3B2B">
      <w:r>
        <w:separator/>
      </w:r>
    </w:p>
  </w:endnote>
  <w:endnote w:type="continuationSeparator" w:id="0">
    <w:p w14:paraId="00914F70" w14:textId="77777777" w:rsidR="005D4ED7" w:rsidRDefault="005D4ED7" w:rsidP="004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2966737"/>
      <w:docPartObj>
        <w:docPartGallery w:val="Page Numbers (Bottom of Page)"/>
        <w:docPartUnique/>
      </w:docPartObj>
    </w:sdtPr>
    <w:sdtEndPr/>
    <w:sdtContent>
      <w:p w14:paraId="14EC295F" w14:textId="06B52711" w:rsidR="00F8370E" w:rsidRDefault="00F8370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13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2FBE88B" w14:textId="77777777" w:rsidR="00F8370E" w:rsidRDefault="00F83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19677" w14:textId="77777777" w:rsidR="005D4ED7" w:rsidRDefault="005D4ED7" w:rsidP="004C3B2B">
      <w:r>
        <w:separator/>
      </w:r>
    </w:p>
  </w:footnote>
  <w:footnote w:type="continuationSeparator" w:id="0">
    <w:p w14:paraId="4796C55C" w14:textId="77777777" w:rsidR="005D4ED7" w:rsidRDefault="005D4ED7" w:rsidP="004C3B2B">
      <w:r>
        <w:continuationSeparator/>
      </w:r>
    </w:p>
  </w:footnote>
  <w:footnote w:id="1">
    <w:p w14:paraId="222225CF" w14:textId="77777777" w:rsidR="00F8370E" w:rsidRPr="00813DDF" w:rsidRDefault="00F8370E" w:rsidP="005376B1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813DD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813DDF">
        <w:rPr>
          <w:rFonts w:asciiTheme="majorHAnsi" w:hAnsiTheme="majorHAnsi"/>
          <w:sz w:val="18"/>
          <w:szCs w:val="18"/>
        </w:rPr>
        <w:t xml:space="preserve"> Wszystkie wskaźniki liczone w oparciu o liczbę podmiotów odnosić się będą do podmiotów aktywnych.</w:t>
      </w:r>
    </w:p>
  </w:footnote>
  <w:footnote w:id="2">
    <w:p w14:paraId="0E786A18" w14:textId="2BDA3E34" w:rsidR="00F8370E" w:rsidRDefault="00F8370E">
      <w:pPr>
        <w:pStyle w:val="Tekstprzypisudolnego"/>
      </w:pPr>
      <w:r>
        <w:rPr>
          <w:rStyle w:val="Odwoanieprzypisudolnego"/>
        </w:rPr>
        <w:footnoteRef/>
      </w:r>
      <w:r>
        <w:t xml:space="preserve"> Dane prezentowane w tys. </w:t>
      </w:r>
      <w:r w:rsidRPr="004C470D">
        <w:t>do pierwszego miejsca po przecinku</w:t>
      </w:r>
      <w:r>
        <w:t>.</w:t>
      </w:r>
    </w:p>
  </w:footnote>
  <w:footnote w:id="3">
    <w:p w14:paraId="13114D45" w14:textId="77777777" w:rsidR="00F8370E" w:rsidRPr="00813DDF" w:rsidRDefault="00F8370E" w:rsidP="005376B1">
      <w:pPr>
        <w:pStyle w:val="Akapitzlist"/>
        <w:ind w:left="0"/>
        <w:jc w:val="both"/>
        <w:rPr>
          <w:rFonts w:asciiTheme="majorHAnsi" w:hAnsiTheme="majorHAnsi"/>
          <w:sz w:val="18"/>
          <w:szCs w:val="18"/>
        </w:rPr>
      </w:pPr>
      <w:r w:rsidRPr="00813DD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813DDF">
        <w:rPr>
          <w:rFonts w:asciiTheme="majorHAnsi" w:hAnsiTheme="majorHAnsi"/>
          <w:sz w:val="18"/>
          <w:szCs w:val="18"/>
        </w:rPr>
        <w:t xml:space="preserve"> typowe stowarzyszenia i organizacje społeczne, ochotnicze straże pożarne, stowarzyszenia sportowe, koła łowieckie, fundacje, społeczne podmioty wyznaniowe, samorząd gospodarczy, spółdzielnie socjalne, spółdzielnie pracy, spółdzielnie inwalidów i niewidomych, spółki non-profit – postulat do Ministerstwa Sprawiedliwości o oznaczenie w KRS, że spółka deklaruje działanie na zasadzie non-profit</w:t>
      </w:r>
      <w:r w:rsidRPr="00813DDF">
        <w:rPr>
          <w:rStyle w:val="Odwoaniedokomentarza"/>
          <w:rFonts w:asciiTheme="majorHAnsi" w:hAnsiTheme="majorHAnsi"/>
          <w:sz w:val="18"/>
          <w:szCs w:val="18"/>
        </w:rPr>
        <w:t>.</w:t>
      </w:r>
    </w:p>
  </w:footnote>
  <w:footnote w:id="4">
    <w:p w14:paraId="19CE0618" w14:textId="77777777" w:rsidR="00F8370E" w:rsidRPr="00813DDF" w:rsidRDefault="00F8370E" w:rsidP="005376B1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813DD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813DDF">
        <w:rPr>
          <w:rFonts w:asciiTheme="majorHAnsi" w:hAnsiTheme="majorHAnsi"/>
          <w:sz w:val="18"/>
          <w:szCs w:val="18"/>
        </w:rPr>
        <w:t xml:space="preserve"> O ile posiadają status OPP lub status PS bądź na podstawie danych udostępnianych w KRS można potwierdzić ten status.</w:t>
      </w:r>
    </w:p>
  </w:footnote>
  <w:footnote w:id="5">
    <w:p w14:paraId="3880DFE3" w14:textId="5138F247" w:rsidR="00F8370E" w:rsidRDefault="00F8370E" w:rsidP="004C470D">
      <w:pPr>
        <w:pStyle w:val="Tekstprzypisudolnego"/>
      </w:pPr>
      <w:r>
        <w:rPr>
          <w:rStyle w:val="Odwoanieprzypisudolnego"/>
        </w:rPr>
        <w:footnoteRef/>
      </w:r>
      <w:r>
        <w:t xml:space="preserve"> Dane prezentowane w proc. </w:t>
      </w:r>
      <w:r w:rsidRPr="004C470D">
        <w:t>do pierwszego miejsca po przecinku</w:t>
      </w:r>
      <w:r>
        <w:t>.</w:t>
      </w:r>
    </w:p>
    <w:p w14:paraId="61E9C43D" w14:textId="689274F2" w:rsidR="00F8370E" w:rsidRDefault="00F8370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EFFB1" w14:textId="77777777" w:rsidR="00F8370E" w:rsidRPr="0064454F" w:rsidRDefault="00F8370E" w:rsidP="0050346B">
    <w:pPr>
      <w:pStyle w:val="Nagwek"/>
    </w:pPr>
    <w:r>
      <w:rPr>
        <w:noProof/>
      </w:rPr>
      <w:drawing>
        <wp:inline distT="0" distB="0" distL="0" distR="0" wp14:anchorId="28D2D177" wp14:editId="3ABA8F8F">
          <wp:extent cx="5760720" cy="1235710"/>
          <wp:effectExtent l="19050" t="0" r="0" b="0"/>
          <wp:docPr id="3" name="Obraz 3" descr="logotypy_power_ue_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power_ue_efs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5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243"/>
    <w:multiLevelType w:val="multilevel"/>
    <w:tmpl w:val="4308F10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1E324F"/>
    <w:multiLevelType w:val="multilevel"/>
    <w:tmpl w:val="95A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212F3"/>
    <w:multiLevelType w:val="hybridMultilevel"/>
    <w:tmpl w:val="4F386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5346A"/>
    <w:multiLevelType w:val="multilevel"/>
    <w:tmpl w:val="0B44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C408D"/>
    <w:multiLevelType w:val="multilevel"/>
    <w:tmpl w:val="550E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C3820"/>
    <w:multiLevelType w:val="hybridMultilevel"/>
    <w:tmpl w:val="15CA3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40137"/>
    <w:multiLevelType w:val="multilevel"/>
    <w:tmpl w:val="E346998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ascii="Calibri Light" w:hAnsi="Calibri Light"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1440"/>
      </w:pPr>
      <w:rPr>
        <w:rFonts w:hint="default"/>
      </w:rPr>
    </w:lvl>
  </w:abstractNum>
  <w:abstractNum w:abstractNumId="7" w15:restartNumberingAfterBreak="0">
    <w:nsid w:val="11E94CCE"/>
    <w:multiLevelType w:val="hybridMultilevel"/>
    <w:tmpl w:val="A0821D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CABC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EB642F"/>
    <w:multiLevelType w:val="hybridMultilevel"/>
    <w:tmpl w:val="BCF0DF7A"/>
    <w:lvl w:ilvl="0" w:tplc="11228FC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63CAF"/>
    <w:multiLevelType w:val="hybridMultilevel"/>
    <w:tmpl w:val="69F66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46264E"/>
    <w:multiLevelType w:val="hybridMultilevel"/>
    <w:tmpl w:val="4DBA3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13E7B"/>
    <w:multiLevelType w:val="multilevel"/>
    <w:tmpl w:val="661A80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4182F"/>
    <w:multiLevelType w:val="hybridMultilevel"/>
    <w:tmpl w:val="4B9AE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A1E1E"/>
    <w:multiLevelType w:val="multilevel"/>
    <w:tmpl w:val="4308F10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C83FC0"/>
    <w:multiLevelType w:val="hybridMultilevel"/>
    <w:tmpl w:val="B510A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67967"/>
    <w:multiLevelType w:val="hybridMultilevel"/>
    <w:tmpl w:val="92A42F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D2655"/>
    <w:multiLevelType w:val="hybridMultilevel"/>
    <w:tmpl w:val="E9981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71147"/>
    <w:multiLevelType w:val="multilevel"/>
    <w:tmpl w:val="1B5C05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cstheme="majorBidi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theme="majorBidi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theme="majorBidi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theme="majorBidi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theme="majorBidi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theme="majorBidi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theme="majorBidi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theme="majorBidi" w:hint="default"/>
      </w:rPr>
    </w:lvl>
  </w:abstractNum>
  <w:abstractNum w:abstractNumId="18" w15:restartNumberingAfterBreak="0">
    <w:nsid w:val="259B77EF"/>
    <w:multiLevelType w:val="multilevel"/>
    <w:tmpl w:val="E3469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ascii="Calibri Light" w:hAnsi="Calibri Light"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4" w:hanging="1440"/>
      </w:pPr>
      <w:rPr>
        <w:rFonts w:hint="default"/>
      </w:rPr>
    </w:lvl>
  </w:abstractNum>
  <w:abstractNum w:abstractNumId="19" w15:restartNumberingAfterBreak="0">
    <w:nsid w:val="25A1589F"/>
    <w:multiLevelType w:val="multilevel"/>
    <w:tmpl w:val="4308F10A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9E3D2D"/>
    <w:multiLevelType w:val="hybridMultilevel"/>
    <w:tmpl w:val="3B64F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CABC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203199"/>
    <w:multiLevelType w:val="hybridMultilevel"/>
    <w:tmpl w:val="AB6CE394"/>
    <w:lvl w:ilvl="0" w:tplc="B72812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FE51DBA"/>
    <w:multiLevelType w:val="hybridMultilevel"/>
    <w:tmpl w:val="02A27F4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657718"/>
    <w:multiLevelType w:val="hybridMultilevel"/>
    <w:tmpl w:val="52D429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5D03A54"/>
    <w:multiLevelType w:val="multilevel"/>
    <w:tmpl w:val="E3469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Calibri Light" w:hAnsi="Calibri Light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26" w15:restartNumberingAfterBreak="0">
    <w:nsid w:val="37CB29E7"/>
    <w:multiLevelType w:val="multilevel"/>
    <w:tmpl w:val="E3469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ascii="Calibri Light" w:hAnsi="Calibri Light"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4" w:hanging="1440"/>
      </w:pPr>
      <w:rPr>
        <w:rFonts w:hint="default"/>
      </w:rPr>
    </w:lvl>
  </w:abstractNum>
  <w:abstractNum w:abstractNumId="27" w15:restartNumberingAfterBreak="0">
    <w:nsid w:val="3BDD51D0"/>
    <w:multiLevelType w:val="multilevel"/>
    <w:tmpl w:val="A826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9A2606"/>
    <w:multiLevelType w:val="hybridMultilevel"/>
    <w:tmpl w:val="FF5E4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26EF8"/>
    <w:multiLevelType w:val="hybridMultilevel"/>
    <w:tmpl w:val="A69AD64E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F2C47"/>
    <w:multiLevelType w:val="multilevel"/>
    <w:tmpl w:val="D39A55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04240"/>
    <w:multiLevelType w:val="multilevel"/>
    <w:tmpl w:val="E346998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ascii="Calibri Light" w:hAnsi="Calibri Light"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1440"/>
      </w:pPr>
      <w:rPr>
        <w:rFonts w:hint="default"/>
      </w:rPr>
    </w:lvl>
  </w:abstractNum>
  <w:abstractNum w:abstractNumId="32" w15:restartNumberingAfterBreak="0">
    <w:nsid w:val="48F46B60"/>
    <w:multiLevelType w:val="hybridMultilevel"/>
    <w:tmpl w:val="4754E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45B0B"/>
    <w:multiLevelType w:val="hybridMultilevel"/>
    <w:tmpl w:val="4754E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72F87"/>
    <w:multiLevelType w:val="hybridMultilevel"/>
    <w:tmpl w:val="C354E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78547F"/>
    <w:multiLevelType w:val="multilevel"/>
    <w:tmpl w:val="BD92229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5893042"/>
    <w:multiLevelType w:val="multilevel"/>
    <w:tmpl w:val="95208ED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66F2E91"/>
    <w:multiLevelType w:val="multilevel"/>
    <w:tmpl w:val="43602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95D5A"/>
    <w:multiLevelType w:val="hybridMultilevel"/>
    <w:tmpl w:val="3B64F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CABC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EB58CA"/>
    <w:multiLevelType w:val="multilevel"/>
    <w:tmpl w:val="FDC2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5350DA"/>
    <w:multiLevelType w:val="multilevel"/>
    <w:tmpl w:val="28583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ascii="Calibri Light" w:hAnsi="Calibri Light"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4" w:hanging="1440"/>
      </w:pPr>
      <w:rPr>
        <w:rFonts w:hint="default"/>
      </w:rPr>
    </w:lvl>
  </w:abstractNum>
  <w:abstractNum w:abstractNumId="41" w15:restartNumberingAfterBreak="0">
    <w:nsid w:val="64FD1ACA"/>
    <w:multiLevelType w:val="multilevel"/>
    <w:tmpl w:val="E57A30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5727E9"/>
    <w:multiLevelType w:val="hybridMultilevel"/>
    <w:tmpl w:val="D60C3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82E24"/>
    <w:multiLevelType w:val="hybridMultilevel"/>
    <w:tmpl w:val="B1826E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05A0A"/>
    <w:multiLevelType w:val="hybridMultilevel"/>
    <w:tmpl w:val="5606BA6C"/>
    <w:lvl w:ilvl="0" w:tplc="77963980">
      <w:start w:val="1"/>
      <w:numFmt w:val="decimal"/>
      <w:lvlText w:val="%1."/>
      <w:lvlJc w:val="left"/>
      <w:pPr>
        <w:ind w:left="4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13" w:hanging="360"/>
      </w:pPr>
    </w:lvl>
    <w:lvl w:ilvl="2" w:tplc="0415001B" w:tentative="1">
      <w:start w:val="1"/>
      <w:numFmt w:val="lowerRoman"/>
      <w:lvlText w:val="%3."/>
      <w:lvlJc w:val="right"/>
      <w:pPr>
        <w:ind w:left="5633" w:hanging="180"/>
      </w:pPr>
    </w:lvl>
    <w:lvl w:ilvl="3" w:tplc="0415000F" w:tentative="1">
      <w:start w:val="1"/>
      <w:numFmt w:val="decimal"/>
      <w:lvlText w:val="%4."/>
      <w:lvlJc w:val="left"/>
      <w:pPr>
        <w:ind w:left="6353" w:hanging="360"/>
      </w:pPr>
    </w:lvl>
    <w:lvl w:ilvl="4" w:tplc="04150019" w:tentative="1">
      <w:start w:val="1"/>
      <w:numFmt w:val="lowerLetter"/>
      <w:lvlText w:val="%5."/>
      <w:lvlJc w:val="left"/>
      <w:pPr>
        <w:ind w:left="7073" w:hanging="360"/>
      </w:pPr>
    </w:lvl>
    <w:lvl w:ilvl="5" w:tplc="0415001B" w:tentative="1">
      <w:start w:val="1"/>
      <w:numFmt w:val="lowerRoman"/>
      <w:lvlText w:val="%6."/>
      <w:lvlJc w:val="right"/>
      <w:pPr>
        <w:ind w:left="7793" w:hanging="180"/>
      </w:pPr>
    </w:lvl>
    <w:lvl w:ilvl="6" w:tplc="0415000F" w:tentative="1">
      <w:start w:val="1"/>
      <w:numFmt w:val="decimal"/>
      <w:lvlText w:val="%7."/>
      <w:lvlJc w:val="left"/>
      <w:pPr>
        <w:ind w:left="8513" w:hanging="360"/>
      </w:pPr>
    </w:lvl>
    <w:lvl w:ilvl="7" w:tplc="04150019" w:tentative="1">
      <w:start w:val="1"/>
      <w:numFmt w:val="lowerLetter"/>
      <w:lvlText w:val="%8."/>
      <w:lvlJc w:val="left"/>
      <w:pPr>
        <w:ind w:left="9233" w:hanging="360"/>
      </w:pPr>
    </w:lvl>
    <w:lvl w:ilvl="8" w:tplc="0415001B" w:tentative="1">
      <w:start w:val="1"/>
      <w:numFmt w:val="lowerRoman"/>
      <w:lvlText w:val="%9."/>
      <w:lvlJc w:val="right"/>
      <w:pPr>
        <w:ind w:left="9953" w:hanging="180"/>
      </w:pPr>
    </w:lvl>
  </w:abstractNum>
  <w:abstractNum w:abstractNumId="45" w15:restartNumberingAfterBreak="0">
    <w:nsid w:val="71633B39"/>
    <w:multiLevelType w:val="hybridMultilevel"/>
    <w:tmpl w:val="54B07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AC6F6B"/>
    <w:multiLevelType w:val="multilevel"/>
    <w:tmpl w:val="331880F4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47" w15:restartNumberingAfterBreak="0">
    <w:nsid w:val="731A0E4A"/>
    <w:multiLevelType w:val="multilevel"/>
    <w:tmpl w:val="E416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4"/>
  </w:num>
  <w:num w:numId="3">
    <w:abstractNumId w:val="2"/>
  </w:num>
  <w:num w:numId="4">
    <w:abstractNumId w:val="38"/>
  </w:num>
  <w:num w:numId="5">
    <w:abstractNumId w:val="42"/>
  </w:num>
  <w:num w:numId="6">
    <w:abstractNumId w:val="33"/>
  </w:num>
  <w:num w:numId="7">
    <w:abstractNumId w:val="22"/>
  </w:num>
  <w:num w:numId="8">
    <w:abstractNumId w:val="44"/>
  </w:num>
  <w:num w:numId="9">
    <w:abstractNumId w:val="21"/>
  </w:num>
  <w:num w:numId="10">
    <w:abstractNumId w:val="17"/>
  </w:num>
  <w:num w:numId="11">
    <w:abstractNumId w:val="7"/>
  </w:num>
  <w:num w:numId="12">
    <w:abstractNumId w:val="12"/>
  </w:num>
  <w:num w:numId="13">
    <w:abstractNumId w:val="32"/>
  </w:num>
  <w:num w:numId="14">
    <w:abstractNumId w:val="9"/>
  </w:num>
  <w:num w:numId="15">
    <w:abstractNumId w:val="34"/>
  </w:num>
  <w:num w:numId="16">
    <w:abstractNumId w:val="20"/>
  </w:num>
  <w:num w:numId="17">
    <w:abstractNumId w:val="15"/>
  </w:num>
  <w:num w:numId="18">
    <w:abstractNumId w:val="31"/>
  </w:num>
  <w:num w:numId="19">
    <w:abstractNumId w:val="11"/>
  </w:num>
  <w:num w:numId="20">
    <w:abstractNumId w:val="41"/>
  </w:num>
  <w:num w:numId="21">
    <w:abstractNumId w:val="47"/>
  </w:num>
  <w:num w:numId="22">
    <w:abstractNumId w:val="3"/>
  </w:num>
  <w:num w:numId="23">
    <w:abstractNumId w:val="1"/>
  </w:num>
  <w:num w:numId="24">
    <w:abstractNumId w:val="4"/>
  </w:num>
  <w:num w:numId="25">
    <w:abstractNumId w:val="39"/>
  </w:num>
  <w:num w:numId="26">
    <w:abstractNumId w:val="27"/>
  </w:num>
  <w:num w:numId="27">
    <w:abstractNumId w:val="37"/>
  </w:num>
  <w:num w:numId="28">
    <w:abstractNumId w:val="26"/>
  </w:num>
  <w:num w:numId="29">
    <w:abstractNumId w:val="35"/>
  </w:num>
  <w:num w:numId="30">
    <w:abstractNumId w:val="18"/>
  </w:num>
  <w:num w:numId="31">
    <w:abstractNumId w:val="29"/>
  </w:num>
  <w:num w:numId="32">
    <w:abstractNumId w:val="25"/>
  </w:num>
  <w:num w:numId="33">
    <w:abstractNumId w:val="10"/>
  </w:num>
  <w:num w:numId="34">
    <w:abstractNumId w:val="36"/>
  </w:num>
  <w:num w:numId="35">
    <w:abstractNumId w:val="40"/>
  </w:num>
  <w:num w:numId="36">
    <w:abstractNumId w:val="13"/>
  </w:num>
  <w:num w:numId="37">
    <w:abstractNumId w:val="30"/>
  </w:num>
  <w:num w:numId="38">
    <w:abstractNumId w:val="0"/>
  </w:num>
  <w:num w:numId="39">
    <w:abstractNumId w:val="19"/>
  </w:num>
  <w:num w:numId="40">
    <w:abstractNumId w:val="46"/>
  </w:num>
  <w:num w:numId="41">
    <w:abstractNumId w:val="14"/>
  </w:num>
  <w:num w:numId="42">
    <w:abstractNumId w:val="45"/>
  </w:num>
  <w:num w:numId="43">
    <w:abstractNumId w:val="6"/>
  </w:num>
  <w:num w:numId="44">
    <w:abstractNumId w:val="8"/>
  </w:num>
  <w:num w:numId="45">
    <w:abstractNumId w:val="23"/>
  </w:num>
  <w:num w:numId="46">
    <w:abstractNumId w:val="28"/>
  </w:num>
  <w:num w:numId="47">
    <w:abstractNumId w:val="43"/>
  </w:num>
  <w:num w:numId="48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2B"/>
    <w:rsid w:val="00007EB5"/>
    <w:rsid w:val="00014C0E"/>
    <w:rsid w:val="000171A3"/>
    <w:rsid w:val="0002309E"/>
    <w:rsid w:val="00025389"/>
    <w:rsid w:val="000277CB"/>
    <w:rsid w:val="00032FA4"/>
    <w:rsid w:val="00035340"/>
    <w:rsid w:val="0003735B"/>
    <w:rsid w:val="00060D3F"/>
    <w:rsid w:val="0008753D"/>
    <w:rsid w:val="000A01F6"/>
    <w:rsid w:val="000B1042"/>
    <w:rsid w:val="000B5C2D"/>
    <w:rsid w:val="000C4446"/>
    <w:rsid w:val="000D3A96"/>
    <w:rsid w:val="000D3F4F"/>
    <w:rsid w:val="000D5939"/>
    <w:rsid w:val="000E0C9E"/>
    <w:rsid w:val="00101C54"/>
    <w:rsid w:val="0010317C"/>
    <w:rsid w:val="00104038"/>
    <w:rsid w:val="00107542"/>
    <w:rsid w:val="00123C3D"/>
    <w:rsid w:val="0012689C"/>
    <w:rsid w:val="00133C26"/>
    <w:rsid w:val="00163A23"/>
    <w:rsid w:val="00165900"/>
    <w:rsid w:val="0016615D"/>
    <w:rsid w:val="001900E9"/>
    <w:rsid w:val="00193256"/>
    <w:rsid w:val="001A1A8C"/>
    <w:rsid w:val="001B2891"/>
    <w:rsid w:val="001B3330"/>
    <w:rsid w:val="001C1C3E"/>
    <w:rsid w:val="001C3A56"/>
    <w:rsid w:val="001C5008"/>
    <w:rsid w:val="001D351B"/>
    <w:rsid w:val="001F1F64"/>
    <w:rsid w:val="0021662D"/>
    <w:rsid w:val="00217790"/>
    <w:rsid w:val="00217E64"/>
    <w:rsid w:val="00230009"/>
    <w:rsid w:val="00261F92"/>
    <w:rsid w:val="00266C70"/>
    <w:rsid w:val="00267727"/>
    <w:rsid w:val="00285329"/>
    <w:rsid w:val="002952EE"/>
    <w:rsid w:val="00295424"/>
    <w:rsid w:val="002A040E"/>
    <w:rsid w:val="002A754A"/>
    <w:rsid w:val="002B73B4"/>
    <w:rsid w:val="002C1684"/>
    <w:rsid w:val="002D139F"/>
    <w:rsid w:val="002D7D5C"/>
    <w:rsid w:val="002E467A"/>
    <w:rsid w:val="002E729C"/>
    <w:rsid w:val="002F74CB"/>
    <w:rsid w:val="00311199"/>
    <w:rsid w:val="003246C3"/>
    <w:rsid w:val="00332B14"/>
    <w:rsid w:val="0037772B"/>
    <w:rsid w:val="00390377"/>
    <w:rsid w:val="00397B9A"/>
    <w:rsid w:val="003A061A"/>
    <w:rsid w:val="003B3EA6"/>
    <w:rsid w:val="003D2969"/>
    <w:rsid w:val="003D7D16"/>
    <w:rsid w:val="003F466B"/>
    <w:rsid w:val="00402EDC"/>
    <w:rsid w:val="00413951"/>
    <w:rsid w:val="00422F87"/>
    <w:rsid w:val="00430A26"/>
    <w:rsid w:val="00442C82"/>
    <w:rsid w:val="0047421D"/>
    <w:rsid w:val="004936CE"/>
    <w:rsid w:val="00496A1C"/>
    <w:rsid w:val="004A53F8"/>
    <w:rsid w:val="004B6B4D"/>
    <w:rsid w:val="004C11CE"/>
    <w:rsid w:val="004C280E"/>
    <w:rsid w:val="004C3B2B"/>
    <w:rsid w:val="004C470D"/>
    <w:rsid w:val="004D3394"/>
    <w:rsid w:val="004E6AF6"/>
    <w:rsid w:val="004F0A93"/>
    <w:rsid w:val="004F753E"/>
    <w:rsid w:val="004F769A"/>
    <w:rsid w:val="0050346B"/>
    <w:rsid w:val="00523396"/>
    <w:rsid w:val="005244F4"/>
    <w:rsid w:val="00537277"/>
    <w:rsid w:val="005376B1"/>
    <w:rsid w:val="0054119E"/>
    <w:rsid w:val="005523F8"/>
    <w:rsid w:val="005534C7"/>
    <w:rsid w:val="005736C4"/>
    <w:rsid w:val="00583748"/>
    <w:rsid w:val="00592971"/>
    <w:rsid w:val="00594E3E"/>
    <w:rsid w:val="00596AD1"/>
    <w:rsid w:val="005A23CB"/>
    <w:rsid w:val="005A58A8"/>
    <w:rsid w:val="005B6B29"/>
    <w:rsid w:val="005D4ED7"/>
    <w:rsid w:val="005D54A8"/>
    <w:rsid w:val="005E1029"/>
    <w:rsid w:val="005E3BE4"/>
    <w:rsid w:val="005E4F2F"/>
    <w:rsid w:val="005F1A34"/>
    <w:rsid w:val="005F2F2D"/>
    <w:rsid w:val="006023CD"/>
    <w:rsid w:val="0061471E"/>
    <w:rsid w:val="0061575F"/>
    <w:rsid w:val="00617394"/>
    <w:rsid w:val="00620786"/>
    <w:rsid w:val="006238CA"/>
    <w:rsid w:val="006616AD"/>
    <w:rsid w:val="006773E0"/>
    <w:rsid w:val="00677D8F"/>
    <w:rsid w:val="00683F33"/>
    <w:rsid w:val="0069775F"/>
    <w:rsid w:val="006B3EAD"/>
    <w:rsid w:val="006D049C"/>
    <w:rsid w:val="006D7F5B"/>
    <w:rsid w:val="006E62E0"/>
    <w:rsid w:val="00710227"/>
    <w:rsid w:val="0072656D"/>
    <w:rsid w:val="00734C38"/>
    <w:rsid w:val="0073671C"/>
    <w:rsid w:val="00743684"/>
    <w:rsid w:val="00770714"/>
    <w:rsid w:val="00774C1A"/>
    <w:rsid w:val="00793489"/>
    <w:rsid w:val="00795AD6"/>
    <w:rsid w:val="007D0344"/>
    <w:rsid w:val="007D4D1D"/>
    <w:rsid w:val="00802453"/>
    <w:rsid w:val="008041B3"/>
    <w:rsid w:val="008115E0"/>
    <w:rsid w:val="00812F6C"/>
    <w:rsid w:val="0082280F"/>
    <w:rsid w:val="00833B38"/>
    <w:rsid w:val="00835EA6"/>
    <w:rsid w:val="00842754"/>
    <w:rsid w:val="008510A5"/>
    <w:rsid w:val="00863B55"/>
    <w:rsid w:val="008711C7"/>
    <w:rsid w:val="00875A2C"/>
    <w:rsid w:val="008764CA"/>
    <w:rsid w:val="0088093E"/>
    <w:rsid w:val="00890682"/>
    <w:rsid w:val="008914A1"/>
    <w:rsid w:val="008923D2"/>
    <w:rsid w:val="008A5591"/>
    <w:rsid w:val="008A6DB6"/>
    <w:rsid w:val="008B3A7F"/>
    <w:rsid w:val="008C39E5"/>
    <w:rsid w:val="008E0923"/>
    <w:rsid w:val="008E375C"/>
    <w:rsid w:val="008F17AF"/>
    <w:rsid w:val="00900D59"/>
    <w:rsid w:val="00902B52"/>
    <w:rsid w:val="009051DD"/>
    <w:rsid w:val="0092068A"/>
    <w:rsid w:val="00926271"/>
    <w:rsid w:val="00937438"/>
    <w:rsid w:val="00955B30"/>
    <w:rsid w:val="00957121"/>
    <w:rsid w:val="0096434C"/>
    <w:rsid w:val="00967164"/>
    <w:rsid w:val="009837E1"/>
    <w:rsid w:val="00996E57"/>
    <w:rsid w:val="009A037B"/>
    <w:rsid w:val="009A6D83"/>
    <w:rsid w:val="009A6EDE"/>
    <w:rsid w:val="009A7089"/>
    <w:rsid w:val="009B51D7"/>
    <w:rsid w:val="009B53F5"/>
    <w:rsid w:val="009E001F"/>
    <w:rsid w:val="009E4738"/>
    <w:rsid w:val="009F27A0"/>
    <w:rsid w:val="00A07CBA"/>
    <w:rsid w:val="00A128C6"/>
    <w:rsid w:val="00A47A5C"/>
    <w:rsid w:val="00A47C12"/>
    <w:rsid w:val="00A50D36"/>
    <w:rsid w:val="00A57ACB"/>
    <w:rsid w:val="00A65AF9"/>
    <w:rsid w:val="00A74132"/>
    <w:rsid w:val="00A76A3C"/>
    <w:rsid w:val="00A77795"/>
    <w:rsid w:val="00A83925"/>
    <w:rsid w:val="00A87396"/>
    <w:rsid w:val="00A876DD"/>
    <w:rsid w:val="00A97D69"/>
    <w:rsid w:val="00AC54AA"/>
    <w:rsid w:val="00AE20BE"/>
    <w:rsid w:val="00AE3FCF"/>
    <w:rsid w:val="00B173B9"/>
    <w:rsid w:val="00B2032C"/>
    <w:rsid w:val="00B23059"/>
    <w:rsid w:val="00B35038"/>
    <w:rsid w:val="00B372E7"/>
    <w:rsid w:val="00B525D8"/>
    <w:rsid w:val="00B52ECB"/>
    <w:rsid w:val="00BA2F98"/>
    <w:rsid w:val="00BA76F7"/>
    <w:rsid w:val="00BA7A20"/>
    <w:rsid w:val="00BE2C01"/>
    <w:rsid w:val="00BE5654"/>
    <w:rsid w:val="00C12D7F"/>
    <w:rsid w:val="00C16C16"/>
    <w:rsid w:val="00C2538F"/>
    <w:rsid w:val="00C46AF5"/>
    <w:rsid w:val="00C739FD"/>
    <w:rsid w:val="00C931D9"/>
    <w:rsid w:val="00CA048C"/>
    <w:rsid w:val="00CA4689"/>
    <w:rsid w:val="00CC0176"/>
    <w:rsid w:val="00CD6A1F"/>
    <w:rsid w:val="00CD770A"/>
    <w:rsid w:val="00CE760A"/>
    <w:rsid w:val="00CF08D4"/>
    <w:rsid w:val="00CF7D18"/>
    <w:rsid w:val="00D0696B"/>
    <w:rsid w:val="00D259BB"/>
    <w:rsid w:val="00D554FB"/>
    <w:rsid w:val="00D710AA"/>
    <w:rsid w:val="00D71262"/>
    <w:rsid w:val="00D81EC9"/>
    <w:rsid w:val="00D925F5"/>
    <w:rsid w:val="00DB00FA"/>
    <w:rsid w:val="00DB2655"/>
    <w:rsid w:val="00DC47A4"/>
    <w:rsid w:val="00DC56D0"/>
    <w:rsid w:val="00DE2429"/>
    <w:rsid w:val="00DF0A48"/>
    <w:rsid w:val="00DF0C30"/>
    <w:rsid w:val="00DF4567"/>
    <w:rsid w:val="00E13AB6"/>
    <w:rsid w:val="00E16CAD"/>
    <w:rsid w:val="00E207B5"/>
    <w:rsid w:val="00E268E0"/>
    <w:rsid w:val="00E50F10"/>
    <w:rsid w:val="00E75229"/>
    <w:rsid w:val="00E9020E"/>
    <w:rsid w:val="00E95082"/>
    <w:rsid w:val="00ED1E45"/>
    <w:rsid w:val="00EE3E15"/>
    <w:rsid w:val="00EF3197"/>
    <w:rsid w:val="00EF399E"/>
    <w:rsid w:val="00EF7CFC"/>
    <w:rsid w:val="00F07FC5"/>
    <w:rsid w:val="00F11234"/>
    <w:rsid w:val="00F26E8C"/>
    <w:rsid w:val="00F27E96"/>
    <w:rsid w:val="00F31391"/>
    <w:rsid w:val="00F32E5B"/>
    <w:rsid w:val="00F32F69"/>
    <w:rsid w:val="00F404CF"/>
    <w:rsid w:val="00F529CF"/>
    <w:rsid w:val="00F53185"/>
    <w:rsid w:val="00F559E8"/>
    <w:rsid w:val="00F82D79"/>
    <w:rsid w:val="00F8370E"/>
    <w:rsid w:val="00F8764F"/>
    <w:rsid w:val="00F92AF5"/>
    <w:rsid w:val="00F95646"/>
    <w:rsid w:val="00FA17F7"/>
    <w:rsid w:val="00FB45A1"/>
    <w:rsid w:val="00FB7400"/>
    <w:rsid w:val="00FC0CCF"/>
    <w:rsid w:val="00FE19B7"/>
    <w:rsid w:val="00FE2B32"/>
    <w:rsid w:val="00FE664A"/>
    <w:rsid w:val="00FF011F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5432"/>
  <w15:docId w15:val="{3D036919-1CF9-46EF-A89E-9FBBEDAF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3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B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C3B2B"/>
    <w:pPr>
      <w:pBdr>
        <w:top w:val="single" w:sz="4" w:space="6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CCCCCC"/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3B2B"/>
    <w:rPr>
      <w:rFonts w:ascii="Times New Roman" w:eastAsia="Times New Roman" w:hAnsi="Times New Roman" w:cs="Times New Roman"/>
      <w:b/>
      <w:bCs/>
      <w:sz w:val="24"/>
      <w:szCs w:val="24"/>
      <w:shd w:val="clear" w:color="auto" w:fill="CCCCCC"/>
      <w:lang w:eastAsia="pl-PL"/>
    </w:rPr>
  </w:style>
  <w:style w:type="paragraph" w:customStyle="1" w:styleId="Default">
    <w:name w:val="Default"/>
    <w:rsid w:val="004C3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C3B2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C3B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B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B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B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4C3B2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B2B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39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39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E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3E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3EAD"/>
    <w:rPr>
      <w:vertAlign w:val="superscript"/>
    </w:rPr>
  </w:style>
  <w:style w:type="paragraph" w:styleId="Listapunktowana">
    <w:name w:val="List Bullet"/>
    <w:basedOn w:val="Normalny"/>
    <w:rsid w:val="00A83925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Jasnecieniowanieakcent4">
    <w:name w:val="Light Shading Accent 4"/>
    <w:basedOn w:val="Standardowy"/>
    <w:uiPriority w:val="60"/>
    <w:rsid w:val="00A839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F7CF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05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E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5034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A93"/>
    <w:rPr>
      <w:color w:val="0000FF" w:themeColor="hyperlink"/>
      <w:u w:val="single"/>
    </w:rPr>
  </w:style>
  <w:style w:type="character" w:customStyle="1" w:styleId="ListLabel53">
    <w:name w:val="ListLabel 53"/>
    <w:qFormat/>
    <w:rsid w:val="008115E0"/>
    <w:rPr>
      <w:rFonts w:ascii="Tahoma" w:eastAsia="Times New Roman" w:hAnsi="Tahoma" w:cs="Tahoma"/>
      <w:sz w:val="20"/>
      <w:szCs w:val="20"/>
      <w:lang w:eastAsia="pl-PL" w:bidi="bn-BD"/>
    </w:rPr>
  </w:style>
  <w:style w:type="paragraph" w:styleId="NormalnyWeb">
    <w:name w:val="Normal (Web)"/>
    <w:basedOn w:val="Normalny"/>
    <w:uiPriority w:val="99"/>
    <w:semiHidden/>
    <w:unhideWhenUsed/>
    <w:rsid w:val="005E3BE4"/>
    <w:pPr>
      <w:spacing w:before="100" w:beforeAutospacing="1" w:after="100" w:afterAutospacing="1"/>
    </w:pPr>
  </w:style>
  <w:style w:type="character" w:customStyle="1" w:styleId="apple-tab-span">
    <w:name w:val="apple-tab-span"/>
    <w:basedOn w:val="Domylnaczcionkaakapitu"/>
    <w:rsid w:val="001A1A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3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System_zarz%C4%85dzania_tre%C5%9Bci%C4%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imjqha3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nomiaspoleczna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0CFDC-DCCC-4D74-92C7-39CDB066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3385</Words>
  <Characters>20312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Tomaszewska</dc:creator>
  <cp:lastModifiedBy>Weronika Tomaszewska</cp:lastModifiedBy>
  <cp:revision>3</cp:revision>
  <cp:lastPrinted>2019-08-12T14:29:00Z</cp:lastPrinted>
  <dcterms:created xsi:type="dcterms:W3CDTF">2020-02-12T13:06:00Z</dcterms:created>
  <dcterms:modified xsi:type="dcterms:W3CDTF">2020-02-19T12:55:00Z</dcterms:modified>
</cp:coreProperties>
</file>