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32D1" w14:textId="26B32C3B" w:rsidR="00831B7E" w:rsidRPr="00E45FC3" w:rsidRDefault="00B54731" w:rsidP="00744391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 w:rsidRPr="00E45FC3">
        <w:rPr>
          <w:rFonts w:ascii="Arial" w:hAnsi="Arial" w:cs="Arial"/>
        </w:rPr>
        <w:t>Załącznik nr 2</w:t>
      </w:r>
    </w:p>
    <w:p w14:paraId="71361D44" w14:textId="448DC4F8" w:rsidR="00587338" w:rsidRPr="00E45FC3" w:rsidRDefault="00E128F7" w:rsidP="00FD63B9">
      <w:pPr>
        <w:tabs>
          <w:tab w:val="right" w:pos="9214"/>
        </w:tabs>
        <w:spacing w:after="240"/>
        <w:rPr>
          <w:rFonts w:ascii="Arial" w:hAnsi="Arial" w:cs="Arial"/>
        </w:rPr>
      </w:pPr>
      <w:r w:rsidRPr="00E45FC3">
        <w:rPr>
          <w:rFonts w:ascii="Arial" w:hAnsi="Arial" w:cs="Arial"/>
        </w:rPr>
        <w:t xml:space="preserve">Zn. </w:t>
      </w:r>
      <w:proofErr w:type="spellStart"/>
      <w:r w:rsidRPr="00E45FC3">
        <w:rPr>
          <w:rFonts w:ascii="Arial" w:hAnsi="Arial" w:cs="Arial"/>
        </w:rPr>
        <w:t>spr</w:t>
      </w:r>
      <w:proofErr w:type="spellEnd"/>
      <w:r w:rsidRPr="00E45FC3">
        <w:rPr>
          <w:rFonts w:ascii="Arial" w:hAnsi="Arial" w:cs="Arial"/>
        </w:rPr>
        <w:t xml:space="preserve">.:  </w:t>
      </w:r>
      <w:bookmarkStart w:id="0" w:name="ezdSprawaZnak"/>
      <w:r w:rsidRPr="00E45FC3">
        <w:rPr>
          <w:rFonts w:ascii="Arial" w:hAnsi="Arial" w:cs="Arial"/>
        </w:rPr>
        <w:t>SA.270.7.2025</w:t>
      </w:r>
      <w:bookmarkStart w:id="1" w:name="_Hlk208920124"/>
      <w:bookmarkEnd w:id="0"/>
    </w:p>
    <w:p w14:paraId="1974678A" w14:textId="24691FC0" w:rsidR="00B54731" w:rsidRPr="00E45FC3" w:rsidRDefault="00780FC7" w:rsidP="00780FC7">
      <w:pPr>
        <w:tabs>
          <w:tab w:val="right" w:pos="9214"/>
        </w:tabs>
        <w:spacing w:after="240"/>
        <w:jc w:val="center"/>
        <w:rPr>
          <w:rFonts w:ascii="Arial" w:hAnsi="Arial" w:cs="Arial"/>
          <w:b/>
          <w:bCs/>
        </w:rPr>
      </w:pPr>
      <w:r w:rsidRPr="00E45FC3">
        <w:rPr>
          <w:rFonts w:ascii="Arial" w:hAnsi="Arial" w:cs="Arial"/>
          <w:b/>
          <w:bCs/>
        </w:rPr>
        <w:t>OPIS PRZEDMIOTU ZAMÓWIENIA</w:t>
      </w:r>
    </w:p>
    <w:p w14:paraId="5BADA188" w14:textId="77777777" w:rsidR="00587338" w:rsidRPr="00E45FC3" w:rsidRDefault="00587338" w:rsidP="00780FC7">
      <w:pPr>
        <w:tabs>
          <w:tab w:val="right" w:pos="9214"/>
        </w:tabs>
        <w:spacing w:after="240"/>
        <w:jc w:val="center"/>
        <w:rPr>
          <w:rFonts w:ascii="Arial" w:hAnsi="Arial" w:cs="Arial"/>
          <w:b/>
          <w:bCs/>
        </w:rPr>
      </w:pPr>
    </w:p>
    <w:p w14:paraId="33C08450" w14:textId="097F0B2E" w:rsidR="00B54731" w:rsidRPr="00E45FC3" w:rsidRDefault="00CE534D" w:rsidP="00A85A78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t>1)</w:t>
      </w:r>
      <w:r w:rsidRPr="00E45FC3">
        <w:rPr>
          <w:rFonts w:ascii="Arial" w:hAnsi="Arial" w:cs="Arial"/>
        </w:rPr>
        <w:t xml:space="preserve">  </w:t>
      </w:r>
      <w:r w:rsidR="00B54731" w:rsidRPr="00E45FC3">
        <w:rPr>
          <w:rFonts w:ascii="Arial" w:hAnsi="Arial" w:cs="Arial"/>
        </w:rPr>
        <w:t xml:space="preserve">Przedmiotem zamówienia </w:t>
      </w:r>
      <w:r w:rsidRPr="00E45FC3">
        <w:rPr>
          <w:rFonts w:ascii="Arial" w:hAnsi="Arial" w:cs="Arial"/>
        </w:rPr>
        <w:t>jest</w:t>
      </w:r>
      <w:r w:rsidR="00B54731" w:rsidRPr="00E45FC3">
        <w:rPr>
          <w:rFonts w:ascii="Arial" w:hAnsi="Arial" w:cs="Arial"/>
        </w:rPr>
        <w:t xml:space="preserve"> usług</w:t>
      </w:r>
      <w:r w:rsidRPr="00E45FC3">
        <w:rPr>
          <w:rFonts w:ascii="Arial" w:hAnsi="Arial" w:cs="Arial"/>
        </w:rPr>
        <w:t>a</w:t>
      </w:r>
      <w:r w:rsidR="00B54731" w:rsidRPr="00E45FC3">
        <w:rPr>
          <w:rFonts w:ascii="Arial" w:hAnsi="Arial" w:cs="Arial"/>
        </w:rPr>
        <w:t xml:space="preserve"> polegając</w:t>
      </w:r>
      <w:r w:rsidRPr="00E45FC3">
        <w:rPr>
          <w:rFonts w:ascii="Arial" w:hAnsi="Arial" w:cs="Arial"/>
        </w:rPr>
        <w:t>a</w:t>
      </w:r>
      <w:r w:rsidR="00B54731" w:rsidRPr="00E45FC3">
        <w:rPr>
          <w:rFonts w:ascii="Arial" w:hAnsi="Arial" w:cs="Arial"/>
        </w:rPr>
        <w:t xml:space="preserve"> na </w:t>
      </w:r>
      <w:r w:rsidR="00FC59DD" w:rsidRPr="00E45FC3">
        <w:rPr>
          <w:rFonts w:ascii="Arial" w:hAnsi="Arial" w:cs="Arial"/>
        </w:rPr>
        <w:t xml:space="preserve">opracowaniu </w:t>
      </w:r>
      <w:r w:rsidR="00D67299" w:rsidRPr="00E45FC3">
        <w:rPr>
          <w:rFonts w:ascii="Arial" w:hAnsi="Arial" w:cs="Arial"/>
        </w:rPr>
        <w:t xml:space="preserve">kompletnej </w:t>
      </w:r>
      <w:r w:rsidR="00B54731" w:rsidRPr="00E45FC3">
        <w:rPr>
          <w:rFonts w:ascii="Arial" w:hAnsi="Arial" w:cs="Arial"/>
        </w:rPr>
        <w:t xml:space="preserve">dokumentacji projektowej wraz z uzyskaniem </w:t>
      </w:r>
      <w:r w:rsidR="00FC59DD" w:rsidRPr="00E45FC3">
        <w:rPr>
          <w:rFonts w:ascii="Arial" w:hAnsi="Arial" w:cs="Arial"/>
        </w:rPr>
        <w:t>niezbędnych uzgodnień opinii i decyzji administracyjnych oraz sprawowaniem</w:t>
      </w:r>
      <w:r w:rsidR="00B54731" w:rsidRPr="00E45FC3">
        <w:rPr>
          <w:rFonts w:ascii="Arial" w:hAnsi="Arial" w:cs="Arial"/>
        </w:rPr>
        <w:t xml:space="preserve"> nadzoru autorskiego</w:t>
      </w:r>
      <w:r w:rsidR="00FC59DD" w:rsidRPr="00E45FC3">
        <w:rPr>
          <w:rFonts w:ascii="Arial" w:hAnsi="Arial" w:cs="Arial"/>
        </w:rPr>
        <w:t>, dla zadań realizowanych w</w:t>
      </w:r>
      <w:r w:rsidR="00B54731" w:rsidRPr="00E45FC3">
        <w:rPr>
          <w:rFonts w:ascii="Arial" w:hAnsi="Arial" w:cs="Arial"/>
        </w:rPr>
        <w:t xml:space="preserve"> </w:t>
      </w:r>
      <w:r w:rsidR="00FC59DD" w:rsidRPr="00E45FC3">
        <w:rPr>
          <w:rFonts w:ascii="Arial" w:hAnsi="Arial" w:cs="Arial"/>
        </w:rPr>
        <w:t xml:space="preserve">ramach projektu </w:t>
      </w:r>
      <w:r w:rsidR="00FC59DD" w:rsidRPr="00656694">
        <w:rPr>
          <w:rFonts w:ascii="Arial" w:hAnsi="Arial" w:cs="Arial"/>
          <w:b/>
          <w:bCs/>
        </w:rPr>
        <w:t>„</w:t>
      </w:r>
      <w:r w:rsidR="00B54731" w:rsidRPr="00656694">
        <w:rPr>
          <w:rFonts w:ascii="Arial" w:hAnsi="Arial" w:cs="Arial"/>
          <w:b/>
          <w:bCs/>
        </w:rPr>
        <w:t xml:space="preserve">Kompleksowego </w:t>
      </w:r>
      <w:r w:rsidRPr="00656694">
        <w:rPr>
          <w:rFonts w:ascii="Arial" w:hAnsi="Arial" w:cs="Arial"/>
          <w:b/>
          <w:bCs/>
        </w:rPr>
        <w:t>projektu adaptacji lasów i leśnictwa do zmian klimatu– mała retencja oraz przeciwdziałanie erozji wodnej na terenach nizinnych</w:t>
      </w:r>
      <w:r w:rsidR="00534FCA" w:rsidRPr="00656694">
        <w:rPr>
          <w:rFonts w:ascii="Arial" w:hAnsi="Arial" w:cs="Arial"/>
          <w:b/>
          <w:bCs/>
        </w:rPr>
        <w:t xml:space="preserve">– </w:t>
      </w:r>
      <w:r w:rsidRPr="00656694">
        <w:rPr>
          <w:rFonts w:ascii="Arial" w:hAnsi="Arial" w:cs="Arial"/>
          <w:b/>
          <w:bCs/>
        </w:rPr>
        <w:t xml:space="preserve">kontynuacja </w:t>
      </w:r>
      <w:r w:rsidR="00B54731" w:rsidRPr="00656694">
        <w:rPr>
          <w:rFonts w:ascii="Arial" w:hAnsi="Arial" w:cs="Arial"/>
          <w:b/>
          <w:bCs/>
        </w:rPr>
        <w:t>(MRN3)</w:t>
      </w:r>
      <w:r w:rsidR="00FC59DD" w:rsidRPr="00656694">
        <w:rPr>
          <w:rFonts w:ascii="Arial" w:hAnsi="Arial" w:cs="Arial"/>
          <w:b/>
          <w:bCs/>
        </w:rPr>
        <w:t>”</w:t>
      </w:r>
      <w:r w:rsidR="00FC59DD" w:rsidRPr="00E45FC3">
        <w:rPr>
          <w:rFonts w:ascii="Arial" w:hAnsi="Arial" w:cs="Arial"/>
        </w:rPr>
        <w:t xml:space="preserve"> </w:t>
      </w:r>
      <w:r w:rsidR="00B54731" w:rsidRPr="00E45FC3">
        <w:rPr>
          <w:rFonts w:ascii="Arial" w:hAnsi="Arial" w:cs="Arial"/>
        </w:rPr>
        <w:t>na terenie Nadleśnictwa Tomaszów.</w:t>
      </w:r>
    </w:p>
    <w:p w14:paraId="704D0BC3" w14:textId="10823077" w:rsidR="00B54731" w:rsidRDefault="00B54731" w:rsidP="00FC59DD">
      <w:pPr>
        <w:pStyle w:val="Akapitzlist"/>
        <w:numPr>
          <w:ilvl w:val="0"/>
          <w:numId w:val="12"/>
        </w:numPr>
        <w:tabs>
          <w:tab w:val="right" w:pos="9214"/>
        </w:tabs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E45FC3">
        <w:rPr>
          <w:rFonts w:ascii="Arial" w:hAnsi="Arial" w:cs="Arial"/>
          <w:color w:val="000000" w:themeColor="text1"/>
        </w:rPr>
        <w:t xml:space="preserve">Wykonawca jest zobowiązany do </w:t>
      </w:r>
      <w:r w:rsidR="00FC59DD" w:rsidRPr="00E45FC3">
        <w:rPr>
          <w:rFonts w:ascii="Arial" w:hAnsi="Arial" w:cs="Arial"/>
          <w:color w:val="000000" w:themeColor="text1"/>
        </w:rPr>
        <w:t xml:space="preserve">realizacji zamówienia zgodnie z zapisami </w:t>
      </w:r>
      <w:r w:rsidRPr="00E45FC3">
        <w:rPr>
          <w:rFonts w:ascii="Arial" w:hAnsi="Arial" w:cs="Arial"/>
          <w:color w:val="000000" w:themeColor="text1"/>
        </w:rPr>
        <w:t xml:space="preserve">Podręcznika Wdrażania Projektu - Wytyczne do realizacji zadań </w:t>
      </w:r>
      <w:r w:rsidR="00A85A78" w:rsidRPr="00E45FC3">
        <w:rPr>
          <w:rFonts w:ascii="Arial" w:hAnsi="Arial" w:cs="Arial"/>
          <w:color w:val="000000" w:themeColor="text1"/>
        </w:rPr>
        <w:br/>
      </w:r>
      <w:r w:rsidRPr="00E45FC3">
        <w:rPr>
          <w:rFonts w:ascii="Arial" w:hAnsi="Arial" w:cs="Arial"/>
          <w:color w:val="000000" w:themeColor="text1"/>
        </w:rPr>
        <w:t>i obiektów małej</w:t>
      </w:r>
      <w:r w:rsidR="00CE534D" w:rsidRPr="00E45FC3">
        <w:rPr>
          <w:rFonts w:ascii="Arial" w:hAnsi="Arial" w:cs="Arial"/>
          <w:color w:val="000000" w:themeColor="text1"/>
        </w:rPr>
        <w:t xml:space="preserve"> </w:t>
      </w:r>
      <w:r w:rsidRPr="00E45FC3">
        <w:rPr>
          <w:rFonts w:ascii="Arial" w:hAnsi="Arial" w:cs="Arial"/>
          <w:color w:val="000000" w:themeColor="text1"/>
        </w:rPr>
        <w:t xml:space="preserve">retencji i przeciwdziałania erozji wodnej (Część I Zakres rzeczowy) stanowiącego Załącznik nr </w:t>
      </w:r>
      <w:r w:rsidR="006B56ED" w:rsidRPr="00E45FC3">
        <w:rPr>
          <w:rFonts w:ascii="Arial" w:hAnsi="Arial" w:cs="Arial"/>
          <w:color w:val="000000" w:themeColor="text1"/>
        </w:rPr>
        <w:t>3</w:t>
      </w:r>
      <w:r w:rsidRPr="00E45FC3">
        <w:rPr>
          <w:rFonts w:ascii="Arial" w:hAnsi="Arial" w:cs="Arial"/>
          <w:color w:val="000000" w:themeColor="text1"/>
        </w:rPr>
        <w:t xml:space="preserve"> do zaproszenia do składania ofert.</w:t>
      </w:r>
    </w:p>
    <w:p w14:paraId="7E662889" w14:textId="5E2EC526" w:rsidR="006B56ED" w:rsidRPr="00E45FC3" w:rsidRDefault="006D44B6" w:rsidP="00850389">
      <w:pPr>
        <w:pStyle w:val="Akapitzlist"/>
        <w:numPr>
          <w:ilvl w:val="0"/>
          <w:numId w:val="12"/>
        </w:numPr>
        <w:tabs>
          <w:tab w:val="right" w:pos="9214"/>
        </w:tabs>
        <w:spacing w:after="240"/>
        <w:ind w:left="284" w:hanging="284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 xml:space="preserve">Lokalizacja projektowanych do przebudowy grobli została przedstawiona na mapach podglądowych stanowiących załącznik nr 2a. Mapy mają charakter informacyjny i nie zastępują dokumentacji geodezyjnej ani map do celów projektowych. </w:t>
      </w:r>
    </w:p>
    <w:p w14:paraId="42531386" w14:textId="463602C9" w:rsidR="00B54731" w:rsidRPr="00E45FC3" w:rsidRDefault="00FC59DD" w:rsidP="00A85A78">
      <w:pPr>
        <w:tabs>
          <w:tab w:val="right" w:pos="9214"/>
        </w:tabs>
        <w:spacing w:after="240"/>
        <w:jc w:val="both"/>
        <w:rPr>
          <w:rFonts w:ascii="Arial" w:hAnsi="Arial" w:cs="Arial"/>
          <w:b/>
          <w:bCs/>
        </w:rPr>
      </w:pPr>
      <w:r w:rsidRPr="00E45FC3">
        <w:rPr>
          <w:rFonts w:ascii="Arial" w:hAnsi="Arial" w:cs="Arial"/>
          <w:b/>
          <w:bCs/>
        </w:rPr>
        <w:t>Zadania objęte opracowaniem: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850"/>
        <w:gridCol w:w="1382"/>
        <w:gridCol w:w="1382"/>
        <w:gridCol w:w="1227"/>
      </w:tblGrid>
      <w:tr w:rsidR="009C260B" w:rsidRPr="00E45FC3" w14:paraId="294A5494" w14:textId="77777777" w:rsidTr="009C260B">
        <w:tc>
          <w:tcPr>
            <w:tcW w:w="1129" w:type="dxa"/>
          </w:tcPr>
          <w:p w14:paraId="5B4C2E55" w14:textId="2115B0C3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Nazwa zadania</w:t>
            </w:r>
          </w:p>
        </w:tc>
        <w:tc>
          <w:tcPr>
            <w:tcW w:w="3261" w:type="dxa"/>
          </w:tcPr>
          <w:p w14:paraId="0CEC1DF1" w14:textId="1712976C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Opis zadania i zakres prac</w:t>
            </w:r>
          </w:p>
        </w:tc>
        <w:tc>
          <w:tcPr>
            <w:tcW w:w="850" w:type="dxa"/>
          </w:tcPr>
          <w:p w14:paraId="66016971" w14:textId="7D9D0C41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Liczba obiektów</w:t>
            </w:r>
          </w:p>
        </w:tc>
        <w:tc>
          <w:tcPr>
            <w:tcW w:w="1382" w:type="dxa"/>
          </w:tcPr>
          <w:p w14:paraId="5F3706D7" w14:textId="085FC9AE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Planowana pojemność obiektów małej retencji – [m3]</w:t>
            </w:r>
          </w:p>
        </w:tc>
        <w:tc>
          <w:tcPr>
            <w:tcW w:w="1382" w:type="dxa"/>
          </w:tcPr>
          <w:p w14:paraId="5D0E4A6F" w14:textId="1C289C71" w:rsidR="009C260B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Planowana objętość retencjonowanej wody [m3]</w:t>
            </w:r>
          </w:p>
        </w:tc>
        <w:tc>
          <w:tcPr>
            <w:tcW w:w="1227" w:type="dxa"/>
          </w:tcPr>
          <w:p w14:paraId="084A667C" w14:textId="6787847B" w:rsidR="009C260B" w:rsidRPr="009C260B" w:rsidRDefault="009C260B" w:rsidP="00A85A78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Planowana powierzchnia obszaru retencji [ha]</w:t>
            </w:r>
          </w:p>
        </w:tc>
      </w:tr>
      <w:tr w:rsidR="009C260B" w:rsidRPr="00E45FC3" w14:paraId="55E7B72F" w14:textId="77777777" w:rsidTr="009C260B">
        <w:tc>
          <w:tcPr>
            <w:tcW w:w="1129" w:type="dxa"/>
          </w:tcPr>
          <w:p w14:paraId="7EC2FD69" w14:textId="1FA1A0D8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Przebudowa grobli przy zbiorniku retencyjnym w leśnictwie Bełżec w oddz.162 d</w:t>
            </w:r>
            <w:r w:rsidR="00640851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3261" w:type="dxa"/>
          </w:tcPr>
          <w:p w14:paraId="53599EB3" w14:textId="5E7B7CB4" w:rsidR="00D10F68" w:rsidRPr="009C260B" w:rsidRDefault="009C260B" w:rsidP="009C260B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Przebudowa grobli na długości 70 m i szerokości 4 m.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Zakres prac obejmuje wzmocnienie konstrukcji grobli materiałem kamiennym i ziemią,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zabezpieczenie przed działalnością bobrów za pomocą palików drewnianych lub innych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zabezpieczeń np. paliki PCV oraz siatki.</w:t>
            </w:r>
            <w:r w:rsidRPr="009C260B">
              <w:rPr>
                <w:rFonts w:ascii="ArialMT" w:eastAsia="Calibri" w:hAnsi="ArialMT" w:cs="ArialMT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Przewidziano wysokość piętrzenia na poziomie 0,70 metra</w:t>
            </w:r>
            <w:r w:rsidR="00D10F6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1BE6A8EE" w14:textId="594551A2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1 szt.</w:t>
            </w:r>
          </w:p>
        </w:tc>
        <w:tc>
          <w:tcPr>
            <w:tcW w:w="1382" w:type="dxa"/>
          </w:tcPr>
          <w:p w14:paraId="7AEB76F1" w14:textId="019FDCE8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570</w:t>
            </w:r>
          </w:p>
        </w:tc>
        <w:tc>
          <w:tcPr>
            <w:tcW w:w="1382" w:type="dxa"/>
          </w:tcPr>
          <w:p w14:paraId="363EFC81" w14:textId="0183CE41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570</w:t>
            </w:r>
          </w:p>
        </w:tc>
        <w:tc>
          <w:tcPr>
            <w:tcW w:w="1227" w:type="dxa"/>
          </w:tcPr>
          <w:p w14:paraId="2969AB92" w14:textId="24E8D758" w:rsidR="009C260B" w:rsidRPr="009C260B" w:rsidRDefault="009C260B" w:rsidP="000100F9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0,22</w:t>
            </w:r>
          </w:p>
        </w:tc>
      </w:tr>
      <w:tr w:rsidR="009C260B" w:rsidRPr="00E45FC3" w14:paraId="42220198" w14:textId="77777777" w:rsidTr="009C260B">
        <w:tc>
          <w:tcPr>
            <w:tcW w:w="1129" w:type="dxa"/>
          </w:tcPr>
          <w:p w14:paraId="73F00022" w14:textId="3B894021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Przebudowa grobli przy zbiorniku retencyjnym w leśnictwie Potoki w oddz.299 f</w:t>
            </w:r>
          </w:p>
        </w:tc>
        <w:tc>
          <w:tcPr>
            <w:tcW w:w="3261" w:type="dxa"/>
          </w:tcPr>
          <w:p w14:paraId="593F5F07" w14:textId="3EDBFA25" w:rsidR="009C260B" w:rsidRPr="009C260B" w:rsidRDefault="009C260B" w:rsidP="00D10F68">
            <w:pPr>
              <w:tabs>
                <w:tab w:val="right" w:pos="9214"/>
              </w:tabs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Przebudowa grobli na długości 40 m o szerokości 4 m. Prace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obejmują wzmocnienie grobli materiałem kamiennym i ziemią, z dodatkowym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zabezpieczeniem w postaci palików drewnianych lub innych zabezpieczeń np. paliki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PCV oraz siatki.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Przewidziano wysokość piętrzenia na poziomie 0,70 metra.</w:t>
            </w:r>
          </w:p>
        </w:tc>
        <w:tc>
          <w:tcPr>
            <w:tcW w:w="850" w:type="dxa"/>
          </w:tcPr>
          <w:p w14:paraId="773F3827" w14:textId="302A139E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1 szt.</w:t>
            </w:r>
          </w:p>
        </w:tc>
        <w:tc>
          <w:tcPr>
            <w:tcW w:w="1382" w:type="dxa"/>
          </w:tcPr>
          <w:p w14:paraId="4F5A371D" w14:textId="6B73CBB5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1382" w:type="dxa"/>
          </w:tcPr>
          <w:p w14:paraId="5301329E" w14:textId="1ECCE223" w:rsidR="009C260B" w:rsidRPr="009C260B" w:rsidRDefault="009C260B" w:rsidP="009C260B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1227" w:type="dxa"/>
          </w:tcPr>
          <w:p w14:paraId="6FFFC47E" w14:textId="5B656783" w:rsidR="009C260B" w:rsidRPr="009C260B" w:rsidRDefault="009C260B" w:rsidP="000100F9">
            <w:pPr>
              <w:tabs>
                <w:tab w:val="right" w:pos="9214"/>
              </w:tabs>
              <w:spacing w:after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260B">
              <w:rPr>
                <w:rFonts w:ascii="Arial" w:hAnsi="Arial" w:cs="Arial"/>
                <w:color w:val="000000" w:themeColor="text1"/>
                <w:sz w:val="16"/>
                <w:szCs w:val="16"/>
              </w:rPr>
              <w:t>0,12</w:t>
            </w:r>
          </w:p>
        </w:tc>
      </w:tr>
    </w:tbl>
    <w:p w14:paraId="1DC5048D" w14:textId="796D6A89" w:rsidR="00587338" w:rsidRPr="009C260B" w:rsidRDefault="00CE534D" w:rsidP="00383AF1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Powyższa tabela przedstawia zamierzenia (wskaźniki minimalne) jakie realizować mają projektowane urządzenia</w:t>
      </w:r>
      <w:r w:rsidR="00FC59DD" w:rsidRPr="00E45FC3">
        <w:rPr>
          <w:rFonts w:ascii="Arial" w:hAnsi="Arial" w:cs="Arial"/>
        </w:rPr>
        <w:t>.</w:t>
      </w:r>
    </w:p>
    <w:p w14:paraId="3D72058B" w14:textId="77777777" w:rsidR="000C3976" w:rsidRDefault="000C3976" w:rsidP="00A85A78">
      <w:pPr>
        <w:tabs>
          <w:tab w:val="right" w:pos="9214"/>
        </w:tabs>
        <w:spacing w:after="240"/>
        <w:jc w:val="both"/>
        <w:rPr>
          <w:rFonts w:ascii="Arial" w:hAnsi="Arial" w:cs="Arial"/>
          <w:b/>
          <w:bCs/>
        </w:rPr>
      </w:pPr>
    </w:p>
    <w:p w14:paraId="605DD130" w14:textId="0DB6EB6A" w:rsidR="00B54731" w:rsidRPr="00E45FC3" w:rsidRDefault="00B54731" w:rsidP="00A85A78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lastRenderedPageBreak/>
        <w:t xml:space="preserve">Zakres rzeczowy </w:t>
      </w:r>
      <w:r w:rsidR="00FC59DD" w:rsidRPr="00E45FC3">
        <w:rPr>
          <w:rFonts w:ascii="Arial" w:hAnsi="Arial" w:cs="Arial"/>
          <w:b/>
          <w:bCs/>
        </w:rPr>
        <w:t>zamówienia:</w:t>
      </w:r>
    </w:p>
    <w:p w14:paraId="7EE6324D" w14:textId="77777777" w:rsidR="005665B4" w:rsidRPr="00E45FC3" w:rsidRDefault="005665B4" w:rsidP="005665B4">
      <w:p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t>1. Dokumentację projektową</w:t>
      </w:r>
      <w:r w:rsidRPr="00E45FC3">
        <w:rPr>
          <w:rFonts w:ascii="Arial" w:hAnsi="Arial" w:cs="Arial"/>
        </w:rPr>
        <w:t>, obejmującą:</w:t>
      </w:r>
    </w:p>
    <w:p w14:paraId="60249E98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projekt budowlany i techniczny,</w:t>
      </w:r>
    </w:p>
    <w:p w14:paraId="77E51956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projekty wykonawcze,</w:t>
      </w:r>
    </w:p>
    <w:p w14:paraId="2B09FC91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kosztorys inwestorski i przedmiar robót,</w:t>
      </w:r>
    </w:p>
    <w:p w14:paraId="392B1820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specyfikacje techniczne wykonania i odbioru robót (</w:t>
      </w:r>
      <w:proofErr w:type="spellStart"/>
      <w:r w:rsidRPr="00E45FC3">
        <w:rPr>
          <w:rFonts w:ascii="Arial" w:hAnsi="Arial" w:cs="Arial"/>
        </w:rPr>
        <w:t>STWiOR</w:t>
      </w:r>
      <w:proofErr w:type="spellEnd"/>
      <w:r w:rsidRPr="00E45FC3">
        <w:rPr>
          <w:rFonts w:ascii="Arial" w:hAnsi="Arial" w:cs="Arial"/>
        </w:rPr>
        <w:t>),</w:t>
      </w:r>
    </w:p>
    <w:p w14:paraId="4549481C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mapy do celów projektowych,</w:t>
      </w:r>
    </w:p>
    <w:p w14:paraId="276034C3" w14:textId="77777777" w:rsidR="005665B4" w:rsidRPr="00E45FC3" w:rsidRDefault="005665B4" w:rsidP="005665B4">
      <w:pPr>
        <w:pStyle w:val="Akapitzlist"/>
        <w:numPr>
          <w:ilvl w:val="0"/>
          <w:numId w:val="4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dokumentację geodezyjną i geotechniczną (jeśli będzie wymagana).</w:t>
      </w:r>
    </w:p>
    <w:p w14:paraId="30D4E778" w14:textId="055B1F65" w:rsidR="005665B4" w:rsidRPr="00E45FC3" w:rsidRDefault="005665B4" w:rsidP="005665B4">
      <w:pPr>
        <w:tabs>
          <w:tab w:val="right" w:pos="9214"/>
        </w:tabs>
        <w:spacing w:after="240"/>
        <w:ind w:left="66"/>
        <w:jc w:val="both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t xml:space="preserve">2. Uzgodnienia i decyzje administracyjne – </w:t>
      </w:r>
      <w:r w:rsidRPr="00E45FC3">
        <w:rPr>
          <w:rFonts w:ascii="Arial" w:hAnsi="Arial" w:cs="Arial"/>
        </w:rPr>
        <w:t>przygotowanie i uzyskanie w imieniu Zamawiającego wszelkich niezbędnych uzgodnień, opinii i decyzji, w tym w szczególności:</w:t>
      </w:r>
    </w:p>
    <w:p w14:paraId="72C0BD22" w14:textId="77777777" w:rsidR="005665B4" w:rsidRPr="00E45FC3" w:rsidRDefault="005665B4" w:rsidP="005665B4">
      <w:pPr>
        <w:pStyle w:val="Akapitzlist"/>
        <w:numPr>
          <w:ilvl w:val="0"/>
          <w:numId w:val="5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decyzja o środowiskowych uwarunkowaniach (jeżeli wymagana), wraz z opiniami RDOŚ, Wód Polskich i PPIS,</w:t>
      </w:r>
    </w:p>
    <w:p w14:paraId="6724B9AF" w14:textId="77777777" w:rsidR="005665B4" w:rsidRPr="00E45FC3" w:rsidRDefault="005665B4" w:rsidP="005665B4">
      <w:pPr>
        <w:pStyle w:val="Akapitzlist"/>
        <w:numPr>
          <w:ilvl w:val="0"/>
          <w:numId w:val="5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decyzja o warunkach zabudowy lub decyzja lokalizacji celu publicznego (jeżeli brak miejscowego planu zagospodarowania przestrzennego),</w:t>
      </w:r>
    </w:p>
    <w:p w14:paraId="06F463FE" w14:textId="77777777" w:rsidR="005665B4" w:rsidRPr="00E45FC3" w:rsidRDefault="005665B4" w:rsidP="005665B4">
      <w:pPr>
        <w:pStyle w:val="Akapitzlist"/>
        <w:numPr>
          <w:ilvl w:val="0"/>
          <w:numId w:val="5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stanowisko RDOŚ na zgłoszenie działań lub decyzja w trybie art. 118a ustawy o ochronie przyrody,</w:t>
      </w:r>
    </w:p>
    <w:p w14:paraId="4365E1DD" w14:textId="56B7C23A" w:rsidR="005665B4" w:rsidRPr="00E45FC3" w:rsidRDefault="005665B4" w:rsidP="005665B4">
      <w:pPr>
        <w:pStyle w:val="Akapitzlist"/>
        <w:numPr>
          <w:ilvl w:val="0"/>
          <w:numId w:val="5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decyzja – ocena wodnoprawna albo decyzja środowiskowa zastępująca ocenę wodnoprawną,</w:t>
      </w:r>
    </w:p>
    <w:p w14:paraId="3696C04A" w14:textId="77777777" w:rsidR="005665B4" w:rsidRPr="00E45FC3" w:rsidRDefault="005665B4" w:rsidP="005665B4">
      <w:pPr>
        <w:pStyle w:val="Akapitzlist"/>
        <w:numPr>
          <w:ilvl w:val="0"/>
          <w:numId w:val="5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pozwolenie wodnoprawne lub stanowisko na zgłoszenie wodnoprawne,</w:t>
      </w:r>
    </w:p>
    <w:p w14:paraId="505BAB07" w14:textId="77777777" w:rsidR="005665B4" w:rsidRPr="00E45FC3" w:rsidRDefault="005665B4" w:rsidP="005665B4">
      <w:pPr>
        <w:pStyle w:val="Akapitzlist"/>
        <w:numPr>
          <w:ilvl w:val="0"/>
          <w:numId w:val="5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decyzja derogacyjna RDOŚ w przypadku wystąpienia gatunków chronionych,</w:t>
      </w:r>
    </w:p>
    <w:p w14:paraId="67BD04B5" w14:textId="77777777" w:rsidR="005665B4" w:rsidRPr="00E45FC3" w:rsidRDefault="005665B4" w:rsidP="005665B4">
      <w:pPr>
        <w:pStyle w:val="Akapitzlist"/>
        <w:numPr>
          <w:ilvl w:val="0"/>
          <w:numId w:val="5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decyzja o pozwoleniu na budowę albo zgłoszenie robót budowlanych.</w:t>
      </w:r>
    </w:p>
    <w:p w14:paraId="596A7370" w14:textId="03A30E93" w:rsidR="005665B4" w:rsidRDefault="005665B4" w:rsidP="005665B4">
      <w:p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t>3. Opracowania towarzyszące</w:t>
      </w:r>
      <w:r w:rsidRPr="00E45FC3">
        <w:rPr>
          <w:rFonts w:ascii="Arial" w:hAnsi="Arial" w:cs="Arial"/>
        </w:rPr>
        <w:t xml:space="preserve"> – jeżeli będą niezbędne do uzyskania powyższych decyzji (np. raport OOŚ, </w:t>
      </w:r>
      <w:r w:rsidR="00F648BF" w:rsidRPr="00E45FC3">
        <w:rPr>
          <w:rFonts w:ascii="Arial" w:hAnsi="Arial" w:cs="Arial"/>
        </w:rPr>
        <w:t xml:space="preserve">operat wodnoprawny, </w:t>
      </w:r>
      <w:r w:rsidRPr="00E45FC3">
        <w:rPr>
          <w:rFonts w:ascii="Arial" w:hAnsi="Arial" w:cs="Arial"/>
        </w:rPr>
        <w:t>inwentaryzacja przyrodnicza).</w:t>
      </w:r>
    </w:p>
    <w:p w14:paraId="4A52D127" w14:textId="6A8C1D8D" w:rsidR="00690E19" w:rsidRPr="00E45FC3" w:rsidRDefault="00690E19" w:rsidP="00690E19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690E19">
        <w:rPr>
          <w:rFonts w:ascii="Arial" w:hAnsi="Arial" w:cs="Arial"/>
          <w:b/>
          <w:bCs/>
        </w:rPr>
        <w:t>4. Inwentaryzacja przyrodnicza</w:t>
      </w:r>
      <w:r w:rsidRPr="00690E19">
        <w:rPr>
          <w:rFonts w:ascii="Arial" w:hAnsi="Arial" w:cs="Arial"/>
        </w:rPr>
        <w:t xml:space="preserve"> – tylko w przypadku, gdy zostanie wymagana przez organy opiniujące lub wydające decyzje środowiskowe, zgodnie z wytycznymi Podręcznika Wdrażania Projektu - Wytyczne do realizacji zadań </w:t>
      </w:r>
      <w:r w:rsidRPr="00690E19">
        <w:rPr>
          <w:rFonts w:ascii="Arial" w:hAnsi="Arial" w:cs="Arial"/>
        </w:rPr>
        <w:br/>
        <w:t>i obiektów małej retencji i przeciwdziałania erozji wodnej.  Obowiązek inwentaryzacji wynika z decyzji właściwego organu lub uzgodnień w procedurze środowiskowej; Wykonawca przedstawi propozycję zakresu do akceptacji Zamawiającego.</w:t>
      </w:r>
    </w:p>
    <w:p w14:paraId="4AA882D9" w14:textId="77777777" w:rsidR="00690E19" w:rsidRDefault="00690E19" w:rsidP="005665B4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5665B4" w:rsidRPr="00E45FC3">
        <w:rPr>
          <w:rFonts w:ascii="Arial" w:hAnsi="Arial" w:cs="Arial"/>
          <w:b/>
          <w:bCs/>
        </w:rPr>
        <w:t>. Przekazanie dokumentacji</w:t>
      </w:r>
      <w:r w:rsidR="005665B4" w:rsidRPr="00E45FC3">
        <w:rPr>
          <w:rFonts w:ascii="Arial" w:hAnsi="Arial" w:cs="Arial"/>
        </w:rPr>
        <w:t xml:space="preserve"> w 3 egzemplarzach papierowych oraz 1 egzemplarzu elektronicznym (plik PDF</w:t>
      </w:r>
      <w:r w:rsidR="00B02390">
        <w:rPr>
          <w:rFonts w:ascii="Arial" w:hAnsi="Arial" w:cs="Arial"/>
        </w:rPr>
        <w:t>)</w:t>
      </w:r>
    </w:p>
    <w:p w14:paraId="29506EC9" w14:textId="77777777" w:rsidR="000C3976" w:rsidRDefault="000C3976" w:rsidP="005665B4">
      <w:pPr>
        <w:spacing w:before="240" w:after="240" w:line="276" w:lineRule="auto"/>
        <w:rPr>
          <w:rFonts w:ascii="Arial" w:hAnsi="Arial" w:cs="Arial"/>
        </w:rPr>
      </w:pPr>
    </w:p>
    <w:p w14:paraId="732A14B0" w14:textId="4A8F1327" w:rsidR="005665B4" w:rsidRPr="00690E19" w:rsidRDefault="005665B4" w:rsidP="005665B4">
      <w:p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  <w:b/>
          <w:bCs/>
        </w:rPr>
        <w:lastRenderedPageBreak/>
        <w:t>Wymagania dodatkowe</w:t>
      </w:r>
    </w:p>
    <w:p w14:paraId="30688F63" w14:textId="77777777" w:rsidR="005665B4" w:rsidRPr="00E45FC3" w:rsidRDefault="005665B4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Dokumentacja powinna być sporządzona zgodnie z aktualnymi przepisami prawa budowlanego, wodnego oraz ochrony środowiska, a także zgodnie z Wytycznymi kwalifikowalności wydatków w ramach programów finansowanych z Funduszy Europejskich na lata 2021–2027.</w:t>
      </w:r>
    </w:p>
    <w:p w14:paraId="36518EB9" w14:textId="77777777" w:rsidR="005665B4" w:rsidRPr="00E45FC3" w:rsidRDefault="005665B4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Opracowanie musi być wykonane z należytą starannością, zapewniając pełną ścieżkę audytu.</w:t>
      </w:r>
    </w:p>
    <w:p w14:paraId="71DD2D2A" w14:textId="7C9947C0" w:rsidR="005665B4" w:rsidRPr="00E45FC3" w:rsidRDefault="005665B4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 xml:space="preserve">Wykonawca zobowiązany będzie do sprawowania czynności nadzoru autorskiego nad realizacją robót budowlanych wykonywanych w oparciu </w:t>
      </w:r>
      <w:r w:rsidR="00690E19">
        <w:rPr>
          <w:rFonts w:ascii="Arial" w:hAnsi="Arial" w:cs="Arial"/>
        </w:rPr>
        <w:br/>
      </w:r>
      <w:r w:rsidRPr="00E45FC3">
        <w:rPr>
          <w:rFonts w:ascii="Arial" w:hAnsi="Arial" w:cs="Arial"/>
        </w:rPr>
        <w:t>o sporządzoną dokumentację projektową, zgodnie z art. 20 Prawa budowlanego.</w:t>
      </w:r>
    </w:p>
    <w:p w14:paraId="4D1A9BEB" w14:textId="6CF0382A" w:rsidR="005665B4" w:rsidRPr="00690E19" w:rsidRDefault="005665B4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 w:rsidRPr="00690E19">
        <w:rPr>
          <w:rFonts w:ascii="Arial" w:hAnsi="Arial" w:cs="Arial"/>
        </w:rPr>
        <w:t>Nadzór autorski obejmuje: udział w naradach, wyjaśnienia rozwiązań projektowych, akceptację materiałów/ zamiennych rozwiązań równoważonych, opiniowanie i naniesienie zmian/ uzupełnień do dokumentacji, w tym aktualizację rysunków/opisów</w:t>
      </w:r>
      <w:r w:rsidR="00690E19">
        <w:rPr>
          <w:rFonts w:ascii="Arial" w:hAnsi="Arial" w:cs="Arial"/>
        </w:rPr>
        <w:t>.</w:t>
      </w:r>
      <w:r w:rsidRPr="00690E19">
        <w:rPr>
          <w:rFonts w:ascii="Arial" w:hAnsi="Arial" w:cs="Arial"/>
        </w:rPr>
        <w:t xml:space="preserve"> </w:t>
      </w:r>
    </w:p>
    <w:p w14:paraId="600D5180" w14:textId="2E6C617C" w:rsidR="00690E19" w:rsidRDefault="00690E19" w:rsidP="00DB69F4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świadczenia nadzoru autorskiego na wezwanie Zamawiającego, w zakresie </w:t>
      </w:r>
      <w:r w:rsidR="00E128F7">
        <w:rPr>
          <w:rFonts w:ascii="Arial" w:hAnsi="Arial" w:cs="Arial"/>
        </w:rPr>
        <w:t>niezbędnym do prawidłowej realizacji robót; liczba wizyt według potrzeb Zamawiającego.</w:t>
      </w:r>
    </w:p>
    <w:p w14:paraId="39431515" w14:textId="511DBAEF" w:rsidR="00616A48" w:rsidRDefault="00616A48" w:rsidP="00690E19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zobowiązany do złożenia oświadczeń wymaganych zgodnie </w:t>
      </w:r>
      <w:r w:rsidR="00690E19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treścią zapytania ofertowego. </w:t>
      </w:r>
    </w:p>
    <w:p w14:paraId="02F3CCB4" w14:textId="419BB6AC" w:rsidR="000C3976" w:rsidRPr="00690E19" w:rsidRDefault="000C3976" w:rsidP="00690E19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może udostępnić Wykonawcy posiadane dane i materiały pomocnicze, o ile będą one niezbędne do prawidłowej realizacji zamówienia. Udostępnienie tych materiałów nie zwalnia Wykonawcy z obowiązku uzyskania wymaganych uzgodnień, decyzji i pozwoleń. </w:t>
      </w:r>
    </w:p>
    <w:p w14:paraId="10DC635C" w14:textId="77777777" w:rsidR="005665B4" w:rsidRPr="00E45FC3" w:rsidRDefault="005665B4" w:rsidP="005665B4">
      <w:pPr>
        <w:spacing w:before="240" w:after="240" w:line="276" w:lineRule="auto"/>
        <w:rPr>
          <w:rFonts w:ascii="Arial" w:hAnsi="Arial" w:cs="Arial"/>
          <w:b/>
          <w:bCs/>
        </w:rPr>
      </w:pPr>
      <w:r w:rsidRPr="00E45FC3">
        <w:rPr>
          <w:rFonts w:ascii="Arial" w:hAnsi="Arial" w:cs="Arial"/>
          <w:b/>
          <w:bCs/>
        </w:rPr>
        <w:t>KOD CPV:</w:t>
      </w:r>
    </w:p>
    <w:p w14:paraId="71DC83DB" w14:textId="77777777" w:rsidR="005665B4" w:rsidRPr="00E45FC3" w:rsidRDefault="005665B4" w:rsidP="005665B4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E45FC3">
        <w:rPr>
          <w:rFonts w:ascii="Arial" w:hAnsi="Arial" w:cs="Arial"/>
        </w:rPr>
        <w:t>71320000-7 – Usługi inżynieryjne w zakresie projektowania.</w:t>
      </w:r>
    </w:p>
    <w:p w14:paraId="2B187F26" w14:textId="5DBAE3B4" w:rsidR="00B54731" w:rsidRPr="00E45FC3" w:rsidRDefault="005665B4" w:rsidP="00E45FC3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E45FC3">
        <w:rPr>
          <w:rFonts w:ascii="Arial" w:hAnsi="Arial" w:cs="Arial"/>
        </w:rPr>
        <w:t>71242000-6 –  Przygotowanie przedsięwzięcia i projektu, oszacowanie kosztów</w:t>
      </w:r>
    </w:p>
    <w:p w14:paraId="02A3E761" w14:textId="6D78311A" w:rsidR="00B54731" w:rsidRPr="00E45FC3" w:rsidRDefault="004257BC" w:rsidP="00B54731">
      <w:pPr>
        <w:tabs>
          <w:tab w:val="right" w:pos="9214"/>
        </w:tabs>
        <w:spacing w:after="240"/>
        <w:rPr>
          <w:rFonts w:ascii="Arial" w:hAnsi="Arial" w:cs="Arial"/>
          <w:b/>
          <w:bCs/>
        </w:rPr>
      </w:pPr>
      <w:r w:rsidRPr="00E45FC3">
        <w:rPr>
          <w:rFonts w:ascii="Arial" w:hAnsi="Arial" w:cs="Arial"/>
          <w:b/>
          <w:bCs/>
        </w:rPr>
        <w:t>Procedura odbioru robót</w:t>
      </w:r>
    </w:p>
    <w:p w14:paraId="3E200032" w14:textId="2BC84716" w:rsidR="004257BC" w:rsidRPr="00E45FC3" w:rsidRDefault="004257BC" w:rsidP="00690E19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Gotowość do odbioru Wykonawca zgłasza Zamawiającemu nie później niż na dwa dni</w:t>
      </w:r>
      <w:r w:rsidR="007C253C" w:rsidRPr="00E45FC3">
        <w:rPr>
          <w:rFonts w:ascii="Arial" w:hAnsi="Arial" w:cs="Arial"/>
        </w:rPr>
        <w:t xml:space="preserve"> </w:t>
      </w:r>
      <w:r w:rsidRPr="00E45FC3">
        <w:rPr>
          <w:rFonts w:ascii="Arial" w:hAnsi="Arial" w:cs="Arial"/>
        </w:rPr>
        <w:t xml:space="preserve">robocze przed terminem realizacji </w:t>
      </w:r>
      <w:r w:rsidR="00491F96">
        <w:rPr>
          <w:rFonts w:ascii="Arial" w:hAnsi="Arial" w:cs="Arial"/>
        </w:rPr>
        <w:t>zamówienia</w:t>
      </w:r>
      <w:r w:rsidRPr="00E45FC3">
        <w:rPr>
          <w:rFonts w:ascii="Arial" w:hAnsi="Arial" w:cs="Arial"/>
        </w:rPr>
        <w:t xml:space="preserve"> drogą mailową lub telefoniczną.</w:t>
      </w:r>
    </w:p>
    <w:p w14:paraId="03478259" w14:textId="43BBB9B1" w:rsidR="000E2CD7" w:rsidRDefault="004257BC" w:rsidP="00690E19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0E2CD7">
        <w:rPr>
          <w:rFonts w:ascii="Arial" w:hAnsi="Arial" w:cs="Arial"/>
        </w:rPr>
        <w:t>Do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 odbioru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 strony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przystąpią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w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>terminie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 nie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>dłuższym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 niż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7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dni </w:t>
      </w:r>
      <w:r w:rsid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>roboczych.</w:t>
      </w:r>
      <w:r w:rsidR="000E2CD7">
        <w:rPr>
          <w:rFonts w:ascii="Arial" w:hAnsi="Arial" w:cs="Arial"/>
        </w:rPr>
        <w:t xml:space="preserve"> </w:t>
      </w:r>
    </w:p>
    <w:p w14:paraId="38036D13" w14:textId="5C8C0924" w:rsidR="004257BC" w:rsidRPr="000E2CD7" w:rsidRDefault="004257BC" w:rsidP="00690E19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0E2CD7">
        <w:rPr>
          <w:rFonts w:ascii="Arial" w:hAnsi="Arial" w:cs="Arial"/>
        </w:rPr>
        <w:t>Odbiór będzie obejmował sprawdzenie kompletności i zgodności z umową złożonych</w:t>
      </w:r>
      <w:r w:rsidR="007C253C" w:rsidRP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>dokumentów. Odbiór prac lub ich odmowa wraz ze wskazaniem przyczyn, jak również</w:t>
      </w:r>
      <w:r w:rsidR="007C253C" w:rsidRPr="000E2CD7">
        <w:rPr>
          <w:rFonts w:ascii="Arial" w:hAnsi="Arial" w:cs="Arial"/>
        </w:rPr>
        <w:t xml:space="preserve"> </w:t>
      </w:r>
      <w:r w:rsidRPr="000E2CD7">
        <w:rPr>
          <w:rFonts w:ascii="Arial" w:hAnsi="Arial" w:cs="Arial"/>
        </w:rPr>
        <w:t xml:space="preserve">wskazanie ewentualnych wad, usterek i szkód nastąpi </w:t>
      </w:r>
      <w:r w:rsidR="000E2CD7" w:rsidRPr="000E2CD7">
        <w:rPr>
          <w:rFonts w:ascii="Arial" w:hAnsi="Arial" w:cs="Arial"/>
        </w:rPr>
        <w:br/>
      </w:r>
      <w:r w:rsidRPr="000E2CD7">
        <w:rPr>
          <w:rFonts w:ascii="Arial" w:hAnsi="Arial" w:cs="Arial"/>
        </w:rPr>
        <w:t xml:space="preserve">w protokole odbioru. </w:t>
      </w:r>
    </w:p>
    <w:p w14:paraId="327AFF76" w14:textId="7F234A1F" w:rsidR="004257BC" w:rsidRPr="00E45FC3" w:rsidRDefault="004257BC" w:rsidP="000E2CD7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lastRenderedPageBreak/>
        <w:t>Zamawiający po stwierdzeniu kompletności dokumentacji w ciągu 7 dni roboczych</w:t>
      </w:r>
      <w:r w:rsidR="007C253C" w:rsidRPr="00E45FC3">
        <w:rPr>
          <w:rFonts w:ascii="Arial" w:hAnsi="Arial" w:cs="Arial"/>
        </w:rPr>
        <w:t xml:space="preserve"> </w:t>
      </w:r>
      <w:r w:rsidRPr="00E45FC3">
        <w:rPr>
          <w:rFonts w:ascii="Arial" w:hAnsi="Arial" w:cs="Arial"/>
        </w:rPr>
        <w:t>podpisuje protokół odbioru lub pisemnie odmawia podpisania tego protokołu</w:t>
      </w:r>
      <w:r w:rsidR="007C253C" w:rsidRPr="00E45FC3">
        <w:rPr>
          <w:rFonts w:ascii="Arial" w:hAnsi="Arial" w:cs="Arial"/>
        </w:rPr>
        <w:t xml:space="preserve"> </w:t>
      </w:r>
      <w:r w:rsidRPr="00E45FC3">
        <w:rPr>
          <w:rFonts w:ascii="Arial" w:hAnsi="Arial" w:cs="Arial"/>
        </w:rPr>
        <w:t>z uzasadnieniem odmowy i wyznacza termin na uzupełnienie braków.</w:t>
      </w:r>
    </w:p>
    <w:p w14:paraId="2FD729D5" w14:textId="1BCFDC1C" w:rsidR="004257BC" w:rsidRPr="00E45FC3" w:rsidRDefault="004257BC" w:rsidP="000E2CD7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 w:rsidRPr="00E45FC3">
        <w:rPr>
          <w:rFonts w:ascii="Arial" w:hAnsi="Arial" w:cs="Arial"/>
        </w:rPr>
        <w:t>Rozliczenie zamówienia nastąpi z chwilą</w:t>
      </w:r>
      <w:r w:rsidR="007C253C" w:rsidRPr="00E45FC3">
        <w:rPr>
          <w:rFonts w:ascii="Arial" w:hAnsi="Arial" w:cs="Arial"/>
        </w:rPr>
        <w:t xml:space="preserve"> </w:t>
      </w:r>
      <w:r w:rsidR="00484AD6" w:rsidRPr="00E45FC3">
        <w:rPr>
          <w:rFonts w:ascii="Arial" w:hAnsi="Arial" w:cs="Arial"/>
        </w:rPr>
        <w:t xml:space="preserve">jego </w:t>
      </w:r>
      <w:r w:rsidRPr="00E45FC3">
        <w:rPr>
          <w:rFonts w:ascii="Arial" w:hAnsi="Arial" w:cs="Arial"/>
        </w:rPr>
        <w:t>zatwierdzenia i podpisania protokołu odbiorczego.</w:t>
      </w:r>
    </w:p>
    <w:bookmarkEnd w:id="1"/>
    <w:p w14:paraId="5581F76E" w14:textId="33CFADFD" w:rsidR="00831B7E" w:rsidRPr="000C3976" w:rsidRDefault="000C3976" w:rsidP="009A632D">
      <w:pPr>
        <w:pStyle w:val="Akapitzlist"/>
        <w:numPr>
          <w:ilvl w:val="0"/>
          <w:numId w:val="16"/>
        </w:numPr>
        <w:tabs>
          <w:tab w:val="right" w:pos="921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Obowiązek sprawowania nadzoru autorskiego trwa do zakończenia realizacji robót budowlanych, zgodnie z postanowieniami umowy</w:t>
      </w:r>
      <w:r w:rsidR="003C5646">
        <w:rPr>
          <w:rFonts w:ascii="Arial" w:hAnsi="Arial" w:cs="Arial"/>
        </w:rPr>
        <w:t>, jednak bez dodatkowego wynagrodzenia poza kwotą wskazaną w</w:t>
      </w:r>
      <w:r w:rsidR="003C5646" w:rsidRPr="003C5646">
        <w:rPr>
          <w:rFonts w:ascii="Arial" w:hAnsi="Arial" w:cs="Arial"/>
          <w:bCs/>
        </w:rPr>
        <w:t xml:space="preserve"> </w:t>
      </w:r>
      <w:r w:rsidR="003C5646" w:rsidRPr="003C5646">
        <w:rPr>
          <w:rFonts w:ascii="Arial" w:hAnsi="Arial" w:cs="Arial"/>
          <w:bCs/>
        </w:rPr>
        <w:t>§</w:t>
      </w:r>
      <w:r w:rsidR="003C5646">
        <w:rPr>
          <w:rFonts w:ascii="Arial" w:hAnsi="Arial" w:cs="Arial"/>
          <w:bCs/>
        </w:rPr>
        <w:t xml:space="preserve"> 7 ust. 2 umowy.</w:t>
      </w:r>
    </w:p>
    <w:sectPr w:rsidR="00831B7E" w:rsidRPr="000C3976" w:rsidSect="00B54731">
      <w:footerReference w:type="default" r:id="rId8"/>
      <w:headerReference w:type="first" r:id="rId9"/>
      <w:footerReference w:type="first" r:id="rId10"/>
      <w:pgSz w:w="11906" w:h="16838" w:code="9"/>
      <w:pgMar w:top="1811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48EA" w14:textId="77777777" w:rsidR="00357FB7" w:rsidRDefault="00357FB7">
      <w:r>
        <w:separator/>
      </w:r>
    </w:p>
  </w:endnote>
  <w:endnote w:type="continuationSeparator" w:id="0">
    <w:p w14:paraId="12287194" w14:textId="77777777" w:rsidR="00357FB7" w:rsidRDefault="0035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58276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6553A8" w14:textId="16519D1A" w:rsidR="00B54731" w:rsidRDefault="00B5473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592ECEA" w14:textId="13C7C4B3" w:rsidR="00831B7E" w:rsidRDefault="00B54731">
    <w:pPr>
      <w:pStyle w:val="Stopka"/>
    </w:pPr>
    <w:r w:rsidRPr="000479DF">
      <w:rPr>
        <w:noProof/>
      </w:rPr>
      <w:drawing>
        <wp:inline distT="0" distB="0" distL="0" distR="0" wp14:anchorId="71D1D16E" wp14:editId="142BF982">
          <wp:extent cx="5868035" cy="838835"/>
          <wp:effectExtent l="0" t="0" r="0" b="0"/>
          <wp:docPr id="52586276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C607" w14:textId="2D704F23" w:rsidR="00831B7E" w:rsidRDefault="00E128F7" w:rsidP="004F7AD9">
    <w:pPr>
      <w:tabs>
        <w:tab w:val="left" w:pos="4070"/>
      </w:tabs>
    </w:pPr>
    <w:r>
      <w:tab/>
    </w:r>
  </w:p>
  <w:p w14:paraId="42B9A601" w14:textId="77777777" w:rsidR="00831B7E" w:rsidRDefault="00E128F7" w:rsidP="004F7AD9">
    <w:pPr>
      <w:tabs>
        <w:tab w:val="left" w:pos="4070"/>
      </w:tabs>
    </w:pPr>
    <w:r>
      <w:tab/>
    </w:r>
  </w:p>
  <w:p w14:paraId="67224C54" w14:textId="77777777" w:rsidR="00831B7E" w:rsidRDefault="00831B7E" w:rsidP="004F7AD9">
    <w:pPr>
      <w:tabs>
        <w:tab w:val="left" w:pos="2558"/>
        <w:tab w:val="center" w:pos="4620"/>
      </w:tabs>
    </w:pPr>
  </w:p>
  <w:p w14:paraId="29D715CC" w14:textId="77777777" w:rsidR="00831B7E" w:rsidRDefault="00E128F7" w:rsidP="004F7AD9">
    <w:pPr>
      <w:tabs>
        <w:tab w:val="left" w:pos="2558"/>
        <w:tab w:val="center" w:pos="4620"/>
      </w:tabs>
    </w:pPr>
    <w:r>
      <w:tab/>
    </w:r>
  </w:p>
  <w:p w14:paraId="3B6C0070" w14:textId="77777777" w:rsidR="00831B7E" w:rsidRPr="00807343" w:rsidRDefault="00E128F7" w:rsidP="004F7AD9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5675E1" wp14:editId="6BF4DF2D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15240"/>
              <wp:wrapNone/>
              <wp:docPr id="8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2054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0,7.6pt" to="462.05pt,7.9pt" strokecolor="#005846" strokeweight="0.5pt"/>
          </w:pict>
        </mc:Fallback>
      </mc:AlternateContent>
    </w:r>
  </w:p>
  <w:p w14:paraId="39598D8C" w14:textId="77777777" w:rsidR="00831B7E" w:rsidRDefault="00E128F7" w:rsidP="004F7AD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22A228" wp14:editId="47B3A615">
              <wp:simplePos x="0" y="0"/>
              <wp:positionH relativeFrom="column">
                <wp:posOffset>3825240</wp:posOffset>
              </wp:positionH>
              <wp:positionV relativeFrom="paragraph">
                <wp:posOffset>56515</wp:posOffset>
              </wp:positionV>
              <wp:extent cx="2611120" cy="342900"/>
              <wp:effectExtent l="0" t="0" r="17780" b="19050"/>
              <wp:wrapNone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1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C6034" w14:textId="77777777" w:rsidR="00831B7E" w:rsidRPr="00954BD7" w:rsidRDefault="00E128F7" w:rsidP="004F7AD9">
                          <w:pPr>
                            <w:pStyle w:val="LPStopkaStrona"/>
                            <w:rPr>
                              <w:sz w:val="20"/>
                              <w:szCs w:val="20"/>
                            </w:rPr>
                          </w:pPr>
                          <w:r w:rsidRPr="00954BD7">
                            <w:rPr>
                              <w:sz w:val="20"/>
                              <w:szCs w:val="20"/>
                            </w:rPr>
                            <w:t>www.tomaszow.lublin.lasy.gov.pl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2A228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301.2pt;margin-top:4.45pt;width:205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" strokecolor="white">
              <v:textbox inset=",0">
                <w:txbxContent>
                  <w:p w14:paraId="54BC6034" w14:textId="77777777" w:rsidR="00831B7E" w:rsidRPr="00954BD7" w:rsidRDefault="00E128F7" w:rsidP="004F7AD9">
                    <w:pPr>
                      <w:pStyle w:val="LPStopkaStrona"/>
                      <w:rPr>
                        <w:sz w:val="20"/>
                        <w:szCs w:val="20"/>
                      </w:rPr>
                    </w:pPr>
                    <w:r w:rsidRPr="00954BD7">
                      <w:rPr>
                        <w:sz w:val="20"/>
                        <w:szCs w:val="20"/>
                      </w:rPr>
                      <w:t>www.tomaszow.lublin.lasy.gov.pl</w:t>
                    </w:r>
                  </w:p>
                </w:txbxContent>
              </v:textbox>
            </v:shape>
          </w:pict>
        </mc:Fallback>
      </mc:AlternateContent>
    </w:r>
    <w:r>
      <w:t>Nadleśnictwo Tomaszów, ul. Mickiewicza 1 Pasieki, 22-600 Tomaszów Lubelski</w:t>
    </w:r>
  </w:p>
  <w:p w14:paraId="3B980AED" w14:textId="77777777" w:rsidR="00831B7E" w:rsidRPr="007015A6" w:rsidRDefault="00E128F7" w:rsidP="00954BD7">
    <w:pPr>
      <w:pStyle w:val="LPstopka"/>
      <w:rPr>
        <w:lang w:val="en-US"/>
      </w:rPr>
    </w:pPr>
    <w:r w:rsidRPr="007015A6">
      <w:rPr>
        <w:lang w:val="en-US"/>
      </w:rPr>
      <w:t>tel.: +48 84 664 24 58, fax: +48 84 665 88 71, e-mail: tomaszow@lublin.lasy.gov.pl</w:t>
    </w:r>
  </w:p>
  <w:p w14:paraId="52E8027C" w14:textId="77777777" w:rsidR="00831B7E" w:rsidRPr="007015A6" w:rsidRDefault="00831B7E" w:rsidP="004F7AD9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236E" w14:textId="77777777" w:rsidR="00357FB7" w:rsidRDefault="00357FB7">
      <w:r>
        <w:separator/>
      </w:r>
    </w:p>
  </w:footnote>
  <w:footnote w:type="continuationSeparator" w:id="0">
    <w:p w14:paraId="0D4CCE5A" w14:textId="77777777" w:rsidR="00357FB7" w:rsidRDefault="0035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A031" w14:textId="5F428CFD" w:rsidR="00831B7E" w:rsidRDefault="00E128F7" w:rsidP="004F7AD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2C8C2" wp14:editId="1727A526">
              <wp:simplePos x="0" y="0"/>
              <wp:positionH relativeFrom="column">
                <wp:posOffset>407472</wp:posOffset>
              </wp:positionH>
              <wp:positionV relativeFrom="paragraph">
                <wp:posOffset>93847</wp:posOffset>
              </wp:positionV>
              <wp:extent cx="3077570" cy="375285"/>
              <wp:effectExtent l="0" t="0" r="0" b="571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57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BAE78" w14:textId="77777777" w:rsidR="00831B7E" w:rsidRDefault="00E128F7" w:rsidP="004F7AD9">
                          <w:pPr>
                            <w:pStyle w:val="LPNaglowek"/>
                          </w:pPr>
                          <w:r>
                            <w:t xml:space="preserve"> Nadleśnictwo Tomaszów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2C8C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2.1pt;margin-top:7.4pt;width:242.3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" filled="f" stroked="f" strokecolor="white" strokeweight="0">
              <v:textbox>
                <w:txbxContent>
                  <w:p w14:paraId="08EBAE78" w14:textId="77777777" w:rsidR="00831B7E" w:rsidRDefault="00E128F7" w:rsidP="004F7AD9">
                    <w:pPr>
                      <w:pStyle w:val="LPNaglowek"/>
                    </w:pPr>
                    <w:r>
                      <w:t xml:space="preserve"> Nadleśnictwo Tomaszów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5A693A1" wp14:editId="027A4D83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467995" cy="467995"/>
          <wp:effectExtent l="0" t="0" r="8255" b="8255"/>
          <wp:wrapSquare wrapText="bothSides"/>
          <wp:docPr id="18" name="Obraz 18" descr="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FC5765" wp14:editId="73B193BF">
              <wp:simplePos x="0" y="0"/>
              <wp:positionH relativeFrom="character">
                <wp:posOffset>0</wp:posOffset>
              </wp:positionH>
              <wp:positionV relativeFrom="page">
                <wp:posOffset>765810</wp:posOffset>
              </wp:positionV>
              <wp:extent cx="6911975" cy="228600"/>
              <wp:effectExtent l="0" t="0" r="0" b="0"/>
              <wp:wrapNone/>
              <wp:docPr id="135" name="Grupa 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1975" cy="228600"/>
                        <a:chOff x="0" y="0"/>
                        <a:chExt cx="6911975" cy="228600"/>
                      </a:xfrm>
                    </wpg:grpSpPr>
                    <wps:wsp>
                      <wps:cNvPr id="12" name="Prostokąt 12"/>
                      <wps:cNvSpPr/>
                      <wps:spPr>
                        <a:xfrm>
                          <a:off x="0" y="0"/>
                          <a:ext cx="6911975" cy="2286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  <wps:wsp>
                      <wps:cNvPr id="14" name="Line 60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35" o:spid="_x0000_s2050" style="height:18pt;margin-left:0;margin-top:60.3pt;mso-position-horizontal-relative:char;mso-position-vertical-relative:page;position:absolute;width:544.25pt;z-index:251659264" coordsize="69119,2286">
              <v:rect id="Prostokąt 12" o:spid="_x0000_s2051" style="height:2286;mso-wrap-style:square;position:absolute;v-text-anchor:top;visibility:visible;width:69119" filled="f" stroked="f"/>
              <v:line id="Line 60" o:spid="_x0000_s2052" style="flip:y;mso-wrap-style:square;position:absolute;visibility:visible" from="0,1143" to="58677,1149" o:connectortype="straight" strokecolor="#005846" strokeweight="0.5pt"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E7DFB9C" wp14:editId="422A8396">
              <wp:extent cx="7091680" cy="233680"/>
              <wp:effectExtent l="0" t="0" r="4445" b="4445"/>
              <wp:docPr id="5" name="Prostoką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9168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Prostokąt 5" o:spid="_x0000_i2053" style="height:18.4pt;mso-left-percent:-10001;mso-position-horizontal-relative:char;mso-position-vertical-relative:line;mso-top-percent:-10001;mso-wrap-style:square;v-text-anchor:top;visibility:visible;width:558.4pt" filled="f" stroked="f">
              <o:lock v:ext="edit" aspectratio="t"/>
              <w10:wrap type="non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7469"/>
    <w:multiLevelType w:val="hybridMultilevel"/>
    <w:tmpl w:val="4D96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744A"/>
    <w:multiLevelType w:val="hybridMultilevel"/>
    <w:tmpl w:val="31BEC99E"/>
    <w:lvl w:ilvl="0" w:tplc="3B1632E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2A1F18"/>
    <w:multiLevelType w:val="hybridMultilevel"/>
    <w:tmpl w:val="33D4ADE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A171FB"/>
    <w:multiLevelType w:val="hybridMultilevel"/>
    <w:tmpl w:val="DAA44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69EF"/>
    <w:multiLevelType w:val="hybridMultilevel"/>
    <w:tmpl w:val="932C6EEC"/>
    <w:lvl w:ilvl="0" w:tplc="142E806E">
      <w:start w:val="1"/>
      <w:numFmt w:val="decimal"/>
      <w:lvlText w:val="%1."/>
      <w:lvlJc w:val="left"/>
      <w:pPr>
        <w:ind w:left="720" w:hanging="360"/>
      </w:pPr>
    </w:lvl>
    <w:lvl w:ilvl="1" w:tplc="70CA5160" w:tentative="1">
      <w:start w:val="1"/>
      <w:numFmt w:val="lowerLetter"/>
      <w:lvlText w:val="%2."/>
      <w:lvlJc w:val="left"/>
      <w:pPr>
        <w:ind w:left="1440" w:hanging="360"/>
      </w:pPr>
    </w:lvl>
    <w:lvl w:ilvl="2" w:tplc="35789688" w:tentative="1">
      <w:start w:val="1"/>
      <w:numFmt w:val="lowerRoman"/>
      <w:lvlText w:val="%3."/>
      <w:lvlJc w:val="right"/>
      <w:pPr>
        <w:ind w:left="2160" w:hanging="180"/>
      </w:pPr>
    </w:lvl>
    <w:lvl w:ilvl="3" w:tplc="6A5CE648" w:tentative="1">
      <w:start w:val="1"/>
      <w:numFmt w:val="decimal"/>
      <w:lvlText w:val="%4."/>
      <w:lvlJc w:val="left"/>
      <w:pPr>
        <w:ind w:left="2880" w:hanging="360"/>
      </w:pPr>
    </w:lvl>
    <w:lvl w:ilvl="4" w:tplc="0F9A0CF4" w:tentative="1">
      <w:start w:val="1"/>
      <w:numFmt w:val="lowerLetter"/>
      <w:lvlText w:val="%5."/>
      <w:lvlJc w:val="left"/>
      <w:pPr>
        <w:ind w:left="3600" w:hanging="360"/>
      </w:pPr>
    </w:lvl>
    <w:lvl w:ilvl="5" w:tplc="3E8CDDDE" w:tentative="1">
      <w:start w:val="1"/>
      <w:numFmt w:val="lowerRoman"/>
      <w:lvlText w:val="%6."/>
      <w:lvlJc w:val="right"/>
      <w:pPr>
        <w:ind w:left="4320" w:hanging="180"/>
      </w:pPr>
    </w:lvl>
    <w:lvl w:ilvl="6" w:tplc="3A4CBE12" w:tentative="1">
      <w:start w:val="1"/>
      <w:numFmt w:val="decimal"/>
      <w:lvlText w:val="%7."/>
      <w:lvlJc w:val="left"/>
      <w:pPr>
        <w:ind w:left="5040" w:hanging="360"/>
      </w:pPr>
    </w:lvl>
    <w:lvl w:ilvl="7" w:tplc="540CBF6E" w:tentative="1">
      <w:start w:val="1"/>
      <w:numFmt w:val="lowerLetter"/>
      <w:lvlText w:val="%8."/>
      <w:lvlJc w:val="left"/>
      <w:pPr>
        <w:ind w:left="5760" w:hanging="360"/>
      </w:pPr>
    </w:lvl>
    <w:lvl w:ilvl="8" w:tplc="649E8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408DA"/>
    <w:multiLevelType w:val="hybridMultilevel"/>
    <w:tmpl w:val="907E9DD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9043839"/>
    <w:multiLevelType w:val="hybridMultilevel"/>
    <w:tmpl w:val="473AE9BC"/>
    <w:lvl w:ilvl="0" w:tplc="7854A180">
      <w:start w:val="2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94207C"/>
    <w:multiLevelType w:val="hybridMultilevel"/>
    <w:tmpl w:val="B6740DC8"/>
    <w:lvl w:ilvl="0" w:tplc="223A6D5E">
      <w:start w:val="1"/>
      <w:numFmt w:val="decimal"/>
      <w:lvlText w:val="%1."/>
      <w:lvlJc w:val="left"/>
      <w:pPr>
        <w:ind w:left="720" w:hanging="360"/>
      </w:pPr>
    </w:lvl>
    <w:lvl w:ilvl="1" w:tplc="3EEE7AE2" w:tentative="1">
      <w:start w:val="1"/>
      <w:numFmt w:val="lowerLetter"/>
      <w:lvlText w:val="%2."/>
      <w:lvlJc w:val="left"/>
      <w:pPr>
        <w:ind w:left="1440" w:hanging="360"/>
      </w:pPr>
    </w:lvl>
    <w:lvl w:ilvl="2" w:tplc="C2ACF0DA" w:tentative="1">
      <w:start w:val="1"/>
      <w:numFmt w:val="lowerRoman"/>
      <w:lvlText w:val="%3."/>
      <w:lvlJc w:val="right"/>
      <w:pPr>
        <w:ind w:left="2160" w:hanging="180"/>
      </w:pPr>
    </w:lvl>
    <w:lvl w:ilvl="3" w:tplc="82F80212" w:tentative="1">
      <w:start w:val="1"/>
      <w:numFmt w:val="decimal"/>
      <w:lvlText w:val="%4."/>
      <w:lvlJc w:val="left"/>
      <w:pPr>
        <w:ind w:left="2880" w:hanging="360"/>
      </w:pPr>
    </w:lvl>
    <w:lvl w:ilvl="4" w:tplc="B93CB734" w:tentative="1">
      <w:start w:val="1"/>
      <w:numFmt w:val="lowerLetter"/>
      <w:lvlText w:val="%5."/>
      <w:lvlJc w:val="left"/>
      <w:pPr>
        <w:ind w:left="3600" w:hanging="360"/>
      </w:pPr>
    </w:lvl>
    <w:lvl w:ilvl="5" w:tplc="FA66D0BA" w:tentative="1">
      <w:start w:val="1"/>
      <w:numFmt w:val="lowerRoman"/>
      <w:lvlText w:val="%6."/>
      <w:lvlJc w:val="right"/>
      <w:pPr>
        <w:ind w:left="4320" w:hanging="180"/>
      </w:pPr>
    </w:lvl>
    <w:lvl w:ilvl="6" w:tplc="FD08C4BE" w:tentative="1">
      <w:start w:val="1"/>
      <w:numFmt w:val="decimal"/>
      <w:lvlText w:val="%7."/>
      <w:lvlJc w:val="left"/>
      <w:pPr>
        <w:ind w:left="5040" w:hanging="360"/>
      </w:pPr>
    </w:lvl>
    <w:lvl w:ilvl="7" w:tplc="528675D8" w:tentative="1">
      <w:start w:val="1"/>
      <w:numFmt w:val="lowerLetter"/>
      <w:lvlText w:val="%8."/>
      <w:lvlJc w:val="left"/>
      <w:pPr>
        <w:ind w:left="5760" w:hanging="360"/>
      </w:pPr>
    </w:lvl>
    <w:lvl w:ilvl="8" w:tplc="39060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04D1"/>
    <w:multiLevelType w:val="hybridMultilevel"/>
    <w:tmpl w:val="A992E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E7F0A"/>
    <w:multiLevelType w:val="hybridMultilevel"/>
    <w:tmpl w:val="CC403028"/>
    <w:lvl w:ilvl="0" w:tplc="5E2A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507A5"/>
    <w:multiLevelType w:val="hybridMultilevel"/>
    <w:tmpl w:val="09CE9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E463E"/>
    <w:multiLevelType w:val="hybridMultilevel"/>
    <w:tmpl w:val="F93E7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70E4"/>
    <w:multiLevelType w:val="hybridMultilevel"/>
    <w:tmpl w:val="9DC293B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331DB"/>
    <w:multiLevelType w:val="hybridMultilevel"/>
    <w:tmpl w:val="B30A0208"/>
    <w:lvl w:ilvl="0" w:tplc="2ADA651C">
      <w:start w:val="1"/>
      <w:numFmt w:val="decimal"/>
      <w:pStyle w:val="LP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0244"/>
    <w:multiLevelType w:val="hybridMultilevel"/>
    <w:tmpl w:val="3A961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B5760"/>
    <w:multiLevelType w:val="hybridMultilevel"/>
    <w:tmpl w:val="33E0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56646">
    <w:abstractNumId w:val="4"/>
  </w:num>
  <w:num w:numId="2" w16cid:durableId="1439594176">
    <w:abstractNumId w:val="7"/>
  </w:num>
  <w:num w:numId="3" w16cid:durableId="1905093876">
    <w:abstractNumId w:val="13"/>
  </w:num>
  <w:num w:numId="4" w16cid:durableId="1561407370">
    <w:abstractNumId w:val="14"/>
  </w:num>
  <w:num w:numId="5" w16cid:durableId="1845436738">
    <w:abstractNumId w:val="0"/>
  </w:num>
  <w:num w:numId="6" w16cid:durableId="764761654">
    <w:abstractNumId w:val="8"/>
  </w:num>
  <w:num w:numId="7" w16cid:durableId="158080501">
    <w:abstractNumId w:val="15"/>
  </w:num>
  <w:num w:numId="8" w16cid:durableId="2077581692">
    <w:abstractNumId w:val="9"/>
  </w:num>
  <w:num w:numId="9" w16cid:durableId="560598691">
    <w:abstractNumId w:val="10"/>
  </w:num>
  <w:num w:numId="10" w16cid:durableId="1548301833">
    <w:abstractNumId w:val="1"/>
  </w:num>
  <w:num w:numId="11" w16cid:durableId="1851599018">
    <w:abstractNumId w:val="12"/>
  </w:num>
  <w:num w:numId="12" w16cid:durableId="1107117940">
    <w:abstractNumId w:val="6"/>
  </w:num>
  <w:num w:numId="13" w16cid:durableId="1544095615">
    <w:abstractNumId w:val="11"/>
  </w:num>
  <w:num w:numId="14" w16cid:durableId="48236711">
    <w:abstractNumId w:val="5"/>
  </w:num>
  <w:num w:numId="15" w16cid:durableId="416026618">
    <w:abstractNumId w:val="2"/>
  </w:num>
  <w:num w:numId="16" w16cid:durableId="1794132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94"/>
    <w:rsid w:val="000100F9"/>
    <w:rsid w:val="000422D3"/>
    <w:rsid w:val="000C3976"/>
    <w:rsid w:val="000D2F9C"/>
    <w:rsid w:val="000E2CD7"/>
    <w:rsid w:val="001E3A32"/>
    <w:rsid w:val="002F746F"/>
    <w:rsid w:val="00357FB7"/>
    <w:rsid w:val="00383AF1"/>
    <w:rsid w:val="003C5646"/>
    <w:rsid w:val="00416CC7"/>
    <w:rsid w:val="004257BC"/>
    <w:rsid w:val="00484AD6"/>
    <w:rsid w:val="00491F96"/>
    <w:rsid w:val="00522DCD"/>
    <w:rsid w:val="00534FCA"/>
    <w:rsid w:val="00536594"/>
    <w:rsid w:val="005665B4"/>
    <w:rsid w:val="00587338"/>
    <w:rsid w:val="00593A86"/>
    <w:rsid w:val="00616A48"/>
    <w:rsid w:val="0063315F"/>
    <w:rsid w:val="00640851"/>
    <w:rsid w:val="00656694"/>
    <w:rsid w:val="00690E19"/>
    <w:rsid w:val="006B0913"/>
    <w:rsid w:val="006B56ED"/>
    <w:rsid w:val="006D44B6"/>
    <w:rsid w:val="00780FC7"/>
    <w:rsid w:val="007C253C"/>
    <w:rsid w:val="00831B7E"/>
    <w:rsid w:val="00850389"/>
    <w:rsid w:val="008C29AB"/>
    <w:rsid w:val="008D5170"/>
    <w:rsid w:val="008F5FB0"/>
    <w:rsid w:val="009019D0"/>
    <w:rsid w:val="009468F7"/>
    <w:rsid w:val="009A632D"/>
    <w:rsid w:val="009B0503"/>
    <w:rsid w:val="009C0D76"/>
    <w:rsid w:val="009C260B"/>
    <w:rsid w:val="009C3E98"/>
    <w:rsid w:val="009F2B75"/>
    <w:rsid w:val="00A85A78"/>
    <w:rsid w:val="00A976AF"/>
    <w:rsid w:val="00B02390"/>
    <w:rsid w:val="00B17082"/>
    <w:rsid w:val="00B54731"/>
    <w:rsid w:val="00BA4038"/>
    <w:rsid w:val="00C320B2"/>
    <w:rsid w:val="00C966AB"/>
    <w:rsid w:val="00CD099A"/>
    <w:rsid w:val="00CE360E"/>
    <w:rsid w:val="00CE534D"/>
    <w:rsid w:val="00D10F68"/>
    <w:rsid w:val="00D6282D"/>
    <w:rsid w:val="00D67299"/>
    <w:rsid w:val="00D70951"/>
    <w:rsid w:val="00DB357F"/>
    <w:rsid w:val="00DB69F4"/>
    <w:rsid w:val="00DD26D9"/>
    <w:rsid w:val="00E128F7"/>
    <w:rsid w:val="00E45FC3"/>
    <w:rsid w:val="00EB5A2C"/>
    <w:rsid w:val="00F11F37"/>
    <w:rsid w:val="00F648BF"/>
    <w:rsid w:val="00F70729"/>
    <w:rsid w:val="00F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01079F"/>
  <w15:docId w15:val="{4D8ECC29-2C2A-4F2B-93E0-A99247A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CE283F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CE283F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CE283F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CE283F"/>
    <w:rPr>
      <w:rFonts w:ascii="Arial" w:eastAsia="Times New Roman" w:hAnsi="Arial"/>
      <w:sz w:val="16"/>
      <w:szCs w:val="16"/>
    </w:rPr>
  </w:style>
  <w:style w:type="paragraph" w:customStyle="1" w:styleId="LPtekstpodstawowy">
    <w:name w:val="LP_tekst podstawowy"/>
    <w:autoRedefine/>
    <w:rsid w:val="00B54731"/>
    <w:pPr>
      <w:numPr>
        <w:numId w:val="3"/>
      </w:numPr>
      <w:tabs>
        <w:tab w:val="left" w:pos="0"/>
      </w:tabs>
      <w:autoSpaceDE w:val="0"/>
      <w:autoSpaceDN w:val="0"/>
      <w:adjustRightInd w:val="0"/>
      <w:spacing w:line="360" w:lineRule="auto"/>
      <w:ind w:left="284"/>
      <w:textAlignment w:val="center"/>
    </w:pPr>
    <w:rPr>
      <w:rFonts w:ascii="Arial" w:eastAsia="Times New Roman" w:hAnsi="Arial" w:cs="Arial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B5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9305-54C2-4B2F-86C6-C46F9E3E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Zespół ds. wdrożenia i rozwoju systemu elektronicznego zarządzania dokumentacją EZD PUW w PGL LP</dc:creator>
  <cp:lastModifiedBy>Aleksandra Kawka</cp:lastModifiedBy>
  <cp:revision>20</cp:revision>
  <cp:lastPrinted>2025-09-24T08:16:00Z</cp:lastPrinted>
  <dcterms:created xsi:type="dcterms:W3CDTF">2025-09-16T12:01:00Z</dcterms:created>
  <dcterms:modified xsi:type="dcterms:W3CDTF">2025-09-24T11:14:00Z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