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20C39" w14:textId="78C37D27" w:rsidR="00CB1CEB" w:rsidRPr="00FD5BD6" w:rsidRDefault="00CB1CEB" w:rsidP="00CB1CEB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pl-PL"/>
        </w:rPr>
      </w:pPr>
      <w:r w:rsidRPr="00FD5BD6">
        <w:rPr>
          <w:bCs/>
          <w:color w:val="000000"/>
          <w:sz w:val="22"/>
          <w:szCs w:val="22"/>
          <w:lang w:val="pl-PL"/>
        </w:rPr>
        <w:t>Załącznik</w:t>
      </w:r>
      <w:r w:rsidR="005B4791">
        <w:rPr>
          <w:bCs/>
          <w:color w:val="000000"/>
          <w:sz w:val="22"/>
          <w:szCs w:val="22"/>
          <w:lang w:val="pl-PL"/>
        </w:rPr>
        <w:t xml:space="preserve"> </w:t>
      </w:r>
      <w:r w:rsidRPr="00FD5BD6">
        <w:rPr>
          <w:bCs/>
          <w:color w:val="000000"/>
          <w:sz w:val="22"/>
          <w:szCs w:val="22"/>
          <w:lang w:val="pl-PL"/>
        </w:rPr>
        <w:t>B.55.</w:t>
      </w:r>
    </w:p>
    <w:p w14:paraId="0E9BD71A" w14:textId="77777777" w:rsidR="00CB1CEB" w:rsidRPr="00FD5BD6" w:rsidRDefault="00CB1CEB" w:rsidP="00CB1CEB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pl-PL"/>
        </w:rPr>
      </w:pPr>
    </w:p>
    <w:p w14:paraId="0B97C59C" w14:textId="43B2AC33" w:rsidR="00CB1CEB" w:rsidRPr="00FD5BD6" w:rsidRDefault="00CB1CEB" w:rsidP="00CB1CEB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  <w:lang w:val="pl-PL"/>
        </w:rPr>
      </w:pPr>
      <w:r w:rsidRPr="00FD5BD6">
        <w:rPr>
          <w:b/>
          <w:bCs/>
          <w:color w:val="000000"/>
          <w:sz w:val="28"/>
          <w:lang w:val="pl-PL"/>
        </w:rPr>
        <w:t>LECZENIE</w:t>
      </w:r>
      <w:r w:rsidR="005B4791">
        <w:rPr>
          <w:b/>
          <w:bCs/>
          <w:color w:val="000000"/>
          <w:sz w:val="28"/>
          <w:lang w:val="pl-PL"/>
        </w:rPr>
        <w:t xml:space="preserve"> </w:t>
      </w:r>
      <w:r w:rsidRPr="00FD5BD6">
        <w:rPr>
          <w:b/>
          <w:bCs/>
          <w:color w:val="000000"/>
          <w:sz w:val="28"/>
          <w:lang w:val="pl-PL"/>
        </w:rPr>
        <w:t>PACJENTÓW</w:t>
      </w:r>
      <w:r w:rsidR="005B4791">
        <w:rPr>
          <w:b/>
          <w:bCs/>
          <w:color w:val="000000"/>
          <w:sz w:val="28"/>
          <w:lang w:val="pl-PL"/>
        </w:rPr>
        <w:t xml:space="preserve"> </w:t>
      </w:r>
      <w:r w:rsidRPr="00FD5BD6">
        <w:rPr>
          <w:b/>
          <w:bCs/>
          <w:color w:val="000000"/>
          <w:sz w:val="28"/>
          <w:lang w:val="pl-PL"/>
        </w:rPr>
        <w:t>Z</w:t>
      </w:r>
      <w:r w:rsidR="005B4791">
        <w:rPr>
          <w:b/>
          <w:bCs/>
          <w:color w:val="000000"/>
          <w:sz w:val="28"/>
          <w:lang w:val="pl-PL"/>
        </w:rPr>
        <w:t xml:space="preserve"> </w:t>
      </w:r>
      <w:r w:rsidRPr="00FD5BD6">
        <w:rPr>
          <w:b/>
          <w:bCs/>
          <w:color w:val="000000"/>
          <w:sz w:val="28"/>
          <w:lang w:val="pl-PL"/>
        </w:rPr>
        <w:t>WRZODZIEJĄCYM</w:t>
      </w:r>
      <w:r w:rsidR="005B4791">
        <w:rPr>
          <w:b/>
          <w:bCs/>
          <w:color w:val="000000"/>
          <w:sz w:val="28"/>
          <w:lang w:val="pl-PL"/>
        </w:rPr>
        <w:t xml:space="preserve"> </w:t>
      </w:r>
      <w:r w:rsidRPr="00FD5BD6">
        <w:rPr>
          <w:b/>
          <w:bCs/>
          <w:color w:val="000000"/>
          <w:sz w:val="28"/>
          <w:lang w:val="pl-PL"/>
        </w:rPr>
        <w:t>ZAPALENIEM</w:t>
      </w:r>
      <w:r w:rsidR="005B4791">
        <w:rPr>
          <w:b/>
          <w:bCs/>
          <w:color w:val="000000"/>
          <w:sz w:val="28"/>
          <w:lang w:val="pl-PL"/>
        </w:rPr>
        <w:t xml:space="preserve"> </w:t>
      </w:r>
      <w:r w:rsidRPr="00FD5BD6">
        <w:rPr>
          <w:b/>
          <w:bCs/>
          <w:color w:val="000000"/>
          <w:sz w:val="28"/>
          <w:lang w:val="pl-PL"/>
        </w:rPr>
        <w:t>JELITA</w:t>
      </w:r>
      <w:r w:rsidR="005B4791">
        <w:rPr>
          <w:b/>
          <w:bCs/>
          <w:color w:val="000000"/>
          <w:sz w:val="28"/>
          <w:lang w:val="pl-PL"/>
        </w:rPr>
        <w:t xml:space="preserve"> </w:t>
      </w:r>
      <w:r w:rsidRPr="00FD5BD6">
        <w:rPr>
          <w:b/>
          <w:bCs/>
          <w:color w:val="000000"/>
          <w:sz w:val="28"/>
          <w:lang w:val="pl-PL"/>
        </w:rPr>
        <w:t>GRUBEGO</w:t>
      </w:r>
      <w:r w:rsidR="005B4791">
        <w:rPr>
          <w:b/>
          <w:bCs/>
          <w:color w:val="000000"/>
          <w:sz w:val="28"/>
          <w:lang w:val="pl-PL"/>
        </w:rPr>
        <w:t xml:space="preserve"> </w:t>
      </w:r>
      <w:r w:rsidRPr="00FD5BD6">
        <w:rPr>
          <w:b/>
          <w:bCs/>
          <w:color w:val="000000"/>
          <w:sz w:val="28"/>
          <w:lang w:val="pl-PL"/>
        </w:rPr>
        <w:t>(WZJG)</w:t>
      </w:r>
      <w:r w:rsidR="005B4791">
        <w:rPr>
          <w:b/>
          <w:bCs/>
          <w:color w:val="000000"/>
          <w:sz w:val="28"/>
          <w:lang w:val="pl-PL"/>
        </w:rPr>
        <w:t xml:space="preserve"> </w:t>
      </w:r>
      <w:r w:rsidRPr="00FD5BD6">
        <w:rPr>
          <w:b/>
          <w:bCs/>
          <w:color w:val="000000"/>
          <w:sz w:val="28"/>
          <w:lang w:val="pl-PL"/>
        </w:rPr>
        <w:t>(ICD-10</w:t>
      </w:r>
      <w:r w:rsidR="005B4791">
        <w:rPr>
          <w:b/>
          <w:bCs/>
          <w:color w:val="000000"/>
          <w:sz w:val="28"/>
          <w:lang w:val="pl-PL"/>
        </w:rPr>
        <w:t xml:space="preserve"> </w:t>
      </w:r>
      <w:r w:rsidRPr="00FD5BD6">
        <w:rPr>
          <w:b/>
          <w:bCs/>
          <w:color w:val="000000"/>
          <w:sz w:val="28"/>
          <w:lang w:val="pl-PL"/>
        </w:rPr>
        <w:t>K51)</w:t>
      </w:r>
      <w:r w:rsidR="005B4791">
        <w:rPr>
          <w:b/>
          <w:bCs/>
          <w:color w:val="000000"/>
          <w:sz w:val="28"/>
          <w:lang w:val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0"/>
        <w:gridCol w:w="3684"/>
        <w:gridCol w:w="5756"/>
      </w:tblGrid>
      <w:tr w:rsidR="00CB1CEB" w:rsidRPr="00FD5BD6" w14:paraId="71C3AB5D" w14:textId="77777777" w:rsidTr="005B4791">
        <w:trPr>
          <w:trHeight w:val="56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497E2" w14:textId="633FC4DA" w:rsidR="00CB1CEB" w:rsidRPr="00FD5BD6" w:rsidRDefault="00CB1CEB" w:rsidP="005B4791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D5BD6">
              <w:rPr>
                <w:b/>
                <w:sz w:val="20"/>
                <w:szCs w:val="20"/>
                <w:lang w:val="pl-PL"/>
              </w:rPr>
              <w:t>ZAKRES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FD5BD6">
              <w:rPr>
                <w:b/>
                <w:sz w:val="20"/>
                <w:szCs w:val="20"/>
                <w:lang w:val="pl-PL"/>
              </w:rPr>
              <w:t>ŚWIADCZENIA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FD5BD6">
              <w:rPr>
                <w:b/>
                <w:sz w:val="20"/>
                <w:szCs w:val="20"/>
                <w:lang w:val="pl-PL"/>
              </w:rPr>
              <w:t>GWARANTOWANEGO</w:t>
            </w:r>
          </w:p>
        </w:tc>
      </w:tr>
      <w:tr w:rsidR="00CB1CEB" w:rsidRPr="00EF3A59" w14:paraId="10935E9E" w14:textId="77777777" w:rsidTr="005B4791">
        <w:trPr>
          <w:trHeight w:val="567"/>
        </w:trPr>
        <w:tc>
          <w:tcPr>
            <w:tcW w:w="1933" w:type="pct"/>
            <w:shd w:val="clear" w:color="auto" w:fill="auto"/>
            <w:vAlign w:val="center"/>
          </w:tcPr>
          <w:p w14:paraId="7A920F0F" w14:textId="77777777" w:rsidR="00CB1CEB" w:rsidRPr="00FD5BD6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pl-PL"/>
              </w:rPr>
            </w:pPr>
            <w:r w:rsidRPr="00FD5BD6">
              <w:rPr>
                <w:b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764FA0F" w14:textId="363712A1" w:rsidR="005B4791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pl-PL"/>
              </w:rPr>
            </w:pPr>
            <w:r w:rsidRPr="00FD5BD6">
              <w:rPr>
                <w:b/>
                <w:sz w:val="20"/>
                <w:szCs w:val="20"/>
                <w:lang w:val="pl-PL"/>
              </w:rPr>
              <w:t>SCHEMAT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FD5BD6">
              <w:rPr>
                <w:b/>
                <w:sz w:val="20"/>
                <w:szCs w:val="20"/>
                <w:lang w:val="pl-PL"/>
              </w:rPr>
              <w:t>DAWKOWANIA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FD5BD6">
              <w:rPr>
                <w:b/>
                <w:sz w:val="20"/>
                <w:szCs w:val="20"/>
                <w:lang w:val="pl-PL"/>
              </w:rPr>
              <w:t>LEKU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5058B174" w14:textId="1BDDBFAF" w:rsidR="00CB1CEB" w:rsidRPr="00FD5BD6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pl-PL"/>
              </w:rPr>
            </w:pPr>
            <w:r w:rsidRPr="00FD5BD6">
              <w:rPr>
                <w:b/>
                <w:sz w:val="20"/>
                <w:szCs w:val="20"/>
                <w:lang w:val="pl-PL"/>
              </w:rPr>
              <w:t>W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FD5BD6">
              <w:rPr>
                <w:b/>
                <w:sz w:val="20"/>
                <w:szCs w:val="20"/>
                <w:lang w:val="pl-PL"/>
              </w:rPr>
              <w:t>PROGRAMIE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0705D98D" w14:textId="4AC9FA47" w:rsidR="005B4791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pl-PL"/>
              </w:rPr>
            </w:pPr>
            <w:r w:rsidRPr="00FD5BD6">
              <w:rPr>
                <w:b/>
                <w:sz w:val="20"/>
                <w:szCs w:val="20"/>
                <w:lang w:val="pl-PL"/>
              </w:rPr>
              <w:t>BADANIA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FD5BD6">
              <w:rPr>
                <w:b/>
                <w:sz w:val="20"/>
                <w:szCs w:val="20"/>
                <w:lang w:val="pl-PL"/>
              </w:rPr>
              <w:t>DIAGNOSTYCZNE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FD5BD6">
              <w:rPr>
                <w:b/>
                <w:sz w:val="20"/>
                <w:szCs w:val="20"/>
                <w:lang w:val="pl-PL"/>
              </w:rPr>
              <w:t>WYKONYWANE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759C847B" w14:textId="655A6866" w:rsidR="00CB1CEB" w:rsidRPr="00FD5BD6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pl-PL"/>
              </w:rPr>
            </w:pPr>
            <w:r w:rsidRPr="00FD5BD6">
              <w:rPr>
                <w:b/>
                <w:sz w:val="20"/>
                <w:szCs w:val="20"/>
                <w:lang w:val="pl-PL"/>
              </w:rPr>
              <w:t>W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FD5BD6">
              <w:rPr>
                <w:b/>
                <w:sz w:val="20"/>
                <w:szCs w:val="20"/>
                <w:lang w:val="pl-PL"/>
              </w:rPr>
              <w:t>RAMACH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FD5BD6">
              <w:rPr>
                <w:b/>
                <w:sz w:val="20"/>
                <w:szCs w:val="20"/>
                <w:lang w:val="pl-PL"/>
              </w:rPr>
              <w:t>PROGRAMU</w:t>
            </w:r>
          </w:p>
        </w:tc>
      </w:tr>
      <w:tr w:rsidR="00CB1CEB" w:rsidRPr="00EF3A59" w14:paraId="6990ABE9" w14:textId="77777777" w:rsidTr="005B4791">
        <w:tc>
          <w:tcPr>
            <w:tcW w:w="1933" w:type="pct"/>
            <w:shd w:val="clear" w:color="auto" w:fill="auto"/>
          </w:tcPr>
          <w:p w14:paraId="00A197AA" w14:textId="2D5974F4" w:rsidR="00CB1CEB" w:rsidRPr="00314577" w:rsidRDefault="00CB1CEB" w:rsidP="005B4791">
            <w:pPr>
              <w:numPr>
                <w:ilvl w:val="0"/>
                <w:numId w:val="37"/>
              </w:numPr>
              <w:spacing w:before="120" w:after="6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b/>
                <w:bCs/>
                <w:iCs/>
                <w:sz w:val="20"/>
                <w:szCs w:val="20"/>
                <w:lang w:val="pl-PL"/>
              </w:rPr>
              <w:t>Kryteria</w:t>
            </w:r>
            <w:r w:rsidR="005B4791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bCs/>
                <w:iCs/>
                <w:sz w:val="20"/>
                <w:szCs w:val="20"/>
                <w:lang w:val="pl-PL"/>
              </w:rPr>
              <w:t>kwalifikacji</w:t>
            </w:r>
            <w:r w:rsidR="005B4791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bCs/>
                <w:iCs/>
                <w:sz w:val="20"/>
                <w:szCs w:val="20"/>
                <w:lang w:val="pl-PL"/>
              </w:rPr>
              <w:t>do</w:t>
            </w:r>
            <w:r w:rsidR="005B4791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bCs/>
                <w:iCs/>
                <w:sz w:val="20"/>
                <w:szCs w:val="20"/>
                <w:lang w:val="pl-PL"/>
              </w:rPr>
              <w:t>leczenia</w:t>
            </w:r>
            <w:r w:rsidR="005B4791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bCs/>
                <w:iCs/>
                <w:sz w:val="20"/>
                <w:szCs w:val="20"/>
                <w:lang w:val="pl-PL"/>
              </w:rPr>
              <w:t>w</w:t>
            </w:r>
            <w:r w:rsidR="005B4791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bCs/>
                <w:iCs/>
                <w:sz w:val="20"/>
                <w:szCs w:val="20"/>
                <w:lang w:val="pl-PL"/>
              </w:rPr>
              <w:t>programie</w:t>
            </w:r>
          </w:p>
          <w:p w14:paraId="5243F414" w14:textId="2E5DE46D" w:rsidR="00CB1CEB" w:rsidRPr="000C3FDE" w:rsidRDefault="00CB1CEB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0C3FDE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infliksymabem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wedolizumabem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 w:rsidRPr="000C3FDE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 w:rsidRPr="000C3FDE">
              <w:rPr>
                <w:sz w:val="20"/>
                <w:szCs w:val="20"/>
                <w:lang w:val="pl-PL"/>
              </w:rPr>
              <w:t>tofacytynibem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mogą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zostać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włączeni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pacjenci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spełniający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3612DC" w:rsidRPr="000C3FDE">
              <w:rPr>
                <w:sz w:val="20"/>
                <w:szCs w:val="20"/>
                <w:lang w:val="pl-PL"/>
              </w:rPr>
              <w:t>łącznie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0C3FDE">
              <w:rPr>
                <w:sz w:val="20"/>
                <w:szCs w:val="20"/>
                <w:lang w:val="pl-PL"/>
              </w:rPr>
              <w:t>kryteria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0C3FDE">
              <w:rPr>
                <w:sz w:val="20"/>
                <w:szCs w:val="20"/>
                <w:lang w:val="pl-PL"/>
              </w:rPr>
              <w:t>wskazane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0C3FDE">
              <w:rPr>
                <w:sz w:val="20"/>
                <w:szCs w:val="20"/>
                <w:lang w:val="pl-PL"/>
              </w:rPr>
              <w:t>punktach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0C3FDE">
              <w:rPr>
                <w:sz w:val="20"/>
                <w:szCs w:val="20"/>
                <w:lang w:val="pl-PL"/>
              </w:rPr>
              <w:t>1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0C3FDE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0C3FDE">
              <w:rPr>
                <w:sz w:val="20"/>
                <w:szCs w:val="20"/>
                <w:lang w:val="pl-PL"/>
              </w:rPr>
              <w:t>2.</w:t>
            </w:r>
          </w:p>
          <w:p w14:paraId="13F77A43" w14:textId="629F912E" w:rsidR="00CB1CEB" w:rsidRPr="00314577" w:rsidRDefault="00CB1CEB" w:rsidP="000C3FDE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Wiek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od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6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roku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życia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przypadku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infliksymabu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wiek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od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18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roku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życia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przypadku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wedolizumabu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tofacytynibu.</w:t>
            </w:r>
          </w:p>
          <w:p w14:paraId="181A16DD" w14:textId="06B26EE4" w:rsidR="00225ABE" w:rsidRPr="00314577" w:rsidRDefault="00FA4A72" w:rsidP="000C3FDE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Pacjenci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rozpoznaną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ciężką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postacią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wrzodziejącego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zapalenia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jelita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grubego,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których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cyklosporyną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jest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niewskazane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przeciwwskazane:</w:t>
            </w:r>
          </w:p>
          <w:p w14:paraId="3BEBCA71" w14:textId="4EF32FA6" w:rsidR="00225ABE" w:rsidRPr="00314577" w:rsidRDefault="00CB1CEB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niedostateczną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odpowiedzią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standardowe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leczenie,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tym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kortykosteroidami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6‐merkaptopury</w:t>
            </w:r>
            <w:r w:rsidR="00FA4A72" w:rsidRPr="00314577">
              <w:rPr>
                <w:sz w:val="20"/>
                <w:szCs w:val="20"/>
                <w:lang w:val="pl-PL"/>
              </w:rPr>
              <w:t>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314577">
              <w:rPr>
                <w:sz w:val="20"/>
                <w:szCs w:val="20"/>
                <w:lang w:val="pl-PL"/>
              </w:rPr>
              <w:t>(6‐MP)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314577">
              <w:rPr>
                <w:sz w:val="20"/>
                <w:szCs w:val="20"/>
                <w:lang w:val="pl-PL"/>
              </w:rPr>
              <w:t>azatiopryną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FA4A72" w:rsidRPr="00314577">
              <w:rPr>
                <w:sz w:val="20"/>
                <w:szCs w:val="20"/>
                <w:lang w:val="pl-PL"/>
              </w:rPr>
              <w:t>(AZA)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(ocena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&gt;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6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punktów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skali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Mayo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osób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wieku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≥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18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r.ż.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ocena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≥65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punktów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skali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PUCA</w:t>
            </w:r>
            <w:r w:rsidR="006838F6" w:rsidRPr="00314577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osób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wieku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&lt;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18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r.ż.),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lub</w:t>
            </w:r>
          </w:p>
          <w:p w14:paraId="5FC226B1" w14:textId="2FEAD3ED" w:rsidR="00225ABE" w:rsidRPr="00314577" w:rsidRDefault="00CB1CEB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nietolerujący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kortykosteroidami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6‐merkaptopuryną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(</w:t>
            </w:r>
            <w:r w:rsidR="006838F6" w:rsidRPr="00314577">
              <w:rPr>
                <w:sz w:val="20"/>
                <w:szCs w:val="20"/>
                <w:lang w:val="pl-PL"/>
              </w:rPr>
              <w:t>6‐MP)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azatiopryną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(AZA),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6838F6" w:rsidRPr="00314577">
              <w:rPr>
                <w:sz w:val="20"/>
                <w:szCs w:val="20"/>
                <w:lang w:val="pl-PL"/>
              </w:rPr>
              <w:t>lub</w:t>
            </w:r>
          </w:p>
          <w:p w14:paraId="365345BE" w14:textId="3E24D21E" w:rsidR="00225ABE" w:rsidRPr="00314577" w:rsidRDefault="00CB1CEB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mający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przeciwwskazania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kortykosteroidami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6‐merkaptopuryną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(6‐MP)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azatiopryną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(AZA);</w:t>
            </w:r>
          </w:p>
          <w:p w14:paraId="33A76403" w14:textId="1B9315D5" w:rsidR="00225ABE" w:rsidRPr="00314577" w:rsidRDefault="00225ABE" w:rsidP="000C3FDE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programu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kwalifikowani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również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pacjenci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wymagający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kontynuacji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infliks</w:t>
            </w:r>
            <w:r w:rsidR="005B4791">
              <w:rPr>
                <w:sz w:val="20"/>
                <w:szCs w:val="20"/>
                <w:lang w:val="pl-PL"/>
              </w:rPr>
              <w:t>y</w:t>
            </w:r>
            <w:r w:rsidRPr="00314577">
              <w:rPr>
                <w:sz w:val="20"/>
                <w:szCs w:val="20"/>
                <w:lang w:val="pl-PL"/>
              </w:rPr>
              <w:t>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wedolizumabem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tofacytynibem</w:t>
            </w:r>
            <w:r w:rsidRPr="00314577">
              <w:rPr>
                <w:sz w:val="20"/>
                <w:szCs w:val="20"/>
                <w:lang w:val="pl-PL"/>
              </w:rPr>
              <w:t>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dotychczasowe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infliks</w:t>
            </w:r>
            <w:r w:rsidR="005B4791">
              <w:rPr>
                <w:sz w:val="20"/>
                <w:szCs w:val="20"/>
                <w:lang w:val="pl-PL"/>
              </w:rPr>
              <w:t>y</w:t>
            </w:r>
            <w:r w:rsidRPr="00314577">
              <w:rPr>
                <w:sz w:val="20"/>
                <w:szCs w:val="20"/>
                <w:lang w:val="pl-PL"/>
              </w:rPr>
              <w:t>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wedolizumabem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tofacytynibem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było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finansowane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ramach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hospitalizacji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według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jednorodnych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grup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pacjentów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(JGP)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pod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warunkiem,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że: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</w:p>
          <w:p w14:paraId="37B4A6B3" w14:textId="72CEB0CA" w:rsidR="00225ABE" w:rsidRPr="00314577" w:rsidRDefault="00225ABE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przed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rozpoczęciem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terapii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spełniali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kryteria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włączenia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programu,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</w:p>
          <w:p w14:paraId="286BF22D" w14:textId="0371739D" w:rsidR="00225ABE" w:rsidRPr="00314577" w:rsidRDefault="00225ABE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lastRenderedPageBreak/>
              <w:t>łączny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czas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terapii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infliks</w:t>
            </w:r>
            <w:r w:rsidR="005B4791">
              <w:rPr>
                <w:sz w:val="20"/>
                <w:szCs w:val="20"/>
                <w:lang w:val="pl-PL"/>
              </w:rPr>
              <w:t>y</w:t>
            </w:r>
            <w:r w:rsidRPr="00314577">
              <w:rPr>
                <w:sz w:val="20"/>
                <w:szCs w:val="20"/>
                <w:lang w:val="pl-PL"/>
              </w:rPr>
              <w:t>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/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wedolizumabem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/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tofacytynibem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jest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dłuższy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od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łącznego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czasu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terapii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indukcyjnej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podtrzymującej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określonego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poniżej,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</w:p>
          <w:p w14:paraId="50367752" w14:textId="20A28044" w:rsidR="00225ABE" w:rsidRPr="00314577" w:rsidRDefault="00225ABE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zachodzą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kryteria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stanowiące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przeciwwskazania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udziału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programie,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</w:p>
          <w:p w14:paraId="548C6FDC" w14:textId="499B8195" w:rsidR="000F7C4F" w:rsidRPr="00314577" w:rsidRDefault="00225ABE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zachodzą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okoliczności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których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mowa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punkcie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dotyczącym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zakończenia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gdy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kończy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się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udział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pacjenta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programie.</w:t>
            </w:r>
          </w:p>
          <w:p w14:paraId="2AAC3A6B" w14:textId="5093433B" w:rsidR="003612DC" w:rsidRPr="00314577" w:rsidRDefault="003612DC" w:rsidP="000C3FDE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Dopuszcza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się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zamianę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leków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infliksymab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0F7C4F" w:rsidRPr="00314577">
              <w:rPr>
                <w:sz w:val="20"/>
                <w:szCs w:val="20"/>
                <w:lang w:val="pl-PL"/>
              </w:rPr>
              <w:t>wedolizumab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E29BE">
              <w:rPr>
                <w:sz w:val="20"/>
                <w:szCs w:val="20"/>
                <w:lang w:val="pl-PL"/>
              </w:rPr>
              <w:t>tofacytynib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0F7C4F"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przypadku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wystąpienia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objawów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niepożądanych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częściowej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nieskuteczności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terapii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definiowanej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jako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wystąpienie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jednego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kryteriów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wymienionych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punkcie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4.</w:t>
            </w:r>
          </w:p>
          <w:p w14:paraId="2C49D923" w14:textId="070EF6A2" w:rsidR="003612DC" w:rsidRPr="000C3FDE" w:rsidRDefault="003612DC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0C3FDE">
              <w:rPr>
                <w:sz w:val="20"/>
                <w:szCs w:val="20"/>
                <w:lang w:val="pl-PL"/>
              </w:rPr>
              <w:t>Nieskuteczność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standardowego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ciężkiego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rzutu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WZJG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określa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się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jako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niepowodzenie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zastosowania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3-5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dni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terapii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steroidami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dożylnymi.</w:t>
            </w:r>
          </w:p>
          <w:p w14:paraId="281BEB62" w14:textId="52B34BF9" w:rsidR="003612DC" w:rsidRPr="000C3FDE" w:rsidRDefault="003612DC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0C3FDE">
              <w:rPr>
                <w:sz w:val="20"/>
                <w:szCs w:val="20"/>
                <w:lang w:val="pl-PL"/>
              </w:rPr>
              <w:t>Steroidooporność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oznacza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brak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poprawy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klinicznej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pomimo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zastosowania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przez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4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tygodnie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steroidu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dawce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dobowej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0,75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mg/kg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m.c.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przeliczeniu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prednizolon.</w:t>
            </w:r>
          </w:p>
          <w:p w14:paraId="5221D602" w14:textId="7F398C67" w:rsidR="003612DC" w:rsidRPr="000C3FDE" w:rsidRDefault="003612DC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0C3FDE">
              <w:rPr>
                <w:sz w:val="20"/>
                <w:szCs w:val="20"/>
                <w:lang w:val="pl-PL"/>
              </w:rPr>
              <w:t>Steroidozależność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to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brak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możliwości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redukcji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dawki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steroidów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poniżej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10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mg/dobę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przeliczeniu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prednizolon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wciągu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3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miesięcy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od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rozpoczęcia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steroidoterapii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nawrót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dolegliwości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ciągu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3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miesięcy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od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odstawienia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steroidów.</w:t>
            </w:r>
          </w:p>
          <w:p w14:paraId="771BE889" w14:textId="7DF14611" w:rsidR="003612DC" w:rsidRPr="000C3FDE" w:rsidRDefault="003612DC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0C3FDE">
              <w:rPr>
                <w:sz w:val="20"/>
                <w:szCs w:val="20"/>
                <w:lang w:val="pl-PL"/>
              </w:rPr>
              <w:t>Oporność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leczenie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immunosupresyjne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(brak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dostatecznej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odpowiedzi)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oznacza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brak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remisji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nawrót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dolegliwości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pomimo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stosowania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immunosupresyjnego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przez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co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najmniej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3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miesiące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odpowiednich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dawkach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(azatiopryna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2-2,5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mg/kg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m.c./dobę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6-merkaptopuryna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dawce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1-1,5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mg/kg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m.c./dobę).</w:t>
            </w:r>
          </w:p>
          <w:p w14:paraId="04B4B97F" w14:textId="76E7BD2C" w:rsidR="003612DC" w:rsidRPr="000C3FDE" w:rsidRDefault="003612DC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0C3FDE">
              <w:rPr>
                <w:sz w:val="20"/>
                <w:szCs w:val="20"/>
                <w:lang w:val="pl-PL"/>
              </w:rPr>
              <w:t>Leczenie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cyklosporyną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jest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niewskazane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przypadku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wystąpienia:</w:t>
            </w:r>
          </w:p>
          <w:p w14:paraId="243CFC01" w14:textId="5064AD05" w:rsidR="003612DC" w:rsidRPr="00314577" w:rsidRDefault="003612DC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ciężkiego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rzutu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WZJG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trakcie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azatiopryną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(AZA)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6-merkaptopuryną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(6-MP)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</w:p>
          <w:p w14:paraId="529C750C" w14:textId="7D3D5E69" w:rsidR="003612DC" w:rsidRPr="00314577" w:rsidRDefault="003612DC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hypomagnezemii,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</w:p>
          <w:p w14:paraId="57434086" w14:textId="645422F9" w:rsidR="003612DC" w:rsidRPr="00314577" w:rsidRDefault="003612DC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potencjalnych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interakcji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lekowych,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</w:p>
          <w:p w14:paraId="4A0F357D" w14:textId="304BA28F" w:rsidR="003612DC" w:rsidRPr="00314577" w:rsidRDefault="003612DC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hiperkaliemii,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</w:p>
          <w:p w14:paraId="4483C9F6" w14:textId="7421D67F" w:rsidR="003612DC" w:rsidRPr="00314577" w:rsidRDefault="003612DC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hyperurikemii,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</w:p>
          <w:p w14:paraId="0EE7BC22" w14:textId="6F2E38D8" w:rsidR="003612DC" w:rsidRPr="00314577" w:rsidRDefault="003612DC" w:rsidP="000C3FDE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lastRenderedPageBreak/>
              <w:t>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pacjentów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wieku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powyżej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80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roku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życia.</w:t>
            </w:r>
          </w:p>
          <w:p w14:paraId="6B292F0E" w14:textId="52A757DC" w:rsidR="003612DC" w:rsidRPr="000C3FDE" w:rsidRDefault="003612DC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0C3FDE">
              <w:rPr>
                <w:sz w:val="20"/>
                <w:szCs w:val="20"/>
                <w:lang w:val="pl-PL"/>
              </w:rPr>
              <w:t>Przeciwwskazania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zastosowania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terapii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cyklosporyną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zgodne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CHPL:</w:t>
            </w:r>
          </w:p>
          <w:p w14:paraId="25FF0999" w14:textId="01BDB48E" w:rsidR="003612DC" w:rsidRPr="00314577" w:rsidRDefault="003612DC" w:rsidP="000C3FDE">
            <w:pPr>
              <w:pStyle w:val="Akapitzlist"/>
              <w:numPr>
                <w:ilvl w:val="3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zaburzenia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czynności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nerek,</w:t>
            </w:r>
          </w:p>
          <w:p w14:paraId="4420006F" w14:textId="4C4D25EB" w:rsidR="003612DC" w:rsidRPr="00314577" w:rsidRDefault="003612DC" w:rsidP="000C3FDE">
            <w:pPr>
              <w:pStyle w:val="Akapitzlist"/>
              <w:numPr>
                <w:ilvl w:val="3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niekontrolowane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nadciśnienie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tętnicze,</w:t>
            </w:r>
          </w:p>
          <w:p w14:paraId="1ABD719A" w14:textId="1D181421" w:rsidR="003612DC" w:rsidRPr="00314577" w:rsidRDefault="003612DC" w:rsidP="000C3FDE">
            <w:pPr>
              <w:pStyle w:val="Akapitzlist"/>
              <w:numPr>
                <w:ilvl w:val="3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trudne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opanowania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zakażenia,</w:t>
            </w:r>
          </w:p>
          <w:p w14:paraId="70BBDB29" w14:textId="1C9F8A27" w:rsidR="003612DC" w:rsidRPr="00314577" w:rsidRDefault="003612DC" w:rsidP="000C3FDE">
            <w:pPr>
              <w:pStyle w:val="Akapitzlist"/>
              <w:numPr>
                <w:ilvl w:val="3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nowotwory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złośliwe.</w:t>
            </w:r>
          </w:p>
          <w:p w14:paraId="022823E7" w14:textId="4B0BBA82" w:rsidR="00AE29BE" w:rsidRPr="000C3FDE" w:rsidRDefault="003612DC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przypadku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kobiet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okresie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rozrodczym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konieczne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jest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wyrażenie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zgody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świadomą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kontrolę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urodzeń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trakcie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6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miesięcy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zastosowaniu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ostatniej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dawki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wedolizumabu.</w:t>
            </w:r>
          </w:p>
          <w:p w14:paraId="38133B09" w14:textId="7D399032" w:rsidR="00AE29BE" w:rsidRDefault="00AE29BE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przypadku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kobiet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okresie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rozrodczym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konieczne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jest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stosowanie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skutecznej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metody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antykoncepcji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trakcie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tofacytynibem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co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najmniej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przez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4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tygodnie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podaniu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ostatniej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0C3FDE">
              <w:rPr>
                <w:sz w:val="20"/>
                <w:szCs w:val="20"/>
                <w:lang w:val="pl-PL"/>
              </w:rPr>
              <w:t>dawki.</w:t>
            </w:r>
          </w:p>
          <w:p w14:paraId="18472F97" w14:textId="77777777" w:rsidR="000C3FDE" w:rsidRPr="000C3FDE" w:rsidRDefault="000C3FDE" w:rsidP="000C3FDE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</w:p>
          <w:p w14:paraId="62774BD4" w14:textId="6D0A3F26" w:rsidR="002A5345" w:rsidRPr="00314577" w:rsidRDefault="002A5345" w:rsidP="000C3FDE">
            <w:pPr>
              <w:numPr>
                <w:ilvl w:val="0"/>
                <w:numId w:val="38"/>
              </w:numPr>
              <w:spacing w:after="60"/>
              <w:jc w:val="both"/>
              <w:rPr>
                <w:b/>
                <w:sz w:val="20"/>
                <w:szCs w:val="20"/>
                <w:lang w:val="pl-PL"/>
              </w:rPr>
            </w:pPr>
            <w:r w:rsidRPr="00314577">
              <w:rPr>
                <w:b/>
                <w:sz w:val="20"/>
                <w:szCs w:val="20"/>
                <w:lang w:val="pl-PL"/>
              </w:rPr>
              <w:t>Kryteria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stanowiące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przeciwwskazania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do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udziału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w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programie</w:t>
            </w:r>
          </w:p>
          <w:p w14:paraId="15A4F409" w14:textId="51816D82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N</w:t>
            </w:r>
            <w:r w:rsidR="002A5345" w:rsidRPr="00314577">
              <w:rPr>
                <w:sz w:val="20"/>
                <w:szCs w:val="20"/>
                <w:lang w:val="pl-PL"/>
              </w:rPr>
              <w:t>adwrażliwość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substancję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czynną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substancje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pomocnicze;</w:t>
            </w:r>
          </w:p>
          <w:p w14:paraId="7432C5F2" w14:textId="6A6CD679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C</w:t>
            </w:r>
            <w:r w:rsidR="002A5345" w:rsidRPr="00314577">
              <w:rPr>
                <w:sz w:val="20"/>
                <w:szCs w:val="20"/>
                <w:lang w:val="pl-PL"/>
              </w:rPr>
              <w:t>iężkie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zakażenia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wirusowe,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grzybicze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bakteryjne;</w:t>
            </w:r>
          </w:p>
          <w:p w14:paraId="5AE0DC75" w14:textId="62E09215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U</w:t>
            </w:r>
            <w:r w:rsidR="002A5345" w:rsidRPr="00314577">
              <w:rPr>
                <w:sz w:val="20"/>
                <w:szCs w:val="20"/>
                <w:lang w:val="pl-PL"/>
              </w:rPr>
              <w:t>miarkowana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ciężka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niewydolność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mięśnia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sercowego;</w:t>
            </w:r>
          </w:p>
          <w:p w14:paraId="7F7664F8" w14:textId="4A9A316F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N</w:t>
            </w:r>
            <w:r w:rsidR="002A5345" w:rsidRPr="00314577">
              <w:rPr>
                <w:sz w:val="20"/>
                <w:szCs w:val="20"/>
                <w:lang w:val="pl-PL"/>
              </w:rPr>
              <w:t>iestabilna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choroba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wieńcowa;</w:t>
            </w:r>
          </w:p>
          <w:p w14:paraId="7C0C7095" w14:textId="447799CA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P</w:t>
            </w:r>
            <w:r w:rsidR="002A5345" w:rsidRPr="00314577">
              <w:rPr>
                <w:sz w:val="20"/>
                <w:szCs w:val="20"/>
                <w:lang w:val="pl-PL"/>
              </w:rPr>
              <w:t>rzewlekła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niewydolność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oddechowa;</w:t>
            </w:r>
          </w:p>
          <w:p w14:paraId="0447F2F4" w14:textId="4B6FC3D9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P</w:t>
            </w:r>
            <w:r w:rsidR="002A5345" w:rsidRPr="00314577">
              <w:rPr>
                <w:sz w:val="20"/>
                <w:szCs w:val="20"/>
                <w:lang w:val="pl-PL"/>
              </w:rPr>
              <w:t>rzewlekła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niewydolność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nerek;</w:t>
            </w:r>
          </w:p>
          <w:p w14:paraId="574020A1" w14:textId="40735701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P</w:t>
            </w:r>
            <w:r w:rsidR="002A5345" w:rsidRPr="00314577">
              <w:rPr>
                <w:sz w:val="20"/>
                <w:szCs w:val="20"/>
                <w:lang w:val="pl-PL"/>
              </w:rPr>
              <w:t>rzewlekła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niewydolność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wątroby;</w:t>
            </w:r>
          </w:p>
          <w:p w14:paraId="52309DD9" w14:textId="26A11F7F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Z</w:t>
            </w:r>
            <w:r w:rsidR="002A5345" w:rsidRPr="00314577">
              <w:rPr>
                <w:sz w:val="20"/>
                <w:szCs w:val="20"/>
                <w:lang w:val="pl-PL"/>
              </w:rPr>
              <w:t>espół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demielinizacyjny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objawy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przypominające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ten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zespół;</w:t>
            </w:r>
          </w:p>
          <w:p w14:paraId="2E24741C" w14:textId="158BD77C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C</w:t>
            </w:r>
            <w:r w:rsidR="002A5345" w:rsidRPr="00314577">
              <w:rPr>
                <w:sz w:val="20"/>
                <w:szCs w:val="20"/>
                <w:lang w:val="pl-PL"/>
              </w:rPr>
              <w:t>horoba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alkoholowa,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poalkoholowe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uszkodzenie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wątroby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każda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czynna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postępująca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choroba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wątroby;</w:t>
            </w:r>
          </w:p>
          <w:p w14:paraId="47872DB0" w14:textId="3178453B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C</w:t>
            </w:r>
            <w:r w:rsidR="002A5345" w:rsidRPr="00314577">
              <w:rPr>
                <w:sz w:val="20"/>
                <w:szCs w:val="20"/>
                <w:lang w:val="pl-PL"/>
              </w:rPr>
              <w:t>iąża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karmienie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piersią;</w:t>
            </w:r>
          </w:p>
          <w:p w14:paraId="27F098C6" w14:textId="50C4C09F" w:rsidR="002A5345" w:rsidRPr="00314577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R</w:t>
            </w:r>
            <w:r w:rsidR="002A5345" w:rsidRPr="00314577">
              <w:rPr>
                <w:sz w:val="20"/>
                <w:szCs w:val="20"/>
                <w:lang w:val="pl-PL"/>
              </w:rPr>
              <w:t>ozpoznanie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stanów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przednowotworowych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nowotworów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złośliwych,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również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okresie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5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lat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poprzedzających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moment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kwalifikowania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programu;</w:t>
            </w:r>
          </w:p>
          <w:p w14:paraId="5421A39E" w14:textId="36164C88" w:rsidR="002A5345" w:rsidRDefault="00FD5BD6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P</w:t>
            </w:r>
            <w:r w:rsidR="002A5345" w:rsidRPr="00314577">
              <w:rPr>
                <w:sz w:val="20"/>
                <w:szCs w:val="20"/>
                <w:lang w:val="pl-PL"/>
              </w:rPr>
              <w:t>owikłania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wymagające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innego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postępowania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(np.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operacyjnego).</w:t>
            </w:r>
          </w:p>
          <w:p w14:paraId="4D3C7D00" w14:textId="32217734" w:rsidR="0078324A" w:rsidRDefault="0078324A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Stężenie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hemoglobiny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poniżej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9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g/dl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–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dotyczy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stosowania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tofacytynibu.</w:t>
            </w:r>
          </w:p>
          <w:p w14:paraId="54EB2957" w14:textId="77777777" w:rsidR="000C3FDE" w:rsidRPr="00314577" w:rsidRDefault="000C3FDE" w:rsidP="000C3FDE">
            <w:pPr>
              <w:pStyle w:val="Akapitzlist"/>
              <w:spacing w:after="60"/>
              <w:ind w:left="397"/>
              <w:contextualSpacing w:val="0"/>
              <w:jc w:val="both"/>
              <w:rPr>
                <w:sz w:val="20"/>
                <w:szCs w:val="20"/>
                <w:lang w:val="pl-PL"/>
              </w:rPr>
            </w:pPr>
          </w:p>
          <w:p w14:paraId="298ECD60" w14:textId="71D8F734" w:rsidR="0041605B" w:rsidRPr="00314577" w:rsidRDefault="0041605B" w:rsidP="000C3FDE">
            <w:pPr>
              <w:numPr>
                <w:ilvl w:val="0"/>
                <w:numId w:val="38"/>
              </w:numPr>
              <w:spacing w:after="60"/>
              <w:jc w:val="both"/>
              <w:rPr>
                <w:b/>
                <w:sz w:val="20"/>
                <w:szCs w:val="20"/>
                <w:lang w:val="pl-PL"/>
              </w:rPr>
            </w:pPr>
            <w:r w:rsidRPr="00314577">
              <w:rPr>
                <w:b/>
                <w:sz w:val="20"/>
                <w:szCs w:val="20"/>
                <w:lang w:val="pl-PL"/>
              </w:rPr>
              <w:t>Określenie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czasu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leczenia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w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programie</w:t>
            </w:r>
          </w:p>
          <w:p w14:paraId="6669A1B5" w14:textId="3D072801" w:rsidR="0041605B" w:rsidRPr="00314577" w:rsidRDefault="0041605B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b/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T</w:t>
            </w:r>
            <w:r w:rsidR="002A5345" w:rsidRPr="00314577">
              <w:rPr>
                <w:sz w:val="20"/>
                <w:szCs w:val="20"/>
                <w:lang w:val="pl-PL"/>
              </w:rPr>
              <w:t>erapia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indu</w:t>
            </w:r>
            <w:r w:rsidRPr="00314577">
              <w:rPr>
                <w:sz w:val="20"/>
                <w:szCs w:val="20"/>
                <w:lang w:val="pl-PL"/>
              </w:rPr>
              <w:t>kcyjna: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infuzja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infliksymabu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wedolizumabu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0,2,6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tygodni</w:t>
            </w:r>
            <w:r w:rsidR="00AB6583">
              <w:rPr>
                <w:sz w:val="20"/>
                <w:szCs w:val="20"/>
                <w:lang w:val="pl-PL"/>
              </w:rPr>
              <w:t>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doustne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podanie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tofacytynibu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2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razy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dziennie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przez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8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tygodni.</w:t>
            </w:r>
          </w:p>
          <w:p w14:paraId="7D6D81AE" w14:textId="6600986A" w:rsidR="0041605B" w:rsidRPr="00314577" w:rsidRDefault="0041605B" w:rsidP="000C3FDE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b/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L</w:t>
            </w:r>
            <w:r w:rsidR="002A5345" w:rsidRPr="00314577">
              <w:rPr>
                <w:sz w:val="20"/>
                <w:szCs w:val="20"/>
                <w:lang w:val="pl-PL"/>
              </w:rPr>
              <w:t>ecze</w:t>
            </w:r>
            <w:r w:rsidRPr="00314577">
              <w:rPr>
                <w:sz w:val="20"/>
                <w:szCs w:val="20"/>
                <w:lang w:val="pl-PL"/>
              </w:rPr>
              <w:t>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podtrzymujące: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infliksymabem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wedolizumabem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AB6583">
              <w:rPr>
                <w:sz w:val="20"/>
                <w:szCs w:val="20"/>
                <w:lang w:val="pl-PL"/>
              </w:rPr>
              <w:t>tofacytynibem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powinno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trwać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aż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do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momentu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stwierdzenia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braku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odpowiedzi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leczenie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jednakże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dłużej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niż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12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miesięcy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przypadku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infliksymabu</w:t>
            </w:r>
            <w:r w:rsidR="00AB6583">
              <w:rPr>
                <w:sz w:val="20"/>
                <w:szCs w:val="20"/>
                <w:lang w:val="pl-PL"/>
              </w:rPr>
              <w:t>/tofacytynibu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oraz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54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tygodni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przypadku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wedolizumabu,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od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momentu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podania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pierwszej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dawki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terapii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indukcyjnej.</w:t>
            </w:r>
          </w:p>
          <w:p w14:paraId="6D14E3BF" w14:textId="6EC9A6B5" w:rsidR="002A5345" w:rsidRDefault="002A5345" w:rsidP="008B68D6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8B68D6">
              <w:rPr>
                <w:sz w:val="20"/>
                <w:szCs w:val="20"/>
                <w:lang w:val="pl-PL"/>
              </w:rPr>
              <w:t>Odpowiedź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definiowana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jest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jako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zmniejszenie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aktywności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choroby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co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41605B" w:rsidRPr="008B68D6">
              <w:rPr>
                <w:sz w:val="20"/>
                <w:szCs w:val="20"/>
                <w:lang w:val="pl-PL"/>
              </w:rPr>
              <w:t>najmniej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41605B" w:rsidRPr="008B68D6">
              <w:rPr>
                <w:sz w:val="20"/>
                <w:szCs w:val="20"/>
                <w:lang w:val="pl-PL"/>
              </w:rPr>
              <w:t>3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41605B" w:rsidRPr="008B68D6">
              <w:rPr>
                <w:sz w:val="20"/>
                <w:szCs w:val="20"/>
                <w:lang w:val="pl-PL"/>
              </w:rPr>
              <w:t>punkty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41605B" w:rsidRPr="008B68D6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41605B" w:rsidRPr="008B68D6">
              <w:rPr>
                <w:sz w:val="20"/>
                <w:szCs w:val="20"/>
                <w:lang w:val="pl-PL"/>
              </w:rPr>
              <w:t>skali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41605B" w:rsidRPr="008B68D6">
              <w:rPr>
                <w:sz w:val="20"/>
                <w:szCs w:val="20"/>
                <w:lang w:val="pl-PL"/>
              </w:rPr>
              <w:t>Mayo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co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najmniej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20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punktów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skali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PUCAI</w:t>
            </w:r>
            <w:r w:rsidR="008B68D6">
              <w:rPr>
                <w:sz w:val="20"/>
                <w:szCs w:val="20"/>
                <w:lang w:val="pl-PL"/>
              </w:rPr>
              <w:t>.</w:t>
            </w:r>
          </w:p>
          <w:p w14:paraId="2AA8E37E" w14:textId="77777777" w:rsidR="008B68D6" w:rsidRPr="008B68D6" w:rsidRDefault="008B68D6" w:rsidP="008B68D6">
            <w:pPr>
              <w:spacing w:after="60"/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55721A2F" w14:textId="3871A49D" w:rsidR="0041605B" w:rsidRPr="00314577" w:rsidRDefault="0041605B" w:rsidP="000C3FDE">
            <w:pPr>
              <w:numPr>
                <w:ilvl w:val="0"/>
                <w:numId w:val="38"/>
              </w:numPr>
              <w:spacing w:after="60"/>
              <w:jc w:val="both"/>
              <w:rPr>
                <w:b/>
                <w:sz w:val="20"/>
                <w:szCs w:val="20"/>
                <w:lang w:val="pl-PL"/>
              </w:rPr>
            </w:pPr>
            <w:r w:rsidRPr="00314577">
              <w:rPr>
                <w:b/>
                <w:sz w:val="20"/>
                <w:szCs w:val="20"/>
                <w:lang w:val="pl-PL"/>
              </w:rPr>
              <w:t>Zakończenie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leczenia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w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b/>
                <w:sz w:val="20"/>
                <w:szCs w:val="20"/>
                <w:lang w:val="pl-PL"/>
              </w:rPr>
              <w:t>programie</w:t>
            </w:r>
          </w:p>
          <w:p w14:paraId="15636A66" w14:textId="1682B67B" w:rsidR="0041605B" w:rsidRPr="008B68D6" w:rsidRDefault="0041605B" w:rsidP="008B68D6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8B68D6">
              <w:rPr>
                <w:color w:val="000000"/>
                <w:sz w:val="20"/>
                <w:szCs w:val="20"/>
                <w:lang w:val="pl-PL"/>
              </w:rPr>
              <w:t>Zakończenie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powinno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nastąpić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przypadku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spełnienia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przynajmniej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jednego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kryteriów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określonych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pkt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1-3.</w:t>
            </w:r>
          </w:p>
          <w:p w14:paraId="21F57F0F" w14:textId="67A1ECD5" w:rsidR="0041605B" w:rsidRPr="00314577" w:rsidRDefault="0041605B" w:rsidP="008B68D6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S</w:t>
            </w:r>
            <w:r w:rsidR="002A5345" w:rsidRPr="00314577">
              <w:rPr>
                <w:sz w:val="20"/>
                <w:szCs w:val="20"/>
                <w:lang w:val="pl-PL"/>
              </w:rPr>
              <w:t>twierdzenia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b</w:t>
            </w:r>
            <w:r w:rsidRPr="00314577">
              <w:rPr>
                <w:sz w:val="20"/>
                <w:szCs w:val="20"/>
                <w:lang w:val="pl-PL"/>
              </w:rPr>
              <w:t>raku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odpowiedzi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defi</w:t>
            </w:r>
            <w:r w:rsidR="002A5345" w:rsidRPr="00314577">
              <w:rPr>
                <w:sz w:val="20"/>
                <w:szCs w:val="20"/>
                <w:lang w:val="pl-PL"/>
              </w:rPr>
              <w:t>niowanej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jako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zmniejszenie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aktywności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choroby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co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najmniej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3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punkty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skali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Mayo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albo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co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najmni</w:t>
            </w:r>
            <w:r w:rsidRPr="00314577">
              <w:rPr>
                <w:sz w:val="20"/>
                <w:szCs w:val="20"/>
                <w:lang w:val="pl-PL"/>
              </w:rPr>
              <w:t>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20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punktów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skali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PUCAI;</w:t>
            </w:r>
          </w:p>
          <w:p w14:paraId="6218182C" w14:textId="5652723E" w:rsidR="0041605B" w:rsidRPr="00314577" w:rsidRDefault="0041605B" w:rsidP="008B68D6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Wystąpienie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działań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niepożądanych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leczenia;</w:t>
            </w:r>
          </w:p>
          <w:p w14:paraId="156F7321" w14:textId="3A9DF293" w:rsidR="002A5345" w:rsidRDefault="0041605B" w:rsidP="008B68D6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314577">
              <w:rPr>
                <w:sz w:val="20"/>
                <w:szCs w:val="20"/>
                <w:lang w:val="pl-PL"/>
              </w:rPr>
              <w:t>Wystąpienie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powikłań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5345" w:rsidRPr="00314577">
              <w:rPr>
                <w:sz w:val="20"/>
                <w:szCs w:val="20"/>
                <w:lang w:val="pl-PL"/>
              </w:rPr>
              <w:t>wymagającyc</w:t>
            </w:r>
            <w:r w:rsidRPr="00314577">
              <w:rPr>
                <w:sz w:val="20"/>
                <w:szCs w:val="20"/>
                <w:lang w:val="pl-PL"/>
              </w:rPr>
              <w:t>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innego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specyficznego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314577">
              <w:rPr>
                <w:sz w:val="20"/>
                <w:szCs w:val="20"/>
                <w:lang w:val="pl-PL"/>
              </w:rPr>
              <w:t>leczenia</w:t>
            </w:r>
            <w:r w:rsidR="008B68D6">
              <w:rPr>
                <w:sz w:val="20"/>
                <w:szCs w:val="20"/>
                <w:lang w:val="pl-PL"/>
              </w:rPr>
              <w:t>.</w:t>
            </w:r>
          </w:p>
          <w:p w14:paraId="516432E4" w14:textId="72F0A824" w:rsidR="008B68D6" w:rsidRPr="0041605B" w:rsidRDefault="008B68D6" w:rsidP="008B68D6">
            <w:pPr>
              <w:pStyle w:val="Akapitzlist"/>
              <w:spacing w:after="60"/>
              <w:ind w:left="397"/>
              <w:contextualSpacing w:val="0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197" w:type="pct"/>
            <w:shd w:val="clear" w:color="auto" w:fill="auto"/>
          </w:tcPr>
          <w:p w14:paraId="0C0125AE" w14:textId="5547AA83" w:rsidR="007B1A1F" w:rsidRDefault="007B1A1F" w:rsidP="00257177">
            <w:pPr>
              <w:numPr>
                <w:ilvl w:val="0"/>
                <w:numId w:val="39"/>
              </w:numPr>
              <w:spacing w:before="120" w:after="60"/>
              <w:jc w:val="both"/>
              <w:rPr>
                <w:sz w:val="20"/>
                <w:szCs w:val="20"/>
              </w:rPr>
            </w:pPr>
            <w:r w:rsidRPr="00BD4D0E">
              <w:rPr>
                <w:b/>
                <w:bCs/>
                <w:iCs/>
                <w:sz w:val="20"/>
                <w:szCs w:val="20"/>
                <w:lang w:val="pl-PL"/>
              </w:rPr>
              <w:lastRenderedPageBreak/>
              <w:t>Dawkowanie</w:t>
            </w:r>
            <w:r w:rsidR="005B4791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  <w:lang w:val="pl-PL"/>
              </w:rPr>
              <w:t>infliksymabu</w:t>
            </w:r>
          </w:p>
          <w:p w14:paraId="230F3750" w14:textId="67556AC6" w:rsidR="007B1A1F" w:rsidRDefault="007B1A1F" w:rsidP="008B68D6">
            <w:pPr>
              <w:spacing w:after="60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Dawkowanie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infliksymabu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prowadzone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jest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zgodnie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z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dawkowaniem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określonym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Charakterystyce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Produktu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Leczniczego.</w:t>
            </w:r>
          </w:p>
          <w:p w14:paraId="4C3CE69E" w14:textId="77777777" w:rsidR="008B68D6" w:rsidRPr="008B68D6" w:rsidRDefault="008B68D6" w:rsidP="008B68D6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</w:p>
          <w:p w14:paraId="19C9CD42" w14:textId="15CBA745" w:rsidR="007B1A1F" w:rsidRDefault="007B1A1F" w:rsidP="008B68D6">
            <w:pPr>
              <w:framePr w:hSpace="181" w:wrap="around" w:vAnchor="text" w:hAnchor="margin" w:xAlign="center" w:y="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BD4D0E">
              <w:rPr>
                <w:b/>
                <w:bCs/>
                <w:color w:val="000000"/>
                <w:sz w:val="20"/>
                <w:szCs w:val="20"/>
                <w:lang w:val="pl-PL"/>
              </w:rPr>
              <w:t>Dawkowanie</w:t>
            </w:r>
            <w:r w:rsidR="005B4791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>wedolizumabu</w:t>
            </w:r>
          </w:p>
          <w:p w14:paraId="6DD4249B" w14:textId="28D6DEDB" w:rsidR="007B1A1F" w:rsidRDefault="007B1A1F" w:rsidP="008B68D6">
            <w:pPr>
              <w:framePr w:hSpace="181" w:wrap="around" w:vAnchor="text" w:hAnchor="margin" w:xAlign="center" w:y="1"/>
              <w:autoSpaceDE w:val="0"/>
              <w:autoSpaceDN w:val="0"/>
              <w:adjustRightInd w:val="0"/>
              <w:spacing w:after="60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Dawkowanie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wedolizumabu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prowadzone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jest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zgodnie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z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dawkowaniem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określonym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Charakterystyce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Produktu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Leczniczego.</w:t>
            </w:r>
          </w:p>
          <w:p w14:paraId="65A51627" w14:textId="77777777" w:rsidR="008B68D6" w:rsidRPr="008B68D6" w:rsidRDefault="008B68D6" w:rsidP="008B68D6">
            <w:pPr>
              <w:framePr w:hSpace="181" w:wrap="around" w:vAnchor="text" w:hAnchor="margin" w:xAlign="center" w:y="1"/>
              <w:autoSpaceDE w:val="0"/>
              <w:autoSpaceDN w:val="0"/>
              <w:adjustRightInd w:val="0"/>
              <w:spacing w:after="60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14:paraId="70D50405" w14:textId="14FD7B42" w:rsidR="00B004BC" w:rsidRDefault="00B004BC" w:rsidP="008B68D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BD4D0E">
              <w:rPr>
                <w:b/>
                <w:bCs/>
                <w:color w:val="000000"/>
                <w:sz w:val="20"/>
                <w:szCs w:val="20"/>
                <w:lang w:val="pl-PL"/>
              </w:rPr>
              <w:t>Dawkowanie</w:t>
            </w:r>
            <w:r w:rsidR="005B4791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>tofacytynibu</w:t>
            </w:r>
          </w:p>
          <w:p w14:paraId="370824F6" w14:textId="3A6F2A76" w:rsidR="00B004BC" w:rsidRPr="008B68D6" w:rsidRDefault="00B004BC" w:rsidP="008B68D6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Dawkowanie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tofacytynibu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prowadzone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jest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zgodnie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z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dawkowaniem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określonym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Charakterystyce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Produktu</w:t>
            </w:r>
            <w:r w:rsidR="005B4791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bCs/>
                <w:color w:val="000000"/>
                <w:sz w:val="20"/>
                <w:szCs w:val="20"/>
                <w:lang w:val="pl-PL"/>
              </w:rPr>
              <w:t>Leczniczego.</w:t>
            </w:r>
          </w:p>
          <w:p w14:paraId="12375C1A" w14:textId="77777777" w:rsidR="00B004BC" w:rsidRPr="007B1A1F" w:rsidRDefault="00B004BC" w:rsidP="000C3FDE">
            <w:pPr>
              <w:framePr w:hSpace="181" w:wrap="around" w:vAnchor="text" w:hAnchor="margin" w:xAlign="center" w:y="1"/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7E8D4105" w14:textId="77777777" w:rsidR="00CB1CEB" w:rsidRPr="00FD5BD6" w:rsidRDefault="00CB1CEB" w:rsidP="000C3FDE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870" w:type="pct"/>
            <w:shd w:val="clear" w:color="auto" w:fill="auto"/>
          </w:tcPr>
          <w:p w14:paraId="0C04609E" w14:textId="4F3EC5A7" w:rsidR="00F87404" w:rsidRPr="002A609A" w:rsidRDefault="00F87404" w:rsidP="00257177">
            <w:pPr>
              <w:numPr>
                <w:ilvl w:val="0"/>
                <w:numId w:val="40"/>
              </w:numPr>
              <w:spacing w:before="120" w:after="60"/>
              <w:jc w:val="both"/>
              <w:rPr>
                <w:b/>
                <w:sz w:val="20"/>
                <w:szCs w:val="20"/>
                <w:lang w:val="pl-PL"/>
              </w:rPr>
            </w:pPr>
            <w:r w:rsidRPr="002A609A">
              <w:rPr>
                <w:b/>
                <w:sz w:val="20"/>
                <w:szCs w:val="20"/>
                <w:lang w:val="pl-PL"/>
              </w:rPr>
              <w:t>Badania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b/>
                <w:sz w:val="20"/>
                <w:szCs w:val="20"/>
                <w:lang w:val="pl-PL"/>
              </w:rPr>
              <w:t>przy</w:t>
            </w:r>
            <w:r w:rsidR="005B479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b/>
                <w:sz w:val="20"/>
                <w:szCs w:val="20"/>
                <w:lang w:val="pl-PL"/>
              </w:rPr>
              <w:t>kwalifikacji</w:t>
            </w:r>
          </w:p>
          <w:p w14:paraId="19A1255B" w14:textId="14B1A0C4" w:rsidR="00E9112E" w:rsidRPr="002A609A" w:rsidRDefault="00E9112E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Morfologia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krwi</w:t>
            </w:r>
            <w:r w:rsidR="00020A76" w:rsidRPr="002A609A">
              <w:rPr>
                <w:color w:val="000000"/>
                <w:sz w:val="20"/>
                <w:szCs w:val="20"/>
                <w:lang w:val="pl-PL"/>
              </w:rPr>
              <w:t>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EC3" w:rsidRPr="00E859A2">
              <w:rPr>
                <w:color w:val="000000"/>
                <w:sz w:val="20"/>
                <w:szCs w:val="20"/>
                <w:lang w:val="pl-PL"/>
              </w:rPr>
              <w:t>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EC3" w:rsidRPr="00E859A2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przypadku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pacjentów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kwalifikowanych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do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leczenia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tofacytynibem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-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morfologia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krwi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z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rozmazem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oraz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oznaczeniem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bezwzględnej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liczby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granulocytów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obojętnochłonnych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i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bezwzględnej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liczby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  <w:r w:rsidRPr="00E859A2">
              <w:rPr>
                <w:sz w:val="20"/>
                <w:szCs w:val="20"/>
                <w:lang w:val="pl-PL" w:eastAsia="pl-PL"/>
              </w:rPr>
              <w:t>limfocytów;</w:t>
            </w:r>
            <w:r w:rsidR="005B4791">
              <w:rPr>
                <w:sz w:val="20"/>
                <w:szCs w:val="20"/>
                <w:lang w:val="pl-PL" w:eastAsia="pl-PL"/>
              </w:rPr>
              <w:t xml:space="preserve"> </w:t>
            </w:r>
          </w:p>
          <w:p w14:paraId="077651C0" w14:textId="68303477" w:rsidR="00E9112E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Ilość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krwinek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białych;</w:t>
            </w:r>
          </w:p>
          <w:p w14:paraId="2AE0016C" w14:textId="0D986C99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Liczba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krwinek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czerwonych;</w:t>
            </w:r>
          </w:p>
          <w:p w14:paraId="6EA36852" w14:textId="07471188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Poziom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hemoglobiny;</w:t>
            </w:r>
          </w:p>
          <w:p w14:paraId="0DE5F4B3" w14:textId="3EFF9031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Płytki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krwi;</w:t>
            </w:r>
          </w:p>
          <w:p w14:paraId="49E92183" w14:textId="062651D4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Odczyn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E9112E" w:rsidRPr="002A609A">
              <w:rPr>
                <w:color w:val="000000"/>
                <w:sz w:val="20"/>
                <w:szCs w:val="20"/>
                <w:lang w:val="pl-PL"/>
              </w:rPr>
              <w:t>B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iernackiego;</w:t>
            </w:r>
          </w:p>
          <w:p w14:paraId="0FB7780F" w14:textId="22F98D6D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Aminotransferaza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alaninowa;</w:t>
            </w:r>
          </w:p>
          <w:p w14:paraId="0C858648" w14:textId="2EF6EB28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Aminotransferaza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asparaginianowa;</w:t>
            </w:r>
          </w:p>
          <w:p w14:paraId="797D3FC9" w14:textId="5FB85FD2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Poziom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kreatyniny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surowicy;</w:t>
            </w:r>
          </w:p>
          <w:p w14:paraId="5504F4BC" w14:textId="38288309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Białko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EC3" w:rsidRPr="002A609A">
              <w:rPr>
                <w:color w:val="000000"/>
                <w:sz w:val="20"/>
                <w:szCs w:val="20"/>
                <w:lang w:val="pl-PL"/>
              </w:rPr>
              <w:t>C</w:t>
            </w:r>
            <w:r w:rsidR="00CB1CEB" w:rsidRPr="002A609A">
              <w:rPr>
                <w:rFonts w:eastAsia="MS Gothic"/>
                <w:color w:val="000000"/>
                <w:sz w:val="20"/>
                <w:szCs w:val="20"/>
                <w:lang w:val="pl-PL"/>
              </w:rPr>
              <w:t>‐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reaktywne;</w:t>
            </w:r>
          </w:p>
          <w:p w14:paraId="3A2DADBC" w14:textId="4E2F743B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Badanie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ogólne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moczu;</w:t>
            </w:r>
          </w:p>
          <w:p w14:paraId="056ECC2F" w14:textId="795864EA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Próba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tuberkulinowa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lub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test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EC3" w:rsidRPr="002A609A">
              <w:rPr>
                <w:color w:val="000000"/>
                <w:sz w:val="20"/>
                <w:szCs w:val="20"/>
                <w:lang w:val="pl-PL"/>
              </w:rPr>
              <w:t>Q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uantiferon;</w:t>
            </w:r>
          </w:p>
          <w:p w14:paraId="069BD41C" w14:textId="3ED08275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Antygen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020A76" w:rsidRPr="002A609A">
              <w:rPr>
                <w:color w:val="000000"/>
                <w:sz w:val="20"/>
                <w:szCs w:val="20"/>
                <w:lang w:val="pl-PL"/>
              </w:rPr>
              <w:t>HBS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2324F005" w14:textId="37E1225F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Przeciwciała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EC3" w:rsidRPr="002A609A">
              <w:rPr>
                <w:color w:val="000000"/>
                <w:sz w:val="20"/>
                <w:szCs w:val="20"/>
                <w:lang w:val="pl-PL"/>
              </w:rPr>
              <w:t>ANTY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EC3" w:rsidRPr="002A609A">
              <w:rPr>
                <w:color w:val="000000"/>
                <w:sz w:val="20"/>
                <w:szCs w:val="20"/>
                <w:lang w:val="pl-PL"/>
              </w:rPr>
              <w:t>HCV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5B18ABFC" w14:textId="5C42EF5E" w:rsidR="00CB1CEB" w:rsidRPr="00E859A2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E859A2">
              <w:rPr>
                <w:color w:val="000000"/>
                <w:sz w:val="20"/>
                <w:szCs w:val="20"/>
                <w:lang w:val="en-GB"/>
              </w:rPr>
              <w:t>Antygen</w:t>
            </w:r>
            <w:proofErr w:type="spellEnd"/>
            <w:r w:rsidR="005B4791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59A2">
              <w:rPr>
                <w:color w:val="000000"/>
                <w:sz w:val="20"/>
                <w:szCs w:val="20"/>
                <w:lang w:val="en-GB"/>
              </w:rPr>
              <w:t>wirusa</w:t>
            </w:r>
            <w:proofErr w:type="spellEnd"/>
            <w:r w:rsidR="005B4791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D91EC3" w:rsidRPr="00E859A2">
              <w:rPr>
                <w:color w:val="000000"/>
                <w:sz w:val="20"/>
                <w:szCs w:val="20"/>
                <w:lang w:val="en-GB"/>
              </w:rPr>
              <w:t>HIV(HIV</w:t>
            </w:r>
            <w:r w:rsidR="005B4791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D91EC3" w:rsidRPr="00E859A2">
              <w:rPr>
                <w:color w:val="000000"/>
                <w:sz w:val="20"/>
                <w:szCs w:val="20"/>
                <w:lang w:val="en-GB"/>
              </w:rPr>
              <w:t>AG/AB</w:t>
            </w:r>
            <w:r w:rsidR="005B4791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D91EC3" w:rsidRPr="00E859A2">
              <w:rPr>
                <w:color w:val="000000"/>
                <w:sz w:val="20"/>
                <w:szCs w:val="20"/>
                <w:lang w:val="en-GB"/>
              </w:rPr>
              <w:t>COMBO</w:t>
            </w:r>
            <w:r w:rsidRPr="00E859A2">
              <w:rPr>
                <w:color w:val="000000"/>
                <w:sz w:val="20"/>
                <w:szCs w:val="20"/>
                <w:lang w:val="en-GB"/>
              </w:rPr>
              <w:t>);</w:t>
            </w:r>
          </w:p>
          <w:p w14:paraId="5C8AB6EA" w14:textId="1368969C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Stężenie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elektrolitów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surowicy;</w:t>
            </w:r>
          </w:p>
          <w:p w14:paraId="50981D14" w14:textId="77777777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Hematokryt;</w:t>
            </w:r>
          </w:p>
          <w:p w14:paraId="76A05B95" w14:textId="3FBE1F86" w:rsidR="00CB1CEB" w:rsidRPr="002A609A" w:rsidRDefault="00D91EC3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RTG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F87404" w:rsidRPr="002A609A">
              <w:rPr>
                <w:color w:val="000000"/>
                <w:sz w:val="20"/>
                <w:szCs w:val="20"/>
                <w:lang w:val="pl-PL"/>
              </w:rPr>
              <w:t>klatki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F87404" w:rsidRPr="002A609A">
              <w:rPr>
                <w:color w:val="000000"/>
                <w:sz w:val="20"/>
                <w:szCs w:val="20"/>
                <w:lang w:val="pl-PL"/>
              </w:rPr>
              <w:t>piersiowej;</w:t>
            </w:r>
          </w:p>
          <w:p w14:paraId="00E662BC" w14:textId="27B860D7" w:rsidR="00CB1CEB" w:rsidRPr="002A609A" w:rsidRDefault="00D91EC3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EKG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F87404" w:rsidRPr="002A609A">
              <w:rPr>
                <w:color w:val="000000"/>
                <w:sz w:val="20"/>
                <w:szCs w:val="20"/>
                <w:lang w:val="pl-PL"/>
              </w:rPr>
              <w:t>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F87404" w:rsidRPr="002A609A">
              <w:rPr>
                <w:color w:val="000000"/>
                <w:sz w:val="20"/>
                <w:szCs w:val="20"/>
                <w:lang w:val="pl-PL"/>
              </w:rPr>
              <w:t>opisem;</w:t>
            </w:r>
          </w:p>
          <w:p w14:paraId="216686AA" w14:textId="173B7F4D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lastRenderedPageBreak/>
              <w:t>Badanie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endoskopowe;</w:t>
            </w:r>
          </w:p>
          <w:p w14:paraId="7548DC5B" w14:textId="34825310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Posiew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kału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kierunku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bakterii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grzybów;</w:t>
            </w:r>
          </w:p>
          <w:p w14:paraId="073A8809" w14:textId="52CC74F3" w:rsidR="00CB1CEB" w:rsidRPr="002A609A" w:rsidRDefault="00F87404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Badanie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kału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na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toksynę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EC3" w:rsidRPr="002A609A">
              <w:rPr>
                <w:color w:val="000000"/>
                <w:sz w:val="20"/>
                <w:szCs w:val="20"/>
                <w:lang w:val="pl-PL"/>
              </w:rPr>
              <w:t>Clostridium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D91EC3" w:rsidRPr="002A609A">
              <w:rPr>
                <w:color w:val="000000"/>
                <w:sz w:val="20"/>
                <w:szCs w:val="20"/>
                <w:lang w:val="pl-PL"/>
              </w:rPr>
              <w:t>Difficile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55715478" w14:textId="20C3229E" w:rsidR="00E9112E" w:rsidRDefault="00E9112E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Lipidogram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(całkowity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cholesterol,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HDL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LDL)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oraz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trój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glicerydy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przed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rozpoczęciem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tofacyt</w:t>
            </w:r>
            <w:r w:rsidR="00EF3A59">
              <w:rPr>
                <w:color w:val="000000"/>
                <w:sz w:val="20"/>
                <w:szCs w:val="20"/>
                <w:lang w:val="pl-PL"/>
              </w:rPr>
              <w:t>yn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ibem.</w:t>
            </w:r>
          </w:p>
          <w:p w14:paraId="40258918" w14:textId="77777777" w:rsidR="008B68D6" w:rsidRPr="002A609A" w:rsidRDefault="008B68D6" w:rsidP="008B68D6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  <w:p w14:paraId="6B816B9A" w14:textId="0905863C" w:rsidR="00E1574B" w:rsidRPr="002A609A" w:rsidRDefault="00E1574B" w:rsidP="008B68D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5B4791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</w:p>
          <w:p w14:paraId="5F09E4D6" w14:textId="536427F2" w:rsidR="00E1574B" w:rsidRPr="002A609A" w:rsidRDefault="005B4791" w:rsidP="008B68D6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infliksymabem</w:t>
            </w:r>
          </w:p>
          <w:p w14:paraId="199CC32E" w14:textId="0EC41804" w:rsidR="00E1574B" w:rsidRPr="008B68D6" w:rsidRDefault="00E1574B" w:rsidP="008B68D6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8B68D6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celu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monitorowania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świadczeniodawca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jest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zobowiązany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wykonać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rzadziej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niż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2,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6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14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tygodniu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od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podania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pierwszej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dawki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leku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następujące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badania:</w:t>
            </w:r>
          </w:p>
          <w:p w14:paraId="2DF88298" w14:textId="1B8BCFEA" w:rsidR="00E1574B" w:rsidRPr="002A609A" w:rsidRDefault="00E1574B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ocena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stopnia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aktywności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choroby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2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6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tygodniu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od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podania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pierwszej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dawki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częściowej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skali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Mayo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lub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skali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PUCAI,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31B6D49D" w14:textId="619476F4" w:rsidR="00E1574B" w:rsidRPr="002A609A" w:rsidRDefault="00E1574B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ocena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stopnia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aktywności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choroby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między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6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14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tygodniem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od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podania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pierwszej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dawki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na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podstawie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pełnej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oceny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skali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Mayo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lub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skali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PUCAI</w:t>
            </w:r>
          </w:p>
          <w:p w14:paraId="4E076B3E" w14:textId="378186ED" w:rsidR="00E1574B" w:rsidRPr="002A609A" w:rsidRDefault="00E1574B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morfologia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krwi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obwodowej,</w:t>
            </w:r>
          </w:p>
          <w:p w14:paraId="0DAA0C0F" w14:textId="77777777" w:rsidR="00E1574B" w:rsidRPr="002A609A" w:rsidRDefault="00E1574B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CRP.</w:t>
            </w:r>
          </w:p>
          <w:p w14:paraId="4F9D4974" w14:textId="51CFADCA" w:rsidR="00E1574B" w:rsidRDefault="00E1574B" w:rsidP="008B68D6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8B68D6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leczeniu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podtrzymującym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świadczeniodawca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jest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zobowiązany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wykonywać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morfologię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krwi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obwodowej,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CRP,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AlAT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AspAT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oraz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ocenę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Mayo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bez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endoskopii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albo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ocenę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skali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PUCAI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przynajmniej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co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8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tygodni.</w:t>
            </w:r>
          </w:p>
          <w:p w14:paraId="5C306E58" w14:textId="77777777" w:rsidR="008B68D6" w:rsidRPr="008B68D6" w:rsidRDefault="008B68D6" w:rsidP="008B68D6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  <w:p w14:paraId="6017D535" w14:textId="2771B780" w:rsidR="00CB1CEB" w:rsidRPr="002A609A" w:rsidRDefault="00CB1CEB" w:rsidP="008B68D6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5B4791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5B4791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wedolizumabem</w:t>
            </w:r>
          </w:p>
          <w:p w14:paraId="0D5B4BF1" w14:textId="6701F7DE" w:rsidR="00CB1CEB" w:rsidRPr="002A609A" w:rsidRDefault="00CB1CEB" w:rsidP="008B68D6">
            <w:pPr>
              <w:pStyle w:val="Default"/>
              <w:spacing w:after="60"/>
              <w:jc w:val="both"/>
              <w:rPr>
                <w:sz w:val="20"/>
                <w:szCs w:val="20"/>
              </w:rPr>
            </w:pPr>
            <w:r w:rsidRPr="002A609A">
              <w:rPr>
                <w:sz w:val="20"/>
                <w:szCs w:val="20"/>
              </w:rPr>
              <w:t>W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celu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monitorowania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leczenia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świadczeniodawca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jest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zobowiązany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wykonać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nie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rzadziej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niż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w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2,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6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14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tygodniu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od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podania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pierwszej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dawki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leku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następujące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badania:</w:t>
            </w:r>
            <w:r w:rsidR="005B4791">
              <w:rPr>
                <w:sz w:val="20"/>
                <w:szCs w:val="20"/>
              </w:rPr>
              <w:t xml:space="preserve"> </w:t>
            </w:r>
          </w:p>
          <w:p w14:paraId="027D0F6E" w14:textId="5B8C736C" w:rsidR="00CB1CEB" w:rsidRPr="002A609A" w:rsidRDefault="00CB1CEB" w:rsidP="008B68D6">
            <w:pPr>
              <w:pStyle w:val="Default"/>
              <w:numPr>
                <w:ilvl w:val="2"/>
                <w:numId w:val="40"/>
              </w:numPr>
              <w:spacing w:after="60"/>
              <w:jc w:val="both"/>
              <w:rPr>
                <w:sz w:val="20"/>
                <w:szCs w:val="20"/>
              </w:rPr>
            </w:pPr>
            <w:r w:rsidRPr="002A609A">
              <w:rPr>
                <w:sz w:val="20"/>
                <w:szCs w:val="20"/>
              </w:rPr>
              <w:t>ocena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stopnia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aktywności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choroby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w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2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6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tygodniu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w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częściowej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skali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Mayo,</w:t>
            </w:r>
            <w:r w:rsidR="005B4791">
              <w:rPr>
                <w:sz w:val="20"/>
                <w:szCs w:val="20"/>
              </w:rPr>
              <w:t xml:space="preserve"> </w:t>
            </w:r>
          </w:p>
          <w:p w14:paraId="12C5AF41" w14:textId="47EA9913" w:rsidR="00CB1CEB" w:rsidRPr="002A609A" w:rsidRDefault="00CB1CEB" w:rsidP="008B68D6">
            <w:pPr>
              <w:pStyle w:val="Default"/>
              <w:numPr>
                <w:ilvl w:val="2"/>
                <w:numId w:val="40"/>
              </w:numPr>
              <w:spacing w:after="60"/>
              <w:jc w:val="both"/>
              <w:rPr>
                <w:sz w:val="20"/>
                <w:szCs w:val="20"/>
              </w:rPr>
            </w:pPr>
            <w:r w:rsidRPr="002A609A">
              <w:rPr>
                <w:sz w:val="20"/>
                <w:szCs w:val="20"/>
              </w:rPr>
              <w:t>ocena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efektywności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terapii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indukcyjnej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w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14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tygodniu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od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podania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pierwszej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dawki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na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podstawie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pełnej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oceny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w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skali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Mayo,</w:t>
            </w:r>
          </w:p>
          <w:p w14:paraId="44E0FE3F" w14:textId="31DDF067" w:rsidR="00CB1CEB" w:rsidRPr="002A609A" w:rsidRDefault="00CB1CEB" w:rsidP="008B68D6">
            <w:pPr>
              <w:pStyle w:val="Default"/>
              <w:numPr>
                <w:ilvl w:val="2"/>
                <w:numId w:val="40"/>
              </w:numPr>
              <w:spacing w:after="60"/>
              <w:jc w:val="both"/>
              <w:rPr>
                <w:sz w:val="20"/>
                <w:szCs w:val="20"/>
              </w:rPr>
            </w:pPr>
            <w:r w:rsidRPr="002A609A">
              <w:rPr>
                <w:sz w:val="20"/>
                <w:szCs w:val="20"/>
              </w:rPr>
              <w:t>morfologia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z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krwi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obwodowej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z</w:t>
            </w:r>
            <w:r w:rsidR="005B4791">
              <w:rPr>
                <w:sz w:val="20"/>
                <w:szCs w:val="20"/>
              </w:rPr>
              <w:t xml:space="preserve"> </w:t>
            </w:r>
            <w:r w:rsidRPr="002A609A">
              <w:rPr>
                <w:sz w:val="20"/>
                <w:szCs w:val="20"/>
              </w:rPr>
              <w:t>rozmazem,</w:t>
            </w:r>
          </w:p>
          <w:p w14:paraId="0686991F" w14:textId="77777777" w:rsidR="00CB1CEB" w:rsidRPr="002A609A" w:rsidRDefault="00CB1CEB" w:rsidP="008B68D6">
            <w:pPr>
              <w:pStyle w:val="Default"/>
              <w:numPr>
                <w:ilvl w:val="2"/>
                <w:numId w:val="40"/>
              </w:numPr>
              <w:spacing w:after="60"/>
              <w:jc w:val="both"/>
              <w:rPr>
                <w:sz w:val="20"/>
                <w:szCs w:val="20"/>
              </w:rPr>
            </w:pPr>
            <w:r w:rsidRPr="002A609A">
              <w:rPr>
                <w:sz w:val="20"/>
                <w:szCs w:val="20"/>
              </w:rPr>
              <w:lastRenderedPageBreak/>
              <w:t>CRP.</w:t>
            </w:r>
          </w:p>
          <w:p w14:paraId="74ACF2C1" w14:textId="39C76B51" w:rsidR="00CB1CEB" w:rsidRDefault="00CB1CEB" w:rsidP="008B68D6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8B68D6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leczeniu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podtrzymującym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świadczeniodawca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jest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zobowiązany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wykonywać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morfologię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krwi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obwodowej,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CRP,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AlAT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AspAT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oraz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ocenę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Mayo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bez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endoskopii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przynajmniej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co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8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color w:val="000000"/>
                <w:sz w:val="20"/>
                <w:szCs w:val="20"/>
                <w:lang w:val="pl-PL"/>
              </w:rPr>
              <w:t>tygodn</w:t>
            </w:r>
            <w:r w:rsidR="008B68D6">
              <w:rPr>
                <w:color w:val="000000"/>
                <w:sz w:val="20"/>
                <w:szCs w:val="20"/>
                <w:lang w:val="pl-PL"/>
              </w:rPr>
              <w:t>i.</w:t>
            </w:r>
          </w:p>
          <w:p w14:paraId="38FA33B1" w14:textId="77777777" w:rsidR="008B68D6" w:rsidRPr="008B68D6" w:rsidRDefault="008B68D6" w:rsidP="008B68D6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  <w:p w14:paraId="7F932EC6" w14:textId="45EEF379" w:rsidR="00020A76" w:rsidRPr="002A609A" w:rsidRDefault="00020A76" w:rsidP="008B68D6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5B4791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5B4791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tofacytynibem</w:t>
            </w:r>
          </w:p>
          <w:p w14:paraId="6B5A1F3C" w14:textId="12413F14" w:rsidR="002A609A" w:rsidRPr="008B68D6" w:rsidRDefault="002A609A" w:rsidP="008B68D6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8B68D6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celu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monitorowania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świadczeniodawca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jest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zobowiązany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wykonać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następujące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badania: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</w:p>
          <w:p w14:paraId="28046FFF" w14:textId="4C860475" w:rsidR="002A609A" w:rsidRPr="00E859A2" w:rsidRDefault="002A609A" w:rsidP="008B68D6">
            <w:pPr>
              <w:pStyle w:val="Akapitzlist"/>
              <w:numPr>
                <w:ilvl w:val="2"/>
                <w:numId w:val="40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E859A2">
              <w:rPr>
                <w:sz w:val="20"/>
                <w:szCs w:val="20"/>
                <w:lang w:val="pl-PL"/>
              </w:rPr>
              <w:t>ocena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stopnia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aktywności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choroby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2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4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tygodniu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częściowej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skali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Mayo,</w:t>
            </w:r>
          </w:p>
          <w:p w14:paraId="3475E00F" w14:textId="1E2922EB" w:rsidR="00E859A2" w:rsidRDefault="002A609A" w:rsidP="008B68D6">
            <w:pPr>
              <w:pStyle w:val="Akapitzlist"/>
              <w:numPr>
                <w:ilvl w:val="2"/>
                <w:numId w:val="40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E859A2">
              <w:rPr>
                <w:sz w:val="20"/>
                <w:szCs w:val="20"/>
                <w:lang w:val="pl-PL"/>
              </w:rPr>
              <w:t>ocena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skuteczności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terapii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indukcyjnej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8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tygodniu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od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podania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pierwszej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dawki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na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podstawie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pełnej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oceny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skali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Mayo</w:t>
            </w:r>
            <w:r w:rsidR="00E859A2">
              <w:rPr>
                <w:sz w:val="20"/>
                <w:szCs w:val="20"/>
                <w:lang w:val="pl-PL"/>
              </w:rPr>
              <w:t>,</w:t>
            </w:r>
          </w:p>
          <w:p w14:paraId="77B3D76E" w14:textId="6446F6B9" w:rsidR="00E859A2" w:rsidRDefault="002A609A" w:rsidP="008B68D6">
            <w:pPr>
              <w:pStyle w:val="Akapitzlist"/>
              <w:numPr>
                <w:ilvl w:val="2"/>
                <w:numId w:val="40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E859A2">
              <w:rPr>
                <w:sz w:val="20"/>
                <w:szCs w:val="20"/>
                <w:lang w:val="pl-PL"/>
              </w:rPr>
              <w:t>morfologię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krwi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rozmazem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oraz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oznaczeniem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bezwzględnej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liczby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granulocytów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obojętnochłonnych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EF3A59" w:rsidRPr="00E859A2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EF3A59" w:rsidRPr="00E859A2">
              <w:rPr>
                <w:sz w:val="20"/>
                <w:szCs w:val="20"/>
                <w:lang w:val="pl-PL"/>
              </w:rPr>
              <w:t>2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EF3A59" w:rsidRPr="00E859A2">
              <w:rPr>
                <w:sz w:val="20"/>
                <w:szCs w:val="20"/>
                <w:lang w:val="pl-PL"/>
              </w:rPr>
              <w:t>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EF3A59" w:rsidRPr="00E859A2">
              <w:rPr>
                <w:sz w:val="20"/>
                <w:szCs w:val="20"/>
                <w:lang w:val="pl-PL"/>
              </w:rPr>
              <w:t>4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EF3A59" w:rsidRPr="00E859A2">
              <w:rPr>
                <w:sz w:val="20"/>
                <w:szCs w:val="20"/>
                <w:lang w:val="pl-PL"/>
              </w:rPr>
              <w:t>tygodniu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(modyfikacja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leczenia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przypadku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leukopenii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lub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spadku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stężenia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hemoglobiny)</w:t>
            </w:r>
            <w:r w:rsidR="00E859A2">
              <w:rPr>
                <w:sz w:val="20"/>
                <w:szCs w:val="20"/>
                <w:lang w:val="pl-PL"/>
              </w:rPr>
              <w:t>,</w:t>
            </w:r>
          </w:p>
          <w:p w14:paraId="0DF9288D" w14:textId="18226FD2" w:rsidR="002A609A" w:rsidRPr="00E859A2" w:rsidRDefault="00EF3A59" w:rsidP="008B68D6">
            <w:pPr>
              <w:pStyle w:val="Akapitzlist"/>
              <w:numPr>
                <w:ilvl w:val="2"/>
                <w:numId w:val="40"/>
              </w:numPr>
              <w:spacing w:after="60"/>
              <w:contextualSpacing w:val="0"/>
              <w:jc w:val="both"/>
              <w:rPr>
                <w:sz w:val="20"/>
                <w:szCs w:val="20"/>
                <w:lang w:val="pl-PL"/>
              </w:rPr>
            </w:pPr>
            <w:r w:rsidRPr="00E859A2">
              <w:rPr>
                <w:sz w:val="20"/>
                <w:szCs w:val="20"/>
                <w:lang w:val="pl-PL"/>
              </w:rPr>
              <w:t>morfologię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krwi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rozmazem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oraz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oznaczeniem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bezwzględnej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liczby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granulocytów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obojętnochłonnych,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609A" w:rsidRPr="00E859A2">
              <w:rPr>
                <w:sz w:val="20"/>
                <w:szCs w:val="20"/>
                <w:lang w:val="pl-PL"/>
              </w:rPr>
              <w:t>stężenie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609A" w:rsidRPr="00E859A2">
              <w:rPr>
                <w:sz w:val="20"/>
                <w:szCs w:val="20"/>
                <w:lang w:val="pl-PL"/>
              </w:rPr>
              <w:t>białka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609A" w:rsidRPr="00E859A2">
              <w:rPr>
                <w:sz w:val="20"/>
                <w:szCs w:val="20"/>
                <w:lang w:val="pl-PL"/>
              </w:rPr>
              <w:t>C-reaktywnego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2A609A" w:rsidRPr="00E859A2">
              <w:rPr>
                <w:sz w:val="20"/>
                <w:szCs w:val="20"/>
                <w:lang w:val="pl-PL"/>
              </w:rPr>
              <w:t>(CRP)</w:t>
            </w:r>
            <w:r w:rsidR="008D0641" w:rsidRPr="00E859A2">
              <w:rPr>
                <w:sz w:val="20"/>
                <w:szCs w:val="20"/>
                <w:lang w:val="pl-PL"/>
              </w:rPr>
              <w:t>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AspA</w:t>
            </w:r>
            <w:r w:rsidR="005B4791">
              <w:rPr>
                <w:sz w:val="20"/>
                <w:szCs w:val="20"/>
                <w:lang w:val="pl-PL"/>
              </w:rPr>
              <w:t>T</w:t>
            </w:r>
            <w:r w:rsidRPr="00E859A2">
              <w:rPr>
                <w:sz w:val="20"/>
                <w:szCs w:val="20"/>
                <w:lang w:val="pl-PL"/>
              </w:rPr>
              <w:t>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AlAT,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stężenie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cholesterolu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całkowitego,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LDL,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HDL,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trójglicerydów,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stężenie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kreatyniny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surowicy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w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8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E859A2">
              <w:rPr>
                <w:sz w:val="20"/>
                <w:szCs w:val="20"/>
                <w:lang w:val="pl-PL"/>
              </w:rPr>
              <w:t>tygodniu</w:t>
            </w:r>
            <w:r w:rsidR="00E859A2" w:rsidRPr="00E859A2">
              <w:rPr>
                <w:sz w:val="20"/>
                <w:szCs w:val="20"/>
                <w:lang w:val="pl-PL"/>
              </w:rPr>
              <w:t>.</w:t>
            </w:r>
          </w:p>
          <w:p w14:paraId="2A956D42" w14:textId="4EDC4066" w:rsidR="002A609A" w:rsidRDefault="002A609A" w:rsidP="008B68D6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8B68D6">
              <w:rPr>
                <w:sz w:val="20"/>
                <w:szCs w:val="20"/>
                <w:lang w:val="pl-PL"/>
              </w:rPr>
              <w:t>Jeżeli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terapia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jest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kontynuowana</w:t>
            </w:r>
            <w:r w:rsidR="00EF3A59" w:rsidRPr="008B68D6">
              <w:rPr>
                <w:sz w:val="20"/>
                <w:szCs w:val="20"/>
                <w:lang w:val="pl-PL"/>
              </w:rPr>
              <w:t>,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powyższe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EF3A59" w:rsidRPr="008B68D6">
              <w:rPr>
                <w:sz w:val="20"/>
                <w:szCs w:val="20"/>
                <w:lang w:val="pl-PL"/>
              </w:rPr>
              <w:t>badania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EF3A59" w:rsidRPr="008B68D6">
              <w:rPr>
                <w:sz w:val="20"/>
                <w:szCs w:val="20"/>
                <w:lang w:val="pl-PL"/>
              </w:rPr>
              <w:t>laboratoryjne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="00EF3A59" w:rsidRPr="008B68D6">
              <w:rPr>
                <w:sz w:val="20"/>
                <w:szCs w:val="20"/>
                <w:lang w:val="pl-PL"/>
              </w:rPr>
              <w:t>należy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powtarzać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po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każdych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kolejnych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12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tygodniach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(±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2</w:t>
            </w:r>
            <w:r w:rsidR="005B4791">
              <w:rPr>
                <w:sz w:val="20"/>
                <w:szCs w:val="20"/>
                <w:lang w:val="pl-PL"/>
              </w:rPr>
              <w:t xml:space="preserve"> </w:t>
            </w:r>
            <w:r w:rsidRPr="008B68D6">
              <w:rPr>
                <w:sz w:val="20"/>
                <w:szCs w:val="20"/>
                <w:lang w:val="pl-PL"/>
              </w:rPr>
              <w:t>tyg.).</w:t>
            </w:r>
          </w:p>
          <w:p w14:paraId="76700EBE" w14:textId="77777777" w:rsidR="008B68D6" w:rsidRPr="008B68D6" w:rsidRDefault="008B68D6" w:rsidP="008B68D6">
            <w:pPr>
              <w:spacing w:after="60"/>
              <w:jc w:val="both"/>
              <w:rPr>
                <w:sz w:val="20"/>
                <w:szCs w:val="20"/>
                <w:lang w:val="pl-PL"/>
              </w:rPr>
            </w:pPr>
          </w:p>
          <w:p w14:paraId="29E9D4AB" w14:textId="6911AC4F" w:rsidR="00CB1CEB" w:rsidRPr="002A609A" w:rsidRDefault="00CB1CEB" w:rsidP="008B68D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5B4791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b/>
                <w:bCs/>
                <w:color w:val="000000"/>
                <w:sz w:val="20"/>
                <w:szCs w:val="20"/>
                <w:lang w:val="pl-PL"/>
              </w:rPr>
              <w:t>programu</w:t>
            </w:r>
          </w:p>
          <w:p w14:paraId="0A907605" w14:textId="4F83C79B" w:rsidR="00E1574B" w:rsidRPr="002A609A" w:rsidRDefault="00E1574B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Gromadzenie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dokumentacji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medycznej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pacjenta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danych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dotyczących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monitorowania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każdorazowe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ich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przedstawianie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na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żądanie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kontrolerów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Narodowego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Funduszu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Zdrowia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630C65BF" w14:textId="02BBEFAA" w:rsidR="00E1574B" w:rsidRPr="002A609A" w:rsidRDefault="00E1574B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t>Uzupełnienie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danych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zawartych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rejestrze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(SMPT)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dostępnym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za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pomocą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aplikacji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internetowej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udostępnionej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przez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OW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NFZ,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częstotliwością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zgodną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opisem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programu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oraz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na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zakończenie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6DA8389C" w14:textId="566D88F2" w:rsidR="00CB1CEB" w:rsidRPr="002A609A" w:rsidRDefault="00E1574B" w:rsidP="008B68D6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A609A">
              <w:rPr>
                <w:color w:val="000000"/>
                <w:sz w:val="20"/>
                <w:szCs w:val="20"/>
                <w:lang w:val="pl-PL"/>
              </w:rPr>
              <w:lastRenderedPageBreak/>
              <w:t>Przekazywanie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informacji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sprawozdawczo-rozliczeniowych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do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NFZ: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informacje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przekazuje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się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do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NFZ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formie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papierowej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lub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w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formie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elektronicznej,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zgodnie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wymaganiami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opublikowanymi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przez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Narodowy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B1CEB" w:rsidRPr="002A609A">
              <w:rPr>
                <w:color w:val="000000"/>
                <w:sz w:val="20"/>
                <w:szCs w:val="20"/>
                <w:lang w:val="pl-PL"/>
              </w:rPr>
              <w:t>Fun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dusz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A609A">
              <w:rPr>
                <w:color w:val="000000"/>
                <w:sz w:val="20"/>
                <w:szCs w:val="20"/>
                <w:lang w:val="pl-PL"/>
              </w:rPr>
              <w:t>Zdrowia</w:t>
            </w:r>
            <w:r w:rsidR="005B4791">
              <w:rPr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14:paraId="6E1FF191" w14:textId="77777777" w:rsidR="00CB1CEB" w:rsidRPr="00FD5BD6" w:rsidRDefault="00CB1CEB" w:rsidP="000C3FDE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lang w:val="pl-PL"/>
        </w:rPr>
      </w:pPr>
    </w:p>
    <w:p w14:paraId="5A834567" w14:textId="77777777" w:rsidR="00F73569" w:rsidRPr="00FD5BD6" w:rsidRDefault="00F73569" w:rsidP="000C3FDE">
      <w:pPr>
        <w:spacing w:after="60"/>
        <w:rPr>
          <w:lang w:val="pl-PL"/>
        </w:rPr>
      </w:pPr>
    </w:p>
    <w:sectPr w:rsidR="00F73569" w:rsidRPr="00FD5BD6" w:rsidSect="00BD1DB6">
      <w:pgSz w:w="16840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06149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8315D94"/>
    <w:multiLevelType w:val="hybridMultilevel"/>
    <w:tmpl w:val="71CAD40A"/>
    <w:lvl w:ilvl="0" w:tplc="04150011">
      <w:start w:val="1"/>
      <w:numFmt w:val="decimal"/>
      <w:lvlText w:val="%1)"/>
      <w:lvlJc w:val="left"/>
      <w:pPr>
        <w:ind w:left="-1584" w:hanging="360"/>
      </w:pPr>
    </w:lvl>
    <w:lvl w:ilvl="1" w:tplc="04150019">
      <w:start w:val="1"/>
      <w:numFmt w:val="lowerLetter"/>
      <w:lvlText w:val="%2."/>
      <w:lvlJc w:val="left"/>
      <w:pPr>
        <w:ind w:left="-864" w:hanging="360"/>
      </w:pPr>
    </w:lvl>
    <w:lvl w:ilvl="2" w:tplc="0415001B" w:tentative="1">
      <w:start w:val="1"/>
      <w:numFmt w:val="lowerRoman"/>
      <w:lvlText w:val="%3."/>
      <w:lvlJc w:val="right"/>
      <w:pPr>
        <w:ind w:left="-144" w:hanging="180"/>
      </w:pPr>
    </w:lvl>
    <w:lvl w:ilvl="3" w:tplc="0415000F" w:tentative="1">
      <w:start w:val="1"/>
      <w:numFmt w:val="decimal"/>
      <w:lvlText w:val="%4."/>
      <w:lvlJc w:val="left"/>
      <w:pPr>
        <w:ind w:left="576" w:hanging="360"/>
      </w:pPr>
    </w:lvl>
    <w:lvl w:ilvl="4" w:tplc="04150019" w:tentative="1">
      <w:start w:val="1"/>
      <w:numFmt w:val="lowerLetter"/>
      <w:lvlText w:val="%5."/>
      <w:lvlJc w:val="left"/>
      <w:pPr>
        <w:ind w:left="1296" w:hanging="360"/>
      </w:pPr>
    </w:lvl>
    <w:lvl w:ilvl="5" w:tplc="0415001B" w:tentative="1">
      <w:start w:val="1"/>
      <w:numFmt w:val="lowerRoman"/>
      <w:lvlText w:val="%6."/>
      <w:lvlJc w:val="right"/>
      <w:pPr>
        <w:ind w:left="2016" w:hanging="180"/>
      </w:pPr>
    </w:lvl>
    <w:lvl w:ilvl="6" w:tplc="0415000F" w:tentative="1">
      <w:start w:val="1"/>
      <w:numFmt w:val="decimal"/>
      <w:lvlText w:val="%7."/>
      <w:lvlJc w:val="left"/>
      <w:pPr>
        <w:ind w:left="2736" w:hanging="360"/>
      </w:pPr>
    </w:lvl>
    <w:lvl w:ilvl="7" w:tplc="04150019" w:tentative="1">
      <w:start w:val="1"/>
      <w:numFmt w:val="lowerLetter"/>
      <w:lvlText w:val="%8."/>
      <w:lvlJc w:val="left"/>
      <w:pPr>
        <w:ind w:left="3456" w:hanging="360"/>
      </w:pPr>
    </w:lvl>
    <w:lvl w:ilvl="8" w:tplc="0415001B" w:tentative="1">
      <w:start w:val="1"/>
      <w:numFmt w:val="lowerRoman"/>
      <w:lvlText w:val="%9."/>
      <w:lvlJc w:val="right"/>
      <w:pPr>
        <w:ind w:left="4176" w:hanging="180"/>
      </w:pPr>
    </w:lvl>
  </w:abstractNum>
  <w:abstractNum w:abstractNumId="2" w15:restartNumberingAfterBreak="0">
    <w:nsid w:val="0B50360F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6000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16EC0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A352D"/>
    <w:multiLevelType w:val="hybridMultilevel"/>
    <w:tmpl w:val="950EA662"/>
    <w:lvl w:ilvl="0" w:tplc="4D7854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C47E2"/>
    <w:multiLevelType w:val="hybridMultilevel"/>
    <w:tmpl w:val="C2EEDE74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E7A99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F38EA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B72B5"/>
    <w:multiLevelType w:val="hybridMultilevel"/>
    <w:tmpl w:val="F4C6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34B65"/>
    <w:multiLevelType w:val="hybridMultilevel"/>
    <w:tmpl w:val="9F8EB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11CE9"/>
    <w:multiLevelType w:val="hybridMultilevel"/>
    <w:tmpl w:val="ADCAA7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852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E22901"/>
    <w:multiLevelType w:val="hybridMultilevel"/>
    <w:tmpl w:val="963042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66C4F"/>
    <w:multiLevelType w:val="hybridMultilevel"/>
    <w:tmpl w:val="F0C08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E024D9"/>
    <w:multiLevelType w:val="hybridMultilevel"/>
    <w:tmpl w:val="9B164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C509D"/>
    <w:multiLevelType w:val="hybridMultilevel"/>
    <w:tmpl w:val="B92EA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D29B3"/>
    <w:multiLevelType w:val="hybridMultilevel"/>
    <w:tmpl w:val="85E89436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6E616E"/>
    <w:multiLevelType w:val="hybridMultilevel"/>
    <w:tmpl w:val="0E7AD1A6"/>
    <w:lvl w:ilvl="0" w:tplc="2C7A9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E3802"/>
    <w:multiLevelType w:val="hybridMultilevel"/>
    <w:tmpl w:val="CD6C2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91595"/>
    <w:multiLevelType w:val="hybridMultilevel"/>
    <w:tmpl w:val="3112F0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1C176C"/>
    <w:multiLevelType w:val="hybridMultilevel"/>
    <w:tmpl w:val="7D64F28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A57C2"/>
    <w:multiLevelType w:val="hybridMultilevel"/>
    <w:tmpl w:val="EA7429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A473BB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B91FCB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60503678"/>
    <w:multiLevelType w:val="hybridMultilevel"/>
    <w:tmpl w:val="DC821A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D64AB"/>
    <w:multiLevelType w:val="hybridMultilevel"/>
    <w:tmpl w:val="A3A45144"/>
    <w:lvl w:ilvl="0" w:tplc="1B3C4E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244FB6"/>
    <w:multiLevelType w:val="multilevel"/>
    <w:tmpl w:val="32AA11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531DAC"/>
    <w:multiLevelType w:val="hybridMultilevel"/>
    <w:tmpl w:val="6E36982A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902AC6"/>
    <w:multiLevelType w:val="hybridMultilevel"/>
    <w:tmpl w:val="450A1802"/>
    <w:lvl w:ilvl="0" w:tplc="4D7854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9C7E0D"/>
    <w:multiLevelType w:val="hybridMultilevel"/>
    <w:tmpl w:val="3FD2B9E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9F782D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70E717E6"/>
    <w:multiLevelType w:val="hybridMultilevel"/>
    <w:tmpl w:val="09102B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805DD9"/>
    <w:multiLevelType w:val="multilevel"/>
    <w:tmpl w:val="32AA11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D44E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0E6C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1A3561"/>
    <w:multiLevelType w:val="hybridMultilevel"/>
    <w:tmpl w:val="FF946AE2"/>
    <w:lvl w:ilvl="0" w:tplc="D43EE678">
      <w:start w:val="1"/>
      <w:numFmt w:val="decimal"/>
      <w:lvlText w:val="%1."/>
      <w:lvlJc w:val="center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D87DE1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8" w15:restartNumberingAfterBreak="0">
    <w:nsid w:val="7C55145D"/>
    <w:multiLevelType w:val="multilevel"/>
    <w:tmpl w:val="0415001D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E363254"/>
    <w:multiLevelType w:val="hybridMultilevel"/>
    <w:tmpl w:val="89ACF71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1D0172E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5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8"/>
  </w:num>
  <w:num w:numId="9">
    <w:abstractNumId w:val="25"/>
  </w:num>
  <w:num w:numId="10">
    <w:abstractNumId w:val="36"/>
  </w:num>
  <w:num w:numId="11">
    <w:abstractNumId w:val="4"/>
  </w:num>
  <w:num w:numId="12">
    <w:abstractNumId w:val="16"/>
  </w:num>
  <w:num w:numId="13">
    <w:abstractNumId w:val="28"/>
  </w:num>
  <w:num w:numId="14">
    <w:abstractNumId w:val="39"/>
  </w:num>
  <w:num w:numId="15">
    <w:abstractNumId w:val="30"/>
  </w:num>
  <w:num w:numId="16">
    <w:abstractNumId w:val="38"/>
  </w:num>
  <w:num w:numId="17">
    <w:abstractNumId w:val="32"/>
  </w:num>
  <w:num w:numId="18">
    <w:abstractNumId w:val="22"/>
  </w:num>
  <w:num w:numId="19">
    <w:abstractNumId w:val="19"/>
  </w:num>
  <w:num w:numId="20">
    <w:abstractNumId w:val="14"/>
  </w:num>
  <w:num w:numId="21">
    <w:abstractNumId w:val="6"/>
  </w:num>
  <w:num w:numId="22">
    <w:abstractNumId w:val="26"/>
  </w:num>
  <w:num w:numId="23">
    <w:abstractNumId w:val="29"/>
  </w:num>
  <w:num w:numId="24">
    <w:abstractNumId w:val="5"/>
  </w:num>
  <w:num w:numId="25">
    <w:abstractNumId w:val="17"/>
  </w:num>
  <w:num w:numId="26">
    <w:abstractNumId w:val="12"/>
  </w:num>
  <w:num w:numId="27">
    <w:abstractNumId w:val="1"/>
  </w:num>
  <w:num w:numId="28">
    <w:abstractNumId w:val="13"/>
  </w:num>
  <w:num w:numId="29">
    <w:abstractNumId w:val="35"/>
  </w:num>
  <w:num w:numId="30">
    <w:abstractNumId w:val="33"/>
  </w:num>
  <w:num w:numId="31">
    <w:abstractNumId w:val="27"/>
  </w:num>
  <w:num w:numId="32">
    <w:abstractNumId w:val="34"/>
  </w:num>
  <w:num w:numId="33">
    <w:abstractNumId w:val="11"/>
  </w:num>
  <w:num w:numId="34">
    <w:abstractNumId w:val="20"/>
  </w:num>
  <w:num w:numId="35">
    <w:abstractNumId w:val="10"/>
  </w:num>
  <w:num w:numId="36">
    <w:abstractNumId w:val="21"/>
  </w:num>
  <w:num w:numId="37">
    <w:abstractNumId w:val="37"/>
  </w:num>
  <w:num w:numId="38">
    <w:abstractNumId w:val="24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EB"/>
    <w:rsid w:val="00020A76"/>
    <w:rsid w:val="00096005"/>
    <w:rsid w:val="000C3FDE"/>
    <w:rsid w:val="000C7A46"/>
    <w:rsid w:val="000F7C4F"/>
    <w:rsid w:val="00225ABE"/>
    <w:rsid w:val="00257177"/>
    <w:rsid w:val="00281A0E"/>
    <w:rsid w:val="002A5345"/>
    <w:rsid w:val="002A609A"/>
    <w:rsid w:val="00314577"/>
    <w:rsid w:val="003612DC"/>
    <w:rsid w:val="0041605B"/>
    <w:rsid w:val="004E6283"/>
    <w:rsid w:val="005564D0"/>
    <w:rsid w:val="005B4791"/>
    <w:rsid w:val="006838F6"/>
    <w:rsid w:val="0078324A"/>
    <w:rsid w:val="007B1A1F"/>
    <w:rsid w:val="008B68D6"/>
    <w:rsid w:val="008D0641"/>
    <w:rsid w:val="0093091F"/>
    <w:rsid w:val="00940EF9"/>
    <w:rsid w:val="009C5349"/>
    <w:rsid w:val="00A36FA3"/>
    <w:rsid w:val="00AB6583"/>
    <w:rsid w:val="00AE29BE"/>
    <w:rsid w:val="00B004BC"/>
    <w:rsid w:val="00CB1CEB"/>
    <w:rsid w:val="00D91EC3"/>
    <w:rsid w:val="00E1574B"/>
    <w:rsid w:val="00E859A2"/>
    <w:rsid w:val="00E9112E"/>
    <w:rsid w:val="00EF3A59"/>
    <w:rsid w:val="00F73569"/>
    <w:rsid w:val="00F8165F"/>
    <w:rsid w:val="00F87404"/>
    <w:rsid w:val="00FA4A72"/>
    <w:rsid w:val="00FD2907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32E3"/>
  <w15:chartTrackingRefBased/>
  <w15:docId w15:val="{E2DEC65B-E262-4D84-BD2C-82F2A9D2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CB1CE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B1CEB"/>
    <w:pPr>
      <w:ind w:left="720"/>
      <w:contextualSpacing/>
    </w:pPr>
  </w:style>
  <w:style w:type="paragraph" w:customStyle="1" w:styleId="Default">
    <w:name w:val="Default"/>
    <w:rsid w:val="00CB1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A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A5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BB8E-AE02-4060-A0F8-4EA0DB13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1413</Words>
  <Characters>8481</Characters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2020-08-17T10:42:00Z</dcterms:created>
  <dcterms:modified xsi:type="dcterms:W3CDTF">2020-08-17T11:21:00Z</dcterms:modified>
</cp:coreProperties>
</file>