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82D" w:rsidRDefault="00CC14A9" w:rsidP="0001039B">
      <w:pPr>
        <w:rPr>
          <w:rFonts w:ascii="Century Gothic" w:hAnsi="Century Gothic"/>
        </w:rPr>
      </w:pPr>
      <w:bookmarkStart w:id="0" w:name="_GoBack"/>
      <w:bookmarkEnd w:id="0"/>
    </w:p>
    <w:p w:rsidR="00761E60" w:rsidRPr="00C0682D" w:rsidRDefault="0003057B" w:rsidP="00761E60">
      <w:pPr>
        <w:jc w:val="right"/>
        <w:rPr>
          <w:rFonts w:ascii="Century Gothic" w:hAnsi="Century Gothic"/>
        </w:rPr>
      </w:pPr>
      <w:r w:rsidRPr="00C0682D">
        <w:rPr>
          <w:rFonts w:ascii="Century Gothic" w:hAnsi="Century Gothic"/>
        </w:rPr>
        <w:t xml:space="preserve">Warszawa,  </w:t>
      </w:r>
      <w:r w:rsidR="00A7084E">
        <w:rPr>
          <w:rFonts w:ascii="Century Gothic" w:hAnsi="Century Gothic"/>
        </w:rPr>
        <w:t xml:space="preserve">21 listopada 2019 </w:t>
      </w:r>
      <w:r w:rsidRPr="00C0682D">
        <w:rPr>
          <w:rFonts w:ascii="Century Gothic" w:hAnsi="Century Gothic"/>
        </w:rPr>
        <w:t>r.</w:t>
      </w:r>
    </w:p>
    <w:p w:rsidR="00206E51" w:rsidRPr="00997B29" w:rsidRDefault="0003057B" w:rsidP="00206E51">
      <w:pPr>
        <w:pStyle w:val="menfont"/>
        <w:rPr>
          <w:rFonts w:ascii="Century Gothic" w:hAnsi="Century Gothic"/>
        </w:rPr>
      </w:pPr>
      <w:bookmarkStart w:id="1" w:name="ezdSprawaZnak"/>
      <w:r w:rsidRPr="00997B29">
        <w:rPr>
          <w:rFonts w:ascii="Century Gothic" w:hAnsi="Century Gothic"/>
        </w:rPr>
        <w:t>DPPI-WIT.0916.1.2018</w:t>
      </w:r>
      <w:bookmarkEnd w:id="1"/>
      <w:r w:rsidRPr="00997B29">
        <w:rPr>
          <w:rFonts w:ascii="Century Gothic" w:hAnsi="Century Gothic"/>
        </w:rPr>
        <w:t>.</w:t>
      </w:r>
      <w:bookmarkStart w:id="2" w:name="ezdAutorInicjaly"/>
      <w:r w:rsidRPr="00997B29">
        <w:rPr>
          <w:rFonts w:ascii="Century Gothic" w:hAnsi="Century Gothic"/>
        </w:rPr>
        <w:t>AMO</w:t>
      </w:r>
      <w:bookmarkEnd w:id="2"/>
    </w:p>
    <w:p w:rsidR="00DF28D0" w:rsidRPr="00C0682D" w:rsidRDefault="00CC14A9">
      <w:pPr>
        <w:pStyle w:val="menfont"/>
        <w:rPr>
          <w:rFonts w:ascii="Century Gothic" w:hAnsi="Century Gothic"/>
        </w:rPr>
      </w:pPr>
    </w:p>
    <w:p w:rsidR="00F618A2" w:rsidRPr="00F618A2" w:rsidRDefault="00F618A2" w:rsidP="00F618A2">
      <w:pPr>
        <w:pStyle w:val="menfont"/>
        <w:rPr>
          <w:rFonts w:ascii="Century Gothic" w:hAnsi="Century Gothic"/>
        </w:rPr>
      </w:pPr>
      <w:r w:rsidRPr="00F618A2">
        <w:rPr>
          <w:rFonts w:ascii="Century Gothic" w:hAnsi="Century Gothic"/>
        </w:rPr>
        <w:t>Pan</w:t>
      </w:r>
    </w:p>
    <w:p w:rsidR="00F618A2" w:rsidRPr="00F618A2" w:rsidRDefault="00F618A2" w:rsidP="00F618A2">
      <w:pPr>
        <w:pStyle w:val="menfont"/>
        <w:rPr>
          <w:rFonts w:ascii="Century Gothic" w:hAnsi="Century Gothic"/>
        </w:rPr>
      </w:pPr>
      <w:r w:rsidRPr="00F618A2">
        <w:rPr>
          <w:rFonts w:ascii="Century Gothic" w:hAnsi="Century Gothic"/>
        </w:rPr>
        <w:t>Robert Bogdański</w:t>
      </w:r>
    </w:p>
    <w:p w:rsidR="00F618A2" w:rsidRPr="00F618A2" w:rsidRDefault="00F618A2" w:rsidP="00F618A2">
      <w:pPr>
        <w:pStyle w:val="menfont"/>
        <w:rPr>
          <w:rFonts w:ascii="Century Gothic" w:hAnsi="Century Gothic"/>
        </w:rPr>
      </w:pPr>
      <w:r w:rsidRPr="00F618A2">
        <w:rPr>
          <w:rFonts w:ascii="Century Gothic" w:hAnsi="Century Gothic"/>
        </w:rPr>
        <w:t>Prezes Zarządu Fundacji Nowe Media</w:t>
      </w:r>
    </w:p>
    <w:p w:rsidR="00F618A2" w:rsidRPr="00F618A2" w:rsidRDefault="00F618A2" w:rsidP="00F618A2">
      <w:pPr>
        <w:pStyle w:val="menfont"/>
        <w:rPr>
          <w:rFonts w:ascii="Century Gothic" w:hAnsi="Century Gothic"/>
        </w:rPr>
      </w:pPr>
      <w:r w:rsidRPr="00F618A2">
        <w:rPr>
          <w:rFonts w:ascii="Century Gothic" w:hAnsi="Century Gothic"/>
        </w:rPr>
        <w:t>ul. Foksal  3/5</w:t>
      </w:r>
    </w:p>
    <w:p w:rsidR="00F618A2" w:rsidRPr="00F618A2" w:rsidRDefault="00F618A2" w:rsidP="00F618A2">
      <w:pPr>
        <w:pStyle w:val="menfont"/>
        <w:rPr>
          <w:rFonts w:ascii="Century Gothic" w:hAnsi="Century Gothic"/>
        </w:rPr>
      </w:pPr>
      <w:r w:rsidRPr="00F618A2">
        <w:rPr>
          <w:rFonts w:ascii="Century Gothic" w:hAnsi="Century Gothic"/>
        </w:rPr>
        <w:t>00-366 Warszawa</w:t>
      </w:r>
    </w:p>
    <w:p w:rsidR="00F618A2" w:rsidRPr="00F618A2" w:rsidRDefault="00F618A2" w:rsidP="00F618A2">
      <w:pPr>
        <w:rPr>
          <w:rFonts w:ascii="Century Gothic" w:hAnsi="Century Gothic"/>
          <w:b/>
        </w:rPr>
      </w:pPr>
    </w:p>
    <w:p w:rsidR="00F618A2" w:rsidRPr="00F618A2" w:rsidRDefault="00F618A2" w:rsidP="00F618A2">
      <w:pPr>
        <w:rPr>
          <w:rFonts w:ascii="Century Gothic" w:hAnsi="Century Gothic"/>
          <w:b/>
        </w:rPr>
      </w:pPr>
    </w:p>
    <w:p w:rsidR="00F618A2" w:rsidRPr="00F618A2" w:rsidRDefault="00F618A2" w:rsidP="00F618A2">
      <w:pPr>
        <w:jc w:val="center"/>
        <w:rPr>
          <w:rFonts w:ascii="Century Gothic" w:hAnsi="Century Gothic"/>
          <w:b/>
        </w:rPr>
      </w:pPr>
      <w:r w:rsidRPr="00F618A2">
        <w:rPr>
          <w:rFonts w:ascii="Century Gothic" w:hAnsi="Century Gothic"/>
          <w:b/>
        </w:rPr>
        <w:t>WYSTĄPIENIE  POKONTROLNE</w:t>
      </w:r>
    </w:p>
    <w:p w:rsidR="00F618A2" w:rsidRPr="00F618A2" w:rsidRDefault="00F618A2" w:rsidP="00F618A2">
      <w:pPr>
        <w:jc w:val="center"/>
        <w:rPr>
          <w:rFonts w:ascii="Century Gothic" w:hAnsi="Century Gothic"/>
        </w:rPr>
      </w:pP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/>
        </w:rPr>
      </w:pPr>
      <w:r w:rsidRPr="00F618A2">
        <w:rPr>
          <w:rFonts w:ascii="Century Gothic" w:hAnsi="Century Gothic"/>
        </w:rPr>
        <w:t xml:space="preserve">Zgodnie z art. 47 ustawy z dnia 15 lipca 2011 r. o kontroli w administracji rządowej (Dz.U. Nr 185, poz.1092) przekazuję niniejsze </w:t>
      </w:r>
      <w:r w:rsidRPr="00F618A2">
        <w:rPr>
          <w:rFonts w:ascii="Century Gothic" w:hAnsi="Century Gothic"/>
          <w:i/>
        </w:rPr>
        <w:t xml:space="preserve">Wystąpienie pokontrolne. 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Na postawie art. 6 ust. 3 pkt 3 ww. ustawy, Ministerstwo Edukacji Narodowej</w:t>
      </w:r>
      <w:r w:rsidRPr="00F618A2">
        <w:rPr>
          <w:rFonts w:ascii="Century Gothic" w:hAnsi="Century Gothic"/>
          <w:vertAlign w:val="superscript"/>
        </w:rPr>
        <w:footnoteReference w:id="1"/>
      </w:r>
      <w:r w:rsidRPr="00F618A2">
        <w:rPr>
          <w:rFonts w:ascii="Century Gothic" w:hAnsi="Century Gothic"/>
        </w:rPr>
        <w:t xml:space="preserve"> w okresie od 15 października do 31 października 2018 r. przeprowadziło kontrolę przeprowadziło kontrolę w Fundacji Nowe Media z siedzibą w Warszawie, ul. Foksal 3/5, w zakresie prawidłowości </w:t>
      </w:r>
      <w:r w:rsidRPr="00F618A2">
        <w:rPr>
          <w:rFonts w:ascii="Century Gothic" w:hAnsi="Century Gothic"/>
          <w:color w:val="000000"/>
          <w:lang w:bidi="pl-PL"/>
        </w:rPr>
        <w:t>wykonania zadania publicznego, w tym wykorzystania dotacji przekazanej na realizację zadania publicznego</w:t>
      </w:r>
      <w:r w:rsidRPr="00F618A2">
        <w:rPr>
          <w:rFonts w:ascii="Century Gothic" w:hAnsi="Century Gothic"/>
        </w:rPr>
        <w:t xml:space="preserve"> pn. „Organizacja i przeprowadzenie olimpiad i turniejów w latach szkolnych 2016/2017, 2017/2018, 2018/2019”.</w:t>
      </w:r>
    </w:p>
    <w:p w:rsidR="00F618A2" w:rsidRPr="00F618A2" w:rsidRDefault="00F618A2" w:rsidP="00F618A2">
      <w:p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Zakres kontroli obejmował prawidłowość realizacji ww. zadania, w tym w szczególności:</w:t>
      </w:r>
    </w:p>
    <w:p w:rsidR="00F618A2" w:rsidRPr="00F618A2" w:rsidRDefault="00F618A2" w:rsidP="00F618A2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stopień realizacji zadania;</w:t>
      </w:r>
    </w:p>
    <w:p w:rsidR="00F618A2" w:rsidRPr="00F618A2" w:rsidRDefault="00F618A2" w:rsidP="00F618A2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lastRenderedPageBreak/>
        <w:t>osiągnięcie założonych celów zadania;</w:t>
      </w:r>
    </w:p>
    <w:p w:rsidR="00F618A2" w:rsidRPr="00F618A2" w:rsidRDefault="00F618A2" w:rsidP="00F618A2">
      <w:pPr>
        <w:pStyle w:val="menfont"/>
        <w:numPr>
          <w:ilvl w:val="0"/>
          <w:numId w:val="9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prawidłowość wykorzystania środków publicznych otrzymanych na realizację zadania; </w:t>
      </w:r>
    </w:p>
    <w:p w:rsidR="00F618A2" w:rsidRPr="00F618A2" w:rsidRDefault="00F618A2" w:rsidP="00F618A2">
      <w:pPr>
        <w:pStyle w:val="menfont"/>
        <w:numPr>
          <w:ilvl w:val="0"/>
          <w:numId w:val="9"/>
        </w:numPr>
        <w:spacing w:after="120"/>
        <w:ind w:left="714" w:hanging="357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prowadzenie dokumentacji </w:t>
      </w:r>
      <w:r w:rsidRPr="00F618A2">
        <w:rPr>
          <w:rFonts w:ascii="Century Gothic" w:hAnsi="Century Gothic"/>
          <w:color w:val="000000"/>
        </w:rPr>
        <w:t>związanej z realizowanym zadaniem.</w:t>
      </w:r>
    </w:p>
    <w:p w:rsidR="00F618A2" w:rsidRPr="00F618A2" w:rsidRDefault="00F618A2" w:rsidP="00F618A2">
      <w:pPr>
        <w:pStyle w:val="menfont"/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Na podstawie wyników kontroli pozytywnie, pomimo stwierdzonych nieprawidłowości oceniono realizację zadania publicznego realizowanego przez Fundację Nowe Media. </w:t>
      </w:r>
    </w:p>
    <w:p w:rsidR="00F618A2" w:rsidRPr="00F618A2" w:rsidRDefault="00F618A2" w:rsidP="00F618A2">
      <w:pPr>
        <w:pStyle w:val="menfont"/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Przeprowadzona kontrola wskazuje, że założone cele zadania publicznego w latach szkolnych 2016/2017 oraz 2017/2018 zostały zrealizowane, a dotacja została wykorzystana zgodnie z przeznaczeniem.</w:t>
      </w:r>
    </w:p>
    <w:p w:rsidR="00F618A2" w:rsidRPr="00F618A2" w:rsidRDefault="00F618A2" w:rsidP="00F618A2">
      <w:pPr>
        <w:pStyle w:val="menfont"/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W wyniku ogłoszonego przez Ministra Edukacji Narodowej otwartego konkursu ofert na realizację zadania publicznego pn. </w:t>
      </w:r>
      <w:r w:rsidRPr="00F618A2">
        <w:rPr>
          <w:rFonts w:ascii="Century Gothic" w:hAnsi="Century Gothic"/>
          <w:i/>
        </w:rPr>
        <w:t xml:space="preserve">„Organizacja </w:t>
      </w:r>
      <w:r w:rsidR="00A20950">
        <w:rPr>
          <w:rFonts w:ascii="Century Gothic" w:hAnsi="Century Gothic"/>
          <w:i/>
        </w:rPr>
        <w:br/>
      </w:r>
      <w:r w:rsidRPr="00F618A2">
        <w:rPr>
          <w:rFonts w:ascii="Century Gothic" w:hAnsi="Century Gothic"/>
          <w:i/>
        </w:rPr>
        <w:t xml:space="preserve">i przeprowadzenie olimpiad i turniejów w latach szkolnych 2016/2017, 2017/2018, 2018/2019”, </w:t>
      </w:r>
      <w:r w:rsidRPr="00F618A2">
        <w:rPr>
          <w:rFonts w:ascii="Century Gothic" w:hAnsi="Century Gothic"/>
        </w:rPr>
        <w:t>w dniu 14 września 2016 r. zawarta została umowa (nr MEN/2016/DPPI/887, dalej: umowa) pomiędzy Ministrem Edukacji Narodowej a Fundacją Nowe Media.</w:t>
      </w:r>
    </w:p>
    <w:p w:rsidR="00F618A2" w:rsidRPr="00F618A2" w:rsidRDefault="00F618A2" w:rsidP="00F618A2">
      <w:pPr>
        <w:pStyle w:val="menfont"/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Przedmiotem umowy było zorganizowanie i p</w:t>
      </w:r>
      <w:r w:rsidR="008C08C3">
        <w:rPr>
          <w:rFonts w:ascii="Century Gothic" w:hAnsi="Century Gothic"/>
        </w:rPr>
        <w:t>rzeprowadzenie do 31 </w:t>
      </w:r>
      <w:r w:rsidRPr="00F618A2">
        <w:rPr>
          <w:rFonts w:ascii="Century Gothic" w:hAnsi="Century Gothic"/>
        </w:rPr>
        <w:t>sierpnia 2019 r. trzech edycji trójstopniowych zawodów ogólnopolskiej Olimpiady Medialnej (kategoria olimpiad interdyscyplinarnych lub olimpiad</w:t>
      </w:r>
      <w:r w:rsidR="008C08C3">
        <w:rPr>
          <w:rFonts w:ascii="Century Gothic" w:hAnsi="Century Gothic"/>
        </w:rPr>
        <w:t xml:space="preserve"> z przedmiotów dodatkowych). Na </w:t>
      </w:r>
      <w:r w:rsidRPr="00F618A2">
        <w:rPr>
          <w:rFonts w:ascii="Century Gothic" w:hAnsi="Century Gothic"/>
        </w:rPr>
        <w:t xml:space="preserve">realizację ww. zadania przewidziano przekazanie środków publicznych w łącznej wysokości </w:t>
      </w:r>
      <w:r w:rsidRPr="00F618A2">
        <w:rPr>
          <w:rFonts w:ascii="Century Gothic" w:hAnsi="Century Gothic"/>
          <w:bCs/>
        </w:rPr>
        <w:t xml:space="preserve">51 996,00 </w:t>
      </w:r>
      <w:r w:rsidRPr="00F618A2">
        <w:rPr>
          <w:rFonts w:ascii="Century Gothic" w:hAnsi="Century Gothic"/>
        </w:rPr>
        <w:t>zł, w formie siedmiu transz:</w:t>
      </w:r>
    </w:p>
    <w:p w:rsidR="00F618A2" w:rsidRPr="00F618A2" w:rsidRDefault="00F618A2" w:rsidP="00F618A2">
      <w:pPr>
        <w:pStyle w:val="menfont"/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1) I transza - w 2016 r. - w wysokości 5 210,00 zł w ciągu 30 dni od daty podpisania umowy,</w:t>
      </w:r>
    </w:p>
    <w:p w:rsidR="00F618A2" w:rsidRPr="00F618A2" w:rsidRDefault="00F618A2" w:rsidP="00F618A2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II transza - w wysokości 14 651,00 zł do 15 stycznia 2017 r.,</w:t>
      </w:r>
    </w:p>
    <w:p w:rsidR="00F618A2" w:rsidRPr="00F618A2" w:rsidRDefault="00F618A2" w:rsidP="00F618A2">
      <w:pPr>
        <w:pStyle w:val="menfont"/>
        <w:numPr>
          <w:ilvl w:val="0"/>
          <w:numId w:val="10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III transza - w wysokości 1 700,00 zł po wejściu w życie ustawy budżetowej na 2017 r., jednak nie później niż 28 lutego 2017 r. oraz po zaakceptowaniu rozliczenia finansowego I transzy i sprawozdania merytorycznego,</w:t>
      </w:r>
    </w:p>
    <w:p w:rsidR="00F618A2" w:rsidRPr="00F618A2" w:rsidRDefault="00F618A2" w:rsidP="00F618A2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IV transza - w wysokości 14 651,00 zł do 15 stycznia 2018 r.,</w:t>
      </w:r>
    </w:p>
    <w:p w:rsidR="00F618A2" w:rsidRPr="00F618A2" w:rsidRDefault="00F618A2" w:rsidP="00F618A2">
      <w:pPr>
        <w:pStyle w:val="menfont"/>
        <w:numPr>
          <w:ilvl w:val="0"/>
          <w:numId w:val="11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V transza - w wysokości 1 700,00 zł po wejściu w życie ustawy budżetowej na 2018 r., jednak nie później niż 28 lutego 2018 r. oraz po zaakceptowaniu rozliczenia finansowego II i III transzy i sprawozdania merytorycznego,</w:t>
      </w:r>
    </w:p>
    <w:p w:rsidR="00F618A2" w:rsidRPr="00F618A2" w:rsidRDefault="00F618A2" w:rsidP="00F618A2">
      <w:pPr>
        <w:pStyle w:val="menfont"/>
        <w:numPr>
          <w:ilvl w:val="0"/>
          <w:numId w:val="12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VI i VII transza - w wysokości 14 084,00 zł do 15 stycznia 2019 r.</w:t>
      </w:r>
    </w:p>
    <w:p w:rsidR="008C08C3" w:rsidRDefault="00F618A2" w:rsidP="00F618A2">
      <w:pPr>
        <w:spacing w:before="120"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Kontrolą objęto realizację zadania w okresie od 14 września 2016 r. do 31 sierpnia 2018 r. Kontrolą objęto część przekazanej dotacji, tj. kwotę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>w wysokości 37 912,00 zł, przekazaną w ramach transz I-V.</w:t>
      </w:r>
    </w:p>
    <w:p w:rsidR="00F618A2" w:rsidRPr="00F618A2" w:rsidRDefault="00F618A2" w:rsidP="00F618A2">
      <w:pPr>
        <w:spacing w:before="120"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Ocenę kontrolowanej działalności uzasadniają ustalenia z kontroli.</w:t>
      </w:r>
    </w:p>
    <w:p w:rsidR="00F618A2" w:rsidRPr="00F618A2" w:rsidRDefault="00F618A2" w:rsidP="00F618A2">
      <w:pPr>
        <w:numPr>
          <w:ilvl w:val="0"/>
          <w:numId w:val="4"/>
        </w:numPr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  <w:b/>
        </w:rPr>
        <w:t>Stopień realizacji zadania, osiągnięcie założonych celów zadania.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Cs/>
          <w:u w:val="single"/>
          <w:lang w:bidi="pl-PL"/>
        </w:rPr>
      </w:pPr>
      <w:r w:rsidRPr="00F618A2">
        <w:rPr>
          <w:rFonts w:ascii="Century Gothic" w:hAnsi="Century Gothic"/>
        </w:rPr>
        <w:lastRenderedPageBreak/>
        <w:t xml:space="preserve">Osiągnięte zostały główne założone cele zadania, tj. przeprowadzono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>w roku szkolnym 2016/2017 oraz 2017/2018 trójstopniowe zawody Ogólnopolskiej Olimpiady Medialnej.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Uczestnikami Olimpiady Medialnej byli uczniowie ze szkół ponadgimnazjalnych (liceów ogólnokształcących, liceów profilowanych, techników, uzupełniających liceów ogólnokształcących i techników uzupełniających oraz ponadpodstawowych szkół średnich, dających możliwość uzyskania świadectwa dojrzałości) w całej Polsce i z polskich szkół, które działają poza granicami Polski.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Zawody na każdym stopniu miały charakter indywidualny, przy czym formuła jednej z części zawodów trzeciego stopnia zakładała pracę zespołową, w której wiedza i umiejętności każdego z uczestników podlegały indywidualnej ocenie. Zawody pierwszego stopnia (etap szkolny) odbywały się w szkołach ponadgimnazjalnych, w których uczniowie zgłosili udział w Olimpiadzie. Zawody drugiego stopnia nadzorowały Delegacje Okręgowe Komitetu Głównego, zgodnie z podziałem na okręgi (było 9 okręgów: w Katowicach, Lublinie, Pile, Poznaniu, Rzeszowie, Sopocie, Warszawie, Wrocławiu oraz Zielonej Górze). Zawody trzeciego stopnia odbywały się w Warszawie, w siedzibie Szkoły Wyższej Psychologii Społecznej.</w:t>
      </w:r>
    </w:p>
    <w:p w:rsidR="00F618A2" w:rsidRPr="00F618A2" w:rsidRDefault="00F618A2" w:rsidP="00F618A2">
      <w:pPr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Ze sprawozdań merytorycznych złożonych w dniach 17 stycznia 2017 r., 21 lutego 2018 r. oraz z dokumentacji przedstawionej przez Fundację Nowe Media wynika, że w VI edycji Olimpiady Medialnej (rok szkolny 2016/2017) w poszczególnych etapach wzięło udział:</w:t>
      </w:r>
    </w:p>
    <w:p w:rsidR="00F618A2" w:rsidRPr="00F618A2" w:rsidRDefault="00F618A2" w:rsidP="00F618A2">
      <w:pPr>
        <w:pStyle w:val="Akapitzlist"/>
        <w:numPr>
          <w:ilvl w:val="0"/>
          <w:numId w:val="13"/>
        </w:numPr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I etapie – 443 uczniów;</w:t>
      </w:r>
    </w:p>
    <w:p w:rsidR="00F618A2" w:rsidRPr="00F618A2" w:rsidRDefault="00F618A2" w:rsidP="00F618A2">
      <w:pPr>
        <w:pStyle w:val="Akapitzlist"/>
        <w:numPr>
          <w:ilvl w:val="0"/>
          <w:numId w:val="13"/>
        </w:numPr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II etapie – 236 uczniów;</w:t>
      </w:r>
    </w:p>
    <w:p w:rsidR="00F618A2" w:rsidRPr="00F618A2" w:rsidRDefault="00F618A2" w:rsidP="00F618A2">
      <w:pPr>
        <w:pStyle w:val="Akapitzlist"/>
        <w:numPr>
          <w:ilvl w:val="0"/>
          <w:numId w:val="13"/>
        </w:numPr>
        <w:spacing w:after="120"/>
        <w:ind w:left="714" w:hanging="357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do etapu III dostało się 38 uczniów, do finału zakwalifikowało się 24 uczniów, a ostatecznie wzięło w nim udział 23 uczniów.</w:t>
      </w:r>
    </w:p>
    <w:p w:rsidR="00F618A2" w:rsidRPr="00F618A2" w:rsidRDefault="00F618A2" w:rsidP="00F618A2">
      <w:pPr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VII edycji (rok szkolny 2017/2018) w poszczególnych etapach wzięło udział:</w:t>
      </w:r>
    </w:p>
    <w:p w:rsidR="00F618A2" w:rsidRPr="00F618A2" w:rsidRDefault="00F618A2" w:rsidP="00F618A2">
      <w:pPr>
        <w:pStyle w:val="Akapitzlist"/>
        <w:numPr>
          <w:ilvl w:val="0"/>
          <w:numId w:val="14"/>
        </w:numPr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I etapie – 523 uczniów;</w:t>
      </w:r>
    </w:p>
    <w:p w:rsidR="00F618A2" w:rsidRPr="00F618A2" w:rsidRDefault="00F618A2" w:rsidP="00F618A2">
      <w:pPr>
        <w:pStyle w:val="Akapitzlist"/>
        <w:numPr>
          <w:ilvl w:val="0"/>
          <w:numId w:val="14"/>
        </w:num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II etapie – 257uczniów;</w:t>
      </w:r>
    </w:p>
    <w:p w:rsidR="00F618A2" w:rsidRPr="00F618A2" w:rsidRDefault="00F618A2" w:rsidP="00F618A2">
      <w:pPr>
        <w:pStyle w:val="Akapitzlist"/>
        <w:numPr>
          <w:ilvl w:val="0"/>
          <w:numId w:val="14"/>
        </w:num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 xml:space="preserve">do etapu III dostało się 36 uczniów, a do finału zakwalifikowało się 18 uczniów. 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 xml:space="preserve">Pierwszy i drugi etap Olimpiady Medialnej jest przeprowadzany elektronicznie przy użyciu systemu sprawdzającego poprawność testów, system ten jest też używany do przeprowadzenia zawodów finałowych </w:t>
      </w:r>
      <w:r w:rsidR="00A20950">
        <w:rPr>
          <w:rFonts w:ascii="Century Gothic" w:hAnsi="Century Gothic"/>
          <w:iCs/>
          <w:lang w:bidi="pl-PL"/>
        </w:rPr>
        <w:br/>
      </w:r>
      <w:r w:rsidRPr="00F618A2">
        <w:rPr>
          <w:rFonts w:ascii="Century Gothic" w:hAnsi="Century Gothic"/>
          <w:iCs/>
          <w:lang w:bidi="pl-PL"/>
        </w:rPr>
        <w:t xml:space="preserve">i służy komisji oceniającej do przeglądania prac oraz oceniania uczestników. Trzeci etap Olimpiady Medialnej polega na ocenie przez jury dwóch prac najlepszych uczestników konkursu (jedną uczestnik może </w:t>
      </w:r>
      <w:r w:rsidRPr="00F618A2">
        <w:rPr>
          <w:rFonts w:ascii="Century Gothic" w:hAnsi="Century Gothic"/>
          <w:iCs/>
          <w:lang w:bidi="pl-PL"/>
        </w:rPr>
        <w:lastRenderedPageBreak/>
        <w:t xml:space="preserve">opracować poza szkołą), druga powstaje w zespole utworzonym podczas warsztatów poprzedzających galę finałową. 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iCs/>
          <w:lang w:bidi="pl-PL"/>
        </w:rPr>
      </w:pPr>
      <w:r w:rsidRPr="00F618A2">
        <w:rPr>
          <w:rFonts w:ascii="Century Gothic" w:hAnsi="Century Gothic"/>
          <w:iCs/>
          <w:lang w:bidi="pl-PL"/>
        </w:rPr>
        <w:t>W wyniku kontroli stwierdzono, że działania określone w umowie zostały zrealizowane.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b/>
        </w:rPr>
      </w:pPr>
      <w:r w:rsidRPr="00F618A2">
        <w:rPr>
          <w:rFonts w:ascii="Century Gothic" w:hAnsi="Century Gothic"/>
          <w:b/>
        </w:rPr>
        <w:t>2. Prawidłowość wykorzystania śro</w:t>
      </w:r>
      <w:r w:rsidR="008C08C3">
        <w:rPr>
          <w:rFonts w:ascii="Century Gothic" w:hAnsi="Century Gothic"/>
          <w:b/>
        </w:rPr>
        <w:t>dków publicznych otrzymanych na </w:t>
      </w:r>
      <w:r w:rsidRPr="00F618A2">
        <w:rPr>
          <w:rFonts w:ascii="Century Gothic" w:hAnsi="Century Gothic"/>
          <w:b/>
        </w:rPr>
        <w:t>realizację zadania.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  <w:lang w:bidi="pl-PL"/>
        </w:rPr>
      </w:pPr>
      <w:r w:rsidRPr="00F618A2">
        <w:rPr>
          <w:rFonts w:ascii="Century Gothic" w:hAnsi="Century Gothic"/>
        </w:rPr>
        <w:t xml:space="preserve">W wyniku kontroli, na podstawie dostarczonych dokumentów stwierdzono </w:t>
      </w:r>
      <w:r w:rsidRPr="00F618A2">
        <w:rPr>
          <w:rFonts w:ascii="Century Gothic" w:hAnsi="Century Gothic"/>
          <w:lang w:bidi="pl-PL"/>
        </w:rPr>
        <w:t xml:space="preserve">zgodne z przeznaczeniem wykorzystanie środków publicznych otrzymanych na realizację zadania, tj. kwoty </w:t>
      </w:r>
      <w:r w:rsidRPr="00F618A2">
        <w:rPr>
          <w:rFonts w:ascii="Century Gothic" w:hAnsi="Century Gothic"/>
        </w:rPr>
        <w:t>37 912,00 zł.</w:t>
      </w:r>
      <w:r w:rsidRPr="00F618A2">
        <w:rPr>
          <w:rFonts w:ascii="Century Gothic" w:hAnsi="Century Gothic"/>
          <w:lang w:bidi="pl-PL"/>
        </w:rPr>
        <w:t xml:space="preserve"> Przedstawione dokumenty finansowe wskazują, że </w:t>
      </w:r>
      <w:r w:rsidR="008C08C3">
        <w:rPr>
          <w:rFonts w:ascii="Century Gothic" w:hAnsi="Century Gothic"/>
          <w:lang w:bidi="pl-PL"/>
        </w:rPr>
        <w:t>dotacja została wykorzystana na </w:t>
      </w:r>
      <w:r w:rsidRPr="00F618A2">
        <w:rPr>
          <w:rFonts w:ascii="Century Gothic" w:hAnsi="Century Gothic"/>
          <w:lang w:bidi="pl-PL"/>
        </w:rPr>
        <w:t>pokrycie niezbędnych kosztów realizacji zadania.</w:t>
      </w:r>
    </w:p>
    <w:p w:rsidR="00F618A2" w:rsidRPr="00F618A2" w:rsidRDefault="00F618A2" w:rsidP="00F618A2">
      <w:pPr>
        <w:pStyle w:val="Akapitzlist"/>
        <w:numPr>
          <w:ilvl w:val="0"/>
          <w:numId w:val="15"/>
        </w:numPr>
        <w:spacing w:after="120"/>
        <w:jc w:val="both"/>
        <w:rPr>
          <w:rFonts w:ascii="Century Gothic" w:hAnsi="Century Gothic"/>
          <w:b/>
        </w:rPr>
      </w:pPr>
      <w:r w:rsidRPr="00F618A2">
        <w:rPr>
          <w:rFonts w:ascii="Century Gothic" w:hAnsi="Century Gothic"/>
          <w:b/>
        </w:rPr>
        <w:t>Prowadzenie dokumentacji związanej z realizowanym zadaniem.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Kontrolowany zobowiązany był do przestrz</w:t>
      </w:r>
      <w:r w:rsidR="008C08C3">
        <w:rPr>
          <w:rFonts w:ascii="Century Gothic" w:hAnsi="Century Gothic"/>
        </w:rPr>
        <w:t>egania przepisów umowy oraz </w:t>
      </w:r>
      <w:r w:rsidRPr="00F618A2">
        <w:rPr>
          <w:rFonts w:ascii="Century Gothic" w:hAnsi="Century Gothic"/>
        </w:rPr>
        <w:t xml:space="preserve">Załącznika nr 3 do umowy „Zasady przyznawania i rozliczania dotacji” (dalej: Zasady). W wyniku kontroli ustalono, że część dokumentacji finansowej i merytorycznej związanej z realizowanym zadaniem nie była prowadzona zgodnie Zasadami. </w:t>
      </w:r>
    </w:p>
    <w:p w:rsidR="00F618A2" w:rsidRPr="00F618A2" w:rsidRDefault="00F618A2" w:rsidP="00F618A2">
      <w:pPr>
        <w:pStyle w:val="Akapitzlist"/>
        <w:numPr>
          <w:ilvl w:val="0"/>
          <w:numId w:val="16"/>
        </w:numPr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Dokumentacja merytoryczna.</w:t>
      </w:r>
    </w:p>
    <w:p w:rsidR="00F618A2" w:rsidRPr="00F618A2" w:rsidRDefault="00F618A2" w:rsidP="00F618A2">
      <w:p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Dokumentacja merytoryczna przedstawiona w trakcie trwania kontroli potwierdziła realizację działań określonych w ofercie i obejmowała: listy uczestników olimpiady, protokoły egzaminów okręgowych i centralnych etapów olimpiad z podziałem na miejscowości. 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Kontrolowany dochował obowiązku informowania o fakcie finansowania zadania przez MEN, poprzez umieszczenie na stronie internetowej informacji, że olimpiada jest finansowana przez Ministerstwo Edukacji Narodowej.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Stwierdzone nieprawidłowości: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Dokumentacja nie zawierała pełnej listy laureatów oraz nauczycieli, którzy przygotowali laureata do olimpiady oraz dokumentacji w sprawie powołania Olimpiady. 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Kontrolowany przedstawił wyjaśnienie</w:t>
      </w:r>
      <w:r w:rsidR="008C08C3">
        <w:rPr>
          <w:rFonts w:ascii="Century Gothic" w:hAnsi="Century Gothic"/>
        </w:rPr>
        <w:t>,</w:t>
      </w:r>
      <w:r w:rsidRPr="00F618A2">
        <w:rPr>
          <w:rFonts w:ascii="Century Gothic" w:hAnsi="Century Gothic"/>
        </w:rPr>
        <w:t xml:space="preserve"> z którego wynikało, że część dokumentacji merytorycznej, przechowywanej na zewnętrznym serwerze, została utrac</w:t>
      </w:r>
      <w:r w:rsidR="008C08C3">
        <w:rPr>
          <w:rFonts w:ascii="Century Gothic" w:hAnsi="Century Gothic"/>
        </w:rPr>
        <w:t>ona. Zostało to spowodowane nie</w:t>
      </w:r>
      <w:r w:rsidRPr="00F618A2">
        <w:rPr>
          <w:rFonts w:ascii="Century Gothic" w:hAnsi="Century Gothic"/>
        </w:rPr>
        <w:t>uiszczeniem przez kontrolowanego, w odpowiednim terminie, płatności za utrzymanie serwera.</w:t>
      </w:r>
    </w:p>
    <w:p w:rsidR="00F618A2" w:rsidRPr="00F618A2" w:rsidRDefault="00F618A2" w:rsidP="00F618A2">
      <w:pPr>
        <w:pStyle w:val="Akapitzlist"/>
        <w:numPr>
          <w:ilvl w:val="0"/>
          <w:numId w:val="16"/>
        </w:numPr>
        <w:spacing w:before="120" w:after="120"/>
        <w:ind w:left="714" w:hanging="357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Dokumentacja finansowa.</w:t>
      </w:r>
    </w:p>
    <w:p w:rsidR="00F618A2" w:rsidRPr="00F618A2" w:rsidRDefault="00F618A2" w:rsidP="00F618A2">
      <w:pPr>
        <w:spacing w:after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Dokumenty finansowe objęte kontrolą dotyczące realizacji zadania wskazały na wydatkowanie dotacji zgodnie z przeznaczeniem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lastRenderedPageBreak/>
        <w:t>i w terminach określonych w umowie. Dokumentacja nie była jednak prowadzona w sposób rzetelny.</w:t>
      </w:r>
    </w:p>
    <w:p w:rsidR="00F618A2" w:rsidRPr="00F618A2" w:rsidRDefault="00F618A2" w:rsidP="00F618A2">
      <w:p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Zgodnie § 6 ust. 4 pkt 2 Zasad, dokumenty finansowe dotyczące wydatków sfinansowanych z dotacji powinny być opatrzone treścią: „Sfinansowane z dotacji MEN – umowa nr MEN/2016/DPPI/887 z dnia ….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 xml:space="preserve">w kwocie…” oraz zawierać informację o przeznaczeniu dokonanych zakupów). Część dokumentacji finansowej nie była prawidłowo opisana. Nieprawidłowość została usunięta w trakcie przeprowadzania kontroli,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 xml:space="preserve">a dokumentacja była przekazywana kontrolującym do 21 czerwca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>2019 r.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Kontrolujący nie otrzymali dowodów na prowadzenie wyodrębnionej ewidencji księgowej przez kontrolowanego oraz poświadczenia, że środki z dotacji były przechowywane na wyodrębnionym rachunku bankowym.</w:t>
      </w:r>
    </w:p>
    <w:p w:rsidR="00F618A2" w:rsidRPr="00F618A2" w:rsidRDefault="00F618A2" w:rsidP="00F618A2">
      <w:pPr>
        <w:spacing w:before="12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Stwierdzone nieprawidłowości:</w:t>
      </w:r>
    </w:p>
    <w:p w:rsidR="00F618A2" w:rsidRPr="00F618A2" w:rsidRDefault="00F618A2" w:rsidP="00F618A2">
      <w:pPr>
        <w:pStyle w:val="Akapitzlist"/>
        <w:numPr>
          <w:ilvl w:val="0"/>
          <w:numId w:val="17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Faktury VAT dokumentujące koszty wyżywienia nie zawierały liczby posiłków ani ceny jednostkowej posiłku – co było wymagane zgodnie z § 7 ust. 2 pkt. 3 lit. c Zasad. </w:t>
      </w:r>
    </w:p>
    <w:p w:rsidR="00F618A2" w:rsidRPr="00F618A2" w:rsidRDefault="00F618A2" w:rsidP="00F618A2">
      <w:pPr>
        <w:pStyle w:val="Akapitzlist"/>
        <w:numPr>
          <w:ilvl w:val="0"/>
          <w:numId w:val="17"/>
        </w:numPr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>do rozliczenia kosztów wyżywienia nie były załączone oświadczenia zleceniobiorcy, że ze środków dotacji nie sfinansowano zakupu alkoholu. – co było wymagane zgodnie z § 7 ust. 2 pkt. 3 lit. c Zasad;</w:t>
      </w:r>
    </w:p>
    <w:p w:rsidR="00F618A2" w:rsidRPr="00F618A2" w:rsidRDefault="00F618A2" w:rsidP="00042A3A">
      <w:pPr>
        <w:spacing w:before="240"/>
        <w:jc w:val="both"/>
        <w:rPr>
          <w:rFonts w:ascii="Century Gothic" w:hAnsi="Century Gothic"/>
        </w:rPr>
      </w:pPr>
      <w:r w:rsidRPr="00F618A2">
        <w:rPr>
          <w:rFonts w:ascii="Century Gothic" w:hAnsi="Century Gothic"/>
        </w:rPr>
        <w:t xml:space="preserve">W wyniku przeprowadzonej kontroli stwierdzono, że Olimpiada Medialna w latach szkolnych: 2016/2017 oraz 2017/2018 została zorganizowana, </w:t>
      </w:r>
      <w:r w:rsidR="00A20950">
        <w:rPr>
          <w:rFonts w:ascii="Century Gothic" w:hAnsi="Century Gothic"/>
        </w:rPr>
        <w:br/>
      </w:r>
      <w:r w:rsidRPr="00F618A2">
        <w:rPr>
          <w:rFonts w:ascii="Century Gothic" w:hAnsi="Century Gothic"/>
        </w:rPr>
        <w:t xml:space="preserve">a kwota objęta kontrolą wykorzystana zgodnie z przeznaczeniem. </w:t>
      </w:r>
    </w:p>
    <w:p w:rsidR="00F618A2" w:rsidRDefault="00042A3A" w:rsidP="00042A3A">
      <w:pPr>
        <w:spacing w:before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N</w:t>
      </w:r>
      <w:r w:rsidRPr="00147FB7">
        <w:rPr>
          <w:rFonts w:ascii="Century Gothic" w:hAnsi="Century Gothic"/>
        </w:rPr>
        <w:t>a podstawie art. 46 ust. 3 pkt 1 ustawy o kontroli w administracji rządowej, przedstawiam następujący wniosek:</w:t>
      </w:r>
    </w:p>
    <w:p w:rsidR="00042A3A" w:rsidRDefault="00042A3A" w:rsidP="00042A3A">
      <w:pPr>
        <w:spacing w:before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W przypadku realizacji zadnia publicznego, finansowanego ze środków Ministra Edukacji Narodowej, </w:t>
      </w:r>
      <w:r w:rsidR="0001039B">
        <w:rPr>
          <w:rFonts w:ascii="Century Gothic" w:hAnsi="Century Gothic"/>
        </w:rPr>
        <w:t>należy prowadzić dokumentację realizacji zadania, w sposób określony w</w:t>
      </w:r>
      <w:r w:rsidRPr="00042A3A">
        <w:rPr>
          <w:rFonts w:ascii="Century Gothic" w:hAnsi="Century Gothic"/>
        </w:rPr>
        <w:t xml:space="preserve"> Zasad</w:t>
      </w:r>
      <w:r w:rsidR="0001039B">
        <w:rPr>
          <w:rFonts w:ascii="Century Gothic" w:hAnsi="Century Gothic"/>
        </w:rPr>
        <w:t>ach</w:t>
      </w:r>
      <w:r w:rsidRPr="00042A3A">
        <w:rPr>
          <w:rFonts w:ascii="Century Gothic" w:hAnsi="Century Gothic"/>
        </w:rPr>
        <w:t xml:space="preserve"> prz</w:t>
      </w:r>
      <w:r w:rsidR="00BC5B3A">
        <w:rPr>
          <w:rFonts w:ascii="Century Gothic" w:hAnsi="Century Gothic"/>
        </w:rPr>
        <w:t>yznawania i</w:t>
      </w:r>
      <w:r w:rsidR="0001039B">
        <w:rPr>
          <w:rFonts w:ascii="Century Gothic" w:hAnsi="Century Gothic"/>
        </w:rPr>
        <w:t> </w:t>
      </w:r>
      <w:r w:rsidR="00BC5B3A">
        <w:rPr>
          <w:rFonts w:ascii="Century Gothic" w:hAnsi="Century Gothic"/>
        </w:rPr>
        <w:t xml:space="preserve">rozliczania dotacji oraz </w:t>
      </w:r>
      <w:r w:rsidR="0001039B">
        <w:rPr>
          <w:rFonts w:ascii="Century Gothic" w:hAnsi="Century Gothic"/>
        </w:rPr>
        <w:t xml:space="preserve">w </w:t>
      </w:r>
      <w:r w:rsidR="00BC5B3A">
        <w:rPr>
          <w:rFonts w:ascii="Century Gothic" w:hAnsi="Century Gothic"/>
        </w:rPr>
        <w:t>Regulamin</w:t>
      </w:r>
      <w:r w:rsidR="0001039B">
        <w:rPr>
          <w:rFonts w:ascii="Century Gothic" w:hAnsi="Century Gothic"/>
        </w:rPr>
        <w:t>ie</w:t>
      </w:r>
      <w:r w:rsidR="00BC5B3A">
        <w:rPr>
          <w:rFonts w:ascii="Century Gothic" w:hAnsi="Century Gothic"/>
        </w:rPr>
        <w:t xml:space="preserve"> konkursu</w:t>
      </w:r>
      <w:r w:rsidR="0001039B">
        <w:rPr>
          <w:rFonts w:ascii="Century Gothic" w:hAnsi="Century Gothic"/>
        </w:rPr>
        <w:t xml:space="preserve">. </w:t>
      </w:r>
    </w:p>
    <w:p w:rsidR="00042A3A" w:rsidRDefault="00BC5B3A" w:rsidP="00BC5B3A">
      <w:pPr>
        <w:spacing w:before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Od wystąpienia pokontrolnego nie przysługują środki odwoławcze.</w:t>
      </w:r>
    </w:p>
    <w:p w:rsidR="00BC5B3A" w:rsidRDefault="00BC5B3A" w:rsidP="00BC5B3A">
      <w:pPr>
        <w:spacing w:before="240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Wystąpienie pokontrolne sporządzono w dwóch jednobrzmiących egzemplarzach.</w:t>
      </w:r>
    </w:p>
    <w:p w:rsidR="001C2408" w:rsidRPr="00481194" w:rsidRDefault="00CC14A9" w:rsidP="00F618A2">
      <w:pPr>
        <w:spacing w:after="120"/>
        <w:jc w:val="both"/>
        <w:rPr>
          <w:rFonts w:ascii="Century Gothic" w:hAnsi="Century Gothic"/>
        </w:rPr>
      </w:pPr>
    </w:p>
    <w:p w:rsidR="001C2408" w:rsidRPr="00733CC5" w:rsidRDefault="00CC14A9" w:rsidP="00733CC5">
      <w:pPr>
        <w:pStyle w:val="menfont"/>
        <w:ind w:right="-285"/>
        <w:rPr>
          <w:rFonts w:ascii="Century Gothic" w:hAnsi="Century Gothic"/>
          <w:sz w:val="20"/>
        </w:rPr>
      </w:pPr>
    </w:p>
    <w:sectPr w:rsidR="001C2408" w:rsidRPr="00733CC5" w:rsidSect="001C2408">
      <w:footerReference w:type="default" r:id="rId7"/>
      <w:headerReference w:type="first" r:id="rId8"/>
      <w:footerReference w:type="first" r:id="rId9"/>
      <w:pgSz w:w="11906" w:h="16838"/>
      <w:pgMar w:top="1701" w:right="1701" w:bottom="0" w:left="1701" w:header="1701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4A9" w:rsidRDefault="00CC14A9">
      <w:r>
        <w:separator/>
      </w:r>
    </w:p>
  </w:endnote>
  <w:endnote w:type="continuationSeparator" w:id="0">
    <w:p w:rsidR="00CC14A9" w:rsidRDefault="00CC14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  <w:embedRegular r:id="rId1" w:fontKey="{01B4F557-00F8-4C6D-9287-7EADD6A6D778}"/>
    <w:embedBold r:id="rId2" w:fontKey="{2A1621A7-057C-4263-9326-CA30B65BA3A1}"/>
    <w:embedItalic r:id="rId3" w:fontKey="{911C5784-CD14-4CFA-B63A-19925D70F8B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B5EF8C08-464C-42A3-BBB7-755977974881}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  <w:embedRegular r:id="rId5" w:fontKey="{AB051018-222B-4E2A-AECE-B8DBF47CA4E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9424578"/>
      <w:docPartObj>
        <w:docPartGallery w:val="Page Numbers (Bottom of Page)"/>
        <w:docPartUnique/>
      </w:docPartObj>
    </w:sdtPr>
    <w:sdtEndPr/>
    <w:sdtContent>
      <w:p w:rsidR="0001039B" w:rsidRDefault="0001039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7E4">
          <w:rPr>
            <w:noProof/>
          </w:rPr>
          <w:t>2</w:t>
        </w:r>
        <w:r>
          <w:fldChar w:fldCharType="end"/>
        </w:r>
      </w:p>
    </w:sdtContent>
  </w:sdt>
  <w:p w:rsidR="00DF28D0" w:rsidRDefault="00CC14A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28D0" w:rsidRDefault="0003057B">
    <w:pPr>
      <w:pStyle w:val="Stopka"/>
    </w:pPr>
    <w:r>
      <w:rPr>
        <w:noProof/>
      </w:rPr>
      <w:drawing>
        <wp:anchor distT="0" distB="0" distL="114300" distR="114300" simplePos="0" relativeHeight="251658240" behindDoc="1" locked="1" layoutInCell="1" allowOverlap="0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5391150" cy="1095375"/>
          <wp:effectExtent l="0" t="0" r="0" b="0"/>
          <wp:wrapTopAndBottom/>
          <wp:docPr id="124" name="Obraz 124" descr="DYREKTOR GENERALNY-footer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YREKTOR GENERALNY-footer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91150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4A9" w:rsidRDefault="00CC14A9">
      <w:r>
        <w:separator/>
      </w:r>
    </w:p>
  </w:footnote>
  <w:footnote w:type="continuationSeparator" w:id="0">
    <w:p w:rsidR="00CC14A9" w:rsidRDefault="00CC14A9">
      <w:r>
        <w:continuationSeparator/>
      </w:r>
    </w:p>
  </w:footnote>
  <w:footnote w:id="1">
    <w:p w:rsidR="00F618A2" w:rsidRPr="00F618A2" w:rsidRDefault="00F618A2" w:rsidP="00F618A2">
      <w:pPr>
        <w:pStyle w:val="Tekstprzypisudolnego"/>
        <w:jc w:val="both"/>
        <w:rPr>
          <w:rFonts w:ascii="Century Gothic" w:hAnsi="Century Gothic"/>
          <w:sz w:val="18"/>
          <w:szCs w:val="18"/>
        </w:rPr>
      </w:pPr>
      <w:r>
        <w:rPr>
          <w:rStyle w:val="Odwoanieprzypisudolnego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r w:rsidRPr="00F618A2">
        <w:rPr>
          <w:rFonts w:ascii="Century Gothic" w:hAnsi="Century Gothic"/>
          <w:sz w:val="18"/>
          <w:szCs w:val="18"/>
        </w:rPr>
        <w:t xml:space="preserve">Kontrolę przeprowadzili pracownicy Ministerstwa Edukacji Narodowej: </w:t>
      </w:r>
    </w:p>
    <w:p w:rsidR="00F618A2" w:rsidRPr="00F618A2" w:rsidRDefault="00F618A2" w:rsidP="00F618A2">
      <w:pPr>
        <w:pStyle w:val="Tekstprzypisudolnego"/>
        <w:numPr>
          <w:ilvl w:val="0"/>
          <w:numId w:val="8"/>
        </w:numPr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F618A2">
        <w:rPr>
          <w:rFonts w:ascii="Century Gothic" w:hAnsi="Century Gothic"/>
          <w:sz w:val="18"/>
          <w:szCs w:val="18"/>
        </w:rPr>
        <w:t xml:space="preserve">Agnieszka Mokrogulska – główny specjalista w Wydziale Innowacji i Technologii </w:t>
      </w:r>
      <w:r>
        <w:rPr>
          <w:rFonts w:ascii="Century Gothic" w:hAnsi="Century Gothic"/>
          <w:sz w:val="18"/>
          <w:szCs w:val="18"/>
        </w:rPr>
        <w:br/>
      </w:r>
      <w:r w:rsidRPr="00F618A2">
        <w:rPr>
          <w:rFonts w:ascii="Century Gothic" w:hAnsi="Century Gothic"/>
          <w:sz w:val="18"/>
          <w:szCs w:val="18"/>
        </w:rPr>
        <w:t>w Departamencie Podręczników, Programów i Innowacji na podstawie upoważnienia nr 4</w:t>
      </w:r>
      <w:r>
        <w:rPr>
          <w:rFonts w:ascii="Century Gothic" w:hAnsi="Century Gothic"/>
          <w:sz w:val="18"/>
          <w:szCs w:val="18"/>
        </w:rPr>
        <w:t>0/2018</w:t>
      </w:r>
      <w:r w:rsidRPr="00F618A2">
        <w:rPr>
          <w:rFonts w:ascii="Century Gothic" w:hAnsi="Century Gothic"/>
          <w:sz w:val="18"/>
          <w:szCs w:val="18"/>
        </w:rPr>
        <w:t xml:space="preserve"> z </w:t>
      </w:r>
      <w:r>
        <w:rPr>
          <w:rFonts w:ascii="Century Gothic" w:hAnsi="Century Gothic"/>
          <w:sz w:val="18"/>
          <w:szCs w:val="18"/>
        </w:rPr>
        <w:t>2 października 2018</w:t>
      </w:r>
      <w:r w:rsidRPr="00F618A2">
        <w:rPr>
          <w:rFonts w:ascii="Century Gothic" w:hAnsi="Century Gothic"/>
          <w:sz w:val="18"/>
          <w:szCs w:val="18"/>
        </w:rPr>
        <w:t xml:space="preserve"> r. - kierownik zespołu kontrolującego; </w:t>
      </w:r>
    </w:p>
    <w:p w:rsidR="00F618A2" w:rsidRDefault="00F618A2" w:rsidP="00F618A2">
      <w:pPr>
        <w:pStyle w:val="menfont"/>
        <w:numPr>
          <w:ilvl w:val="0"/>
          <w:numId w:val="8"/>
        </w:numPr>
        <w:ind w:left="284" w:hanging="284"/>
        <w:jc w:val="both"/>
        <w:rPr>
          <w:sz w:val="18"/>
          <w:szCs w:val="18"/>
        </w:rPr>
      </w:pPr>
      <w:r w:rsidRPr="00F618A2">
        <w:rPr>
          <w:rFonts w:ascii="Century Gothic" w:hAnsi="Century Gothic"/>
          <w:sz w:val="18"/>
          <w:szCs w:val="18"/>
        </w:rPr>
        <w:t>Magdalena Traczuk-Rąpała – starszy specjalista w Wydz</w:t>
      </w:r>
      <w:r w:rsidR="00B72EF0">
        <w:rPr>
          <w:rFonts w:ascii="Century Gothic" w:hAnsi="Century Gothic"/>
          <w:sz w:val="18"/>
          <w:szCs w:val="18"/>
        </w:rPr>
        <w:t>iale Innowacji i Technologii, w </w:t>
      </w:r>
      <w:r w:rsidRPr="00F618A2">
        <w:rPr>
          <w:rFonts w:ascii="Century Gothic" w:hAnsi="Century Gothic"/>
          <w:sz w:val="18"/>
          <w:szCs w:val="18"/>
        </w:rPr>
        <w:t xml:space="preserve">Departamencie Podręczników, Programów i Innowacja </w:t>
      </w:r>
      <w:r>
        <w:rPr>
          <w:rFonts w:ascii="Century Gothic" w:hAnsi="Century Gothic"/>
          <w:sz w:val="18"/>
          <w:szCs w:val="18"/>
        </w:rPr>
        <w:t xml:space="preserve">na podstawie upoważnienia </w:t>
      </w:r>
      <w:r w:rsidRPr="00F618A2">
        <w:rPr>
          <w:rFonts w:ascii="Century Gothic" w:hAnsi="Century Gothic"/>
          <w:sz w:val="18"/>
          <w:szCs w:val="18"/>
        </w:rPr>
        <w:t>nr 40/2018 z 2 października 2018 r</w:t>
      </w:r>
      <w:r>
        <w:rPr>
          <w:rFonts w:ascii="Century Gothic" w:hAnsi="Century Gothic"/>
          <w:sz w:val="18"/>
          <w:szCs w:val="18"/>
        </w:rPr>
        <w:t>.</w:t>
      </w:r>
      <w:r w:rsidRPr="00F618A2">
        <w:rPr>
          <w:rFonts w:ascii="Century Gothic" w:hAnsi="Century Gothic"/>
          <w:sz w:val="18"/>
          <w:szCs w:val="18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3CE2" w:rsidRPr="00C51C98" w:rsidRDefault="0003057B" w:rsidP="00C51C98">
    <w:pPr>
      <w:pStyle w:val="Nagwek"/>
      <w:jc w:val="center"/>
      <w:rPr>
        <w:rFonts w:asciiTheme="majorHAnsi" w:hAnsiTheme="majorHAnsi" w:cs="Times New Roman"/>
        <w:sz w:val="34"/>
        <w:szCs w:val="34"/>
      </w:rPr>
    </w:pPr>
    <w:r>
      <w:rPr>
        <w:rFonts w:asciiTheme="majorHAnsi" w:hAnsiTheme="majorHAnsi" w:cs="Times New Roman"/>
        <w:sz w:val="34"/>
        <w:szCs w:val="34"/>
      </w:rPr>
      <w:t>MINISTER EDUKACJI NARODOWEJ</w:t>
    </w:r>
  </w:p>
  <w:p w:rsidR="00082207" w:rsidRPr="00933CE2" w:rsidRDefault="0003057B" w:rsidP="00933CE2">
    <w:pPr>
      <w:pStyle w:val="Nagwek"/>
      <w:jc w:val="center"/>
      <w:rPr>
        <w:rFonts w:asciiTheme="majorHAnsi" w:hAnsiTheme="majorHAnsi"/>
        <w:sz w:val="26"/>
        <w:szCs w:val="26"/>
      </w:rPr>
    </w:pPr>
    <w:r>
      <w:rPr>
        <w:noProof/>
      </w:rPr>
      <w:drawing>
        <wp:anchor distT="0" distB="180340" distL="114300" distR="114300" simplePos="0" relativeHeight="251660288" behindDoc="1" locked="1" layoutInCell="1" allowOverlap="0">
          <wp:simplePos x="0" y="0"/>
          <wp:positionH relativeFrom="page">
            <wp:posOffset>3404870</wp:posOffset>
          </wp:positionH>
          <wp:positionV relativeFrom="page">
            <wp:posOffset>431165</wp:posOffset>
          </wp:positionV>
          <wp:extent cx="750570" cy="828675"/>
          <wp:effectExtent l="0" t="0" r="0" b="0"/>
          <wp:wrapTopAndBottom/>
          <wp:docPr id="123" name="Obraz 1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YREKTOR GENERALNY-Robert Bartold-logotype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0570" cy="8286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30083"/>
    <w:multiLevelType w:val="hybridMultilevel"/>
    <w:tmpl w:val="7DC679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521E1"/>
    <w:multiLevelType w:val="hybridMultilevel"/>
    <w:tmpl w:val="B8646B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B5186B"/>
    <w:multiLevelType w:val="hybridMultilevel"/>
    <w:tmpl w:val="D7F0D3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B54F8"/>
    <w:multiLevelType w:val="singleLevel"/>
    <w:tmpl w:val="F1A0256A"/>
    <w:lvl w:ilvl="0">
      <w:start w:val="1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 w15:restartNumberingAfterBreak="0">
    <w:nsid w:val="1C663784"/>
    <w:multiLevelType w:val="singleLevel"/>
    <w:tmpl w:val="FA264B86"/>
    <w:lvl w:ilvl="0">
      <w:start w:val="6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 w15:restartNumberingAfterBreak="0">
    <w:nsid w:val="1DE21E66"/>
    <w:multiLevelType w:val="hybridMultilevel"/>
    <w:tmpl w:val="E94EDA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3F0162"/>
    <w:multiLevelType w:val="hybridMultilevel"/>
    <w:tmpl w:val="6AEA2B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C7A4482"/>
    <w:multiLevelType w:val="singleLevel"/>
    <w:tmpl w:val="D0A4D84A"/>
    <w:lvl w:ilvl="0">
      <w:start w:val="4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8" w15:restartNumberingAfterBreak="0">
    <w:nsid w:val="5B3C4949"/>
    <w:multiLevelType w:val="hybridMultilevel"/>
    <w:tmpl w:val="6B26E7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24F33F8"/>
    <w:multiLevelType w:val="hybridMultilevel"/>
    <w:tmpl w:val="EB9453F6"/>
    <w:lvl w:ilvl="0" w:tplc="70A6F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2AC3F17"/>
    <w:multiLevelType w:val="hybridMultilevel"/>
    <w:tmpl w:val="3FECCAE6"/>
    <w:lvl w:ilvl="0" w:tplc="5A8AF3B8">
      <w:start w:val="3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2AE7B61"/>
    <w:multiLevelType w:val="singleLevel"/>
    <w:tmpl w:val="F18AE846"/>
    <w:lvl w:ilvl="0">
      <w:start w:val="2"/>
      <w:numFmt w:val="decimal"/>
      <w:lvlText w:val="%1)"/>
      <w:legacy w:legacy="1" w:legacySpace="0" w:legacyIndent="355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2" w15:restartNumberingAfterBreak="0">
    <w:nsid w:val="642536E6"/>
    <w:multiLevelType w:val="hybridMultilevel"/>
    <w:tmpl w:val="990C0F88"/>
    <w:lvl w:ilvl="0" w:tplc="EB5CA6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FC40591"/>
    <w:multiLevelType w:val="hybridMultilevel"/>
    <w:tmpl w:val="0AC2EF1C"/>
    <w:lvl w:ilvl="0" w:tplc="70A6FCA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0D2467"/>
    <w:multiLevelType w:val="hybridMultilevel"/>
    <w:tmpl w:val="975E5574"/>
    <w:lvl w:ilvl="0" w:tplc="70A6F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1E0CCE"/>
    <w:multiLevelType w:val="hybridMultilevel"/>
    <w:tmpl w:val="F322DF0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3"/>
  </w:num>
  <w:num w:numId="8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>
      <w:startOverride w:val="2"/>
    </w:lvlOverride>
  </w:num>
  <w:num w:numId="11">
    <w:abstractNumId w:val="7"/>
    <w:lvlOverride w:ilvl="0">
      <w:startOverride w:val="4"/>
    </w:lvlOverride>
  </w:num>
  <w:num w:numId="12">
    <w:abstractNumId w:val="4"/>
    <w:lvlOverride w:ilvl="0">
      <w:startOverride w:val="6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embedTrueTypeFonts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8A2"/>
    <w:rsid w:val="0001039B"/>
    <w:rsid w:val="0003057B"/>
    <w:rsid w:val="00042A3A"/>
    <w:rsid w:val="000D7B68"/>
    <w:rsid w:val="00163327"/>
    <w:rsid w:val="00463D01"/>
    <w:rsid w:val="00481194"/>
    <w:rsid w:val="005B7166"/>
    <w:rsid w:val="006455F1"/>
    <w:rsid w:val="00690479"/>
    <w:rsid w:val="008C08C3"/>
    <w:rsid w:val="00901118"/>
    <w:rsid w:val="00A20950"/>
    <w:rsid w:val="00A7084E"/>
    <w:rsid w:val="00B35194"/>
    <w:rsid w:val="00B72EF0"/>
    <w:rsid w:val="00BC5B3A"/>
    <w:rsid w:val="00C907E4"/>
    <w:rsid w:val="00CC14A9"/>
    <w:rsid w:val="00CD6FC4"/>
    <w:rsid w:val="00DA23E1"/>
    <w:rsid w:val="00DB7E87"/>
    <w:rsid w:val="00EB01D2"/>
    <w:rsid w:val="00F4462C"/>
    <w:rsid w:val="00F61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  <w:uiPriority w:val="99"/>
  </w:style>
  <w:style w:type="paragraph" w:styleId="Tekstprzypisudolnego">
    <w:name w:val="footnote text"/>
    <w:basedOn w:val="Normalny"/>
    <w:link w:val="TekstprzypisudolnegoZnak"/>
    <w:semiHidden/>
    <w:unhideWhenUsed/>
    <w:rsid w:val="00F618A2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618A2"/>
    <w:rPr>
      <w:rFonts w:ascii="Arial" w:hAnsi="Arial" w:cs="Arial"/>
    </w:rPr>
  </w:style>
  <w:style w:type="paragraph" w:styleId="Akapitzlist">
    <w:name w:val="List Paragraph"/>
    <w:basedOn w:val="Normalny"/>
    <w:uiPriority w:val="34"/>
    <w:qFormat/>
    <w:rsid w:val="00F618A2"/>
    <w:pPr>
      <w:ind w:left="720"/>
      <w:contextualSpacing/>
    </w:pPr>
  </w:style>
  <w:style w:type="character" w:styleId="Odwoanieprzypisudolnego">
    <w:name w:val="footnote reference"/>
    <w:uiPriority w:val="99"/>
    <w:semiHidden/>
    <w:unhideWhenUsed/>
    <w:rsid w:val="00F618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88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1349</Words>
  <Characters>8095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2020-09-11T08:30:00Z</dcterms:created>
  <dcterms:modified xsi:type="dcterms:W3CDTF">2020-09-11T08:30:00Z</dcterms:modified>
</cp:coreProperties>
</file>