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2D75" w14:textId="1C67116A" w:rsidR="002D23F2" w:rsidRDefault="0074355B" w:rsidP="002D23F2">
      <w:pPr>
        <w:pStyle w:val="Default"/>
        <w:contextualSpacing/>
        <w:jc w:val="right"/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  <w:t>ZAŁ</w:t>
      </w:r>
      <w:r w:rsidR="002D23F2"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  <w:t>Ą</w:t>
      </w:r>
      <w:r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  <w:t xml:space="preserve">CZNIK NR 1 </w:t>
      </w:r>
    </w:p>
    <w:p w14:paraId="4A6798A5" w14:textId="18330F78" w:rsidR="0074355B" w:rsidRDefault="0074355B" w:rsidP="002D23F2">
      <w:pPr>
        <w:pStyle w:val="Default"/>
        <w:contextualSpacing/>
        <w:jc w:val="center"/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  <w:t>OPIS PRZEDMIOTU ZAMÓWIENIA</w:t>
      </w:r>
    </w:p>
    <w:p w14:paraId="5979919B" w14:textId="77777777" w:rsidR="0074355B" w:rsidRDefault="0074355B" w:rsidP="0074355B">
      <w:pPr>
        <w:pStyle w:val="Default"/>
        <w:contextualSpacing/>
        <w:jc w:val="both"/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</w:pPr>
    </w:p>
    <w:p w14:paraId="774F1508" w14:textId="0357C6FD" w:rsidR="0074355B" w:rsidRDefault="0074355B" w:rsidP="0074355B">
      <w:pPr>
        <w:pStyle w:val="Default"/>
        <w:contextualSpacing/>
        <w:jc w:val="both"/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</w:pPr>
      <w:r w:rsidRPr="00EA461E"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  <w:t>Usługa merytorycznego wsparcia i doradztwa w obszarze działalności naukowej i sprawozdawczości oraz zapewnienie dostępu do systemu służącego do zarządzania nauką wraz z jego serwisowaniem dla PIM MSWiA</w:t>
      </w:r>
      <w:r w:rsidRPr="009D07D4"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  <w:t>.</w:t>
      </w:r>
    </w:p>
    <w:p w14:paraId="2FE6CA38" w14:textId="77777777" w:rsidR="0074355B" w:rsidRPr="00EA25F2" w:rsidRDefault="0074355B" w:rsidP="0074355B">
      <w:pPr>
        <w:pStyle w:val="Default"/>
        <w:contextualSpacing/>
        <w:jc w:val="both"/>
        <w:rPr>
          <w:rFonts w:ascii="Calibri" w:eastAsia="Calibri" w:hAnsi="Calibri" w:cs="Calibri"/>
          <w:b/>
          <w:bCs/>
          <w:iCs/>
          <w:color w:val="auto"/>
          <w:sz w:val="22"/>
          <w:szCs w:val="22"/>
        </w:rPr>
      </w:pPr>
    </w:p>
    <w:p w14:paraId="43E898FD" w14:textId="77777777" w:rsidR="0074355B" w:rsidRDefault="0074355B" w:rsidP="0074355B">
      <w:pPr>
        <w:pStyle w:val="Default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Przedmiot zamówienia obejmuje:</w:t>
      </w:r>
    </w:p>
    <w:p w14:paraId="4D420929" w14:textId="77777777" w:rsidR="0074355B" w:rsidRPr="00584EF7" w:rsidRDefault="0074355B" w:rsidP="0074355B">
      <w:pPr>
        <w:pStyle w:val="Default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9664F45" w14:textId="77777777" w:rsidR="0074355B" w:rsidRPr="00FD1401" w:rsidRDefault="0074355B" w:rsidP="0074355B">
      <w:pPr>
        <w:numPr>
          <w:ilvl w:val="1"/>
          <w:numId w:val="1"/>
        </w:numPr>
        <w:suppressAutoHyphens w:val="0"/>
        <w:spacing w:after="12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D1401">
        <w:rPr>
          <w:rFonts w:ascii="Calibri" w:hAnsi="Calibri" w:cs="Calibri"/>
          <w:b/>
          <w:bCs/>
          <w:sz w:val="22"/>
          <w:szCs w:val="22"/>
        </w:rPr>
        <w:t>Świadczenie usługi w zakresie efektywnego wykorzystania potencjału naukowego poprzez:</w:t>
      </w:r>
    </w:p>
    <w:p w14:paraId="64FC010D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okresową weryfikację osiągnięć naukowych pracowników naukowych;</w:t>
      </w:r>
    </w:p>
    <w:p w14:paraId="32C13AA5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okresową analizę porównawczą w obszarze prowadzonej działalności naukowej w ramach  dyscyplin nauki medyczne i nauki o zdrowiu w związku z ewaluacją jakości działalności naukowej;</w:t>
      </w:r>
    </w:p>
    <w:p w14:paraId="39F3AD80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planowanie aktywności publikacyjnej pracowników badawczych w oparciu o indywidualne cele publikacyjne, dostosowane do możliwości i potencjału poszczególnych pracowników, dyscyplin, jednostek organizacyjnych;</w:t>
      </w:r>
    </w:p>
    <w:p w14:paraId="5453CE02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optymalizacji slotów publikacyjnych oraz analizy porównawczej dyscyplin nauki medyczne i nauki o zdrowiu;</w:t>
      </w:r>
    </w:p>
    <w:p w14:paraId="2E12F9A5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doradztwo w analizie osiągnięć wskazanych przez algorytm optymalizujący i wsparcie w przygotowaniu listy innych osiągnięć naukowych (w ramach dyscyplin nauki medyczne i  nauki o zdrowiu), które nie zostały wybrane w wyniku zastosowania algorytmu optymalizującego;</w:t>
      </w:r>
    </w:p>
    <w:p w14:paraId="28FFFD65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projektów badawczych zgłoszonych przez pracowników z nauk medycznych i nauk o zdrowiu pod kątem kwalifikowalności do ewaluacji jakości działalności naukowej;</w:t>
      </w:r>
    </w:p>
    <w:p w14:paraId="7FA8C5FB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działalności naukowej pod kątem komercjalizacji wyników badań naukowych w  ramach dyscyplin nauki medyczne i nauki o zdrowiu;</w:t>
      </w:r>
    </w:p>
    <w:p w14:paraId="08C03A87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działalności naukowej pod kątem wykorzystania efektów finansowych badań naukowych i prac rozwojowych w obszarze realizowanych projektów naukowych przypisanych do dyscyplin nauki medyczne i nauki o zdrowiu;</w:t>
      </w:r>
    </w:p>
    <w:p w14:paraId="519208C3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działalności naukowej pod kątem usług badawczych świadczonych na zlecenie podmiotów nienależących do systemu szkolnictwa wyższego;</w:t>
      </w:r>
    </w:p>
    <w:p w14:paraId="6A66F1C3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identyfikację obszarów wymagających wzmocnienia w związku z prowadzoną działalnością naukową w ramach dyscyplin nauki medyczne i nauki o zdrowiu;</w:t>
      </w:r>
    </w:p>
    <w:p w14:paraId="0A55A647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rekomendacje działań w obszarze prowadzonej działalności naukowej w ramach dyscyplin nauki medyczne i nauki o zdrowiu; </w:t>
      </w:r>
    </w:p>
    <w:p w14:paraId="12D89C81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opracowania planu strategicznego pod kątem ewaluacji jakości działalności naukowej w  ramach dyscyplin nauki medyczne i nauki o zdrowiu;</w:t>
      </w:r>
    </w:p>
    <w:p w14:paraId="1AF8C8DF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opracowanie strategicznego planu rozwoju dyscyplin naukowych w ramach dyscyplin nauki medyczne i nauki o zdrowiu; </w:t>
      </w:r>
    </w:p>
    <w:p w14:paraId="553EDBD7" w14:textId="77777777" w:rsidR="0074355B" w:rsidRPr="00CB7D0D" w:rsidRDefault="0074355B" w:rsidP="0074355B">
      <w:pPr>
        <w:pStyle w:val="Akapitzlist"/>
        <w:numPr>
          <w:ilvl w:val="0"/>
          <w:numId w:val="11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okresową sprawozdawczość dot. stanu przygotowań dyscyplin nauki medyczne i nauki o  zdrowiu do ewaluacji jakości działalności naukowe;</w:t>
      </w:r>
    </w:p>
    <w:p w14:paraId="6784B639" w14:textId="77777777" w:rsidR="0074355B" w:rsidRPr="00FD1401" w:rsidRDefault="0074355B" w:rsidP="0074355B">
      <w:pPr>
        <w:numPr>
          <w:ilvl w:val="1"/>
          <w:numId w:val="1"/>
        </w:numPr>
        <w:suppressAutoHyphens w:val="0"/>
        <w:spacing w:after="12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D1401">
        <w:rPr>
          <w:rFonts w:ascii="Calibri" w:hAnsi="Calibri" w:cs="Calibri"/>
          <w:b/>
          <w:bCs/>
          <w:sz w:val="22"/>
          <w:szCs w:val="22"/>
        </w:rPr>
        <w:t>Okresową weryfikację stanu danych raportowanych do systemu POL-on wraz z jego podsystemami, w szczególności:</w:t>
      </w:r>
    </w:p>
    <w:p w14:paraId="694F90DB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strukturę zatrudnienia do prowadzenia działalności naukowej, w tym: warunków zatrudnienia, dat początku i końca zatrudnienia, podstaw zatrudnienia, stanowisk pracy, grup stanowisk, charakteru zatrudnienia oraz wymiaru czasu pracy;</w:t>
      </w:r>
    </w:p>
    <w:p w14:paraId="2C750DD5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lastRenderedPageBreak/>
        <w:t>analizę zgodności informacji odnośnie złożonych oświadczeń o reprezentowanych dyscyplinach naukowych oraz o zaliczeniu do tzw. „liczby N”, w oparciu o dostępne informacje w systemie POL-on i SEDN26-DEMO;</w:t>
      </w:r>
    </w:p>
    <w:p w14:paraId="21A069EA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analizę zgodności informacji odnośnie zaraportowanych danych o znacznikach dotyczących prowadzonej działalności naukowej w ramach dyscyplin nauki medyczne i  nauki o zdrowiu, udziałów czasu pracy oraz licznie dni nieobecnych w pracy w danym roku kalendarzowym; </w:t>
      </w:r>
    </w:p>
    <w:p w14:paraId="220BFF11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osiągnięć naukowych w tym: artykułów, materiałów konferencyjnych, rozdziałów, redakcji, monografii;</w:t>
      </w:r>
    </w:p>
    <w:p w14:paraId="4144E679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analizę osiągnięć: praw ochronnych na wzór użytkowy, patentu na wynalazek; </w:t>
      </w:r>
    </w:p>
    <w:p w14:paraId="0B4A8BBF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analizę nakładów na badania naukowe i prace rozwojowe oraz źródła pochodzenia środków i wynik finansowy; </w:t>
      </w:r>
    </w:p>
    <w:p w14:paraId="45DFE56B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analizę prowadzonych projektów obejmujących badania naukowe lub prace rozwojowe finansowane w trybie konkursowym; </w:t>
      </w:r>
    </w:p>
    <w:p w14:paraId="39711B34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 xml:space="preserve">analizę przychodów z tytułu komercjalizacji wyników badań naukowych lub prac rozwojowych lub know-how związanego z tymi wynikami; </w:t>
      </w:r>
    </w:p>
    <w:p w14:paraId="432D71DB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przychodów ze sprzedaży usług badawczych realizowanych na zlecenie;</w:t>
      </w:r>
    </w:p>
    <w:p w14:paraId="4175C1D7" w14:textId="77777777" w:rsidR="0074355B" w:rsidRPr="00CB7D0D" w:rsidRDefault="0074355B" w:rsidP="0074355B">
      <w:pPr>
        <w:pStyle w:val="Akapitzlist"/>
        <w:numPr>
          <w:ilvl w:val="0"/>
          <w:numId w:val="12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zgodności kluczowych danych o prowadzonej działalności naukowej, sprawozdawanych do systemu POL-on i SEDN26-DEMO</w:t>
      </w:r>
      <w:r>
        <w:rPr>
          <w:rFonts w:ascii="Calibri" w:hAnsi="Calibri" w:cs="Calibri"/>
          <w:sz w:val="22"/>
          <w:szCs w:val="22"/>
        </w:rPr>
        <w:t>.</w:t>
      </w:r>
    </w:p>
    <w:p w14:paraId="5D9A226E" w14:textId="77777777" w:rsidR="0074355B" w:rsidRPr="00FD1401" w:rsidRDefault="0074355B" w:rsidP="0074355B">
      <w:pPr>
        <w:numPr>
          <w:ilvl w:val="1"/>
          <w:numId w:val="1"/>
        </w:numPr>
        <w:suppressAutoHyphens w:val="0"/>
        <w:spacing w:after="12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D1401">
        <w:rPr>
          <w:rFonts w:ascii="Calibri" w:hAnsi="Calibri" w:cs="Calibri"/>
          <w:b/>
          <w:bCs/>
          <w:sz w:val="22"/>
          <w:szCs w:val="22"/>
        </w:rPr>
        <w:t>Doradztwo w przygotowaniu opisów wpływu badań na gospodarkę i społeczeństwo, w tym:</w:t>
      </w:r>
    </w:p>
    <w:p w14:paraId="7D27C12E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oszacowanie potencjału badawczego ewaluowanych dyscyplin nauki medyczne i nauki o  zdrowiu w zakresie potencjalnego wpływu na otoczenie społeczno-gospodarcze;</w:t>
      </w:r>
    </w:p>
    <w:p w14:paraId="792AFF23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wsparcie w identyfikacji związku między wynikami działalności naukowej, a jednym z  obszarów oddziaływania na społeczeństwo i gospodarkę w ramach dyscyplin nauki medyczne i nauki o zdrowiu;</w:t>
      </w:r>
    </w:p>
    <w:p w14:paraId="018AE49E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wsparcie w identyfikacji wymogów formalnych dla dowodów wpływu spełniających warunki wskazujące na związek między wynikami działalności naukowej a otoczeniem społeczno-gospodarczym w ramach dyscyplin nauki medyczne i nauki o zdrowiu;</w:t>
      </w:r>
    </w:p>
    <w:p w14:paraId="48714176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dowodów wkładu naukowego, jego zakresu i przedmiotu oddziaływania w ramach dyscyplin nauki medyczne i nauki o zdrowiu;</w:t>
      </w:r>
    </w:p>
    <w:p w14:paraId="3BE93152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wpływu społeczno-gospodarczego, z uwzględnieniem: pomiaru wpływu i oszacowania skali jego oddziaływania, identyfikację interesariuszy i beneficjentów wpływu w ramach dyscyplin nauki medyczne i nauki o zdrowiu;</w:t>
      </w:r>
    </w:p>
    <w:p w14:paraId="7C15F9D7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analizę dowodów wpływu tj. form i rodzajów dowodów wpływu, źródeł informacji o  dowodach, dokumentacji potwierdzającej wpływ w ramach dyscyplin nauki medyczne i nauki o zdrowiu;</w:t>
      </w:r>
    </w:p>
    <w:p w14:paraId="721EB240" w14:textId="77777777" w:rsidR="0074355B" w:rsidRPr="00CB7D0D" w:rsidRDefault="0074355B" w:rsidP="0074355B">
      <w:pPr>
        <w:pStyle w:val="Akapitzlist"/>
        <w:numPr>
          <w:ilvl w:val="0"/>
          <w:numId w:val="13"/>
        </w:numPr>
        <w:suppressAutoHyphens w:val="0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CB7D0D">
        <w:rPr>
          <w:rFonts w:ascii="Calibri" w:hAnsi="Calibri" w:cs="Calibri"/>
          <w:sz w:val="22"/>
          <w:szCs w:val="22"/>
        </w:rPr>
        <w:t>merytoryczne wsparcie przy opracowaniu opisów wpływu w naukach medycznych i opisów wpływu w naukach o zdrowiu wraz z niezbędnymi dowodami, które powinny zawierać: streszczenia opisu wpływu, charakterystyki zasięgu i znaczenia wpływu, interdyscyplinarności, efektów działalności naukowej mającej znaczenie dla kreowania wpływu, charakterystyki głównych wniosków wynikających ze związku między wynikami działalności naukowej a wpływem (tj. identyfikację ustaleń badawczych leżących u podstaw wpływu, prawdopodobieństwa zaistnienia wpływu wraz z pojawieniem się nowej wiedzy i umiejętności wynikających z prowadzonej działalności naukowej).</w:t>
      </w:r>
    </w:p>
    <w:p w14:paraId="1EA938EA" w14:textId="77777777" w:rsidR="0074355B" w:rsidRPr="00EA25F2" w:rsidRDefault="0074355B" w:rsidP="0074355B">
      <w:pPr>
        <w:spacing w:after="120" w:line="276" w:lineRule="auto"/>
        <w:ind w:left="340"/>
        <w:jc w:val="both"/>
        <w:rPr>
          <w:rFonts w:ascii="Calibri" w:hAnsi="Calibri" w:cs="Calibri"/>
          <w:bCs/>
          <w:sz w:val="22"/>
          <w:szCs w:val="22"/>
        </w:rPr>
      </w:pPr>
      <w:r w:rsidRPr="00EA25F2">
        <w:rPr>
          <w:rFonts w:ascii="Calibri" w:hAnsi="Calibri" w:cs="Calibri"/>
          <w:bCs/>
          <w:sz w:val="22"/>
          <w:szCs w:val="22"/>
        </w:rPr>
        <w:t xml:space="preserve">Usługi doradczo-eksperckie świadczone przez Wykonawcę należy </w:t>
      </w:r>
      <w:r w:rsidRPr="00EA25F2">
        <w:rPr>
          <w:rFonts w:ascii="Calibri" w:hAnsi="Calibri" w:cs="Calibri"/>
          <w:sz w:val="22"/>
          <w:szCs w:val="22"/>
        </w:rPr>
        <w:t xml:space="preserve">rozumieć jako wsparcie merytoryczne. Informacje przekazywane przez Wykonawcę nie mogą być traktowane jako doradztwo prawne, podatkowe, techniczne lub świadczenie czynności informatycznych, ponadto </w:t>
      </w:r>
      <w:r w:rsidRPr="00EA25F2">
        <w:rPr>
          <w:rFonts w:ascii="Calibri" w:hAnsi="Calibri" w:cs="Calibri"/>
          <w:bCs/>
          <w:sz w:val="22"/>
          <w:szCs w:val="22"/>
        </w:rPr>
        <w:lastRenderedPageBreak/>
        <w:t>nie dotyczą czynności zarządzania, czynności menedżerskich, doradztwa podatkowego, doradztwa prawnego, przygotowania wniosku o ponowne rozpatrzenie sprawy przyznania kategorii naukowej,</w:t>
      </w:r>
      <w:r w:rsidRPr="00EA25F2">
        <w:rPr>
          <w:rFonts w:ascii="Calibri" w:hAnsi="Calibri" w:cs="Calibri"/>
          <w:sz w:val="22"/>
          <w:szCs w:val="22"/>
        </w:rPr>
        <w:t xml:space="preserve"> </w:t>
      </w:r>
      <w:r w:rsidRPr="00EA25F2">
        <w:rPr>
          <w:rFonts w:ascii="Calibri" w:hAnsi="Calibri" w:cs="Calibri"/>
          <w:bCs/>
          <w:sz w:val="22"/>
          <w:szCs w:val="22"/>
        </w:rPr>
        <w:t>prowadzenia szkoleń, organizacji procesów wydawniczych, pozyskiwania podmiotów do współpracy, lokowania publikacji, indeksacji.</w:t>
      </w:r>
    </w:p>
    <w:p w14:paraId="5CF91FA1" w14:textId="77777777" w:rsidR="0074355B" w:rsidRPr="00FD1401" w:rsidRDefault="0074355B" w:rsidP="0074355B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D140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Udzielenie licencji w modelu SaaS (ang. Software as a Service) na użytkowanie systemu informatycznego służącego do zarządzania dorobkiem naukowym pracowników instytutu badawczego, wraz z jego wdrożeniem, serwisowaniem, wsparciem technicznym oraz bieżącą aktualizacją, zgodnie z obowiązującymi przepisami prawa.</w:t>
      </w:r>
    </w:p>
    <w:p w14:paraId="5C3F4D49" w14:textId="77777777" w:rsidR="0074355B" w:rsidRPr="00931758" w:rsidRDefault="0074355B" w:rsidP="0074355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31758">
        <w:rPr>
          <w:rFonts w:asciiTheme="minorHAnsi" w:hAnsiTheme="minorHAnsi" w:cstheme="minorHAnsi"/>
          <w:sz w:val="22"/>
          <w:szCs w:val="22"/>
          <w:lang w:eastAsia="pl-PL"/>
        </w:rPr>
        <w:t>System ma służyć kompleksowemu wsparciu w zakresie ewidencji, analizy, oceny oraz raportowania osiągnięć naukowych pracowników instytutu badawczego w kontekście ewaluacji jakości działalności naukowej, zgodnie z obowiązującym Rozporządzeniem Ministra Nauki i Szkolnictwa Wyższego w sprawie ewaluacji jakości działalności naukowej.</w:t>
      </w:r>
    </w:p>
    <w:p w14:paraId="0384D5A5" w14:textId="77777777" w:rsidR="0074355B" w:rsidRDefault="0074355B" w:rsidP="007435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/>
        <w:outlineLvl w:val="1"/>
        <w:rPr>
          <w:rFonts w:asciiTheme="minorHAnsi" w:hAnsiTheme="minorHAnsi" w:cstheme="minorHAnsi"/>
          <w:sz w:val="22"/>
          <w:szCs w:val="22"/>
          <w:lang w:eastAsia="pl-PL"/>
        </w:rPr>
      </w:pPr>
      <w:r w:rsidRPr="00A13107">
        <w:rPr>
          <w:rFonts w:asciiTheme="minorHAnsi" w:hAnsiTheme="minorHAnsi" w:cstheme="minorHAnsi"/>
          <w:sz w:val="22"/>
          <w:szCs w:val="22"/>
          <w:lang w:eastAsia="pl-PL"/>
        </w:rPr>
        <w:t>Wymagania funkcjonalne systemu</w:t>
      </w:r>
      <w:r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1A04D28A" w14:textId="77777777" w:rsidR="0074355B" w:rsidRPr="005A6A3B" w:rsidRDefault="0074355B" w:rsidP="0074355B">
      <w:pPr>
        <w:pStyle w:val="Akapitzlist"/>
        <w:suppressAutoHyphens w:val="0"/>
        <w:spacing w:before="100" w:beforeAutospacing="1" w:after="100" w:afterAutospacing="1"/>
        <w:ind w:left="360"/>
        <w:outlineLvl w:val="1"/>
        <w:rPr>
          <w:rFonts w:asciiTheme="minorHAnsi" w:hAnsiTheme="minorHAnsi" w:cstheme="minorHAnsi"/>
          <w:sz w:val="22"/>
          <w:szCs w:val="22"/>
          <w:lang w:eastAsia="pl-PL"/>
        </w:rPr>
      </w:pPr>
      <w:r w:rsidRPr="005A6A3B">
        <w:rPr>
          <w:rFonts w:asciiTheme="minorHAnsi" w:hAnsiTheme="minorHAnsi" w:cstheme="minorHAnsi"/>
          <w:sz w:val="22"/>
          <w:szCs w:val="22"/>
          <w:lang w:eastAsia="pl-PL"/>
        </w:rPr>
        <w:t>W ramach zamówienia Wykonawca zobowiązany jest do dostarczenia systemu informatycznego zawierającego co najmniej poniższy zakres funkcjonalności:</w:t>
      </w:r>
    </w:p>
    <w:p w14:paraId="460DC96E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Gromadzenie i archiwizacja osiągnięć naukowych pracowników</w:t>
      </w:r>
      <w:r w:rsidRPr="00931758">
        <w:rPr>
          <w:rFonts w:asciiTheme="minorHAnsi" w:hAnsiTheme="minorHAnsi" w:cstheme="minorHAnsi"/>
          <w:sz w:val="22"/>
          <w:szCs w:val="22"/>
        </w:rPr>
        <w:t>:</w:t>
      </w:r>
    </w:p>
    <w:p w14:paraId="19F55DE0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artykułów naukowych,</w:t>
      </w:r>
    </w:p>
    <w:p w14:paraId="751F16D7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monografii naukowych,</w:t>
      </w:r>
    </w:p>
    <w:p w14:paraId="44BC2659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rozdziałów w monografiach naukowych,</w:t>
      </w:r>
    </w:p>
    <w:p w14:paraId="01180212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redakcji naukowej monografii naukowych,</w:t>
      </w:r>
    </w:p>
    <w:p w14:paraId="111428EF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patentów na wynalazek,</w:t>
      </w:r>
    </w:p>
    <w:p w14:paraId="4D731BBC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praw ochronnych na wzór użytkowy,</w:t>
      </w:r>
    </w:p>
    <w:p w14:paraId="53FBE881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projektów naukowych w trybie konkursowym,</w:t>
      </w:r>
    </w:p>
    <w:p w14:paraId="02137FEC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przychodów z komercjalizacji wyników badań naukowych lub prac rozwojowych,</w:t>
      </w:r>
    </w:p>
    <w:p w14:paraId="411F3928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przychodów z usług badawczych,</w:t>
      </w:r>
    </w:p>
    <w:p w14:paraId="65E084C1" w14:textId="77777777" w:rsidR="0074355B" w:rsidRPr="00931758" w:rsidRDefault="0074355B" w:rsidP="0074355B">
      <w:pPr>
        <w:numPr>
          <w:ilvl w:val="1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sz w:val="22"/>
          <w:szCs w:val="22"/>
        </w:rPr>
        <w:t>wpływu działalności naukowej na społeczeństwo i gospodarkę.</w:t>
      </w:r>
    </w:p>
    <w:p w14:paraId="7151CD0E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Weryfikacja dorobku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narzędzia analizy prawidłowości i kompletności informacji o osiągnięciach publikacyjnych.</w:t>
      </w:r>
    </w:p>
    <w:p w14:paraId="6A349655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Dostępy dla dorobku każdego pracownika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monitorowanie osiągnięć pracowników, jak również generowanie indywidualnych wskaźników publikacyjnych, potencjału badawczego, efektów finansowych badań naukowych i prac rozwojowych, wskaźników finansowych oraz sprawozdań i zestawień, w tym ich udostępnianie pracownikom.</w:t>
      </w:r>
    </w:p>
    <w:p w14:paraId="7E782BA4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Estymacja punktacji dla poszczególnych osiągnięć naukowych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uwzględnianych w ewaluacji jakości działalności naukowej  zgodnie z obowiązującym stanem prawnym i obowiązującymi wykazami czasopism i wydawnictw.</w:t>
      </w:r>
    </w:p>
    <w:p w14:paraId="632F40F1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Estymacja jednostkowych udziałów pracowników (</w:t>
      </w:r>
      <w:proofErr w:type="spellStart"/>
      <w:r w:rsidRPr="00931758">
        <w:rPr>
          <w:rFonts w:asciiTheme="minorHAnsi" w:hAnsiTheme="minorHAnsi" w:cstheme="minorHAnsi"/>
          <w:i/>
          <w:iCs/>
          <w:sz w:val="22"/>
          <w:szCs w:val="22"/>
        </w:rPr>
        <w:t>sloty</w:t>
      </w:r>
      <w:proofErr w:type="spellEnd"/>
      <w:r w:rsidRPr="00931758">
        <w:rPr>
          <w:rFonts w:asciiTheme="minorHAnsi" w:hAnsiTheme="minorHAnsi" w:cstheme="minorHAnsi"/>
          <w:i/>
          <w:iCs/>
          <w:sz w:val="22"/>
          <w:szCs w:val="22"/>
        </w:rPr>
        <w:t xml:space="preserve"> publikacyjne)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kwantyfikacja osiągnięć naukowych stosownie do obowiązującego rozporządzenia Ministra Nauki                                    i Szkolnictwa Wyższego w sprawie ewaluacji jakości działalności naukowej, w tym </w:t>
      </w:r>
      <w:r w:rsidRPr="00931758">
        <w:rPr>
          <w:rFonts w:asciiTheme="minorHAnsi" w:hAnsiTheme="minorHAnsi" w:cstheme="minorHAnsi"/>
          <w:sz w:val="22"/>
          <w:szCs w:val="22"/>
        </w:rPr>
        <w:lastRenderedPageBreak/>
        <w:t>generowanie raportów pod kątem efektywności publikacyjnej oraz raportów wkładu do dyscypliny.</w:t>
      </w:r>
    </w:p>
    <w:p w14:paraId="26DB3BE3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Karta oceny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algorytm umożliwiający w dowolnym czasie generowanie karty oceny dyscypliny nauki medyczne i nauki o zdrowiu, pozwalającej przeprowadzać symulacje ewaluacji osiągnięć dyscypliny nauki medyczne i nauki o zdrowiu, dokonywać analiz dotychczasowego przygotowania, jak i prognozować wyniki m.in. dzięki przełożeniu skomplikowanych algorytmów ministerialnych na syntetyczne narzędzia ewaluacyjne. System winien precyzyjnie kwalifikować osiągnięcia do ewaluacji, analizować wypełnienie slotów w dyscyplinach, optymalizować wynik i wskazywać najkorzystniejszą konfigurację osiągnięć umożliwiającą uzyskanie najlepszego wyniku punktowego.</w:t>
      </w:r>
    </w:p>
    <w:p w14:paraId="4395413E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Optymalizator AI –</w:t>
      </w:r>
      <w:r w:rsidRPr="00931758">
        <w:rPr>
          <w:rFonts w:asciiTheme="minorHAnsi" w:hAnsiTheme="minorHAnsi" w:cstheme="minorHAnsi"/>
          <w:sz w:val="22"/>
          <w:szCs w:val="22"/>
        </w:rPr>
        <w:t xml:space="preserve"> alternatywny algorytm optymalizacji wskazujący na możliwość wykorzystania udziałów w osiągnięciach publikacyjnych od osób z wykorzystanym limitem slotów w stosunku do pozostałych współautorów.</w:t>
      </w:r>
    </w:p>
    <w:p w14:paraId="4FF4AFD4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Analiza efektywności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monitorowanie kwalifikowalności i spełnienia kryteriów ewaluacyjnych pracowników i Instytutu w dyscyplinach nauki medyczne i nauki o zdrowiu, pozwalających na oznaczanie dorobku w ramach dyscyplin nauki medyczne i nauki o zdrowiu, ich efektywności punktowej, jak również identyfikacja obciążenia spowodowana sankcjami, a także ekstrapolacja danych w zależności od zakresu lat objętych ewaluacją jakości działalności naukowej.</w:t>
      </w:r>
    </w:p>
    <w:p w14:paraId="790A3CB7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Raporty analityczne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pod kątem pracowników, dyscyplin naukowych, okresów sprawozdawczych, rodzaju osiągnięć, punktacji, dostępne w formatach XLSX, PDF.</w:t>
      </w:r>
    </w:p>
    <w:p w14:paraId="18C83D7B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Systematyczna aktualizacja listy czasopism i wydawnictw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 identyfikacja i przeliczenia osiągnięć na </w:t>
      </w:r>
      <w:proofErr w:type="spellStart"/>
      <w:r w:rsidRPr="00931758">
        <w:rPr>
          <w:rFonts w:asciiTheme="minorHAnsi" w:hAnsiTheme="minorHAnsi" w:cstheme="minorHAnsi"/>
          <w:sz w:val="22"/>
          <w:szCs w:val="22"/>
        </w:rPr>
        <w:t>sloty</w:t>
      </w:r>
      <w:proofErr w:type="spellEnd"/>
      <w:r w:rsidRPr="00931758">
        <w:rPr>
          <w:rFonts w:asciiTheme="minorHAnsi" w:hAnsiTheme="minorHAnsi" w:cstheme="minorHAnsi"/>
          <w:sz w:val="22"/>
          <w:szCs w:val="22"/>
        </w:rPr>
        <w:t xml:space="preserve"> publikacyjne oraz należne punkty stosownie do obowiązującego rozporządzenia Ministra Nauki i Szkolnictwa Wyższego w sprawie ewaluacji jakości działalności naukowej.</w:t>
      </w:r>
    </w:p>
    <w:p w14:paraId="54EB5B0B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Autonomiczny system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zabezpieczony przed nieuprawnionym dostępem i nie współdzielony  z innymi  podmiotami nauki.</w:t>
      </w:r>
      <w:r w:rsidRPr="009317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4109A26" w14:textId="77777777" w:rsidR="0074355B" w:rsidRPr="00931758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 xml:space="preserve">Plan pracy </w:t>
      </w:r>
      <w:r w:rsidRPr="00931758">
        <w:rPr>
          <w:rFonts w:asciiTheme="minorHAnsi" w:hAnsiTheme="minorHAnsi" w:cstheme="minorHAnsi"/>
          <w:sz w:val="22"/>
          <w:szCs w:val="22"/>
        </w:rPr>
        <w:t xml:space="preserve">- pozwala ustalać i planować cele publikacyjne dla pracowników instytutu, monitorować i rozliczać ich pracę, w tym także postępy w zakresie realizacji wytyczonych celów aby uzyskać lepsze wyniki ewaluacyjne, jednocześnie kontrolując sferę wydatków na pokrycie kosztów publikacji. </w:t>
      </w:r>
    </w:p>
    <w:p w14:paraId="6BF685E2" w14:textId="77777777" w:rsidR="0074355B" w:rsidRPr="00A13107" w:rsidRDefault="0074355B" w:rsidP="0074355B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1758">
        <w:rPr>
          <w:rFonts w:asciiTheme="minorHAnsi" w:hAnsiTheme="minorHAnsi" w:cstheme="minorHAnsi"/>
          <w:i/>
          <w:iCs/>
          <w:sz w:val="22"/>
          <w:szCs w:val="22"/>
        </w:rPr>
        <w:t>Stały dostęp on-line</w:t>
      </w:r>
      <w:r w:rsidRPr="00931758">
        <w:rPr>
          <w:rFonts w:asciiTheme="minorHAnsi" w:hAnsiTheme="minorHAnsi" w:cstheme="minorHAnsi"/>
          <w:sz w:val="22"/>
          <w:szCs w:val="22"/>
        </w:rPr>
        <w:t xml:space="preserve"> – dostęp do aktualnych danych, statystyk, raportów, zestawień monitorujących efektywność podmiotu nauki i jego poszczególnych pracowników w zakresie raportowanych osiągnięć naukowych biorących udział w ewaluacji jakości działalności naukowej.</w:t>
      </w:r>
    </w:p>
    <w:p w14:paraId="6B7B2663" w14:textId="77777777" w:rsidR="0074355B" w:rsidRPr="00E04D0A" w:rsidRDefault="0074355B" w:rsidP="007435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outlineLvl w:val="1"/>
        <w:rPr>
          <w:rFonts w:asciiTheme="minorHAnsi" w:hAnsiTheme="minorHAnsi" w:cstheme="minorHAnsi"/>
          <w:sz w:val="22"/>
          <w:szCs w:val="22"/>
          <w:lang w:eastAsia="pl-PL"/>
        </w:rPr>
      </w:pPr>
      <w:r w:rsidRPr="00A13107">
        <w:rPr>
          <w:rFonts w:asciiTheme="minorHAnsi" w:hAnsiTheme="minorHAnsi" w:cstheme="minorHAnsi"/>
          <w:sz w:val="22"/>
          <w:szCs w:val="22"/>
          <w:lang w:eastAsia="pl-PL"/>
        </w:rPr>
        <w:t xml:space="preserve"> Wymagania prawne, techniczne i organizacyjne</w:t>
      </w:r>
      <w:r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6E7C8465" w14:textId="77777777" w:rsidR="0074355B" w:rsidRPr="00B20EF6" w:rsidRDefault="0074355B" w:rsidP="0074355B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Oferowany system musi być autorskim rozwiązaniem Wykonawcy lub systemem, do którego Wykonawca posiada wyłączne prawa umożliwiające jego oferowanie, wdrażanie, utrzymanie i rozwój w ramach realizacji przedmiotu zamówienia.</w:t>
      </w:r>
    </w:p>
    <w:p w14:paraId="39F00E34" w14:textId="77777777" w:rsidR="0074355B" w:rsidRPr="00B20EF6" w:rsidRDefault="0074355B" w:rsidP="0074355B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Wykonawca musi posiadać pełnię autorskich praw majątkowych do systemu lub licencję wyłączną obejmującą co najmniej:</w:t>
      </w:r>
    </w:p>
    <w:p w14:paraId="495DAFF1" w14:textId="77777777" w:rsidR="0074355B" w:rsidRPr="00B20EF6" w:rsidRDefault="0074355B" w:rsidP="0074355B">
      <w:pPr>
        <w:pStyle w:val="Akapitzlist"/>
        <w:numPr>
          <w:ilvl w:val="0"/>
          <w:numId w:val="7"/>
        </w:numPr>
        <w:suppressAutoHyphens w:val="0"/>
        <w:spacing w:after="100" w:afterAutospacing="1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prawo do modyfikacji, utrzymania i rozwoju systemu,</w:t>
      </w:r>
    </w:p>
    <w:p w14:paraId="2A337C3B" w14:textId="77777777" w:rsidR="0074355B" w:rsidRPr="00B20EF6" w:rsidRDefault="0074355B" w:rsidP="0074355B">
      <w:pPr>
        <w:pStyle w:val="Akapitzlist"/>
        <w:numPr>
          <w:ilvl w:val="0"/>
          <w:numId w:val="7"/>
        </w:numPr>
        <w:suppressAutoHyphens w:val="0"/>
        <w:spacing w:after="100" w:afterAutospacing="1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lastRenderedPageBreak/>
        <w:t>prawo do wdrożenia systemu u Zamawiającego,</w:t>
      </w:r>
    </w:p>
    <w:p w14:paraId="1431A872" w14:textId="77777777" w:rsidR="0074355B" w:rsidRPr="00B20EF6" w:rsidRDefault="0074355B" w:rsidP="0074355B">
      <w:pPr>
        <w:pStyle w:val="Akapitzlist"/>
        <w:numPr>
          <w:ilvl w:val="0"/>
          <w:numId w:val="7"/>
        </w:numPr>
        <w:suppressAutoHyphens w:val="0"/>
        <w:spacing w:after="100" w:afterAutospacing="1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prawo do świadczenia usług wsparcia technicznego i serwisowego.</w:t>
      </w:r>
    </w:p>
    <w:p w14:paraId="5017DC0E" w14:textId="77777777" w:rsidR="0074355B" w:rsidRPr="00B20EF6" w:rsidRDefault="0074355B" w:rsidP="0074355B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System musi być objęty ochroną zgodnie z przepisami o:</w:t>
      </w:r>
    </w:p>
    <w:p w14:paraId="3E61D93B" w14:textId="77777777" w:rsidR="0074355B" w:rsidRPr="00B20EF6" w:rsidRDefault="0074355B" w:rsidP="0074355B">
      <w:pPr>
        <w:pStyle w:val="Akapitzlist"/>
        <w:numPr>
          <w:ilvl w:val="0"/>
          <w:numId w:val="9"/>
        </w:numPr>
        <w:suppressAutoHyphens w:val="0"/>
        <w:spacing w:line="276" w:lineRule="auto"/>
        <w:ind w:left="1418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prawie autorskim i prawach pokrewnych,</w:t>
      </w:r>
    </w:p>
    <w:p w14:paraId="4AD78599" w14:textId="77777777" w:rsidR="0074355B" w:rsidRPr="00B20EF6" w:rsidRDefault="0074355B" w:rsidP="0074355B">
      <w:pPr>
        <w:pStyle w:val="Akapitzlist"/>
        <w:numPr>
          <w:ilvl w:val="0"/>
          <w:numId w:val="9"/>
        </w:numPr>
        <w:suppressAutoHyphens w:val="0"/>
        <w:spacing w:line="276" w:lineRule="auto"/>
        <w:ind w:left="1418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ochronie własności przemysłowej, w tym patentów, wzorów użytkowych lub przemysłowych, znaków towarowych.</w:t>
      </w:r>
    </w:p>
    <w:p w14:paraId="492D1E44" w14:textId="77777777" w:rsidR="0074355B" w:rsidRPr="00B20EF6" w:rsidRDefault="0074355B" w:rsidP="0074355B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="Calibri" w:hAnsi="Calibri" w:cs="Calibri"/>
          <w:color w:val="000000" w:themeColor="text1"/>
          <w:sz w:val="22"/>
          <w:szCs w:val="22"/>
          <w:lang w:eastAsia="pl-PL"/>
        </w:rPr>
        <w:t>System musi być wcześniej wdrożony u co najmniej dwóch różnych klientów.</w:t>
      </w:r>
    </w:p>
    <w:p w14:paraId="62EEEED1" w14:textId="77777777" w:rsidR="0074355B" w:rsidRPr="00B20EF6" w:rsidRDefault="0074355B" w:rsidP="0074355B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System musi być w pełni dostępny w języku polskim.</w:t>
      </w:r>
    </w:p>
    <w:p w14:paraId="034CB925" w14:textId="77777777" w:rsidR="0074355B" w:rsidRPr="00B20EF6" w:rsidRDefault="0074355B" w:rsidP="0074355B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System musi działać w modelu SaaS – bez konieczności instalacji lokalnej.</w:t>
      </w:r>
    </w:p>
    <w:p w14:paraId="31678587" w14:textId="77777777" w:rsidR="0074355B" w:rsidRPr="00B20EF6" w:rsidRDefault="0074355B" w:rsidP="0074355B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Wykonawca zapewni hosting systemu w Polsce oraz pełne wsparcie techniczne w okresie trwania umowy.</w:t>
      </w:r>
    </w:p>
    <w:p w14:paraId="6B7A51A7" w14:textId="77777777" w:rsidR="0074355B" w:rsidRPr="005A6A3B" w:rsidRDefault="0074355B" w:rsidP="0074355B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20EF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Wykonawca zapewni bieżące aktualizacje systemu zgodne z obowiązującymi przepisami prawnymi.</w:t>
      </w:r>
    </w:p>
    <w:p w14:paraId="4E9B5AB2" w14:textId="77777777" w:rsidR="0074355B" w:rsidRPr="00B20EF6" w:rsidRDefault="0074355B" w:rsidP="0074355B">
      <w:pPr>
        <w:pStyle w:val="Akapitzlist"/>
        <w:suppressAutoHyphens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</w:p>
    <w:p w14:paraId="38F32F36" w14:textId="77777777" w:rsidR="0074355B" w:rsidRPr="00E04D0A" w:rsidRDefault="0074355B" w:rsidP="007435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04D0A">
        <w:rPr>
          <w:rFonts w:asciiTheme="minorHAnsi" w:hAnsiTheme="minorHAnsi" w:cstheme="minorHAnsi"/>
          <w:sz w:val="22"/>
          <w:szCs w:val="22"/>
          <w:lang w:eastAsia="pl-PL"/>
        </w:rPr>
        <w:t xml:space="preserve"> W ramach przedmiotu zamówienia Wykonawca zapewni:</w:t>
      </w:r>
    </w:p>
    <w:p w14:paraId="64670E92" w14:textId="77777777" w:rsidR="0074355B" w:rsidRPr="002C1434" w:rsidRDefault="0074355B" w:rsidP="0074355B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2C1434">
        <w:rPr>
          <w:rFonts w:asciiTheme="minorHAnsi" w:hAnsiTheme="minorHAnsi" w:cstheme="minorHAnsi"/>
          <w:sz w:val="22"/>
          <w:szCs w:val="22"/>
          <w:lang w:eastAsia="pl-PL"/>
        </w:rPr>
        <w:t>ostęp do funkcjonalności Systemu wraz z aktualizacjami przez cały okres trwania Umowy;</w:t>
      </w:r>
    </w:p>
    <w:p w14:paraId="60A6DCB7" w14:textId="77777777" w:rsidR="0074355B" w:rsidRPr="002C1434" w:rsidRDefault="0074355B" w:rsidP="0074355B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2C1434">
        <w:rPr>
          <w:rFonts w:asciiTheme="minorHAnsi" w:hAnsiTheme="minorHAnsi" w:cstheme="minorHAnsi"/>
          <w:sz w:val="22"/>
          <w:szCs w:val="22"/>
          <w:lang w:eastAsia="pl-PL"/>
        </w:rPr>
        <w:t xml:space="preserve">ktualizację wykazu czasopism naukowych i recenzowanych materiałów z konferencji międzynarodowych oraz wykazu wydawnictw publikujących recenzowane monografie naukowe ogłaszanych przez Ministra Nauki i Szkolnictwa Wyższego; </w:t>
      </w:r>
    </w:p>
    <w:p w14:paraId="7C6E44F9" w14:textId="77777777" w:rsidR="0074355B" w:rsidRPr="002C1434" w:rsidRDefault="0074355B" w:rsidP="0074355B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2C1434">
        <w:rPr>
          <w:rFonts w:asciiTheme="minorHAnsi" w:hAnsiTheme="minorHAnsi" w:cstheme="minorHAnsi"/>
          <w:sz w:val="22"/>
          <w:szCs w:val="22"/>
          <w:lang w:eastAsia="pl-PL"/>
        </w:rPr>
        <w:t>dministrowanie Systemem, jego nadzór oraz tworzenie kopii bezpieczeństwa;</w:t>
      </w:r>
    </w:p>
    <w:p w14:paraId="2D590543" w14:textId="77777777" w:rsidR="0074355B" w:rsidRDefault="0074355B" w:rsidP="0074355B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Pr="002C1434">
        <w:rPr>
          <w:rFonts w:asciiTheme="minorHAnsi" w:hAnsiTheme="minorHAnsi" w:cstheme="minorHAnsi"/>
          <w:sz w:val="22"/>
          <w:szCs w:val="22"/>
          <w:lang w:eastAsia="pl-PL"/>
        </w:rPr>
        <w:t>dpowiednie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2C1434">
        <w:rPr>
          <w:rFonts w:asciiTheme="minorHAnsi" w:hAnsiTheme="minorHAnsi" w:cstheme="minorHAnsi"/>
          <w:sz w:val="22"/>
          <w:szCs w:val="22"/>
          <w:lang w:eastAsia="pl-PL"/>
        </w:rPr>
        <w:t>do zidentyfikowanych zagrożeń techniczne i organizacyjne środki bezpieczeństwa przetwarzanych w udostępnionym Systemie danych, w szczególności w zakresie bezpiecznej transmisji/szyfrowania połączeń.</w:t>
      </w:r>
    </w:p>
    <w:p w14:paraId="4B2B981B" w14:textId="77777777" w:rsidR="0074355B" w:rsidRDefault="0074355B" w:rsidP="0074355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Pr="00B20EF6">
        <w:rPr>
          <w:rFonts w:asciiTheme="minorHAnsi" w:hAnsiTheme="minorHAnsi" w:cstheme="minorHAnsi"/>
          <w:sz w:val="22"/>
          <w:szCs w:val="22"/>
          <w:lang w:eastAsia="pl-PL"/>
        </w:rPr>
        <w:t>ykonawca zapewni dobowe backupy.</w:t>
      </w:r>
    </w:p>
    <w:p w14:paraId="6277298F" w14:textId="77777777" w:rsidR="0074355B" w:rsidRPr="00B20EF6" w:rsidRDefault="0074355B" w:rsidP="0074355B">
      <w:pPr>
        <w:pStyle w:val="Akapitzlist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082466B" w14:textId="77777777" w:rsidR="0074355B" w:rsidRPr="00E04D0A" w:rsidRDefault="0074355B" w:rsidP="007435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/>
        <w:outlineLvl w:val="1"/>
        <w:rPr>
          <w:rFonts w:asciiTheme="minorHAnsi" w:hAnsiTheme="minorHAnsi" w:cstheme="minorHAnsi"/>
          <w:sz w:val="22"/>
          <w:szCs w:val="22"/>
          <w:lang w:eastAsia="pl-PL"/>
        </w:rPr>
      </w:pPr>
      <w:r w:rsidRPr="00E04D0A">
        <w:rPr>
          <w:rFonts w:asciiTheme="minorHAnsi" w:hAnsiTheme="minorHAnsi" w:cstheme="minorHAnsi"/>
          <w:sz w:val="22"/>
          <w:szCs w:val="22"/>
          <w:lang w:eastAsia="pl-PL"/>
        </w:rPr>
        <w:t xml:space="preserve"> Wymagania w zakresie serwisu i wsparcia:</w:t>
      </w:r>
    </w:p>
    <w:p w14:paraId="70D426D3" w14:textId="77777777" w:rsidR="0074355B" w:rsidRPr="00C52F82" w:rsidRDefault="0074355B" w:rsidP="0074355B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52F82">
        <w:rPr>
          <w:rFonts w:asciiTheme="minorHAnsi" w:hAnsiTheme="minorHAnsi" w:cstheme="minorHAnsi"/>
          <w:sz w:val="22"/>
          <w:szCs w:val="22"/>
          <w:lang w:eastAsia="pl-PL"/>
        </w:rPr>
        <w:t>Wykonawca zobowiązuje się do:</w:t>
      </w:r>
    </w:p>
    <w:p w14:paraId="15E25016" w14:textId="77777777" w:rsidR="0074355B" w:rsidRPr="00C52F82" w:rsidRDefault="0074355B" w:rsidP="0074355B">
      <w:pPr>
        <w:numPr>
          <w:ilvl w:val="0"/>
          <w:numId w:val="4"/>
        </w:numPr>
        <w:suppressAutoHyphens w:val="0"/>
        <w:spacing w:line="276" w:lineRule="auto"/>
        <w:ind w:left="1003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52F82">
        <w:rPr>
          <w:rFonts w:asciiTheme="minorHAnsi" w:hAnsiTheme="minorHAnsi" w:cstheme="minorHAnsi"/>
          <w:sz w:val="22"/>
          <w:szCs w:val="22"/>
          <w:lang w:eastAsia="pl-PL"/>
        </w:rPr>
        <w:t xml:space="preserve">zapewnienia Zamawiającemu dostępu do Systemu, </w:t>
      </w:r>
    </w:p>
    <w:p w14:paraId="262710F8" w14:textId="77777777" w:rsidR="0074355B" w:rsidRPr="00C52F82" w:rsidRDefault="0074355B" w:rsidP="0074355B">
      <w:pPr>
        <w:numPr>
          <w:ilvl w:val="0"/>
          <w:numId w:val="4"/>
        </w:numPr>
        <w:suppressAutoHyphens w:val="0"/>
        <w:spacing w:line="276" w:lineRule="auto"/>
        <w:ind w:left="1003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52F82">
        <w:rPr>
          <w:rFonts w:asciiTheme="minorHAnsi" w:hAnsiTheme="minorHAnsi" w:cstheme="minorHAnsi"/>
          <w:sz w:val="22"/>
          <w:szCs w:val="22"/>
          <w:lang w:eastAsia="pl-PL"/>
        </w:rPr>
        <w:t>realizacji napraw i rozwiązywania incydentów w celu poprawnego działania Systemu</w:t>
      </w:r>
      <w:r w:rsidRPr="00C52F82">
        <w:rPr>
          <w:rFonts w:asciiTheme="minorHAnsi" w:hAnsiTheme="minorHAnsi" w:cstheme="minorHAnsi"/>
          <w:bCs/>
          <w:sz w:val="22"/>
          <w:szCs w:val="22"/>
          <w:lang w:eastAsia="pl-PL"/>
        </w:rPr>
        <w:t>;</w:t>
      </w:r>
    </w:p>
    <w:p w14:paraId="43C2BDAE" w14:textId="77777777" w:rsidR="0074355B" w:rsidRPr="00C52F82" w:rsidRDefault="0074355B" w:rsidP="0074355B">
      <w:pPr>
        <w:numPr>
          <w:ilvl w:val="0"/>
          <w:numId w:val="4"/>
        </w:numPr>
        <w:suppressAutoHyphens w:val="0"/>
        <w:spacing w:line="276" w:lineRule="auto"/>
        <w:ind w:left="1003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52F82">
        <w:rPr>
          <w:rFonts w:asciiTheme="minorHAnsi" w:hAnsiTheme="minorHAnsi" w:cstheme="minorHAnsi"/>
          <w:sz w:val="22"/>
          <w:szCs w:val="22"/>
          <w:lang w:eastAsia="pl-PL"/>
        </w:rPr>
        <w:t>zapewnienia wsparcia technicznego w dni robocze, od poniedziałku do piątku, w godzinach od 9:00 do 16:00.</w:t>
      </w:r>
    </w:p>
    <w:p w14:paraId="20F38FE8" w14:textId="77777777" w:rsidR="0074355B" w:rsidRPr="00640F90" w:rsidRDefault="0074355B" w:rsidP="0074355B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40F9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Usuwanie incydentów odbywać się będzie zdalnie w nieprzekraczalnym terminie 5 dni roboczych. </w:t>
      </w:r>
    </w:p>
    <w:p w14:paraId="3AE48D00" w14:textId="77777777" w:rsidR="0074355B" w:rsidRDefault="0074355B" w:rsidP="0074355B">
      <w:pPr>
        <w:suppressAutoHyphens w:val="0"/>
        <w:spacing w:line="276" w:lineRule="auto"/>
        <w:ind w:left="38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40F90">
        <w:rPr>
          <w:rFonts w:asciiTheme="minorHAnsi" w:hAnsiTheme="minorHAnsi" w:cstheme="minorHAnsi"/>
          <w:sz w:val="22"/>
          <w:szCs w:val="22"/>
          <w:lang w:eastAsia="pl-PL"/>
        </w:rPr>
        <w:t>Serwisowanie</w:t>
      </w:r>
      <w:r w:rsidRPr="00640F9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nie obejmuje nieprawidłowego działania Systemu wynikającego z działań Zamawiającego niezgodnych z Instrukcją obsługi, problemów sprzętowych, softwarowych i</w:t>
      </w:r>
      <w:r w:rsidRPr="00185C3F">
        <w:t xml:space="preserve"> </w:t>
      </w:r>
      <w:r w:rsidRPr="00185C3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łączności szerokopasmowej po stronie Zamawiającego. </w:t>
      </w:r>
    </w:p>
    <w:p w14:paraId="6D020B0B" w14:textId="77777777" w:rsidR="0074355B" w:rsidRPr="00185C3F" w:rsidRDefault="0074355B" w:rsidP="0074355B">
      <w:pPr>
        <w:suppressAutoHyphens w:val="0"/>
        <w:spacing w:line="276" w:lineRule="auto"/>
        <w:ind w:left="38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026EA13B" w14:textId="77777777" w:rsidR="0074355B" w:rsidRPr="00185C3F" w:rsidRDefault="0074355B" w:rsidP="0074355B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185C3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Inne wymagania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:</w:t>
      </w:r>
    </w:p>
    <w:p w14:paraId="692C0E33" w14:textId="77777777" w:rsidR="0074355B" w:rsidRPr="00185C3F" w:rsidRDefault="0074355B" w:rsidP="0074355B">
      <w:pPr>
        <w:suppressAutoHyphens w:val="0"/>
        <w:spacing w:line="276" w:lineRule="auto"/>
        <w:ind w:left="38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185C3F">
        <w:rPr>
          <w:rFonts w:asciiTheme="minorHAnsi" w:hAnsiTheme="minorHAnsi" w:cstheme="minorHAnsi"/>
          <w:bCs/>
          <w:sz w:val="22"/>
          <w:szCs w:val="22"/>
          <w:lang w:eastAsia="pl-PL"/>
        </w:rPr>
        <w:t>•</w:t>
      </w:r>
      <w:r w:rsidRPr="00185C3F">
        <w:rPr>
          <w:rFonts w:asciiTheme="minorHAnsi" w:hAnsiTheme="minorHAnsi" w:cstheme="minorHAnsi"/>
          <w:bCs/>
          <w:sz w:val="22"/>
          <w:szCs w:val="22"/>
          <w:lang w:eastAsia="pl-PL"/>
        </w:rPr>
        <w:tab/>
        <w:t>Wymagana zgodność z aktualnym Rozporządzeniem Ministra Nauki i Szkolnictwa Wyższego w sprawie ewaluacji jakości działalności naukowej.</w:t>
      </w:r>
    </w:p>
    <w:p w14:paraId="5A29BC74" w14:textId="77777777" w:rsidR="0074355B" w:rsidRPr="00EA25F2" w:rsidRDefault="0074355B" w:rsidP="0074355B">
      <w:pPr>
        <w:suppressAutoHyphens w:val="0"/>
        <w:spacing w:line="276" w:lineRule="auto"/>
        <w:ind w:left="380"/>
        <w:jc w:val="both"/>
        <w:rPr>
          <w:rFonts w:ascii="Calibri" w:eastAsia="Calibri" w:hAnsi="Calibri" w:cs="Calibri"/>
          <w:b/>
          <w:bCs/>
          <w:iCs/>
          <w:sz w:val="22"/>
          <w:szCs w:val="22"/>
        </w:rPr>
      </w:pPr>
      <w:r w:rsidRPr="00185C3F">
        <w:rPr>
          <w:rFonts w:asciiTheme="minorHAnsi" w:hAnsiTheme="minorHAnsi" w:cstheme="minorHAnsi"/>
          <w:bCs/>
          <w:sz w:val="22"/>
          <w:szCs w:val="22"/>
          <w:lang w:eastAsia="pl-PL"/>
        </w:rPr>
        <w:t>•</w:t>
      </w:r>
      <w:r w:rsidRPr="00185C3F">
        <w:rPr>
          <w:rFonts w:asciiTheme="minorHAnsi" w:hAnsiTheme="minorHAnsi" w:cstheme="minorHAnsi"/>
          <w:bCs/>
          <w:sz w:val="22"/>
          <w:szCs w:val="22"/>
          <w:lang w:eastAsia="pl-PL"/>
        </w:rPr>
        <w:tab/>
        <w:t>Wykonawca zobowiązuje się do zapewnienia ciągłości działania systemu przez cały okres obowiązywania umowy.</w:t>
      </w:r>
    </w:p>
    <w:p w14:paraId="44F3B1A4" w14:textId="77777777" w:rsidR="000431AB" w:rsidRDefault="000431AB"/>
    <w:sectPr w:rsidR="0004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294"/>
    <w:multiLevelType w:val="hybridMultilevel"/>
    <w:tmpl w:val="AA38AF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AB5D85"/>
    <w:multiLevelType w:val="hybridMultilevel"/>
    <w:tmpl w:val="A25AD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C1542"/>
    <w:multiLevelType w:val="multilevel"/>
    <w:tmpl w:val="806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C5AB8"/>
    <w:multiLevelType w:val="multilevel"/>
    <w:tmpl w:val="CC00A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132410"/>
    <w:multiLevelType w:val="hybridMultilevel"/>
    <w:tmpl w:val="C506F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741"/>
    <w:multiLevelType w:val="hybridMultilevel"/>
    <w:tmpl w:val="FED4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E1638"/>
    <w:multiLevelType w:val="hybridMultilevel"/>
    <w:tmpl w:val="AAFE5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46B"/>
    <w:multiLevelType w:val="hybridMultilevel"/>
    <w:tmpl w:val="1D5E0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0742"/>
    <w:multiLevelType w:val="hybridMultilevel"/>
    <w:tmpl w:val="148CA1C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65FF9"/>
    <w:multiLevelType w:val="hybridMultilevel"/>
    <w:tmpl w:val="DC08C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756FB"/>
    <w:multiLevelType w:val="hybridMultilevel"/>
    <w:tmpl w:val="033E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7462F"/>
    <w:multiLevelType w:val="hybridMultilevel"/>
    <w:tmpl w:val="6C8CC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7E34"/>
    <w:multiLevelType w:val="multilevel"/>
    <w:tmpl w:val="049C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7091213">
    <w:abstractNumId w:val="3"/>
  </w:num>
  <w:num w:numId="2" w16cid:durableId="1744833834">
    <w:abstractNumId w:val="2"/>
  </w:num>
  <w:num w:numId="3" w16cid:durableId="756637256">
    <w:abstractNumId w:val="4"/>
  </w:num>
  <w:num w:numId="4" w16cid:durableId="548688194">
    <w:abstractNumId w:val="8"/>
  </w:num>
  <w:num w:numId="5" w16cid:durableId="1780448229">
    <w:abstractNumId w:val="5"/>
  </w:num>
  <w:num w:numId="6" w16cid:durableId="398284658">
    <w:abstractNumId w:val="10"/>
  </w:num>
  <w:num w:numId="7" w16cid:durableId="2124306988">
    <w:abstractNumId w:val="0"/>
  </w:num>
  <w:num w:numId="8" w16cid:durableId="190655800">
    <w:abstractNumId w:val="11"/>
  </w:num>
  <w:num w:numId="9" w16cid:durableId="1785227479">
    <w:abstractNumId w:val="7"/>
  </w:num>
  <w:num w:numId="10" w16cid:durableId="1669671254">
    <w:abstractNumId w:val="12"/>
  </w:num>
  <w:num w:numId="11" w16cid:durableId="156654165">
    <w:abstractNumId w:val="6"/>
  </w:num>
  <w:num w:numId="12" w16cid:durableId="424496437">
    <w:abstractNumId w:val="1"/>
  </w:num>
  <w:num w:numId="13" w16cid:durableId="26756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67"/>
    <w:rsid w:val="000431AB"/>
    <w:rsid w:val="002D23F2"/>
    <w:rsid w:val="003C0B48"/>
    <w:rsid w:val="00652175"/>
    <w:rsid w:val="0074355B"/>
    <w:rsid w:val="007847B5"/>
    <w:rsid w:val="008D038F"/>
    <w:rsid w:val="00F2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E2D5"/>
  <w15:chartTrackingRefBased/>
  <w15:docId w15:val="{75DB2232-F406-4065-B2EC-98B553DE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5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3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3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3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3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3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3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3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3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3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3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36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35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 Katarzyna</dc:creator>
  <cp:keywords/>
  <dc:description/>
  <cp:lastModifiedBy>Krasucka Katarzyna</cp:lastModifiedBy>
  <cp:revision>4</cp:revision>
  <dcterms:created xsi:type="dcterms:W3CDTF">2025-11-27T11:12:00Z</dcterms:created>
  <dcterms:modified xsi:type="dcterms:W3CDTF">2025-11-27T11:19:00Z</dcterms:modified>
</cp:coreProperties>
</file>