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7"/>
        <w:gridCol w:w="702"/>
        <w:gridCol w:w="370"/>
        <w:gridCol w:w="480"/>
        <w:gridCol w:w="741"/>
        <w:gridCol w:w="110"/>
        <w:gridCol w:w="126"/>
        <w:gridCol w:w="724"/>
        <w:gridCol w:w="262"/>
        <w:gridCol w:w="653"/>
        <w:gridCol w:w="77"/>
        <w:gridCol w:w="790"/>
        <w:gridCol w:w="203"/>
        <w:gridCol w:w="992"/>
        <w:gridCol w:w="992"/>
        <w:gridCol w:w="709"/>
        <w:gridCol w:w="283"/>
        <w:gridCol w:w="182"/>
        <w:gridCol w:w="102"/>
        <w:gridCol w:w="843"/>
        <w:gridCol w:w="10"/>
      </w:tblGrid>
      <w:tr w:rsidR="006A701A" w:rsidRPr="00D129C5" w14:paraId="7E86DB6B" w14:textId="77777777" w:rsidTr="00785D37">
        <w:trPr>
          <w:gridAfter w:val="1"/>
          <w:wAfter w:w="10" w:type="dxa"/>
          <w:trHeight w:val="1611"/>
        </w:trPr>
        <w:tc>
          <w:tcPr>
            <w:tcW w:w="7027" w:type="dxa"/>
            <w:gridSpan w:val="13"/>
          </w:tcPr>
          <w:p w14:paraId="4B24C498" w14:textId="77777777" w:rsidR="006A701A" w:rsidRPr="00D129C5" w:rsidRDefault="006A701A" w:rsidP="00D129C5">
            <w:pPr>
              <w:spacing w:before="120" w:line="240" w:lineRule="auto"/>
              <w:ind w:hanging="45"/>
              <w:jc w:val="both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 w:rsidRPr="00D129C5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 w:rsidRPr="00D129C5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5C96CCBD" w14:textId="12BD8A72" w:rsidR="00436EC3" w:rsidRPr="00D129C5" w:rsidRDefault="00436EC3" w:rsidP="00D129C5">
            <w:pPr>
              <w:spacing w:line="240" w:lineRule="auto"/>
              <w:ind w:hanging="34"/>
              <w:jc w:val="both"/>
              <w:rPr>
                <w:rFonts w:ascii="Times New Roman" w:hAnsi="Times New Roman"/>
              </w:rPr>
            </w:pPr>
            <w:r w:rsidRPr="00D129C5">
              <w:rPr>
                <w:rFonts w:ascii="Times New Roman" w:hAnsi="Times New Roman"/>
              </w:rPr>
              <w:t>Projekt uchwały Rady Ministrów</w:t>
            </w:r>
            <w:r w:rsidR="005E5BC6" w:rsidRPr="00D129C5">
              <w:rPr>
                <w:rFonts w:ascii="Times New Roman" w:hAnsi="Times New Roman"/>
              </w:rPr>
              <w:t xml:space="preserve"> </w:t>
            </w:r>
            <w:r w:rsidRPr="00D129C5">
              <w:rPr>
                <w:rFonts w:ascii="Times New Roman" w:hAnsi="Times New Roman"/>
              </w:rPr>
              <w:t xml:space="preserve">w sprawie ustanowienia programu wieloletniego </w:t>
            </w:r>
            <w:r w:rsidR="005325AD">
              <w:rPr>
                <w:rFonts w:ascii="Times New Roman" w:hAnsi="Times New Roman"/>
              </w:rPr>
              <w:t>pn.</w:t>
            </w:r>
            <w:r w:rsidRPr="00D129C5">
              <w:rPr>
                <w:rFonts w:ascii="Times New Roman" w:hAnsi="Times New Roman"/>
              </w:rPr>
              <w:t xml:space="preserve"> </w:t>
            </w:r>
            <w:r w:rsidR="000C671D" w:rsidRPr="00D129C5">
              <w:rPr>
                <w:rFonts w:ascii="Times New Roman" w:hAnsi="Times New Roman"/>
              </w:rPr>
              <w:t>„</w:t>
            </w:r>
            <w:r w:rsidR="00C0586F" w:rsidRPr="00C0586F">
              <w:rPr>
                <w:rFonts w:ascii="Times New Roman" w:hAnsi="Times New Roman"/>
              </w:rPr>
              <w:t>Budowa obiektów dydaktycznych Akademii Muzycznej</w:t>
            </w:r>
            <w:r w:rsidR="007C38F1">
              <w:t xml:space="preserve"> </w:t>
            </w:r>
            <w:r w:rsidR="007C38F1" w:rsidRPr="007C38F1">
              <w:rPr>
                <w:rFonts w:ascii="Times New Roman" w:hAnsi="Times New Roman"/>
              </w:rPr>
              <w:t>im</w:t>
            </w:r>
            <w:r w:rsidR="00DB5D7F">
              <w:rPr>
                <w:rFonts w:ascii="Times New Roman" w:hAnsi="Times New Roman"/>
              </w:rPr>
              <w:t>.</w:t>
            </w:r>
            <w:r w:rsidR="007C38F1" w:rsidRPr="007C38F1">
              <w:rPr>
                <w:rFonts w:ascii="Times New Roman" w:hAnsi="Times New Roman"/>
              </w:rPr>
              <w:t xml:space="preserve"> Krzysztofa Pendereckiego</w:t>
            </w:r>
            <w:r w:rsidR="007C38F1">
              <w:rPr>
                <w:rFonts w:ascii="Times New Roman" w:hAnsi="Times New Roman"/>
              </w:rPr>
              <w:t xml:space="preserve"> </w:t>
            </w:r>
            <w:r w:rsidR="00C0586F" w:rsidRPr="00C0586F">
              <w:rPr>
                <w:rFonts w:ascii="Times New Roman" w:hAnsi="Times New Roman"/>
              </w:rPr>
              <w:t>w Krakowie</w:t>
            </w:r>
            <w:r w:rsidRPr="00D129C5">
              <w:rPr>
                <w:rFonts w:ascii="Times New Roman" w:hAnsi="Times New Roman"/>
              </w:rPr>
              <w:t>”</w:t>
            </w:r>
          </w:p>
          <w:p w14:paraId="2039607A" w14:textId="77777777" w:rsidR="006A701A" w:rsidRPr="00D129C5" w:rsidRDefault="006A701A" w:rsidP="00D129C5">
            <w:pPr>
              <w:spacing w:before="120" w:line="240" w:lineRule="auto"/>
              <w:ind w:hanging="4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129C5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5436FEC9" w14:textId="77777777" w:rsidR="00436EC3" w:rsidRPr="00D129C5" w:rsidRDefault="00436EC3" w:rsidP="00D129C5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Ministerstwo Kultury i Dziedzictwa Narodowego</w:t>
            </w:r>
          </w:p>
          <w:p w14:paraId="5CD95662" w14:textId="77777777" w:rsidR="0088341B" w:rsidRPr="00D129C5" w:rsidRDefault="0088341B" w:rsidP="00D129C5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</w:rPr>
            </w:pPr>
          </w:p>
          <w:p w14:paraId="18D3E6FD" w14:textId="77777777" w:rsidR="001B3460" w:rsidRPr="00D129C5" w:rsidRDefault="001B3460" w:rsidP="00D129C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D129C5"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 w14:paraId="14513548" w14:textId="061F10EB" w:rsidR="00436EC3" w:rsidRPr="00D129C5" w:rsidRDefault="001D70CE" w:rsidP="00D129C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129C5">
              <w:rPr>
                <w:rFonts w:ascii="Times New Roman" w:hAnsi="Times New Roman"/>
              </w:rPr>
              <w:t>Sławomir Rogowski</w:t>
            </w:r>
            <w:r w:rsidRPr="00D129C5">
              <w:rPr>
                <w:rFonts w:ascii="Times New Roman" w:hAnsi="Times New Roman"/>
                <w:b/>
              </w:rPr>
              <w:t xml:space="preserve"> </w:t>
            </w:r>
            <w:r w:rsidR="00DB5D7F" w:rsidRPr="00DB5D7F">
              <w:rPr>
                <w:rFonts w:ascii="Times New Roman" w:hAnsi="Times New Roman"/>
              </w:rPr>
              <w:t>–</w:t>
            </w:r>
            <w:r w:rsidR="004C15CF" w:rsidRPr="00D129C5">
              <w:rPr>
                <w:rFonts w:ascii="Times New Roman" w:hAnsi="Times New Roman"/>
              </w:rPr>
              <w:t xml:space="preserve"> </w:t>
            </w:r>
            <w:r w:rsidR="00436EC3" w:rsidRPr="00D129C5">
              <w:rPr>
                <w:rFonts w:ascii="Times New Roman" w:hAnsi="Times New Roman"/>
              </w:rPr>
              <w:t>Podsekretarz Stanu w Ministerstwie Kultury i</w:t>
            </w:r>
            <w:r w:rsidR="000A291D" w:rsidRPr="00D129C5">
              <w:rPr>
                <w:rFonts w:ascii="Times New Roman" w:hAnsi="Times New Roman"/>
              </w:rPr>
              <w:t> </w:t>
            </w:r>
            <w:r w:rsidR="00436EC3" w:rsidRPr="00D129C5">
              <w:rPr>
                <w:rFonts w:ascii="Times New Roman" w:hAnsi="Times New Roman"/>
              </w:rPr>
              <w:t>Dziedzictwa Narodowego</w:t>
            </w:r>
          </w:p>
          <w:p w14:paraId="0A75B592" w14:textId="77777777" w:rsidR="006A701A" w:rsidRPr="00D129C5" w:rsidRDefault="006A701A" w:rsidP="00D129C5">
            <w:pPr>
              <w:spacing w:before="120" w:line="240" w:lineRule="auto"/>
              <w:ind w:hanging="4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129C5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60C34E2C" w14:textId="62E7F106" w:rsidR="006A701A" w:rsidRPr="00D129C5" w:rsidRDefault="00294998" w:rsidP="00D129C5">
            <w:pPr>
              <w:spacing w:before="120" w:line="240" w:lineRule="auto"/>
              <w:ind w:hanging="45"/>
              <w:jc w:val="both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b/>
                <w:color w:val="000000"/>
              </w:rPr>
              <w:t xml:space="preserve">Agnieszka </w:t>
            </w:r>
            <w:r w:rsidR="00C73C85">
              <w:rPr>
                <w:rFonts w:ascii="Times New Roman" w:hAnsi="Times New Roman"/>
                <w:b/>
                <w:color w:val="000000"/>
              </w:rPr>
              <w:t>Wawrzaszek-Łoś</w:t>
            </w:r>
            <w:r w:rsidR="00436EC3" w:rsidRPr="00D129C5">
              <w:rPr>
                <w:rFonts w:ascii="Times New Roman" w:hAnsi="Times New Roman"/>
                <w:color w:val="000000"/>
              </w:rPr>
              <w:t xml:space="preserve">, </w:t>
            </w:r>
            <w:r w:rsidR="00C73C85">
              <w:rPr>
                <w:rFonts w:ascii="Times New Roman" w:hAnsi="Times New Roman"/>
                <w:color w:val="000000"/>
              </w:rPr>
              <w:t xml:space="preserve">Zastępca </w:t>
            </w:r>
            <w:r w:rsidR="00436EC3" w:rsidRPr="00D129C5">
              <w:rPr>
                <w:rFonts w:ascii="Times New Roman" w:hAnsi="Times New Roman"/>
                <w:color w:val="000000"/>
              </w:rPr>
              <w:t>Dyrektor</w:t>
            </w:r>
            <w:r w:rsidR="00C73C85">
              <w:rPr>
                <w:rFonts w:ascii="Times New Roman" w:hAnsi="Times New Roman"/>
                <w:color w:val="000000"/>
              </w:rPr>
              <w:t>a</w:t>
            </w:r>
            <w:r w:rsidR="00436EC3" w:rsidRPr="00D129C5">
              <w:rPr>
                <w:rFonts w:ascii="Times New Roman" w:hAnsi="Times New Roman"/>
                <w:color w:val="000000"/>
              </w:rPr>
              <w:t xml:space="preserve"> Departamentu Szkolnictwa Artystycznego w Ministerstwie Kultury i Dziedzictwa Narodowego, </w:t>
            </w:r>
            <w:r w:rsidRPr="00D129C5">
              <w:rPr>
                <w:rFonts w:ascii="Times New Roman" w:hAnsi="Times New Roman"/>
                <w:color w:val="000000"/>
              </w:rPr>
              <w:br/>
              <w:t>tel. (22)</w:t>
            </w:r>
            <w:r w:rsidR="00DB5D7F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color w:val="000000"/>
              </w:rPr>
              <w:t>82</w:t>
            </w:r>
            <w:r w:rsidR="00DB5D7F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color w:val="000000"/>
              </w:rPr>
              <w:t>93</w:t>
            </w:r>
            <w:r w:rsidR="00DB5D7F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color w:val="000000"/>
              </w:rPr>
              <w:t>106</w:t>
            </w:r>
            <w:r w:rsidR="00DB5D7F">
              <w:rPr>
                <w:rFonts w:ascii="Times New Roman" w:hAnsi="Times New Roman"/>
                <w:color w:val="000000"/>
              </w:rPr>
              <w:t>,</w:t>
            </w:r>
            <w:r w:rsidRPr="00D129C5">
              <w:rPr>
                <w:rFonts w:ascii="Times New Roman" w:hAnsi="Times New Roman"/>
                <w:color w:val="000000"/>
              </w:rPr>
              <w:t xml:space="preserve"> </w:t>
            </w:r>
            <w:r w:rsidR="00436EC3" w:rsidRPr="00D129C5">
              <w:rPr>
                <w:rFonts w:ascii="Times New Roman" w:hAnsi="Times New Roman"/>
                <w:color w:val="000000"/>
              </w:rPr>
              <w:t>e-m</w:t>
            </w:r>
            <w:r w:rsidR="00436EC3" w:rsidRPr="00D129C5">
              <w:rPr>
                <w:rFonts w:ascii="Times New Roman" w:hAnsi="Times New Roman"/>
              </w:rPr>
              <w:t xml:space="preserve">ail: </w:t>
            </w:r>
            <w:hyperlink r:id="rId8" w:history="1">
              <w:r w:rsidR="00C73C85" w:rsidRPr="0049660C">
                <w:rPr>
                  <w:rStyle w:val="Hipercze"/>
                  <w:rFonts w:ascii="Times New Roman" w:hAnsi="Times New Roman"/>
                </w:rPr>
                <w:t>awawrzaszek@kultura.gov.pl</w:t>
              </w:r>
            </w:hyperlink>
          </w:p>
        </w:tc>
        <w:tc>
          <w:tcPr>
            <w:tcW w:w="4306" w:type="dxa"/>
            <w:gridSpan w:val="8"/>
            <w:shd w:val="clear" w:color="auto" w:fill="FFFFFF"/>
          </w:tcPr>
          <w:p w14:paraId="3F9AC74D" w14:textId="40BCA4E8" w:rsidR="001B3460" w:rsidRPr="00D129C5" w:rsidRDefault="001B3460" w:rsidP="00D129C5">
            <w:pPr>
              <w:spacing w:before="120" w:line="240" w:lineRule="auto"/>
              <w:rPr>
                <w:rFonts w:ascii="Times New Roman" w:hAnsi="Times New Roman"/>
                <w:b/>
              </w:rPr>
            </w:pPr>
            <w:r w:rsidRPr="00D129C5">
              <w:rPr>
                <w:rFonts w:ascii="Times New Roman" w:hAnsi="Times New Roman"/>
                <w:b/>
              </w:rPr>
              <w:t>Data sporządzenia</w:t>
            </w:r>
            <w:r w:rsidRPr="00D129C5">
              <w:rPr>
                <w:rFonts w:ascii="Times New Roman" w:hAnsi="Times New Roman"/>
                <w:b/>
              </w:rPr>
              <w:br/>
            </w:r>
            <w:sdt>
              <w:sdtPr>
                <w:rPr>
                  <w:rFonts w:ascii="Times New Roman" w:hAnsi="Times New Roman"/>
                  <w:b/>
                </w:rPr>
                <w:id w:val="-345788683"/>
                <w:placeholder>
                  <w:docPart w:val="DefaultPlaceholder_1082065160"/>
                </w:placeholder>
                <w:date w:fullDate="2026-06-12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405954">
                  <w:rPr>
                    <w:rFonts w:ascii="Times New Roman" w:hAnsi="Times New Roman"/>
                    <w:b/>
                  </w:rPr>
                  <w:t>12.06.2026</w:t>
                </w:r>
              </w:sdtContent>
            </w:sdt>
          </w:p>
          <w:p w14:paraId="2FDC9C3B" w14:textId="77777777" w:rsidR="00F76884" w:rsidRPr="00D129C5" w:rsidRDefault="00F76884" w:rsidP="00D129C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D62534F" w14:textId="77777777" w:rsidR="00F76884" w:rsidRPr="00D129C5" w:rsidRDefault="00F76884" w:rsidP="00D129C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D129C5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  <w:r w:rsidR="001A0331" w:rsidRPr="00D129C5">
              <w:rPr>
                <w:rFonts w:ascii="Times New Roman" w:hAnsi="Times New Roman"/>
                <w:b/>
              </w:rPr>
              <w:t xml:space="preserve"> Inicjatywa własna</w:t>
            </w:r>
          </w:p>
          <w:bookmarkEnd w:id="2"/>
          <w:p w14:paraId="0022C94E" w14:textId="77777777" w:rsidR="00A039FA" w:rsidRPr="00D129C5" w:rsidRDefault="00A039FA" w:rsidP="00D129C5">
            <w:pPr>
              <w:spacing w:line="240" w:lineRule="auto"/>
              <w:rPr>
                <w:rFonts w:ascii="Times New Roman" w:hAnsi="Times New Roman"/>
              </w:rPr>
            </w:pPr>
          </w:p>
          <w:p w14:paraId="51917360" w14:textId="77777777" w:rsidR="00F76884" w:rsidRPr="00D129C5" w:rsidRDefault="00F76884" w:rsidP="00D129C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54041300" w14:textId="77777777" w:rsidR="006A701A" w:rsidRPr="00D129C5" w:rsidRDefault="006A701A" w:rsidP="00D129C5">
            <w:pPr>
              <w:spacing w:before="12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129C5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 w:rsidRPr="00D129C5">
              <w:rPr>
                <w:rFonts w:ascii="Times New Roman" w:hAnsi="Times New Roman"/>
                <w:b/>
                <w:color w:val="000000"/>
              </w:rPr>
              <w:t>w</w:t>
            </w:r>
            <w:r w:rsidRPr="00D129C5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 w:rsidRPr="00D129C5">
              <w:rPr>
                <w:rFonts w:ascii="Times New Roman" w:hAnsi="Times New Roman"/>
                <w:b/>
                <w:color w:val="000000"/>
              </w:rPr>
              <w:t>ie</w:t>
            </w:r>
            <w:r w:rsidRPr="00D129C5">
              <w:rPr>
                <w:rFonts w:ascii="Times New Roman" w:hAnsi="Times New Roman"/>
                <w:b/>
                <w:color w:val="000000"/>
              </w:rPr>
              <w:t xml:space="preserve"> prac</w:t>
            </w:r>
            <w:r w:rsidR="005E302F" w:rsidRPr="00D129C5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3B59C928" w14:textId="77777777" w:rsidR="006A701A" w:rsidRPr="00D129C5" w:rsidRDefault="006A701A" w:rsidP="00D129C5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D129C5" w14:paraId="10E1BE4F" w14:textId="77777777" w:rsidTr="00785D37">
        <w:trPr>
          <w:gridAfter w:val="1"/>
          <w:wAfter w:w="10" w:type="dxa"/>
          <w:trHeight w:val="142"/>
        </w:trPr>
        <w:tc>
          <w:tcPr>
            <w:tcW w:w="11333" w:type="dxa"/>
            <w:gridSpan w:val="21"/>
            <w:shd w:val="clear" w:color="auto" w:fill="99CCFF"/>
          </w:tcPr>
          <w:p w14:paraId="169C9A8D" w14:textId="77777777" w:rsidR="006A701A" w:rsidRPr="00D129C5" w:rsidRDefault="006A701A" w:rsidP="00D129C5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D129C5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D129C5" w14:paraId="468A62AA" w14:textId="77777777" w:rsidTr="00785D37">
        <w:trPr>
          <w:gridAfter w:val="1"/>
          <w:wAfter w:w="10" w:type="dxa"/>
          <w:trHeight w:val="333"/>
        </w:trPr>
        <w:tc>
          <w:tcPr>
            <w:tcW w:w="11333" w:type="dxa"/>
            <w:gridSpan w:val="21"/>
            <w:shd w:val="clear" w:color="auto" w:fill="99CCFF"/>
            <w:vAlign w:val="center"/>
          </w:tcPr>
          <w:p w14:paraId="3F4EA12F" w14:textId="77777777" w:rsidR="006A701A" w:rsidRPr="00D129C5" w:rsidRDefault="003D12F6" w:rsidP="00D129C5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129C5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D129C5">
              <w:rPr>
                <w:rFonts w:ascii="Times New Roman" w:hAnsi="Times New Roman"/>
                <w:b/>
              </w:rPr>
              <w:t>rozwiązywany?</w:t>
            </w:r>
            <w:bookmarkStart w:id="3" w:name="Wybór1"/>
            <w:bookmarkEnd w:id="3"/>
          </w:p>
        </w:tc>
      </w:tr>
      <w:tr w:rsidR="006A701A" w:rsidRPr="00D129C5" w14:paraId="0ACB99EF" w14:textId="77777777" w:rsidTr="00785D37">
        <w:trPr>
          <w:gridAfter w:val="1"/>
          <w:wAfter w:w="10" w:type="dxa"/>
          <w:trHeight w:val="8699"/>
        </w:trPr>
        <w:tc>
          <w:tcPr>
            <w:tcW w:w="11333" w:type="dxa"/>
            <w:gridSpan w:val="21"/>
            <w:shd w:val="clear" w:color="auto" w:fill="FFFFFF"/>
          </w:tcPr>
          <w:p w14:paraId="45F7DE63" w14:textId="034938EC" w:rsidR="00C0586F" w:rsidRPr="00C0586F" w:rsidRDefault="007C38F1" w:rsidP="00C0586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C38F1">
              <w:rPr>
                <w:rFonts w:ascii="Times New Roman" w:hAnsi="Times New Roman"/>
              </w:rPr>
              <w:t>Akademia Muzyczna im</w:t>
            </w:r>
            <w:r w:rsidR="00DB5D7F">
              <w:rPr>
                <w:rFonts w:ascii="Times New Roman" w:hAnsi="Times New Roman"/>
              </w:rPr>
              <w:t>.</w:t>
            </w:r>
            <w:r w:rsidRPr="007C38F1">
              <w:rPr>
                <w:rFonts w:ascii="Times New Roman" w:hAnsi="Times New Roman"/>
              </w:rPr>
              <w:t xml:space="preserve"> Krzysztofa Pendereckiego w Krakowie, zwana dalej</w:t>
            </w:r>
            <w:r w:rsidR="00DB5D7F">
              <w:rPr>
                <w:rFonts w:ascii="Times New Roman" w:hAnsi="Times New Roman"/>
              </w:rPr>
              <w:t xml:space="preserve"> także</w:t>
            </w:r>
            <w:r w:rsidRPr="007C38F1">
              <w:rPr>
                <w:rFonts w:ascii="Times New Roman" w:hAnsi="Times New Roman"/>
              </w:rPr>
              <w:t xml:space="preserve"> „A</w:t>
            </w:r>
            <w:r w:rsidR="00DB5D7F">
              <w:rPr>
                <w:rFonts w:ascii="Times New Roman" w:hAnsi="Times New Roman"/>
              </w:rPr>
              <w:t>MKP</w:t>
            </w:r>
            <w:r w:rsidRPr="007C38F1">
              <w:rPr>
                <w:rFonts w:ascii="Times New Roman" w:hAnsi="Times New Roman"/>
              </w:rPr>
              <w:t>”, prowadzi działalność w trzech budynkach (w tym jednym stanowiącym współwłasność), które są niewystarczające dla zaspokojenia jej aktualnych i</w:t>
            </w:r>
            <w:r w:rsidR="00CC3A6D">
              <w:rPr>
                <w:rFonts w:ascii="Times New Roman" w:hAnsi="Times New Roman"/>
              </w:rPr>
              <w:t> </w:t>
            </w:r>
            <w:r w:rsidRPr="007C38F1">
              <w:rPr>
                <w:rFonts w:ascii="Times New Roman" w:hAnsi="Times New Roman"/>
              </w:rPr>
              <w:t>przyszłych potrzeb.</w:t>
            </w:r>
            <w:r>
              <w:rPr>
                <w:rFonts w:ascii="Times New Roman" w:hAnsi="Times New Roman"/>
              </w:rPr>
              <w:t xml:space="preserve"> </w:t>
            </w:r>
            <w:r w:rsidR="00DB5D7F">
              <w:rPr>
                <w:rFonts w:ascii="Times New Roman" w:hAnsi="Times New Roman"/>
              </w:rPr>
              <w:t>AMKP</w:t>
            </w:r>
            <w:r w:rsidR="00C0586F" w:rsidRPr="00C0586F">
              <w:rPr>
                <w:rFonts w:ascii="Times New Roman" w:hAnsi="Times New Roman"/>
              </w:rPr>
              <w:t xml:space="preserve"> kształci średnio 800 studentów w jednym roku akademickim. Zainteresowanie studiami na A</w:t>
            </w:r>
            <w:r w:rsidR="00DB5D7F">
              <w:rPr>
                <w:rFonts w:ascii="Times New Roman" w:hAnsi="Times New Roman"/>
              </w:rPr>
              <w:t>MKP</w:t>
            </w:r>
            <w:r w:rsidR="00C0586F" w:rsidRPr="00C0586F">
              <w:rPr>
                <w:rFonts w:ascii="Times New Roman" w:hAnsi="Times New Roman"/>
              </w:rPr>
              <w:t xml:space="preserve"> systematycznie rośnie </w:t>
            </w:r>
            <w:r w:rsidR="00DB5D7F" w:rsidRPr="00DB5D7F">
              <w:rPr>
                <w:rFonts w:ascii="Times New Roman" w:hAnsi="Times New Roman"/>
              </w:rPr>
              <w:t>–</w:t>
            </w:r>
            <w:r w:rsidR="00C0586F" w:rsidRPr="00C0586F">
              <w:rPr>
                <w:rFonts w:ascii="Times New Roman" w:hAnsi="Times New Roman"/>
              </w:rPr>
              <w:t xml:space="preserve"> zarówno w kraju</w:t>
            </w:r>
            <w:r w:rsidR="00DB5D7F">
              <w:rPr>
                <w:rFonts w:ascii="Times New Roman" w:hAnsi="Times New Roman"/>
              </w:rPr>
              <w:t>,</w:t>
            </w:r>
            <w:r w:rsidR="00C0586F" w:rsidRPr="00C0586F">
              <w:rPr>
                <w:rFonts w:ascii="Times New Roman" w:hAnsi="Times New Roman"/>
              </w:rPr>
              <w:t xml:space="preserve"> jak i za granicą. Wpływ na to ma niewątpliwie bogata tradycja A</w:t>
            </w:r>
            <w:r w:rsidR="00DB5D7F">
              <w:rPr>
                <w:rFonts w:ascii="Times New Roman" w:hAnsi="Times New Roman"/>
              </w:rPr>
              <w:t>MKP</w:t>
            </w:r>
            <w:r w:rsidR="00C0586F" w:rsidRPr="00C0586F">
              <w:rPr>
                <w:rFonts w:ascii="Times New Roman" w:hAnsi="Times New Roman"/>
              </w:rPr>
              <w:t>, wysoki obecny poziom kształcenia, a także dorobek naukowy i artystyczny kadry dydaktycznej. A</w:t>
            </w:r>
            <w:r w:rsidR="00DB5D7F">
              <w:rPr>
                <w:rFonts w:ascii="Times New Roman" w:hAnsi="Times New Roman"/>
              </w:rPr>
              <w:t>MKP</w:t>
            </w:r>
            <w:r w:rsidR="00C0586F" w:rsidRPr="00C0586F">
              <w:rPr>
                <w:rFonts w:ascii="Times New Roman" w:hAnsi="Times New Roman"/>
              </w:rPr>
              <w:t xml:space="preserve"> mogłaby zwiększyć liczbę</w:t>
            </w:r>
            <w:r w:rsidR="007B0753">
              <w:rPr>
                <w:rFonts w:ascii="Times New Roman" w:hAnsi="Times New Roman"/>
              </w:rPr>
              <w:t xml:space="preserve"> zarówno</w:t>
            </w:r>
            <w:r w:rsidR="00C0586F" w:rsidRPr="00C0586F">
              <w:rPr>
                <w:rFonts w:ascii="Times New Roman" w:hAnsi="Times New Roman"/>
              </w:rPr>
              <w:t xml:space="preserve"> studentów</w:t>
            </w:r>
            <w:r w:rsidR="00DB5D7F">
              <w:rPr>
                <w:rFonts w:ascii="Times New Roman" w:hAnsi="Times New Roman"/>
              </w:rPr>
              <w:t>,</w:t>
            </w:r>
            <w:r w:rsidR="00C0586F" w:rsidRPr="00C0586F">
              <w:rPr>
                <w:rFonts w:ascii="Times New Roman" w:hAnsi="Times New Roman"/>
              </w:rPr>
              <w:t xml:space="preserve"> jak i kadry dydaktycznej, co </w:t>
            </w:r>
            <w:r w:rsidR="007B0753">
              <w:rPr>
                <w:rFonts w:ascii="Times New Roman" w:hAnsi="Times New Roman"/>
              </w:rPr>
              <w:t xml:space="preserve">byłoby </w:t>
            </w:r>
            <w:r w:rsidR="00C0586F" w:rsidRPr="00C0586F">
              <w:rPr>
                <w:rFonts w:ascii="Times New Roman" w:hAnsi="Times New Roman"/>
              </w:rPr>
              <w:t>niewątpliwie naturalnym i pożądanym procesem jej rozwoju i</w:t>
            </w:r>
            <w:r w:rsidR="001C0905">
              <w:rPr>
                <w:rFonts w:ascii="Times New Roman" w:hAnsi="Times New Roman"/>
              </w:rPr>
              <w:t> </w:t>
            </w:r>
            <w:r w:rsidR="00C0586F" w:rsidRPr="00C0586F">
              <w:rPr>
                <w:rFonts w:ascii="Times New Roman" w:hAnsi="Times New Roman"/>
              </w:rPr>
              <w:t>podnoszenia prestiżu oraz jakości nauczania. Jednak już w chwili obecnej studenci w przerwach między zajęciami ćwiczą na</w:t>
            </w:r>
            <w:r w:rsidR="001C0905">
              <w:rPr>
                <w:rFonts w:ascii="Times New Roman" w:hAnsi="Times New Roman"/>
              </w:rPr>
              <w:t> </w:t>
            </w:r>
            <w:r w:rsidR="00C0586F" w:rsidRPr="00C0586F">
              <w:rPr>
                <w:rFonts w:ascii="Times New Roman" w:hAnsi="Times New Roman"/>
              </w:rPr>
              <w:t>korytarzach, a nawet w pomieszczeniach przeznaczonych na zaplecze techniczne, socjalne i sanitarne.</w:t>
            </w:r>
          </w:p>
          <w:p w14:paraId="511B5282" w14:textId="429DC0C8" w:rsidR="00872848" w:rsidRPr="00872848" w:rsidRDefault="00872848" w:rsidP="0087284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72848">
              <w:rPr>
                <w:rFonts w:ascii="Times New Roman" w:hAnsi="Times New Roman"/>
              </w:rPr>
              <w:t>Dużym problemem A</w:t>
            </w:r>
            <w:r w:rsidR="00DB5D7F">
              <w:rPr>
                <w:rFonts w:ascii="Times New Roman" w:hAnsi="Times New Roman"/>
              </w:rPr>
              <w:t>MKP</w:t>
            </w:r>
            <w:r w:rsidRPr="00872848">
              <w:rPr>
                <w:rFonts w:ascii="Times New Roman" w:hAnsi="Times New Roman"/>
              </w:rPr>
              <w:t xml:space="preserve"> są zbyt małe powierzchnie </w:t>
            </w:r>
            <w:proofErr w:type="spellStart"/>
            <w:r w:rsidRPr="00872848">
              <w:rPr>
                <w:rFonts w:ascii="Times New Roman" w:hAnsi="Times New Roman"/>
              </w:rPr>
              <w:t>sal</w:t>
            </w:r>
            <w:proofErr w:type="spellEnd"/>
            <w:r w:rsidRPr="00872848">
              <w:rPr>
                <w:rFonts w:ascii="Times New Roman" w:hAnsi="Times New Roman"/>
              </w:rPr>
              <w:t xml:space="preserve"> wykładowych, brak </w:t>
            </w:r>
            <w:proofErr w:type="spellStart"/>
            <w:r w:rsidRPr="00872848">
              <w:rPr>
                <w:rFonts w:ascii="Times New Roman" w:hAnsi="Times New Roman"/>
              </w:rPr>
              <w:t>sal</w:t>
            </w:r>
            <w:proofErr w:type="spellEnd"/>
            <w:r w:rsidRPr="00872848">
              <w:rPr>
                <w:rFonts w:ascii="Times New Roman" w:hAnsi="Times New Roman"/>
              </w:rPr>
              <w:t xml:space="preserve"> do samodzielnej pracy dla nauczycieli akademickich</w:t>
            </w:r>
            <w:r w:rsidR="000A1CC1">
              <w:rPr>
                <w:rFonts w:ascii="Times New Roman" w:hAnsi="Times New Roman"/>
              </w:rPr>
              <w:t xml:space="preserve"> oraz</w:t>
            </w:r>
            <w:r w:rsidRPr="00872848">
              <w:rPr>
                <w:rFonts w:ascii="Times New Roman" w:hAnsi="Times New Roman"/>
              </w:rPr>
              <w:t xml:space="preserve"> brak </w:t>
            </w:r>
            <w:proofErr w:type="spellStart"/>
            <w:r w:rsidRPr="00872848">
              <w:rPr>
                <w:rFonts w:ascii="Times New Roman" w:hAnsi="Times New Roman"/>
              </w:rPr>
              <w:t>sal</w:t>
            </w:r>
            <w:proofErr w:type="spellEnd"/>
            <w:r w:rsidRPr="00872848">
              <w:rPr>
                <w:rFonts w:ascii="Times New Roman" w:hAnsi="Times New Roman"/>
              </w:rPr>
              <w:t xml:space="preserve"> do ćwiczeń dla studentów. Ogromnym problem</w:t>
            </w:r>
            <w:r w:rsidR="00440CE4">
              <w:rPr>
                <w:rFonts w:ascii="Times New Roman" w:hAnsi="Times New Roman"/>
              </w:rPr>
              <w:t>em</w:t>
            </w:r>
            <w:r w:rsidRPr="00872848">
              <w:rPr>
                <w:rFonts w:ascii="Times New Roman" w:hAnsi="Times New Roman"/>
              </w:rPr>
              <w:t xml:space="preserve"> jest brak sali koncertowej zarówno dla</w:t>
            </w:r>
            <w:r w:rsidR="00CC3A6D">
              <w:rPr>
                <w:rFonts w:ascii="Times New Roman" w:hAnsi="Times New Roman"/>
              </w:rPr>
              <w:t> </w:t>
            </w:r>
            <w:r w:rsidRPr="00872848">
              <w:rPr>
                <w:rFonts w:ascii="Times New Roman" w:hAnsi="Times New Roman"/>
              </w:rPr>
              <w:t>potrzeb działalności dydaktycznej,</w:t>
            </w:r>
            <w:r w:rsidR="00440CE4">
              <w:rPr>
                <w:rFonts w:ascii="Times New Roman" w:hAnsi="Times New Roman"/>
              </w:rPr>
              <w:t xml:space="preserve"> jak i</w:t>
            </w:r>
            <w:r w:rsidRPr="00872848">
              <w:rPr>
                <w:rFonts w:ascii="Times New Roman" w:hAnsi="Times New Roman"/>
              </w:rPr>
              <w:t xml:space="preserve"> naukowo-badawczej</w:t>
            </w:r>
            <w:r w:rsidR="00440CE4">
              <w:rPr>
                <w:rFonts w:ascii="Times New Roman" w:hAnsi="Times New Roman"/>
              </w:rPr>
              <w:t xml:space="preserve"> oraz</w:t>
            </w:r>
            <w:r w:rsidRPr="00872848">
              <w:rPr>
                <w:rFonts w:ascii="Times New Roman" w:hAnsi="Times New Roman"/>
              </w:rPr>
              <w:t xml:space="preserve"> działalności kulturalnej. </w:t>
            </w:r>
            <w:r w:rsidR="00A956B8">
              <w:rPr>
                <w:rFonts w:ascii="Times New Roman" w:hAnsi="Times New Roman"/>
              </w:rPr>
              <w:t>A</w:t>
            </w:r>
            <w:r w:rsidR="00DB5D7F">
              <w:rPr>
                <w:rFonts w:ascii="Times New Roman" w:hAnsi="Times New Roman"/>
              </w:rPr>
              <w:t>MKP</w:t>
            </w:r>
            <w:r w:rsidRPr="00872848">
              <w:rPr>
                <w:rFonts w:ascii="Times New Roman" w:hAnsi="Times New Roman"/>
              </w:rPr>
              <w:t xml:space="preserve"> wynajmuje sale dydaktyczne, w tym sale koncertowe/teatralne/estrady od podmiotów zewnętrznych.</w:t>
            </w:r>
          </w:p>
          <w:p w14:paraId="3471C18A" w14:textId="0364DC62" w:rsidR="00705B58" w:rsidRDefault="00872848" w:rsidP="0087284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72848">
              <w:rPr>
                <w:rFonts w:ascii="Times New Roman" w:hAnsi="Times New Roman"/>
              </w:rPr>
              <w:t xml:space="preserve">Rozbudowa budynków przy ul. Św. Tomasza 43 i Auli Florianka przy ul. Sereno </w:t>
            </w:r>
            <w:proofErr w:type="spellStart"/>
            <w:r w:rsidRPr="00872848">
              <w:rPr>
                <w:rFonts w:ascii="Times New Roman" w:hAnsi="Times New Roman"/>
              </w:rPr>
              <w:t>Fenn’a</w:t>
            </w:r>
            <w:proofErr w:type="spellEnd"/>
            <w:r w:rsidRPr="00872848">
              <w:rPr>
                <w:rFonts w:ascii="Times New Roman" w:hAnsi="Times New Roman"/>
              </w:rPr>
              <w:t xml:space="preserve"> 15 (budynek stanowi współwłasność), nie jest możliwa zarówno ze względów konstrukcyjnych</w:t>
            </w:r>
            <w:r w:rsidR="00DB5D7F">
              <w:rPr>
                <w:rFonts w:ascii="Times New Roman" w:hAnsi="Times New Roman"/>
              </w:rPr>
              <w:t>,</w:t>
            </w:r>
            <w:r w:rsidRPr="00872848">
              <w:rPr>
                <w:rFonts w:ascii="Times New Roman" w:hAnsi="Times New Roman"/>
              </w:rPr>
              <w:t xml:space="preserve"> jak i z uwagi na ograniczenia konserwatorskie (oba budynki </w:t>
            </w:r>
            <w:r w:rsidR="00DB5D7F">
              <w:rPr>
                <w:rFonts w:ascii="Times New Roman" w:hAnsi="Times New Roman"/>
              </w:rPr>
              <w:t xml:space="preserve">są </w:t>
            </w:r>
            <w:r w:rsidRPr="00872848">
              <w:rPr>
                <w:rFonts w:ascii="Times New Roman" w:hAnsi="Times New Roman"/>
              </w:rPr>
              <w:t xml:space="preserve">usytuowane w centrum Krakowa objętym ścisłą ochroną konserwatorską związaną z wpisem do rejestru zabytków oraz wpisem na Listę UNESCO). Podobnie jest z zabytkowym budynkiem przy ul. Potebni 7, znajdującym się w dzielnicy Podgórze przy końcu ulicy, do której jest utrudniony dojazd. W bezpośrednim sąsiedztwie znajdują się budynki i kamienice mieszkalne, co ogranicza możliwości prowadzenia zajęć i ćwiczeń muzycznych oraz </w:t>
            </w:r>
            <w:r w:rsidR="00A93BCA">
              <w:rPr>
                <w:rFonts w:ascii="Times New Roman" w:hAnsi="Times New Roman"/>
              </w:rPr>
              <w:t>budzi</w:t>
            </w:r>
            <w:r w:rsidRPr="00872848">
              <w:rPr>
                <w:rFonts w:ascii="Times New Roman" w:hAnsi="Times New Roman"/>
              </w:rPr>
              <w:t xml:space="preserve"> negatywne emocje społeczne z</w:t>
            </w:r>
            <w:r w:rsidR="00CC3A6D">
              <w:rPr>
                <w:rFonts w:ascii="Times New Roman" w:hAnsi="Times New Roman"/>
              </w:rPr>
              <w:t> </w:t>
            </w:r>
            <w:r w:rsidRPr="00872848">
              <w:rPr>
                <w:rFonts w:ascii="Times New Roman" w:hAnsi="Times New Roman"/>
              </w:rPr>
              <w:t xml:space="preserve">uwagi na stwarzanie uciążliwości okolicznym mieszkańcom. Działka przy ul. Potebni leży w obszarze historycznego układu urbanistycznego dawnego miasta Podgórza wpisanego do rejestru zabytków. Teren </w:t>
            </w:r>
            <w:r w:rsidR="00D448F0">
              <w:rPr>
                <w:rFonts w:ascii="Times New Roman" w:hAnsi="Times New Roman"/>
              </w:rPr>
              <w:t xml:space="preserve">został </w:t>
            </w:r>
            <w:r w:rsidRPr="00872848">
              <w:rPr>
                <w:rFonts w:ascii="Times New Roman" w:hAnsi="Times New Roman"/>
              </w:rPr>
              <w:t xml:space="preserve">uznany w połowie lat 90. za pomnik historii przez </w:t>
            </w:r>
            <w:r w:rsidR="00DB5D7F">
              <w:rPr>
                <w:rFonts w:ascii="Times New Roman" w:hAnsi="Times New Roman"/>
              </w:rPr>
              <w:t>P</w:t>
            </w:r>
            <w:r w:rsidRPr="00872848">
              <w:rPr>
                <w:rFonts w:ascii="Times New Roman" w:hAnsi="Times New Roman"/>
              </w:rPr>
              <w:t xml:space="preserve">rezydenta RP, a sam budynek dawnej szkoły </w:t>
            </w:r>
            <w:r w:rsidR="00DB5D7F">
              <w:rPr>
                <w:rFonts w:ascii="Times New Roman" w:hAnsi="Times New Roman"/>
              </w:rPr>
              <w:t xml:space="preserve">jest </w:t>
            </w:r>
            <w:r w:rsidRPr="00872848">
              <w:rPr>
                <w:rFonts w:ascii="Times New Roman" w:hAnsi="Times New Roman"/>
              </w:rPr>
              <w:t xml:space="preserve">wpisany do gminnej ewidencji zabytków. </w:t>
            </w:r>
            <w:r w:rsidR="00705B58" w:rsidRPr="00705B58">
              <w:rPr>
                <w:rFonts w:ascii="Times New Roman" w:hAnsi="Times New Roman"/>
              </w:rPr>
              <w:t>Kontrole Państwowej Straży Pożarnej wykazały, że budynki eksploatowane przez A</w:t>
            </w:r>
            <w:r w:rsidR="008F4D60">
              <w:rPr>
                <w:rFonts w:ascii="Times New Roman" w:hAnsi="Times New Roman"/>
              </w:rPr>
              <w:t>MKP</w:t>
            </w:r>
            <w:r w:rsidR="00705B58" w:rsidRPr="00705B58">
              <w:rPr>
                <w:rFonts w:ascii="Times New Roman" w:hAnsi="Times New Roman"/>
              </w:rPr>
              <w:t>, głównie z uwagi na konstrukcję architektoniczną i</w:t>
            </w:r>
            <w:r w:rsidR="006237CE">
              <w:rPr>
                <w:rFonts w:ascii="Times New Roman" w:hAnsi="Times New Roman"/>
              </w:rPr>
              <w:t> </w:t>
            </w:r>
            <w:r w:rsidR="00705B58" w:rsidRPr="00705B58">
              <w:rPr>
                <w:rFonts w:ascii="Times New Roman" w:hAnsi="Times New Roman"/>
              </w:rPr>
              <w:t>położenie, nie mogą zostać w pełni przystosowane do obecnie obowiązujących przepisów. Wprowadza to spore ograniczenia w funkcjonowaniu budynków.</w:t>
            </w:r>
          </w:p>
          <w:p w14:paraId="62FBF292" w14:textId="15D00CCE" w:rsidR="00705B58" w:rsidRPr="00871855" w:rsidRDefault="00705B58" w:rsidP="00705B58">
            <w:pPr>
              <w:spacing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  <w:r w:rsidRPr="00871855">
              <w:rPr>
                <w:rFonts w:ascii="Times New Roman" w:hAnsi="Times New Roman"/>
                <w:bCs/>
                <w:u w:val="single"/>
              </w:rPr>
              <w:t xml:space="preserve">Budynek </w:t>
            </w:r>
            <w:r w:rsidR="008F4D60">
              <w:rPr>
                <w:rFonts w:ascii="Times New Roman" w:hAnsi="Times New Roman"/>
                <w:bCs/>
                <w:u w:val="single"/>
              </w:rPr>
              <w:t>–</w:t>
            </w:r>
            <w:r w:rsidRPr="00871855"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="008F4D60">
              <w:rPr>
                <w:rFonts w:ascii="Times New Roman" w:hAnsi="Times New Roman"/>
                <w:bCs/>
                <w:u w:val="single"/>
              </w:rPr>
              <w:t xml:space="preserve">ul. </w:t>
            </w:r>
            <w:r w:rsidRPr="00871855">
              <w:rPr>
                <w:rFonts w:ascii="Times New Roman" w:hAnsi="Times New Roman"/>
                <w:bCs/>
                <w:u w:val="single"/>
              </w:rPr>
              <w:t>św. Tomasza 43</w:t>
            </w:r>
          </w:p>
          <w:p w14:paraId="7695B9C8" w14:textId="585670BD" w:rsidR="00705B58" w:rsidRPr="00871855" w:rsidRDefault="001422C0" w:rsidP="0087185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705B58" w:rsidRPr="00871855">
              <w:rPr>
                <w:rFonts w:ascii="Times New Roman" w:hAnsi="Times New Roman"/>
              </w:rPr>
              <w:t xml:space="preserve"> 73 pomieszczenia o powierzchni edukacyjnej 2094,94 m</w:t>
            </w:r>
            <w:r w:rsidR="008F4D60">
              <w:rPr>
                <w:rFonts w:ascii="Times New Roman" w:hAnsi="Times New Roman"/>
              </w:rPr>
              <w:t>²</w:t>
            </w:r>
          </w:p>
          <w:p w14:paraId="69051953" w14:textId="1DD9EFBB" w:rsidR="00705B58" w:rsidRPr="00871855" w:rsidRDefault="00705B58" w:rsidP="00871855">
            <w:pPr>
              <w:spacing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  <w:r w:rsidRPr="00871855">
              <w:rPr>
                <w:rFonts w:ascii="Times New Roman" w:hAnsi="Times New Roman"/>
                <w:bCs/>
                <w:u w:val="single"/>
              </w:rPr>
              <w:t xml:space="preserve">Budynek </w:t>
            </w:r>
            <w:r w:rsidR="008F4D60">
              <w:rPr>
                <w:rFonts w:ascii="Times New Roman" w:hAnsi="Times New Roman"/>
                <w:bCs/>
                <w:u w:val="single"/>
              </w:rPr>
              <w:t>–</w:t>
            </w:r>
            <w:r w:rsidRPr="00871855"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="008F4D60">
              <w:rPr>
                <w:rFonts w:ascii="Times New Roman" w:hAnsi="Times New Roman"/>
                <w:bCs/>
                <w:u w:val="single"/>
              </w:rPr>
              <w:t xml:space="preserve">ul. </w:t>
            </w:r>
            <w:r w:rsidRPr="00871855">
              <w:rPr>
                <w:rFonts w:ascii="Times New Roman" w:hAnsi="Times New Roman"/>
                <w:bCs/>
                <w:u w:val="single"/>
              </w:rPr>
              <w:t>Potebni 7</w:t>
            </w:r>
          </w:p>
          <w:p w14:paraId="03A9861C" w14:textId="6D5DB5EF" w:rsidR="00705B58" w:rsidRPr="005A794D" w:rsidRDefault="001422C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705B58" w:rsidRPr="005A794D">
              <w:rPr>
                <w:rFonts w:ascii="Times New Roman" w:hAnsi="Times New Roman"/>
              </w:rPr>
              <w:t xml:space="preserve"> 16 pomieszczeń o powierzchni edukacyjnej 798,56 m</w:t>
            </w:r>
            <w:r w:rsidR="008F4D60">
              <w:rPr>
                <w:rFonts w:ascii="Times New Roman" w:hAnsi="Times New Roman"/>
              </w:rPr>
              <w:t>²</w:t>
            </w:r>
          </w:p>
          <w:p w14:paraId="198A8471" w14:textId="4E1FCBDF" w:rsidR="00705B58" w:rsidRPr="005A794D" w:rsidRDefault="00705B58">
            <w:pPr>
              <w:spacing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  <w:r w:rsidRPr="005A794D">
              <w:rPr>
                <w:rFonts w:ascii="Times New Roman" w:hAnsi="Times New Roman"/>
                <w:bCs/>
                <w:u w:val="single"/>
              </w:rPr>
              <w:t xml:space="preserve">Budynek – </w:t>
            </w:r>
            <w:r w:rsidR="008F4D60">
              <w:rPr>
                <w:rFonts w:ascii="Times New Roman" w:hAnsi="Times New Roman"/>
                <w:bCs/>
                <w:u w:val="single"/>
              </w:rPr>
              <w:t xml:space="preserve">ul. </w:t>
            </w:r>
            <w:r w:rsidRPr="005A794D">
              <w:rPr>
                <w:rFonts w:ascii="Times New Roman" w:hAnsi="Times New Roman"/>
                <w:bCs/>
                <w:u w:val="single"/>
              </w:rPr>
              <w:t>Przemyska 3</w:t>
            </w:r>
          </w:p>
          <w:p w14:paraId="7207933A" w14:textId="4F049654" w:rsidR="00705B58" w:rsidRPr="005A794D" w:rsidRDefault="001422C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705B58" w:rsidRPr="005A794D">
              <w:rPr>
                <w:rFonts w:ascii="Times New Roman" w:hAnsi="Times New Roman"/>
              </w:rPr>
              <w:t xml:space="preserve"> 8 pomieszczeń o powierzchni edukacyjnej 193,83 m</w:t>
            </w:r>
            <w:r w:rsidR="008F4D60">
              <w:rPr>
                <w:rFonts w:ascii="Times New Roman" w:hAnsi="Times New Roman"/>
              </w:rPr>
              <w:t>²</w:t>
            </w:r>
          </w:p>
          <w:p w14:paraId="27A81068" w14:textId="23A21E06" w:rsidR="00705B58" w:rsidRPr="005A794D" w:rsidRDefault="00705B5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5A794D">
              <w:rPr>
                <w:rFonts w:ascii="Times New Roman" w:hAnsi="Times New Roman"/>
                <w:b/>
                <w:bCs/>
                <w:u w:val="single"/>
              </w:rPr>
              <w:t>Łączna powierzchnia pomieszczeń edukacyjnych – 3087,33 m</w:t>
            </w:r>
            <w:r w:rsidR="008F4D60">
              <w:rPr>
                <w:rFonts w:ascii="Times New Roman" w:hAnsi="Times New Roman"/>
                <w:b/>
                <w:bCs/>
                <w:u w:val="single"/>
              </w:rPr>
              <w:t>²</w:t>
            </w:r>
          </w:p>
          <w:p w14:paraId="758A34D4" w14:textId="77777777" w:rsidR="00705B58" w:rsidRPr="005A794D" w:rsidRDefault="00705B58">
            <w:pPr>
              <w:spacing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5A794D">
              <w:rPr>
                <w:rFonts w:ascii="Times New Roman" w:hAnsi="Times New Roman"/>
                <w:u w:val="single"/>
              </w:rPr>
              <w:t>Pomieszczania artystyczne</w:t>
            </w:r>
          </w:p>
          <w:p w14:paraId="52199B0E" w14:textId="7820BFFB" w:rsidR="00705B58" w:rsidRPr="005A794D" w:rsidRDefault="00705B58">
            <w:pPr>
              <w:spacing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  <w:r w:rsidRPr="005A794D">
              <w:rPr>
                <w:rFonts w:ascii="Times New Roman" w:hAnsi="Times New Roman"/>
                <w:bCs/>
                <w:u w:val="single"/>
              </w:rPr>
              <w:t xml:space="preserve">Budynek – </w:t>
            </w:r>
            <w:r w:rsidR="008F4D60">
              <w:rPr>
                <w:rFonts w:ascii="Times New Roman" w:hAnsi="Times New Roman"/>
                <w:bCs/>
                <w:u w:val="single"/>
              </w:rPr>
              <w:t xml:space="preserve">ul. </w:t>
            </w:r>
            <w:r w:rsidRPr="005A794D">
              <w:rPr>
                <w:rFonts w:ascii="Times New Roman" w:hAnsi="Times New Roman"/>
                <w:bCs/>
                <w:u w:val="single"/>
              </w:rPr>
              <w:t>św. Tomasza 43</w:t>
            </w:r>
          </w:p>
          <w:p w14:paraId="3B5E539C" w14:textId="7E07FE29" w:rsidR="00705B58" w:rsidRPr="005A794D" w:rsidRDefault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A794D">
              <w:rPr>
                <w:rFonts w:ascii="Times New Roman" w:hAnsi="Times New Roman"/>
              </w:rPr>
              <w:t>Sala Koncertowa, Kameralna o powierzchni 405,21 m</w:t>
            </w:r>
            <w:r w:rsidR="008F4D60">
              <w:rPr>
                <w:rFonts w:ascii="Times New Roman" w:hAnsi="Times New Roman"/>
              </w:rPr>
              <w:t>²</w:t>
            </w:r>
          </w:p>
          <w:p w14:paraId="2CBA5440" w14:textId="77777777" w:rsidR="00705B58" w:rsidRPr="005A794D" w:rsidRDefault="00705B58">
            <w:pPr>
              <w:spacing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  <w:r w:rsidRPr="005A794D">
              <w:rPr>
                <w:rFonts w:ascii="Times New Roman" w:hAnsi="Times New Roman"/>
                <w:bCs/>
                <w:u w:val="single"/>
              </w:rPr>
              <w:t>Budynek Aula Florianka</w:t>
            </w:r>
          </w:p>
          <w:p w14:paraId="033EE728" w14:textId="25F62854" w:rsidR="00705B58" w:rsidRPr="005A794D" w:rsidRDefault="001422C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705B58" w:rsidRPr="005A794D">
              <w:rPr>
                <w:rFonts w:ascii="Times New Roman" w:hAnsi="Times New Roman"/>
              </w:rPr>
              <w:t xml:space="preserve"> Sala Koncertowa </w:t>
            </w:r>
            <w:r>
              <w:rPr>
                <w:rFonts w:ascii="Times New Roman" w:hAnsi="Times New Roman"/>
              </w:rPr>
              <w:t>o powierzchni</w:t>
            </w:r>
            <w:r w:rsidR="00705B58" w:rsidRPr="005A794D">
              <w:rPr>
                <w:rFonts w:ascii="Times New Roman" w:hAnsi="Times New Roman"/>
              </w:rPr>
              <w:t xml:space="preserve"> 163,81 m</w:t>
            </w:r>
            <w:r w:rsidR="008F4D60">
              <w:rPr>
                <w:rFonts w:ascii="Times New Roman" w:hAnsi="Times New Roman"/>
              </w:rPr>
              <w:t>²</w:t>
            </w:r>
          </w:p>
          <w:p w14:paraId="1F369D16" w14:textId="1C7FA41E" w:rsidR="00705B58" w:rsidRPr="005A794D" w:rsidRDefault="00705B58">
            <w:pPr>
              <w:spacing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  <w:r w:rsidRPr="005A794D">
              <w:rPr>
                <w:rFonts w:ascii="Times New Roman" w:hAnsi="Times New Roman"/>
                <w:bCs/>
                <w:u w:val="single"/>
              </w:rPr>
              <w:t xml:space="preserve">Budynek – </w:t>
            </w:r>
            <w:r w:rsidR="008F4D60">
              <w:rPr>
                <w:rFonts w:ascii="Times New Roman" w:hAnsi="Times New Roman"/>
                <w:bCs/>
                <w:u w:val="single"/>
              </w:rPr>
              <w:t xml:space="preserve">ul. </w:t>
            </w:r>
            <w:r w:rsidRPr="005A794D">
              <w:rPr>
                <w:rFonts w:ascii="Times New Roman" w:hAnsi="Times New Roman"/>
                <w:bCs/>
                <w:u w:val="single"/>
              </w:rPr>
              <w:t xml:space="preserve">Przemyska 3 </w:t>
            </w:r>
          </w:p>
          <w:p w14:paraId="0D350746" w14:textId="6F75F608" w:rsidR="00705B58" w:rsidRPr="005A794D" w:rsidRDefault="001422C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 w:rsidR="00705B58" w:rsidRPr="005A794D">
              <w:rPr>
                <w:rFonts w:ascii="Times New Roman" w:hAnsi="Times New Roman"/>
              </w:rPr>
              <w:t xml:space="preserve">Aula </w:t>
            </w:r>
            <w:r>
              <w:rPr>
                <w:rFonts w:ascii="Times New Roman" w:hAnsi="Times New Roman"/>
              </w:rPr>
              <w:t>o powierzchni</w:t>
            </w:r>
            <w:r w:rsidR="00705B58" w:rsidRPr="005A794D">
              <w:rPr>
                <w:rFonts w:ascii="Times New Roman" w:hAnsi="Times New Roman"/>
              </w:rPr>
              <w:t xml:space="preserve"> 115,68 m</w:t>
            </w:r>
            <w:r w:rsidR="008F4D60">
              <w:rPr>
                <w:rFonts w:ascii="Times New Roman" w:hAnsi="Times New Roman"/>
              </w:rPr>
              <w:t>²</w:t>
            </w:r>
          </w:p>
          <w:p w14:paraId="244CA524" w14:textId="4C724D54" w:rsidR="00705B58" w:rsidRPr="00DB1FEC" w:rsidRDefault="00705B5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5A794D">
              <w:rPr>
                <w:rFonts w:ascii="Times New Roman" w:hAnsi="Times New Roman"/>
                <w:b/>
                <w:bCs/>
                <w:u w:val="single"/>
              </w:rPr>
              <w:t>Łączna powierzchnia pomieszczeń artystycznych – 684,70 m</w:t>
            </w:r>
            <w:r w:rsidR="008F4D60">
              <w:rPr>
                <w:rFonts w:ascii="Times New Roman" w:hAnsi="Times New Roman"/>
                <w:b/>
                <w:bCs/>
                <w:u w:val="single"/>
              </w:rPr>
              <w:t>²</w:t>
            </w:r>
          </w:p>
          <w:p w14:paraId="2B681F23" w14:textId="77777777" w:rsidR="00705B58" w:rsidRPr="00871855" w:rsidRDefault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71855">
              <w:rPr>
                <w:rFonts w:ascii="Times New Roman" w:hAnsi="Times New Roman"/>
              </w:rPr>
              <w:t xml:space="preserve">Powierzchnia użytkowa </w:t>
            </w:r>
          </w:p>
          <w:p w14:paraId="547F3903" w14:textId="0CC0AC16" w:rsidR="00705B58" w:rsidRPr="00DB1FEC" w:rsidRDefault="00705B5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DB1FEC">
              <w:rPr>
                <w:rFonts w:ascii="Times New Roman" w:hAnsi="Times New Roman"/>
                <w:b/>
              </w:rPr>
              <w:t xml:space="preserve">Budynek </w:t>
            </w:r>
            <w:r w:rsidR="008F4D60">
              <w:rPr>
                <w:rFonts w:ascii="Times New Roman" w:hAnsi="Times New Roman"/>
                <w:b/>
              </w:rPr>
              <w:t xml:space="preserve">ul. </w:t>
            </w:r>
            <w:r w:rsidRPr="00DB1FEC">
              <w:rPr>
                <w:rFonts w:ascii="Times New Roman" w:hAnsi="Times New Roman"/>
                <w:b/>
              </w:rPr>
              <w:t>św. Tomasza 43</w:t>
            </w:r>
          </w:p>
          <w:p w14:paraId="349095C5" w14:textId="17B780E7" w:rsidR="00705B58" w:rsidRPr="00871855" w:rsidRDefault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71855">
              <w:rPr>
                <w:rFonts w:ascii="Times New Roman" w:hAnsi="Times New Roman"/>
              </w:rPr>
              <w:t>Powierzchnia użytkowa 6934,07 m</w:t>
            </w:r>
            <w:r w:rsidR="008F4D60">
              <w:rPr>
                <w:rFonts w:ascii="Times New Roman" w:hAnsi="Times New Roman"/>
              </w:rPr>
              <w:t>²</w:t>
            </w:r>
          </w:p>
          <w:p w14:paraId="29CE87E6" w14:textId="77777777" w:rsidR="00705B58" w:rsidRPr="00DB1FEC" w:rsidRDefault="00705B5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DB1FEC">
              <w:rPr>
                <w:rFonts w:ascii="Times New Roman" w:hAnsi="Times New Roman"/>
                <w:b/>
              </w:rPr>
              <w:lastRenderedPageBreak/>
              <w:t>Aula Florianka</w:t>
            </w:r>
          </w:p>
          <w:p w14:paraId="06DD839A" w14:textId="1BFC8950" w:rsidR="00705B58" w:rsidRPr="00871855" w:rsidRDefault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71855">
              <w:rPr>
                <w:rFonts w:ascii="Times New Roman" w:hAnsi="Times New Roman"/>
              </w:rPr>
              <w:t>Powierzchnia użytkowa 770 m</w:t>
            </w:r>
            <w:r w:rsidR="008F4D60">
              <w:rPr>
                <w:rFonts w:ascii="Times New Roman" w:hAnsi="Times New Roman"/>
              </w:rPr>
              <w:t>²</w:t>
            </w:r>
          </w:p>
          <w:p w14:paraId="7B0E51FB" w14:textId="77777777" w:rsidR="00705B58" w:rsidRPr="00DB1FEC" w:rsidRDefault="00705B5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DB1FEC">
              <w:rPr>
                <w:rFonts w:ascii="Times New Roman" w:hAnsi="Times New Roman"/>
                <w:b/>
              </w:rPr>
              <w:t>Dom Studencki</w:t>
            </w:r>
          </w:p>
          <w:p w14:paraId="1CBDC1D3" w14:textId="422C75D7" w:rsidR="00705B58" w:rsidRPr="00871855" w:rsidRDefault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71855">
              <w:rPr>
                <w:rFonts w:ascii="Times New Roman" w:hAnsi="Times New Roman"/>
              </w:rPr>
              <w:t>Powierzchnia użytkowa 193,83 m</w:t>
            </w:r>
            <w:r w:rsidR="008F4D60">
              <w:rPr>
                <w:rFonts w:ascii="Times New Roman" w:hAnsi="Times New Roman"/>
              </w:rPr>
              <w:t>²</w:t>
            </w:r>
          </w:p>
          <w:p w14:paraId="36C17220" w14:textId="77777777" w:rsidR="00705B58" w:rsidRPr="00DB1FEC" w:rsidRDefault="00705B5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DB1FEC">
              <w:rPr>
                <w:rFonts w:ascii="Times New Roman" w:hAnsi="Times New Roman"/>
                <w:b/>
              </w:rPr>
              <w:t>Budynek Potebni</w:t>
            </w:r>
          </w:p>
          <w:p w14:paraId="3644117D" w14:textId="3EB1804A" w:rsidR="00705B58" w:rsidRPr="00871855" w:rsidRDefault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71855">
              <w:rPr>
                <w:rFonts w:ascii="Times New Roman" w:hAnsi="Times New Roman"/>
              </w:rPr>
              <w:t>Powierzchnia użytkowa 1518,40 m</w:t>
            </w:r>
            <w:r w:rsidR="008F4D60">
              <w:rPr>
                <w:rFonts w:ascii="Times New Roman" w:hAnsi="Times New Roman"/>
              </w:rPr>
              <w:t>²</w:t>
            </w:r>
          </w:p>
          <w:p w14:paraId="6C5FB668" w14:textId="42CE981B" w:rsidR="00705B58" w:rsidRDefault="00705B58" w:rsidP="005A794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871855">
              <w:rPr>
                <w:rFonts w:ascii="Times New Roman" w:hAnsi="Times New Roman"/>
                <w:b/>
                <w:bCs/>
                <w:u w:val="single"/>
              </w:rPr>
              <w:t>Łączna powierzchnia użytkowa – 9416,30 m</w:t>
            </w:r>
            <w:r w:rsidR="008F4D60">
              <w:rPr>
                <w:rFonts w:ascii="Times New Roman" w:hAnsi="Times New Roman"/>
                <w:b/>
                <w:bCs/>
                <w:u w:val="single"/>
              </w:rPr>
              <w:t>²</w:t>
            </w:r>
          </w:p>
          <w:p w14:paraId="2FA9AEDA" w14:textId="77777777" w:rsidR="00705B58" w:rsidRPr="00871855" w:rsidRDefault="00705B58" w:rsidP="0087185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24F66D2" w14:textId="77777777" w:rsidR="00705B58" w:rsidRPr="00705B58" w:rsidRDefault="00705B58" w:rsidP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05B58">
              <w:rPr>
                <w:rFonts w:ascii="Times New Roman" w:hAnsi="Times New Roman"/>
                <w:u w:val="single"/>
              </w:rPr>
              <w:t>Na 1 studenta AMKP przypada</w:t>
            </w:r>
            <w:r w:rsidRPr="00705B58">
              <w:rPr>
                <w:rFonts w:ascii="Times New Roman" w:hAnsi="Times New Roman"/>
              </w:rPr>
              <w:t>:</w:t>
            </w:r>
          </w:p>
          <w:p w14:paraId="0B284FDF" w14:textId="1B6C70BE" w:rsidR="00705B58" w:rsidRPr="00705B58" w:rsidRDefault="001422C0" w:rsidP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705B58" w:rsidRPr="00705B58">
              <w:rPr>
                <w:rFonts w:ascii="Times New Roman" w:hAnsi="Times New Roman"/>
              </w:rPr>
              <w:t xml:space="preserve"> 3,9 m</w:t>
            </w:r>
            <w:r w:rsidR="008F4D60">
              <w:rPr>
                <w:rFonts w:ascii="Times New Roman" w:hAnsi="Times New Roman"/>
              </w:rPr>
              <w:t>²</w:t>
            </w:r>
            <w:r w:rsidR="00705B58" w:rsidRPr="00705B58">
              <w:rPr>
                <w:rFonts w:ascii="Times New Roman" w:hAnsi="Times New Roman"/>
              </w:rPr>
              <w:t xml:space="preserve"> powierzchni edukacyjnej</w:t>
            </w:r>
          </w:p>
          <w:p w14:paraId="248CDFBA" w14:textId="2A2DE8CA" w:rsidR="00705B58" w:rsidRPr="00705B58" w:rsidRDefault="001422C0" w:rsidP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705B58" w:rsidRPr="00705B58">
              <w:rPr>
                <w:rFonts w:ascii="Times New Roman" w:hAnsi="Times New Roman"/>
              </w:rPr>
              <w:t xml:space="preserve"> 4,71 m</w:t>
            </w:r>
            <w:r w:rsidR="008F4D60">
              <w:rPr>
                <w:rFonts w:ascii="Times New Roman" w:hAnsi="Times New Roman"/>
              </w:rPr>
              <w:t>²</w:t>
            </w:r>
            <w:r w:rsidR="00705B58" w:rsidRPr="00705B58">
              <w:rPr>
                <w:rFonts w:ascii="Times New Roman" w:hAnsi="Times New Roman"/>
              </w:rPr>
              <w:t xml:space="preserve"> powierzchni łącznej (edukacyjna + artystyczna)</w:t>
            </w:r>
          </w:p>
          <w:p w14:paraId="4B6FA182" w14:textId="3E4856F6" w:rsidR="00705B58" w:rsidRPr="00705B58" w:rsidRDefault="001422C0" w:rsidP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705B58" w:rsidRPr="00705B58">
              <w:rPr>
                <w:rFonts w:ascii="Times New Roman" w:hAnsi="Times New Roman"/>
              </w:rPr>
              <w:t xml:space="preserve"> 11,77 m</w:t>
            </w:r>
            <w:r w:rsidR="008F4D60">
              <w:rPr>
                <w:rFonts w:ascii="Times New Roman" w:hAnsi="Times New Roman"/>
              </w:rPr>
              <w:t>²</w:t>
            </w:r>
            <w:r w:rsidR="00705B58" w:rsidRPr="00705B58">
              <w:rPr>
                <w:rFonts w:ascii="Times New Roman" w:hAnsi="Times New Roman"/>
              </w:rPr>
              <w:t xml:space="preserve"> powierzchni całkowitej użytkowej</w:t>
            </w:r>
          </w:p>
          <w:p w14:paraId="1493E83F" w14:textId="77777777" w:rsidR="00705B58" w:rsidRPr="00705B58" w:rsidRDefault="00705B58" w:rsidP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05B58">
              <w:rPr>
                <w:rFonts w:ascii="Times New Roman" w:hAnsi="Times New Roman"/>
              </w:rPr>
              <w:t xml:space="preserve">Liczba studentów studia I </w:t>
            </w:r>
            <w:proofErr w:type="spellStart"/>
            <w:r w:rsidRPr="00705B58">
              <w:rPr>
                <w:rFonts w:ascii="Times New Roman" w:hAnsi="Times New Roman"/>
              </w:rPr>
              <w:t>i</w:t>
            </w:r>
            <w:proofErr w:type="spellEnd"/>
            <w:r w:rsidRPr="00705B58">
              <w:rPr>
                <w:rFonts w:ascii="Times New Roman" w:hAnsi="Times New Roman"/>
              </w:rPr>
              <w:t xml:space="preserve"> II stopnia, studia podyplomowe, szkoła doktorska, stażyści w AMKP w ostatnich 5 latach:</w:t>
            </w:r>
          </w:p>
          <w:p w14:paraId="09418192" w14:textId="0B1A1B6C" w:rsidR="00705B58" w:rsidRPr="00705B58" w:rsidRDefault="00705B58" w:rsidP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05B58">
              <w:rPr>
                <w:rFonts w:ascii="Times New Roman" w:hAnsi="Times New Roman"/>
              </w:rPr>
              <w:t xml:space="preserve">2021/2022 </w:t>
            </w:r>
            <w:r w:rsidR="008F4D60">
              <w:rPr>
                <w:rFonts w:ascii="Times New Roman" w:hAnsi="Times New Roman"/>
              </w:rPr>
              <w:t>–</w:t>
            </w:r>
            <w:r w:rsidRPr="00705B58">
              <w:rPr>
                <w:rFonts w:ascii="Times New Roman" w:hAnsi="Times New Roman"/>
              </w:rPr>
              <w:t xml:space="preserve"> 782</w:t>
            </w:r>
          </w:p>
          <w:p w14:paraId="311478DC" w14:textId="039AB769" w:rsidR="00705B58" w:rsidRPr="00705B58" w:rsidRDefault="00705B58" w:rsidP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05B58">
              <w:rPr>
                <w:rFonts w:ascii="Times New Roman" w:hAnsi="Times New Roman"/>
              </w:rPr>
              <w:t xml:space="preserve">2022/2023 </w:t>
            </w:r>
            <w:r w:rsidR="008F4D60">
              <w:rPr>
                <w:rFonts w:ascii="Times New Roman" w:hAnsi="Times New Roman"/>
              </w:rPr>
              <w:t>–</w:t>
            </w:r>
            <w:r w:rsidRPr="00705B58">
              <w:rPr>
                <w:rFonts w:ascii="Times New Roman" w:hAnsi="Times New Roman"/>
              </w:rPr>
              <w:t xml:space="preserve"> 745</w:t>
            </w:r>
          </w:p>
          <w:p w14:paraId="796D59F3" w14:textId="617ADAF5" w:rsidR="00705B58" w:rsidRPr="00705B58" w:rsidRDefault="00705B58" w:rsidP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05B58">
              <w:rPr>
                <w:rFonts w:ascii="Times New Roman" w:hAnsi="Times New Roman"/>
              </w:rPr>
              <w:t xml:space="preserve">2023/2024 </w:t>
            </w:r>
            <w:r w:rsidR="008F4D60">
              <w:rPr>
                <w:rFonts w:ascii="Times New Roman" w:hAnsi="Times New Roman"/>
              </w:rPr>
              <w:t>–</w:t>
            </w:r>
            <w:r w:rsidRPr="00705B58">
              <w:rPr>
                <w:rFonts w:ascii="Times New Roman" w:hAnsi="Times New Roman"/>
              </w:rPr>
              <w:t xml:space="preserve"> 758</w:t>
            </w:r>
          </w:p>
          <w:p w14:paraId="7320AACC" w14:textId="412EE277" w:rsidR="00705B58" w:rsidRPr="00705B58" w:rsidRDefault="00705B58" w:rsidP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05B58">
              <w:rPr>
                <w:rFonts w:ascii="Times New Roman" w:hAnsi="Times New Roman"/>
              </w:rPr>
              <w:t xml:space="preserve">2024/2025 </w:t>
            </w:r>
            <w:r w:rsidR="008F4D60">
              <w:rPr>
                <w:rFonts w:ascii="Times New Roman" w:hAnsi="Times New Roman"/>
              </w:rPr>
              <w:t>–</w:t>
            </w:r>
            <w:r w:rsidRPr="00705B58">
              <w:rPr>
                <w:rFonts w:ascii="Times New Roman" w:hAnsi="Times New Roman"/>
              </w:rPr>
              <w:t xml:space="preserve"> 797</w:t>
            </w:r>
          </w:p>
          <w:p w14:paraId="47454720" w14:textId="3EB2B391" w:rsidR="00705B58" w:rsidRPr="00705B58" w:rsidRDefault="00705B58" w:rsidP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05B58">
              <w:rPr>
                <w:rFonts w:ascii="Times New Roman" w:hAnsi="Times New Roman"/>
              </w:rPr>
              <w:t xml:space="preserve">2025/2026 </w:t>
            </w:r>
            <w:r w:rsidR="008F4D60">
              <w:rPr>
                <w:rFonts w:ascii="Times New Roman" w:hAnsi="Times New Roman"/>
              </w:rPr>
              <w:t>–</w:t>
            </w:r>
            <w:r w:rsidRPr="00705B58">
              <w:rPr>
                <w:rFonts w:ascii="Times New Roman" w:hAnsi="Times New Roman"/>
              </w:rPr>
              <w:t xml:space="preserve"> 805</w:t>
            </w:r>
          </w:p>
          <w:p w14:paraId="055A77AE" w14:textId="46205085" w:rsidR="00FC6BAC" w:rsidRDefault="00B409EE" w:rsidP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705B58" w:rsidRPr="00705B58">
              <w:rPr>
                <w:rFonts w:ascii="Times New Roman" w:hAnsi="Times New Roman"/>
              </w:rPr>
              <w:t xml:space="preserve">rognoza 2026/2027 </w:t>
            </w:r>
            <w:r w:rsidR="008F4D60">
              <w:rPr>
                <w:rFonts w:ascii="Times New Roman" w:hAnsi="Times New Roman"/>
              </w:rPr>
              <w:t>–</w:t>
            </w:r>
            <w:r w:rsidR="00705B58" w:rsidRPr="00705B58">
              <w:rPr>
                <w:rFonts w:ascii="Times New Roman" w:hAnsi="Times New Roman"/>
              </w:rPr>
              <w:t xml:space="preserve"> ok</w:t>
            </w:r>
            <w:r w:rsidR="008F4D60">
              <w:rPr>
                <w:rFonts w:ascii="Times New Roman" w:hAnsi="Times New Roman"/>
              </w:rPr>
              <w:t>.</w:t>
            </w:r>
            <w:r w:rsidR="00705B58" w:rsidRPr="00705B58">
              <w:rPr>
                <w:rFonts w:ascii="Times New Roman" w:hAnsi="Times New Roman"/>
              </w:rPr>
              <w:t xml:space="preserve"> 810</w:t>
            </w:r>
          </w:p>
          <w:p w14:paraId="4F68A6F9" w14:textId="121A30C6" w:rsidR="008129FE" w:rsidRDefault="00FC6BAC" w:rsidP="00705B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C6BAC">
              <w:rPr>
                <w:rFonts w:ascii="Times New Roman" w:hAnsi="Times New Roman"/>
              </w:rPr>
              <w:t>Poniżej przedstawiono zestawienie wskaźników dla</w:t>
            </w:r>
            <w:r>
              <w:rPr>
                <w:rFonts w:ascii="Times New Roman" w:hAnsi="Times New Roman"/>
              </w:rPr>
              <w:t xml:space="preserve"> </w:t>
            </w:r>
            <w:r w:rsidRPr="00FC6BAC">
              <w:rPr>
                <w:rFonts w:ascii="Times New Roman" w:hAnsi="Times New Roman"/>
              </w:rPr>
              <w:t xml:space="preserve">Akademii Muzycznej </w:t>
            </w:r>
            <w:r w:rsidR="00B409EE">
              <w:rPr>
                <w:rFonts w:ascii="Times New Roman" w:hAnsi="Times New Roman"/>
              </w:rPr>
              <w:t xml:space="preserve">im. Feliksa Nowowiejskiego </w:t>
            </w:r>
            <w:r w:rsidRPr="00FC6BAC">
              <w:rPr>
                <w:rFonts w:ascii="Times New Roman" w:hAnsi="Times New Roman"/>
              </w:rPr>
              <w:t>w Bydgoszczy</w:t>
            </w:r>
            <w:r>
              <w:rPr>
                <w:rFonts w:ascii="Times New Roman" w:hAnsi="Times New Roman"/>
              </w:rPr>
              <w:t xml:space="preserve"> i</w:t>
            </w:r>
            <w:r w:rsidR="006237CE">
              <w:rPr>
                <w:rFonts w:ascii="Times New Roman" w:hAnsi="Times New Roman"/>
              </w:rPr>
              <w:t> </w:t>
            </w:r>
            <w:r w:rsidRPr="00FC6BAC">
              <w:rPr>
                <w:rFonts w:ascii="Times New Roman" w:hAnsi="Times New Roman"/>
              </w:rPr>
              <w:t xml:space="preserve">Akademii Muzycznej </w:t>
            </w:r>
            <w:r w:rsidR="00B409EE">
              <w:rPr>
                <w:rFonts w:ascii="Times New Roman" w:hAnsi="Times New Roman"/>
              </w:rPr>
              <w:t xml:space="preserve">im. Ignacego Jana Paderewskiego </w:t>
            </w:r>
            <w:r w:rsidRPr="00FC6BAC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Poznaniu.</w:t>
            </w:r>
          </w:p>
          <w:p w14:paraId="10C802C3" w14:textId="51ADE4D7" w:rsidR="003E6154" w:rsidRPr="00DB1FEC" w:rsidRDefault="003E6154" w:rsidP="003E615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bookmarkStart w:id="4" w:name="_Hlk222741914"/>
            <w:r w:rsidRPr="00DB1FEC">
              <w:rPr>
                <w:rFonts w:ascii="Times New Roman" w:hAnsi="Times New Roman"/>
                <w:b/>
              </w:rPr>
              <w:t xml:space="preserve">Akademia Muzyczna </w:t>
            </w:r>
            <w:r w:rsidR="00B409EE">
              <w:rPr>
                <w:rFonts w:ascii="Times New Roman" w:hAnsi="Times New Roman"/>
                <w:b/>
              </w:rPr>
              <w:t xml:space="preserve">im. Feliksa Nowowiejskiego </w:t>
            </w:r>
            <w:r w:rsidRPr="00DB1FEC">
              <w:rPr>
                <w:rFonts w:ascii="Times New Roman" w:hAnsi="Times New Roman"/>
                <w:b/>
              </w:rPr>
              <w:t>w Bydgoszczy</w:t>
            </w:r>
          </w:p>
          <w:p w14:paraId="641EB9A5" w14:textId="1286CBB7" w:rsidR="003E6154" w:rsidRPr="00C55C56" w:rsidRDefault="001422C0" w:rsidP="003E615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3E6154" w:rsidRPr="00C55C56">
              <w:rPr>
                <w:rFonts w:ascii="Times New Roman" w:hAnsi="Times New Roman"/>
              </w:rPr>
              <w:t xml:space="preserve"> 23 314,40 </w:t>
            </w:r>
            <w:r w:rsidR="00065489">
              <w:rPr>
                <w:rFonts w:ascii="Times New Roman" w:hAnsi="Times New Roman"/>
              </w:rPr>
              <w:t>m²</w:t>
            </w:r>
            <w:r w:rsidR="003E6154" w:rsidRPr="00C55C56">
              <w:rPr>
                <w:rFonts w:ascii="Times New Roman" w:hAnsi="Times New Roman"/>
                <w:vertAlign w:val="superscript"/>
              </w:rPr>
              <w:t xml:space="preserve"> </w:t>
            </w:r>
            <w:r w:rsidR="00DB1FEC">
              <w:rPr>
                <w:rFonts w:ascii="Times New Roman" w:hAnsi="Times New Roman"/>
              </w:rPr>
              <w:t xml:space="preserve">– </w:t>
            </w:r>
            <w:r w:rsidR="003E6154" w:rsidRPr="00C55C56">
              <w:rPr>
                <w:rFonts w:ascii="Times New Roman" w:hAnsi="Times New Roman"/>
              </w:rPr>
              <w:t xml:space="preserve">powierzchnia użytkowa nowo utworzonego obiektu </w:t>
            </w:r>
          </w:p>
          <w:p w14:paraId="09C4E1BC" w14:textId="7540AA13" w:rsidR="003E6154" w:rsidRPr="00C55C56" w:rsidRDefault="001422C0" w:rsidP="003E615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3E6154" w:rsidRPr="00C55C56">
              <w:rPr>
                <w:rFonts w:ascii="Times New Roman" w:hAnsi="Times New Roman"/>
              </w:rPr>
              <w:t xml:space="preserve"> 582 </w:t>
            </w:r>
            <w:r>
              <w:rPr>
                <w:rFonts w:ascii="Times New Roman" w:hAnsi="Times New Roman"/>
              </w:rPr>
              <w:t xml:space="preserve">– </w:t>
            </w:r>
            <w:r w:rsidR="003E6154" w:rsidRPr="00C55C56">
              <w:rPr>
                <w:rFonts w:ascii="Times New Roman" w:hAnsi="Times New Roman"/>
              </w:rPr>
              <w:t>liczba studentów stacjonarnych (dane z dnia 31.12.2023 r.)</w:t>
            </w:r>
          </w:p>
          <w:p w14:paraId="6114A743" w14:textId="4CC98B4B" w:rsidR="003E6154" w:rsidRPr="00DB1FEC" w:rsidRDefault="001422C0" w:rsidP="003E61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3E6154" w:rsidRPr="00C55C56">
              <w:rPr>
                <w:rFonts w:ascii="Times New Roman" w:hAnsi="Times New Roman"/>
              </w:rPr>
              <w:t xml:space="preserve"> </w:t>
            </w:r>
            <w:r w:rsidR="003E6154" w:rsidRPr="00DB1FEC">
              <w:rPr>
                <w:rFonts w:ascii="Times New Roman" w:hAnsi="Times New Roman"/>
              </w:rPr>
              <w:t>na 1 studenta przypada:</w:t>
            </w:r>
          </w:p>
          <w:p w14:paraId="7061977E" w14:textId="3AA5407F" w:rsidR="003E6154" w:rsidRPr="00DB1FEC" w:rsidRDefault="001422C0" w:rsidP="003E6154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–</w:t>
            </w:r>
            <w:r w:rsidR="003E6154" w:rsidRPr="00DB1FEC">
              <w:rPr>
                <w:rFonts w:ascii="Times New Roman" w:hAnsi="Times New Roman"/>
                <w:b/>
              </w:rPr>
              <w:t xml:space="preserve"> </w:t>
            </w:r>
            <w:r w:rsidR="003E6154" w:rsidRPr="00DB1FEC">
              <w:rPr>
                <w:rFonts w:ascii="Times New Roman" w:hAnsi="Times New Roman"/>
                <w:u w:val="single"/>
              </w:rPr>
              <w:t>powierzchnia użytkowa 40,06</w:t>
            </w:r>
            <w:r w:rsidR="00B409EE" w:rsidRPr="00DB1FEC">
              <w:rPr>
                <w:rFonts w:ascii="Times New Roman" w:hAnsi="Times New Roman"/>
                <w:u w:val="single"/>
              </w:rPr>
              <w:t xml:space="preserve"> </w:t>
            </w:r>
            <w:r w:rsidR="00065489">
              <w:rPr>
                <w:rFonts w:ascii="Times New Roman" w:hAnsi="Times New Roman"/>
                <w:u w:val="single"/>
              </w:rPr>
              <w:t>m²</w:t>
            </w:r>
          </w:p>
          <w:p w14:paraId="6AFDBB06" w14:textId="7745760D" w:rsidR="003E6154" w:rsidRPr="00DB1FEC" w:rsidRDefault="003E6154" w:rsidP="003E615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DB1FEC">
              <w:rPr>
                <w:rFonts w:ascii="Times New Roman" w:hAnsi="Times New Roman"/>
                <w:b/>
              </w:rPr>
              <w:t>Akademia Muzyczna</w:t>
            </w:r>
            <w:r w:rsidR="00B409EE">
              <w:rPr>
                <w:rFonts w:ascii="Times New Roman" w:hAnsi="Times New Roman"/>
                <w:b/>
              </w:rPr>
              <w:t xml:space="preserve"> im. Ignacego Jana Paderewskiego</w:t>
            </w:r>
            <w:r w:rsidRPr="00DB1FEC">
              <w:rPr>
                <w:rFonts w:ascii="Times New Roman" w:hAnsi="Times New Roman"/>
                <w:b/>
              </w:rPr>
              <w:t xml:space="preserve"> w Poznaniu</w:t>
            </w:r>
          </w:p>
          <w:p w14:paraId="22FCD7EF" w14:textId="270E5DC6" w:rsidR="003E6154" w:rsidRPr="00C55C56" w:rsidRDefault="001422C0" w:rsidP="003E615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3E6154" w:rsidRPr="00C55C56">
              <w:rPr>
                <w:rFonts w:ascii="Times New Roman" w:hAnsi="Times New Roman"/>
              </w:rPr>
              <w:t xml:space="preserve"> Łącznie powierzchnia całkowita netto: 11 078,20 </w:t>
            </w:r>
            <w:r w:rsidR="00065489">
              <w:rPr>
                <w:rFonts w:ascii="Times New Roman" w:hAnsi="Times New Roman"/>
              </w:rPr>
              <w:t>m²</w:t>
            </w:r>
          </w:p>
          <w:p w14:paraId="58F49DF3" w14:textId="77777777" w:rsidR="003E6154" w:rsidRPr="00C55C56" w:rsidRDefault="003E6154" w:rsidP="003E6154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55C56">
              <w:rPr>
                <w:rFonts w:ascii="Times New Roman" w:hAnsi="Times New Roman"/>
              </w:rPr>
              <w:t>W tym:</w:t>
            </w:r>
            <w:r w:rsidRPr="00C55C56">
              <w:rPr>
                <w:rFonts w:ascii="Times New Roman" w:hAnsi="Times New Roman"/>
              </w:rPr>
              <w:tab/>
            </w:r>
            <w:r w:rsidRPr="00C55C56">
              <w:rPr>
                <w:rFonts w:ascii="Times New Roman" w:hAnsi="Times New Roman"/>
              </w:rPr>
              <w:tab/>
            </w:r>
            <w:r w:rsidRPr="00C55C56">
              <w:rPr>
                <w:rFonts w:ascii="Times New Roman" w:hAnsi="Times New Roman"/>
              </w:rPr>
              <w:tab/>
            </w:r>
            <w:r w:rsidRPr="00C55C56">
              <w:rPr>
                <w:rFonts w:ascii="Times New Roman" w:hAnsi="Times New Roman"/>
              </w:rPr>
              <w:tab/>
            </w:r>
          </w:p>
          <w:p w14:paraId="3B5C60F9" w14:textId="6F9B80A2" w:rsidR="003E6154" w:rsidRPr="00C55C56" w:rsidRDefault="003E6154" w:rsidP="003E6154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55C56">
              <w:rPr>
                <w:rFonts w:ascii="Times New Roman" w:hAnsi="Times New Roman"/>
              </w:rPr>
              <w:t xml:space="preserve">Powierzchnia </w:t>
            </w:r>
            <w:r w:rsidR="00B409EE">
              <w:rPr>
                <w:rFonts w:ascii="Times New Roman" w:hAnsi="Times New Roman"/>
              </w:rPr>
              <w:t>u</w:t>
            </w:r>
            <w:r w:rsidRPr="00C55C56">
              <w:rPr>
                <w:rFonts w:ascii="Times New Roman" w:hAnsi="Times New Roman"/>
              </w:rPr>
              <w:t xml:space="preserve">żytkowa + </w:t>
            </w:r>
            <w:r w:rsidR="00B409EE">
              <w:rPr>
                <w:rFonts w:ascii="Times New Roman" w:hAnsi="Times New Roman"/>
              </w:rPr>
              <w:t>u</w:t>
            </w:r>
            <w:r w:rsidRPr="00C55C56">
              <w:rPr>
                <w:rFonts w:ascii="Times New Roman" w:hAnsi="Times New Roman"/>
              </w:rPr>
              <w:t xml:space="preserve">sługowo-techniczna </w:t>
            </w:r>
            <w:r w:rsidR="00B409EE" w:rsidRPr="00B409EE">
              <w:rPr>
                <w:rFonts w:ascii="Times New Roman" w:hAnsi="Times New Roman"/>
              </w:rPr>
              <w:t>–</w:t>
            </w:r>
            <w:r w:rsidRPr="00C55C56">
              <w:rPr>
                <w:rFonts w:ascii="Times New Roman" w:hAnsi="Times New Roman"/>
              </w:rPr>
              <w:t xml:space="preserve"> 7 985,12 </w:t>
            </w:r>
            <w:r w:rsidR="00065489">
              <w:rPr>
                <w:rFonts w:ascii="Times New Roman" w:hAnsi="Times New Roman"/>
              </w:rPr>
              <w:t>m²</w:t>
            </w:r>
          </w:p>
          <w:p w14:paraId="6201074C" w14:textId="6F50AF1B" w:rsidR="003E6154" w:rsidRPr="00C55C56" w:rsidRDefault="003E6154" w:rsidP="003E6154">
            <w:pPr>
              <w:spacing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C55C56">
              <w:rPr>
                <w:rFonts w:ascii="Times New Roman" w:hAnsi="Times New Roman"/>
              </w:rPr>
              <w:t xml:space="preserve">Powierzchnia </w:t>
            </w:r>
            <w:r w:rsidR="00B409EE">
              <w:rPr>
                <w:rFonts w:ascii="Times New Roman" w:hAnsi="Times New Roman"/>
              </w:rPr>
              <w:t>r</w:t>
            </w:r>
            <w:r w:rsidRPr="00C55C56">
              <w:rPr>
                <w:rFonts w:ascii="Times New Roman" w:hAnsi="Times New Roman"/>
              </w:rPr>
              <w:t xml:space="preserve">uchu – komunikacja </w:t>
            </w:r>
            <w:r w:rsidR="00B409EE" w:rsidRPr="00B409EE">
              <w:rPr>
                <w:rFonts w:ascii="Times New Roman" w:hAnsi="Times New Roman"/>
              </w:rPr>
              <w:t>–</w:t>
            </w:r>
            <w:r w:rsidRPr="00C55C56">
              <w:rPr>
                <w:rFonts w:ascii="Times New Roman" w:hAnsi="Times New Roman"/>
              </w:rPr>
              <w:t xml:space="preserve"> 3 093,08 </w:t>
            </w:r>
            <w:r w:rsidR="00065489">
              <w:rPr>
                <w:rFonts w:ascii="Times New Roman" w:hAnsi="Times New Roman"/>
              </w:rPr>
              <w:t>m²</w:t>
            </w:r>
          </w:p>
          <w:p w14:paraId="5C81DC74" w14:textId="7E2EC374" w:rsidR="003E6154" w:rsidRPr="00C55C56" w:rsidRDefault="001422C0" w:rsidP="003E615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3E6154" w:rsidRPr="00C55C56">
              <w:rPr>
                <w:rFonts w:ascii="Times New Roman" w:hAnsi="Times New Roman"/>
              </w:rPr>
              <w:t xml:space="preserve"> 732 </w:t>
            </w:r>
            <w:r>
              <w:rPr>
                <w:rFonts w:ascii="Times New Roman" w:hAnsi="Times New Roman"/>
              </w:rPr>
              <w:t xml:space="preserve">– </w:t>
            </w:r>
            <w:r w:rsidR="003E6154" w:rsidRPr="00C55C56">
              <w:rPr>
                <w:rFonts w:ascii="Times New Roman" w:hAnsi="Times New Roman"/>
              </w:rPr>
              <w:t>liczba studentów stacjonarnych (dane z dnia 31.12.2023 r.)</w:t>
            </w:r>
          </w:p>
          <w:p w14:paraId="7CF332EA" w14:textId="630D4242" w:rsidR="003E6154" w:rsidRPr="00C55C56" w:rsidRDefault="001422C0" w:rsidP="003E615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3E6154" w:rsidRPr="00C55C56">
              <w:rPr>
                <w:rFonts w:ascii="Times New Roman" w:hAnsi="Times New Roman"/>
              </w:rPr>
              <w:t xml:space="preserve"> na 1 studenta przypada:</w:t>
            </w:r>
          </w:p>
          <w:p w14:paraId="177FBE69" w14:textId="62CA363A" w:rsidR="00705B58" w:rsidRDefault="001422C0" w:rsidP="0087284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–</w:t>
            </w:r>
            <w:r w:rsidR="003E6154" w:rsidRPr="00C55C56">
              <w:rPr>
                <w:rFonts w:ascii="Times New Roman" w:hAnsi="Times New Roman"/>
                <w:b/>
              </w:rPr>
              <w:t xml:space="preserve"> </w:t>
            </w:r>
            <w:r w:rsidR="003E6154" w:rsidRPr="00C55C56">
              <w:rPr>
                <w:rFonts w:ascii="Times New Roman" w:hAnsi="Times New Roman"/>
                <w:u w:val="single"/>
              </w:rPr>
              <w:t xml:space="preserve">powierzchnia użytkowa 15,13 </w:t>
            </w:r>
            <w:bookmarkEnd w:id="4"/>
            <w:r w:rsidR="00065489">
              <w:rPr>
                <w:rFonts w:ascii="Times New Roman" w:hAnsi="Times New Roman"/>
                <w:u w:val="single"/>
              </w:rPr>
              <w:t>m²</w:t>
            </w:r>
            <w:r w:rsidR="003E6154">
              <w:rPr>
                <w:rFonts w:ascii="Times New Roman" w:hAnsi="Times New Roman"/>
              </w:rPr>
              <w:t>.</w:t>
            </w:r>
          </w:p>
          <w:p w14:paraId="6B4A764E" w14:textId="77777777" w:rsidR="003E6154" w:rsidRPr="00871855" w:rsidRDefault="003E6154" w:rsidP="00872848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493BCE6D" w14:textId="6AF96079" w:rsidR="00872848" w:rsidRPr="005A794D" w:rsidRDefault="00872848" w:rsidP="0087284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71855">
              <w:rPr>
                <w:rFonts w:ascii="Times New Roman" w:hAnsi="Times New Roman"/>
              </w:rPr>
              <w:t>Obecne sale prób i</w:t>
            </w:r>
            <w:r w:rsidR="00CC3A6D" w:rsidRPr="00871855">
              <w:rPr>
                <w:rFonts w:ascii="Times New Roman" w:hAnsi="Times New Roman"/>
              </w:rPr>
              <w:t> </w:t>
            </w:r>
            <w:r w:rsidRPr="00871855">
              <w:rPr>
                <w:rFonts w:ascii="Times New Roman" w:hAnsi="Times New Roman"/>
              </w:rPr>
              <w:t xml:space="preserve">sale koncertowe nie spełniają standardów akustycznych typowych dla wyższych uczelni muzycznych. Jedną z przyczyn jest zbyt mała wysokość pomieszczeń. Adaptacja akustyczna wnętrz byłaby bardzo kosztowna. Wiązałaby się także </w:t>
            </w:r>
            <w:r w:rsidR="00B409EE">
              <w:rPr>
                <w:rFonts w:ascii="Times New Roman" w:hAnsi="Times New Roman"/>
              </w:rPr>
              <w:t xml:space="preserve">z </w:t>
            </w:r>
            <w:r w:rsidRPr="00871855">
              <w:rPr>
                <w:rFonts w:ascii="Times New Roman" w:hAnsi="Times New Roman"/>
              </w:rPr>
              <w:t>koniecznością znaczącej przebudowy budynków, co nie jest możliwe zarówno ze względów konstrukcyjnych</w:t>
            </w:r>
            <w:r w:rsidR="00DB5D7F" w:rsidRPr="00871855">
              <w:rPr>
                <w:rFonts w:ascii="Times New Roman" w:hAnsi="Times New Roman"/>
              </w:rPr>
              <w:t>,</w:t>
            </w:r>
            <w:r w:rsidRPr="00871855">
              <w:rPr>
                <w:rFonts w:ascii="Times New Roman" w:hAnsi="Times New Roman"/>
              </w:rPr>
              <w:t xml:space="preserve"> jak i z uwagi na ograniczenia </w:t>
            </w:r>
            <w:r w:rsidRPr="005A794D">
              <w:rPr>
                <w:rFonts w:ascii="Times New Roman" w:hAnsi="Times New Roman"/>
              </w:rPr>
              <w:t>konserwatorskie. Obecna baza lokalow</w:t>
            </w:r>
            <w:r w:rsidR="00DB5D7F" w:rsidRPr="005A794D">
              <w:rPr>
                <w:rFonts w:ascii="Times New Roman" w:hAnsi="Times New Roman"/>
              </w:rPr>
              <w:t>a</w:t>
            </w:r>
            <w:r w:rsidRPr="005A794D">
              <w:rPr>
                <w:rFonts w:ascii="Times New Roman" w:hAnsi="Times New Roman"/>
              </w:rPr>
              <w:t xml:space="preserve"> jest istotnym hamulcem ograniczającym rozwój AM</w:t>
            </w:r>
            <w:r w:rsidR="00F90C22" w:rsidRPr="005A794D">
              <w:rPr>
                <w:rFonts w:ascii="Times New Roman" w:hAnsi="Times New Roman"/>
              </w:rPr>
              <w:t>KP</w:t>
            </w:r>
            <w:r w:rsidRPr="005A794D">
              <w:rPr>
                <w:rFonts w:ascii="Times New Roman" w:hAnsi="Times New Roman"/>
              </w:rPr>
              <w:t xml:space="preserve">. Jest także poważną barierą dla rozwoju współpracy międzynarodowej </w:t>
            </w:r>
            <w:r w:rsidR="00DB5D7F" w:rsidRPr="005A794D">
              <w:rPr>
                <w:rFonts w:ascii="Times New Roman" w:hAnsi="Times New Roman"/>
              </w:rPr>
              <w:t>–</w:t>
            </w:r>
            <w:r w:rsidRPr="005A794D">
              <w:rPr>
                <w:rFonts w:ascii="Times New Roman" w:hAnsi="Times New Roman"/>
              </w:rPr>
              <w:t xml:space="preserve"> kluczowej dla uczelni artystycznej tego typu.</w:t>
            </w:r>
          </w:p>
          <w:p w14:paraId="166B0FB4" w14:textId="130498BC" w:rsidR="00C0586F" w:rsidRPr="005A794D" w:rsidRDefault="00C0586F" w:rsidP="0087284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A794D">
              <w:rPr>
                <w:rFonts w:ascii="Times New Roman" w:hAnsi="Times New Roman"/>
              </w:rPr>
              <w:t>Do problemów, które zostaną rozwiązane</w:t>
            </w:r>
            <w:r w:rsidR="00DB5D7F" w:rsidRPr="005A794D">
              <w:rPr>
                <w:rFonts w:ascii="Times New Roman" w:hAnsi="Times New Roman"/>
              </w:rPr>
              <w:t>,</w:t>
            </w:r>
            <w:r w:rsidRPr="005A794D">
              <w:rPr>
                <w:rFonts w:ascii="Times New Roman" w:hAnsi="Times New Roman"/>
              </w:rPr>
              <w:t xml:space="preserve"> zaliczyć zatem należy:</w:t>
            </w:r>
          </w:p>
          <w:p w14:paraId="244639A5" w14:textId="1EF60CEF" w:rsidR="00C0586F" w:rsidRPr="005A794D" w:rsidRDefault="00D448F0" w:rsidP="00C0586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A794D">
              <w:rPr>
                <w:rFonts w:ascii="Times New Roman" w:hAnsi="Times New Roman"/>
              </w:rPr>
              <w:t>–</w:t>
            </w:r>
            <w:r w:rsidR="00C0586F" w:rsidRPr="005A794D">
              <w:rPr>
                <w:rFonts w:ascii="Times New Roman" w:hAnsi="Times New Roman"/>
              </w:rPr>
              <w:t xml:space="preserve"> niewystarczające warunki lokalowe A</w:t>
            </w:r>
            <w:r w:rsidR="00DB5D7F" w:rsidRPr="005A794D">
              <w:rPr>
                <w:rFonts w:ascii="Times New Roman" w:hAnsi="Times New Roman"/>
              </w:rPr>
              <w:t>MKP</w:t>
            </w:r>
            <w:r w:rsidR="00C0586F" w:rsidRPr="005A794D">
              <w:rPr>
                <w:rFonts w:ascii="Times New Roman" w:hAnsi="Times New Roman"/>
              </w:rPr>
              <w:t xml:space="preserve"> dla prowadzenia działalności naukowej, edukacyjnej i artystycznej</w:t>
            </w:r>
            <w:r w:rsidR="00DB5D7F" w:rsidRPr="005A794D">
              <w:rPr>
                <w:rFonts w:ascii="Times New Roman" w:hAnsi="Times New Roman"/>
              </w:rPr>
              <w:t>,</w:t>
            </w:r>
          </w:p>
          <w:p w14:paraId="351E2CD5" w14:textId="73D87EDC" w:rsidR="00C0586F" w:rsidRPr="005A794D" w:rsidRDefault="00DB5D7F" w:rsidP="00C0586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A794D">
              <w:rPr>
                <w:rFonts w:ascii="Times New Roman" w:hAnsi="Times New Roman"/>
              </w:rPr>
              <w:t>–</w:t>
            </w:r>
            <w:r w:rsidR="00C0586F" w:rsidRPr="005A794D">
              <w:rPr>
                <w:rFonts w:ascii="Times New Roman" w:hAnsi="Times New Roman"/>
              </w:rPr>
              <w:t xml:space="preserve"> koniecznoś</w:t>
            </w:r>
            <w:r w:rsidR="00D448F0" w:rsidRPr="005A794D">
              <w:rPr>
                <w:rFonts w:ascii="Times New Roman" w:hAnsi="Times New Roman"/>
              </w:rPr>
              <w:t>ć</w:t>
            </w:r>
            <w:r w:rsidR="00C0586F" w:rsidRPr="005A794D">
              <w:rPr>
                <w:rFonts w:ascii="Times New Roman" w:hAnsi="Times New Roman"/>
              </w:rPr>
              <w:t xml:space="preserve"> wynajmu pomieszczeń niezbędnych do organizacji koncertów (w nowym kampusie </w:t>
            </w:r>
            <w:r w:rsidR="00D448F0" w:rsidRPr="005A794D">
              <w:rPr>
                <w:rFonts w:ascii="Times New Roman" w:hAnsi="Times New Roman"/>
              </w:rPr>
              <w:t xml:space="preserve">zostaną </w:t>
            </w:r>
            <w:r w:rsidR="00C0586F" w:rsidRPr="005A794D">
              <w:rPr>
                <w:rFonts w:ascii="Times New Roman" w:hAnsi="Times New Roman"/>
              </w:rPr>
              <w:t>wybudowane sale koncertowe)</w:t>
            </w:r>
            <w:r w:rsidR="00A9296A" w:rsidRPr="005A794D">
              <w:rPr>
                <w:rFonts w:ascii="Times New Roman" w:hAnsi="Times New Roman"/>
              </w:rPr>
              <w:t xml:space="preserve">. </w:t>
            </w:r>
            <w:r w:rsidR="000B7362" w:rsidRPr="005A794D">
              <w:rPr>
                <w:rFonts w:ascii="Times New Roman" w:hAnsi="Times New Roman"/>
              </w:rPr>
              <w:t>A</w:t>
            </w:r>
            <w:r w:rsidR="008F4D60">
              <w:rPr>
                <w:rFonts w:ascii="Times New Roman" w:hAnsi="Times New Roman"/>
              </w:rPr>
              <w:t>MKP</w:t>
            </w:r>
            <w:r w:rsidR="000B7362" w:rsidRPr="005A794D">
              <w:rPr>
                <w:rFonts w:ascii="Times New Roman" w:hAnsi="Times New Roman"/>
              </w:rPr>
              <w:t xml:space="preserve"> ponosi koszty najmu </w:t>
            </w:r>
            <w:proofErr w:type="spellStart"/>
            <w:r w:rsidR="000B7362" w:rsidRPr="005A794D">
              <w:rPr>
                <w:rFonts w:ascii="Times New Roman" w:hAnsi="Times New Roman"/>
              </w:rPr>
              <w:t>sal</w:t>
            </w:r>
            <w:proofErr w:type="spellEnd"/>
            <w:r w:rsidR="000B7362" w:rsidRPr="005A794D">
              <w:rPr>
                <w:rFonts w:ascii="Times New Roman" w:hAnsi="Times New Roman"/>
              </w:rPr>
              <w:t xml:space="preserve"> dydaktycznych oraz scenicznych w wysokości 326 111 zł rocznie,</w:t>
            </w:r>
          </w:p>
          <w:p w14:paraId="49CF591B" w14:textId="67B329E7" w:rsidR="00871855" w:rsidRDefault="00DB5D7F" w:rsidP="00871855">
            <w:pPr>
              <w:spacing w:line="240" w:lineRule="auto"/>
              <w:jc w:val="both"/>
              <w:rPr>
                <w:rFonts w:ascii="Times New Roman" w:eastAsiaTheme="minorHAnsi" w:hAnsi="Times New Roman"/>
                <w:color w:val="EE0000"/>
                <w:sz w:val="24"/>
                <w:szCs w:val="24"/>
              </w:rPr>
            </w:pPr>
            <w:r w:rsidRPr="00871855">
              <w:rPr>
                <w:rFonts w:ascii="Times New Roman" w:hAnsi="Times New Roman"/>
              </w:rPr>
              <w:t>–</w:t>
            </w:r>
            <w:r w:rsidR="00C0586F" w:rsidRPr="00871855">
              <w:rPr>
                <w:rFonts w:ascii="Times New Roman" w:hAnsi="Times New Roman"/>
              </w:rPr>
              <w:t xml:space="preserve"> ograniczenie kosztów zużywania energii niezbędnej do ogrzania budynków (projektowany kompleks dydaktyczny będzie stanowił przestrzeń o najwyższych standardach środowiskowych</w:t>
            </w:r>
            <w:r w:rsidR="004E6BB2" w:rsidRPr="00871855">
              <w:rPr>
                <w:rFonts w:ascii="Times New Roman" w:hAnsi="Times New Roman"/>
              </w:rPr>
              <w:t xml:space="preserve"> –</w:t>
            </w:r>
            <w:r w:rsidR="00C0586F" w:rsidRPr="00871855">
              <w:rPr>
                <w:rFonts w:ascii="Times New Roman" w:hAnsi="Times New Roman"/>
              </w:rPr>
              <w:t xml:space="preserve"> obiekty będą wyposażone w niezbędne urządzenia techniczne i instalacyjne w technologiach proekologicznych</w:t>
            </w:r>
            <w:r w:rsidR="00B409EE">
              <w:rPr>
                <w:rFonts w:ascii="Times New Roman" w:hAnsi="Times New Roman"/>
              </w:rPr>
              <w:t>,</w:t>
            </w:r>
            <w:r w:rsidR="00871855">
              <w:rPr>
                <w:rFonts w:ascii="Times New Roman" w:eastAsiaTheme="minorHAnsi" w:hAnsi="Times New Roman"/>
                <w:color w:val="EE0000"/>
                <w:sz w:val="24"/>
                <w:szCs w:val="24"/>
              </w:rPr>
              <w:t xml:space="preserve"> </w:t>
            </w:r>
          </w:p>
          <w:p w14:paraId="6EF710AF" w14:textId="7E90DBDA" w:rsidR="00C0586F" w:rsidRPr="00871855" w:rsidRDefault="00DB5D7F" w:rsidP="00C0586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71855">
              <w:rPr>
                <w:rFonts w:ascii="Times New Roman" w:hAnsi="Times New Roman"/>
              </w:rPr>
              <w:t>–</w:t>
            </w:r>
            <w:r w:rsidR="00C0586F" w:rsidRPr="00871855">
              <w:rPr>
                <w:rFonts w:ascii="Times New Roman" w:hAnsi="Times New Roman"/>
              </w:rPr>
              <w:t xml:space="preserve"> ograniczona powierzchnia uniemożliwiająca utworzenie miejsc dla dodatkowych studentów (nowy kampus umożliwi przyjęcie na studia więcej studentów, w tym także studentów zagranicznych)</w:t>
            </w:r>
            <w:r w:rsidR="004E6BB2" w:rsidRPr="00871855">
              <w:rPr>
                <w:rFonts w:ascii="Times New Roman" w:hAnsi="Times New Roman"/>
              </w:rPr>
              <w:t>,</w:t>
            </w:r>
          </w:p>
          <w:p w14:paraId="17480BE1" w14:textId="1AC32089" w:rsidR="00C0586F" w:rsidRPr="005A794D" w:rsidRDefault="00DB5D7F" w:rsidP="00C0586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71855">
              <w:rPr>
                <w:rFonts w:ascii="Times New Roman" w:hAnsi="Times New Roman"/>
              </w:rPr>
              <w:t>–</w:t>
            </w:r>
            <w:r w:rsidR="00C0586F" w:rsidRPr="00871855">
              <w:rPr>
                <w:rFonts w:ascii="Times New Roman" w:hAnsi="Times New Roman"/>
              </w:rPr>
              <w:t xml:space="preserve"> brak możliwości uczestnictwa w przedsięwzięciach kulturalnych mieszkańców Krakowa i regionu małopolskiego z powodu braku </w:t>
            </w:r>
            <w:proofErr w:type="spellStart"/>
            <w:r w:rsidR="00C0586F" w:rsidRPr="00871855">
              <w:rPr>
                <w:rFonts w:ascii="Times New Roman" w:hAnsi="Times New Roman"/>
              </w:rPr>
              <w:t>sal</w:t>
            </w:r>
            <w:proofErr w:type="spellEnd"/>
            <w:r w:rsidR="00C0586F" w:rsidRPr="00871855">
              <w:rPr>
                <w:rFonts w:ascii="Times New Roman" w:hAnsi="Times New Roman"/>
              </w:rPr>
              <w:t xml:space="preserve"> koncertowych</w:t>
            </w:r>
            <w:r w:rsidR="00B409EE">
              <w:rPr>
                <w:rFonts w:ascii="Times New Roman" w:hAnsi="Times New Roman"/>
              </w:rPr>
              <w:t>,</w:t>
            </w:r>
          </w:p>
          <w:p w14:paraId="4DCD47D4" w14:textId="5D2E5152" w:rsidR="00F13F15" w:rsidRPr="00DB1FEC" w:rsidRDefault="00DB5D7F" w:rsidP="00DB1FE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A794D">
              <w:rPr>
                <w:rFonts w:ascii="Times New Roman" w:hAnsi="Times New Roman"/>
              </w:rPr>
              <w:t>–</w:t>
            </w:r>
            <w:r w:rsidR="00C0586F" w:rsidRPr="005A794D">
              <w:rPr>
                <w:rFonts w:ascii="Times New Roman" w:hAnsi="Times New Roman"/>
              </w:rPr>
              <w:t xml:space="preserve"> niezagospodarowane tereny bulwarów nad Wisł</w:t>
            </w:r>
            <w:r w:rsidR="004E6BB2" w:rsidRPr="005A794D">
              <w:rPr>
                <w:rFonts w:ascii="Times New Roman" w:hAnsi="Times New Roman"/>
              </w:rPr>
              <w:t>ą</w:t>
            </w:r>
            <w:r w:rsidR="00C0586F" w:rsidRPr="005A794D">
              <w:rPr>
                <w:rFonts w:ascii="Times New Roman" w:hAnsi="Times New Roman"/>
              </w:rPr>
              <w:t xml:space="preserve"> po byłej jednostce wojskowej przy ul</w:t>
            </w:r>
            <w:r w:rsidR="004E6BB2" w:rsidRPr="005A794D">
              <w:rPr>
                <w:rFonts w:ascii="Times New Roman" w:hAnsi="Times New Roman"/>
              </w:rPr>
              <w:t>.</w:t>
            </w:r>
            <w:r w:rsidR="00C0586F" w:rsidRPr="005A794D">
              <w:rPr>
                <w:rFonts w:ascii="Times New Roman" w:hAnsi="Times New Roman"/>
              </w:rPr>
              <w:t xml:space="preserve"> Skrzatów w Krakowie.</w:t>
            </w:r>
            <w:r w:rsidR="00111818" w:rsidRPr="005A794D">
              <w:rPr>
                <w:rFonts w:ascii="Times New Roman" w:hAnsi="Times New Roman"/>
              </w:rPr>
              <w:br/>
            </w:r>
            <w:r w:rsidR="00F13F15" w:rsidRPr="00DB1FEC">
              <w:rPr>
                <w:rFonts w:ascii="Times New Roman" w:hAnsi="Times New Roman"/>
              </w:rPr>
              <w:t xml:space="preserve">Brak odpowiedniej bazy dydaktycznej w </w:t>
            </w:r>
            <w:r w:rsidR="00920746" w:rsidRPr="00920746">
              <w:rPr>
                <w:rFonts w:ascii="Times New Roman" w:hAnsi="Times New Roman"/>
                <w:color w:val="000000"/>
              </w:rPr>
              <w:t>AMKP</w:t>
            </w:r>
            <w:r w:rsidR="00A93BCA">
              <w:rPr>
                <w:rFonts w:ascii="Times New Roman" w:hAnsi="Times New Roman"/>
                <w:color w:val="000000"/>
              </w:rPr>
              <w:t xml:space="preserve"> </w:t>
            </w:r>
            <w:r w:rsidR="00F13F15" w:rsidRPr="00DB1FEC">
              <w:rPr>
                <w:rFonts w:ascii="Times New Roman" w:hAnsi="Times New Roman"/>
              </w:rPr>
              <w:t>hamuje rozwój nowych kierunków i specjalności potrzebnych na rynku usług związanych z kulturą. Rozwój ten wymaga m.in. specjalistycznych pomieszczeń z odpowiednim wyposażeniem, warunków infrastrukturalnych i profesjonalnej, kompleksowej przestrzeni dla pracy naukowej, twórczej i dydaktycznej, które przyciągną wybitnych artystów zainteresowanych pracą z</w:t>
            </w:r>
            <w:r w:rsidR="006237CE">
              <w:rPr>
                <w:rFonts w:ascii="Times New Roman" w:hAnsi="Times New Roman"/>
              </w:rPr>
              <w:t> </w:t>
            </w:r>
            <w:r w:rsidR="00F13F15" w:rsidRPr="00DB1FEC">
              <w:rPr>
                <w:rFonts w:ascii="Times New Roman" w:hAnsi="Times New Roman"/>
              </w:rPr>
              <w:t>młodzieżą oraz samą utalentowaną młodzież, mającą większy niż kiedyś wybór i co za tym idzie – zwiększone oczekiwania.</w:t>
            </w:r>
          </w:p>
          <w:p w14:paraId="41FC656B" w14:textId="6967D40F" w:rsidR="00F13F15" w:rsidRPr="00DB1FEC" w:rsidRDefault="00E529F7" w:rsidP="00DB1F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EC">
              <w:rPr>
                <w:rFonts w:ascii="Times New Roman" w:hAnsi="Times New Roman"/>
              </w:rPr>
              <w:t>Stan infrastruktury AM</w:t>
            </w:r>
            <w:r w:rsidR="008F4D60" w:rsidRPr="00DB1FEC">
              <w:rPr>
                <w:rFonts w:ascii="Times New Roman" w:hAnsi="Times New Roman"/>
              </w:rPr>
              <w:t>KP</w:t>
            </w:r>
            <w:r w:rsidRPr="00DB1FEC">
              <w:rPr>
                <w:rFonts w:ascii="Times New Roman" w:hAnsi="Times New Roman"/>
              </w:rPr>
              <w:t xml:space="preserve"> tworzy wyraźny dysonans z pięknym dziedzictwem i dużym potencjałem</w:t>
            </w:r>
            <w:r w:rsidR="008F4D60" w:rsidRPr="00DB1FEC">
              <w:rPr>
                <w:rFonts w:ascii="Times New Roman" w:hAnsi="Times New Roman"/>
              </w:rPr>
              <w:t>.</w:t>
            </w:r>
            <w:r w:rsidRPr="00DB1FEC">
              <w:rPr>
                <w:rFonts w:ascii="Times New Roman" w:hAnsi="Times New Roman"/>
              </w:rPr>
              <w:t xml:space="preserve"> </w:t>
            </w:r>
            <w:r w:rsidR="008F4D60" w:rsidRPr="00DB1FEC">
              <w:rPr>
                <w:rFonts w:ascii="Times New Roman" w:hAnsi="Times New Roman"/>
              </w:rPr>
              <w:t>M</w:t>
            </w:r>
            <w:r w:rsidRPr="00DB1FEC">
              <w:rPr>
                <w:rFonts w:ascii="Times New Roman" w:hAnsi="Times New Roman"/>
              </w:rPr>
              <w:t xml:space="preserve">iasto przez wiele lat było pomijane w planach inwestycji w kulturę muzyczną. </w:t>
            </w:r>
          </w:p>
        </w:tc>
      </w:tr>
      <w:tr w:rsidR="006A701A" w:rsidRPr="00D129C5" w14:paraId="1F5739B3" w14:textId="77777777" w:rsidTr="00785D37">
        <w:trPr>
          <w:gridAfter w:val="1"/>
          <w:wAfter w:w="10" w:type="dxa"/>
          <w:trHeight w:val="142"/>
        </w:trPr>
        <w:tc>
          <w:tcPr>
            <w:tcW w:w="11333" w:type="dxa"/>
            <w:gridSpan w:val="21"/>
            <w:shd w:val="clear" w:color="auto" w:fill="99CCFF"/>
            <w:vAlign w:val="center"/>
          </w:tcPr>
          <w:p w14:paraId="3FDD140E" w14:textId="77777777" w:rsidR="006A701A" w:rsidRPr="00D129C5" w:rsidRDefault="0013216E" w:rsidP="00D129C5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129C5">
              <w:rPr>
                <w:rFonts w:ascii="Times New Roman" w:hAnsi="Times New Roman"/>
                <w:b/>
                <w:color w:val="000000"/>
                <w:spacing w:val="-2"/>
              </w:rPr>
              <w:lastRenderedPageBreak/>
              <w:t>Rekomendowane rozwiązanie, w tym planowane narzędzia interwencji, i oczekiwany efekt</w:t>
            </w:r>
          </w:p>
        </w:tc>
      </w:tr>
      <w:tr w:rsidR="006A701A" w:rsidRPr="00D129C5" w14:paraId="496F9B09" w14:textId="77777777" w:rsidTr="00785D37">
        <w:trPr>
          <w:gridAfter w:val="1"/>
          <w:wAfter w:w="10" w:type="dxa"/>
          <w:trHeight w:val="142"/>
        </w:trPr>
        <w:tc>
          <w:tcPr>
            <w:tcW w:w="11333" w:type="dxa"/>
            <w:gridSpan w:val="21"/>
          </w:tcPr>
          <w:p w14:paraId="704D4EFB" w14:textId="228B13BD" w:rsidR="006205B6" w:rsidRDefault="00C0586F" w:rsidP="00C0586F">
            <w:pPr>
              <w:spacing w:before="120" w:line="24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 w:rsidRPr="00DB1FEC">
              <w:rPr>
                <w:rFonts w:ascii="Times New Roman" w:hAnsi="Times New Roman"/>
                <w:b/>
                <w:bCs/>
                <w:spacing w:val="-2"/>
              </w:rPr>
              <w:lastRenderedPageBreak/>
              <w:t>1.</w:t>
            </w:r>
            <w:r w:rsidR="00E96FE9">
              <w:rPr>
                <w:rFonts w:ascii="Times New Roman" w:hAnsi="Times New Roman"/>
                <w:spacing w:val="-2"/>
              </w:rPr>
              <w:t xml:space="preserve"> </w:t>
            </w:r>
            <w:r w:rsidRPr="00C0586F">
              <w:rPr>
                <w:rFonts w:ascii="Times New Roman" w:hAnsi="Times New Roman"/>
                <w:b/>
                <w:spacing w:val="-2"/>
              </w:rPr>
              <w:t>Zapewnienie optymalnych warunków pracy i perspektyw rozwoju dla A</w:t>
            </w:r>
            <w:r w:rsidR="00E96FE9">
              <w:rPr>
                <w:rFonts w:ascii="Times New Roman" w:hAnsi="Times New Roman"/>
                <w:b/>
                <w:spacing w:val="-2"/>
              </w:rPr>
              <w:t>MKP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</w:p>
          <w:p w14:paraId="60DBF3E9" w14:textId="5462E088" w:rsidR="00C0586F" w:rsidRPr="00C0586F" w:rsidRDefault="00C0586F" w:rsidP="00A93BC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C0586F">
              <w:rPr>
                <w:rFonts w:ascii="Times New Roman" w:hAnsi="Times New Roman"/>
                <w:spacing w:val="-2"/>
              </w:rPr>
              <w:t>Realizacja Pr</w:t>
            </w:r>
            <w:r w:rsidR="00641717">
              <w:rPr>
                <w:rFonts w:ascii="Times New Roman" w:hAnsi="Times New Roman"/>
                <w:spacing w:val="-2"/>
              </w:rPr>
              <w:t>ogramu</w:t>
            </w:r>
            <w:r w:rsidR="00E96FE9">
              <w:t xml:space="preserve"> </w:t>
            </w:r>
            <w:r w:rsidR="00E96FE9" w:rsidRPr="00E96FE9">
              <w:rPr>
                <w:rFonts w:ascii="Times New Roman" w:hAnsi="Times New Roman"/>
                <w:spacing w:val="-2"/>
              </w:rPr>
              <w:t xml:space="preserve">wieloletniego </w:t>
            </w:r>
            <w:r w:rsidR="005325AD">
              <w:rPr>
                <w:rFonts w:ascii="Times New Roman" w:hAnsi="Times New Roman"/>
                <w:spacing w:val="-2"/>
              </w:rPr>
              <w:t>pn.</w:t>
            </w:r>
            <w:r w:rsidR="00E96FE9" w:rsidRPr="00E96FE9">
              <w:rPr>
                <w:rFonts w:ascii="Times New Roman" w:hAnsi="Times New Roman"/>
                <w:spacing w:val="-2"/>
              </w:rPr>
              <w:t xml:space="preserve"> „Budowa obiektów dydaktycznych Akademii Muzycznej im. Krzysztofa Pendereckiego w Krakowie”</w:t>
            </w:r>
            <w:r w:rsidR="00E96FE9">
              <w:rPr>
                <w:rFonts w:ascii="Times New Roman" w:hAnsi="Times New Roman"/>
                <w:spacing w:val="-2"/>
              </w:rPr>
              <w:t>, zwanego dalej „Programem”,</w:t>
            </w:r>
            <w:r w:rsidR="00641717">
              <w:rPr>
                <w:rFonts w:ascii="Times New Roman" w:hAnsi="Times New Roman"/>
                <w:spacing w:val="-2"/>
              </w:rPr>
              <w:t xml:space="preserve"> zakłada budowę obiektów dydaktycznych charakteryzujących</w:t>
            </w:r>
            <w:r w:rsidRPr="00C0586F">
              <w:rPr>
                <w:rFonts w:ascii="Times New Roman" w:hAnsi="Times New Roman"/>
                <w:spacing w:val="-2"/>
              </w:rPr>
              <w:t xml:space="preserve"> się wybitnymi rozwiązaniami urbanistycznymi, architektonicznymi i funkcjonalnymi, innowacyjnymi rozwiązaniami w zakresie budowy i</w:t>
            </w:r>
            <w:r w:rsidR="00A6575A">
              <w:rPr>
                <w:rFonts w:ascii="Times New Roman" w:hAnsi="Times New Roman"/>
                <w:spacing w:val="-2"/>
              </w:rPr>
              <w:t> </w:t>
            </w:r>
            <w:r w:rsidRPr="00C0586F">
              <w:rPr>
                <w:rFonts w:ascii="Times New Roman" w:hAnsi="Times New Roman"/>
                <w:spacing w:val="-2"/>
              </w:rPr>
              <w:t xml:space="preserve">eksploatacji oraz doskonałymi warunkami akustycznymi. </w:t>
            </w:r>
            <w:r w:rsidR="00641717" w:rsidRPr="00641717">
              <w:rPr>
                <w:rFonts w:ascii="Times New Roman" w:hAnsi="Times New Roman"/>
                <w:spacing w:val="-2"/>
              </w:rPr>
              <w:t>Dzięki projektowi A</w:t>
            </w:r>
            <w:r w:rsidR="00E96FE9">
              <w:rPr>
                <w:rFonts w:ascii="Times New Roman" w:hAnsi="Times New Roman"/>
                <w:spacing w:val="-2"/>
              </w:rPr>
              <w:t>MKP</w:t>
            </w:r>
            <w:r w:rsidR="00641717" w:rsidRPr="00641717">
              <w:rPr>
                <w:rFonts w:ascii="Times New Roman" w:hAnsi="Times New Roman"/>
                <w:spacing w:val="-2"/>
              </w:rPr>
              <w:t xml:space="preserve"> nie będzie zmuszona wynajmować dodatkowych powierzchni scenicznych.</w:t>
            </w:r>
          </w:p>
          <w:p w14:paraId="71290DE1" w14:textId="7325E196" w:rsidR="00C0586F" w:rsidRDefault="00C0586F" w:rsidP="00C0586F">
            <w:pPr>
              <w:spacing w:before="120" w:line="24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 w:rsidRPr="00C0586F">
              <w:rPr>
                <w:rFonts w:ascii="Times New Roman" w:hAnsi="Times New Roman"/>
                <w:b/>
                <w:spacing w:val="-2"/>
              </w:rPr>
              <w:t>2. Racjonalizacja kosztów funkcjonowania A</w:t>
            </w:r>
            <w:r w:rsidR="00E96FE9">
              <w:rPr>
                <w:rFonts w:ascii="Times New Roman" w:hAnsi="Times New Roman"/>
                <w:b/>
                <w:spacing w:val="-2"/>
              </w:rPr>
              <w:t>MKP</w:t>
            </w:r>
          </w:p>
          <w:p w14:paraId="3B741DFC" w14:textId="4F3F295A" w:rsidR="00AA3106" w:rsidRPr="00871855" w:rsidRDefault="00AA3106" w:rsidP="00AA310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A3106">
              <w:rPr>
                <w:rFonts w:ascii="Times New Roman" w:hAnsi="Times New Roman"/>
              </w:rPr>
              <w:t>Aktualne koszty mediów i eksploatacji (rocznie)</w:t>
            </w:r>
            <w:r>
              <w:rPr>
                <w:rFonts w:ascii="Times New Roman" w:hAnsi="Times New Roman"/>
              </w:rPr>
              <w:t xml:space="preserve">. </w:t>
            </w:r>
            <w:r w:rsidRPr="00AA3106">
              <w:rPr>
                <w:rFonts w:ascii="Times New Roman" w:hAnsi="Times New Roman"/>
              </w:rPr>
              <w:t xml:space="preserve">Są to koszty sumaryczne dla wszystkich budynków </w:t>
            </w:r>
            <w:r w:rsidR="005E6E84">
              <w:rPr>
                <w:rFonts w:ascii="Times New Roman" w:hAnsi="Times New Roman"/>
              </w:rPr>
              <w:t>AMKP</w:t>
            </w:r>
            <w:r w:rsidRPr="00AA3106">
              <w:rPr>
                <w:rFonts w:ascii="Times New Roman" w:hAnsi="Times New Roman"/>
              </w:rPr>
              <w:t xml:space="preserve">, oparte na fakturach opłaconych w ubiegłym roku:   </w:t>
            </w:r>
          </w:p>
          <w:p w14:paraId="70AF2CFA" w14:textId="0F09831B" w:rsidR="00AA3106" w:rsidRPr="00871855" w:rsidRDefault="00AA3106" w:rsidP="00AA310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71855">
              <w:rPr>
                <w:rFonts w:ascii="Times New Roman" w:hAnsi="Times New Roman"/>
              </w:rPr>
              <w:t>Energia elektryczna – 817 827,66 zł netto</w:t>
            </w:r>
            <w:r w:rsidR="005E6E84">
              <w:rPr>
                <w:rFonts w:ascii="Times New Roman" w:hAnsi="Times New Roman"/>
              </w:rPr>
              <w:t>,</w:t>
            </w:r>
          </w:p>
          <w:p w14:paraId="0B5D6A42" w14:textId="32211191" w:rsidR="00AA3106" w:rsidRPr="00871855" w:rsidRDefault="00AA3106" w:rsidP="00AA310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71855">
              <w:rPr>
                <w:rFonts w:ascii="Times New Roman" w:hAnsi="Times New Roman"/>
              </w:rPr>
              <w:t>Ciepło sieciowe – 326 358,34 zł netto</w:t>
            </w:r>
            <w:r w:rsidR="005E6E84">
              <w:rPr>
                <w:rFonts w:ascii="Times New Roman" w:hAnsi="Times New Roman"/>
              </w:rPr>
              <w:t>,</w:t>
            </w:r>
          </w:p>
          <w:p w14:paraId="19C22E23" w14:textId="46724E3C" w:rsidR="00AA3106" w:rsidRPr="00871855" w:rsidRDefault="00AA3106" w:rsidP="00AA310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71855">
              <w:rPr>
                <w:rFonts w:ascii="Times New Roman" w:hAnsi="Times New Roman"/>
              </w:rPr>
              <w:t>Gaz – 287 829,01 zł netto</w:t>
            </w:r>
            <w:r w:rsidR="005E6E84">
              <w:rPr>
                <w:rFonts w:ascii="Times New Roman" w:hAnsi="Times New Roman"/>
              </w:rPr>
              <w:t>,</w:t>
            </w:r>
          </w:p>
          <w:p w14:paraId="4970A51E" w14:textId="12F61C3B" w:rsidR="00AA3106" w:rsidRPr="00871855" w:rsidRDefault="00AA3106" w:rsidP="00AA310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71855">
              <w:rPr>
                <w:rFonts w:ascii="Times New Roman" w:hAnsi="Times New Roman"/>
              </w:rPr>
              <w:t>Woda i ścieki – 88 038,41 zł netto</w:t>
            </w:r>
            <w:r w:rsidR="005E6E84">
              <w:rPr>
                <w:rFonts w:ascii="Times New Roman" w:hAnsi="Times New Roman"/>
              </w:rPr>
              <w:t>,</w:t>
            </w:r>
          </w:p>
          <w:p w14:paraId="0283321C" w14:textId="4F863C0D" w:rsidR="00AA3106" w:rsidRPr="00DB1FEC" w:rsidRDefault="00AA3106" w:rsidP="00DB1FE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71855">
              <w:rPr>
                <w:rFonts w:ascii="Times New Roman" w:hAnsi="Times New Roman"/>
                <w:b/>
                <w:bCs/>
              </w:rPr>
              <w:t>Całkowity koszt – 1 520 053,42 zł netto</w:t>
            </w:r>
            <w:r w:rsidR="005E6E84">
              <w:rPr>
                <w:rFonts w:ascii="Times New Roman" w:hAnsi="Times New Roman"/>
                <w:b/>
                <w:bCs/>
              </w:rPr>
              <w:t>.</w:t>
            </w:r>
          </w:p>
          <w:p w14:paraId="0DEDD7F0" w14:textId="77777777" w:rsidR="00E72D93" w:rsidRDefault="00C0586F" w:rsidP="00871855">
            <w:pPr>
              <w:spacing w:before="120" w:line="240" w:lineRule="auto"/>
              <w:jc w:val="both"/>
              <w:rPr>
                <w:rFonts w:ascii="Times New Roman" w:eastAsiaTheme="minorHAnsi" w:hAnsi="Times New Roman"/>
                <w:color w:val="EE0000"/>
                <w:sz w:val="24"/>
                <w:szCs w:val="24"/>
              </w:rPr>
            </w:pPr>
            <w:r w:rsidRPr="00C0586F">
              <w:rPr>
                <w:rFonts w:ascii="Times New Roman" w:hAnsi="Times New Roman"/>
                <w:spacing w:val="-2"/>
              </w:rPr>
              <w:t>Nowe budynki dydaktyczne A</w:t>
            </w:r>
            <w:r w:rsidR="00E96FE9">
              <w:rPr>
                <w:rFonts w:ascii="Times New Roman" w:hAnsi="Times New Roman"/>
                <w:spacing w:val="-2"/>
              </w:rPr>
              <w:t>MKP</w:t>
            </w:r>
            <w:r w:rsidRPr="00C0586F">
              <w:rPr>
                <w:rFonts w:ascii="Times New Roman" w:hAnsi="Times New Roman"/>
                <w:spacing w:val="-2"/>
              </w:rPr>
              <w:t xml:space="preserve"> będą jednocześnie trwałe, energooszczędne, stosunkowo tanie w eksploatacji.</w:t>
            </w:r>
            <w:r w:rsidR="00871855" w:rsidRPr="00871855">
              <w:rPr>
                <w:rFonts w:ascii="Times New Roman" w:eastAsiaTheme="minorHAnsi" w:hAnsi="Times New Roman"/>
                <w:color w:val="EE0000"/>
                <w:sz w:val="24"/>
                <w:szCs w:val="24"/>
              </w:rPr>
              <w:t xml:space="preserve"> </w:t>
            </w:r>
          </w:p>
          <w:p w14:paraId="6DE73180" w14:textId="4D80C65F" w:rsidR="00D228F3" w:rsidRDefault="00D228F3" w:rsidP="00871855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DB1FEC">
              <w:rPr>
                <w:rFonts w:ascii="Times New Roman" w:eastAsiaTheme="minorHAnsi" w:hAnsi="Times New Roman"/>
              </w:rPr>
              <w:t>Prognozowane koszty mediów dla nowej siedziby (rocznie)</w:t>
            </w:r>
          </w:p>
          <w:p w14:paraId="0FEA1776" w14:textId="210B7086" w:rsidR="00871855" w:rsidRPr="00871855" w:rsidRDefault="00E72D93" w:rsidP="00871855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Zapotrzebowanie na media oszacowano na podstawie parametrów technicznych budynku oraz aktualnych stawek jednostkowych:</w:t>
            </w:r>
          </w:p>
          <w:p w14:paraId="2292D5D9" w14:textId="4847DD57" w:rsidR="00871855" w:rsidRPr="00845D1E" w:rsidRDefault="00871855" w:rsidP="00871855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  <w:u w:val="single"/>
              </w:rPr>
            </w:pPr>
            <w:r w:rsidRPr="00845D1E">
              <w:rPr>
                <w:rFonts w:ascii="Times New Roman" w:hAnsi="Times New Roman"/>
                <w:spacing w:val="-2"/>
                <w:u w:val="single"/>
              </w:rPr>
              <w:t>Energia elektryczna: 1 700 000 kWh rocznie, koszt netto rocznie (x 1,22 zł / kWh): 2 074 000 zł</w:t>
            </w:r>
            <w:r w:rsidR="005E6E84" w:rsidRPr="00845D1E">
              <w:rPr>
                <w:rFonts w:ascii="Times New Roman" w:hAnsi="Times New Roman"/>
                <w:spacing w:val="-2"/>
                <w:u w:val="single"/>
              </w:rPr>
              <w:t>,</w:t>
            </w:r>
          </w:p>
          <w:p w14:paraId="7622A059" w14:textId="7C992569" w:rsidR="00871855" w:rsidRPr="00871855" w:rsidRDefault="00871855" w:rsidP="00871855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71855">
              <w:rPr>
                <w:rFonts w:ascii="Times New Roman" w:hAnsi="Times New Roman"/>
                <w:spacing w:val="-2"/>
              </w:rPr>
              <w:t>Ciepło sieciowe: 150 000 kWh rocznie, koszt netto rocznie (x 0,4 zł / kWh): 60 000 zł</w:t>
            </w:r>
            <w:r w:rsidR="005E6E84">
              <w:rPr>
                <w:rFonts w:ascii="Times New Roman" w:hAnsi="Times New Roman"/>
                <w:spacing w:val="-2"/>
              </w:rPr>
              <w:t>,</w:t>
            </w:r>
          </w:p>
          <w:p w14:paraId="296E7137" w14:textId="1A3D2A5A" w:rsidR="00871855" w:rsidRPr="00871855" w:rsidRDefault="00871855" w:rsidP="00871855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71855">
              <w:rPr>
                <w:rFonts w:ascii="Times New Roman" w:hAnsi="Times New Roman"/>
                <w:spacing w:val="-2"/>
              </w:rPr>
              <w:t>Gaz – brak zapotrzebowania</w:t>
            </w:r>
            <w:r w:rsidR="005E6E84">
              <w:rPr>
                <w:rFonts w:ascii="Times New Roman" w:hAnsi="Times New Roman"/>
                <w:spacing w:val="-2"/>
              </w:rPr>
              <w:t>,</w:t>
            </w:r>
          </w:p>
          <w:p w14:paraId="0CFA20A0" w14:textId="702748BE" w:rsidR="00871855" w:rsidRDefault="00871855" w:rsidP="00871855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71855">
              <w:rPr>
                <w:rFonts w:ascii="Times New Roman" w:hAnsi="Times New Roman"/>
                <w:spacing w:val="-2"/>
              </w:rPr>
              <w:t>Woda i ścieki: 3250 m</w:t>
            </w:r>
            <w:r w:rsidR="008F4D60">
              <w:rPr>
                <w:rFonts w:ascii="Times New Roman" w:hAnsi="Times New Roman"/>
                <w:spacing w:val="-2"/>
              </w:rPr>
              <w:t>³</w:t>
            </w:r>
            <w:r w:rsidRPr="00871855">
              <w:rPr>
                <w:rFonts w:ascii="Times New Roman" w:hAnsi="Times New Roman"/>
                <w:spacing w:val="-2"/>
              </w:rPr>
              <w:t xml:space="preserve"> rocznie, koszt netto rocznie (x 12,90 zł / m</w:t>
            </w:r>
            <w:r w:rsidR="008F4D60">
              <w:rPr>
                <w:rFonts w:ascii="Times New Roman" w:hAnsi="Times New Roman"/>
                <w:spacing w:val="-2"/>
              </w:rPr>
              <w:t>³</w:t>
            </w:r>
            <w:r w:rsidRPr="00871855">
              <w:rPr>
                <w:rFonts w:ascii="Times New Roman" w:hAnsi="Times New Roman"/>
                <w:spacing w:val="-2"/>
              </w:rPr>
              <w:t>): 41 925 zł.</w:t>
            </w:r>
          </w:p>
          <w:p w14:paraId="2E1EA5CC" w14:textId="354487E8" w:rsidR="00477204" w:rsidRDefault="00477204" w:rsidP="00871855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Po uwzględnieniu implementacji zaprojektowanej instalacji fotowoltaicznej, koszt energii elektrycznej będzie się kształtował następująco:</w:t>
            </w:r>
          </w:p>
          <w:p w14:paraId="211EB230" w14:textId="5387AA1E" w:rsidR="00477204" w:rsidRPr="00845D1E" w:rsidRDefault="00477204" w:rsidP="00871855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  <w:u w:val="single"/>
              </w:rPr>
            </w:pPr>
            <w:r w:rsidRPr="00845D1E">
              <w:rPr>
                <w:rFonts w:ascii="Times New Roman" w:hAnsi="Times New Roman"/>
                <w:spacing w:val="-2"/>
                <w:u w:val="single"/>
              </w:rPr>
              <w:t>Energia elektryczna: 1 044 000 kWh rocznie, koszt netto rocznie (x 1,22 zł / kWh): 1 274 000 zł;</w:t>
            </w:r>
          </w:p>
          <w:p w14:paraId="4F066194" w14:textId="59E4C74D" w:rsidR="00C0586F" w:rsidRPr="00A17507" w:rsidRDefault="00E72D93" w:rsidP="00C0586F">
            <w:pPr>
              <w:spacing w:before="120" w:line="240" w:lineRule="auto"/>
              <w:jc w:val="both"/>
              <w:rPr>
                <w:rFonts w:ascii="Times New Roman" w:hAnsi="Times New Roman"/>
                <w:b/>
                <w:bCs/>
                <w:spacing w:val="-2"/>
              </w:rPr>
            </w:pPr>
            <w:r w:rsidRPr="00A17507">
              <w:rPr>
                <w:rFonts w:ascii="Times New Roman" w:hAnsi="Times New Roman"/>
                <w:b/>
                <w:bCs/>
                <w:spacing w:val="-2"/>
              </w:rPr>
              <w:t>Łączny szacowany</w:t>
            </w:r>
            <w:r w:rsidR="00871855" w:rsidRPr="00A17507">
              <w:rPr>
                <w:rFonts w:ascii="Times New Roman" w:hAnsi="Times New Roman"/>
                <w:b/>
                <w:bCs/>
                <w:spacing w:val="-2"/>
              </w:rPr>
              <w:t xml:space="preserve"> koszt</w:t>
            </w:r>
            <w:r w:rsidRPr="00A17507">
              <w:rPr>
                <w:rFonts w:ascii="Times New Roman" w:hAnsi="Times New Roman"/>
                <w:b/>
                <w:bCs/>
                <w:spacing w:val="-2"/>
              </w:rPr>
              <w:t xml:space="preserve"> mediów wynosi</w:t>
            </w:r>
            <w:r w:rsidR="00871855" w:rsidRPr="00A17507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="00477204" w:rsidRPr="00845D1E">
              <w:rPr>
                <w:rFonts w:ascii="Times New Roman" w:hAnsi="Times New Roman"/>
                <w:b/>
                <w:bCs/>
              </w:rPr>
              <w:t>1</w:t>
            </w:r>
            <w:r w:rsidR="00477204" w:rsidRPr="00845D1E">
              <w:rPr>
                <w:rFonts w:ascii="Times New Roman" w:hAnsi="Times New Roman" w:hint="eastAsia"/>
                <w:b/>
                <w:bCs/>
              </w:rPr>
              <w:t> </w:t>
            </w:r>
            <w:r w:rsidR="00477204" w:rsidRPr="00845D1E">
              <w:rPr>
                <w:rFonts w:ascii="Times New Roman" w:hAnsi="Times New Roman"/>
                <w:b/>
                <w:bCs/>
              </w:rPr>
              <w:t>375</w:t>
            </w:r>
            <w:r w:rsidR="00477204" w:rsidRPr="00845D1E">
              <w:rPr>
                <w:rFonts w:ascii="Times New Roman" w:hAnsi="Times New Roman" w:hint="eastAsia"/>
                <w:b/>
                <w:bCs/>
              </w:rPr>
              <w:t> </w:t>
            </w:r>
            <w:r w:rsidR="00477204" w:rsidRPr="00845D1E">
              <w:rPr>
                <w:rFonts w:ascii="Times New Roman" w:hAnsi="Times New Roman"/>
                <w:b/>
                <w:bCs/>
              </w:rPr>
              <w:t>925,00 z</w:t>
            </w:r>
            <w:r w:rsidR="00477204" w:rsidRPr="00845D1E">
              <w:rPr>
                <w:rFonts w:ascii="Times New Roman" w:hAnsi="Times New Roman" w:hint="eastAsia"/>
                <w:b/>
                <w:bCs/>
              </w:rPr>
              <w:t>ł</w:t>
            </w:r>
            <w:r w:rsidR="00477204" w:rsidRPr="00845D1E">
              <w:rPr>
                <w:rFonts w:ascii="Times New Roman" w:hAnsi="Times New Roman"/>
                <w:b/>
                <w:bCs/>
              </w:rPr>
              <w:t xml:space="preserve"> </w:t>
            </w:r>
            <w:r w:rsidR="00871855" w:rsidRPr="00A17507">
              <w:rPr>
                <w:rFonts w:ascii="Times New Roman" w:hAnsi="Times New Roman"/>
                <w:b/>
                <w:bCs/>
                <w:spacing w:val="-2"/>
              </w:rPr>
              <w:t>netto</w:t>
            </w:r>
            <w:r w:rsidRPr="00A17507">
              <w:rPr>
                <w:rFonts w:ascii="Times New Roman" w:hAnsi="Times New Roman"/>
                <w:b/>
                <w:bCs/>
                <w:spacing w:val="-2"/>
              </w:rPr>
              <w:t xml:space="preserve"> rocznie.</w:t>
            </w:r>
          </w:p>
          <w:p w14:paraId="5A6AFD0E" w14:textId="0E24883E" w:rsidR="00E0601F" w:rsidRPr="00C0586F" w:rsidRDefault="004F02D4" w:rsidP="00C0586F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4F02D4">
              <w:rPr>
                <w:rFonts w:ascii="Times New Roman" w:hAnsi="Times New Roman"/>
                <w:spacing w:val="-2"/>
              </w:rPr>
              <w:t>Ocena ekonomiczna inwestycji wymaga uwzględnienia faktu, że nowa siedziba zastąpi pięć dotychczasowych, rozproszonych lokalizacji. Skonsolidowanie całej infrastruktury w jednym miejscu pozwoli na korzystanie z pojedynczych przyłączy mediów, co znacząco usprawni zarządzanie budynkiem i obniży koszty administracyjne. Projektowany obiekt dysponuje większą powierzchnią oraz nowoczesnym zapleczem technicznym, dostosowanym do aktualnych potrzeb rozwojowych A</w:t>
            </w:r>
            <w:r>
              <w:rPr>
                <w:rFonts w:ascii="Times New Roman" w:hAnsi="Times New Roman"/>
                <w:spacing w:val="-2"/>
              </w:rPr>
              <w:t>MKP</w:t>
            </w:r>
            <w:r w:rsidRPr="004F02D4">
              <w:rPr>
                <w:rFonts w:ascii="Times New Roman" w:hAnsi="Times New Roman"/>
                <w:spacing w:val="-2"/>
              </w:rPr>
              <w:t>. Wyższy standard i nowe funkcjonalności naturalnie generują zapotrzebowanie na energię</w:t>
            </w:r>
            <w:r>
              <w:rPr>
                <w:rFonts w:ascii="Times New Roman" w:hAnsi="Times New Roman"/>
                <w:spacing w:val="-2"/>
              </w:rPr>
              <w:t xml:space="preserve">. Jednakże </w:t>
            </w:r>
            <w:r w:rsidRPr="004F02D4">
              <w:rPr>
                <w:rFonts w:ascii="Times New Roman" w:hAnsi="Times New Roman"/>
                <w:spacing w:val="-2"/>
              </w:rPr>
              <w:t>w ogólnym rozrachunku utrzymanie jednego nowoczesnego kompleksu jest znacznie bardziej uzasadnione niż finansowanie eksploatacji kilku nieefektywnych energetycznie budynków.</w:t>
            </w:r>
          </w:p>
          <w:p w14:paraId="42DA59E2" w14:textId="785DCC4A" w:rsidR="00C0586F" w:rsidRPr="006205B6" w:rsidRDefault="00D448F0" w:rsidP="006205B6">
            <w:pPr>
              <w:pStyle w:val="Akapitzlist"/>
              <w:numPr>
                <w:ilvl w:val="0"/>
                <w:numId w:val="3"/>
              </w:numPr>
              <w:spacing w:before="120" w:line="24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Rozwój</w:t>
            </w:r>
            <w:r w:rsidR="00C0586F" w:rsidRPr="006205B6">
              <w:rPr>
                <w:rFonts w:ascii="Times New Roman" w:hAnsi="Times New Roman"/>
                <w:b/>
                <w:spacing w:val="-2"/>
              </w:rPr>
              <w:t xml:space="preserve"> działalności artystycznej i intensyfikacja działalności badawczo-rozwojowej</w:t>
            </w:r>
          </w:p>
          <w:p w14:paraId="4DB71B40" w14:textId="7BE5C2DC" w:rsidR="00641717" w:rsidRDefault="00641717" w:rsidP="00641717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Będzie możliwa realizacja</w:t>
            </w:r>
            <w:r w:rsidRPr="00641717">
              <w:rPr>
                <w:rFonts w:ascii="Times New Roman" w:hAnsi="Times New Roman"/>
                <w:spacing w:val="-2"/>
              </w:rPr>
              <w:t xml:space="preserve"> projektów artystycznych w zakresie i skali do tej pory niespotykanych w A</w:t>
            </w:r>
            <w:r w:rsidR="00E96FE9">
              <w:rPr>
                <w:rFonts w:ascii="Times New Roman" w:hAnsi="Times New Roman"/>
                <w:spacing w:val="-2"/>
              </w:rPr>
              <w:t>MKP</w:t>
            </w:r>
            <w:r w:rsidRPr="00641717">
              <w:rPr>
                <w:rFonts w:ascii="Times New Roman" w:hAnsi="Times New Roman"/>
                <w:spacing w:val="-2"/>
              </w:rPr>
              <w:t xml:space="preserve">. Aby osiągnąć ten cel i zapewnić </w:t>
            </w:r>
            <w:r w:rsidR="00D448F0">
              <w:rPr>
                <w:rFonts w:ascii="Times New Roman" w:hAnsi="Times New Roman"/>
                <w:spacing w:val="-2"/>
              </w:rPr>
              <w:t>rozwój</w:t>
            </w:r>
            <w:r w:rsidRPr="00641717">
              <w:rPr>
                <w:rFonts w:ascii="Times New Roman" w:hAnsi="Times New Roman"/>
                <w:spacing w:val="-2"/>
              </w:rPr>
              <w:t xml:space="preserve"> działalności artystycznej oraz intensyfikację działalności badawczo-rozwojowej, kluczowe znaczenie ma uzyskanie nowoczesnego, oryginalnego, prestiżowego i reprezentacyjnego charakteru obiektów, odpowiadającego ich funkcji i</w:t>
            </w:r>
            <w:r w:rsidR="00CC3A6D">
              <w:rPr>
                <w:rFonts w:ascii="Times New Roman" w:hAnsi="Times New Roman"/>
                <w:spacing w:val="-2"/>
              </w:rPr>
              <w:t> </w:t>
            </w:r>
            <w:r w:rsidRPr="00641717">
              <w:rPr>
                <w:rFonts w:ascii="Times New Roman" w:hAnsi="Times New Roman"/>
                <w:spacing w:val="-2"/>
              </w:rPr>
              <w:t xml:space="preserve">randze, a także logiczne i ekonomiczne rozplanowanie funkcji. </w:t>
            </w:r>
            <w:r w:rsidR="00D448F0">
              <w:rPr>
                <w:rFonts w:ascii="Times New Roman" w:hAnsi="Times New Roman"/>
                <w:spacing w:val="-2"/>
              </w:rPr>
              <w:t>Jest przy tym n</w:t>
            </w:r>
            <w:r w:rsidRPr="00641717">
              <w:rPr>
                <w:rFonts w:ascii="Times New Roman" w:hAnsi="Times New Roman"/>
                <w:spacing w:val="-2"/>
              </w:rPr>
              <w:t xml:space="preserve">iezbędne zapewnienie wysokiej jakości (akustycznej, ale też funkcjonalnej) sali koncertowej, </w:t>
            </w:r>
            <w:proofErr w:type="spellStart"/>
            <w:r w:rsidRPr="00641717">
              <w:rPr>
                <w:rFonts w:ascii="Times New Roman" w:hAnsi="Times New Roman"/>
                <w:spacing w:val="-2"/>
              </w:rPr>
              <w:t>sal</w:t>
            </w:r>
            <w:proofErr w:type="spellEnd"/>
            <w:r w:rsidRPr="00641717">
              <w:rPr>
                <w:rFonts w:ascii="Times New Roman" w:hAnsi="Times New Roman"/>
                <w:spacing w:val="-2"/>
              </w:rPr>
              <w:t xml:space="preserve"> dydaktycznych i ich zaplecza oraz harmonijne powiązanie funkcji dydaktycznych, kulturalnych, rekreacyjnych i społecznych na planowanym obszarze.</w:t>
            </w:r>
          </w:p>
          <w:p w14:paraId="4B6361D4" w14:textId="33F0D7A0" w:rsidR="000B7362" w:rsidRPr="005A794D" w:rsidRDefault="00920746" w:rsidP="000B7362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proofErr w:type="spellStart"/>
            <w:r w:rsidRPr="00920746">
              <w:rPr>
                <w:rFonts w:ascii="Times New Roman" w:hAnsi="Times New Roman"/>
                <w:color w:val="000000"/>
              </w:rPr>
              <w:t>AMKP</w:t>
            </w:r>
            <w:r w:rsidR="000B7362" w:rsidRPr="005A794D">
              <w:rPr>
                <w:rFonts w:ascii="Times New Roman" w:hAnsi="Times New Roman"/>
                <w:spacing w:val="-2"/>
              </w:rPr>
              <w:t>jest</w:t>
            </w:r>
            <w:proofErr w:type="spellEnd"/>
            <w:r w:rsidR="000B7362" w:rsidRPr="005A794D">
              <w:rPr>
                <w:rFonts w:ascii="Times New Roman" w:hAnsi="Times New Roman"/>
                <w:spacing w:val="-2"/>
              </w:rPr>
              <w:t xml:space="preserve"> organizatorem ponad 60 koncertów w roku, organizowanych w Sali koncertowej, Auli Florianka, Filharmonii Krakowskiej, Operze Krakowskiej i Centrum Konferencyjnym ICE Kraków czy Europejskim Centrum Muzyki Krzysztofa Pendereckiego w Lusławicach. Wśród największych imprez wymienić można:</w:t>
            </w:r>
          </w:p>
          <w:p w14:paraId="3EACDE41" w14:textId="6DB876E9" w:rsidR="000B7362" w:rsidRPr="005A794D" w:rsidRDefault="00FB3C07" w:rsidP="000B7362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– </w:t>
            </w:r>
            <w:r w:rsidR="000B7362" w:rsidRPr="005A794D">
              <w:rPr>
                <w:rFonts w:ascii="Times New Roman" w:hAnsi="Times New Roman"/>
                <w:spacing w:val="-2"/>
              </w:rPr>
              <w:t xml:space="preserve">Koncert Orkiestry Kameralnej AMKP </w:t>
            </w:r>
            <w:r w:rsidR="005E6E84">
              <w:rPr>
                <w:rFonts w:ascii="Times New Roman" w:hAnsi="Times New Roman"/>
                <w:spacing w:val="-2"/>
              </w:rPr>
              <w:t xml:space="preserve">w </w:t>
            </w:r>
            <w:r w:rsidR="000B7362" w:rsidRPr="005A794D">
              <w:rPr>
                <w:rFonts w:ascii="Times New Roman" w:hAnsi="Times New Roman"/>
                <w:spacing w:val="-2"/>
              </w:rPr>
              <w:t xml:space="preserve">ramach współpracy między </w:t>
            </w:r>
            <w:r w:rsidR="00920746" w:rsidRPr="00920746">
              <w:rPr>
                <w:rFonts w:ascii="Times New Roman" w:hAnsi="Times New Roman"/>
                <w:color w:val="000000"/>
              </w:rPr>
              <w:t>AMKP</w:t>
            </w:r>
            <w:r w:rsidR="000B7362" w:rsidRPr="005A794D">
              <w:rPr>
                <w:rFonts w:ascii="Times New Roman" w:hAnsi="Times New Roman"/>
                <w:spacing w:val="-2"/>
              </w:rPr>
              <w:t xml:space="preserve"> w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="000B7362" w:rsidRPr="005A794D">
              <w:rPr>
                <w:rFonts w:ascii="Times New Roman" w:hAnsi="Times New Roman"/>
                <w:spacing w:val="-2"/>
              </w:rPr>
              <w:t xml:space="preserve">Krakowie </w:t>
            </w:r>
            <w:r w:rsidR="005E6E84">
              <w:rPr>
                <w:rFonts w:ascii="Times New Roman" w:hAnsi="Times New Roman"/>
                <w:spacing w:val="-2"/>
              </w:rPr>
              <w:t>i</w:t>
            </w:r>
            <w:r w:rsidR="000B7362" w:rsidRPr="005A794D">
              <w:rPr>
                <w:rFonts w:ascii="Times New Roman" w:hAnsi="Times New Roman"/>
                <w:spacing w:val="-2"/>
              </w:rPr>
              <w:t xml:space="preserve"> Akademią Muzyczną im. Ferenca Liszta w Budapeszcie – 240 słuchaczy</w:t>
            </w:r>
            <w:r>
              <w:rPr>
                <w:rFonts w:ascii="Times New Roman" w:hAnsi="Times New Roman"/>
                <w:spacing w:val="-2"/>
              </w:rPr>
              <w:t>,</w:t>
            </w:r>
          </w:p>
          <w:p w14:paraId="08D72E18" w14:textId="068A3022" w:rsidR="000B7362" w:rsidRPr="005A794D" w:rsidRDefault="00FB3C07" w:rsidP="000B7362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– </w:t>
            </w:r>
            <w:r w:rsidR="000B7362" w:rsidRPr="005A794D">
              <w:rPr>
                <w:rFonts w:ascii="Times New Roman" w:hAnsi="Times New Roman"/>
                <w:spacing w:val="-2"/>
              </w:rPr>
              <w:t>Koncert Orkiestry Symfonicznej AMKP w Filharmonii Kr</w:t>
            </w:r>
            <w:r w:rsidR="003412E2">
              <w:rPr>
                <w:rFonts w:ascii="Times New Roman" w:hAnsi="Times New Roman"/>
                <w:spacing w:val="-2"/>
              </w:rPr>
              <w:t>a</w:t>
            </w:r>
            <w:r w:rsidR="000B7362" w:rsidRPr="005A794D">
              <w:rPr>
                <w:rFonts w:ascii="Times New Roman" w:hAnsi="Times New Roman"/>
                <w:spacing w:val="-2"/>
              </w:rPr>
              <w:t>kowskiej – 450 słuchaczy</w:t>
            </w:r>
            <w:r>
              <w:rPr>
                <w:rFonts w:ascii="Times New Roman" w:hAnsi="Times New Roman"/>
                <w:spacing w:val="-2"/>
              </w:rPr>
              <w:t>,</w:t>
            </w:r>
          </w:p>
          <w:p w14:paraId="42101753" w14:textId="4F67421D" w:rsidR="000B7362" w:rsidRPr="005A794D" w:rsidRDefault="00A93BCA" w:rsidP="000B7362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0B7362" w:rsidRPr="005A794D">
              <w:rPr>
                <w:rFonts w:ascii="Times New Roman" w:hAnsi="Times New Roman"/>
                <w:spacing w:val="-2"/>
              </w:rPr>
              <w:t xml:space="preserve">Gala Operowa w Operze Krakowskiej jako prezentacja Wydziału Wokalno-Aktorskiego na scenie Opery </w:t>
            </w:r>
            <w:r w:rsidR="003412E2">
              <w:rPr>
                <w:rFonts w:ascii="Times New Roman" w:hAnsi="Times New Roman"/>
                <w:spacing w:val="-2"/>
              </w:rPr>
              <w:t>–</w:t>
            </w:r>
            <w:r w:rsidR="000B7362" w:rsidRPr="005A794D">
              <w:rPr>
                <w:rFonts w:ascii="Times New Roman" w:hAnsi="Times New Roman"/>
                <w:spacing w:val="-2"/>
              </w:rPr>
              <w:t xml:space="preserve"> 700 słuchaczy</w:t>
            </w:r>
            <w:r w:rsidR="00FB3C07">
              <w:rPr>
                <w:rFonts w:ascii="Times New Roman" w:hAnsi="Times New Roman"/>
                <w:spacing w:val="-2"/>
              </w:rPr>
              <w:t>,</w:t>
            </w:r>
          </w:p>
          <w:p w14:paraId="7E5BA55D" w14:textId="7E654B8F" w:rsidR="000B7362" w:rsidRPr="005A794D" w:rsidRDefault="00FB3C07" w:rsidP="000B7362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0B7362" w:rsidRPr="005A794D">
              <w:rPr>
                <w:rFonts w:ascii="Times New Roman" w:hAnsi="Times New Roman"/>
                <w:spacing w:val="-2"/>
              </w:rPr>
              <w:t>Koncert Orkiestry Dętej w Europejskim Centrum Muzyki Krzysztofa Pendereckiego w Lusławicach</w:t>
            </w:r>
            <w:r w:rsidR="003412E2">
              <w:rPr>
                <w:rFonts w:ascii="Times New Roman" w:hAnsi="Times New Roman"/>
                <w:spacing w:val="-2"/>
              </w:rPr>
              <w:t xml:space="preserve"> –</w:t>
            </w:r>
            <w:r w:rsidR="000B7362" w:rsidRPr="005A794D">
              <w:rPr>
                <w:rFonts w:ascii="Times New Roman" w:hAnsi="Times New Roman"/>
                <w:spacing w:val="-2"/>
              </w:rPr>
              <w:t xml:space="preserve"> 450 słuchaczy</w:t>
            </w:r>
            <w:r>
              <w:rPr>
                <w:rFonts w:ascii="Times New Roman" w:hAnsi="Times New Roman"/>
                <w:spacing w:val="-2"/>
              </w:rPr>
              <w:t>,</w:t>
            </w:r>
          </w:p>
          <w:p w14:paraId="1CE3D54D" w14:textId="0D6AE75F" w:rsidR="000B7362" w:rsidRPr="005A794D" w:rsidRDefault="00FB3C07" w:rsidP="000B7362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0B7362" w:rsidRPr="005A794D">
              <w:rPr>
                <w:rFonts w:ascii="Times New Roman" w:hAnsi="Times New Roman"/>
                <w:spacing w:val="-2"/>
              </w:rPr>
              <w:t>Koncert Chóru i Orkiestry Symfonicznej AMKP w Filharmonii Krakowskiej</w:t>
            </w:r>
            <w:r w:rsidR="003412E2">
              <w:rPr>
                <w:rFonts w:ascii="Times New Roman" w:hAnsi="Times New Roman"/>
                <w:spacing w:val="-2"/>
              </w:rPr>
              <w:t xml:space="preserve"> –</w:t>
            </w:r>
            <w:r w:rsidR="000B7362" w:rsidRPr="005A794D">
              <w:rPr>
                <w:rFonts w:ascii="Times New Roman" w:hAnsi="Times New Roman"/>
                <w:spacing w:val="-2"/>
              </w:rPr>
              <w:t xml:space="preserve"> 690 słuchaczy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  <w:p w14:paraId="240615CE" w14:textId="407D1E44" w:rsidR="005A794D" w:rsidRDefault="000B7362" w:rsidP="005A794D">
            <w:pPr>
              <w:spacing w:before="120" w:line="240" w:lineRule="auto"/>
              <w:jc w:val="both"/>
              <w:rPr>
                <w:rFonts w:ascii="Times New Roman" w:eastAsiaTheme="minorHAnsi" w:hAnsi="Times New Roman"/>
                <w:color w:val="EE0000"/>
                <w:sz w:val="24"/>
                <w:szCs w:val="24"/>
              </w:rPr>
            </w:pPr>
            <w:r w:rsidRPr="005A794D">
              <w:rPr>
                <w:rFonts w:ascii="Times New Roman" w:hAnsi="Times New Roman"/>
                <w:spacing w:val="-2"/>
              </w:rPr>
              <w:t>W 2025 r</w:t>
            </w:r>
            <w:r w:rsidR="00FB3C07">
              <w:rPr>
                <w:rFonts w:ascii="Times New Roman" w:hAnsi="Times New Roman"/>
                <w:spacing w:val="-2"/>
              </w:rPr>
              <w:t>.</w:t>
            </w:r>
            <w:r w:rsidRPr="005A794D">
              <w:rPr>
                <w:rFonts w:ascii="Times New Roman" w:hAnsi="Times New Roman"/>
                <w:spacing w:val="-2"/>
              </w:rPr>
              <w:t xml:space="preserve"> w 61 koncertach uczestniczyło w sumie 18 648 widzów. Oprócz wymienionych imprez AMKP jest organizatorem ponad 300 wydarzeń kulturalnych w roku. Należą do nich seminaria, audycje, konferencje naukowe i koncerty katedr z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Pr="005A794D">
              <w:rPr>
                <w:rFonts w:ascii="Times New Roman" w:hAnsi="Times New Roman"/>
                <w:spacing w:val="-2"/>
              </w:rPr>
              <w:t>ograniczonym, z przyczyn lokalowych</w:t>
            </w:r>
            <w:r w:rsidR="003412E2">
              <w:rPr>
                <w:rFonts w:ascii="Times New Roman" w:hAnsi="Times New Roman"/>
                <w:spacing w:val="-2"/>
              </w:rPr>
              <w:t>,</w:t>
            </w:r>
            <w:r w:rsidRPr="005A794D">
              <w:rPr>
                <w:rFonts w:ascii="Times New Roman" w:hAnsi="Times New Roman"/>
                <w:spacing w:val="-2"/>
              </w:rPr>
              <w:t xml:space="preserve"> udziałem publiczności.</w:t>
            </w:r>
            <w:r w:rsidR="005A794D" w:rsidRPr="005A794D">
              <w:rPr>
                <w:rFonts w:ascii="Times New Roman" w:eastAsiaTheme="minorHAnsi" w:hAnsi="Times New Roman"/>
                <w:color w:val="EE0000"/>
                <w:sz w:val="24"/>
                <w:szCs w:val="24"/>
              </w:rPr>
              <w:t xml:space="preserve"> </w:t>
            </w:r>
          </w:p>
          <w:p w14:paraId="40879CBC" w14:textId="66905BA5" w:rsidR="005A794D" w:rsidRPr="002170CB" w:rsidRDefault="005A794D" w:rsidP="005A794D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5A794D">
              <w:rPr>
                <w:rFonts w:ascii="Times New Roman" w:hAnsi="Times New Roman"/>
                <w:spacing w:val="-2"/>
              </w:rPr>
              <w:lastRenderedPageBreak/>
              <w:t>Budowa kompleksu AMKP stworzy bazę lokalową pozwalającą na dysponowanie własnymi salami</w:t>
            </w:r>
            <w:r w:rsidR="00474787">
              <w:rPr>
                <w:rFonts w:ascii="Times New Roman" w:hAnsi="Times New Roman"/>
                <w:spacing w:val="-2"/>
              </w:rPr>
              <w:t xml:space="preserve"> –</w:t>
            </w:r>
            <w:r w:rsidRPr="005A794D">
              <w:rPr>
                <w:rFonts w:ascii="Times New Roman" w:hAnsi="Times New Roman"/>
                <w:spacing w:val="-2"/>
              </w:rPr>
              <w:t xml:space="preserve"> koncertową czy teatralno-operową</w:t>
            </w:r>
            <w:r w:rsidR="00474787">
              <w:rPr>
                <w:rFonts w:ascii="Times New Roman" w:hAnsi="Times New Roman"/>
                <w:spacing w:val="-2"/>
              </w:rPr>
              <w:t xml:space="preserve"> – oraz</w:t>
            </w:r>
            <w:r w:rsidRPr="005A794D">
              <w:rPr>
                <w:rFonts w:ascii="Times New Roman" w:hAnsi="Times New Roman"/>
                <w:spacing w:val="-2"/>
              </w:rPr>
              <w:t xml:space="preserve"> </w:t>
            </w:r>
            <w:r w:rsidR="003412E2">
              <w:rPr>
                <w:rFonts w:ascii="Times New Roman" w:hAnsi="Times New Roman"/>
                <w:spacing w:val="-2"/>
              </w:rPr>
              <w:t>wy</w:t>
            </w:r>
            <w:r w:rsidRPr="005A794D">
              <w:rPr>
                <w:rFonts w:ascii="Times New Roman" w:hAnsi="Times New Roman"/>
                <w:spacing w:val="-2"/>
              </w:rPr>
              <w:t>eliminuje trudności logistyczne i finansowe związane z pozyskaniem tych przestrzeni do działalności artystycznej. Kluczowym argumentem jest pojawiająca się możliwość doboru repertuaru i harmonogramu jego prezentacji do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Pr="005A794D">
              <w:rPr>
                <w:rFonts w:ascii="Times New Roman" w:hAnsi="Times New Roman"/>
                <w:spacing w:val="-2"/>
              </w:rPr>
              <w:t>faktycznych potrzeb A</w:t>
            </w:r>
            <w:r w:rsidR="003412E2">
              <w:rPr>
                <w:rFonts w:ascii="Times New Roman" w:hAnsi="Times New Roman"/>
                <w:spacing w:val="-2"/>
              </w:rPr>
              <w:t>MKP</w:t>
            </w:r>
            <w:r w:rsidR="00474787">
              <w:rPr>
                <w:rFonts w:ascii="Times New Roman" w:hAnsi="Times New Roman"/>
                <w:spacing w:val="-2"/>
              </w:rPr>
              <w:t>,</w:t>
            </w:r>
            <w:r w:rsidRPr="005A794D">
              <w:rPr>
                <w:rFonts w:ascii="Times New Roman" w:hAnsi="Times New Roman"/>
                <w:spacing w:val="-2"/>
              </w:rPr>
              <w:t xml:space="preserve"> z uwzględnieniem w danym momencie popytu na ofertę artystyczną. 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W wyniku kumulacji przestrzennej działalności AMKP nastąpi znaczne obniżenie kosztów </w:t>
            </w:r>
            <w:r w:rsidR="009C0884" w:rsidRPr="00845D1E">
              <w:rPr>
                <w:rFonts w:ascii="Times New Roman" w:hAnsi="Times New Roman"/>
                <w:spacing w:val="-2"/>
              </w:rPr>
              <w:t xml:space="preserve">– </w:t>
            </w:r>
            <w:r w:rsidR="00AB6313" w:rsidRPr="00845D1E">
              <w:rPr>
                <w:rFonts w:ascii="Times New Roman" w:hAnsi="Times New Roman"/>
                <w:spacing w:val="-2"/>
              </w:rPr>
              <w:t>związanych</w:t>
            </w:r>
            <w:r w:rsidR="009C0884" w:rsidRPr="00845D1E">
              <w:rPr>
                <w:rFonts w:ascii="Times New Roman" w:hAnsi="Times New Roman"/>
                <w:spacing w:val="-2"/>
              </w:rPr>
              <w:t xml:space="preserve"> dotychczas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 z obsługą kilku </w:t>
            </w:r>
            <w:proofErr w:type="spellStart"/>
            <w:r w:rsidR="00AB6313" w:rsidRPr="00845D1E">
              <w:rPr>
                <w:rFonts w:ascii="Times New Roman" w:hAnsi="Times New Roman"/>
                <w:spacing w:val="-2"/>
              </w:rPr>
              <w:t>sal</w:t>
            </w:r>
            <w:proofErr w:type="spellEnd"/>
            <w:r w:rsidR="00AB6313" w:rsidRPr="00845D1E">
              <w:rPr>
                <w:rFonts w:ascii="Times New Roman" w:hAnsi="Times New Roman"/>
                <w:spacing w:val="-2"/>
              </w:rPr>
              <w:t xml:space="preserve"> w różnych lokalizacjach</w:t>
            </w:r>
            <w:r w:rsidR="009C0884" w:rsidRPr="00845D1E">
              <w:rPr>
                <w:rFonts w:ascii="Times New Roman" w:hAnsi="Times New Roman"/>
                <w:spacing w:val="-2"/>
              </w:rPr>
              <w:t xml:space="preserve"> –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 </w:t>
            </w:r>
            <w:r w:rsidR="009C0884" w:rsidRPr="00845D1E">
              <w:rPr>
                <w:rFonts w:ascii="Times New Roman" w:hAnsi="Times New Roman"/>
                <w:spacing w:val="-2"/>
              </w:rPr>
              <w:t>oraz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 zwiększenie liczby odbiorców</w:t>
            </w:r>
            <w:r w:rsidR="006046F7" w:rsidRPr="00845D1E">
              <w:rPr>
                <w:rFonts w:ascii="Times New Roman" w:hAnsi="Times New Roman"/>
                <w:spacing w:val="-2"/>
              </w:rPr>
              <w:t>.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 </w:t>
            </w:r>
            <w:r w:rsidR="006046F7" w:rsidRPr="00845D1E">
              <w:rPr>
                <w:rFonts w:ascii="Times New Roman" w:hAnsi="Times New Roman"/>
                <w:spacing w:val="-2"/>
              </w:rPr>
              <w:t>Natomiast wpływy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 </w:t>
            </w:r>
            <w:r w:rsidR="00125D24" w:rsidRPr="00845D1E">
              <w:rPr>
                <w:rFonts w:ascii="Times New Roman" w:hAnsi="Times New Roman"/>
                <w:spacing w:val="-2"/>
              </w:rPr>
              <w:t>związane z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 komercyjn</w:t>
            </w:r>
            <w:r w:rsidR="00125D24" w:rsidRPr="00845D1E">
              <w:rPr>
                <w:rFonts w:ascii="Times New Roman" w:hAnsi="Times New Roman"/>
                <w:spacing w:val="-2"/>
              </w:rPr>
              <w:t>ym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 wykorzystani</w:t>
            </w:r>
            <w:r w:rsidR="00125D24" w:rsidRPr="00845D1E">
              <w:rPr>
                <w:rFonts w:ascii="Times New Roman" w:hAnsi="Times New Roman"/>
                <w:spacing w:val="-2"/>
              </w:rPr>
              <w:t>em nowej bazy lokalowej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 zasil</w:t>
            </w:r>
            <w:r w:rsidR="006046F7" w:rsidRPr="00845D1E">
              <w:rPr>
                <w:rFonts w:ascii="Times New Roman" w:hAnsi="Times New Roman"/>
                <w:spacing w:val="-2"/>
              </w:rPr>
              <w:t>ą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 przyszły budżet AMKP. Zoptymalizuje się jako</w:t>
            </w:r>
            <w:r w:rsidR="00AB6313" w:rsidRPr="00845D1E">
              <w:rPr>
                <w:rFonts w:ascii="Times New Roman" w:hAnsi="Times New Roman" w:hint="eastAsia"/>
                <w:spacing w:val="-2"/>
              </w:rPr>
              <w:t>ść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 i sprawno</w:t>
            </w:r>
            <w:r w:rsidR="00AB6313" w:rsidRPr="00845D1E">
              <w:rPr>
                <w:rFonts w:ascii="Times New Roman" w:hAnsi="Times New Roman" w:hint="eastAsia"/>
                <w:spacing w:val="-2"/>
              </w:rPr>
              <w:t>ść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 współpracy mi</w:t>
            </w:r>
            <w:r w:rsidR="00AB6313" w:rsidRPr="00845D1E">
              <w:rPr>
                <w:rFonts w:ascii="Times New Roman" w:hAnsi="Times New Roman" w:hint="eastAsia"/>
                <w:spacing w:val="-2"/>
              </w:rPr>
              <w:t>ę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dzy jednostkami AMKP, </w:t>
            </w:r>
            <w:r w:rsidR="009C0884" w:rsidRPr="00845D1E">
              <w:rPr>
                <w:rFonts w:ascii="Times New Roman" w:hAnsi="Times New Roman"/>
                <w:spacing w:val="-2"/>
              </w:rPr>
              <w:t>co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 pozwoli na ograniczenie kosztów</w:t>
            </w:r>
            <w:r w:rsidR="009C0884" w:rsidRPr="00845D1E">
              <w:rPr>
                <w:rFonts w:ascii="Times New Roman" w:hAnsi="Times New Roman"/>
                <w:spacing w:val="-2"/>
              </w:rPr>
              <w:t xml:space="preserve"> i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 czasu przygotowania imprez</w:t>
            </w:r>
            <w:r w:rsidR="009C0884" w:rsidRPr="00845D1E">
              <w:rPr>
                <w:rFonts w:ascii="Times New Roman" w:hAnsi="Times New Roman"/>
                <w:spacing w:val="-2"/>
              </w:rPr>
              <w:t>,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 m.in. </w:t>
            </w:r>
            <w:r w:rsidR="009C0884" w:rsidRPr="00845D1E">
              <w:rPr>
                <w:rFonts w:ascii="Times New Roman" w:hAnsi="Times New Roman"/>
                <w:spacing w:val="-2"/>
              </w:rPr>
              <w:t>w zakresie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 transport</w:t>
            </w:r>
            <w:r w:rsidR="009C0884" w:rsidRPr="00845D1E">
              <w:rPr>
                <w:rFonts w:ascii="Times New Roman" w:hAnsi="Times New Roman"/>
                <w:spacing w:val="-2"/>
              </w:rPr>
              <w:t>u</w:t>
            </w:r>
            <w:r w:rsidR="00AB6313" w:rsidRPr="00845D1E">
              <w:rPr>
                <w:rFonts w:ascii="Times New Roman" w:hAnsi="Times New Roman"/>
                <w:spacing w:val="-2"/>
              </w:rPr>
              <w:t xml:space="preserve"> instrumentów, kostiumów i rekwizytów do </w:t>
            </w:r>
            <w:proofErr w:type="spellStart"/>
            <w:r w:rsidR="00AB6313" w:rsidRPr="00845D1E">
              <w:rPr>
                <w:rFonts w:ascii="Times New Roman" w:hAnsi="Times New Roman"/>
                <w:spacing w:val="-2"/>
              </w:rPr>
              <w:t>sal</w:t>
            </w:r>
            <w:proofErr w:type="spellEnd"/>
            <w:r w:rsidR="00AB6313" w:rsidRPr="00845D1E">
              <w:rPr>
                <w:rFonts w:ascii="Times New Roman" w:hAnsi="Times New Roman"/>
                <w:spacing w:val="-2"/>
              </w:rPr>
              <w:t>, w których odbywają się koncerty i spektakle.</w:t>
            </w:r>
          </w:p>
          <w:p w14:paraId="2D94B9B5" w14:textId="099D18F4" w:rsidR="005A794D" w:rsidRPr="005A794D" w:rsidRDefault="005A794D" w:rsidP="005A794D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5A794D">
              <w:rPr>
                <w:rFonts w:ascii="Times New Roman" w:hAnsi="Times New Roman"/>
                <w:spacing w:val="-2"/>
              </w:rPr>
              <w:t>Obecnie sala koncertowa posiada 170 miejsc, które zostaną zwiększone do 500 miejsc.</w:t>
            </w:r>
          </w:p>
          <w:p w14:paraId="3DA50D53" w14:textId="6AD2FB84" w:rsidR="005A794D" w:rsidRPr="005A794D" w:rsidRDefault="005A794D" w:rsidP="005A794D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5A794D">
              <w:rPr>
                <w:rFonts w:ascii="Times New Roman" w:hAnsi="Times New Roman"/>
                <w:spacing w:val="-2"/>
              </w:rPr>
              <w:t>Nowa baza lokalowa pozwoli skupiać najbardziej zdolnych i obiecujących młodych ludzi, dając im szansę formowania twórczej osobowości, jak też doskonalenia warsztatu w prezentowanej specjalności pod opieką najwybitniejszych nauczycieli akademickich. Absolwenci A</w:t>
            </w:r>
            <w:r w:rsidR="003412E2">
              <w:rPr>
                <w:rFonts w:ascii="Times New Roman" w:hAnsi="Times New Roman"/>
                <w:spacing w:val="-2"/>
              </w:rPr>
              <w:t>MKP</w:t>
            </w:r>
            <w:r w:rsidRPr="005A794D">
              <w:rPr>
                <w:rFonts w:ascii="Times New Roman" w:hAnsi="Times New Roman"/>
                <w:spacing w:val="-2"/>
              </w:rPr>
              <w:t xml:space="preserve"> mają stać się twórcami szerzącymi wartości humanistyczne. Celem działań, jest tworzenie fundamentów pod budowę powiązań w szeroko rozumianych obszarach sztuki i nauki, mogących w przyszłości owocować rozwojem nowych kierunków rozwoju w ramach zintegrowanych dyscyplin. </w:t>
            </w:r>
          </w:p>
          <w:p w14:paraId="7FFD084F" w14:textId="37CD5774" w:rsidR="005A794D" w:rsidRPr="005A794D" w:rsidRDefault="005A794D" w:rsidP="005A794D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5A794D">
              <w:rPr>
                <w:rFonts w:ascii="Times New Roman" w:hAnsi="Times New Roman"/>
                <w:spacing w:val="-2"/>
              </w:rPr>
              <w:t xml:space="preserve">Budowa nowej siedziby AMKP będzie skutkować napływem wielu nowych uzdolnionych muzyków, a także zwiększeniem liczby prestiżowych wydarzeń kulturalnych związanych z muzyką „wysoką”. </w:t>
            </w:r>
          </w:p>
          <w:p w14:paraId="3871696F" w14:textId="3E3384DC" w:rsidR="000B7362" w:rsidRDefault="005A794D" w:rsidP="000B7362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5A794D">
              <w:rPr>
                <w:rFonts w:ascii="Times New Roman" w:hAnsi="Times New Roman"/>
                <w:spacing w:val="-2"/>
              </w:rPr>
              <w:t>Pozyskanie nowych powierzchni dydaktycznych pozwoli osiągnąć współczesne standardy kształcenia na poziomie akademickim oraz rozszerzyć ofertę studiów o nowe kierunki. Budowa nowych obiektów dydaktycznych pozwoli na zwiększenie limitów przyjęć studentów krajowych oraz rekrutację na studia płatne studentów z zagranicy. AMKP nieustannie rozwija współpracę zagraniczną, jednak współczynnik umiędzynarodowienia jest skutecznie hamowany przez niewystarczającą i nieodpowiednią bazę lokalową. A</w:t>
            </w:r>
            <w:r w:rsidR="003412E2">
              <w:rPr>
                <w:rFonts w:ascii="Times New Roman" w:hAnsi="Times New Roman"/>
                <w:spacing w:val="-2"/>
              </w:rPr>
              <w:t>MKP</w:t>
            </w:r>
            <w:r w:rsidRPr="005A794D">
              <w:rPr>
                <w:rFonts w:ascii="Times New Roman" w:hAnsi="Times New Roman"/>
                <w:spacing w:val="-2"/>
              </w:rPr>
              <w:t xml:space="preserve"> od wielu lat odnotowuje spore zainteresowanie ofertą dydaktyczną i naukową wśród studentów zagranicznych, jednak zwiększenie współczynnika zagranicznej kadry dydaktycznej i naukowej oraz samych studentów jest ograniczane z uwagi na trudności lokalowe. Głównym czynnikiem ograniczającym działalność badawczą i rozwojową AMKP jest zatem uboga baza lokalowa i nieodpowiednia infrastruktura badawcza. Studenci i absolwenci A</w:t>
            </w:r>
            <w:r w:rsidR="003412E2">
              <w:rPr>
                <w:rFonts w:ascii="Times New Roman" w:hAnsi="Times New Roman"/>
                <w:spacing w:val="-2"/>
              </w:rPr>
              <w:t>MKP</w:t>
            </w:r>
            <w:r w:rsidRPr="005A794D">
              <w:rPr>
                <w:rFonts w:ascii="Times New Roman" w:hAnsi="Times New Roman"/>
                <w:spacing w:val="-2"/>
              </w:rPr>
              <w:t xml:space="preserve"> znajdują zatrudnienie w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Pr="005A794D">
              <w:rPr>
                <w:rFonts w:ascii="Times New Roman" w:hAnsi="Times New Roman"/>
                <w:spacing w:val="-2"/>
              </w:rPr>
              <w:t xml:space="preserve">największych i najprężniej działających instytucjach kultury w Krakowie, województwie </w:t>
            </w:r>
            <w:r w:rsidR="003412E2">
              <w:rPr>
                <w:rFonts w:ascii="Times New Roman" w:hAnsi="Times New Roman"/>
                <w:spacing w:val="-2"/>
              </w:rPr>
              <w:t>m</w:t>
            </w:r>
            <w:r w:rsidRPr="005A794D">
              <w:rPr>
                <w:rFonts w:ascii="Times New Roman" w:hAnsi="Times New Roman"/>
                <w:spacing w:val="-2"/>
              </w:rPr>
              <w:t>ałopolskim oraz na świecie a ich nieunikniony odpływ z regionu spowodowałby ogromne straty.</w:t>
            </w:r>
          </w:p>
          <w:p w14:paraId="70C827F1" w14:textId="4E5B3C5F" w:rsidR="00546FA6" w:rsidRPr="00546FA6" w:rsidRDefault="00546FA6" w:rsidP="00546FA6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546FA6">
              <w:rPr>
                <w:rFonts w:ascii="Times New Roman" w:hAnsi="Times New Roman"/>
                <w:spacing w:val="-2"/>
              </w:rPr>
              <w:t>Realizacja nowej siedziby AMK</w:t>
            </w:r>
            <w:r>
              <w:rPr>
                <w:rFonts w:ascii="Times New Roman" w:hAnsi="Times New Roman"/>
                <w:spacing w:val="-2"/>
              </w:rPr>
              <w:t>P</w:t>
            </w:r>
            <w:r w:rsidRPr="00546FA6">
              <w:rPr>
                <w:rFonts w:ascii="Times New Roman" w:hAnsi="Times New Roman"/>
                <w:spacing w:val="-2"/>
              </w:rPr>
              <w:t xml:space="preserve"> wpłynie na wymierne zwiększenie skali działalności </w:t>
            </w:r>
            <w:r w:rsidR="000E3D8D">
              <w:rPr>
                <w:rFonts w:ascii="Times New Roman" w:hAnsi="Times New Roman"/>
                <w:spacing w:val="-2"/>
              </w:rPr>
              <w:t>AMKP</w:t>
            </w:r>
            <w:r w:rsidRPr="00546FA6">
              <w:rPr>
                <w:rFonts w:ascii="Times New Roman" w:hAnsi="Times New Roman"/>
                <w:spacing w:val="-2"/>
              </w:rPr>
              <w:t xml:space="preserve"> w następujących obszarach:</w:t>
            </w:r>
          </w:p>
          <w:p w14:paraId="0F2ABF66" w14:textId="107C2708" w:rsidR="00546FA6" w:rsidRDefault="006B3BA9" w:rsidP="006B3BA9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 xml:space="preserve">- </w:t>
            </w:r>
            <w:r w:rsidR="006647D9">
              <w:rPr>
                <w:rFonts w:ascii="Times New Roman" w:hAnsi="Times New Roman"/>
                <w:b/>
                <w:bCs/>
                <w:spacing w:val="-2"/>
              </w:rPr>
              <w:t>L</w:t>
            </w:r>
            <w:r w:rsidR="00546FA6" w:rsidRPr="00546FA6">
              <w:rPr>
                <w:rFonts w:ascii="Times New Roman" w:hAnsi="Times New Roman"/>
                <w:b/>
                <w:bCs/>
                <w:spacing w:val="-2"/>
              </w:rPr>
              <w:t>iczb</w:t>
            </w:r>
            <w:r w:rsidR="006647D9">
              <w:rPr>
                <w:rFonts w:ascii="Times New Roman" w:hAnsi="Times New Roman"/>
                <w:b/>
                <w:bCs/>
                <w:spacing w:val="-2"/>
              </w:rPr>
              <w:t>a</w:t>
            </w:r>
            <w:r w:rsidR="00546FA6" w:rsidRPr="00546FA6">
              <w:rPr>
                <w:rFonts w:ascii="Times New Roman" w:hAnsi="Times New Roman"/>
                <w:b/>
                <w:bCs/>
                <w:spacing w:val="-2"/>
              </w:rPr>
              <w:t xml:space="preserve"> studentów i oferta dydaktyczna:</w:t>
            </w:r>
            <w:r w:rsidR="00546FA6" w:rsidRPr="00546FA6">
              <w:rPr>
                <w:rFonts w:ascii="Times New Roman" w:hAnsi="Times New Roman"/>
                <w:spacing w:val="-2"/>
              </w:rPr>
              <w:t xml:space="preserve"> </w:t>
            </w:r>
          </w:p>
          <w:p w14:paraId="49B13EB6" w14:textId="52226ACE" w:rsidR="00546FA6" w:rsidRPr="00546FA6" w:rsidRDefault="00546FA6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546FA6">
              <w:rPr>
                <w:rFonts w:ascii="Times New Roman" w:hAnsi="Times New Roman"/>
                <w:spacing w:val="-2"/>
              </w:rPr>
              <w:t xml:space="preserve">Obecna infrastruktura, ze względu na drastyczne niedobory powierzchni (jedynie 11,77 m² na studenta, co jest wynikiem ponad czterokrotnie niższym niż w innych uczelniach muzycznych), stanowi barierę rozwojową. Nowy kompleks pozwoli na zniesienie tych ograniczeń, co umożliwi </w:t>
            </w:r>
            <w:r w:rsidRPr="00DB1FEC">
              <w:rPr>
                <w:rFonts w:ascii="Times New Roman" w:hAnsi="Times New Roman"/>
                <w:spacing w:val="-2"/>
              </w:rPr>
              <w:t>zwiększenie limitów przyjęć na studia</w:t>
            </w:r>
            <w:r w:rsidRPr="00546FA6">
              <w:rPr>
                <w:rFonts w:ascii="Times New Roman" w:hAnsi="Times New Roman"/>
                <w:spacing w:val="-2"/>
              </w:rPr>
              <w:t xml:space="preserve"> oraz intensyfikację rekrutacji studentów zagranicznych na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Pr="00546FA6">
              <w:rPr>
                <w:rFonts w:ascii="Times New Roman" w:hAnsi="Times New Roman"/>
                <w:spacing w:val="-2"/>
              </w:rPr>
              <w:t>studia płatne. Pozyskanie nowoczesnych powierzchni dydaktycznych pozwoli również na uruchomienie nowych kierunków studiów i specjalności, które obecnie nie mogą być realizowane z przyczyn lokalowych.</w:t>
            </w:r>
          </w:p>
          <w:p w14:paraId="7C75901B" w14:textId="0B7D91C2" w:rsidR="00546FA6" w:rsidRDefault="006B3BA9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 xml:space="preserve">- </w:t>
            </w:r>
            <w:r w:rsidR="00546FA6" w:rsidRPr="00546FA6">
              <w:rPr>
                <w:rFonts w:ascii="Times New Roman" w:hAnsi="Times New Roman"/>
                <w:b/>
                <w:bCs/>
                <w:spacing w:val="-2"/>
              </w:rPr>
              <w:t>Liczba wydarzeń kulturalnych:</w:t>
            </w:r>
            <w:r w:rsidR="00546FA6" w:rsidRPr="00546FA6">
              <w:rPr>
                <w:rFonts w:ascii="Times New Roman" w:hAnsi="Times New Roman"/>
                <w:spacing w:val="-2"/>
              </w:rPr>
              <w:t xml:space="preserve"> </w:t>
            </w:r>
          </w:p>
          <w:p w14:paraId="2FBFB731" w14:textId="6C4D6424" w:rsidR="00546FA6" w:rsidRPr="00546FA6" w:rsidRDefault="00546FA6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546FA6">
              <w:rPr>
                <w:rFonts w:ascii="Times New Roman" w:hAnsi="Times New Roman"/>
                <w:spacing w:val="-2"/>
              </w:rPr>
              <w:t>Budowa nowoczesnego kompleksu z własną, profesjonalną infrastrukturą koncertową i teatralno-operową pozwoli na znaczące zwiększenie liczby organizowanych wydarzeń. Obecnie A</w:t>
            </w:r>
            <w:r w:rsidR="000E3D8D">
              <w:rPr>
                <w:rFonts w:ascii="Times New Roman" w:hAnsi="Times New Roman"/>
                <w:spacing w:val="-2"/>
              </w:rPr>
              <w:t>MKP</w:t>
            </w:r>
            <w:r w:rsidRPr="00546FA6">
              <w:rPr>
                <w:rFonts w:ascii="Times New Roman" w:hAnsi="Times New Roman"/>
                <w:spacing w:val="-2"/>
              </w:rPr>
              <w:t xml:space="preserve"> jest zmuszona do kosztownego wynajmu </w:t>
            </w:r>
            <w:proofErr w:type="spellStart"/>
            <w:r w:rsidRPr="00546FA6">
              <w:rPr>
                <w:rFonts w:ascii="Times New Roman" w:hAnsi="Times New Roman"/>
                <w:spacing w:val="-2"/>
              </w:rPr>
              <w:t>sal</w:t>
            </w:r>
            <w:proofErr w:type="spellEnd"/>
            <w:r w:rsidRPr="00546FA6">
              <w:rPr>
                <w:rFonts w:ascii="Times New Roman" w:hAnsi="Times New Roman"/>
                <w:spacing w:val="-2"/>
              </w:rPr>
              <w:t xml:space="preserve"> zewnętrznych, co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Pr="00546FA6">
              <w:rPr>
                <w:rFonts w:ascii="Times New Roman" w:hAnsi="Times New Roman"/>
                <w:spacing w:val="-2"/>
              </w:rPr>
              <w:t xml:space="preserve">ogranicza swobodę repertuarową i częstotliwość prezentacji. Własna baza lokalowa umożliwi planowanie wydarzeń o wysokiej randze artystycznej (koncerty symfoniczne, festiwale, opery) w sposób ciągły, co bezpośrednio przełoży się na </w:t>
            </w:r>
            <w:r w:rsidRPr="00DB1FEC">
              <w:rPr>
                <w:rFonts w:ascii="Times New Roman" w:hAnsi="Times New Roman"/>
                <w:spacing w:val="-2"/>
              </w:rPr>
              <w:t>intensyfikację aktywności kulturotwórczej</w:t>
            </w:r>
            <w:r w:rsidRPr="00546FA6">
              <w:rPr>
                <w:rFonts w:ascii="Times New Roman" w:hAnsi="Times New Roman"/>
                <w:spacing w:val="-2"/>
              </w:rPr>
              <w:t xml:space="preserve"> </w:t>
            </w:r>
            <w:r w:rsidR="000E3D8D">
              <w:rPr>
                <w:rFonts w:ascii="Times New Roman" w:hAnsi="Times New Roman"/>
                <w:spacing w:val="-2"/>
              </w:rPr>
              <w:t>AMKP</w:t>
            </w:r>
            <w:r w:rsidRPr="00546FA6">
              <w:rPr>
                <w:rFonts w:ascii="Times New Roman" w:hAnsi="Times New Roman"/>
                <w:spacing w:val="-2"/>
              </w:rPr>
              <w:t>.</w:t>
            </w:r>
          </w:p>
          <w:p w14:paraId="54837500" w14:textId="1331C3FB" w:rsidR="00546FA6" w:rsidRDefault="006B3BA9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 xml:space="preserve">- </w:t>
            </w:r>
            <w:r w:rsidR="00546FA6" w:rsidRPr="00546FA6">
              <w:rPr>
                <w:rFonts w:ascii="Times New Roman" w:hAnsi="Times New Roman"/>
                <w:b/>
                <w:bCs/>
                <w:spacing w:val="-2"/>
              </w:rPr>
              <w:t>Liczba odbiorców wydarzeń kulturalnych:</w:t>
            </w:r>
            <w:r w:rsidR="00546FA6" w:rsidRPr="00546FA6">
              <w:rPr>
                <w:rFonts w:ascii="Times New Roman" w:hAnsi="Times New Roman"/>
                <w:spacing w:val="-2"/>
              </w:rPr>
              <w:t xml:space="preserve"> </w:t>
            </w:r>
          </w:p>
          <w:p w14:paraId="3C4552A1" w14:textId="0A802214" w:rsidR="00546FA6" w:rsidRPr="005A794D" w:rsidRDefault="00546FA6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546FA6">
              <w:rPr>
                <w:rFonts w:ascii="Times New Roman" w:hAnsi="Times New Roman"/>
                <w:spacing w:val="-2"/>
              </w:rPr>
              <w:t xml:space="preserve">Inwestycja pozwoli na skokowy wzrost liczby widzów i słuchaczy. Obecna Sala Koncertowa dysponuje jedynie 170 miejscami, podczas gdy nowa sala koncertowa w kompleksie przy ul. Skrzatów przewidziana jest na </w:t>
            </w:r>
            <w:r w:rsidRPr="00DB1FEC">
              <w:rPr>
                <w:rFonts w:ascii="Times New Roman" w:hAnsi="Times New Roman"/>
                <w:spacing w:val="-2"/>
              </w:rPr>
              <w:t>500 miejsc</w:t>
            </w:r>
            <w:r w:rsidRPr="00546FA6">
              <w:rPr>
                <w:rFonts w:ascii="Times New Roman" w:hAnsi="Times New Roman"/>
                <w:spacing w:val="-2"/>
              </w:rPr>
              <w:t>. Dodatkowo infrastruktura zostanie wzbogacona o salę teatralno-operową oraz liczne przestrzenie pracy twórczej i gastronomię, które będą dostępne nie tylko dla społeczności akademickiej, ale również dla mieszkańców Krakowa i regionu. Dzięki temu A</w:t>
            </w:r>
            <w:r w:rsidR="000E3D8D">
              <w:rPr>
                <w:rFonts w:ascii="Times New Roman" w:hAnsi="Times New Roman"/>
                <w:spacing w:val="-2"/>
              </w:rPr>
              <w:t>MKP</w:t>
            </w:r>
            <w:r w:rsidRPr="00546FA6">
              <w:rPr>
                <w:rFonts w:ascii="Times New Roman" w:hAnsi="Times New Roman"/>
                <w:spacing w:val="-2"/>
              </w:rPr>
              <w:t xml:space="preserve"> stanie się otwartym centrum kultury wysokiej, przyciągającym znacznie większe grono odbiorców niż dotychczas.</w:t>
            </w:r>
          </w:p>
          <w:p w14:paraId="13E63059" w14:textId="77777777" w:rsidR="00E25B37" w:rsidRPr="00E25B37" w:rsidRDefault="00C0586F" w:rsidP="00E25B37">
            <w:pPr>
              <w:pStyle w:val="Akapitzlist"/>
              <w:numPr>
                <w:ilvl w:val="0"/>
                <w:numId w:val="3"/>
              </w:numPr>
              <w:spacing w:before="120" w:line="24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 w:rsidRPr="005A794D">
              <w:rPr>
                <w:rFonts w:ascii="Times New Roman" w:hAnsi="Times New Roman"/>
                <w:b/>
                <w:spacing w:val="-2"/>
              </w:rPr>
              <w:t xml:space="preserve">Stworzenie nowoczesnej formy/rozwiązania architektonicznego </w:t>
            </w:r>
            <w:r w:rsidR="00E96FE9" w:rsidRPr="00E25B37">
              <w:rPr>
                <w:rFonts w:ascii="Times New Roman" w:hAnsi="Times New Roman"/>
                <w:b/>
                <w:spacing w:val="-2"/>
              </w:rPr>
              <w:t>jako</w:t>
            </w:r>
            <w:r w:rsidRPr="00E25B37">
              <w:rPr>
                <w:rFonts w:ascii="Times New Roman" w:hAnsi="Times New Roman"/>
                <w:b/>
                <w:spacing w:val="-2"/>
              </w:rPr>
              <w:t xml:space="preserve"> jedn</w:t>
            </w:r>
            <w:r w:rsidR="00E96FE9" w:rsidRPr="00E25B37">
              <w:rPr>
                <w:rFonts w:ascii="Times New Roman" w:hAnsi="Times New Roman"/>
                <w:b/>
                <w:spacing w:val="-2"/>
              </w:rPr>
              <w:t>ego</w:t>
            </w:r>
            <w:r w:rsidRPr="00E25B37">
              <w:rPr>
                <w:rFonts w:ascii="Times New Roman" w:hAnsi="Times New Roman"/>
                <w:b/>
                <w:spacing w:val="-2"/>
              </w:rPr>
              <w:t xml:space="preserve"> z symboli Krakowa</w:t>
            </w:r>
          </w:p>
          <w:p w14:paraId="2273A437" w14:textId="602A898F" w:rsidR="00B070C6" w:rsidRPr="006205B6" w:rsidRDefault="0029530F" w:rsidP="001422C0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25B37">
              <w:rPr>
                <w:rFonts w:ascii="Times New Roman" w:hAnsi="Times New Roman"/>
                <w:bCs/>
                <w:spacing w:val="-2"/>
              </w:rPr>
              <w:t>Budowa nowej siedziby to kluczowy element rewitalizacji terenów powojskowych, nadający im prestiżową funkcję publiczną. Nowoczesna architektura obiektu stanie się nowym symbolem Krakowa, łączącym tradycję z innowacją.</w:t>
            </w:r>
            <w:r w:rsidR="00E25B37">
              <w:rPr>
                <w:rFonts w:ascii="Times New Roman" w:hAnsi="Times New Roman"/>
                <w:bCs/>
                <w:spacing w:val="-2"/>
              </w:rPr>
              <w:t xml:space="preserve"> </w:t>
            </w:r>
            <w:r w:rsidRPr="00E25B37">
              <w:rPr>
                <w:rFonts w:ascii="Times New Roman" w:hAnsi="Times New Roman"/>
                <w:bCs/>
                <w:spacing w:val="-2"/>
              </w:rPr>
              <w:t xml:space="preserve">Jako instytucja działająca pod </w:t>
            </w:r>
            <w:r w:rsidRPr="00E25B37">
              <w:rPr>
                <w:rFonts w:ascii="Times New Roman" w:hAnsi="Times New Roman"/>
                <w:spacing w:val="-2"/>
              </w:rPr>
              <w:t>patronatem Krzysztofa Pendereckiego</w:t>
            </w:r>
            <w:r w:rsidRPr="00E25B37">
              <w:rPr>
                <w:rFonts w:ascii="Times New Roman" w:hAnsi="Times New Roman"/>
                <w:bCs/>
                <w:spacing w:val="-2"/>
              </w:rPr>
              <w:t xml:space="preserve"> A</w:t>
            </w:r>
            <w:r w:rsidR="00F90C22">
              <w:rPr>
                <w:rFonts w:ascii="Times New Roman" w:hAnsi="Times New Roman"/>
                <w:bCs/>
                <w:spacing w:val="-2"/>
              </w:rPr>
              <w:t>MKP</w:t>
            </w:r>
            <w:r w:rsidRPr="00E25B37">
              <w:rPr>
                <w:rFonts w:ascii="Times New Roman" w:hAnsi="Times New Roman"/>
                <w:bCs/>
                <w:spacing w:val="-2"/>
              </w:rPr>
              <w:t xml:space="preserve"> wymaga oprawy odzwierciedlającej światowy prestiż kompozytora oraz</w:t>
            </w:r>
            <w:r w:rsidR="006237CE">
              <w:rPr>
                <w:rFonts w:ascii="Times New Roman" w:hAnsi="Times New Roman"/>
                <w:bCs/>
                <w:spacing w:val="-2"/>
              </w:rPr>
              <w:t> </w:t>
            </w:r>
            <w:r w:rsidRPr="00E25B37">
              <w:rPr>
                <w:rFonts w:ascii="Times New Roman" w:hAnsi="Times New Roman"/>
                <w:bCs/>
                <w:spacing w:val="-2"/>
              </w:rPr>
              <w:t>nowoczesny charakter prowadzonych w niej badań i projektów artystycznych.</w:t>
            </w:r>
            <w:r w:rsidR="00E25B37" w:rsidRPr="00E25B37">
              <w:rPr>
                <w:rFonts w:ascii="Times New Roman" w:hAnsi="Times New Roman"/>
                <w:bCs/>
                <w:spacing w:val="-2"/>
              </w:rPr>
              <w:t xml:space="preserve"> </w:t>
            </w:r>
            <w:r w:rsidRPr="00E25B37">
              <w:rPr>
                <w:rFonts w:ascii="Times New Roman" w:hAnsi="Times New Roman"/>
                <w:bCs/>
                <w:spacing w:val="-2"/>
              </w:rPr>
              <w:t>Wyjątkowa forma budynku wzmocni wizerunek miasta i przyciągnie inwestycje z sektora przemysłów kreatywnych.</w:t>
            </w:r>
            <w:r w:rsidR="00FF1466" w:rsidDel="00FF1466">
              <w:rPr>
                <w:rFonts w:ascii="Times New Roman" w:hAnsi="Times New Roman"/>
                <w:bCs/>
                <w:spacing w:val="-2"/>
              </w:rPr>
              <w:t xml:space="preserve"> </w:t>
            </w:r>
          </w:p>
        </w:tc>
      </w:tr>
      <w:tr w:rsidR="006A701A" w:rsidRPr="00D129C5" w14:paraId="3E6DD740" w14:textId="77777777" w:rsidTr="00785D37">
        <w:trPr>
          <w:gridAfter w:val="1"/>
          <w:wAfter w:w="10" w:type="dxa"/>
          <w:trHeight w:val="307"/>
        </w:trPr>
        <w:tc>
          <w:tcPr>
            <w:tcW w:w="11333" w:type="dxa"/>
            <w:gridSpan w:val="21"/>
            <w:shd w:val="clear" w:color="auto" w:fill="99CCFF"/>
            <w:vAlign w:val="center"/>
          </w:tcPr>
          <w:p w14:paraId="599B85EE" w14:textId="77777777" w:rsidR="006A701A" w:rsidRPr="00D129C5" w:rsidRDefault="009E3C4B" w:rsidP="00CE73F6">
            <w:pPr>
              <w:numPr>
                <w:ilvl w:val="0"/>
                <w:numId w:val="34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129C5"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="006A701A" w:rsidRPr="00D129C5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D129C5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D129C5" w14:paraId="1D2DB361" w14:textId="77777777" w:rsidTr="00785D37">
        <w:trPr>
          <w:gridAfter w:val="1"/>
          <w:wAfter w:w="10" w:type="dxa"/>
          <w:trHeight w:val="142"/>
        </w:trPr>
        <w:tc>
          <w:tcPr>
            <w:tcW w:w="11333" w:type="dxa"/>
            <w:gridSpan w:val="21"/>
          </w:tcPr>
          <w:p w14:paraId="4924A07D" w14:textId="0C6FE83B" w:rsidR="00296D7B" w:rsidRPr="00D129C5" w:rsidRDefault="00436EC3" w:rsidP="00D129C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Problem stanowi domenę prawa krajowego.</w:t>
            </w:r>
          </w:p>
        </w:tc>
      </w:tr>
      <w:tr w:rsidR="006A701A" w:rsidRPr="00D129C5" w14:paraId="3367C4DC" w14:textId="77777777" w:rsidTr="00785D37">
        <w:trPr>
          <w:gridAfter w:val="1"/>
          <w:wAfter w:w="10" w:type="dxa"/>
          <w:trHeight w:val="359"/>
        </w:trPr>
        <w:tc>
          <w:tcPr>
            <w:tcW w:w="11333" w:type="dxa"/>
            <w:gridSpan w:val="21"/>
            <w:shd w:val="clear" w:color="auto" w:fill="99CCFF"/>
            <w:vAlign w:val="center"/>
          </w:tcPr>
          <w:p w14:paraId="7D474D27" w14:textId="77777777" w:rsidR="006A701A" w:rsidRPr="00D129C5" w:rsidRDefault="006A701A" w:rsidP="00CE73F6">
            <w:pPr>
              <w:numPr>
                <w:ilvl w:val="0"/>
                <w:numId w:val="34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129C5">
              <w:rPr>
                <w:rFonts w:ascii="Times New Roman" w:hAnsi="Times New Roman"/>
                <w:b/>
                <w:color w:val="000000"/>
              </w:rPr>
              <w:lastRenderedPageBreak/>
              <w:t>Podmioty, na które oddziałuje projekt</w:t>
            </w:r>
          </w:p>
        </w:tc>
      </w:tr>
      <w:tr w:rsidR="00260F33" w:rsidRPr="00D129C5" w14:paraId="6519C872" w14:textId="77777777" w:rsidTr="00845D1E">
        <w:trPr>
          <w:gridAfter w:val="1"/>
          <w:wAfter w:w="10" w:type="dxa"/>
          <w:trHeight w:val="142"/>
        </w:trPr>
        <w:tc>
          <w:tcPr>
            <w:tcW w:w="3064" w:type="dxa"/>
            <w:gridSpan w:val="4"/>
          </w:tcPr>
          <w:p w14:paraId="2EF7F0C8" w14:textId="77777777" w:rsidR="00260F33" w:rsidRPr="00EF1B4C" w:rsidRDefault="00260F33" w:rsidP="00D129C5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181" w:type="dxa"/>
            <w:gridSpan w:val="5"/>
          </w:tcPr>
          <w:p w14:paraId="78DCFFB8" w14:textId="77777777" w:rsidR="00260F33" w:rsidRPr="00EF1B4C" w:rsidRDefault="00563199" w:rsidP="00D129C5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3969" w:type="dxa"/>
            <w:gridSpan w:val="7"/>
          </w:tcPr>
          <w:p w14:paraId="514B3898" w14:textId="77777777" w:rsidR="00260F33" w:rsidRPr="00EF1B4C" w:rsidRDefault="00260F33" w:rsidP="00D129C5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EF1B4C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119" w:type="dxa"/>
            <w:gridSpan w:val="5"/>
          </w:tcPr>
          <w:p w14:paraId="4DC6F7B5" w14:textId="77777777" w:rsidR="00260F33" w:rsidRPr="00EF1B4C" w:rsidRDefault="00260F33" w:rsidP="00D129C5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095353" w:rsidRPr="00D129C5" w14:paraId="4382C09C" w14:textId="77777777" w:rsidTr="00845D1E">
        <w:trPr>
          <w:gridAfter w:val="1"/>
          <w:wAfter w:w="10" w:type="dxa"/>
          <w:trHeight w:val="1816"/>
        </w:trPr>
        <w:tc>
          <w:tcPr>
            <w:tcW w:w="3064" w:type="dxa"/>
            <w:gridSpan w:val="4"/>
          </w:tcPr>
          <w:p w14:paraId="4B59C043" w14:textId="6626FC40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 xml:space="preserve">Akademia Muzyczna im. Krzysztofa Pendereckiego w Krakowie </w:t>
            </w:r>
          </w:p>
          <w:p w14:paraId="4DE27673" w14:textId="77777777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1C38E53C" w14:textId="77777777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2E772F0D" w14:textId="77777777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40B56251" w14:textId="2BABAD62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0DA32D3F" w14:textId="77777777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480B884D" w14:textId="77777777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7D78D792" w14:textId="77777777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1FF307EF" w14:textId="5F82E25A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181" w:type="dxa"/>
            <w:gridSpan w:val="5"/>
          </w:tcPr>
          <w:p w14:paraId="49841418" w14:textId="77777777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800 studentów</w:t>
            </w:r>
          </w:p>
          <w:p w14:paraId="6B03C65E" w14:textId="5A8ED755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217 pedagogów</w:t>
            </w:r>
          </w:p>
          <w:p w14:paraId="0ADDE256" w14:textId="77777777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7D40BD27" w14:textId="77777777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37A57F0C" w14:textId="77777777" w:rsidR="00095353" w:rsidRPr="00EF1B4C" w:rsidRDefault="00095353" w:rsidP="00C0586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2BA9EDA4" w14:textId="77777777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1472D21E" w14:textId="77777777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2E78833E" w14:textId="77777777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21883CFE" w14:textId="77777777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6307CF31" w14:textId="24D28F4C" w:rsidR="00095353" w:rsidRPr="00EF1B4C" w:rsidRDefault="00095353" w:rsidP="001E164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3969" w:type="dxa"/>
            <w:gridSpan w:val="7"/>
          </w:tcPr>
          <w:p w14:paraId="3DA470DB" w14:textId="2DB9074A" w:rsidR="00095353" w:rsidRPr="00EF1B4C" w:rsidRDefault="00F90C22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Zintegrowany </w:t>
            </w:r>
            <w:r w:rsidR="00095353" w:rsidRPr="00EF1B4C">
              <w:rPr>
                <w:rFonts w:ascii="Times New Roman" w:hAnsi="Times New Roman"/>
                <w:color w:val="000000"/>
                <w:spacing w:val="-2"/>
              </w:rPr>
              <w:t>System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Informacji o Szkolnictwie Wyższym i Nauce</w:t>
            </w:r>
            <w:r w:rsidR="00095353" w:rsidRPr="00EF1B4C">
              <w:rPr>
                <w:rFonts w:ascii="Times New Roman" w:hAnsi="Times New Roman"/>
                <w:color w:val="000000"/>
                <w:spacing w:val="-2"/>
              </w:rPr>
              <w:t xml:space="preserve"> POL-on</w:t>
            </w:r>
          </w:p>
        </w:tc>
        <w:tc>
          <w:tcPr>
            <w:tcW w:w="2119" w:type="dxa"/>
            <w:gridSpan w:val="5"/>
          </w:tcPr>
          <w:p w14:paraId="688A442B" w14:textId="3CD02F7A" w:rsidR="00095353" w:rsidRPr="00EF1B4C" w:rsidRDefault="00095353" w:rsidP="00CE73F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b/>
                <w:bCs/>
                <w:color w:val="000000"/>
                <w:spacing w:val="-2"/>
              </w:rPr>
              <w:t>1</w:t>
            </w:r>
            <w:r w:rsidRPr="00EF1B4C">
              <w:rPr>
                <w:rFonts w:ascii="Times New Roman" w:hAnsi="Times New Roman"/>
                <w:b/>
                <w:color w:val="000000"/>
                <w:spacing w:val="-2"/>
              </w:rPr>
              <w:t>. Racjonalizacja kosztów</w:t>
            </w:r>
            <w:r w:rsidRPr="00EF1B4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EF1B4C">
              <w:rPr>
                <w:rFonts w:ascii="Times New Roman" w:hAnsi="Times New Roman"/>
                <w:b/>
                <w:color w:val="000000"/>
                <w:spacing w:val="-2"/>
              </w:rPr>
              <w:t>wykorzystania infrastruktury</w:t>
            </w:r>
            <w:r w:rsidRPr="00EF1B4C">
              <w:rPr>
                <w:rFonts w:ascii="Times New Roman" w:hAnsi="Times New Roman"/>
                <w:color w:val="000000"/>
                <w:spacing w:val="-2"/>
              </w:rPr>
              <w:t xml:space="preserve"> – przeniesienie całej działalności do nowej siedziby znacząco obniży koszty użytkowania. Dzięki projektowi AMKP nie będzie zmuszona wynajmować dodatkowych powierzchni scenicznych.</w:t>
            </w:r>
          </w:p>
          <w:p w14:paraId="1B6611D2" w14:textId="77777777" w:rsidR="00095353" w:rsidRPr="00EF1B4C" w:rsidRDefault="00095353" w:rsidP="00CE73F6">
            <w:pPr>
              <w:spacing w:before="12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b/>
                <w:bCs/>
                <w:color w:val="000000"/>
                <w:spacing w:val="-2"/>
              </w:rPr>
              <w:t>2.</w:t>
            </w:r>
            <w:r w:rsidRPr="00EF1B4C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EF1B4C">
              <w:rPr>
                <w:rFonts w:ascii="Times New Roman" w:hAnsi="Times New Roman"/>
                <w:b/>
                <w:color w:val="000000"/>
                <w:spacing w:val="-2"/>
              </w:rPr>
              <w:t>Podniesienie poziomu kształcenia</w:t>
            </w:r>
            <w:r w:rsidRPr="00EF1B4C">
              <w:rPr>
                <w:rFonts w:ascii="Times New Roman" w:hAnsi="Times New Roman"/>
                <w:color w:val="000000"/>
                <w:spacing w:val="-2"/>
              </w:rPr>
              <w:t xml:space="preserve"> – wykorzystanie infrastruktury przygotowanej dla celów kształcenia artystycznego pozwoli na bardziej efektywny proces dydaktyczny.</w:t>
            </w:r>
          </w:p>
          <w:p w14:paraId="35C663DB" w14:textId="19BA1F22" w:rsidR="00095353" w:rsidRPr="00EF1B4C" w:rsidRDefault="00095353" w:rsidP="00CE73F6">
            <w:pPr>
              <w:spacing w:before="12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b/>
                <w:bCs/>
                <w:color w:val="000000"/>
                <w:spacing w:val="-2"/>
              </w:rPr>
              <w:t>3</w:t>
            </w:r>
            <w:r w:rsidRPr="00EF1B4C">
              <w:rPr>
                <w:rFonts w:ascii="Times New Roman" w:hAnsi="Times New Roman"/>
                <w:b/>
                <w:color w:val="000000"/>
                <w:spacing w:val="-2"/>
              </w:rPr>
              <w:t>. Wzrost działalności artystycznej</w:t>
            </w:r>
            <w:r w:rsidRPr="00EF1B4C">
              <w:rPr>
                <w:rFonts w:ascii="Times New Roman" w:hAnsi="Times New Roman"/>
                <w:color w:val="000000"/>
                <w:spacing w:val="-2"/>
              </w:rPr>
              <w:t xml:space="preserve"> – realizacja projektów artystycznych w zakresie i skali do tej pory niespotykanych w działalności AMKP.</w:t>
            </w:r>
          </w:p>
          <w:p w14:paraId="16F195BD" w14:textId="77777777" w:rsidR="00095353" w:rsidRPr="00EF1B4C" w:rsidRDefault="00095353" w:rsidP="00CE73F6">
            <w:pPr>
              <w:spacing w:before="12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b/>
                <w:bCs/>
                <w:color w:val="000000"/>
                <w:spacing w:val="-2"/>
              </w:rPr>
              <w:t>4</w:t>
            </w:r>
            <w:r w:rsidRPr="00EF1B4C">
              <w:rPr>
                <w:rFonts w:ascii="Times New Roman" w:hAnsi="Times New Roman"/>
                <w:b/>
                <w:color w:val="000000"/>
                <w:spacing w:val="-2"/>
              </w:rPr>
              <w:t>. Intensyfikacja działalności badawczo-rozwojowej</w:t>
            </w:r>
            <w:r w:rsidRPr="00EF1B4C">
              <w:rPr>
                <w:rFonts w:ascii="Times New Roman" w:hAnsi="Times New Roman"/>
                <w:color w:val="000000"/>
                <w:spacing w:val="-2"/>
              </w:rPr>
              <w:t xml:space="preserve"> – badania własne oraz współpraca z firmami badawczymi, studiami nagrań, czy sektorem przemysłów kreatywnych.</w:t>
            </w:r>
          </w:p>
          <w:p w14:paraId="04762554" w14:textId="35F6FBE2" w:rsidR="00095353" w:rsidRPr="00EF1B4C" w:rsidRDefault="00095353" w:rsidP="00CE73F6">
            <w:pPr>
              <w:spacing w:before="12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b/>
                <w:bCs/>
                <w:color w:val="000000"/>
                <w:spacing w:val="-2"/>
              </w:rPr>
              <w:t>5.</w:t>
            </w:r>
            <w:r w:rsidRPr="00EF1B4C">
              <w:rPr>
                <w:rFonts w:ascii="Times New Roman" w:hAnsi="Times New Roman"/>
                <w:color w:val="000000"/>
                <w:spacing w:val="-2"/>
              </w:rPr>
              <w:t xml:space="preserve"> Zapewnienie możliwości przeniesienia prowadzonej w różnych lokalizacjach działalności dydaktycznej i artystycznej do jednej siedziby. Ponadto   ożywienie powojskowych terenów</w:t>
            </w:r>
            <w:r w:rsidR="006647D9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095353" w:rsidRPr="00D129C5" w14:paraId="4819F3BF" w14:textId="77777777" w:rsidTr="00845D1E">
        <w:trPr>
          <w:gridAfter w:val="1"/>
          <w:wAfter w:w="10" w:type="dxa"/>
          <w:trHeight w:val="1812"/>
        </w:trPr>
        <w:tc>
          <w:tcPr>
            <w:tcW w:w="3064" w:type="dxa"/>
            <w:gridSpan w:val="4"/>
          </w:tcPr>
          <w:p w14:paraId="68164995" w14:textId="77777777" w:rsidR="00095353" w:rsidRPr="00EF1B4C" w:rsidRDefault="00095353" w:rsidP="001E164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lastRenderedPageBreak/>
              <w:t>Minister Kultury i Dziedzictwa Narodowego</w:t>
            </w:r>
          </w:p>
          <w:p w14:paraId="425FEB5F" w14:textId="77777777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181" w:type="dxa"/>
            <w:gridSpan w:val="5"/>
          </w:tcPr>
          <w:p w14:paraId="74D56201" w14:textId="70A6A190" w:rsidR="00095353" w:rsidRPr="00EF1B4C" w:rsidRDefault="00095353" w:rsidP="00CE73F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3969" w:type="dxa"/>
            <w:gridSpan w:val="7"/>
          </w:tcPr>
          <w:p w14:paraId="391DBDB8" w14:textId="4B585627" w:rsidR="00095353" w:rsidRPr="00EF1B4C" w:rsidRDefault="00EF1B4C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Dane resortowe</w:t>
            </w:r>
          </w:p>
        </w:tc>
        <w:tc>
          <w:tcPr>
            <w:tcW w:w="2119" w:type="dxa"/>
            <w:gridSpan w:val="5"/>
          </w:tcPr>
          <w:p w14:paraId="45041156" w14:textId="70DF9707" w:rsidR="00095353" w:rsidRPr="00EF1B4C" w:rsidRDefault="00EF1B4C" w:rsidP="00CE73F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Realizacja polityki państwa w zakresie szkolnictwa artystycznego oraz</w:t>
            </w:r>
            <w:r w:rsidR="006237CE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EF1B4C">
              <w:rPr>
                <w:rFonts w:ascii="Times New Roman" w:hAnsi="Times New Roman"/>
                <w:color w:val="000000"/>
                <w:spacing w:val="-2"/>
              </w:rPr>
              <w:t>nadzór nad efektywnym wykorzystaniem środków na</w:t>
            </w:r>
            <w:r w:rsidR="006237CE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EF1B4C">
              <w:rPr>
                <w:rFonts w:ascii="Times New Roman" w:hAnsi="Times New Roman"/>
                <w:color w:val="000000"/>
                <w:spacing w:val="-2"/>
              </w:rPr>
              <w:t>infrastrukturę.</w:t>
            </w:r>
          </w:p>
        </w:tc>
      </w:tr>
      <w:tr w:rsidR="00095353" w:rsidRPr="00D129C5" w14:paraId="100ECD61" w14:textId="77777777" w:rsidTr="00845D1E">
        <w:trPr>
          <w:gridAfter w:val="1"/>
          <w:wAfter w:w="10" w:type="dxa"/>
          <w:trHeight w:val="1812"/>
        </w:trPr>
        <w:tc>
          <w:tcPr>
            <w:tcW w:w="3064" w:type="dxa"/>
            <w:gridSpan w:val="4"/>
          </w:tcPr>
          <w:p w14:paraId="198D6113" w14:textId="52EB7138" w:rsidR="00095353" w:rsidRPr="00EF1B4C" w:rsidRDefault="00095353" w:rsidP="001E164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Szkoły muzyczne w Krakowie</w:t>
            </w:r>
          </w:p>
          <w:p w14:paraId="26A8C89F" w14:textId="77777777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181" w:type="dxa"/>
            <w:gridSpan w:val="5"/>
          </w:tcPr>
          <w:p w14:paraId="34253442" w14:textId="3689667D" w:rsidR="00095353" w:rsidRPr="00EF1B4C" w:rsidRDefault="00FE5F03" w:rsidP="00CE73F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20</w:t>
            </w:r>
          </w:p>
        </w:tc>
        <w:tc>
          <w:tcPr>
            <w:tcW w:w="3969" w:type="dxa"/>
            <w:gridSpan w:val="7"/>
          </w:tcPr>
          <w:p w14:paraId="1252A02C" w14:textId="625BCBA3" w:rsidR="00095353" w:rsidRPr="00EF1B4C" w:rsidRDefault="00EF1B4C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 xml:space="preserve">Dane </w:t>
            </w:r>
            <w:r w:rsidR="00785D37">
              <w:rPr>
                <w:rFonts w:ascii="Times New Roman" w:hAnsi="Times New Roman"/>
                <w:color w:val="000000"/>
                <w:spacing w:val="-2"/>
              </w:rPr>
              <w:t>z Systemu Informacji Oświatowej</w:t>
            </w:r>
          </w:p>
        </w:tc>
        <w:tc>
          <w:tcPr>
            <w:tcW w:w="2119" w:type="dxa"/>
            <w:gridSpan w:val="5"/>
          </w:tcPr>
          <w:p w14:paraId="06D76372" w14:textId="0B5A4879" w:rsidR="00095353" w:rsidRPr="00EF1B4C" w:rsidRDefault="00EF1B4C" w:rsidP="00CE73F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Korzyści wynikające z dostępu do nowoczesnego zaplecza artystycznego i</w:t>
            </w:r>
            <w:r w:rsidR="006237CE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EF1B4C">
              <w:rPr>
                <w:rFonts w:ascii="Times New Roman" w:hAnsi="Times New Roman"/>
                <w:color w:val="000000"/>
                <w:spacing w:val="-2"/>
              </w:rPr>
              <w:t>potencjalnej współpracy z A</w:t>
            </w:r>
            <w:r w:rsidR="00F90C22">
              <w:rPr>
                <w:rFonts w:ascii="Times New Roman" w:hAnsi="Times New Roman"/>
                <w:color w:val="000000"/>
                <w:spacing w:val="-2"/>
              </w:rPr>
              <w:t>MKP</w:t>
            </w:r>
            <w:r w:rsidRPr="00EF1B4C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095353" w:rsidRPr="00D129C5" w14:paraId="48CE163E" w14:textId="77777777" w:rsidTr="00845D1E">
        <w:trPr>
          <w:gridAfter w:val="1"/>
          <w:wAfter w:w="10" w:type="dxa"/>
          <w:trHeight w:val="1968"/>
        </w:trPr>
        <w:tc>
          <w:tcPr>
            <w:tcW w:w="3064" w:type="dxa"/>
            <w:gridSpan w:val="4"/>
          </w:tcPr>
          <w:p w14:paraId="3EA3EA2E" w14:textId="3D8F3157" w:rsidR="00095353" w:rsidRPr="00EF1B4C" w:rsidRDefault="00095353" w:rsidP="001E164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 xml:space="preserve">Mieszkańcy Krakowa  </w:t>
            </w:r>
          </w:p>
          <w:p w14:paraId="22E9C839" w14:textId="77777777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181" w:type="dxa"/>
            <w:gridSpan w:val="5"/>
          </w:tcPr>
          <w:p w14:paraId="7DB2FF35" w14:textId="06385A52" w:rsidR="00095353" w:rsidRPr="00EF1B4C" w:rsidRDefault="00095353" w:rsidP="00CE73F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811 tys.</w:t>
            </w:r>
          </w:p>
        </w:tc>
        <w:tc>
          <w:tcPr>
            <w:tcW w:w="3969" w:type="dxa"/>
            <w:gridSpan w:val="7"/>
          </w:tcPr>
          <w:p w14:paraId="56F57F8D" w14:textId="00AE6B06" w:rsidR="00095353" w:rsidRPr="00EF1B4C" w:rsidRDefault="00EF1B4C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 xml:space="preserve">Dane </w:t>
            </w:r>
            <w:r w:rsidR="00785D37">
              <w:rPr>
                <w:rFonts w:ascii="Times New Roman" w:hAnsi="Times New Roman"/>
                <w:color w:val="000000"/>
                <w:spacing w:val="-2"/>
              </w:rPr>
              <w:t>GUS</w:t>
            </w:r>
          </w:p>
        </w:tc>
        <w:tc>
          <w:tcPr>
            <w:tcW w:w="2119" w:type="dxa"/>
            <w:gridSpan w:val="5"/>
          </w:tcPr>
          <w:p w14:paraId="6872DA8F" w14:textId="7D00D08E" w:rsidR="00EF1B4C" w:rsidRPr="00EF1B4C" w:rsidRDefault="00EF1B4C" w:rsidP="00EF1B4C">
            <w:pPr>
              <w:spacing w:before="12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1.</w:t>
            </w:r>
            <w:r w:rsidRPr="00EF1B4C">
              <w:rPr>
                <w:rFonts w:ascii="Times New Roman" w:hAnsi="Times New Roman"/>
                <w:b/>
                <w:bCs/>
                <w:color w:val="000000"/>
                <w:spacing w:val="-2"/>
              </w:rPr>
              <w:t xml:space="preserve"> </w:t>
            </w:r>
            <w:r w:rsidRPr="00EF1B4C">
              <w:rPr>
                <w:rFonts w:ascii="Times New Roman" w:hAnsi="Times New Roman"/>
                <w:color w:val="000000"/>
                <w:spacing w:val="-2"/>
              </w:rPr>
              <w:t>Dostęp do nowej oferty artystycznej i</w:t>
            </w:r>
            <w:r w:rsidR="006237CE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EF1B4C">
              <w:rPr>
                <w:rFonts w:ascii="Times New Roman" w:hAnsi="Times New Roman"/>
                <w:color w:val="000000"/>
                <w:spacing w:val="-2"/>
              </w:rPr>
              <w:t>badawczej.</w:t>
            </w:r>
          </w:p>
          <w:p w14:paraId="02F9ED05" w14:textId="36D97E04" w:rsidR="00EF1B4C" w:rsidRPr="00EF1B4C" w:rsidRDefault="00EF1B4C" w:rsidP="00EF1B4C">
            <w:pPr>
              <w:spacing w:before="12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2. Ożywienie i rewitalizacja terenów powojskowych w mieście.</w:t>
            </w:r>
          </w:p>
          <w:p w14:paraId="232B2242" w14:textId="1F7699DD" w:rsidR="00095353" w:rsidRPr="00EF1B4C" w:rsidRDefault="00095353" w:rsidP="0009535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095353" w:rsidRPr="00D129C5" w14:paraId="6E52E067" w14:textId="77777777" w:rsidTr="00845D1E">
        <w:trPr>
          <w:gridAfter w:val="1"/>
          <w:wAfter w:w="10" w:type="dxa"/>
          <w:trHeight w:val="1405"/>
        </w:trPr>
        <w:tc>
          <w:tcPr>
            <w:tcW w:w="3064" w:type="dxa"/>
            <w:gridSpan w:val="4"/>
          </w:tcPr>
          <w:p w14:paraId="4254BF9F" w14:textId="1A3CE8DE" w:rsidR="00095353" w:rsidRPr="00EF1B4C" w:rsidRDefault="00095353" w:rsidP="001E164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Mieszkańcy województwa małopolskiego</w:t>
            </w:r>
          </w:p>
          <w:p w14:paraId="25382151" w14:textId="77777777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181" w:type="dxa"/>
            <w:gridSpan w:val="5"/>
          </w:tcPr>
          <w:p w14:paraId="7562DD44" w14:textId="65782E14" w:rsidR="00095353" w:rsidRPr="00EF1B4C" w:rsidRDefault="00095353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3,4 mln</w:t>
            </w:r>
          </w:p>
        </w:tc>
        <w:tc>
          <w:tcPr>
            <w:tcW w:w="3969" w:type="dxa"/>
            <w:gridSpan w:val="7"/>
          </w:tcPr>
          <w:p w14:paraId="6CCF666C" w14:textId="1278630B" w:rsidR="00095353" w:rsidRPr="00EF1B4C" w:rsidRDefault="00EF1B4C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 xml:space="preserve">Dane </w:t>
            </w:r>
            <w:r w:rsidR="00785D37">
              <w:rPr>
                <w:rFonts w:ascii="Times New Roman" w:hAnsi="Times New Roman"/>
                <w:color w:val="000000"/>
                <w:spacing w:val="-2"/>
              </w:rPr>
              <w:t>GUS</w:t>
            </w:r>
          </w:p>
        </w:tc>
        <w:tc>
          <w:tcPr>
            <w:tcW w:w="2119" w:type="dxa"/>
            <w:gridSpan w:val="5"/>
          </w:tcPr>
          <w:p w14:paraId="6B992CA7" w14:textId="79315B74" w:rsidR="00095353" w:rsidRPr="00EF1B4C" w:rsidRDefault="00EF1B4C" w:rsidP="00EF1B4C">
            <w:pPr>
              <w:spacing w:before="12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EF1B4C">
              <w:rPr>
                <w:rFonts w:ascii="Times New Roman" w:hAnsi="Times New Roman"/>
                <w:color w:val="000000"/>
                <w:spacing w:val="-2"/>
              </w:rPr>
              <w:t>Wzmocnienie potencjału kulturalnego i</w:t>
            </w:r>
            <w:r w:rsidR="006237CE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EF1B4C">
              <w:rPr>
                <w:rFonts w:ascii="Times New Roman" w:hAnsi="Times New Roman"/>
                <w:color w:val="000000"/>
                <w:spacing w:val="-2"/>
              </w:rPr>
              <w:t>edukacyjnego województwa.</w:t>
            </w:r>
          </w:p>
        </w:tc>
      </w:tr>
      <w:tr w:rsidR="000C6E02" w:rsidRPr="00D129C5" w14:paraId="23A9EA1B" w14:textId="77777777" w:rsidTr="00785D37">
        <w:trPr>
          <w:gridAfter w:val="1"/>
          <w:wAfter w:w="10" w:type="dxa"/>
          <w:trHeight w:val="302"/>
        </w:trPr>
        <w:tc>
          <w:tcPr>
            <w:tcW w:w="11333" w:type="dxa"/>
            <w:gridSpan w:val="21"/>
            <w:shd w:val="clear" w:color="auto" w:fill="99CCFF"/>
            <w:vAlign w:val="center"/>
          </w:tcPr>
          <w:p w14:paraId="0A240A40" w14:textId="77777777" w:rsidR="000C6E02" w:rsidRPr="00D129C5" w:rsidRDefault="000C6E02" w:rsidP="00CE73F6">
            <w:pPr>
              <w:numPr>
                <w:ilvl w:val="0"/>
                <w:numId w:val="34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129C5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0C6E02" w:rsidRPr="00D129C5" w14:paraId="732C7E9A" w14:textId="77777777" w:rsidTr="00785D37">
        <w:trPr>
          <w:gridAfter w:val="1"/>
          <w:wAfter w:w="10" w:type="dxa"/>
          <w:trHeight w:val="342"/>
        </w:trPr>
        <w:tc>
          <w:tcPr>
            <w:tcW w:w="11333" w:type="dxa"/>
            <w:gridSpan w:val="21"/>
            <w:shd w:val="clear" w:color="auto" w:fill="FFFFFF"/>
          </w:tcPr>
          <w:p w14:paraId="772A42BD" w14:textId="7BE333E9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 xml:space="preserve">Projekt uchwały otrzymają do zaopiniowania w trybie ustawy z dnia 23 maja 1991 r. o związkach zawodowych (Dz. </w:t>
            </w:r>
            <w:r w:rsidR="00210BA7">
              <w:rPr>
                <w:rFonts w:ascii="Times New Roman" w:hAnsi="Times New Roman"/>
                <w:color w:val="000000"/>
                <w:spacing w:val="-2"/>
              </w:rPr>
              <w:t>U. z 202</w:t>
            </w:r>
            <w:r w:rsidR="00A93BCA">
              <w:rPr>
                <w:rFonts w:ascii="Times New Roman" w:hAnsi="Times New Roman"/>
                <w:color w:val="000000"/>
                <w:spacing w:val="-2"/>
              </w:rPr>
              <w:t>6</w:t>
            </w:r>
            <w:r w:rsidR="00210BA7">
              <w:rPr>
                <w:rFonts w:ascii="Times New Roman" w:hAnsi="Times New Roman"/>
                <w:color w:val="000000"/>
                <w:spacing w:val="-2"/>
              </w:rPr>
              <w:t xml:space="preserve"> r. poz. </w:t>
            </w:r>
            <w:r w:rsidR="00A93BCA">
              <w:rPr>
                <w:rFonts w:ascii="Times New Roman" w:hAnsi="Times New Roman"/>
                <w:color w:val="000000"/>
                <w:spacing w:val="-2"/>
              </w:rPr>
              <w:t>549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) oraz ustawy z dnia 23 maja 1991 r. o organiza</w:t>
            </w:r>
            <w:r w:rsidR="00210BA7">
              <w:rPr>
                <w:rFonts w:ascii="Times New Roman" w:hAnsi="Times New Roman"/>
                <w:color w:val="000000"/>
                <w:spacing w:val="-2"/>
              </w:rPr>
              <w:t>cjach pracodawców (Dz. U. z 2025 r. poz. 423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) następujące podmioty:</w:t>
            </w:r>
          </w:p>
          <w:p w14:paraId="2B4F3423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1) Niezależny Samorządny Związek Zawodowy „Solidarność”;</w:t>
            </w:r>
          </w:p>
          <w:p w14:paraId="188FF6B6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2) Ogólnopolskie Porozumienie Związków Zawodowych;</w:t>
            </w:r>
          </w:p>
          <w:p w14:paraId="65F86F58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3) Forum Związków Zawodowych;</w:t>
            </w:r>
          </w:p>
          <w:p w14:paraId="06D46AE6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4) Federacja Związków Zawodowych Pracowników Kultury i Sztuki;</w:t>
            </w:r>
          </w:p>
          <w:p w14:paraId="1E15AA8F" w14:textId="78AD1B24" w:rsidR="006205B6" w:rsidRPr="006205B6" w:rsidRDefault="00F9012F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5</w:t>
            </w:r>
            <w:r w:rsidR="006205B6" w:rsidRPr="006205B6">
              <w:rPr>
                <w:rFonts w:ascii="Times New Roman" w:hAnsi="Times New Roman"/>
                <w:color w:val="000000"/>
                <w:spacing w:val="-2"/>
              </w:rPr>
              <w:t>) Pracodawcy Rzeczypospolitej Polskiej;</w:t>
            </w:r>
          </w:p>
          <w:p w14:paraId="403D01D9" w14:textId="23F727FF" w:rsidR="006205B6" w:rsidRPr="006205B6" w:rsidRDefault="00F9012F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6</w:t>
            </w:r>
            <w:r w:rsidR="006205B6" w:rsidRPr="006205B6">
              <w:rPr>
                <w:rFonts w:ascii="Times New Roman" w:hAnsi="Times New Roman"/>
                <w:color w:val="000000"/>
                <w:spacing w:val="-2"/>
              </w:rPr>
              <w:t>) Polska Konfederacja Pracodawców Prywatnych Lewiatan;</w:t>
            </w:r>
          </w:p>
          <w:p w14:paraId="7F7CA9C2" w14:textId="5BC6151C" w:rsidR="006205B6" w:rsidRPr="006205B6" w:rsidRDefault="00F9012F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7</w:t>
            </w:r>
            <w:r w:rsidR="006205B6" w:rsidRPr="006205B6">
              <w:rPr>
                <w:rFonts w:ascii="Times New Roman" w:hAnsi="Times New Roman"/>
                <w:color w:val="000000"/>
                <w:spacing w:val="-2"/>
              </w:rPr>
              <w:t>) Związek Rzemiosła Polskiego;</w:t>
            </w:r>
          </w:p>
          <w:p w14:paraId="6C898610" w14:textId="5924CB35" w:rsidR="006205B6" w:rsidRPr="006205B6" w:rsidRDefault="00F9012F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8</w:t>
            </w:r>
            <w:r w:rsidR="006205B6" w:rsidRPr="006205B6">
              <w:rPr>
                <w:rFonts w:ascii="Times New Roman" w:hAnsi="Times New Roman"/>
                <w:color w:val="000000"/>
                <w:spacing w:val="-2"/>
              </w:rPr>
              <w:t>) Akademickie Inkubatory Przedsiębiorczości;</w:t>
            </w:r>
          </w:p>
          <w:p w14:paraId="72E90720" w14:textId="739489A4" w:rsidR="006205B6" w:rsidRPr="006205B6" w:rsidRDefault="00F9012F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9</w:t>
            </w:r>
            <w:r w:rsidR="006205B6" w:rsidRPr="006205B6">
              <w:rPr>
                <w:rFonts w:ascii="Times New Roman" w:hAnsi="Times New Roman"/>
                <w:color w:val="000000"/>
                <w:spacing w:val="-2"/>
              </w:rPr>
              <w:t>) Krajowa Izba Gospodarcza;</w:t>
            </w:r>
          </w:p>
          <w:p w14:paraId="70C34571" w14:textId="24714D2B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1</w:t>
            </w:r>
            <w:r w:rsidR="00F9012F">
              <w:rPr>
                <w:rFonts w:ascii="Times New Roman" w:hAnsi="Times New Roman"/>
                <w:color w:val="000000"/>
                <w:spacing w:val="-2"/>
              </w:rPr>
              <w:t>0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) Pracodawcy Rzeczypospolitej Polskiej;</w:t>
            </w:r>
          </w:p>
          <w:p w14:paraId="0E4BF2C5" w14:textId="29AA3660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1</w:t>
            </w:r>
            <w:r w:rsidR="00F9012F">
              <w:rPr>
                <w:rFonts w:ascii="Times New Roman" w:hAnsi="Times New Roman"/>
                <w:color w:val="000000"/>
                <w:spacing w:val="-2"/>
              </w:rPr>
              <w:t>1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) Związek Autorów i Producentów Audiowizualnych ZAPA;</w:t>
            </w:r>
          </w:p>
          <w:p w14:paraId="12AD26A4" w14:textId="01F4CCDB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1</w:t>
            </w:r>
            <w:r w:rsidR="00F9012F">
              <w:rPr>
                <w:rFonts w:ascii="Times New Roman" w:hAnsi="Times New Roman"/>
                <w:color w:val="000000"/>
                <w:spacing w:val="-2"/>
              </w:rPr>
              <w:t>2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) Związek Kompozytorów Polskich;</w:t>
            </w:r>
          </w:p>
          <w:p w14:paraId="17B02877" w14:textId="2763A814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1</w:t>
            </w:r>
            <w:r w:rsidR="00F9012F">
              <w:rPr>
                <w:rFonts w:ascii="Times New Roman" w:hAnsi="Times New Roman"/>
                <w:color w:val="000000"/>
                <w:spacing w:val="-2"/>
              </w:rPr>
              <w:t>3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) Związek Przedsiębiorców i Pracodawców.</w:t>
            </w:r>
          </w:p>
          <w:p w14:paraId="5C0D0A43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7B4F8C8B" w14:textId="358DE638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 xml:space="preserve">Stosownie do § 36 ust. 1 uchwały </w:t>
            </w:r>
            <w:r w:rsidR="00F9012F">
              <w:rPr>
                <w:rFonts w:ascii="Times New Roman" w:hAnsi="Times New Roman"/>
                <w:color w:val="000000"/>
                <w:spacing w:val="-2"/>
              </w:rPr>
              <w:t>n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r 190 Rady Ministrów z dnia 29 października 2013 r. – Regulamin p</w:t>
            </w:r>
            <w:r w:rsidR="00210BA7">
              <w:rPr>
                <w:rFonts w:ascii="Times New Roman" w:hAnsi="Times New Roman"/>
                <w:color w:val="000000"/>
                <w:spacing w:val="-2"/>
              </w:rPr>
              <w:t>racy Rady Ministrów (M.P. z 202</w:t>
            </w:r>
            <w:r w:rsidR="00A93BCA">
              <w:rPr>
                <w:rFonts w:ascii="Times New Roman" w:hAnsi="Times New Roman"/>
                <w:color w:val="000000"/>
                <w:spacing w:val="-2"/>
              </w:rPr>
              <w:t>6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 xml:space="preserve"> r. poz.</w:t>
            </w:r>
            <w:r w:rsidR="00210BA7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A93BCA">
              <w:rPr>
                <w:rFonts w:ascii="Times New Roman" w:hAnsi="Times New Roman"/>
                <w:color w:val="000000"/>
                <w:spacing w:val="-2"/>
              </w:rPr>
              <w:t>404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) projekt uchwały w ramach konsultacji publicznych otrzymają następujące podmioty:</w:t>
            </w:r>
          </w:p>
          <w:p w14:paraId="35CFB964" w14:textId="50D15422" w:rsidR="006205B6" w:rsidRPr="006205B6" w:rsidRDefault="006205B6" w:rsidP="006C470E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 xml:space="preserve">1) Akademia </w:t>
            </w:r>
            <w:r w:rsidR="006C470E" w:rsidRPr="006C470E">
              <w:rPr>
                <w:rFonts w:ascii="Times New Roman" w:hAnsi="Times New Roman"/>
                <w:color w:val="000000"/>
                <w:spacing w:val="-2"/>
              </w:rPr>
              <w:t>Muzyczna im</w:t>
            </w:r>
            <w:r w:rsidR="00F9012F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6C470E" w:rsidRPr="006C470E">
              <w:rPr>
                <w:rFonts w:ascii="Times New Roman" w:hAnsi="Times New Roman"/>
                <w:color w:val="000000"/>
                <w:spacing w:val="-2"/>
              </w:rPr>
              <w:t xml:space="preserve"> Krzy</w:t>
            </w:r>
            <w:r w:rsidR="006C470E">
              <w:rPr>
                <w:rFonts w:ascii="Times New Roman" w:hAnsi="Times New Roman"/>
                <w:color w:val="000000"/>
                <w:spacing w:val="-2"/>
              </w:rPr>
              <w:t>sztofa Pendereckiego w Krakowie;</w:t>
            </w:r>
          </w:p>
          <w:p w14:paraId="7D0805C5" w14:textId="77777777" w:rsidR="006205B6" w:rsidRPr="006205B6" w:rsidRDefault="006C470E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2) Prezydent Miasta Kraków</w:t>
            </w:r>
            <w:r w:rsidR="006205B6" w:rsidRPr="006205B6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37D24B9B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3) Marszałek Województwa</w:t>
            </w:r>
            <w:r w:rsidR="006C470E">
              <w:rPr>
                <w:rFonts w:ascii="Times New Roman" w:hAnsi="Times New Roman"/>
                <w:color w:val="000000"/>
                <w:spacing w:val="-2"/>
              </w:rPr>
              <w:t xml:space="preserve"> Małopolskiego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9AB48A9" w14:textId="77777777" w:rsid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4) Filharmonia</w:t>
            </w:r>
            <w:r w:rsidR="006C470E">
              <w:rPr>
                <w:rFonts w:ascii="Times New Roman" w:hAnsi="Times New Roman"/>
                <w:color w:val="000000"/>
                <w:spacing w:val="-2"/>
              </w:rPr>
              <w:t xml:space="preserve"> im. Karola Szymanowskiego w Krakowie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B0F3C95" w14:textId="77777777" w:rsidR="006C470E" w:rsidRPr="006205B6" w:rsidRDefault="006C470E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5) Państwowa Ogólnokształcąca Szkoła Muzyczna II stopnia Fryderyka Chopina w Krakowie;</w:t>
            </w:r>
          </w:p>
          <w:p w14:paraId="7293FB04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6) Uniwersytet</w:t>
            </w:r>
            <w:r w:rsidR="006C470E">
              <w:rPr>
                <w:rFonts w:ascii="Times New Roman" w:hAnsi="Times New Roman"/>
                <w:color w:val="000000"/>
                <w:spacing w:val="-2"/>
              </w:rPr>
              <w:t xml:space="preserve"> Jagielloński w Krakowie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3211AEF5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7)</w:t>
            </w:r>
            <w:r w:rsidR="006C470E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Teatr</w:t>
            </w:r>
            <w:r w:rsidR="006C470E">
              <w:rPr>
                <w:rFonts w:ascii="Times New Roman" w:hAnsi="Times New Roman"/>
                <w:color w:val="000000"/>
                <w:spacing w:val="-2"/>
              </w:rPr>
              <w:t xml:space="preserve"> im. Juliusza Słowackiego w Krakowie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B71B30F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8)</w:t>
            </w:r>
            <w:r w:rsidR="006C470E">
              <w:rPr>
                <w:rFonts w:ascii="Times New Roman" w:hAnsi="Times New Roman"/>
                <w:color w:val="000000"/>
                <w:spacing w:val="-2"/>
              </w:rPr>
              <w:t xml:space="preserve"> Zespół Państwowych Szkół Muzycznych im. Mieczysława Karłowicza w Krakowie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03EF4049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9) Rada do spraw Szkolnictwa Artystycznego;</w:t>
            </w:r>
          </w:p>
          <w:p w14:paraId="0C81F17C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10) Konferencja Rektorów Uczelni Artystycznych;</w:t>
            </w:r>
          </w:p>
          <w:p w14:paraId="7019E807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11) Polska Rada Muzyczna;</w:t>
            </w:r>
          </w:p>
          <w:p w14:paraId="2CE74769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lastRenderedPageBreak/>
              <w:t>12) Stowarzyszenie Polskich Artystów Muzyków;</w:t>
            </w:r>
          </w:p>
          <w:p w14:paraId="3FAB4C27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13) Fundacja Instytut Rozwoju Szkolnictwa Wyższego;</w:t>
            </w:r>
          </w:p>
          <w:p w14:paraId="2995592C" w14:textId="77777777" w:rsidR="006205B6" w:rsidRPr="006205B6" w:rsidRDefault="006C470E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14) Metropolia Kraków</w:t>
            </w:r>
            <w:r w:rsidR="006205B6" w:rsidRPr="006205B6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18AC121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15) Związek Miłośników Muzyki;</w:t>
            </w:r>
          </w:p>
          <w:p w14:paraId="231FE828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16) Polska Fundacja Muzyczna;</w:t>
            </w:r>
          </w:p>
          <w:p w14:paraId="1A19FFDB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17) Polski Związek Chórów i Orkiestr;</w:t>
            </w:r>
          </w:p>
          <w:p w14:paraId="7279264F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18)</w:t>
            </w:r>
            <w:r w:rsidR="00CA7259">
              <w:rPr>
                <w:rFonts w:ascii="Times New Roman" w:hAnsi="Times New Roman"/>
                <w:color w:val="000000"/>
                <w:spacing w:val="-2"/>
              </w:rPr>
              <w:t xml:space="preserve"> Krakowska Fundacja Edukacji Muzycznej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2CBF95EB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19) Stowarzyszenie Przyjaciół Młodych Artystów Muzyków;</w:t>
            </w:r>
          </w:p>
          <w:p w14:paraId="4CE71D88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20) Towarzystwo</w:t>
            </w:r>
            <w:r w:rsidR="00CA7259">
              <w:rPr>
                <w:rFonts w:ascii="Times New Roman" w:hAnsi="Times New Roman"/>
                <w:color w:val="000000"/>
                <w:spacing w:val="-2"/>
              </w:rPr>
              <w:t xml:space="preserve"> Muzyczne Kraków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964B6FB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21) Stowarzysz</w:t>
            </w:r>
            <w:r w:rsidR="00CA7259">
              <w:rPr>
                <w:rFonts w:ascii="Times New Roman" w:hAnsi="Times New Roman"/>
                <w:color w:val="000000"/>
                <w:spacing w:val="-2"/>
              </w:rPr>
              <w:t>enie Polskich Artystów Muzyków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07CCAD74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22) Fundacja Polskiej Rady Muzycznej;</w:t>
            </w:r>
          </w:p>
          <w:p w14:paraId="5226EEB1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23) Fundacja Szkolnictwa Muzycznego;</w:t>
            </w:r>
          </w:p>
          <w:p w14:paraId="3A9FD4F1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24) Fundacja Wolność i Demokracja;</w:t>
            </w:r>
          </w:p>
          <w:p w14:paraId="20B8F6D2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25) Koalicja na Rzecz Osób z Niepełnosprawnością;</w:t>
            </w:r>
          </w:p>
          <w:p w14:paraId="72E1A4E3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26) Koalicja na rzecz Polskich Innowacji;</w:t>
            </w:r>
          </w:p>
          <w:p w14:paraId="557F870F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27) Polskie Stowarzyszenie Jazzowe;</w:t>
            </w:r>
          </w:p>
          <w:p w14:paraId="186D2830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28) Polskie Stowarzyszenie Montażystów;</w:t>
            </w:r>
          </w:p>
          <w:p w14:paraId="2EAB75D5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29) Społeczne Towarzystwo Oświatowe;</w:t>
            </w:r>
          </w:p>
          <w:p w14:paraId="02D42F4B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30) Stowarzyszenie Oświaty i Kultury Polskiej;</w:t>
            </w:r>
          </w:p>
          <w:p w14:paraId="21270B97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31) Unia Metropolii Polskich;</w:t>
            </w:r>
          </w:p>
          <w:p w14:paraId="71F4744D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32) ZASP – Stowarzyszenie Polskich Artystów Teatru, Filmu, Radia i Telewizji;</w:t>
            </w:r>
          </w:p>
          <w:p w14:paraId="4A1E93A6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33) Zrzeszenie Filharmonii Polskich;</w:t>
            </w:r>
          </w:p>
          <w:p w14:paraId="121333E1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34) Związek Miast Polskich;</w:t>
            </w:r>
          </w:p>
          <w:p w14:paraId="05B9F9C9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35) Związek Województw RP.</w:t>
            </w:r>
          </w:p>
          <w:p w14:paraId="4AB04C97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68771C03" w14:textId="6B88959B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 xml:space="preserve">Zgodnie z art. 329 ustawy z dnia 20 lipca 2018 r. </w:t>
            </w:r>
            <w:r w:rsidR="00F9012F" w:rsidRPr="00F9012F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 xml:space="preserve"> Prawo o szkolnictwi</w:t>
            </w:r>
            <w:r w:rsidR="00210BA7">
              <w:rPr>
                <w:rFonts w:ascii="Times New Roman" w:hAnsi="Times New Roman"/>
                <w:color w:val="000000"/>
                <w:spacing w:val="-2"/>
              </w:rPr>
              <w:t>e wyższym i nauce (Dz. U. z 2024, poz. 1571</w:t>
            </w:r>
            <w:r w:rsidR="00967421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="00F9012F">
              <w:rPr>
                <w:rFonts w:ascii="Times New Roman" w:hAnsi="Times New Roman"/>
                <w:color w:val="000000"/>
                <w:spacing w:val="-2"/>
              </w:rPr>
              <w:t xml:space="preserve">z </w:t>
            </w:r>
            <w:proofErr w:type="spellStart"/>
            <w:r w:rsidR="00F9012F">
              <w:rPr>
                <w:rFonts w:ascii="Times New Roman" w:hAnsi="Times New Roman"/>
                <w:color w:val="000000"/>
                <w:spacing w:val="-2"/>
              </w:rPr>
              <w:t>późn</w:t>
            </w:r>
            <w:proofErr w:type="spellEnd"/>
            <w:r w:rsidR="00F9012F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6237CE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F9012F">
              <w:rPr>
                <w:rFonts w:ascii="Times New Roman" w:hAnsi="Times New Roman"/>
                <w:color w:val="000000"/>
                <w:spacing w:val="-2"/>
              </w:rPr>
              <w:t>zm.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) projekt uchwały otrzymają następujące instytucje przedstawicielskie środowiska szkolnictwa wyższego i nauki:</w:t>
            </w:r>
          </w:p>
          <w:p w14:paraId="3C7A9328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 xml:space="preserve">1) Rada Główna Nauki i Szkolnictwa Wyższego; </w:t>
            </w:r>
          </w:p>
          <w:p w14:paraId="456C26DE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2) Konferencja Rektorów Akademickich Szkół Polskich;</w:t>
            </w:r>
          </w:p>
          <w:p w14:paraId="611BFB79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3) Konferencja Rektorów Publicznych Uczelni Zawodowych;</w:t>
            </w:r>
          </w:p>
          <w:p w14:paraId="098B2F38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4) Konferencja Rektorów Zawodowych Szkół Polskich;</w:t>
            </w:r>
          </w:p>
          <w:p w14:paraId="3B9F3E27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5) Parlament Studentów Rzeczypospolitej Polskiej;</w:t>
            </w:r>
          </w:p>
          <w:p w14:paraId="67202A98" w14:textId="7777777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6) Krajowa Reprezentacja Doktorantów.</w:t>
            </w:r>
          </w:p>
          <w:p w14:paraId="580EED8C" w14:textId="74E24EC7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Minister Kultury i Dziedzictwa Narodowego ogłosi w dzienniku o zasięgu ogólnopolskim informację o prowadzeniu konsultacji publicznych projektu oraz umieści projekt w Biuletynie Informacji Publicznej na swojej stronie podmiotowej.</w:t>
            </w:r>
          </w:p>
          <w:p w14:paraId="4FBBF604" w14:textId="56A15682" w:rsidR="006205B6" w:rsidRPr="006205B6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Projekt uchwały zostanie skierowany również do zaopiniowania przez Komisję Wspólną Rządu i Samorządu Terytorialnego oraz</w:t>
            </w:r>
            <w:r w:rsidR="000D67D1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 xml:space="preserve">Radę Dialogu Społecznego. </w:t>
            </w:r>
          </w:p>
          <w:p w14:paraId="56F43F48" w14:textId="44D5BE1A" w:rsidR="006205B6" w:rsidRPr="00D129C5" w:rsidRDefault="006205B6" w:rsidP="006205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05B6">
              <w:rPr>
                <w:rFonts w:ascii="Times New Roman" w:hAnsi="Times New Roman"/>
                <w:color w:val="000000"/>
                <w:spacing w:val="-2"/>
              </w:rPr>
              <w:t>Podsumowanie konsultacji publicznych, których czas trwania przewidywany jest na 30 dni, zostanie opisan</w:t>
            </w:r>
            <w:r w:rsidR="009B5914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 xml:space="preserve"> w</w:t>
            </w:r>
            <w:r w:rsidR="000D67D1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raporcie z</w:t>
            </w:r>
            <w:r w:rsidR="00A6575A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konsultacji</w:t>
            </w:r>
            <w:r w:rsidR="009B5914">
              <w:rPr>
                <w:rFonts w:ascii="Times New Roman" w:hAnsi="Times New Roman"/>
                <w:color w:val="000000"/>
                <w:spacing w:val="-2"/>
              </w:rPr>
              <w:t xml:space="preserve"> publicznych</w:t>
            </w:r>
            <w:r w:rsidRPr="006205B6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0C6E02" w:rsidRPr="00D129C5" w14:paraId="17E77A7D" w14:textId="77777777" w:rsidTr="00785D37">
        <w:trPr>
          <w:gridAfter w:val="1"/>
          <w:wAfter w:w="10" w:type="dxa"/>
          <w:trHeight w:val="363"/>
        </w:trPr>
        <w:tc>
          <w:tcPr>
            <w:tcW w:w="11333" w:type="dxa"/>
            <w:gridSpan w:val="21"/>
            <w:shd w:val="clear" w:color="auto" w:fill="99CCFF"/>
            <w:vAlign w:val="center"/>
          </w:tcPr>
          <w:p w14:paraId="0D01C4CC" w14:textId="77777777" w:rsidR="000C6E02" w:rsidRPr="00D129C5" w:rsidRDefault="000C6E02" w:rsidP="00CE73F6">
            <w:pPr>
              <w:numPr>
                <w:ilvl w:val="0"/>
                <w:numId w:val="34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129C5">
              <w:rPr>
                <w:rFonts w:ascii="Times New Roman" w:hAnsi="Times New Roman"/>
                <w:b/>
                <w:color w:val="000000"/>
              </w:rPr>
              <w:lastRenderedPageBreak/>
              <w:t>Wpływ na sektor finansów publicznych</w:t>
            </w:r>
          </w:p>
        </w:tc>
      </w:tr>
      <w:tr w:rsidR="000C6E02" w:rsidRPr="00D129C5" w14:paraId="0AE58DF7" w14:textId="77777777" w:rsidTr="00785D37">
        <w:trPr>
          <w:gridAfter w:val="1"/>
          <w:wAfter w:w="10" w:type="dxa"/>
          <w:trHeight w:val="142"/>
        </w:trPr>
        <w:tc>
          <w:tcPr>
            <w:tcW w:w="1985" w:type="dxa"/>
            <w:vMerge w:val="restart"/>
            <w:shd w:val="clear" w:color="auto" w:fill="FFFFFF"/>
          </w:tcPr>
          <w:p w14:paraId="3B83EDEA" w14:textId="6D411F9E" w:rsidR="000C6E02" w:rsidRDefault="000C6E02" w:rsidP="00D129C5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 xml:space="preserve">(ceny stałe z </w:t>
            </w:r>
            <w:r w:rsidR="00051B5E">
              <w:rPr>
                <w:rFonts w:ascii="Times New Roman" w:hAnsi="Times New Roman"/>
                <w:color w:val="000000"/>
              </w:rPr>
              <w:t xml:space="preserve">2025 </w:t>
            </w:r>
            <w:r w:rsidRPr="00D129C5">
              <w:rPr>
                <w:rFonts w:ascii="Times New Roman" w:hAnsi="Times New Roman"/>
                <w:color w:val="000000"/>
              </w:rPr>
              <w:t xml:space="preserve"> r.)</w:t>
            </w:r>
          </w:p>
          <w:p w14:paraId="26424AE2" w14:textId="57BD46BD" w:rsidR="00051B5E" w:rsidRPr="00B00CA8" w:rsidRDefault="00051B5E" w:rsidP="00051B5E">
            <w:pPr>
              <w:spacing w:before="40" w:after="40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B00CA8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(„0” - 202</w:t>
            </w:r>
            <w:r w:rsidR="000B2187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6</w:t>
            </w:r>
            <w:r w:rsidRPr="00B00CA8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 r.;</w:t>
            </w:r>
          </w:p>
          <w:p w14:paraId="583F7F44" w14:textId="21A007B8" w:rsidR="00051B5E" w:rsidRPr="00B00CA8" w:rsidRDefault="00051B5E" w:rsidP="00051B5E">
            <w:pPr>
              <w:spacing w:before="40" w:after="40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B00CA8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„1” - 202</w:t>
            </w:r>
            <w:r w:rsidR="000B2187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7</w:t>
            </w:r>
            <w:r w:rsidRPr="00B00CA8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 r.;</w:t>
            </w:r>
          </w:p>
          <w:p w14:paraId="2652BF9D" w14:textId="063927BE" w:rsidR="00051B5E" w:rsidRPr="00D129C5" w:rsidRDefault="00051B5E" w:rsidP="00051B5E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</w:rPr>
            </w:pPr>
            <w:r w:rsidRPr="00B00CA8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„2” - 202</w:t>
            </w:r>
            <w:r w:rsidR="000B2187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8</w:t>
            </w:r>
            <w:r w:rsidRPr="00B00CA8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 r. itd.)</w:t>
            </w:r>
          </w:p>
        </w:tc>
        <w:tc>
          <w:tcPr>
            <w:tcW w:w="9348" w:type="dxa"/>
            <w:gridSpan w:val="20"/>
            <w:shd w:val="clear" w:color="auto" w:fill="FFFFFF"/>
          </w:tcPr>
          <w:p w14:paraId="4F8DB856" w14:textId="77777777" w:rsidR="000C6E02" w:rsidRPr="00D129C5" w:rsidRDefault="000C6E02" w:rsidP="00D129C5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</w:rPr>
              <w:t>Skutki w okresie 10 lat od wejścia w życie zmian [mln zł]</w:t>
            </w:r>
          </w:p>
        </w:tc>
      </w:tr>
      <w:tr w:rsidR="00F64D26" w:rsidRPr="00D129C5" w14:paraId="65440CCF" w14:textId="77777777" w:rsidTr="00845D1E">
        <w:trPr>
          <w:gridAfter w:val="1"/>
          <w:wAfter w:w="10" w:type="dxa"/>
          <w:trHeight w:val="142"/>
        </w:trPr>
        <w:tc>
          <w:tcPr>
            <w:tcW w:w="1985" w:type="dxa"/>
            <w:vMerge/>
            <w:shd w:val="clear" w:color="auto" w:fill="FFFFFF"/>
          </w:tcPr>
          <w:p w14:paraId="23840497" w14:textId="77777777" w:rsidR="000C6E02" w:rsidRPr="00D129C5" w:rsidRDefault="000C6E02" w:rsidP="00D129C5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7DDDD699" w14:textId="77777777" w:rsidR="000C6E02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  <w:p w14:paraId="1AB0CFC0" w14:textId="2A42E0E6" w:rsidR="000B2187" w:rsidRPr="00D129C5" w:rsidRDefault="000B2187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4EB66D95" w14:textId="77777777" w:rsidR="000C6E02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1</w:t>
            </w:r>
          </w:p>
          <w:p w14:paraId="0C1EC9C0" w14:textId="36A9D96A" w:rsidR="000B2187" w:rsidRPr="00D129C5" w:rsidRDefault="000B2187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501522C2" w14:textId="77777777" w:rsidR="000C6E02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2</w:t>
            </w:r>
          </w:p>
          <w:p w14:paraId="142E8BCA" w14:textId="76870529" w:rsidR="000B2187" w:rsidRPr="00D129C5" w:rsidRDefault="000B2187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15AE7277" w14:textId="77777777" w:rsidR="000C6E02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3</w:t>
            </w:r>
          </w:p>
          <w:p w14:paraId="58B59155" w14:textId="38D00406" w:rsidR="000B2187" w:rsidRPr="00D129C5" w:rsidRDefault="000B2187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2029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777A0A26" w14:textId="77777777" w:rsidR="000C6E02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4</w:t>
            </w:r>
          </w:p>
          <w:p w14:paraId="4895589F" w14:textId="2F86A123" w:rsidR="000B2187" w:rsidRPr="00D129C5" w:rsidRDefault="000B2187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768D7026" w14:textId="77777777" w:rsidR="000C6E02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5</w:t>
            </w:r>
          </w:p>
          <w:p w14:paraId="2475B770" w14:textId="0F0043C8" w:rsidR="000B2187" w:rsidRPr="00D129C5" w:rsidRDefault="000B2187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2031</w:t>
            </w:r>
          </w:p>
        </w:tc>
        <w:tc>
          <w:tcPr>
            <w:tcW w:w="992" w:type="dxa"/>
            <w:shd w:val="clear" w:color="auto" w:fill="FFFFFF"/>
          </w:tcPr>
          <w:p w14:paraId="19F17263" w14:textId="77777777" w:rsidR="000C6E02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6</w:t>
            </w:r>
          </w:p>
          <w:p w14:paraId="530AF7D6" w14:textId="464554B0" w:rsidR="000B2187" w:rsidRPr="00D129C5" w:rsidRDefault="000B2187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2032</w:t>
            </w:r>
          </w:p>
        </w:tc>
        <w:tc>
          <w:tcPr>
            <w:tcW w:w="992" w:type="dxa"/>
            <w:shd w:val="clear" w:color="auto" w:fill="FFFFFF"/>
          </w:tcPr>
          <w:p w14:paraId="22228B15" w14:textId="77777777" w:rsidR="000C6E02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7</w:t>
            </w:r>
          </w:p>
          <w:p w14:paraId="66D2B6C4" w14:textId="63D73720" w:rsidR="000B2187" w:rsidRPr="00D129C5" w:rsidRDefault="000B2187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2033</w:t>
            </w:r>
          </w:p>
        </w:tc>
        <w:tc>
          <w:tcPr>
            <w:tcW w:w="709" w:type="dxa"/>
            <w:shd w:val="clear" w:color="auto" w:fill="FFFFFF"/>
          </w:tcPr>
          <w:p w14:paraId="16FF2817" w14:textId="77777777" w:rsidR="00F64D26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8</w:t>
            </w:r>
          </w:p>
          <w:p w14:paraId="3CBA57DE" w14:textId="39A8ACEF" w:rsidR="000C6E02" w:rsidRPr="00D129C5" w:rsidRDefault="00F64D26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2034</w:t>
            </w:r>
          </w:p>
        </w:tc>
        <w:tc>
          <w:tcPr>
            <w:tcW w:w="283" w:type="dxa"/>
            <w:shd w:val="clear" w:color="auto" w:fill="FFFFFF"/>
          </w:tcPr>
          <w:p w14:paraId="53C9B13F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4" w:type="dxa"/>
            <w:gridSpan w:val="2"/>
            <w:shd w:val="clear" w:color="auto" w:fill="FFFFFF"/>
          </w:tcPr>
          <w:p w14:paraId="7BA1904E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43" w:type="dxa"/>
            <w:shd w:val="clear" w:color="auto" w:fill="FFFFFF"/>
          </w:tcPr>
          <w:p w14:paraId="0029F90D" w14:textId="77777777" w:rsidR="000C6E02" w:rsidRPr="00D129C5" w:rsidRDefault="000C6E02" w:rsidP="006B6640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i/>
                <w:color w:val="000000"/>
                <w:spacing w:val="-2"/>
              </w:rPr>
              <w:t>Łączne (0-10)</w:t>
            </w:r>
          </w:p>
        </w:tc>
      </w:tr>
      <w:tr w:rsidR="00F64D26" w:rsidRPr="00D129C5" w14:paraId="10BAC094" w14:textId="77777777" w:rsidTr="00845D1E">
        <w:trPr>
          <w:trHeight w:val="321"/>
        </w:trPr>
        <w:tc>
          <w:tcPr>
            <w:tcW w:w="1985" w:type="dxa"/>
            <w:shd w:val="clear" w:color="auto" w:fill="FFFFFF"/>
            <w:vAlign w:val="center"/>
          </w:tcPr>
          <w:p w14:paraId="7EAC5E07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5A0324C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5DB65BE8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37F0CC5E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2BDCFA02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576FD99E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78FC79C2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08D7EEE2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EF3FAB0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50E520AE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01239EE3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gridSpan w:val="2"/>
            <w:shd w:val="clear" w:color="auto" w:fill="FFFFFF"/>
          </w:tcPr>
          <w:p w14:paraId="4E931E9D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/>
          </w:tcPr>
          <w:p w14:paraId="7D0A570E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F64D26" w:rsidRPr="00D129C5" w14:paraId="06DD42CF" w14:textId="77777777" w:rsidTr="00845D1E">
        <w:trPr>
          <w:trHeight w:val="321"/>
        </w:trPr>
        <w:tc>
          <w:tcPr>
            <w:tcW w:w="1985" w:type="dxa"/>
            <w:shd w:val="clear" w:color="auto" w:fill="FFFFFF"/>
            <w:vAlign w:val="center"/>
          </w:tcPr>
          <w:p w14:paraId="677AB76B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9DB72EA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22D45C31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47E18DD4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330AE98A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44AE1FB6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67035504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05E17ABC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362E3093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250A4CAC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172C3116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gridSpan w:val="2"/>
            <w:shd w:val="clear" w:color="auto" w:fill="FFFFFF"/>
          </w:tcPr>
          <w:p w14:paraId="1563E13A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/>
          </w:tcPr>
          <w:p w14:paraId="33C42572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F64D26" w:rsidRPr="00D129C5" w14:paraId="58CAFC13" w14:textId="77777777" w:rsidTr="00845D1E">
        <w:trPr>
          <w:trHeight w:val="344"/>
        </w:trPr>
        <w:tc>
          <w:tcPr>
            <w:tcW w:w="1985" w:type="dxa"/>
            <w:shd w:val="clear" w:color="auto" w:fill="FFFFFF"/>
            <w:vAlign w:val="center"/>
          </w:tcPr>
          <w:p w14:paraId="7158C21C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51B8DE0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3D1EC52F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607F6AD2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1331F6D3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7ED6ABC7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0C88FB2A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7E18361F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01E1487D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3AA69563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23BDD6BA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gridSpan w:val="2"/>
            <w:shd w:val="clear" w:color="auto" w:fill="FFFFFF"/>
          </w:tcPr>
          <w:p w14:paraId="44E36D4B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/>
          </w:tcPr>
          <w:p w14:paraId="63E4BA46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F64D26" w:rsidRPr="00D129C5" w14:paraId="5CD9B642" w14:textId="77777777" w:rsidTr="00845D1E">
        <w:trPr>
          <w:trHeight w:val="217"/>
        </w:trPr>
        <w:tc>
          <w:tcPr>
            <w:tcW w:w="1985" w:type="dxa"/>
            <w:shd w:val="clear" w:color="auto" w:fill="FFFFFF"/>
            <w:vAlign w:val="center"/>
          </w:tcPr>
          <w:p w14:paraId="7E354D46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DE2779B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541354D7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04AAACA7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22AE2F67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0F5D46C2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087026C5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18C0013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02EBAEB3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2699BBAE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72C1D3F5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gridSpan w:val="2"/>
            <w:shd w:val="clear" w:color="auto" w:fill="FFFFFF"/>
          </w:tcPr>
          <w:p w14:paraId="10ED555E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/>
          </w:tcPr>
          <w:p w14:paraId="7BF0B842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F64D26" w:rsidRPr="00D129C5" w14:paraId="0BB03E59" w14:textId="77777777" w:rsidTr="00883CAE">
        <w:trPr>
          <w:trHeight w:val="330"/>
        </w:trPr>
        <w:tc>
          <w:tcPr>
            <w:tcW w:w="1985" w:type="dxa"/>
            <w:shd w:val="clear" w:color="auto" w:fill="FFFFFF"/>
            <w:vAlign w:val="center"/>
          </w:tcPr>
          <w:p w14:paraId="2731EC9A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14E95A1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7ECF187A" w14:textId="633A7356" w:rsidR="000C6E02" w:rsidRPr="00D129C5" w:rsidRDefault="00D4546B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</w:rPr>
              <w:t>+</w:t>
            </w:r>
            <w:r w:rsidR="000C6E02" w:rsidRPr="00D129C5">
              <w:rPr>
                <w:rFonts w:ascii="Times New Roman" w:hAnsi="Times New Roman"/>
              </w:rPr>
              <w:t xml:space="preserve"> </w:t>
            </w:r>
            <w:r w:rsidR="00643DAF">
              <w:rPr>
                <w:rFonts w:ascii="Times New Roman" w:hAnsi="Times New Roman"/>
              </w:rPr>
              <w:t>1</w:t>
            </w:r>
            <w:r w:rsidR="00E91A07" w:rsidRPr="00D129C5">
              <w:rPr>
                <w:rFonts w:ascii="Times New Roman" w:hAnsi="Times New Roman"/>
              </w:rPr>
              <w:t>,</w:t>
            </w:r>
            <w:r w:rsidR="00643DAF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69EAFC1A" w14:textId="546793F7" w:rsidR="000C6E02" w:rsidRPr="00D129C5" w:rsidRDefault="00643DAF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+</w:t>
            </w:r>
            <w:r w:rsidR="00F64D26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,</w:t>
            </w:r>
            <w:r w:rsidR="00883CA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76D64DFB" w14:textId="6BB48D1D" w:rsidR="000C6E02" w:rsidRPr="00D129C5" w:rsidRDefault="006B6640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+</w:t>
            </w:r>
            <w:r w:rsidR="00F64D26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2,</w:t>
            </w:r>
            <w:r w:rsidR="00825B6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167A7C8A" w14:textId="0D656EBE" w:rsidR="000C6E02" w:rsidRPr="00D129C5" w:rsidRDefault="006B6640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+1</w:t>
            </w:r>
            <w:r w:rsidR="00F64D26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74087267" w14:textId="07562700" w:rsidR="000C6E02" w:rsidRPr="00D129C5" w:rsidRDefault="006B6640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+1</w:t>
            </w:r>
            <w:r w:rsidR="00F64D26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992" w:type="dxa"/>
            <w:shd w:val="clear" w:color="auto" w:fill="FFFFFF"/>
          </w:tcPr>
          <w:p w14:paraId="0319C312" w14:textId="0F22D26A" w:rsidR="000C6E02" w:rsidRPr="00D129C5" w:rsidRDefault="006B6640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+1</w:t>
            </w:r>
            <w:r w:rsidR="00F64D26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992" w:type="dxa"/>
            <w:shd w:val="clear" w:color="auto" w:fill="FFFFFF"/>
          </w:tcPr>
          <w:p w14:paraId="0E5D4184" w14:textId="2E595D87" w:rsidR="000C6E02" w:rsidRPr="00D129C5" w:rsidRDefault="006B6640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  <w:r w:rsidR="00F64D26">
              <w:rPr>
                <w:rFonts w:ascii="Times New Roman" w:hAnsi="Times New Roman"/>
                <w:color w:val="000000"/>
              </w:rPr>
              <w:t>142,</w:t>
            </w:r>
            <w:r w:rsidR="00335A6E">
              <w:rPr>
                <w:rFonts w:ascii="Times New Roman" w:hAnsi="Times New Roman"/>
                <w:color w:val="000000"/>
              </w:rPr>
              <w:t>3</w:t>
            </w:r>
            <w:r w:rsidR="00F64D2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2AA70C5F" w14:textId="7B32B443" w:rsidR="000C6E02" w:rsidRPr="00D129C5" w:rsidRDefault="00F64D26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+82,50</w:t>
            </w:r>
          </w:p>
        </w:tc>
        <w:tc>
          <w:tcPr>
            <w:tcW w:w="283" w:type="dxa"/>
            <w:shd w:val="clear" w:color="auto" w:fill="FFFFFF"/>
          </w:tcPr>
          <w:p w14:paraId="65925175" w14:textId="77777777" w:rsidR="000C6E02" w:rsidRPr="00D129C5" w:rsidRDefault="000C6E02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gridSpan w:val="2"/>
            <w:shd w:val="clear" w:color="auto" w:fill="FFFFFF"/>
          </w:tcPr>
          <w:p w14:paraId="394BD124" w14:textId="77777777" w:rsidR="000C6E02" w:rsidRPr="00D129C5" w:rsidRDefault="000C6E02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/>
          </w:tcPr>
          <w:p w14:paraId="2CA3318A" w14:textId="77777777" w:rsidR="000C6E02" w:rsidRPr="00D129C5" w:rsidRDefault="00D4546B" w:rsidP="006B664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 xml:space="preserve">+ </w:t>
            </w:r>
            <w:r w:rsidR="00E91A07" w:rsidRPr="00D129C5">
              <w:rPr>
                <w:rFonts w:ascii="Times New Roman" w:hAnsi="Times New Roman"/>
                <w:color w:val="000000"/>
                <w:spacing w:val="-2"/>
              </w:rPr>
              <w:t>7</w:t>
            </w:r>
            <w:r w:rsidR="006B6640">
              <w:rPr>
                <w:rFonts w:ascii="Times New Roman" w:hAnsi="Times New Roman"/>
                <w:color w:val="000000"/>
                <w:spacing w:val="-2"/>
              </w:rPr>
              <w:t>95,70</w:t>
            </w:r>
          </w:p>
        </w:tc>
      </w:tr>
      <w:tr w:rsidR="00F64D26" w:rsidRPr="00D129C5" w14:paraId="2AE29CFC" w14:textId="77777777" w:rsidTr="00883CAE">
        <w:trPr>
          <w:trHeight w:val="330"/>
        </w:trPr>
        <w:tc>
          <w:tcPr>
            <w:tcW w:w="1985" w:type="dxa"/>
            <w:shd w:val="clear" w:color="auto" w:fill="FFFFFF"/>
            <w:vAlign w:val="center"/>
          </w:tcPr>
          <w:p w14:paraId="03548D30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DB92E65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2435CF3B" w14:textId="3565CE00" w:rsidR="000C6E02" w:rsidRPr="00D129C5" w:rsidRDefault="00D4546B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+</w:t>
            </w:r>
            <w:r w:rsidR="006B6640">
              <w:rPr>
                <w:rFonts w:ascii="Times New Roman" w:hAnsi="Times New Roman"/>
                <w:color w:val="000000"/>
              </w:rPr>
              <w:t xml:space="preserve"> </w:t>
            </w:r>
            <w:r w:rsidR="00643DAF">
              <w:rPr>
                <w:rFonts w:ascii="Times New Roman" w:hAnsi="Times New Roman"/>
                <w:color w:val="000000"/>
              </w:rPr>
              <w:t>1,20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3F5BE28D" w14:textId="1D9C9431" w:rsidR="000C6E02" w:rsidRPr="00D129C5" w:rsidRDefault="006B6640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+</w:t>
            </w:r>
            <w:r w:rsidR="00F64D26">
              <w:rPr>
                <w:rFonts w:ascii="Times New Roman" w:hAnsi="Times New Roman"/>
              </w:rPr>
              <w:t>40,</w:t>
            </w:r>
            <w:r w:rsidR="00883CAE">
              <w:rPr>
                <w:rFonts w:ascii="Times New Roman" w:hAnsi="Times New Roman"/>
              </w:rPr>
              <w:t>2</w:t>
            </w:r>
            <w:r w:rsidR="00F64D2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430F0613" w14:textId="08968C0C" w:rsidR="000C6E02" w:rsidRPr="00D129C5" w:rsidRDefault="006B6640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+</w:t>
            </w:r>
            <w:r w:rsidR="00F64D26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2,</w:t>
            </w:r>
            <w:r w:rsidR="00825B6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3268F25A" w14:textId="3496B607" w:rsidR="000C6E02" w:rsidRPr="00D129C5" w:rsidRDefault="006B6640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+1</w:t>
            </w:r>
            <w:r w:rsidR="00F64D26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7F262C4D" w14:textId="14D207FB" w:rsidR="000C6E02" w:rsidRPr="00D129C5" w:rsidRDefault="006B6640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+1</w:t>
            </w:r>
            <w:r w:rsidR="00F64D26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992" w:type="dxa"/>
            <w:shd w:val="clear" w:color="auto" w:fill="FFFFFF"/>
          </w:tcPr>
          <w:p w14:paraId="767E7C5B" w14:textId="5888EF11" w:rsidR="000C6E02" w:rsidRPr="00D129C5" w:rsidRDefault="006B6640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+1</w:t>
            </w:r>
            <w:r w:rsidR="00F64D26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992" w:type="dxa"/>
            <w:shd w:val="clear" w:color="auto" w:fill="FFFFFF"/>
          </w:tcPr>
          <w:p w14:paraId="6D75AEF5" w14:textId="24C8EB40" w:rsidR="000C6E02" w:rsidRPr="00D129C5" w:rsidRDefault="006B6640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  <w:r w:rsidR="00F64D26">
              <w:rPr>
                <w:rFonts w:ascii="Times New Roman" w:hAnsi="Times New Roman"/>
                <w:color w:val="000000"/>
              </w:rPr>
              <w:t>142,</w:t>
            </w:r>
            <w:r w:rsidR="00335A6E">
              <w:rPr>
                <w:rFonts w:ascii="Times New Roman" w:hAnsi="Times New Roman"/>
                <w:color w:val="000000"/>
              </w:rPr>
              <w:t>3</w:t>
            </w:r>
            <w:r w:rsidR="00F64D2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56C5EF9A" w14:textId="4AF5B26B" w:rsidR="000C6E02" w:rsidRPr="00D129C5" w:rsidRDefault="00F64D26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+82,50</w:t>
            </w:r>
          </w:p>
        </w:tc>
        <w:tc>
          <w:tcPr>
            <w:tcW w:w="283" w:type="dxa"/>
            <w:shd w:val="clear" w:color="auto" w:fill="FFFFFF"/>
          </w:tcPr>
          <w:p w14:paraId="0285D7DE" w14:textId="77777777" w:rsidR="000C6E02" w:rsidRPr="00D129C5" w:rsidRDefault="000C6E02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gridSpan w:val="2"/>
            <w:shd w:val="clear" w:color="auto" w:fill="FFFFFF"/>
          </w:tcPr>
          <w:p w14:paraId="63B708DB" w14:textId="77777777" w:rsidR="000C6E02" w:rsidRPr="00D129C5" w:rsidRDefault="000C6E02" w:rsidP="006B664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/>
          </w:tcPr>
          <w:p w14:paraId="7FDBB603" w14:textId="77777777" w:rsidR="000C6E02" w:rsidRPr="00D129C5" w:rsidRDefault="00D4546B" w:rsidP="006B664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 xml:space="preserve">+ </w:t>
            </w:r>
            <w:r w:rsidR="00E91A07" w:rsidRPr="00D129C5">
              <w:rPr>
                <w:rFonts w:ascii="Times New Roman" w:hAnsi="Times New Roman"/>
                <w:color w:val="000000"/>
                <w:spacing w:val="-2"/>
              </w:rPr>
              <w:t>7</w:t>
            </w:r>
            <w:r w:rsidR="006B6640">
              <w:rPr>
                <w:rFonts w:ascii="Times New Roman" w:hAnsi="Times New Roman"/>
                <w:color w:val="000000"/>
                <w:spacing w:val="-2"/>
              </w:rPr>
              <w:t>95,70</w:t>
            </w:r>
          </w:p>
        </w:tc>
      </w:tr>
      <w:tr w:rsidR="00F64D26" w:rsidRPr="00D129C5" w14:paraId="01E81738" w14:textId="77777777" w:rsidTr="00845D1E">
        <w:trPr>
          <w:trHeight w:val="351"/>
        </w:trPr>
        <w:tc>
          <w:tcPr>
            <w:tcW w:w="1985" w:type="dxa"/>
            <w:shd w:val="clear" w:color="auto" w:fill="FFFFFF"/>
            <w:vAlign w:val="center"/>
          </w:tcPr>
          <w:p w14:paraId="52AD27D1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7DD6693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63B4F396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2FF1A7B2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64BB2836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7B028391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2A7E5DB8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CDE220D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00CD2E22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5A6F86EC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0397EAE6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gridSpan w:val="2"/>
            <w:shd w:val="clear" w:color="auto" w:fill="FFFFFF"/>
          </w:tcPr>
          <w:p w14:paraId="761B2C5A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/>
          </w:tcPr>
          <w:p w14:paraId="0B817EBF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F64D26" w:rsidRPr="00D129C5" w14:paraId="6019513D" w14:textId="77777777" w:rsidTr="00845D1E">
        <w:trPr>
          <w:trHeight w:val="351"/>
        </w:trPr>
        <w:tc>
          <w:tcPr>
            <w:tcW w:w="1985" w:type="dxa"/>
            <w:shd w:val="clear" w:color="auto" w:fill="FFFFFF"/>
            <w:vAlign w:val="center"/>
          </w:tcPr>
          <w:p w14:paraId="3FCF6ACD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34121CE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44BA9275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44917C4D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1C5A8219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573DB0AE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74AFD481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18785C24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C738D8B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5809FDBD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12581940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gridSpan w:val="2"/>
            <w:shd w:val="clear" w:color="auto" w:fill="FFFFFF"/>
          </w:tcPr>
          <w:p w14:paraId="58CD5AB4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/>
          </w:tcPr>
          <w:p w14:paraId="591D9CE8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F64D26" w:rsidRPr="00D129C5" w14:paraId="0C1322DF" w14:textId="77777777" w:rsidTr="00883CAE">
        <w:trPr>
          <w:trHeight w:val="1383"/>
        </w:trPr>
        <w:tc>
          <w:tcPr>
            <w:tcW w:w="1985" w:type="dxa"/>
            <w:shd w:val="clear" w:color="auto" w:fill="FFFFFF"/>
            <w:vAlign w:val="center"/>
          </w:tcPr>
          <w:p w14:paraId="464E6CA6" w14:textId="77777777" w:rsidR="00333DA8" w:rsidRPr="00D129C5" w:rsidRDefault="00333DA8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b/>
                <w:color w:val="000000"/>
              </w:rPr>
              <w:lastRenderedPageBreak/>
              <w:t>Saldo ogółem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9AAEDD4" w14:textId="77777777" w:rsidR="00333DA8" w:rsidRPr="00D129C5" w:rsidRDefault="00333DA8" w:rsidP="00333DA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3D72A978" w14:textId="4ECA873D" w:rsidR="00333DA8" w:rsidRPr="00D129C5" w:rsidRDefault="00333DA8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- 1</w:t>
            </w:r>
            <w:r w:rsidRPr="00D129C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72DC370F" w14:textId="4AB31D3B" w:rsidR="00333DA8" w:rsidRPr="00D129C5" w:rsidRDefault="00333DA8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64D26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,</w:t>
            </w:r>
            <w:r w:rsidR="00883CA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05392BD2" w14:textId="12875B3D" w:rsidR="00333DA8" w:rsidRPr="00D129C5" w:rsidRDefault="00333DA8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64D26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2,</w:t>
            </w:r>
            <w:r w:rsidR="00825B6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7D52C405" w14:textId="2F4F4C5B" w:rsidR="00333DA8" w:rsidRPr="00D129C5" w:rsidRDefault="00333DA8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</w:t>
            </w:r>
            <w:r w:rsidR="00F64D26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6B36DE83" w14:textId="1030FF5A" w:rsidR="00333DA8" w:rsidRPr="00D129C5" w:rsidRDefault="00333DA8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</w:t>
            </w:r>
            <w:r w:rsidR="00F64D26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992" w:type="dxa"/>
            <w:shd w:val="clear" w:color="auto" w:fill="FFFFFF"/>
          </w:tcPr>
          <w:p w14:paraId="33033A9B" w14:textId="42C0CD54" w:rsidR="00333DA8" w:rsidRPr="00D129C5" w:rsidRDefault="00333DA8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</w:t>
            </w:r>
            <w:r w:rsidR="00F64D26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992" w:type="dxa"/>
            <w:shd w:val="clear" w:color="auto" w:fill="FFFFFF"/>
          </w:tcPr>
          <w:p w14:paraId="1DEC1F42" w14:textId="6B8192F2" w:rsidR="00333DA8" w:rsidRPr="00D129C5" w:rsidRDefault="00333DA8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="00F64D26"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</w:rPr>
              <w:t>2,</w:t>
            </w:r>
            <w:r w:rsidR="00335A6E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0677DD61" w14:textId="64EF4BB7" w:rsidR="00333DA8" w:rsidRPr="00D129C5" w:rsidRDefault="00F64D26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-82,50</w:t>
            </w:r>
          </w:p>
        </w:tc>
        <w:tc>
          <w:tcPr>
            <w:tcW w:w="283" w:type="dxa"/>
            <w:shd w:val="clear" w:color="auto" w:fill="FFFFFF"/>
          </w:tcPr>
          <w:p w14:paraId="3F7480C5" w14:textId="77777777" w:rsidR="00333DA8" w:rsidRPr="00D129C5" w:rsidRDefault="00333DA8" w:rsidP="00333DA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gridSpan w:val="2"/>
            <w:shd w:val="clear" w:color="auto" w:fill="FFFFFF"/>
          </w:tcPr>
          <w:p w14:paraId="737CD7AF" w14:textId="77777777" w:rsidR="00333DA8" w:rsidRPr="00D129C5" w:rsidRDefault="00333DA8" w:rsidP="00333DA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/>
          </w:tcPr>
          <w:p w14:paraId="176B57C7" w14:textId="77777777" w:rsidR="00333DA8" w:rsidRPr="00D129C5" w:rsidRDefault="00333DA8" w:rsidP="00333D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 xml:space="preserve">- </w:t>
            </w:r>
            <w:r w:rsidRPr="00333DA8">
              <w:rPr>
                <w:rFonts w:ascii="Times New Roman" w:hAnsi="Times New Roman"/>
                <w:color w:val="000000"/>
                <w:spacing w:val="-2"/>
              </w:rPr>
              <w:t>795,70</w:t>
            </w:r>
          </w:p>
        </w:tc>
      </w:tr>
      <w:tr w:rsidR="00F64D26" w:rsidRPr="00D129C5" w14:paraId="08D49ED8" w14:textId="77777777" w:rsidTr="00883CAE">
        <w:trPr>
          <w:trHeight w:val="360"/>
        </w:trPr>
        <w:tc>
          <w:tcPr>
            <w:tcW w:w="1985" w:type="dxa"/>
            <w:shd w:val="clear" w:color="auto" w:fill="FFFFFF"/>
            <w:vAlign w:val="center"/>
          </w:tcPr>
          <w:p w14:paraId="552D739E" w14:textId="77777777" w:rsidR="00333DA8" w:rsidRPr="00D129C5" w:rsidRDefault="00333DA8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BB94D7D" w14:textId="77777777" w:rsidR="00333DA8" w:rsidRPr="00D129C5" w:rsidRDefault="00333DA8" w:rsidP="00333DA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1EDE8D21" w14:textId="4B38AAC9" w:rsidR="00333DA8" w:rsidRPr="00D129C5" w:rsidRDefault="00333DA8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- 1,20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5AD8E0DC" w14:textId="57FCABCC" w:rsidR="00333DA8" w:rsidRPr="00D129C5" w:rsidRDefault="00333DA8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64D26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,</w:t>
            </w:r>
            <w:r w:rsidR="00883CA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4D3748C3" w14:textId="6DC3F372" w:rsidR="00333DA8" w:rsidRPr="00D129C5" w:rsidRDefault="00333DA8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r w:rsidR="00F64D26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2,</w:t>
            </w:r>
            <w:r w:rsidR="00825B6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5CEF4FCF" w14:textId="22128B96" w:rsidR="00333DA8" w:rsidRPr="00D129C5" w:rsidRDefault="00333DA8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</w:t>
            </w:r>
            <w:r w:rsidR="00F64D26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63D59269" w14:textId="3C81C924" w:rsidR="00333DA8" w:rsidRPr="00D129C5" w:rsidRDefault="00333DA8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</w:t>
            </w:r>
            <w:r w:rsidR="00F64D26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992" w:type="dxa"/>
            <w:shd w:val="clear" w:color="auto" w:fill="FFFFFF"/>
          </w:tcPr>
          <w:p w14:paraId="135EBAA9" w14:textId="5A0E4723" w:rsidR="00333DA8" w:rsidRPr="00D129C5" w:rsidRDefault="00333DA8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</w:t>
            </w:r>
            <w:r w:rsidR="00F64D26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992" w:type="dxa"/>
            <w:shd w:val="clear" w:color="auto" w:fill="FFFFFF"/>
          </w:tcPr>
          <w:p w14:paraId="342BAA2E" w14:textId="5C5528AF" w:rsidR="00333DA8" w:rsidRPr="00D129C5" w:rsidRDefault="00333DA8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="00F64D26"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</w:rPr>
              <w:t>2,</w:t>
            </w:r>
            <w:r w:rsidR="00335A6E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0A2C76D0" w14:textId="4A069FE9" w:rsidR="00333DA8" w:rsidRPr="00D129C5" w:rsidRDefault="00F64D26" w:rsidP="00333DA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-82,50</w:t>
            </w:r>
          </w:p>
        </w:tc>
        <w:tc>
          <w:tcPr>
            <w:tcW w:w="283" w:type="dxa"/>
            <w:shd w:val="clear" w:color="auto" w:fill="FFFFFF"/>
          </w:tcPr>
          <w:p w14:paraId="66D6C3B4" w14:textId="77777777" w:rsidR="00333DA8" w:rsidRPr="00D129C5" w:rsidRDefault="00333DA8" w:rsidP="00333DA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gridSpan w:val="2"/>
            <w:shd w:val="clear" w:color="auto" w:fill="FFFFFF"/>
          </w:tcPr>
          <w:p w14:paraId="581ECECB" w14:textId="77777777" w:rsidR="00333DA8" w:rsidRPr="00D129C5" w:rsidRDefault="00333DA8" w:rsidP="00333DA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/>
          </w:tcPr>
          <w:p w14:paraId="30F02BFF" w14:textId="77777777" w:rsidR="00333DA8" w:rsidRPr="00D129C5" w:rsidRDefault="00333DA8" w:rsidP="00333D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 xml:space="preserve">- </w:t>
            </w:r>
            <w:r w:rsidRPr="00333DA8">
              <w:rPr>
                <w:rFonts w:ascii="Times New Roman" w:hAnsi="Times New Roman"/>
                <w:color w:val="000000"/>
                <w:spacing w:val="-2"/>
              </w:rPr>
              <w:t>795,70</w:t>
            </w:r>
          </w:p>
        </w:tc>
      </w:tr>
      <w:tr w:rsidR="00F64D26" w:rsidRPr="00D129C5" w14:paraId="5F9846E5" w14:textId="77777777" w:rsidTr="00845D1E">
        <w:trPr>
          <w:trHeight w:val="357"/>
        </w:trPr>
        <w:tc>
          <w:tcPr>
            <w:tcW w:w="1985" w:type="dxa"/>
            <w:shd w:val="clear" w:color="auto" w:fill="FFFFFF"/>
            <w:vAlign w:val="center"/>
          </w:tcPr>
          <w:p w14:paraId="5FDE89B3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75591EF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28CC6BF8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4556E388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3163BB76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5A1B7CA6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6B89E3E3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3F877C6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0E17A799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3C8542B1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5F5C5D49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gridSpan w:val="2"/>
            <w:shd w:val="clear" w:color="auto" w:fill="FFFFFF"/>
          </w:tcPr>
          <w:p w14:paraId="7573A351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/>
          </w:tcPr>
          <w:p w14:paraId="704D468B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F64D26" w:rsidRPr="00D129C5" w14:paraId="27A4FFA5" w14:textId="77777777" w:rsidTr="00845D1E">
        <w:trPr>
          <w:trHeight w:val="357"/>
        </w:trPr>
        <w:tc>
          <w:tcPr>
            <w:tcW w:w="1985" w:type="dxa"/>
            <w:shd w:val="clear" w:color="auto" w:fill="FFFFFF"/>
            <w:vAlign w:val="center"/>
          </w:tcPr>
          <w:p w14:paraId="6FE49787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F961C2A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2CC3567E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5CD9F471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308376A2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3E6AE7B0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264725AD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127D366A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689D4ECE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75E52DEB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741F7E96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84" w:type="dxa"/>
            <w:gridSpan w:val="2"/>
            <w:shd w:val="clear" w:color="auto" w:fill="FFFFFF"/>
          </w:tcPr>
          <w:p w14:paraId="7748482F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/>
          </w:tcPr>
          <w:p w14:paraId="2B06317B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0C6E02" w:rsidRPr="00D129C5" w14:paraId="579DDC15" w14:textId="77777777" w:rsidTr="00785D37">
        <w:trPr>
          <w:gridAfter w:val="1"/>
          <w:wAfter w:w="10" w:type="dxa"/>
          <w:trHeight w:val="348"/>
        </w:trPr>
        <w:tc>
          <w:tcPr>
            <w:tcW w:w="1985" w:type="dxa"/>
            <w:shd w:val="clear" w:color="auto" w:fill="FFFFFF"/>
            <w:vAlign w:val="center"/>
          </w:tcPr>
          <w:p w14:paraId="7FF02D1C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9348" w:type="dxa"/>
            <w:gridSpan w:val="20"/>
            <w:shd w:val="clear" w:color="auto" w:fill="FFFFFF"/>
            <w:vAlign w:val="center"/>
          </w:tcPr>
          <w:p w14:paraId="4CE844DA" w14:textId="3458A68B" w:rsidR="00956550" w:rsidRPr="00956550" w:rsidRDefault="00654DB4" w:rsidP="00956550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lang w:eastAsia="pl-PL"/>
              </w:rPr>
              <w:t>Źródłami finansowania Programu będą ś</w:t>
            </w:r>
            <w:r w:rsidR="000C6E02" w:rsidRPr="00D129C5">
              <w:rPr>
                <w:rFonts w:ascii="Times New Roman" w:hAnsi="Times New Roman"/>
                <w:lang w:eastAsia="pl-PL"/>
              </w:rPr>
              <w:t>rodki budżetu państwa</w:t>
            </w:r>
            <w:r w:rsidR="00D129C5">
              <w:rPr>
                <w:rFonts w:ascii="Times New Roman" w:hAnsi="Times New Roman"/>
                <w:lang w:eastAsia="pl-PL"/>
              </w:rPr>
              <w:t>.</w:t>
            </w:r>
            <w:r w:rsidR="008F0C2A">
              <w:rPr>
                <w:rFonts w:ascii="Times New Roman" w:hAnsi="Times New Roman"/>
                <w:lang w:eastAsia="pl-PL"/>
              </w:rPr>
              <w:t xml:space="preserve"> </w:t>
            </w:r>
            <w:r w:rsidR="008F0C2A" w:rsidRPr="008F0C2A">
              <w:rPr>
                <w:rFonts w:ascii="Times New Roman" w:hAnsi="Times New Roman"/>
                <w:lang w:eastAsia="pl-PL"/>
              </w:rPr>
              <w:t>Projekt uchwały wymaga dodatkowego zwiększenia limitu wydatków w części budżetowej 24.</w:t>
            </w:r>
            <w:r w:rsidR="00A475C6">
              <w:rPr>
                <w:rFonts w:ascii="Times New Roman" w:hAnsi="Times New Roman"/>
                <w:lang w:eastAsia="pl-PL"/>
              </w:rPr>
              <w:t xml:space="preserve"> </w:t>
            </w:r>
            <w:r w:rsidR="00956550" w:rsidRPr="00956550">
              <w:rPr>
                <w:rFonts w:ascii="Times New Roman" w:hAnsi="Times New Roman"/>
                <w:color w:val="000000"/>
                <w:spacing w:val="-2"/>
              </w:rPr>
              <w:t>Zwiększenie limitu wydatków państwa w części 24 o całość planowanych do wydatkowania kwot w</w:t>
            </w:r>
            <w:r w:rsidR="006237CE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956550" w:rsidRPr="00956550">
              <w:rPr>
                <w:rFonts w:ascii="Times New Roman" w:hAnsi="Times New Roman"/>
                <w:color w:val="000000"/>
                <w:spacing w:val="-2"/>
              </w:rPr>
              <w:t xml:space="preserve">poszczególnych latach realizacji </w:t>
            </w:r>
            <w:r w:rsidR="00313297">
              <w:rPr>
                <w:rFonts w:ascii="Times New Roman" w:hAnsi="Times New Roman"/>
                <w:color w:val="000000"/>
                <w:spacing w:val="-2"/>
              </w:rPr>
              <w:t>P</w:t>
            </w:r>
            <w:r w:rsidR="00956550" w:rsidRPr="00956550">
              <w:rPr>
                <w:rFonts w:ascii="Times New Roman" w:hAnsi="Times New Roman"/>
                <w:color w:val="000000"/>
                <w:spacing w:val="-2"/>
              </w:rPr>
              <w:t>rogramu nie wygeneruje konieczności zmiany alokacji środków majątkowych ujętych w tej części budżetu, której dysponentem jest Minister Kultury i Dziedzictwa Narodowego. Zabezpieczenie pełnych kwot przewidzianych w harmonogramie nowej uchwały (dotyczącej inwestycji w Krakowie) nie wpłynie na</w:t>
            </w:r>
            <w:r w:rsidR="006237CE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956550" w:rsidRPr="00956550">
              <w:rPr>
                <w:rFonts w:ascii="Times New Roman" w:hAnsi="Times New Roman"/>
                <w:color w:val="000000"/>
                <w:spacing w:val="-2"/>
              </w:rPr>
              <w:t xml:space="preserve">zakres ani terminowość realizacji pozostałych zadań majątkowych uczelni artystycznych. </w:t>
            </w:r>
          </w:p>
          <w:p w14:paraId="05A64C55" w14:textId="6F1EB1A0" w:rsidR="00956550" w:rsidRPr="00956550" w:rsidRDefault="00956550" w:rsidP="00956550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56550">
              <w:rPr>
                <w:rFonts w:ascii="Times New Roman" w:hAnsi="Times New Roman"/>
                <w:color w:val="000000"/>
                <w:spacing w:val="-2"/>
              </w:rPr>
              <w:t>Należy wskazać, że w 2025</w:t>
            </w:r>
            <w:r w:rsidR="00313297">
              <w:rPr>
                <w:rFonts w:ascii="Times New Roman" w:hAnsi="Times New Roman"/>
                <w:color w:val="000000"/>
                <w:spacing w:val="-2"/>
              </w:rPr>
              <w:t xml:space="preserve"> r.</w:t>
            </w:r>
            <w:r w:rsidRPr="00956550">
              <w:rPr>
                <w:rFonts w:ascii="Times New Roman" w:hAnsi="Times New Roman"/>
                <w:color w:val="000000"/>
                <w:spacing w:val="-2"/>
              </w:rPr>
              <w:t xml:space="preserve"> został zakończony i sfinalizowany  program wieloletni pn. „Budowa kampusu Akademii Muzycznej imienia Feliksa Nowowiejskiego w Bydgoszczy”, co potwierdza skuteczność dysponenta w zarządzaniu dużymi projektami infrastrukturalnymi. </w:t>
            </w:r>
          </w:p>
          <w:p w14:paraId="3BFF9903" w14:textId="56F9AF11" w:rsidR="008F0C2A" w:rsidRPr="00D129C5" w:rsidRDefault="00956550" w:rsidP="00845D1E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56550">
              <w:rPr>
                <w:rFonts w:ascii="Times New Roman" w:hAnsi="Times New Roman"/>
                <w:color w:val="000000"/>
                <w:spacing w:val="-2"/>
              </w:rPr>
              <w:t>Ujęcie w limicie wydatków w latach 2027</w:t>
            </w:r>
            <w:r w:rsidR="00313297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956550">
              <w:rPr>
                <w:rFonts w:ascii="Times New Roman" w:hAnsi="Times New Roman"/>
                <w:color w:val="000000"/>
                <w:spacing w:val="-2"/>
              </w:rPr>
              <w:t>203</w:t>
            </w:r>
            <w:r w:rsidR="00E50B46">
              <w:rPr>
                <w:rFonts w:ascii="Times New Roman" w:hAnsi="Times New Roman"/>
                <w:color w:val="000000"/>
                <w:spacing w:val="-2"/>
              </w:rPr>
              <w:t>4</w:t>
            </w:r>
            <w:r w:rsidRPr="00956550">
              <w:rPr>
                <w:rFonts w:ascii="Times New Roman" w:hAnsi="Times New Roman"/>
                <w:color w:val="000000"/>
                <w:spacing w:val="-2"/>
              </w:rPr>
              <w:t xml:space="preserve"> dodatkowych planowanych kwot pozwoli na płynną realizację inwestycji w Krakowie, która – wzorem zakończonego projektu w Bydgoszczy – zapewni najwyższe standardy europejskie.</w:t>
            </w:r>
          </w:p>
        </w:tc>
      </w:tr>
      <w:tr w:rsidR="000C6E02" w:rsidRPr="00D129C5" w14:paraId="5B0C83A3" w14:textId="77777777" w:rsidTr="00845D1E">
        <w:trPr>
          <w:gridAfter w:val="1"/>
          <w:wAfter w:w="10" w:type="dxa"/>
          <w:trHeight w:val="1683"/>
        </w:trPr>
        <w:tc>
          <w:tcPr>
            <w:tcW w:w="1985" w:type="dxa"/>
            <w:shd w:val="clear" w:color="auto" w:fill="FFFFFF"/>
          </w:tcPr>
          <w:p w14:paraId="5E110338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Dodatkowe informacje, w tym wskazanie źródeł danych i przyjętych do obliczeń założeń</w:t>
            </w:r>
          </w:p>
        </w:tc>
        <w:tc>
          <w:tcPr>
            <w:tcW w:w="9348" w:type="dxa"/>
            <w:gridSpan w:val="20"/>
            <w:shd w:val="clear" w:color="auto" w:fill="FFFFFF"/>
          </w:tcPr>
          <w:p w14:paraId="4DB56345" w14:textId="09FAF809" w:rsidR="0041713C" w:rsidRPr="005417CB" w:rsidRDefault="006124FB" w:rsidP="00D73A94">
            <w:pPr>
              <w:spacing w:before="12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  <w:r w:rsidRPr="00956550">
              <w:rPr>
                <w:rFonts w:ascii="Times New Roman" w:hAnsi="Times New Roman"/>
                <w:spacing w:val="-2"/>
              </w:rPr>
              <w:t xml:space="preserve">Program </w:t>
            </w:r>
            <w:r w:rsidR="000B2187" w:rsidRPr="00956550">
              <w:rPr>
                <w:rFonts w:ascii="Times New Roman" w:hAnsi="Times New Roman"/>
                <w:spacing w:val="-2"/>
              </w:rPr>
              <w:t>będzie</w:t>
            </w:r>
            <w:r w:rsidRPr="005417CB">
              <w:rPr>
                <w:rFonts w:ascii="Times New Roman" w:hAnsi="Times New Roman"/>
                <w:spacing w:val="-2"/>
              </w:rPr>
              <w:t xml:space="preserve"> realizowany</w:t>
            </w:r>
            <w:r w:rsidR="0023053C" w:rsidRPr="005417CB">
              <w:rPr>
                <w:rFonts w:ascii="Times New Roman" w:hAnsi="Times New Roman"/>
                <w:spacing w:val="-2"/>
              </w:rPr>
              <w:t xml:space="preserve"> </w:t>
            </w:r>
            <w:r w:rsidR="00365696" w:rsidRPr="005417CB">
              <w:rPr>
                <w:rFonts w:ascii="Times New Roman" w:hAnsi="Times New Roman"/>
                <w:spacing w:val="-2"/>
              </w:rPr>
              <w:t>z uwzględnieniem zasady określonej w art. 134 ustawy z dnia 27</w:t>
            </w:r>
            <w:r w:rsidR="001C6A97" w:rsidRPr="005417CB">
              <w:rPr>
                <w:rFonts w:ascii="Times New Roman" w:hAnsi="Times New Roman"/>
                <w:spacing w:val="-2"/>
              </w:rPr>
              <w:t> </w:t>
            </w:r>
            <w:r w:rsidR="00365696" w:rsidRPr="005417CB">
              <w:rPr>
                <w:rFonts w:ascii="Times New Roman" w:hAnsi="Times New Roman"/>
                <w:spacing w:val="-2"/>
              </w:rPr>
              <w:t>sierpnia 2009</w:t>
            </w:r>
            <w:r w:rsidR="003665F4" w:rsidRPr="005417CB">
              <w:rPr>
                <w:rFonts w:ascii="Times New Roman" w:hAnsi="Times New Roman"/>
                <w:spacing w:val="-2"/>
              </w:rPr>
              <w:t> </w:t>
            </w:r>
            <w:r w:rsidR="00365696" w:rsidRPr="005417CB">
              <w:rPr>
                <w:rFonts w:ascii="Times New Roman" w:hAnsi="Times New Roman"/>
                <w:spacing w:val="-2"/>
              </w:rPr>
              <w:t>r. o finansach publicznych</w:t>
            </w:r>
            <w:r w:rsidR="001C6A97" w:rsidRPr="005417CB">
              <w:rPr>
                <w:rFonts w:ascii="Times New Roman" w:hAnsi="Times New Roman"/>
                <w:spacing w:val="-2"/>
              </w:rPr>
              <w:t xml:space="preserve"> (Dz. U. z 202</w:t>
            </w:r>
            <w:r w:rsidR="00995159" w:rsidRPr="005417CB">
              <w:rPr>
                <w:rFonts w:ascii="Times New Roman" w:hAnsi="Times New Roman"/>
                <w:spacing w:val="-2"/>
              </w:rPr>
              <w:t>5</w:t>
            </w:r>
            <w:r w:rsidR="001C6A97" w:rsidRPr="005417CB">
              <w:rPr>
                <w:rFonts w:ascii="Times New Roman" w:hAnsi="Times New Roman"/>
                <w:spacing w:val="-2"/>
              </w:rPr>
              <w:t xml:space="preserve"> r. poz. 1</w:t>
            </w:r>
            <w:r w:rsidR="00995159" w:rsidRPr="005417CB">
              <w:rPr>
                <w:rFonts w:ascii="Times New Roman" w:hAnsi="Times New Roman"/>
                <w:spacing w:val="-2"/>
              </w:rPr>
              <w:t>483</w:t>
            </w:r>
            <w:r w:rsidR="00396CE1" w:rsidRPr="005417CB">
              <w:rPr>
                <w:rFonts w:ascii="Times New Roman" w:hAnsi="Times New Roman"/>
                <w:spacing w:val="-2"/>
              </w:rPr>
              <w:t xml:space="preserve">, z </w:t>
            </w:r>
            <w:proofErr w:type="spellStart"/>
            <w:r w:rsidR="00396CE1" w:rsidRPr="005417CB">
              <w:rPr>
                <w:rFonts w:ascii="Times New Roman" w:hAnsi="Times New Roman"/>
                <w:spacing w:val="-2"/>
              </w:rPr>
              <w:t>późn</w:t>
            </w:r>
            <w:proofErr w:type="spellEnd"/>
            <w:r w:rsidR="00396CE1" w:rsidRPr="005417CB">
              <w:rPr>
                <w:rFonts w:ascii="Times New Roman" w:hAnsi="Times New Roman"/>
                <w:spacing w:val="-2"/>
              </w:rPr>
              <w:t>. zm.</w:t>
            </w:r>
            <w:r w:rsidR="00995159" w:rsidRPr="005417CB">
              <w:rPr>
                <w:rFonts w:ascii="Times New Roman" w:hAnsi="Times New Roman"/>
                <w:spacing w:val="-2"/>
              </w:rPr>
              <w:t>)</w:t>
            </w:r>
            <w:r w:rsidR="000B2187" w:rsidRPr="005417CB">
              <w:rPr>
                <w:rFonts w:ascii="Times New Roman" w:hAnsi="Times New Roman"/>
                <w:spacing w:val="-2"/>
              </w:rPr>
              <w:t>,</w:t>
            </w:r>
            <w:r w:rsidR="00995159" w:rsidRPr="005417CB">
              <w:rPr>
                <w:rFonts w:ascii="Times New Roman" w:hAnsi="Times New Roman"/>
                <w:spacing w:val="-2"/>
              </w:rPr>
              <w:t xml:space="preserve"> </w:t>
            </w:r>
            <w:r w:rsidR="00365696" w:rsidRPr="005417CB">
              <w:rPr>
                <w:rFonts w:ascii="Times New Roman" w:hAnsi="Times New Roman"/>
                <w:spacing w:val="-2"/>
              </w:rPr>
              <w:t xml:space="preserve">tj. </w:t>
            </w:r>
            <w:r w:rsidR="00365696" w:rsidRPr="005417CB">
              <w:rPr>
                <w:rFonts w:ascii="Times New Roman" w:hAnsi="Times New Roman"/>
                <w:i/>
                <w:spacing w:val="-2"/>
              </w:rPr>
              <w:t>że łączna kwota środków z</w:t>
            </w:r>
            <w:r w:rsidR="00A6575A" w:rsidRPr="005417CB">
              <w:rPr>
                <w:rFonts w:ascii="Times New Roman" w:hAnsi="Times New Roman"/>
                <w:i/>
                <w:spacing w:val="-2"/>
              </w:rPr>
              <w:t> </w:t>
            </w:r>
            <w:r w:rsidR="00365696" w:rsidRPr="005417CB">
              <w:rPr>
                <w:rFonts w:ascii="Times New Roman" w:hAnsi="Times New Roman"/>
                <w:i/>
                <w:spacing w:val="-2"/>
              </w:rPr>
              <w:t>budżetu państwa nie może być wyższa niż wartość kosztorysowa inwestycji określona przy rozpoczęciu jej realizacji, obejmująca koszty przygotowania do realizacji, koszty robót budowlanych, koszty nadzoru nad</w:t>
            </w:r>
            <w:r w:rsidR="000D67D1" w:rsidRPr="005417CB">
              <w:rPr>
                <w:rFonts w:ascii="Times New Roman" w:hAnsi="Times New Roman"/>
                <w:i/>
                <w:spacing w:val="-2"/>
              </w:rPr>
              <w:t> </w:t>
            </w:r>
            <w:r w:rsidR="00365696" w:rsidRPr="005417CB">
              <w:rPr>
                <w:rFonts w:ascii="Times New Roman" w:hAnsi="Times New Roman"/>
                <w:i/>
                <w:spacing w:val="-2"/>
              </w:rPr>
              <w:t>wykonywaniem robót budowlanych i koszty pierwszego wyposażenia, oraz z</w:t>
            </w:r>
            <w:r w:rsidR="001C6A97" w:rsidRPr="005417CB">
              <w:rPr>
                <w:rFonts w:ascii="Times New Roman" w:hAnsi="Times New Roman"/>
                <w:i/>
                <w:spacing w:val="-2"/>
              </w:rPr>
              <w:t> </w:t>
            </w:r>
            <w:r w:rsidR="00365696" w:rsidRPr="005417CB">
              <w:rPr>
                <w:rFonts w:ascii="Times New Roman" w:hAnsi="Times New Roman"/>
                <w:i/>
                <w:spacing w:val="-2"/>
              </w:rPr>
              <w:t>uwzględnieniem warunków dokonywania wydatków przez państwowe jednostki budżetowe i zasad udzielania dotacji na</w:t>
            </w:r>
            <w:r w:rsidR="000D67D1" w:rsidRPr="005417CB">
              <w:rPr>
                <w:rFonts w:ascii="Times New Roman" w:hAnsi="Times New Roman"/>
                <w:i/>
                <w:spacing w:val="-2"/>
              </w:rPr>
              <w:t> </w:t>
            </w:r>
            <w:r w:rsidR="00365696" w:rsidRPr="005417CB">
              <w:rPr>
                <w:rFonts w:ascii="Times New Roman" w:hAnsi="Times New Roman"/>
                <w:i/>
                <w:spacing w:val="-2"/>
              </w:rPr>
              <w:t>realizację inwestycji innym jednostkom.</w:t>
            </w:r>
          </w:p>
          <w:p w14:paraId="3B10F60D" w14:textId="52AC163E" w:rsidR="005D480D" w:rsidRPr="005417CB" w:rsidRDefault="000C6E02" w:rsidP="00D129C5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417CB">
              <w:rPr>
                <w:rFonts w:ascii="Times New Roman" w:hAnsi="Times New Roman"/>
                <w:color w:val="000000"/>
                <w:spacing w:val="-2"/>
              </w:rPr>
              <w:t>Skala przedsięwzięcia wyklucza możliwość sfinansowania budowy z dotacji Ministra Kultury i</w:t>
            </w:r>
            <w:r w:rsidR="000A291D" w:rsidRPr="005417CB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5417CB">
              <w:rPr>
                <w:rFonts w:ascii="Times New Roman" w:hAnsi="Times New Roman"/>
                <w:color w:val="000000"/>
                <w:spacing w:val="-2"/>
              </w:rPr>
              <w:t>Dziedzictwa Narodowego, nawet przy jej rozłożeniu na kolejne lata. Realizacja zadań z tego źródła wymagałaby przynajmniej piętnastoletniego cyklu inwestycji, przy jednoczesnym całkowitym zaprzestaniu finansowania innych uczelni.</w:t>
            </w:r>
          </w:p>
          <w:p w14:paraId="26369F6D" w14:textId="43BE01DB" w:rsidR="0026290E" w:rsidRPr="00845D1E" w:rsidRDefault="0026290E" w:rsidP="00D129C5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b/>
                <w:bCs/>
                <w:spacing w:val="-2"/>
              </w:rPr>
              <w:t>Aktualny stan zaawansowania prac</w:t>
            </w:r>
          </w:p>
          <w:p w14:paraId="7259BF35" w14:textId="4CD969F3" w:rsidR="0026290E" w:rsidRPr="00845D1E" w:rsidRDefault="0026290E" w:rsidP="00D129C5">
            <w:pPr>
              <w:spacing w:before="120" w:line="240" w:lineRule="auto"/>
              <w:jc w:val="both"/>
              <w:rPr>
                <w:rFonts w:ascii="Times New Roman" w:hAnsi="Times New Roman"/>
                <w:bCs/>
                <w:spacing w:val="-2"/>
              </w:rPr>
            </w:pPr>
            <w:r w:rsidRPr="00313297">
              <w:rPr>
                <w:rFonts w:ascii="Times New Roman" w:hAnsi="Times New Roman"/>
                <w:bCs/>
                <w:spacing w:val="-2"/>
              </w:rPr>
              <w:t xml:space="preserve">Na podstawie decyzji nr 1234/6740.1/2023 z 2 listopada 2023 r. </w:t>
            </w:r>
            <w:r w:rsidR="00F71205" w:rsidRPr="00845D1E">
              <w:rPr>
                <w:rFonts w:ascii="Times New Roman" w:hAnsi="Times New Roman"/>
                <w:bCs/>
                <w:spacing w:val="-2"/>
              </w:rPr>
              <w:t xml:space="preserve">został </w:t>
            </w:r>
            <w:r w:rsidRPr="00313297">
              <w:rPr>
                <w:rFonts w:ascii="Times New Roman" w:hAnsi="Times New Roman"/>
                <w:bCs/>
                <w:spacing w:val="-2"/>
              </w:rPr>
              <w:t xml:space="preserve">zatwierdzony </w:t>
            </w:r>
            <w:r w:rsidR="00501B06">
              <w:rPr>
                <w:rFonts w:ascii="Times New Roman" w:hAnsi="Times New Roman"/>
                <w:bCs/>
                <w:spacing w:val="-2"/>
              </w:rPr>
              <w:t xml:space="preserve">projekt </w:t>
            </w:r>
            <w:r w:rsidRPr="00313297">
              <w:rPr>
                <w:rFonts w:ascii="Times New Roman" w:hAnsi="Times New Roman"/>
                <w:bCs/>
                <w:spacing w:val="-2"/>
              </w:rPr>
              <w:t>zagospodarowania terenu oraz projekt architektoniczno-budowlany</w:t>
            </w:r>
            <w:r w:rsidR="00F71205" w:rsidRPr="00845D1E">
              <w:rPr>
                <w:rFonts w:ascii="Times New Roman" w:hAnsi="Times New Roman"/>
                <w:bCs/>
                <w:spacing w:val="-2"/>
              </w:rPr>
              <w:t>, jak również</w:t>
            </w:r>
            <w:r w:rsidRPr="00313297">
              <w:rPr>
                <w:rFonts w:ascii="Times New Roman" w:hAnsi="Times New Roman"/>
                <w:bCs/>
                <w:spacing w:val="-2"/>
              </w:rPr>
              <w:t xml:space="preserve"> udzielono pozwolenia na</w:t>
            </w:r>
            <w:r w:rsidR="006237CE">
              <w:rPr>
                <w:rFonts w:ascii="Times New Roman" w:hAnsi="Times New Roman"/>
                <w:bCs/>
                <w:spacing w:val="-2"/>
              </w:rPr>
              <w:t> </w:t>
            </w:r>
            <w:r w:rsidRPr="00313297">
              <w:rPr>
                <w:rFonts w:ascii="Times New Roman" w:hAnsi="Times New Roman"/>
                <w:bCs/>
                <w:spacing w:val="-2"/>
              </w:rPr>
              <w:t xml:space="preserve">budowę, a w </w:t>
            </w:r>
            <w:r w:rsidR="00F71205" w:rsidRPr="00845D1E">
              <w:rPr>
                <w:rFonts w:ascii="Times New Roman" w:hAnsi="Times New Roman"/>
                <w:bCs/>
                <w:spacing w:val="-2"/>
              </w:rPr>
              <w:t>efekcie</w:t>
            </w:r>
            <w:r w:rsidRPr="00313297">
              <w:rPr>
                <w:rFonts w:ascii="Times New Roman" w:hAnsi="Times New Roman"/>
                <w:bCs/>
                <w:spacing w:val="-2"/>
              </w:rPr>
              <w:t xml:space="preserve"> dokonano</w:t>
            </w:r>
            <w:r w:rsidRPr="00845D1E">
              <w:rPr>
                <w:rFonts w:ascii="Times New Roman" w:hAnsi="Times New Roman"/>
              </w:rPr>
              <w:t xml:space="preserve"> </w:t>
            </w:r>
            <w:r w:rsidR="00F71205" w:rsidRPr="00845D1E">
              <w:rPr>
                <w:rFonts w:ascii="Times New Roman" w:hAnsi="Times New Roman"/>
              </w:rPr>
              <w:t xml:space="preserve">w </w:t>
            </w:r>
            <w:r w:rsidRPr="00313297">
              <w:rPr>
                <w:rFonts w:ascii="Times New Roman" w:hAnsi="Times New Roman"/>
                <w:bCs/>
                <w:spacing w:val="-2"/>
              </w:rPr>
              <w:t>marcu 2024 r. zgłoszenia zamiaru rozpoczęcia inwestycji budowlanej. Na podstawie decyzji nr 61/6741/2023, wydanej przez Wydział Architektury i Urbanistyki Urzędu Miasta Krakowa, wykonano na terenie inwestycyjnym rozbiórki zabudowań dawnej infrastruktury wojskowej</w:t>
            </w:r>
            <w:r w:rsidR="00F71205" w:rsidRPr="00845D1E">
              <w:rPr>
                <w:rFonts w:ascii="Times New Roman" w:hAnsi="Times New Roman"/>
                <w:bCs/>
                <w:spacing w:val="-2"/>
              </w:rPr>
              <w:t>,</w:t>
            </w:r>
            <w:r w:rsidRPr="00313297">
              <w:rPr>
                <w:rFonts w:ascii="Times New Roman" w:hAnsi="Times New Roman"/>
                <w:bCs/>
                <w:spacing w:val="-2"/>
              </w:rPr>
              <w:t xml:space="preserve"> usuwając tym samym wszelkie bariery architektoniczne, kolidujące z planowan</w:t>
            </w:r>
            <w:r w:rsidR="00F71205" w:rsidRPr="00845D1E">
              <w:rPr>
                <w:rFonts w:ascii="Times New Roman" w:hAnsi="Times New Roman"/>
                <w:bCs/>
                <w:spacing w:val="-2"/>
              </w:rPr>
              <w:t>ą</w:t>
            </w:r>
            <w:r w:rsidRPr="00313297">
              <w:rPr>
                <w:rFonts w:ascii="Times New Roman" w:hAnsi="Times New Roman"/>
                <w:bCs/>
                <w:spacing w:val="-2"/>
              </w:rPr>
              <w:t xml:space="preserve"> budową kubaturową. Decyzja WS-05.6131.2.79.2023.D</w:t>
            </w:r>
            <w:r w:rsidR="00FF1466">
              <w:rPr>
                <w:rFonts w:ascii="Times New Roman" w:hAnsi="Times New Roman"/>
                <w:bCs/>
                <w:spacing w:val="-2"/>
              </w:rPr>
              <w:t>M2</w:t>
            </w:r>
            <w:r w:rsidRPr="00313297">
              <w:rPr>
                <w:rFonts w:ascii="Times New Roman" w:hAnsi="Times New Roman"/>
                <w:bCs/>
                <w:spacing w:val="-2"/>
              </w:rPr>
              <w:t xml:space="preserve"> pozwoliła na wycięcie 172 drzew, kolidujących z inwestycją oraz</w:t>
            </w:r>
            <w:r w:rsidR="006237CE">
              <w:rPr>
                <w:rFonts w:ascii="Times New Roman" w:hAnsi="Times New Roman"/>
                <w:bCs/>
                <w:spacing w:val="-2"/>
              </w:rPr>
              <w:t> </w:t>
            </w:r>
            <w:r w:rsidR="00440CE4">
              <w:rPr>
                <w:rFonts w:ascii="Times New Roman" w:hAnsi="Times New Roman"/>
                <w:bCs/>
                <w:spacing w:val="-2"/>
              </w:rPr>
              <w:t>z</w:t>
            </w:r>
            <w:r w:rsidRPr="00313297">
              <w:rPr>
                <w:rFonts w:ascii="Times New Roman" w:hAnsi="Times New Roman"/>
                <w:bCs/>
                <w:spacing w:val="-2"/>
              </w:rPr>
              <w:t>rekompensowani</w:t>
            </w:r>
            <w:r w:rsidR="00440CE4">
              <w:rPr>
                <w:rFonts w:ascii="Times New Roman" w:hAnsi="Times New Roman"/>
                <w:bCs/>
                <w:spacing w:val="-2"/>
              </w:rPr>
              <w:t>e</w:t>
            </w:r>
            <w:r w:rsidRPr="00313297">
              <w:rPr>
                <w:rFonts w:ascii="Times New Roman" w:hAnsi="Times New Roman"/>
                <w:bCs/>
                <w:spacing w:val="-2"/>
              </w:rPr>
              <w:t xml:space="preserve"> wycinki </w:t>
            </w:r>
            <w:proofErr w:type="spellStart"/>
            <w:r w:rsidRPr="00313297">
              <w:rPr>
                <w:rFonts w:ascii="Times New Roman" w:hAnsi="Times New Roman"/>
                <w:bCs/>
                <w:spacing w:val="-2"/>
              </w:rPr>
              <w:t>nasadzeniami</w:t>
            </w:r>
            <w:proofErr w:type="spellEnd"/>
            <w:r w:rsidRPr="00313297">
              <w:rPr>
                <w:rFonts w:ascii="Times New Roman" w:hAnsi="Times New Roman"/>
                <w:bCs/>
                <w:spacing w:val="-2"/>
              </w:rPr>
              <w:t xml:space="preserve"> zastępczymi. Po oczyszczeniu terenu A</w:t>
            </w:r>
            <w:r w:rsidR="00F71205" w:rsidRPr="00845D1E">
              <w:rPr>
                <w:rFonts w:ascii="Times New Roman" w:hAnsi="Times New Roman"/>
                <w:bCs/>
                <w:spacing w:val="-2"/>
              </w:rPr>
              <w:t>MKP</w:t>
            </w:r>
            <w:r w:rsidRPr="00313297">
              <w:rPr>
                <w:rFonts w:ascii="Times New Roman" w:hAnsi="Times New Roman"/>
                <w:bCs/>
                <w:spacing w:val="-2"/>
              </w:rPr>
              <w:t xml:space="preserve"> podjęła starania w kierunku zapewnienia dostępu do mediów oraz zapewnieni</w:t>
            </w:r>
            <w:r w:rsidR="00F71205" w:rsidRPr="00845D1E">
              <w:rPr>
                <w:rFonts w:ascii="Times New Roman" w:hAnsi="Times New Roman"/>
                <w:bCs/>
                <w:spacing w:val="-2"/>
              </w:rPr>
              <w:t>a</w:t>
            </w:r>
            <w:r w:rsidRPr="00313297">
              <w:rPr>
                <w:rFonts w:ascii="Times New Roman" w:hAnsi="Times New Roman"/>
                <w:bCs/>
                <w:spacing w:val="-2"/>
              </w:rPr>
              <w:t xml:space="preserve"> właściwej infrastruktury teletechnicznej. A</w:t>
            </w:r>
            <w:r w:rsidR="00F71205" w:rsidRPr="00845D1E">
              <w:rPr>
                <w:rFonts w:ascii="Times New Roman" w:hAnsi="Times New Roman"/>
                <w:bCs/>
                <w:spacing w:val="-2"/>
              </w:rPr>
              <w:t>MKP</w:t>
            </w:r>
            <w:r w:rsidRPr="00313297">
              <w:rPr>
                <w:rFonts w:ascii="Times New Roman" w:hAnsi="Times New Roman"/>
                <w:bCs/>
                <w:spacing w:val="-2"/>
              </w:rPr>
              <w:t xml:space="preserve"> posiada aktualne warunki techniczne dotyczące przyłączenia do sieci ciepłowniczej, energetycznej oraz wodociągowej. Część infrastruktury przyłączeniowej została już wybudowana bądź przystosowana do potrzeb przyszłej eksploatacji budynków. W celu zapewnienia odpowiedniej obsługi drogowej dla funkcjonowania nowej siedziby AMKP uzgodniono z Zarządem Dróg Miasta Krakowa warunki budowy sięgacza pieszo-rowerowego wraz z możliwością przejazdu dla wozów bojowych. Na podstawie uzgodnionych warunków technicznych A</w:t>
            </w:r>
            <w:r w:rsidR="00F71205" w:rsidRPr="00845D1E">
              <w:rPr>
                <w:rFonts w:ascii="Times New Roman" w:hAnsi="Times New Roman"/>
                <w:bCs/>
                <w:spacing w:val="-2"/>
              </w:rPr>
              <w:t>MKP</w:t>
            </w:r>
            <w:r w:rsidRPr="00313297">
              <w:rPr>
                <w:rFonts w:ascii="Times New Roman" w:hAnsi="Times New Roman"/>
                <w:bCs/>
                <w:spacing w:val="-2"/>
              </w:rPr>
              <w:t xml:space="preserve"> przystępuje do zawarcia umów przyłączeniowych z operatorami mediów oraz do podpisania umowy z Zarządem Dróg Miasta Krakowa dotyczącej inwestycji towarzyszącej, polegającej na budowie ciągu pieszo-rowerowego w procedurze </w:t>
            </w:r>
            <w:r w:rsidR="00A475C6">
              <w:rPr>
                <w:rFonts w:ascii="Times New Roman" w:hAnsi="Times New Roman"/>
                <w:bCs/>
                <w:spacing w:val="-2"/>
              </w:rPr>
              <w:t>z</w:t>
            </w:r>
            <w:r w:rsidR="00FF1466">
              <w:rPr>
                <w:rFonts w:ascii="Times New Roman" w:hAnsi="Times New Roman"/>
                <w:bCs/>
                <w:spacing w:val="-2"/>
              </w:rPr>
              <w:t>ezwolenia na realizację inwestycji drogowej</w:t>
            </w:r>
            <w:r w:rsidR="00467CE7">
              <w:rPr>
                <w:rFonts w:ascii="Times New Roman" w:hAnsi="Times New Roman"/>
                <w:bCs/>
                <w:spacing w:val="-2"/>
              </w:rPr>
              <w:t>.</w:t>
            </w:r>
            <w:r w:rsidR="00A475C6">
              <w:rPr>
                <w:rFonts w:ascii="Times New Roman" w:hAnsi="Times New Roman"/>
                <w:bCs/>
                <w:spacing w:val="-2"/>
              </w:rPr>
              <w:t xml:space="preserve"> </w:t>
            </w:r>
            <w:r w:rsidR="00467CE7" w:rsidRPr="00467CE7">
              <w:rPr>
                <w:rFonts w:ascii="Times New Roman" w:hAnsi="Times New Roman"/>
                <w:bCs/>
                <w:spacing w:val="-2"/>
              </w:rPr>
              <w:t>Następnym etapem będzie wykup gruntów i wypłata odszkodowań za tereny zajęte pod realizację zadania</w:t>
            </w:r>
            <w:r w:rsidR="00467CE7">
              <w:rPr>
                <w:rFonts w:ascii="Times New Roman" w:hAnsi="Times New Roman"/>
                <w:bCs/>
                <w:spacing w:val="-2"/>
              </w:rPr>
              <w:t>.</w:t>
            </w:r>
            <w:r w:rsidRPr="00313297">
              <w:rPr>
                <w:rFonts w:ascii="Times New Roman" w:hAnsi="Times New Roman"/>
                <w:bCs/>
                <w:spacing w:val="-2"/>
              </w:rPr>
              <w:t xml:space="preserve"> Teren przeznaczony pod budowę został ogrodzony </w:t>
            </w:r>
            <w:r w:rsidR="00A17288">
              <w:rPr>
                <w:rFonts w:ascii="Times New Roman" w:hAnsi="Times New Roman"/>
                <w:bCs/>
                <w:spacing w:val="-2"/>
              </w:rPr>
              <w:t>oraz</w:t>
            </w:r>
            <w:r w:rsidRPr="00313297">
              <w:rPr>
                <w:rFonts w:ascii="Times New Roman" w:hAnsi="Times New Roman"/>
                <w:bCs/>
                <w:spacing w:val="-2"/>
              </w:rPr>
              <w:t xml:space="preserve"> odpowiednio oznakowany i podlega stałem</w:t>
            </w:r>
            <w:r w:rsidR="00A17288">
              <w:rPr>
                <w:rFonts w:ascii="Times New Roman" w:hAnsi="Times New Roman"/>
                <w:bCs/>
                <w:spacing w:val="-2"/>
              </w:rPr>
              <w:t>u</w:t>
            </w:r>
            <w:r w:rsidRPr="00313297">
              <w:rPr>
                <w:rFonts w:ascii="Times New Roman" w:hAnsi="Times New Roman"/>
                <w:bCs/>
                <w:spacing w:val="-2"/>
              </w:rPr>
              <w:t xml:space="preserve"> dozorowi. A</w:t>
            </w:r>
            <w:r w:rsidR="00F71205" w:rsidRPr="00845D1E">
              <w:rPr>
                <w:rFonts w:ascii="Times New Roman" w:hAnsi="Times New Roman"/>
                <w:bCs/>
                <w:spacing w:val="-2"/>
              </w:rPr>
              <w:t>MKP</w:t>
            </w:r>
            <w:r w:rsidRPr="00313297">
              <w:rPr>
                <w:rFonts w:ascii="Times New Roman" w:hAnsi="Times New Roman"/>
                <w:bCs/>
                <w:spacing w:val="-2"/>
              </w:rPr>
              <w:t xml:space="preserve"> jest w posiadaniu kompletnego </w:t>
            </w:r>
            <w:r w:rsidRPr="00313297">
              <w:rPr>
                <w:rFonts w:ascii="Times New Roman" w:hAnsi="Times New Roman"/>
                <w:bCs/>
                <w:spacing w:val="-2"/>
              </w:rPr>
              <w:lastRenderedPageBreak/>
              <w:t>projektu architektoniczno-budowlanego, na podstawie którego dokonano zgłoszenia rozpoczęcia prac budowlanych.</w:t>
            </w:r>
          </w:p>
          <w:p w14:paraId="63189CDF" w14:textId="4BC27627" w:rsidR="0026290E" w:rsidRPr="00845D1E" w:rsidRDefault="0026290E" w:rsidP="00D129C5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b/>
                <w:bCs/>
                <w:spacing w:val="-2"/>
              </w:rPr>
              <w:t>Informacja o dotychczas poniesionych wydatkach z części 24 budżetu państwa na realizację inwestycji oraz ich przeznaczeniu</w:t>
            </w:r>
          </w:p>
          <w:p w14:paraId="6A00F814" w14:textId="542842C9" w:rsidR="003667DC" w:rsidRPr="00845D1E" w:rsidRDefault="002D699E" w:rsidP="00D129C5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</w:rPr>
              <w:t>Do chwili obecnej w ramach realizowanych programów inwestycyjnych dofinansowanych z budżetu państwa wydatkowano łącznie 18 382 tys. zł. Pierwszy z programów dotyczył wykonania kompletnego projektu architektonicznego wraz z pozwoleniem na budowę, a drugi przygotowania terenu pod</w:t>
            </w:r>
            <w:r w:rsidR="006237CE">
              <w:rPr>
                <w:rFonts w:ascii="Times New Roman" w:hAnsi="Times New Roman"/>
              </w:rPr>
              <w:t> </w:t>
            </w:r>
            <w:r w:rsidRPr="00845D1E">
              <w:rPr>
                <w:rFonts w:ascii="Times New Roman" w:hAnsi="Times New Roman"/>
              </w:rPr>
              <w:t>inwestycję kubaturową</w:t>
            </w:r>
            <w:r w:rsidR="00730B82" w:rsidRPr="00845D1E">
              <w:rPr>
                <w:rFonts w:ascii="Times New Roman" w:hAnsi="Times New Roman"/>
                <w:spacing w:val="-2"/>
              </w:rPr>
              <w:t>.</w:t>
            </w:r>
            <w:r w:rsidR="00596E08" w:rsidRPr="00845D1E">
              <w:rPr>
                <w:rFonts w:ascii="Times New Roman" w:hAnsi="Times New Roman"/>
                <w:spacing w:val="-2"/>
              </w:rPr>
              <w:t xml:space="preserve"> </w:t>
            </w:r>
            <w:r w:rsidR="003667DC" w:rsidRPr="00845D1E">
              <w:rPr>
                <w:rFonts w:ascii="Times New Roman" w:hAnsi="Times New Roman"/>
                <w:spacing w:val="-2"/>
              </w:rPr>
              <w:t>Do głównych wydatków należały prace budowlane związane z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="003667DC" w:rsidRPr="00845D1E">
              <w:rPr>
                <w:rFonts w:ascii="Times New Roman" w:hAnsi="Times New Roman"/>
                <w:spacing w:val="-2"/>
              </w:rPr>
              <w:t>przygotowaniem terenu do realizacji inwestycji kubaturowej</w:t>
            </w:r>
            <w:r w:rsidR="008A62B3">
              <w:rPr>
                <w:rFonts w:ascii="Times New Roman" w:hAnsi="Times New Roman"/>
                <w:spacing w:val="-2"/>
              </w:rPr>
              <w:t>,</w:t>
            </w:r>
            <w:r w:rsidR="003667DC" w:rsidRPr="00845D1E">
              <w:rPr>
                <w:rFonts w:ascii="Times New Roman" w:hAnsi="Times New Roman"/>
                <w:spacing w:val="-2"/>
              </w:rPr>
              <w:t xml:space="preserve"> polegające na usunięciu barier i kolizji architektonicznych</w:t>
            </w:r>
            <w:r w:rsidR="00730B82" w:rsidRPr="00845D1E">
              <w:rPr>
                <w:rFonts w:ascii="Times New Roman" w:hAnsi="Times New Roman"/>
                <w:spacing w:val="-2"/>
              </w:rPr>
              <w:t>, prace  polegające na oczyszczeniu terenu zgodnie z decyzją Wydziału Kształtowania Środowiska U</w:t>
            </w:r>
            <w:r w:rsidR="00467CE7">
              <w:rPr>
                <w:rFonts w:ascii="Times New Roman" w:hAnsi="Times New Roman"/>
                <w:spacing w:val="-2"/>
              </w:rPr>
              <w:t xml:space="preserve">rzędu </w:t>
            </w:r>
            <w:r w:rsidR="00730B82" w:rsidRPr="00845D1E">
              <w:rPr>
                <w:rFonts w:ascii="Times New Roman" w:hAnsi="Times New Roman"/>
                <w:spacing w:val="-2"/>
              </w:rPr>
              <w:t>M</w:t>
            </w:r>
            <w:r w:rsidR="00467CE7">
              <w:rPr>
                <w:rFonts w:ascii="Times New Roman" w:hAnsi="Times New Roman"/>
                <w:spacing w:val="-2"/>
              </w:rPr>
              <w:t xml:space="preserve">iasta </w:t>
            </w:r>
            <w:r w:rsidR="00730B82" w:rsidRPr="00845D1E">
              <w:rPr>
                <w:rFonts w:ascii="Times New Roman" w:hAnsi="Times New Roman"/>
                <w:spacing w:val="-2"/>
              </w:rPr>
              <w:t>K</w:t>
            </w:r>
            <w:r w:rsidR="00467CE7">
              <w:rPr>
                <w:rFonts w:ascii="Times New Roman" w:hAnsi="Times New Roman"/>
                <w:spacing w:val="-2"/>
              </w:rPr>
              <w:t>rakowa</w:t>
            </w:r>
            <w:r w:rsidR="00730B82" w:rsidRPr="00845D1E">
              <w:rPr>
                <w:rFonts w:ascii="Times New Roman" w:hAnsi="Times New Roman"/>
                <w:spacing w:val="-2"/>
              </w:rPr>
              <w:t>, prace geodezyjne i opracowania kartograficzne, opracowanie kosztorys</w:t>
            </w:r>
            <w:r w:rsidR="009F0D32" w:rsidRPr="00845D1E">
              <w:rPr>
                <w:rFonts w:ascii="Times New Roman" w:hAnsi="Times New Roman"/>
                <w:spacing w:val="-2"/>
              </w:rPr>
              <w:t>ów</w:t>
            </w:r>
            <w:r w:rsidR="00730B82" w:rsidRPr="00845D1E">
              <w:rPr>
                <w:rFonts w:ascii="Times New Roman" w:hAnsi="Times New Roman"/>
                <w:spacing w:val="-2"/>
              </w:rPr>
              <w:t xml:space="preserve"> budowlan</w:t>
            </w:r>
            <w:r w:rsidR="009F0D32" w:rsidRPr="00845D1E">
              <w:rPr>
                <w:rFonts w:ascii="Times New Roman" w:hAnsi="Times New Roman"/>
                <w:spacing w:val="-2"/>
              </w:rPr>
              <w:t>ych</w:t>
            </w:r>
            <w:r w:rsidR="00730B82" w:rsidRPr="00845D1E">
              <w:rPr>
                <w:rFonts w:ascii="Times New Roman" w:hAnsi="Times New Roman"/>
                <w:spacing w:val="-2"/>
              </w:rPr>
              <w:t xml:space="preserve"> dotycząc</w:t>
            </w:r>
            <w:r w:rsidR="009F0D32" w:rsidRPr="00845D1E">
              <w:rPr>
                <w:rFonts w:ascii="Times New Roman" w:hAnsi="Times New Roman"/>
                <w:spacing w:val="-2"/>
              </w:rPr>
              <w:t>ych</w:t>
            </w:r>
            <w:r w:rsidR="00730B82" w:rsidRPr="00845D1E">
              <w:rPr>
                <w:rFonts w:ascii="Times New Roman" w:hAnsi="Times New Roman"/>
                <w:spacing w:val="-2"/>
              </w:rPr>
              <w:t xml:space="preserve"> organizacji terenu budowy wraz z zapleczem i oznakowaniem terenu, organizacja terenu bodowy oraz koszt związany z zatrudnieniem </w:t>
            </w:r>
            <w:r w:rsidR="009F0D32" w:rsidRPr="00845D1E">
              <w:rPr>
                <w:rFonts w:ascii="Times New Roman" w:hAnsi="Times New Roman"/>
                <w:spacing w:val="-2"/>
              </w:rPr>
              <w:t>k</w:t>
            </w:r>
            <w:r w:rsidR="00730B82" w:rsidRPr="00845D1E">
              <w:rPr>
                <w:rFonts w:ascii="Times New Roman" w:hAnsi="Times New Roman"/>
                <w:spacing w:val="-2"/>
              </w:rPr>
              <w:t>ierownika robót budowlanych.</w:t>
            </w:r>
          </w:p>
          <w:p w14:paraId="0CD6A9BD" w14:textId="2797042B" w:rsidR="00730B82" w:rsidRPr="00845D1E" w:rsidRDefault="00730B82" w:rsidP="00D129C5">
            <w:pPr>
              <w:spacing w:before="120" w:line="240" w:lineRule="auto"/>
              <w:jc w:val="both"/>
              <w:rPr>
                <w:rFonts w:ascii="Times New Roman" w:hAnsi="Times New Roman"/>
                <w:b/>
                <w:bCs/>
                <w:spacing w:val="-2"/>
              </w:rPr>
            </w:pPr>
            <w:r w:rsidRPr="00845D1E">
              <w:rPr>
                <w:rFonts w:ascii="Times New Roman" w:hAnsi="Times New Roman"/>
                <w:b/>
                <w:bCs/>
                <w:spacing w:val="-2"/>
              </w:rPr>
              <w:t>Informacja o metodyce i założeniach przyjętych do obliczenia skutków finansowych, w tym o</w:t>
            </w:r>
            <w:r w:rsidR="006237CE">
              <w:rPr>
                <w:rFonts w:ascii="Times New Roman" w:hAnsi="Times New Roman"/>
                <w:b/>
                <w:bCs/>
                <w:spacing w:val="-2"/>
              </w:rPr>
              <w:t> </w:t>
            </w:r>
            <w:r w:rsidRPr="00845D1E">
              <w:rPr>
                <w:rFonts w:ascii="Times New Roman" w:hAnsi="Times New Roman"/>
                <w:b/>
                <w:bCs/>
                <w:spacing w:val="-2"/>
              </w:rPr>
              <w:t>inwestycjach referencyjnych</w:t>
            </w:r>
            <w:r w:rsidR="00A17288">
              <w:rPr>
                <w:rFonts w:ascii="Times New Roman" w:hAnsi="Times New Roman"/>
                <w:b/>
                <w:bCs/>
                <w:spacing w:val="-2"/>
              </w:rPr>
              <w:t xml:space="preserve"> i</w:t>
            </w:r>
            <w:r w:rsidRPr="00845D1E">
              <w:rPr>
                <w:rFonts w:ascii="Times New Roman" w:hAnsi="Times New Roman"/>
                <w:b/>
                <w:bCs/>
                <w:spacing w:val="-2"/>
              </w:rPr>
              <w:t xml:space="preserve"> charakterystyce metody wskaźnikowej</w:t>
            </w:r>
          </w:p>
          <w:p w14:paraId="062A65C9" w14:textId="46084F22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 xml:space="preserve">Oszacowanie wartości kosztorysowej inwestycji powierzono zewnętrznej firmie – Biuru Kosztorysowemu NORMAN Sp. z o.o. z Bydgoszczy. Podmiot ten posiada wieloletnie doświadczenie w opracowywaniu kosztorysów dla inwestycji kulturalnych w Polsce, m.in. dla kompleksu Akademii Muzycznej </w:t>
            </w:r>
            <w:r w:rsidR="0015174A" w:rsidRPr="00845D1E">
              <w:rPr>
                <w:rFonts w:ascii="Times New Roman" w:hAnsi="Times New Roman"/>
                <w:spacing w:val="-2"/>
              </w:rPr>
              <w:t xml:space="preserve">imienia Feliksa Nowowiejskiego </w:t>
            </w:r>
            <w:r w:rsidRPr="00845D1E">
              <w:rPr>
                <w:rFonts w:ascii="Times New Roman" w:hAnsi="Times New Roman"/>
                <w:spacing w:val="-2"/>
              </w:rPr>
              <w:t>w Bydgoszczy oraz Muzeum II Wojny Światowej w Gdańsku.</w:t>
            </w:r>
          </w:p>
          <w:p w14:paraId="238F8BBD" w14:textId="77777777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>Przygotowane opracowanie kosztorysowe, stanowiące podstawę określenia wartości inwestycji, zostało oparte na:</w:t>
            </w:r>
          </w:p>
          <w:p w14:paraId="54F0A295" w14:textId="5C53345A" w:rsidR="008108FA" w:rsidRPr="00845D1E" w:rsidRDefault="00A17288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możliwych do wykonania na obecnym etapie obmiarach robót,</w:t>
            </w:r>
          </w:p>
          <w:p w14:paraId="2E9A0E90" w14:textId="7F0C38BC" w:rsidR="008108FA" w:rsidRPr="00845D1E" w:rsidRDefault="00A17288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aktualnych cenach jednostkowych stosowanych przez firmy wykonawcze,</w:t>
            </w:r>
          </w:p>
          <w:p w14:paraId="672D7B62" w14:textId="12E96E8C" w:rsidR="008108FA" w:rsidRPr="00845D1E" w:rsidRDefault="00A17288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 xml:space="preserve">wskaźnikach kosztu jednostkowego w przeliczeniu na metr kwadratowy powierzchni całkowitej, wynikających z innych inwestycji realizowanych przez </w:t>
            </w:r>
            <w:r w:rsidR="009F0D32" w:rsidRPr="00845D1E">
              <w:rPr>
                <w:rFonts w:ascii="Times New Roman" w:hAnsi="Times New Roman"/>
                <w:spacing w:val="-2"/>
              </w:rPr>
              <w:t xml:space="preserve">ww. </w:t>
            </w:r>
            <w:r w:rsidR="008108FA" w:rsidRPr="00845D1E">
              <w:rPr>
                <w:rFonts w:ascii="Times New Roman" w:hAnsi="Times New Roman"/>
                <w:spacing w:val="-2"/>
              </w:rPr>
              <w:t>Biuro na podstawie dokumentacji wykonawczej.</w:t>
            </w:r>
          </w:p>
          <w:p w14:paraId="56E34CF8" w14:textId="48959077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 xml:space="preserve">Ze względu na zbliżony charakter i przeznaczenie obiektu, jako inwestycję referencyjną przyjęto Kampus Akademii Muzycznej </w:t>
            </w:r>
            <w:r w:rsidR="0015174A" w:rsidRPr="00845D1E">
              <w:rPr>
                <w:rFonts w:ascii="Times New Roman" w:hAnsi="Times New Roman"/>
                <w:spacing w:val="-2"/>
              </w:rPr>
              <w:t xml:space="preserve">imienia Feliksa Nowowiejskiego </w:t>
            </w:r>
            <w:r w:rsidRPr="00845D1E">
              <w:rPr>
                <w:rFonts w:ascii="Times New Roman" w:hAnsi="Times New Roman"/>
                <w:spacing w:val="-2"/>
              </w:rPr>
              <w:t>w Bydgoszczy. Pozwoliło to na odniesienie się do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Pr="00845D1E">
              <w:rPr>
                <w:rFonts w:ascii="Times New Roman" w:hAnsi="Times New Roman"/>
                <w:spacing w:val="-2"/>
              </w:rPr>
              <w:t>rzeczywistych kosztów realizacji obiektu o podobnym profilu funkcjonalnym i technologicznym.</w:t>
            </w:r>
          </w:p>
          <w:p w14:paraId="690CB549" w14:textId="77777777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>W analizie uwzględniono również:</w:t>
            </w:r>
          </w:p>
          <w:p w14:paraId="2793A0A4" w14:textId="3AEEA327" w:rsidR="008108FA" w:rsidRPr="00845D1E" w:rsidRDefault="00A17288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aktualne wartości narzutów rynkowych stosowanych przez duże firmy wykonawcze (ze względu na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="008108FA" w:rsidRPr="00845D1E">
              <w:rPr>
                <w:rFonts w:ascii="Times New Roman" w:hAnsi="Times New Roman"/>
                <w:spacing w:val="-2"/>
              </w:rPr>
              <w:t>wielkość inwestycji),</w:t>
            </w:r>
          </w:p>
          <w:p w14:paraId="6586755D" w14:textId="6FF5DA78" w:rsidR="008108FA" w:rsidRPr="00845D1E" w:rsidRDefault="00A17288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odniesienie do inwestycji referencyjnej,</w:t>
            </w:r>
          </w:p>
          <w:p w14:paraId="72515D0E" w14:textId="45CB1C7D" w:rsidR="008108FA" w:rsidRPr="00845D1E" w:rsidRDefault="00A17288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aktualne na dzień sporządzenia wyceny ceny jednostkowe materiałów budowlanych publikowane w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="008108FA" w:rsidRPr="00845D1E">
              <w:rPr>
                <w:rFonts w:ascii="Times New Roman" w:hAnsi="Times New Roman"/>
                <w:spacing w:val="-2"/>
              </w:rPr>
              <w:t xml:space="preserve">cennikach </w:t>
            </w:r>
            <w:proofErr w:type="spellStart"/>
            <w:r w:rsidR="008108FA" w:rsidRPr="00845D1E">
              <w:rPr>
                <w:rFonts w:ascii="Times New Roman" w:hAnsi="Times New Roman"/>
                <w:spacing w:val="-2"/>
              </w:rPr>
              <w:t>Sekocenbud</w:t>
            </w:r>
            <w:proofErr w:type="spellEnd"/>
            <w:r w:rsidR="008108FA" w:rsidRPr="00845D1E">
              <w:rPr>
                <w:rFonts w:ascii="Times New Roman" w:hAnsi="Times New Roman"/>
                <w:spacing w:val="-2"/>
              </w:rPr>
              <w:t>.</w:t>
            </w:r>
          </w:p>
          <w:p w14:paraId="6131F8D9" w14:textId="32DDF50A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 xml:space="preserve">Metoda wskaźnikowa szacowania kosztów inwestycji polega na określeniu przewidywanych nakładów finansowych na podstawie uśrednionych kosztów jednostkowych odniesionych do wybranej jednostki miary, najczęściej 1 m² powierzchni całkowitej obiektu. </w:t>
            </w:r>
          </w:p>
          <w:p w14:paraId="5524886E" w14:textId="17462A18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>W przedstawionym przypadku kosztorys został opracowany metodą wskaźnikową w oparciu o wstępne przedmiary robót możliwe do określenia na etapie koncepcyjnym. Zakresy robót zostały oszacowane na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Pr="00845D1E">
              <w:rPr>
                <w:rFonts w:ascii="Times New Roman" w:hAnsi="Times New Roman"/>
                <w:spacing w:val="-2"/>
              </w:rPr>
              <w:t>podstawie przyjętych rozwiązań funkcjonalno-przestrzennych oraz założeń technologicznych, a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Pr="00845D1E">
              <w:rPr>
                <w:rFonts w:ascii="Times New Roman" w:hAnsi="Times New Roman"/>
                <w:spacing w:val="-2"/>
              </w:rPr>
              <w:t>następnie przypisano im orientacyjne wartości kosztowe zgodne z zasadami kosztorysowania.</w:t>
            </w:r>
          </w:p>
          <w:p w14:paraId="7592B781" w14:textId="3D0597ED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>Elementy, które na obecnym etapie projektowym nie zostały jeszcze jednoznacznie określone (np.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Pr="00845D1E">
              <w:rPr>
                <w:rFonts w:ascii="Times New Roman" w:hAnsi="Times New Roman"/>
                <w:spacing w:val="-2"/>
              </w:rPr>
              <w:t>szczegółowe rozwiązania materiałowe, standard wykończenia, dokładne parametry instalacji), ujęto w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Pr="00845D1E">
              <w:rPr>
                <w:rFonts w:ascii="Times New Roman" w:hAnsi="Times New Roman"/>
                <w:spacing w:val="-2"/>
              </w:rPr>
              <w:t>sposób wskaźnikowy. W tym celu zastosowano przeliczniki kosztów jednostkowych sprowadzone do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Pr="00845D1E">
              <w:rPr>
                <w:rFonts w:ascii="Times New Roman" w:hAnsi="Times New Roman"/>
                <w:spacing w:val="-2"/>
              </w:rPr>
              <w:t>1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Pr="00845D1E">
              <w:rPr>
                <w:rFonts w:ascii="Times New Roman" w:hAnsi="Times New Roman"/>
                <w:spacing w:val="-2"/>
              </w:rPr>
              <w:t>m² powierzchni całkowitej, obejmujące poszczególne grupy robót, w szczególności:</w:t>
            </w:r>
          </w:p>
          <w:p w14:paraId="1896BE03" w14:textId="1C10BAA8" w:rsidR="008108FA" w:rsidRPr="00845D1E" w:rsidRDefault="00A17288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roboty przygotowawcze i ziemne,</w:t>
            </w:r>
          </w:p>
          <w:p w14:paraId="6A042D2A" w14:textId="48D5914D" w:rsidR="008108FA" w:rsidRPr="00845D1E" w:rsidRDefault="00A17288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konstrukcję obiektu (fundamenty, elementy żelbetowe, stropy),</w:t>
            </w:r>
          </w:p>
          <w:p w14:paraId="3D458750" w14:textId="443421BF" w:rsidR="008108FA" w:rsidRPr="00845D1E" w:rsidRDefault="00A17288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roboty murowe i ściany działowe,</w:t>
            </w:r>
          </w:p>
          <w:p w14:paraId="2F64E6D9" w14:textId="1EFF7002" w:rsidR="008108FA" w:rsidRPr="00845D1E" w:rsidRDefault="00A17288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izolacje przeciwwilgociowe i termiczne,</w:t>
            </w:r>
          </w:p>
          <w:p w14:paraId="4CF8E40E" w14:textId="4878CB7A" w:rsidR="008108FA" w:rsidRPr="00845D1E" w:rsidRDefault="00A17288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elewacje oraz stolarkę otworową,</w:t>
            </w:r>
          </w:p>
          <w:p w14:paraId="0351C308" w14:textId="5D22DD7D" w:rsidR="008108FA" w:rsidRPr="00845D1E" w:rsidRDefault="00A17288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roboty wykończeniowe wewnętrzne,</w:t>
            </w:r>
          </w:p>
          <w:p w14:paraId="72B3CA7E" w14:textId="1D97D9E8" w:rsidR="008108FA" w:rsidRPr="00845D1E" w:rsidRDefault="00A17288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instalacje sanitarne (wod.-kan., centralne ogrzewanie, wentylacja),</w:t>
            </w:r>
          </w:p>
          <w:p w14:paraId="766C33A4" w14:textId="658F566C" w:rsidR="008108FA" w:rsidRPr="00845D1E" w:rsidRDefault="00A17288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instalacje elektryczne i teletechniczne.</w:t>
            </w:r>
          </w:p>
          <w:p w14:paraId="300612B1" w14:textId="2FD070F1" w:rsidR="008108FA" w:rsidRPr="00BE7649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bookmarkStart w:id="5" w:name="_Hlk232074972"/>
            <w:r w:rsidRPr="00BE7649">
              <w:rPr>
                <w:rFonts w:ascii="Times New Roman" w:hAnsi="Times New Roman"/>
                <w:spacing w:val="-2"/>
              </w:rPr>
              <w:t>Przyjęty uśredniony koszt realizacji 1 m² powierzchni</w:t>
            </w:r>
            <w:r w:rsidR="00BE7649" w:rsidRPr="00BE7649">
              <w:rPr>
                <w:rFonts w:ascii="Times New Roman" w:hAnsi="Times New Roman"/>
                <w:spacing w:val="-2"/>
              </w:rPr>
              <w:t xml:space="preserve"> całkowitej</w:t>
            </w:r>
            <w:r w:rsidRPr="00BE7649">
              <w:rPr>
                <w:rFonts w:ascii="Times New Roman" w:hAnsi="Times New Roman"/>
                <w:spacing w:val="-2"/>
              </w:rPr>
              <w:t xml:space="preserve"> w wysokości 21 256,93 zł został określony na</w:t>
            </w:r>
            <w:r w:rsidR="006237CE" w:rsidRPr="00BE7649">
              <w:rPr>
                <w:rFonts w:ascii="Times New Roman" w:hAnsi="Times New Roman"/>
                <w:spacing w:val="-2"/>
              </w:rPr>
              <w:t> </w:t>
            </w:r>
            <w:r w:rsidRPr="00BE7649">
              <w:rPr>
                <w:rFonts w:ascii="Times New Roman" w:hAnsi="Times New Roman"/>
                <w:spacing w:val="-2"/>
              </w:rPr>
              <w:t>podstawie analizy powszechnie dostępnych opracowań branżowych oraz danych rynkowych, w</w:t>
            </w:r>
            <w:r w:rsidR="006237CE" w:rsidRPr="00BE7649">
              <w:rPr>
                <w:rFonts w:ascii="Times New Roman" w:hAnsi="Times New Roman"/>
                <w:spacing w:val="-2"/>
              </w:rPr>
              <w:t> </w:t>
            </w:r>
            <w:r w:rsidRPr="00BE7649">
              <w:rPr>
                <w:rFonts w:ascii="Times New Roman" w:hAnsi="Times New Roman"/>
                <w:spacing w:val="-2"/>
              </w:rPr>
              <w:t>szczególności:</w:t>
            </w:r>
          </w:p>
          <w:bookmarkEnd w:id="5"/>
          <w:p w14:paraId="7407CA5E" w14:textId="46F34F77" w:rsidR="008108FA" w:rsidRPr="00845D1E" w:rsidRDefault="00A17288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 xml:space="preserve">publikacji i biuletynów cenowych (np. </w:t>
            </w:r>
            <w:proofErr w:type="spellStart"/>
            <w:r w:rsidR="008108FA" w:rsidRPr="00845D1E">
              <w:rPr>
                <w:rFonts w:ascii="Times New Roman" w:hAnsi="Times New Roman"/>
                <w:spacing w:val="-2"/>
              </w:rPr>
              <w:t>Sekocenbud</w:t>
            </w:r>
            <w:proofErr w:type="spellEnd"/>
            <w:r w:rsidR="008108FA" w:rsidRPr="00845D1E">
              <w:rPr>
                <w:rFonts w:ascii="Times New Roman" w:hAnsi="Times New Roman"/>
                <w:spacing w:val="-2"/>
              </w:rPr>
              <w:t xml:space="preserve">, </w:t>
            </w:r>
            <w:proofErr w:type="spellStart"/>
            <w:r w:rsidR="008108FA" w:rsidRPr="00845D1E">
              <w:rPr>
                <w:rFonts w:ascii="Times New Roman" w:hAnsi="Times New Roman"/>
                <w:spacing w:val="-2"/>
              </w:rPr>
              <w:t>Orgbud</w:t>
            </w:r>
            <w:proofErr w:type="spellEnd"/>
            <w:r w:rsidR="008108FA" w:rsidRPr="00845D1E">
              <w:rPr>
                <w:rFonts w:ascii="Times New Roman" w:hAnsi="Times New Roman"/>
                <w:spacing w:val="-2"/>
              </w:rPr>
              <w:t xml:space="preserve">, </w:t>
            </w:r>
            <w:proofErr w:type="spellStart"/>
            <w:r w:rsidR="008108FA" w:rsidRPr="00845D1E">
              <w:rPr>
                <w:rFonts w:ascii="Times New Roman" w:hAnsi="Times New Roman"/>
                <w:spacing w:val="-2"/>
              </w:rPr>
              <w:t>Intercenbud</w:t>
            </w:r>
            <w:proofErr w:type="spellEnd"/>
            <w:r w:rsidR="008108FA" w:rsidRPr="00845D1E">
              <w:rPr>
                <w:rFonts w:ascii="Times New Roman" w:hAnsi="Times New Roman"/>
                <w:spacing w:val="-2"/>
              </w:rPr>
              <w:t>),</w:t>
            </w:r>
          </w:p>
          <w:p w14:paraId="69EB6F95" w14:textId="7F3C6716" w:rsidR="008108FA" w:rsidRPr="00845D1E" w:rsidRDefault="00A17288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katalogów norm rzeczowych (KNR) i kosztorysowych,</w:t>
            </w:r>
          </w:p>
          <w:p w14:paraId="082495A7" w14:textId="4B4BB58C" w:rsidR="008108FA" w:rsidRPr="00845D1E" w:rsidRDefault="00A17288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raportów kosztów realizacji inwestycji budowlanych publikowanych przez firmy doradcze i inżynieryjne,</w:t>
            </w:r>
          </w:p>
          <w:p w14:paraId="7E8DD811" w14:textId="32808DC2" w:rsidR="008108FA" w:rsidRPr="00845D1E" w:rsidRDefault="00A17288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danych historycznych z porównywalnych, zrealizowanych inwestycji o zbliżonym standardzie, funkcji i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="008108FA" w:rsidRPr="00845D1E">
              <w:rPr>
                <w:rFonts w:ascii="Times New Roman" w:hAnsi="Times New Roman"/>
                <w:spacing w:val="-2"/>
              </w:rPr>
              <w:t>technologii,</w:t>
            </w:r>
          </w:p>
          <w:p w14:paraId="22A7116B" w14:textId="08CB1369" w:rsidR="008108FA" w:rsidRPr="00845D1E" w:rsidRDefault="00A17288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analiz rynkowych dotyczących cen materiałów budowlanych, robocizny i sprzętu,</w:t>
            </w:r>
          </w:p>
          <w:p w14:paraId="7E53F87B" w14:textId="71B46501" w:rsidR="008108FA" w:rsidRPr="00845D1E" w:rsidRDefault="00A17288" w:rsidP="00845D1E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aktualnych wskaźników wzrostu cen w sektorze budowlanym.</w:t>
            </w:r>
          </w:p>
          <w:p w14:paraId="4145C29B" w14:textId="30D05DDF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>Wartość wskaźnika została dodatkowo zweryfikowana przez odniesienie do aktualnych warunków rynkowych, uwzględniających zmienność cen materiałów, kosztów pracy oraz sytuację gospodarczą w</w:t>
            </w:r>
            <w:r w:rsidR="006237CE">
              <w:rPr>
                <w:rFonts w:ascii="Times New Roman" w:hAnsi="Times New Roman"/>
                <w:spacing w:val="-2"/>
              </w:rPr>
              <w:t> </w:t>
            </w:r>
            <w:r w:rsidRPr="00845D1E">
              <w:rPr>
                <w:rFonts w:ascii="Times New Roman" w:hAnsi="Times New Roman"/>
                <w:spacing w:val="-2"/>
              </w:rPr>
              <w:t>sektorze budownictwa. Przyjęte założenia mają charakter szacunkowy i będą podlegały uszczegółowieniu na kolejnych etapach opracowania dokumentacji projektowej, wraz z opracowaniem szczegółowych przedmiarów i kosztorysu inwestorskiego.</w:t>
            </w:r>
          </w:p>
          <w:p w14:paraId="2C479019" w14:textId="7784907F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 xml:space="preserve">Inną przyjętą metodą szacowania wartości 1 </w:t>
            </w:r>
            <w:r w:rsidR="00065489">
              <w:rPr>
                <w:rFonts w:ascii="Times New Roman" w:hAnsi="Times New Roman"/>
                <w:spacing w:val="-2"/>
              </w:rPr>
              <w:t>m²</w:t>
            </w:r>
            <w:r w:rsidRPr="00845D1E">
              <w:rPr>
                <w:rFonts w:ascii="Times New Roman" w:hAnsi="Times New Roman"/>
                <w:spacing w:val="-2"/>
              </w:rPr>
              <w:t xml:space="preserve"> powierzchni są powszechne ekspertyzy oparte na analizie cen transakcyjnych podobnych nieruchomości.</w:t>
            </w:r>
          </w:p>
          <w:p w14:paraId="506FD61D" w14:textId="77777777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>Biorąc powyższe pod uwagę:</w:t>
            </w:r>
          </w:p>
          <w:p w14:paraId="6D75F7DD" w14:textId="17CE3CA3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>Koszt budowy A</w:t>
            </w:r>
            <w:r w:rsidR="0015174A" w:rsidRPr="00845D1E">
              <w:rPr>
                <w:rFonts w:ascii="Times New Roman" w:hAnsi="Times New Roman"/>
                <w:spacing w:val="-2"/>
              </w:rPr>
              <w:t xml:space="preserve">kademii </w:t>
            </w:r>
            <w:r w:rsidRPr="00845D1E">
              <w:rPr>
                <w:rFonts w:ascii="Times New Roman" w:hAnsi="Times New Roman"/>
                <w:spacing w:val="-2"/>
              </w:rPr>
              <w:t>M</w:t>
            </w:r>
            <w:r w:rsidR="0015174A" w:rsidRPr="00845D1E">
              <w:rPr>
                <w:rFonts w:ascii="Times New Roman" w:hAnsi="Times New Roman"/>
                <w:spacing w:val="-2"/>
              </w:rPr>
              <w:t>uzycznej imienia Feliksa</w:t>
            </w:r>
            <w:r w:rsidR="005F2848" w:rsidRPr="00845D1E">
              <w:rPr>
                <w:rFonts w:ascii="Times New Roman" w:hAnsi="Times New Roman"/>
                <w:spacing w:val="-2"/>
              </w:rPr>
              <w:t xml:space="preserve"> Nowowiejskiego w</w:t>
            </w:r>
            <w:r w:rsidRPr="00845D1E">
              <w:rPr>
                <w:rFonts w:ascii="Times New Roman" w:hAnsi="Times New Roman"/>
                <w:spacing w:val="-2"/>
              </w:rPr>
              <w:t xml:space="preserve"> Bydgoszcz</w:t>
            </w:r>
            <w:r w:rsidR="005F2848" w:rsidRPr="00845D1E">
              <w:rPr>
                <w:rFonts w:ascii="Times New Roman" w:hAnsi="Times New Roman"/>
                <w:spacing w:val="-2"/>
              </w:rPr>
              <w:t>y</w:t>
            </w:r>
            <w:r w:rsidRPr="00845D1E">
              <w:rPr>
                <w:rFonts w:ascii="Times New Roman" w:hAnsi="Times New Roman"/>
                <w:spacing w:val="-2"/>
              </w:rPr>
              <w:t>:</w:t>
            </w:r>
          </w:p>
          <w:p w14:paraId="61B2D79D" w14:textId="77777777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>Koszt budowy = 581 806 tys. zł</w:t>
            </w:r>
          </w:p>
          <w:p w14:paraId="25068578" w14:textId="7C483516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 xml:space="preserve">Powierzchnia użytkowa nowo utworzonych obiektów </w:t>
            </w:r>
            <w:r w:rsidR="005F2848" w:rsidRPr="00845D1E">
              <w:rPr>
                <w:rFonts w:ascii="Times New Roman" w:hAnsi="Times New Roman"/>
                <w:spacing w:val="-2"/>
              </w:rPr>
              <w:t>–</w:t>
            </w:r>
            <w:r w:rsidRPr="00845D1E">
              <w:rPr>
                <w:rFonts w:ascii="Times New Roman" w:hAnsi="Times New Roman"/>
                <w:spacing w:val="-2"/>
              </w:rPr>
              <w:t xml:space="preserve"> 23 314,14 </w:t>
            </w:r>
            <w:r w:rsidR="00065489">
              <w:rPr>
                <w:rFonts w:ascii="Times New Roman" w:hAnsi="Times New Roman"/>
                <w:spacing w:val="-2"/>
              </w:rPr>
              <w:t>m²</w:t>
            </w:r>
          </w:p>
          <w:p w14:paraId="063B017F" w14:textId="443CA91D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 xml:space="preserve">Licząc dla powierzchni całkowitej koszt wynosi: 18 412,63 zł za </w:t>
            </w:r>
            <w:r w:rsidR="00065489">
              <w:rPr>
                <w:rFonts w:ascii="Times New Roman" w:hAnsi="Times New Roman"/>
                <w:spacing w:val="-2"/>
              </w:rPr>
              <w:t>m²</w:t>
            </w:r>
            <w:r w:rsidR="008A62B3">
              <w:rPr>
                <w:rFonts w:ascii="Times New Roman" w:hAnsi="Times New Roman"/>
                <w:spacing w:val="-2"/>
              </w:rPr>
              <w:t>.</w:t>
            </w:r>
          </w:p>
          <w:p w14:paraId="20B521C2" w14:textId="46C6A0E9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 xml:space="preserve">Licząc dla powierzchni użytkowej koszt wynosi: 24 955,07 zł za </w:t>
            </w:r>
            <w:r w:rsidR="00065489">
              <w:rPr>
                <w:rFonts w:ascii="Times New Roman" w:hAnsi="Times New Roman"/>
                <w:spacing w:val="-2"/>
              </w:rPr>
              <w:t>m²</w:t>
            </w:r>
            <w:r w:rsidR="008A62B3">
              <w:rPr>
                <w:rFonts w:ascii="Times New Roman" w:hAnsi="Times New Roman"/>
                <w:spacing w:val="-2"/>
              </w:rPr>
              <w:t>.</w:t>
            </w:r>
          </w:p>
          <w:p w14:paraId="5FDCC0ED" w14:textId="4D17ED2D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>Całkowity koszt budowy Krakowskiego Centrum Muzyki na Cichym Kąciku szacowany jest na ponad 300 mln zł</w:t>
            </w:r>
            <w:r w:rsidR="008A62B3">
              <w:rPr>
                <w:rFonts w:ascii="Times New Roman" w:hAnsi="Times New Roman"/>
                <w:spacing w:val="-2"/>
              </w:rPr>
              <w:t>.</w:t>
            </w:r>
            <w:r w:rsidRPr="00845D1E">
              <w:rPr>
                <w:rFonts w:ascii="Times New Roman" w:hAnsi="Times New Roman"/>
                <w:spacing w:val="-2"/>
              </w:rPr>
              <w:t xml:space="preserve"> </w:t>
            </w:r>
          </w:p>
          <w:p w14:paraId="32E23FCE" w14:textId="0C5F2C60" w:rsidR="008108FA" w:rsidRPr="00845D1E" w:rsidRDefault="00A17288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powierzchnia całkowit</w:t>
            </w:r>
            <w:r w:rsidR="005F2848" w:rsidRPr="00845D1E">
              <w:rPr>
                <w:rFonts w:ascii="Times New Roman" w:hAnsi="Times New Roman"/>
                <w:spacing w:val="-2"/>
              </w:rPr>
              <w:t>a</w:t>
            </w:r>
            <w:r w:rsidR="008108FA" w:rsidRPr="00845D1E">
              <w:rPr>
                <w:rFonts w:ascii="Times New Roman" w:hAnsi="Times New Roman"/>
                <w:spacing w:val="-2"/>
              </w:rPr>
              <w:t xml:space="preserve"> wynosi ok</w:t>
            </w:r>
            <w:r w:rsidR="005F2848" w:rsidRPr="00845D1E">
              <w:rPr>
                <w:rFonts w:ascii="Times New Roman" w:hAnsi="Times New Roman"/>
                <w:spacing w:val="-2"/>
              </w:rPr>
              <w:t>.</w:t>
            </w:r>
            <w:r w:rsidR="008108FA" w:rsidRPr="00845D1E">
              <w:rPr>
                <w:rFonts w:ascii="Times New Roman" w:hAnsi="Times New Roman"/>
                <w:spacing w:val="-2"/>
              </w:rPr>
              <w:t xml:space="preserve"> 18 000 </w:t>
            </w:r>
            <w:r w:rsidR="00065489">
              <w:rPr>
                <w:rFonts w:ascii="Times New Roman" w:hAnsi="Times New Roman"/>
                <w:spacing w:val="-2"/>
              </w:rPr>
              <w:t>m²</w:t>
            </w:r>
            <w:r w:rsidR="008108FA" w:rsidRPr="00845D1E">
              <w:rPr>
                <w:rFonts w:ascii="Times New Roman" w:hAnsi="Times New Roman"/>
                <w:spacing w:val="-2"/>
              </w:rPr>
              <w:t xml:space="preserve"> – koszt wynosi 16 666 zł za </w:t>
            </w:r>
            <w:r w:rsidR="00065489">
              <w:rPr>
                <w:rFonts w:ascii="Times New Roman" w:hAnsi="Times New Roman"/>
                <w:spacing w:val="-2"/>
              </w:rPr>
              <w:t>m²</w:t>
            </w:r>
          </w:p>
          <w:p w14:paraId="2CB69768" w14:textId="528BDAF0" w:rsidR="008108FA" w:rsidRPr="00845D1E" w:rsidRDefault="00A17288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powierzchni</w:t>
            </w:r>
            <w:r w:rsidR="005F2848" w:rsidRPr="00845D1E">
              <w:rPr>
                <w:rFonts w:ascii="Times New Roman" w:hAnsi="Times New Roman"/>
                <w:spacing w:val="-2"/>
              </w:rPr>
              <w:t>a</w:t>
            </w:r>
            <w:r w:rsidR="008108FA" w:rsidRPr="00845D1E">
              <w:rPr>
                <w:rFonts w:ascii="Times New Roman" w:hAnsi="Times New Roman"/>
                <w:spacing w:val="-2"/>
              </w:rPr>
              <w:t xml:space="preserve"> użytkowa </w:t>
            </w:r>
            <w:r w:rsidR="005F2848" w:rsidRPr="00845D1E">
              <w:rPr>
                <w:rFonts w:ascii="Times New Roman" w:hAnsi="Times New Roman"/>
                <w:spacing w:val="-2"/>
              </w:rPr>
              <w:t xml:space="preserve">wynosi </w:t>
            </w:r>
            <w:r w:rsidR="008108FA" w:rsidRPr="00845D1E">
              <w:rPr>
                <w:rFonts w:ascii="Times New Roman" w:hAnsi="Times New Roman"/>
                <w:spacing w:val="-2"/>
              </w:rPr>
              <w:t>ok</w:t>
            </w:r>
            <w:r w:rsidR="005F2848" w:rsidRPr="00845D1E">
              <w:rPr>
                <w:rFonts w:ascii="Times New Roman" w:hAnsi="Times New Roman"/>
                <w:spacing w:val="-2"/>
              </w:rPr>
              <w:t>.</w:t>
            </w:r>
            <w:r w:rsidR="008108FA" w:rsidRPr="00845D1E">
              <w:rPr>
                <w:rFonts w:ascii="Times New Roman" w:hAnsi="Times New Roman"/>
                <w:spacing w:val="-2"/>
              </w:rPr>
              <w:t xml:space="preserve"> 13 000 </w:t>
            </w:r>
            <w:r w:rsidR="00065489">
              <w:rPr>
                <w:rFonts w:ascii="Times New Roman" w:hAnsi="Times New Roman"/>
                <w:spacing w:val="-2"/>
              </w:rPr>
              <w:t>m²</w:t>
            </w:r>
            <w:r w:rsidR="008108FA" w:rsidRPr="00845D1E">
              <w:rPr>
                <w:rFonts w:ascii="Times New Roman" w:hAnsi="Times New Roman"/>
                <w:spacing w:val="-2"/>
              </w:rPr>
              <w:t xml:space="preserve"> – koszt wynosi  23 076,92 zł za </w:t>
            </w:r>
            <w:r w:rsidR="00065489">
              <w:rPr>
                <w:rFonts w:ascii="Times New Roman" w:hAnsi="Times New Roman"/>
                <w:spacing w:val="-2"/>
              </w:rPr>
              <w:t>m²</w:t>
            </w:r>
          </w:p>
          <w:p w14:paraId="73DB34E3" w14:textId="5A5B1874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 xml:space="preserve">Koszt siedziby Orkiestry </w:t>
            </w:r>
            <w:proofErr w:type="spellStart"/>
            <w:r w:rsidRPr="00845D1E">
              <w:rPr>
                <w:rFonts w:ascii="Times New Roman" w:hAnsi="Times New Roman"/>
                <w:spacing w:val="-2"/>
              </w:rPr>
              <w:t>Sinfonia</w:t>
            </w:r>
            <w:proofErr w:type="spellEnd"/>
            <w:r w:rsidRPr="00845D1E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845D1E">
              <w:rPr>
                <w:rFonts w:ascii="Times New Roman" w:hAnsi="Times New Roman"/>
                <w:spacing w:val="-2"/>
              </w:rPr>
              <w:t>Varsovia</w:t>
            </w:r>
            <w:proofErr w:type="spellEnd"/>
            <w:r w:rsidRPr="00845D1E">
              <w:rPr>
                <w:rFonts w:ascii="Times New Roman" w:hAnsi="Times New Roman"/>
                <w:spacing w:val="-2"/>
              </w:rPr>
              <w:t xml:space="preserve"> w stolicy, której otwarcie jest przewidziane na 2026 r</w:t>
            </w:r>
            <w:r w:rsidR="005F2848" w:rsidRPr="00845D1E">
              <w:rPr>
                <w:rFonts w:ascii="Times New Roman" w:hAnsi="Times New Roman"/>
                <w:spacing w:val="-2"/>
              </w:rPr>
              <w:t>.</w:t>
            </w:r>
            <w:r w:rsidRPr="00845D1E">
              <w:rPr>
                <w:rFonts w:ascii="Times New Roman" w:hAnsi="Times New Roman"/>
                <w:spacing w:val="-2"/>
              </w:rPr>
              <w:t>, jest szacowany na 660 000 000 zł.</w:t>
            </w:r>
          </w:p>
          <w:p w14:paraId="3B88ECF0" w14:textId="1C4A0062" w:rsidR="008108FA" w:rsidRPr="00845D1E" w:rsidRDefault="008108FA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45D1E">
              <w:rPr>
                <w:rFonts w:ascii="Times New Roman" w:hAnsi="Times New Roman"/>
                <w:spacing w:val="-2"/>
              </w:rPr>
              <w:t xml:space="preserve">Powierzchnia 20 000 </w:t>
            </w:r>
            <w:r w:rsidR="00065489">
              <w:rPr>
                <w:rFonts w:ascii="Times New Roman" w:hAnsi="Times New Roman"/>
                <w:spacing w:val="-2"/>
              </w:rPr>
              <w:t>m²</w:t>
            </w:r>
            <w:r w:rsidRPr="00845D1E">
              <w:rPr>
                <w:rFonts w:ascii="Times New Roman" w:hAnsi="Times New Roman"/>
                <w:spacing w:val="-2"/>
              </w:rPr>
              <w:t xml:space="preserve"> – koszt wynosi 33 000 zł za </w:t>
            </w:r>
            <w:r w:rsidR="00065489">
              <w:rPr>
                <w:rFonts w:ascii="Times New Roman" w:hAnsi="Times New Roman"/>
                <w:spacing w:val="-2"/>
              </w:rPr>
              <w:t>m²</w:t>
            </w:r>
            <w:r w:rsidRPr="00845D1E">
              <w:rPr>
                <w:rFonts w:ascii="Times New Roman" w:hAnsi="Times New Roman"/>
                <w:spacing w:val="-2"/>
              </w:rPr>
              <w:t>.</w:t>
            </w:r>
          </w:p>
          <w:p w14:paraId="0EF6926D" w14:textId="5DFD7D3A" w:rsidR="008108FA" w:rsidRPr="00845D1E" w:rsidRDefault="00A17288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–</w:t>
            </w:r>
            <w:r w:rsidR="006B3BA9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Narodowe Forum Muzyki we Wrocławiu (2016) – 331 483 364 zł,</w:t>
            </w:r>
          </w:p>
          <w:p w14:paraId="245C0DE8" w14:textId="60BA0930" w:rsidR="008108FA" w:rsidRPr="00845D1E" w:rsidRDefault="00A17288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 xml:space="preserve">Filharmonia Gorzowska (2011) – 138 000 000 zł, </w:t>
            </w:r>
          </w:p>
          <w:p w14:paraId="7A8E3A7F" w14:textId="5BFF5E96" w:rsidR="008108FA" w:rsidRPr="00845D1E" w:rsidRDefault="00A17288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 xml:space="preserve">Filharmonia Szczecińska im. Mieczysława Karłowicza (2015) – 113 381 000 zł, </w:t>
            </w:r>
          </w:p>
          <w:p w14:paraId="6B3E697A" w14:textId="1E1100BD" w:rsidR="00BF777A" w:rsidRPr="00845D1E" w:rsidRDefault="00A17288" w:rsidP="008108FA">
            <w:pPr>
              <w:spacing w:before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–</w:t>
            </w:r>
            <w:r w:rsidR="006B3BA9">
              <w:rPr>
                <w:rFonts w:ascii="Times New Roman" w:hAnsi="Times New Roman"/>
                <w:spacing w:val="-2"/>
              </w:rPr>
              <w:t xml:space="preserve"> </w:t>
            </w:r>
            <w:r w:rsidR="008108FA" w:rsidRPr="00845D1E">
              <w:rPr>
                <w:rFonts w:ascii="Times New Roman" w:hAnsi="Times New Roman"/>
                <w:spacing w:val="-2"/>
              </w:rPr>
              <w:t>Europejskie Centrum Muzyki Krzysztofa Pendereckiego w Lusławicach (2013) – 65 079 000 zł</w:t>
            </w:r>
            <w:r w:rsidR="005F2848" w:rsidRPr="00845D1E">
              <w:rPr>
                <w:rFonts w:ascii="Times New Roman" w:hAnsi="Times New Roman"/>
                <w:spacing w:val="-2"/>
              </w:rPr>
              <w:t>.</w:t>
            </w:r>
          </w:p>
          <w:p w14:paraId="75384032" w14:textId="3B721924" w:rsidR="002D2C7C" w:rsidRPr="00845D1E" w:rsidRDefault="002D2C7C" w:rsidP="008108FA">
            <w:pPr>
              <w:spacing w:before="120" w:line="240" w:lineRule="auto"/>
              <w:jc w:val="both"/>
              <w:rPr>
                <w:rFonts w:ascii="Times New Roman" w:hAnsi="Times New Roman"/>
                <w:b/>
                <w:bCs/>
                <w:spacing w:val="-2"/>
              </w:rPr>
            </w:pPr>
            <w:r w:rsidRPr="00845D1E">
              <w:rPr>
                <w:rFonts w:ascii="Times New Roman" w:hAnsi="Times New Roman"/>
                <w:b/>
                <w:bCs/>
                <w:spacing w:val="-2"/>
              </w:rPr>
              <w:t>Informacja o wkładzie własnym</w:t>
            </w:r>
          </w:p>
          <w:p w14:paraId="31BE6B18" w14:textId="233B55DE" w:rsidR="00652B4D" w:rsidRPr="00EA6CB2" w:rsidRDefault="002D2C7C" w:rsidP="002D2C7C">
            <w:pPr>
              <w:jc w:val="both"/>
              <w:rPr>
                <w:rFonts w:ascii="Times New Roman" w:hAnsi="Times New Roman"/>
              </w:rPr>
            </w:pPr>
            <w:r w:rsidRPr="00845D1E">
              <w:rPr>
                <w:rFonts w:ascii="Times New Roman" w:hAnsi="Times New Roman"/>
              </w:rPr>
              <w:t>A</w:t>
            </w:r>
            <w:r w:rsidR="00EA6CB2">
              <w:rPr>
                <w:rFonts w:ascii="Times New Roman" w:hAnsi="Times New Roman"/>
              </w:rPr>
              <w:t>MKP</w:t>
            </w:r>
            <w:r w:rsidRPr="00845D1E">
              <w:rPr>
                <w:rFonts w:ascii="Times New Roman" w:hAnsi="Times New Roman"/>
              </w:rPr>
              <w:t xml:space="preserve"> partycypowała w kosztach prac przygotowawczych oraz w nakładach poniesionych na</w:t>
            </w:r>
            <w:r w:rsidR="006237CE">
              <w:rPr>
                <w:rFonts w:ascii="Times New Roman" w:hAnsi="Times New Roman"/>
              </w:rPr>
              <w:t> </w:t>
            </w:r>
            <w:r w:rsidRPr="00845D1E">
              <w:rPr>
                <w:rFonts w:ascii="Times New Roman" w:hAnsi="Times New Roman"/>
              </w:rPr>
              <w:t xml:space="preserve">sporządzenie kompletnego projektu wykonawczego wraz z uzyskaniem pozwolenia na budowę. </w:t>
            </w:r>
            <w:r w:rsidR="00065489">
              <w:rPr>
                <w:rFonts w:ascii="Times New Roman" w:hAnsi="Times New Roman"/>
              </w:rPr>
              <w:t>Wysokość nakładów poniesionych ze środków własnych AMKP wynosiła 26%</w:t>
            </w:r>
            <w:r w:rsidR="00467CE7">
              <w:rPr>
                <w:rFonts w:ascii="Times New Roman" w:hAnsi="Times New Roman"/>
              </w:rPr>
              <w:t xml:space="preserve"> całkowitych kosztów</w:t>
            </w:r>
            <w:r w:rsidR="00065489">
              <w:rPr>
                <w:rFonts w:ascii="Times New Roman" w:hAnsi="Times New Roman"/>
              </w:rPr>
              <w:t>.</w:t>
            </w:r>
          </w:p>
          <w:p w14:paraId="382EBC37" w14:textId="06700B7B" w:rsidR="00652B4D" w:rsidRPr="00845D1E" w:rsidRDefault="00652B4D" w:rsidP="00EA6CB2">
            <w:pPr>
              <w:spacing w:before="12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45D1E">
              <w:rPr>
                <w:rFonts w:ascii="Times New Roman" w:hAnsi="Times New Roman"/>
                <w:b/>
                <w:bCs/>
              </w:rPr>
              <w:t>Przewidywane wpływy z wynajmu i ewentualnej sprzedaży dotychczasowych nieruchomości AMKP oraz z komercyjnego wykorzystywania nowych powierzchni</w:t>
            </w:r>
          </w:p>
          <w:p w14:paraId="38E96832" w14:textId="1681761D" w:rsidR="002D2C7C" w:rsidRDefault="00652B4D" w:rsidP="00845D1E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845D1E">
              <w:rPr>
                <w:rFonts w:ascii="Times New Roman" w:hAnsi="Times New Roman"/>
              </w:rPr>
              <w:t>Przewidywany przychód roczny z tytułu najmu obecnej siedziby AMKP szacowany jest na 720 000 zł. Wpływ z ewentualnej sprzedaży budynku po dawnej szkole muzycznej zlokalizowanego przy ul.</w:t>
            </w:r>
            <w:r w:rsidR="006237CE">
              <w:rPr>
                <w:rFonts w:ascii="Times New Roman" w:hAnsi="Times New Roman"/>
              </w:rPr>
              <w:t> </w:t>
            </w:r>
            <w:r w:rsidRPr="00845D1E">
              <w:rPr>
                <w:rFonts w:ascii="Times New Roman" w:hAnsi="Times New Roman"/>
              </w:rPr>
              <w:t>A.</w:t>
            </w:r>
            <w:r w:rsidR="006237CE">
              <w:rPr>
                <w:rFonts w:ascii="Times New Roman" w:hAnsi="Times New Roman"/>
              </w:rPr>
              <w:t> </w:t>
            </w:r>
            <w:r w:rsidRPr="00845D1E">
              <w:rPr>
                <w:rFonts w:ascii="Times New Roman" w:hAnsi="Times New Roman"/>
              </w:rPr>
              <w:t>Potebni, z uwzględnieniem jego lokalizacji i stanu, na podstawie średnich cen rynkowych obowiązujących w dzielnicy Podgórze, szacowany jest na 7 000 000 zł.</w:t>
            </w:r>
            <w:r w:rsidRPr="00845D1E">
              <w:rPr>
                <w:rFonts w:ascii="Times New Roman" w:eastAsiaTheme="minorHAnsi" w:hAnsi="Times New Roman"/>
              </w:rPr>
              <w:t xml:space="preserve"> </w:t>
            </w:r>
            <w:r w:rsidRPr="00845D1E">
              <w:rPr>
                <w:rFonts w:ascii="Times New Roman" w:hAnsi="Times New Roman"/>
              </w:rPr>
              <w:t xml:space="preserve">Na główne powierzchnie, które </w:t>
            </w:r>
            <w:r w:rsidRPr="00845D1E">
              <w:rPr>
                <w:rFonts w:ascii="Times New Roman" w:hAnsi="Times New Roman"/>
              </w:rPr>
              <w:lastRenderedPageBreak/>
              <w:t>mogą być wykorzystywane komercyjnie</w:t>
            </w:r>
            <w:r w:rsidR="00313297">
              <w:rPr>
                <w:rFonts w:ascii="Times New Roman" w:hAnsi="Times New Roman"/>
              </w:rPr>
              <w:t>,</w:t>
            </w:r>
            <w:r w:rsidRPr="00845D1E">
              <w:rPr>
                <w:rFonts w:ascii="Times New Roman" w:hAnsi="Times New Roman"/>
              </w:rPr>
              <w:t xml:space="preserve"> składa się blisko 2 994 </w:t>
            </w:r>
            <w:r w:rsidR="00065489">
              <w:rPr>
                <w:rFonts w:ascii="Times New Roman" w:hAnsi="Times New Roman"/>
              </w:rPr>
              <w:t>m²</w:t>
            </w:r>
            <w:r w:rsidRPr="00845D1E">
              <w:rPr>
                <w:rFonts w:ascii="Times New Roman" w:hAnsi="Times New Roman"/>
              </w:rPr>
              <w:t xml:space="preserve">. </w:t>
            </w:r>
            <w:r w:rsidR="00313297">
              <w:rPr>
                <w:rFonts w:ascii="Times New Roman" w:hAnsi="Times New Roman"/>
              </w:rPr>
              <w:t>AMKP</w:t>
            </w:r>
            <w:r w:rsidRPr="00845D1E">
              <w:rPr>
                <w:rFonts w:ascii="Times New Roman" w:hAnsi="Times New Roman"/>
              </w:rPr>
              <w:t xml:space="preserve"> zakłada, że najbardziej dochodowe będą powierzchnie specjalistyczne, których w istocie brakuje w mieście i regionie, takie jak nowoczesna komora nagrań, reżyserki nagraniowo-montażowe i dydaktyczne. W Krakowie brakuje również profesjonalnej </w:t>
            </w:r>
            <w:r w:rsidR="00313297">
              <w:rPr>
                <w:rFonts w:ascii="Times New Roman" w:hAnsi="Times New Roman"/>
              </w:rPr>
              <w:t>s</w:t>
            </w:r>
            <w:r w:rsidRPr="00845D1E">
              <w:rPr>
                <w:rFonts w:ascii="Times New Roman" w:hAnsi="Times New Roman"/>
              </w:rPr>
              <w:t xml:space="preserve">ali koncertowej czy </w:t>
            </w:r>
            <w:proofErr w:type="spellStart"/>
            <w:r w:rsidRPr="00845D1E">
              <w:rPr>
                <w:rFonts w:ascii="Times New Roman" w:hAnsi="Times New Roman"/>
              </w:rPr>
              <w:t>sal</w:t>
            </w:r>
            <w:proofErr w:type="spellEnd"/>
            <w:r w:rsidRPr="00845D1E">
              <w:rPr>
                <w:rFonts w:ascii="Times New Roman" w:hAnsi="Times New Roman"/>
              </w:rPr>
              <w:t xml:space="preserve"> prób orkiestr. Na terenie obiektów AMKP zaprojektowano również komercyjne powierzchnie pracy twórczej oraz infrastrukturę gastronomiczną dostępną </w:t>
            </w:r>
            <w:r w:rsidR="00313297">
              <w:rPr>
                <w:rFonts w:ascii="Times New Roman" w:hAnsi="Times New Roman"/>
              </w:rPr>
              <w:t>także</w:t>
            </w:r>
            <w:r w:rsidRPr="00845D1E">
              <w:rPr>
                <w:rFonts w:ascii="Times New Roman" w:hAnsi="Times New Roman"/>
              </w:rPr>
              <w:t xml:space="preserve"> dla społeczności lokalnej. </w:t>
            </w:r>
          </w:p>
          <w:p w14:paraId="1F491D62" w14:textId="734E18FC" w:rsidR="004C1145" w:rsidRDefault="004C1145" w:rsidP="00845D1E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4C1145">
              <w:rPr>
                <w:rFonts w:ascii="Times New Roman" w:hAnsi="Times New Roman"/>
              </w:rPr>
              <w:t xml:space="preserve">W ramach założeń do modelu finansowego inwestycji uwzględniono wymogi wynikające z art. 133b ust. 1 ustawy </w:t>
            </w:r>
            <w:r w:rsidR="00A93BCA">
              <w:rPr>
                <w:rFonts w:ascii="Times New Roman" w:hAnsi="Times New Roman"/>
              </w:rPr>
              <w:t xml:space="preserve">z dnia 27 sierpnia 2009 r. </w:t>
            </w:r>
            <w:r w:rsidRPr="004C1145">
              <w:rPr>
                <w:rFonts w:ascii="Times New Roman" w:hAnsi="Times New Roman"/>
              </w:rPr>
              <w:t xml:space="preserve">o finansach publicznych. Projekt realizowany przez </w:t>
            </w:r>
            <w:r>
              <w:rPr>
                <w:rFonts w:ascii="Times New Roman" w:hAnsi="Times New Roman"/>
              </w:rPr>
              <w:t>AM</w:t>
            </w:r>
            <w:r w:rsidR="00186502">
              <w:rPr>
                <w:rFonts w:ascii="Times New Roman" w:hAnsi="Times New Roman"/>
              </w:rPr>
              <w:t>KP</w:t>
            </w:r>
            <w:r w:rsidRPr="004C1145">
              <w:rPr>
                <w:rFonts w:ascii="Times New Roman" w:hAnsi="Times New Roman"/>
              </w:rPr>
              <w:t xml:space="preserve"> (podmiot publiczny), którego wartość wynosi 795 700 tys. zł i jest finansowana ze środków budżetu państwa, przekracza ustawowy próg 500 mln zł oraz nie podlega </w:t>
            </w:r>
            <w:proofErr w:type="spellStart"/>
            <w:r w:rsidRPr="004C1145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>y</w:t>
            </w:r>
            <w:r w:rsidRPr="004C1145">
              <w:rPr>
                <w:rFonts w:ascii="Times New Roman" w:hAnsi="Times New Roman"/>
              </w:rPr>
              <w:t>łą</w:t>
            </w:r>
            <w:r>
              <w:rPr>
                <w:rFonts w:ascii="Times New Roman" w:hAnsi="Times New Roman"/>
              </w:rPr>
              <w:t>c</w:t>
            </w:r>
            <w:r w:rsidRPr="004C1145">
              <w:rPr>
                <w:rFonts w:ascii="Times New Roman" w:hAnsi="Times New Roman"/>
              </w:rPr>
              <w:t>zeniom</w:t>
            </w:r>
            <w:proofErr w:type="spellEnd"/>
            <w:r w:rsidRPr="004C1145">
              <w:rPr>
                <w:rFonts w:ascii="Times New Roman" w:hAnsi="Times New Roman"/>
              </w:rPr>
              <w:t xml:space="preserve"> przewidzianym w ust. 2 tej ustawy.</w:t>
            </w:r>
          </w:p>
          <w:p w14:paraId="2DDEE539" w14:textId="7C6B9F0B" w:rsidR="00F00291" w:rsidRPr="00845D1E" w:rsidRDefault="004C1145" w:rsidP="004C1145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</w:rPr>
            </w:pPr>
            <w:r w:rsidRPr="004C1145">
              <w:rPr>
                <w:rFonts w:ascii="Times New Roman" w:hAnsi="Times New Roman"/>
              </w:rPr>
              <w:t>W związku z tym przyjęto założenie o obowiązku przeprowadzenia tzw. testu PPP (oceny efektywności realizacji inwestycji w formule partnerstwa publiczno-prywatnego) oraz wystąpienia o stosowną opinię do ministra właściwego ds. rozwoju regionalnego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C6E02" w:rsidRPr="00D129C5" w14:paraId="78D577ED" w14:textId="77777777" w:rsidTr="00785D37">
        <w:trPr>
          <w:gridAfter w:val="1"/>
          <w:wAfter w:w="10" w:type="dxa"/>
          <w:trHeight w:val="345"/>
        </w:trPr>
        <w:tc>
          <w:tcPr>
            <w:tcW w:w="11333" w:type="dxa"/>
            <w:gridSpan w:val="21"/>
            <w:shd w:val="clear" w:color="auto" w:fill="99CCFF"/>
          </w:tcPr>
          <w:p w14:paraId="0A22EC72" w14:textId="77777777" w:rsidR="000C6E02" w:rsidRPr="00D129C5" w:rsidRDefault="000C6E02" w:rsidP="00CE73F6">
            <w:pPr>
              <w:numPr>
                <w:ilvl w:val="0"/>
                <w:numId w:val="34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b/>
                <w:color w:val="000000"/>
                <w:spacing w:val="-2"/>
              </w:rPr>
              <w:lastRenderedPageBreak/>
              <w:t xml:space="preserve">Wpływ na </w:t>
            </w:r>
            <w:r w:rsidRPr="00D129C5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0C6E02" w:rsidRPr="00D129C5" w14:paraId="6D1CA8E1" w14:textId="77777777" w:rsidTr="00785D37">
        <w:trPr>
          <w:gridAfter w:val="1"/>
          <w:wAfter w:w="10" w:type="dxa"/>
          <w:trHeight w:val="142"/>
        </w:trPr>
        <w:tc>
          <w:tcPr>
            <w:tcW w:w="11333" w:type="dxa"/>
            <w:gridSpan w:val="21"/>
            <w:shd w:val="clear" w:color="auto" w:fill="FFFFFF"/>
          </w:tcPr>
          <w:p w14:paraId="3066A6E0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Skutki</w:t>
            </w:r>
          </w:p>
        </w:tc>
      </w:tr>
      <w:tr w:rsidR="000C6E02" w:rsidRPr="00D129C5" w14:paraId="12A5ECEC" w14:textId="77777777" w:rsidTr="00845D1E">
        <w:trPr>
          <w:trHeight w:val="142"/>
        </w:trPr>
        <w:tc>
          <w:tcPr>
            <w:tcW w:w="4285" w:type="dxa"/>
            <w:gridSpan w:val="6"/>
            <w:shd w:val="clear" w:color="auto" w:fill="FFFFFF"/>
          </w:tcPr>
          <w:p w14:paraId="7F87A0D7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236" w:type="dxa"/>
            <w:gridSpan w:val="2"/>
            <w:shd w:val="clear" w:color="auto" w:fill="FFFFFF"/>
          </w:tcPr>
          <w:p w14:paraId="113267E5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639" w:type="dxa"/>
            <w:gridSpan w:val="3"/>
            <w:shd w:val="clear" w:color="auto" w:fill="FFFFFF"/>
          </w:tcPr>
          <w:p w14:paraId="55C8858C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0" w:type="dxa"/>
            <w:gridSpan w:val="3"/>
            <w:shd w:val="clear" w:color="auto" w:fill="FFFFFF"/>
          </w:tcPr>
          <w:p w14:paraId="08B81F09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1A8B4136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6B517D25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65" w:type="dxa"/>
            <w:gridSpan w:val="2"/>
            <w:shd w:val="clear" w:color="auto" w:fill="FFFFFF"/>
          </w:tcPr>
          <w:p w14:paraId="303AEE0D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55" w:type="dxa"/>
            <w:gridSpan w:val="3"/>
            <w:shd w:val="clear" w:color="auto" w:fill="FFFFFF"/>
          </w:tcPr>
          <w:p w14:paraId="5FCB3B11" w14:textId="77777777" w:rsidR="000C6E02" w:rsidRPr="00D129C5" w:rsidRDefault="000C6E02" w:rsidP="00D129C5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Pr="00D129C5" w:rsidDel="0073273A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 w:rsidRPr="00D129C5">
              <w:rPr>
                <w:rFonts w:ascii="Times New Roman" w:hAnsi="Times New Roman"/>
                <w:i/>
                <w:color w:val="000000"/>
                <w:spacing w:val="-2"/>
              </w:rPr>
              <w:t>(0-10)</w:t>
            </w:r>
          </w:p>
        </w:tc>
      </w:tr>
      <w:tr w:rsidR="000C6E02" w:rsidRPr="00D129C5" w14:paraId="6A68E8F9" w14:textId="77777777" w:rsidTr="00845D1E">
        <w:trPr>
          <w:trHeight w:val="142"/>
        </w:trPr>
        <w:tc>
          <w:tcPr>
            <w:tcW w:w="1992" w:type="dxa"/>
            <w:gridSpan w:val="2"/>
            <w:vMerge w:val="restart"/>
            <w:shd w:val="clear" w:color="auto" w:fill="FFFFFF"/>
          </w:tcPr>
          <w:p w14:paraId="027EC2E0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W ujęciu pieniężnym</w:t>
            </w:r>
          </w:p>
          <w:p w14:paraId="5406B423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D129C5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2039755E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2293" w:type="dxa"/>
            <w:gridSpan w:val="4"/>
            <w:shd w:val="clear" w:color="auto" w:fill="FFFFFF"/>
          </w:tcPr>
          <w:p w14:paraId="575848AD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236" w:type="dxa"/>
            <w:gridSpan w:val="2"/>
            <w:shd w:val="clear" w:color="auto" w:fill="FFFFFF"/>
          </w:tcPr>
          <w:p w14:paraId="70E8F128" w14:textId="77777777" w:rsidR="000C6E02" w:rsidRPr="00D129C5" w:rsidRDefault="002267F4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639" w:type="dxa"/>
            <w:gridSpan w:val="3"/>
            <w:shd w:val="clear" w:color="auto" w:fill="FFFFFF"/>
          </w:tcPr>
          <w:p w14:paraId="33788358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gridSpan w:val="3"/>
            <w:shd w:val="clear" w:color="auto" w:fill="FFFFFF"/>
          </w:tcPr>
          <w:p w14:paraId="31538B88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6D1C9B99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7D8A2973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65" w:type="dxa"/>
            <w:gridSpan w:val="2"/>
            <w:shd w:val="clear" w:color="auto" w:fill="FFFFFF"/>
          </w:tcPr>
          <w:p w14:paraId="38651E22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55" w:type="dxa"/>
            <w:gridSpan w:val="3"/>
            <w:shd w:val="clear" w:color="auto" w:fill="FFFFFF"/>
          </w:tcPr>
          <w:p w14:paraId="1A41D3D9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0C6E02" w:rsidRPr="00D129C5" w14:paraId="52EAE748" w14:textId="77777777" w:rsidTr="00845D1E">
        <w:trPr>
          <w:trHeight w:val="142"/>
        </w:trPr>
        <w:tc>
          <w:tcPr>
            <w:tcW w:w="1992" w:type="dxa"/>
            <w:gridSpan w:val="2"/>
            <w:vMerge/>
            <w:shd w:val="clear" w:color="auto" w:fill="FFFFFF"/>
          </w:tcPr>
          <w:p w14:paraId="55BE7AB0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4"/>
            <w:shd w:val="clear" w:color="auto" w:fill="FFFFFF"/>
          </w:tcPr>
          <w:p w14:paraId="077590CD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236" w:type="dxa"/>
            <w:gridSpan w:val="2"/>
            <w:shd w:val="clear" w:color="auto" w:fill="FFFFFF"/>
          </w:tcPr>
          <w:p w14:paraId="4440BA4D" w14:textId="77777777" w:rsidR="000C6E02" w:rsidRPr="00D129C5" w:rsidRDefault="002267F4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639" w:type="dxa"/>
            <w:gridSpan w:val="3"/>
            <w:shd w:val="clear" w:color="auto" w:fill="FFFFFF"/>
          </w:tcPr>
          <w:p w14:paraId="0237EDCC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gridSpan w:val="3"/>
            <w:shd w:val="clear" w:color="auto" w:fill="FFFFFF"/>
          </w:tcPr>
          <w:p w14:paraId="36AA6C13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4300DAE3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12DA19F9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65" w:type="dxa"/>
            <w:gridSpan w:val="2"/>
            <w:shd w:val="clear" w:color="auto" w:fill="FFFFFF"/>
          </w:tcPr>
          <w:p w14:paraId="54232153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55" w:type="dxa"/>
            <w:gridSpan w:val="3"/>
            <w:shd w:val="clear" w:color="auto" w:fill="FFFFFF"/>
          </w:tcPr>
          <w:p w14:paraId="62C24C02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0C6E02" w:rsidRPr="00D129C5" w14:paraId="6AFD1851" w14:textId="77777777" w:rsidTr="00845D1E">
        <w:trPr>
          <w:trHeight w:val="142"/>
        </w:trPr>
        <w:tc>
          <w:tcPr>
            <w:tcW w:w="1992" w:type="dxa"/>
            <w:gridSpan w:val="2"/>
            <w:vMerge/>
            <w:shd w:val="clear" w:color="auto" w:fill="FFFFFF"/>
          </w:tcPr>
          <w:p w14:paraId="18B786FB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4"/>
            <w:shd w:val="clear" w:color="auto" w:fill="FFFFFF"/>
          </w:tcPr>
          <w:p w14:paraId="53C20C25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236" w:type="dxa"/>
            <w:gridSpan w:val="2"/>
            <w:shd w:val="clear" w:color="auto" w:fill="FFFFFF"/>
          </w:tcPr>
          <w:p w14:paraId="5658D3C9" w14:textId="77777777" w:rsidR="000C6E02" w:rsidRPr="00D129C5" w:rsidRDefault="002267F4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639" w:type="dxa"/>
            <w:gridSpan w:val="3"/>
            <w:shd w:val="clear" w:color="auto" w:fill="FFFFFF"/>
          </w:tcPr>
          <w:p w14:paraId="28C1B8E3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70" w:type="dxa"/>
            <w:gridSpan w:val="3"/>
            <w:shd w:val="clear" w:color="auto" w:fill="FFFFFF"/>
          </w:tcPr>
          <w:p w14:paraId="2ADEA167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39E2A417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46BDDE9F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65" w:type="dxa"/>
            <w:gridSpan w:val="2"/>
            <w:shd w:val="clear" w:color="auto" w:fill="FFFFFF"/>
          </w:tcPr>
          <w:p w14:paraId="7D12528C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55" w:type="dxa"/>
            <w:gridSpan w:val="3"/>
            <w:shd w:val="clear" w:color="auto" w:fill="FFFFFF"/>
          </w:tcPr>
          <w:p w14:paraId="42F5CE6E" w14:textId="77777777" w:rsidR="000C6E02" w:rsidRPr="00D129C5" w:rsidRDefault="002267F4" w:rsidP="00D129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0C6E02" w:rsidRPr="00D129C5" w14:paraId="0EF6A40F" w14:textId="77777777" w:rsidTr="00785D37">
        <w:trPr>
          <w:gridAfter w:val="1"/>
          <w:wAfter w:w="10" w:type="dxa"/>
          <w:trHeight w:val="142"/>
        </w:trPr>
        <w:tc>
          <w:tcPr>
            <w:tcW w:w="1992" w:type="dxa"/>
            <w:gridSpan w:val="2"/>
            <w:vMerge w:val="restart"/>
            <w:shd w:val="clear" w:color="auto" w:fill="FFFFFF"/>
          </w:tcPr>
          <w:p w14:paraId="0A9ACAC6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2293" w:type="dxa"/>
            <w:gridSpan w:val="4"/>
            <w:shd w:val="clear" w:color="auto" w:fill="FFFFFF"/>
          </w:tcPr>
          <w:p w14:paraId="6F61BE68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7048" w:type="dxa"/>
            <w:gridSpan w:val="15"/>
            <w:shd w:val="clear" w:color="auto" w:fill="FFFFFF"/>
          </w:tcPr>
          <w:p w14:paraId="13D289A1" w14:textId="77777777" w:rsidR="000C6E02" w:rsidRPr="00D129C5" w:rsidRDefault="00C620C0" w:rsidP="00D129C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Współpraca z firmami badawczymi, studiami nagrań, czy sektorem przemysłów kreatywnych.</w:t>
            </w:r>
          </w:p>
        </w:tc>
      </w:tr>
      <w:tr w:rsidR="000C6E02" w:rsidRPr="00D129C5" w14:paraId="268F13F7" w14:textId="77777777" w:rsidTr="00785D37">
        <w:trPr>
          <w:gridAfter w:val="1"/>
          <w:wAfter w:w="10" w:type="dxa"/>
          <w:trHeight w:val="142"/>
        </w:trPr>
        <w:tc>
          <w:tcPr>
            <w:tcW w:w="1992" w:type="dxa"/>
            <w:gridSpan w:val="2"/>
            <w:vMerge/>
            <w:shd w:val="clear" w:color="auto" w:fill="FFFFFF"/>
          </w:tcPr>
          <w:p w14:paraId="27007A44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4"/>
            <w:shd w:val="clear" w:color="auto" w:fill="FFFFFF"/>
          </w:tcPr>
          <w:p w14:paraId="585F39A0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7048" w:type="dxa"/>
            <w:gridSpan w:val="15"/>
            <w:shd w:val="clear" w:color="auto" w:fill="FFFFFF"/>
          </w:tcPr>
          <w:p w14:paraId="58328E6F" w14:textId="77777777" w:rsidR="000C6E02" w:rsidRPr="00D129C5" w:rsidRDefault="00C620C0" w:rsidP="00D129C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Współpraca z firmami badawczymi, studiami nagrań, czy sektorem przemysłów kreatywnych.</w:t>
            </w:r>
          </w:p>
        </w:tc>
      </w:tr>
      <w:tr w:rsidR="000C6E02" w:rsidRPr="00D129C5" w14:paraId="14C539D9" w14:textId="77777777" w:rsidTr="00785D37">
        <w:trPr>
          <w:gridAfter w:val="1"/>
          <w:wAfter w:w="10" w:type="dxa"/>
          <w:trHeight w:val="596"/>
        </w:trPr>
        <w:tc>
          <w:tcPr>
            <w:tcW w:w="1992" w:type="dxa"/>
            <w:gridSpan w:val="2"/>
            <w:vMerge/>
            <w:shd w:val="clear" w:color="auto" w:fill="FFFFFF"/>
          </w:tcPr>
          <w:p w14:paraId="59FDA3D3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4"/>
            <w:shd w:val="clear" w:color="auto" w:fill="FFFFFF"/>
          </w:tcPr>
          <w:p w14:paraId="7282BF39" w14:textId="77777777" w:rsidR="000C6E02" w:rsidRPr="00D129C5" w:rsidRDefault="000C6E02" w:rsidP="00D129C5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</w:rPr>
              <w:t>rodzina, obywatele oraz gospodarstwa domowe</w:t>
            </w:r>
            <w:r w:rsidRPr="00D129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048" w:type="dxa"/>
            <w:gridSpan w:val="15"/>
            <w:shd w:val="clear" w:color="auto" w:fill="FFFFFF"/>
          </w:tcPr>
          <w:p w14:paraId="1CEEEB4A" w14:textId="49FD59FE" w:rsidR="000C6E02" w:rsidRPr="00D129C5" w:rsidRDefault="00C620C0" w:rsidP="0067022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Umożliwienie mieszkańcom korzystania</w:t>
            </w:r>
            <w:r w:rsidR="0067022A">
              <w:rPr>
                <w:rFonts w:ascii="Times New Roman" w:hAnsi="Times New Roman"/>
                <w:color w:val="000000"/>
                <w:spacing w:val="-2"/>
              </w:rPr>
              <w:t xml:space="preserve"> z oferty kulturalnej A</w:t>
            </w:r>
            <w:r w:rsidR="00CC3A6D">
              <w:rPr>
                <w:rFonts w:ascii="Times New Roman" w:hAnsi="Times New Roman"/>
                <w:color w:val="000000"/>
                <w:spacing w:val="-2"/>
              </w:rPr>
              <w:t>MKP</w:t>
            </w:r>
            <w:r w:rsidR="0067022A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561723">
              <w:rPr>
                <w:rFonts w:ascii="Times New Roman" w:hAnsi="Times New Roman"/>
                <w:color w:val="000000"/>
                <w:spacing w:val="-2"/>
              </w:rPr>
              <w:t xml:space="preserve"> Zwiększenie liczby studentów</w:t>
            </w:r>
          </w:p>
        </w:tc>
      </w:tr>
      <w:tr w:rsidR="000C6E02" w:rsidRPr="00D129C5" w14:paraId="14AB0BDC" w14:textId="77777777" w:rsidTr="00785D37">
        <w:trPr>
          <w:gridAfter w:val="1"/>
          <w:wAfter w:w="10" w:type="dxa"/>
          <w:trHeight w:val="240"/>
        </w:trPr>
        <w:tc>
          <w:tcPr>
            <w:tcW w:w="1992" w:type="dxa"/>
            <w:gridSpan w:val="2"/>
            <w:vMerge/>
            <w:shd w:val="clear" w:color="auto" w:fill="FFFFFF"/>
          </w:tcPr>
          <w:p w14:paraId="6D48E3A4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3" w:type="dxa"/>
            <w:gridSpan w:val="4"/>
            <w:shd w:val="clear" w:color="auto" w:fill="FFFFFF"/>
          </w:tcPr>
          <w:p w14:paraId="2051F20E" w14:textId="77777777" w:rsidR="000C6E02" w:rsidRPr="00D129C5" w:rsidRDefault="000C6E02" w:rsidP="00D129C5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</w:rPr>
            </w:pPr>
            <w:r w:rsidRPr="00D129C5">
              <w:rPr>
                <w:rFonts w:ascii="Times New Roman" w:hAnsi="Times New Roman"/>
              </w:rPr>
              <w:t>osoby z niepełnosprawnością, osoby starsze</w:t>
            </w:r>
          </w:p>
        </w:tc>
        <w:tc>
          <w:tcPr>
            <w:tcW w:w="7048" w:type="dxa"/>
            <w:gridSpan w:val="15"/>
            <w:shd w:val="clear" w:color="auto" w:fill="FFFFFF"/>
          </w:tcPr>
          <w:p w14:paraId="02BFD716" w14:textId="1C779D89" w:rsidR="000C6E02" w:rsidRPr="00D129C5" w:rsidRDefault="008E5C88" w:rsidP="008032C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8032C9">
              <w:rPr>
                <w:rFonts w:ascii="Times New Roman" w:hAnsi="Times New Roman"/>
              </w:rPr>
              <w:t xml:space="preserve">Projekt zakłada </w:t>
            </w:r>
            <w:r w:rsidR="008032C9" w:rsidRPr="008032C9">
              <w:rPr>
                <w:rFonts w:ascii="Times New Roman" w:hAnsi="Times New Roman"/>
              </w:rPr>
              <w:t>dostosowanie</w:t>
            </w:r>
            <w:r w:rsidRPr="008032C9">
              <w:rPr>
                <w:rFonts w:ascii="Times New Roman" w:hAnsi="Times New Roman"/>
              </w:rPr>
              <w:t xml:space="preserve"> dla potrzeb osób </w:t>
            </w:r>
            <w:r w:rsidR="00CC3A6D">
              <w:rPr>
                <w:rFonts w:ascii="Times New Roman" w:hAnsi="Times New Roman"/>
              </w:rPr>
              <w:t xml:space="preserve">z </w:t>
            </w:r>
            <w:r w:rsidRPr="008032C9">
              <w:rPr>
                <w:rFonts w:ascii="Times New Roman" w:hAnsi="Times New Roman"/>
              </w:rPr>
              <w:t>niepełnosprawn</w:t>
            </w:r>
            <w:r w:rsidR="00CC3A6D">
              <w:rPr>
                <w:rFonts w:ascii="Times New Roman" w:hAnsi="Times New Roman"/>
              </w:rPr>
              <w:t>ością,</w:t>
            </w:r>
            <w:r w:rsidRPr="008032C9">
              <w:rPr>
                <w:rFonts w:ascii="Times New Roman" w:hAnsi="Times New Roman"/>
              </w:rPr>
              <w:t xml:space="preserve"> jak</w:t>
            </w:r>
            <w:r w:rsidR="000D67D1">
              <w:rPr>
                <w:rFonts w:ascii="Times New Roman" w:hAnsi="Times New Roman"/>
              </w:rPr>
              <w:t> </w:t>
            </w:r>
            <w:r w:rsidRPr="008032C9">
              <w:rPr>
                <w:rFonts w:ascii="Times New Roman" w:hAnsi="Times New Roman"/>
              </w:rPr>
              <w:t xml:space="preserve">również osób starszych. Umożliwi tym samym osobom </w:t>
            </w:r>
            <w:r w:rsidR="00CC3A6D">
              <w:rPr>
                <w:rFonts w:ascii="Times New Roman" w:hAnsi="Times New Roman"/>
              </w:rPr>
              <w:t>z</w:t>
            </w:r>
            <w:r w:rsidR="000D67D1">
              <w:rPr>
                <w:rFonts w:ascii="Times New Roman" w:hAnsi="Times New Roman"/>
              </w:rPr>
              <w:t> </w:t>
            </w:r>
            <w:r w:rsidRPr="008032C9">
              <w:rPr>
                <w:rFonts w:ascii="Times New Roman" w:hAnsi="Times New Roman"/>
              </w:rPr>
              <w:t>niepełnosprawn</w:t>
            </w:r>
            <w:r w:rsidR="00CC3A6D">
              <w:rPr>
                <w:rFonts w:ascii="Times New Roman" w:hAnsi="Times New Roman"/>
              </w:rPr>
              <w:t>ością</w:t>
            </w:r>
            <w:r w:rsidRPr="008032C9">
              <w:rPr>
                <w:rFonts w:ascii="Times New Roman" w:hAnsi="Times New Roman"/>
              </w:rPr>
              <w:t xml:space="preserve"> korzystanie z oferty edukacyjnej A</w:t>
            </w:r>
            <w:r w:rsidR="00CC3A6D">
              <w:rPr>
                <w:rFonts w:ascii="Times New Roman" w:hAnsi="Times New Roman"/>
              </w:rPr>
              <w:t>MKP</w:t>
            </w:r>
            <w:r w:rsidRPr="008032C9">
              <w:rPr>
                <w:rFonts w:ascii="Times New Roman" w:hAnsi="Times New Roman"/>
              </w:rPr>
              <w:t>, a</w:t>
            </w:r>
            <w:r w:rsidR="000A291D" w:rsidRPr="008032C9">
              <w:rPr>
                <w:rFonts w:ascii="Times New Roman" w:hAnsi="Times New Roman"/>
              </w:rPr>
              <w:t> </w:t>
            </w:r>
            <w:r w:rsidRPr="008032C9">
              <w:rPr>
                <w:rFonts w:ascii="Times New Roman" w:hAnsi="Times New Roman"/>
              </w:rPr>
              <w:t xml:space="preserve">osobom starszym dodatkowo korzystanie z ogólnodostępnej oferty kulturalnej – </w:t>
            </w:r>
            <w:r w:rsidR="00CC3A6D">
              <w:rPr>
                <w:rFonts w:ascii="Times New Roman" w:hAnsi="Times New Roman"/>
              </w:rPr>
              <w:t>dzięki</w:t>
            </w:r>
            <w:r w:rsidRPr="008032C9">
              <w:rPr>
                <w:rFonts w:ascii="Times New Roman" w:hAnsi="Times New Roman"/>
              </w:rPr>
              <w:t xml:space="preserve"> likwidacj</w:t>
            </w:r>
            <w:r w:rsidR="00CC3A6D">
              <w:rPr>
                <w:rFonts w:ascii="Times New Roman" w:hAnsi="Times New Roman"/>
              </w:rPr>
              <w:t>i</w:t>
            </w:r>
            <w:r w:rsidRPr="008032C9">
              <w:rPr>
                <w:rFonts w:ascii="Times New Roman" w:hAnsi="Times New Roman"/>
              </w:rPr>
              <w:t xml:space="preserve"> barier architektonicznych.</w:t>
            </w:r>
            <w:r w:rsidRPr="00D129C5">
              <w:rPr>
                <w:rFonts w:ascii="Times New Roman" w:hAnsi="Times New Roman"/>
              </w:rPr>
              <w:t xml:space="preserve"> </w:t>
            </w:r>
          </w:p>
        </w:tc>
      </w:tr>
      <w:tr w:rsidR="000C6E02" w:rsidRPr="00D129C5" w14:paraId="54982DAF" w14:textId="77777777" w:rsidTr="00785D37">
        <w:trPr>
          <w:gridAfter w:val="1"/>
          <w:wAfter w:w="10" w:type="dxa"/>
          <w:trHeight w:val="142"/>
        </w:trPr>
        <w:tc>
          <w:tcPr>
            <w:tcW w:w="1992" w:type="dxa"/>
            <w:gridSpan w:val="2"/>
            <w:shd w:val="clear" w:color="auto" w:fill="FFFFFF"/>
          </w:tcPr>
          <w:p w14:paraId="00F2B87E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293" w:type="dxa"/>
            <w:gridSpan w:val="4"/>
            <w:shd w:val="clear" w:color="auto" w:fill="FFFFFF"/>
          </w:tcPr>
          <w:p w14:paraId="7A9C5B6A" w14:textId="77777777" w:rsidR="000C6E02" w:rsidRPr="00D129C5" w:rsidRDefault="002267F4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48" w:type="dxa"/>
            <w:gridSpan w:val="15"/>
            <w:shd w:val="clear" w:color="auto" w:fill="FFFFFF"/>
          </w:tcPr>
          <w:p w14:paraId="5B6BE0B4" w14:textId="77777777" w:rsidR="000C6E02" w:rsidRPr="00D129C5" w:rsidRDefault="002267F4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0C6E02" w:rsidRPr="00D129C5" w14:paraId="41B3C997" w14:textId="77777777" w:rsidTr="00785D37">
        <w:trPr>
          <w:gridAfter w:val="1"/>
          <w:wAfter w:w="10" w:type="dxa"/>
          <w:trHeight w:val="841"/>
        </w:trPr>
        <w:tc>
          <w:tcPr>
            <w:tcW w:w="1985" w:type="dxa"/>
            <w:shd w:val="clear" w:color="auto" w:fill="FFFFFF"/>
          </w:tcPr>
          <w:p w14:paraId="6D1D79AC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9348" w:type="dxa"/>
            <w:gridSpan w:val="20"/>
            <w:shd w:val="clear" w:color="auto" w:fill="FFFFFF"/>
            <w:vAlign w:val="center"/>
          </w:tcPr>
          <w:p w14:paraId="1ED1B94B" w14:textId="77777777" w:rsidR="002267F4" w:rsidRPr="002D699E" w:rsidRDefault="002267F4" w:rsidP="00D129C5">
            <w:pPr>
              <w:spacing w:line="240" w:lineRule="auto"/>
              <w:ind w:left="-85"/>
              <w:jc w:val="both"/>
              <w:rPr>
                <w:rFonts w:ascii="Times New Roman" w:hAnsi="Times New Roman"/>
              </w:rPr>
            </w:pPr>
            <w:r w:rsidRPr="00F22916">
              <w:rPr>
                <w:rFonts w:ascii="Times New Roman" w:hAnsi="Times New Roman"/>
              </w:rPr>
              <w:t>Realizacja Programu będzie miała wpływ na funkcjonowanie przedsiębiorców w następujących obszarach:</w:t>
            </w:r>
          </w:p>
          <w:p w14:paraId="6EBE24D2" w14:textId="77777777" w:rsidR="002267F4" w:rsidRPr="00F22916" w:rsidRDefault="002267F4" w:rsidP="00D129C5">
            <w:pPr>
              <w:numPr>
                <w:ilvl w:val="0"/>
                <w:numId w:val="28"/>
              </w:numPr>
              <w:spacing w:line="240" w:lineRule="auto"/>
              <w:ind w:left="200" w:hanging="284"/>
              <w:jc w:val="both"/>
              <w:rPr>
                <w:rFonts w:ascii="Times New Roman" w:hAnsi="Times New Roman"/>
              </w:rPr>
            </w:pPr>
            <w:r w:rsidRPr="00596E08">
              <w:rPr>
                <w:rFonts w:ascii="Times New Roman" w:hAnsi="Times New Roman"/>
              </w:rPr>
              <w:t>realizacja Programu, zakłada korzystanie z usług przedsiębiorców wyłonionych w ramach zamówień publicznych (dotyczy to głównie usług projektowania, robót budowlanych, inżyniera kontraktu,  dostaw wyposażenia) – w efekcie przedsiębiorcy uzyskają możliwość pozyskiwania zleceń mających stabilne źródło finansowania, co z kolei p</w:t>
            </w:r>
            <w:r w:rsidRPr="00F22916">
              <w:rPr>
                <w:rFonts w:ascii="Times New Roman" w:hAnsi="Times New Roman"/>
              </w:rPr>
              <w:t>owinno korzystnie wpłynąć na ich sytuację, zwłaszcza w</w:t>
            </w:r>
            <w:r w:rsidR="00D129C5" w:rsidRPr="00F22916">
              <w:rPr>
                <w:rFonts w:ascii="Times New Roman" w:hAnsi="Times New Roman"/>
              </w:rPr>
              <w:t> </w:t>
            </w:r>
            <w:r w:rsidRPr="00F22916">
              <w:rPr>
                <w:rFonts w:ascii="Times New Roman" w:hAnsi="Times New Roman"/>
              </w:rPr>
              <w:t>zakresie wyniku finansowego;</w:t>
            </w:r>
          </w:p>
          <w:p w14:paraId="2900E3F8" w14:textId="7EF1B6E4" w:rsidR="00652B4D" w:rsidRPr="00845D1E" w:rsidRDefault="00313297" w:rsidP="00845D1E">
            <w:pPr>
              <w:pStyle w:val="Akapitzlist"/>
              <w:numPr>
                <w:ilvl w:val="0"/>
                <w:numId w:val="28"/>
              </w:numPr>
              <w:ind w:left="179" w:hanging="2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2267F4" w:rsidRPr="00845D1E">
              <w:rPr>
                <w:rFonts w:ascii="Times New Roman" w:hAnsi="Times New Roman"/>
              </w:rPr>
              <w:t xml:space="preserve">ealizacja </w:t>
            </w:r>
            <w:r>
              <w:rPr>
                <w:rFonts w:ascii="Times New Roman" w:hAnsi="Times New Roman"/>
              </w:rPr>
              <w:t>P</w:t>
            </w:r>
            <w:r w:rsidR="002267F4" w:rsidRPr="00845D1E">
              <w:rPr>
                <w:rFonts w:ascii="Times New Roman" w:hAnsi="Times New Roman"/>
              </w:rPr>
              <w:t xml:space="preserve">rogramu przyczyni się do wzrostu konkurencyjności </w:t>
            </w:r>
            <w:r w:rsidR="0067022A" w:rsidRPr="00845D1E">
              <w:rPr>
                <w:rFonts w:ascii="Times New Roman" w:hAnsi="Times New Roman"/>
              </w:rPr>
              <w:t>Krak</w:t>
            </w:r>
            <w:r w:rsidR="001A1CB1" w:rsidRPr="00845D1E">
              <w:rPr>
                <w:rFonts w:ascii="Times New Roman" w:hAnsi="Times New Roman"/>
              </w:rPr>
              <w:t>o</w:t>
            </w:r>
            <w:r w:rsidR="0067022A" w:rsidRPr="00845D1E">
              <w:rPr>
                <w:rFonts w:ascii="Times New Roman" w:hAnsi="Times New Roman"/>
              </w:rPr>
              <w:t>w</w:t>
            </w:r>
            <w:r w:rsidR="001A1CB1" w:rsidRPr="00845D1E">
              <w:rPr>
                <w:rFonts w:ascii="Times New Roman" w:hAnsi="Times New Roman"/>
              </w:rPr>
              <w:t>a</w:t>
            </w:r>
            <w:r w:rsidR="0067022A" w:rsidRPr="00845D1E">
              <w:rPr>
                <w:rFonts w:ascii="Times New Roman" w:hAnsi="Times New Roman"/>
              </w:rPr>
              <w:t xml:space="preserve"> </w:t>
            </w:r>
            <w:r w:rsidR="002267F4" w:rsidRPr="00845D1E">
              <w:rPr>
                <w:rFonts w:ascii="Times New Roman" w:hAnsi="Times New Roman"/>
              </w:rPr>
              <w:t>jako ośrodka akademickiego dla studentów i doktorantów z zagranicy, co będzie miało bezpośredni wpływ na zwiększenie popytu na rynku lokalnym.</w:t>
            </w:r>
            <w:r w:rsidR="00652B4D" w:rsidRPr="00845D1E">
              <w:rPr>
                <w:rFonts w:ascii="Times New Roman" w:hAnsi="Times New Roman"/>
              </w:rPr>
              <w:t xml:space="preserve"> </w:t>
            </w:r>
            <w:r w:rsidR="00652B4D" w:rsidRPr="00F22916">
              <w:rPr>
                <w:rFonts w:ascii="Times New Roman" w:hAnsi="Times New Roman"/>
              </w:rPr>
              <w:t xml:space="preserve">Ponadto </w:t>
            </w:r>
            <w:r w:rsidR="00652B4D" w:rsidRPr="00845D1E">
              <w:rPr>
                <w:rFonts w:ascii="Times New Roman" w:hAnsi="Times New Roman"/>
              </w:rPr>
              <w:t>wpływ na konkurencyjność gospodarki uwidoczni się w obszarach takich jak:</w:t>
            </w:r>
          </w:p>
          <w:p w14:paraId="1D6AA7C5" w14:textId="3623C999" w:rsidR="00652B4D" w:rsidRPr="00845D1E" w:rsidRDefault="00A127D8" w:rsidP="00845D1E">
            <w:pPr>
              <w:spacing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–</w:t>
            </w:r>
            <w:r w:rsidR="006B3BA9">
              <w:rPr>
                <w:rFonts w:ascii="Times New Roman" w:hAnsi="Times New Roman"/>
                <w:b/>
                <w:bCs/>
              </w:rPr>
              <w:t xml:space="preserve"> </w:t>
            </w:r>
            <w:r w:rsidR="00652B4D" w:rsidRPr="00845D1E">
              <w:rPr>
                <w:rFonts w:ascii="Times New Roman" w:hAnsi="Times New Roman"/>
                <w:b/>
                <w:bCs/>
              </w:rPr>
              <w:t>rewitalizacja i rozwój infrastruktury</w:t>
            </w:r>
            <w:r w:rsidR="00652B4D" w:rsidRPr="00845D1E">
              <w:rPr>
                <w:rFonts w:ascii="Times New Roman" w:hAnsi="Times New Roman"/>
              </w:rPr>
              <w:t>: budowa kampusu przy ul</w:t>
            </w:r>
            <w:r w:rsidR="00394ACD">
              <w:rPr>
                <w:rFonts w:ascii="Times New Roman" w:hAnsi="Times New Roman"/>
              </w:rPr>
              <w:t>.</w:t>
            </w:r>
            <w:r w:rsidR="00652B4D" w:rsidRPr="00845D1E">
              <w:rPr>
                <w:rFonts w:ascii="Times New Roman" w:hAnsi="Times New Roman"/>
              </w:rPr>
              <w:t xml:space="preserve"> Skrzatów stanie się motorem napędowym rewitalizacji dzielnicy Grzegórzki. Inwestycja obejmuje nie tylko budynek, ale także budowę nowego układu drogowego, chodników i terenów zielonych, co podnosi atrakcyjność inwestycyjną okolicy</w:t>
            </w:r>
            <w:r w:rsidR="00A91AAB">
              <w:rPr>
                <w:rFonts w:ascii="Times New Roman" w:hAnsi="Times New Roman"/>
              </w:rPr>
              <w:t>.</w:t>
            </w:r>
            <w:r w:rsidR="00652B4D" w:rsidRPr="00845D1E">
              <w:rPr>
                <w:rFonts w:ascii="Times New Roman" w:hAnsi="Times New Roman"/>
              </w:rPr>
              <w:t xml:space="preserve"> </w:t>
            </w:r>
            <w:r w:rsidR="00A91AAB">
              <w:rPr>
                <w:rFonts w:ascii="Times New Roman" w:hAnsi="Times New Roman"/>
              </w:rPr>
              <w:t xml:space="preserve">Będzie to </w:t>
            </w:r>
            <w:r w:rsidR="00652B4D" w:rsidRPr="00845D1E">
              <w:rPr>
                <w:rFonts w:ascii="Times New Roman" w:hAnsi="Times New Roman"/>
              </w:rPr>
              <w:t>przeciwdziałać wykluczeniu społecznemu</w:t>
            </w:r>
            <w:r w:rsidR="00A91AAB">
              <w:rPr>
                <w:rFonts w:ascii="Times New Roman" w:hAnsi="Times New Roman"/>
              </w:rPr>
              <w:t>,</w:t>
            </w:r>
            <w:r w:rsidR="00652B4D" w:rsidRPr="00845D1E">
              <w:rPr>
                <w:rFonts w:ascii="Times New Roman" w:hAnsi="Times New Roman"/>
              </w:rPr>
              <w:t xml:space="preserve"> </w:t>
            </w:r>
            <w:r w:rsidR="00394ACD">
              <w:rPr>
                <w:rFonts w:ascii="Times New Roman" w:hAnsi="Times New Roman"/>
              </w:rPr>
              <w:t>dzięki</w:t>
            </w:r>
            <w:r w:rsidR="00652B4D" w:rsidRPr="00845D1E">
              <w:rPr>
                <w:rFonts w:ascii="Times New Roman" w:hAnsi="Times New Roman"/>
              </w:rPr>
              <w:t xml:space="preserve"> rewitalizacj</w:t>
            </w:r>
            <w:r w:rsidR="00394ACD">
              <w:rPr>
                <w:rFonts w:ascii="Times New Roman" w:hAnsi="Times New Roman"/>
              </w:rPr>
              <w:t>i</w:t>
            </w:r>
            <w:r w:rsidR="00652B4D" w:rsidRPr="00845D1E">
              <w:rPr>
                <w:rFonts w:ascii="Times New Roman" w:hAnsi="Times New Roman"/>
              </w:rPr>
              <w:t xml:space="preserve"> zdegradowanych obszarów miejskich Krakowa;</w:t>
            </w:r>
          </w:p>
          <w:p w14:paraId="1FB2E3D2" w14:textId="15F9BD5D" w:rsidR="00652B4D" w:rsidRPr="00845D1E" w:rsidRDefault="00A127D8" w:rsidP="00845D1E">
            <w:pPr>
              <w:spacing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–</w:t>
            </w:r>
            <w:r w:rsidR="006B3BA9">
              <w:rPr>
                <w:rFonts w:ascii="Times New Roman" w:hAnsi="Times New Roman"/>
                <w:b/>
                <w:bCs/>
              </w:rPr>
              <w:t xml:space="preserve"> </w:t>
            </w:r>
            <w:r w:rsidR="00652B4D" w:rsidRPr="00845D1E">
              <w:rPr>
                <w:rFonts w:ascii="Times New Roman" w:hAnsi="Times New Roman"/>
                <w:b/>
                <w:bCs/>
              </w:rPr>
              <w:t>wzrost zatrudnienia</w:t>
            </w:r>
            <w:r w:rsidR="00652B4D" w:rsidRPr="00845D1E">
              <w:rPr>
                <w:rFonts w:ascii="Times New Roman" w:hAnsi="Times New Roman"/>
              </w:rPr>
              <w:t>: realizacja wieloletniego projektu zaangażuje licznych podwykonawców z</w:t>
            </w:r>
            <w:r w:rsidR="006237CE">
              <w:rPr>
                <w:rFonts w:ascii="Times New Roman" w:hAnsi="Times New Roman"/>
              </w:rPr>
              <w:t> </w:t>
            </w:r>
            <w:r w:rsidR="00652B4D" w:rsidRPr="00845D1E">
              <w:rPr>
                <w:rFonts w:ascii="Times New Roman" w:hAnsi="Times New Roman"/>
              </w:rPr>
              <w:t>sektora budowlanego. Po otwarciu kampusu obiekt generować będzie stałe miejsca pracy w obsłudze technicznej, administracyjnej oraz sektorze usług (np. utrzymanie czystości, ochrona);</w:t>
            </w:r>
          </w:p>
          <w:p w14:paraId="2CDAAC0F" w14:textId="28E256E7" w:rsidR="00652B4D" w:rsidRPr="00845D1E" w:rsidRDefault="00A127D8" w:rsidP="00845D1E">
            <w:pPr>
              <w:spacing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–</w:t>
            </w:r>
            <w:r w:rsidR="006B3BA9">
              <w:rPr>
                <w:rFonts w:ascii="Times New Roman" w:hAnsi="Times New Roman"/>
                <w:b/>
                <w:bCs/>
              </w:rPr>
              <w:t xml:space="preserve"> </w:t>
            </w:r>
            <w:r w:rsidR="00652B4D" w:rsidRPr="00845D1E">
              <w:rPr>
                <w:rFonts w:ascii="Times New Roman" w:hAnsi="Times New Roman"/>
                <w:b/>
                <w:bCs/>
              </w:rPr>
              <w:t>wzrost potencjału turystycznego i kulturalnego</w:t>
            </w:r>
            <w:r w:rsidR="00652B4D" w:rsidRPr="00845D1E">
              <w:rPr>
                <w:rFonts w:ascii="Times New Roman" w:hAnsi="Times New Roman"/>
              </w:rPr>
              <w:t>: dzięki nowoczesnym salom koncertowym i</w:t>
            </w:r>
            <w:r w:rsidR="006237CE">
              <w:rPr>
                <w:rFonts w:ascii="Times New Roman" w:hAnsi="Times New Roman"/>
              </w:rPr>
              <w:t> </w:t>
            </w:r>
            <w:r w:rsidR="00652B4D" w:rsidRPr="00845D1E">
              <w:rPr>
                <w:rFonts w:ascii="Times New Roman" w:hAnsi="Times New Roman"/>
              </w:rPr>
              <w:t>akademickim, kampus stanie się nowym symbolem miasta i centrum wydarzeń kulturalnych, co</w:t>
            </w:r>
            <w:r w:rsidR="006237CE">
              <w:rPr>
                <w:rFonts w:ascii="Times New Roman" w:hAnsi="Times New Roman"/>
              </w:rPr>
              <w:t xml:space="preserve"> będzie </w:t>
            </w:r>
            <w:r w:rsidR="00652B4D" w:rsidRPr="00845D1E">
              <w:rPr>
                <w:rFonts w:ascii="Times New Roman" w:hAnsi="Times New Roman"/>
              </w:rPr>
              <w:t>przyciągać krajowy i międzynarodowy ruch turystyczny, a przez to wspierać lokalną gastronomię oraz</w:t>
            </w:r>
            <w:r w:rsidR="006237CE">
              <w:rPr>
                <w:rFonts w:ascii="Times New Roman" w:hAnsi="Times New Roman"/>
              </w:rPr>
              <w:t> </w:t>
            </w:r>
            <w:r w:rsidR="00652B4D" w:rsidRPr="00845D1E">
              <w:rPr>
                <w:rFonts w:ascii="Times New Roman" w:hAnsi="Times New Roman"/>
              </w:rPr>
              <w:t>hotelarstwo;</w:t>
            </w:r>
          </w:p>
          <w:p w14:paraId="5C077AD6" w14:textId="0E2CA5A7" w:rsidR="00652B4D" w:rsidRPr="00845D1E" w:rsidRDefault="00A127D8" w:rsidP="00845D1E">
            <w:pPr>
              <w:spacing w:after="16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–</w:t>
            </w:r>
            <w:r w:rsidR="006B3BA9">
              <w:rPr>
                <w:rFonts w:ascii="Times New Roman" w:hAnsi="Times New Roman"/>
                <w:b/>
                <w:bCs/>
              </w:rPr>
              <w:t xml:space="preserve"> </w:t>
            </w:r>
            <w:r w:rsidR="00652B4D" w:rsidRPr="00845D1E">
              <w:rPr>
                <w:rFonts w:ascii="Times New Roman" w:hAnsi="Times New Roman"/>
                <w:b/>
                <w:bCs/>
              </w:rPr>
              <w:t>utworzenie infrastruktury dla sektora przemysłów kreatywnych;</w:t>
            </w:r>
          </w:p>
          <w:p w14:paraId="3956DC60" w14:textId="61DBA0F4" w:rsidR="00652B4D" w:rsidRPr="00394ACD" w:rsidRDefault="00A127D8" w:rsidP="00845D1E">
            <w:pPr>
              <w:spacing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–</w:t>
            </w:r>
            <w:r w:rsidR="006B3BA9">
              <w:rPr>
                <w:rFonts w:ascii="Times New Roman" w:hAnsi="Times New Roman"/>
                <w:b/>
                <w:bCs/>
              </w:rPr>
              <w:t xml:space="preserve"> </w:t>
            </w:r>
            <w:r w:rsidR="00652B4D" w:rsidRPr="00845D1E">
              <w:rPr>
                <w:rFonts w:ascii="Times New Roman" w:hAnsi="Times New Roman"/>
                <w:b/>
                <w:bCs/>
              </w:rPr>
              <w:t>realizacja badań zleconych oraz innowacyjnych projektów badawczych</w:t>
            </w:r>
            <w:r w:rsidR="00652B4D" w:rsidRPr="00845D1E">
              <w:rPr>
                <w:rFonts w:ascii="Times New Roman" w:hAnsi="Times New Roman"/>
              </w:rPr>
              <w:t xml:space="preserve"> z obszaru akustyki i badań nad właściwościami dźwięku dla przemysłu fonograficznego i rynku muzycznego.</w:t>
            </w:r>
          </w:p>
          <w:p w14:paraId="545114EF" w14:textId="77777777" w:rsidR="00652B4D" w:rsidRPr="00845D1E" w:rsidRDefault="00652B4D" w:rsidP="00652B4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45D1E">
              <w:rPr>
                <w:rFonts w:ascii="Times New Roman" w:hAnsi="Times New Roman"/>
                <w:b/>
                <w:bCs/>
              </w:rPr>
              <w:t>Wpływ na rynek zamówień:</w:t>
            </w:r>
          </w:p>
          <w:p w14:paraId="459CE84B" w14:textId="77777777" w:rsidR="00652B4D" w:rsidRPr="00845D1E" w:rsidRDefault="00652B4D" w:rsidP="00652B4D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2F886C6C" w14:textId="41BA8DB4" w:rsidR="00652B4D" w:rsidRPr="00845D1E" w:rsidRDefault="00652B4D" w:rsidP="00652B4D">
            <w:pPr>
              <w:jc w:val="both"/>
              <w:rPr>
                <w:rFonts w:ascii="Times New Roman" w:hAnsi="Times New Roman"/>
              </w:rPr>
            </w:pPr>
            <w:r w:rsidRPr="00845D1E">
              <w:rPr>
                <w:rFonts w:ascii="Times New Roman" w:hAnsi="Times New Roman"/>
              </w:rPr>
              <w:t xml:space="preserve">Budowa nowej siedziby AMKP </w:t>
            </w:r>
            <w:r w:rsidR="00394ACD">
              <w:rPr>
                <w:rFonts w:ascii="Times New Roman" w:hAnsi="Times New Roman"/>
              </w:rPr>
              <w:t>–</w:t>
            </w:r>
            <w:r w:rsidRPr="00845D1E">
              <w:rPr>
                <w:rFonts w:ascii="Times New Roman" w:hAnsi="Times New Roman"/>
              </w:rPr>
              <w:t xml:space="preserve"> uczelni artystycznej będzie miała niewątpliwy i szeroki wpływ na</w:t>
            </w:r>
            <w:r w:rsidR="000D3791">
              <w:rPr>
                <w:rFonts w:ascii="Times New Roman" w:hAnsi="Times New Roman"/>
              </w:rPr>
              <w:t> </w:t>
            </w:r>
            <w:r w:rsidRPr="00845D1E">
              <w:rPr>
                <w:rFonts w:ascii="Times New Roman" w:hAnsi="Times New Roman"/>
              </w:rPr>
              <w:t>rynek zamówień publicznych</w:t>
            </w:r>
            <w:r w:rsidR="00A91AAB">
              <w:rPr>
                <w:rFonts w:ascii="Times New Roman" w:hAnsi="Times New Roman"/>
              </w:rPr>
              <w:t>,</w:t>
            </w:r>
            <w:r w:rsidRPr="00845D1E">
              <w:rPr>
                <w:rFonts w:ascii="Times New Roman" w:hAnsi="Times New Roman"/>
              </w:rPr>
              <w:t xml:space="preserve"> poprzez generowanie wysokospecjalistycznych zleceń, stymulację lokalnego sektora budowlanego oraz konieczność stosowania nowych regulacji prawnych.</w:t>
            </w:r>
          </w:p>
          <w:p w14:paraId="1FB449A5" w14:textId="77777777" w:rsidR="00652B4D" w:rsidRPr="00845D1E" w:rsidRDefault="00652B4D" w:rsidP="00652B4D">
            <w:pPr>
              <w:jc w:val="both"/>
              <w:rPr>
                <w:rFonts w:ascii="Times New Roman" w:hAnsi="Times New Roman"/>
              </w:rPr>
            </w:pPr>
          </w:p>
          <w:p w14:paraId="627A13AF" w14:textId="77777777" w:rsidR="00652B4D" w:rsidRPr="00845D1E" w:rsidRDefault="00652B4D" w:rsidP="00652B4D">
            <w:pPr>
              <w:jc w:val="both"/>
              <w:rPr>
                <w:rFonts w:ascii="Times New Roman" w:hAnsi="Times New Roman"/>
              </w:rPr>
            </w:pPr>
            <w:r w:rsidRPr="00845D1E">
              <w:rPr>
                <w:rFonts w:ascii="Times New Roman" w:hAnsi="Times New Roman"/>
              </w:rPr>
              <w:t>Do kluczowych aspektów wpływu na rynek zamówień należy zaliczyć:</w:t>
            </w:r>
          </w:p>
          <w:p w14:paraId="00520B20" w14:textId="77777777" w:rsidR="00652B4D" w:rsidRPr="00845D1E" w:rsidRDefault="00652B4D" w:rsidP="00652B4D">
            <w:pPr>
              <w:jc w:val="both"/>
              <w:rPr>
                <w:rFonts w:ascii="Times New Roman" w:hAnsi="Times New Roman"/>
              </w:rPr>
            </w:pPr>
          </w:p>
          <w:p w14:paraId="66818957" w14:textId="49F1C4E6" w:rsidR="00652B4D" w:rsidRPr="00845D1E" w:rsidRDefault="00A127D8" w:rsidP="00845D1E">
            <w:pPr>
              <w:spacing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–</w:t>
            </w:r>
            <w:r w:rsidR="006B3BA9">
              <w:rPr>
                <w:rFonts w:ascii="Times New Roman" w:hAnsi="Times New Roman"/>
                <w:b/>
                <w:bCs/>
              </w:rPr>
              <w:t xml:space="preserve"> </w:t>
            </w:r>
            <w:r w:rsidR="00652B4D" w:rsidRPr="00845D1E">
              <w:rPr>
                <w:rFonts w:ascii="Times New Roman" w:hAnsi="Times New Roman"/>
                <w:b/>
                <w:bCs/>
              </w:rPr>
              <w:t>zwiększony popyt na specjalistyczne roboty budowlane</w:t>
            </w:r>
            <w:r w:rsidR="00652B4D" w:rsidRPr="00845D1E">
              <w:rPr>
                <w:rFonts w:ascii="Times New Roman" w:hAnsi="Times New Roman"/>
              </w:rPr>
              <w:t>: inwestycje tego typu</w:t>
            </w:r>
            <w:r w:rsidR="00394ACD">
              <w:rPr>
                <w:rFonts w:ascii="Times New Roman" w:hAnsi="Times New Roman"/>
              </w:rPr>
              <w:t>,</w:t>
            </w:r>
            <w:r w:rsidR="00652B4D" w:rsidRPr="00845D1E">
              <w:rPr>
                <w:rFonts w:ascii="Times New Roman" w:hAnsi="Times New Roman"/>
              </w:rPr>
              <w:t xml:space="preserve"> jak budowa nowej siedziby AMKP</w:t>
            </w:r>
            <w:r w:rsidR="00394ACD">
              <w:rPr>
                <w:rFonts w:ascii="Times New Roman" w:hAnsi="Times New Roman"/>
              </w:rPr>
              <w:t>,</w:t>
            </w:r>
            <w:r w:rsidR="00652B4D" w:rsidRPr="00845D1E">
              <w:rPr>
                <w:rFonts w:ascii="Times New Roman" w:hAnsi="Times New Roman"/>
              </w:rPr>
              <w:t xml:space="preserve"> wymagają specyficznych kompetencji, takich jak zaawansowana akustyka (np. budowa </w:t>
            </w:r>
            <w:proofErr w:type="spellStart"/>
            <w:r w:rsidR="00652B4D" w:rsidRPr="00845D1E">
              <w:rPr>
                <w:rFonts w:ascii="Times New Roman" w:hAnsi="Times New Roman"/>
              </w:rPr>
              <w:t>sal</w:t>
            </w:r>
            <w:proofErr w:type="spellEnd"/>
            <w:r w:rsidR="00652B4D" w:rsidRPr="00845D1E">
              <w:rPr>
                <w:rFonts w:ascii="Times New Roman" w:hAnsi="Times New Roman"/>
              </w:rPr>
              <w:t xml:space="preserve"> koncertowych w Grudziądzu czy nowej siedziby </w:t>
            </w:r>
            <w:r w:rsidR="00BC400B">
              <w:rPr>
                <w:rFonts w:ascii="Times New Roman" w:hAnsi="Times New Roman"/>
              </w:rPr>
              <w:t>Akademii Muzycznej im</w:t>
            </w:r>
            <w:r>
              <w:rPr>
                <w:rFonts w:ascii="Times New Roman" w:hAnsi="Times New Roman"/>
              </w:rPr>
              <w:t>ienia</w:t>
            </w:r>
            <w:r w:rsidR="00BC400B">
              <w:rPr>
                <w:rFonts w:ascii="Times New Roman" w:hAnsi="Times New Roman"/>
              </w:rPr>
              <w:t xml:space="preserve"> Feliksa Nowowiejskiego w Bydgoszczy</w:t>
            </w:r>
            <w:r w:rsidR="00394ACD">
              <w:rPr>
                <w:rFonts w:ascii="Times New Roman" w:hAnsi="Times New Roman"/>
              </w:rPr>
              <w:t>;</w:t>
            </w:r>
          </w:p>
          <w:p w14:paraId="127EA9B9" w14:textId="4A913D16" w:rsidR="00652B4D" w:rsidRPr="00845D1E" w:rsidRDefault="00A127D8" w:rsidP="00845D1E">
            <w:pPr>
              <w:spacing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–</w:t>
            </w:r>
            <w:r w:rsidR="006B3BA9">
              <w:rPr>
                <w:rFonts w:ascii="Times New Roman" w:hAnsi="Times New Roman"/>
                <w:b/>
                <w:bCs/>
              </w:rPr>
              <w:t xml:space="preserve"> </w:t>
            </w:r>
            <w:r w:rsidR="00652B4D" w:rsidRPr="00845D1E">
              <w:rPr>
                <w:rFonts w:ascii="Times New Roman" w:hAnsi="Times New Roman"/>
                <w:b/>
                <w:bCs/>
              </w:rPr>
              <w:t>nacisk na „</w:t>
            </w:r>
            <w:proofErr w:type="spellStart"/>
            <w:r w:rsidR="00652B4D" w:rsidRPr="00845D1E">
              <w:rPr>
                <w:rFonts w:ascii="Times New Roman" w:hAnsi="Times New Roman"/>
                <w:b/>
                <w:bCs/>
              </w:rPr>
              <w:t>local</w:t>
            </w:r>
            <w:proofErr w:type="spellEnd"/>
            <w:r w:rsidR="00652B4D" w:rsidRPr="00845D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52B4D" w:rsidRPr="00845D1E">
              <w:rPr>
                <w:rFonts w:ascii="Times New Roman" w:hAnsi="Times New Roman"/>
                <w:b/>
                <w:bCs/>
              </w:rPr>
              <w:t>content</w:t>
            </w:r>
            <w:proofErr w:type="spellEnd"/>
            <w:r w:rsidR="00652B4D" w:rsidRPr="00845D1E">
              <w:rPr>
                <w:rFonts w:ascii="Times New Roman" w:hAnsi="Times New Roman"/>
                <w:b/>
                <w:bCs/>
              </w:rPr>
              <w:t>” i innowacje</w:t>
            </w:r>
            <w:r w:rsidR="00652B4D" w:rsidRPr="00845D1E">
              <w:rPr>
                <w:rFonts w:ascii="Times New Roman" w:hAnsi="Times New Roman"/>
              </w:rPr>
              <w:t>:  w zamówieniach publicznych rośnie znaczenie tzw. </w:t>
            </w:r>
            <w:proofErr w:type="spellStart"/>
            <w:r w:rsidR="00652B4D" w:rsidRPr="00845D1E">
              <w:rPr>
                <w:rFonts w:ascii="Times New Roman" w:hAnsi="Times New Roman"/>
              </w:rPr>
              <w:t>local</w:t>
            </w:r>
            <w:proofErr w:type="spellEnd"/>
            <w:r w:rsidR="00652B4D" w:rsidRPr="00845D1E">
              <w:rPr>
                <w:rFonts w:ascii="Times New Roman" w:hAnsi="Times New Roman"/>
              </w:rPr>
              <w:t xml:space="preserve"> </w:t>
            </w:r>
            <w:proofErr w:type="spellStart"/>
            <w:r w:rsidR="00652B4D" w:rsidRPr="00845D1E">
              <w:rPr>
                <w:rFonts w:ascii="Times New Roman" w:hAnsi="Times New Roman"/>
              </w:rPr>
              <w:t>contentu</w:t>
            </w:r>
            <w:proofErr w:type="spellEnd"/>
            <w:r w:rsidR="00652B4D" w:rsidRPr="00845D1E">
              <w:rPr>
                <w:rFonts w:ascii="Times New Roman" w:hAnsi="Times New Roman"/>
              </w:rPr>
              <w:t> (udziału lokalnych dostawców) oraz kryteriów społecznych i środowiskowych. Uczelnie artystyczne, budując siedziby, często stosują te aspekty w celu wsparcia lokalnego sektora kreatywnego</w:t>
            </w:r>
            <w:r w:rsidR="00394ACD">
              <w:rPr>
                <w:rFonts w:ascii="Times New Roman" w:hAnsi="Times New Roman"/>
              </w:rPr>
              <w:t>;</w:t>
            </w:r>
          </w:p>
          <w:p w14:paraId="2041DB47" w14:textId="40E1532D" w:rsidR="00652B4D" w:rsidRPr="00845D1E" w:rsidRDefault="00A127D8" w:rsidP="00845D1E">
            <w:pPr>
              <w:spacing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–</w:t>
            </w:r>
            <w:r w:rsidR="006B3BA9">
              <w:rPr>
                <w:rFonts w:ascii="Times New Roman" w:hAnsi="Times New Roman"/>
                <w:b/>
                <w:bCs/>
              </w:rPr>
              <w:t xml:space="preserve"> </w:t>
            </w:r>
            <w:r w:rsidR="00652B4D" w:rsidRPr="00845D1E">
              <w:rPr>
                <w:rFonts w:ascii="Times New Roman" w:hAnsi="Times New Roman"/>
                <w:b/>
                <w:bCs/>
              </w:rPr>
              <w:t>profesjonalizacja i przejrzystość procedur</w:t>
            </w:r>
            <w:r w:rsidR="00652B4D" w:rsidRPr="00845D1E">
              <w:rPr>
                <w:rFonts w:ascii="Times New Roman" w:hAnsi="Times New Roman"/>
              </w:rPr>
              <w:t>: nowa polityka zakupowa państwa na lata 2026–2029 kładzie nacisk na stosowanie „prostego języka” w komunikacji z wykonawcami oraz częstsze wykorzystywanie wstępnych konsultacji rynkowych, co ułatwia mniejszym firmom artystycznym start w przetargach, ideę tę będzie też stosować w realizowanych podstępowaniach AMKP</w:t>
            </w:r>
            <w:r w:rsidR="00394ACD">
              <w:rPr>
                <w:rFonts w:ascii="Times New Roman" w:hAnsi="Times New Roman"/>
              </w:rPr>
              <w:t>;</w:t>
            </w:r>
            <w:r w:rsidR="00652B4D" w:rsidRPr="00845D1E">
              <w:rPr>
                <w:rFonts w:ascii="Times New Roman" w:hAnsi="Times New Roman"/>
              </w:rPr>
              <w:t xml:space="preserve">    </w:t>
            </w:r>
          </w:p>
          <w:p w14:paraId="0F977D6F" w14:textId="55035985" w:rsidR="00652B4D" w:rsidRPr="00394ACD" w:rsidRDefault="00A127D8" w:rsidP="00845D1E">
            <w:pPr>
              <w:spacing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–</w:t>
            </w:r>
            <w:r w:rsidR="006B3BA9">
              <w:rPr>
                <w:rFonts w:ascii="Times New Roman" w:hAnsi="Times New Roman"/>
                <w:b/>
                <w:bCs/>
              </w:rPr>
              <w:t xml:space="preserve"> </w:t>
            </w:r>
            <w:r w:rsidR="00652B4D" w:rsidRPr="00845D1E">
              <w:rPr>
                <w:rFonts w:ascii="Times New Roman" w:hAnsi="Times New Roman"/>
                <w:b/>
                <w:bCs/>
              </w:rPr>
              <w:t>wzrost efektywności zakupów</w:t>
            </w:r>
            <w:r w:rsidR="00652B4D" w:rsidRPr="00845D1E">
              <w:rPr>
                <w:rFonts w:ascii="Times New Roman" w:hAnsi="Times New Roman"/>
              </w:rPr>
              <w:t xml:space="preserve"> </w:t>
            </w:r>
            <w:r w:rsidR="00394ACD">
              <w:rPr>
                <w:rFonts w:ascii="Times New Roman" w:hAnsi="Times New Roman"/>
              </w:rPr>
              <w:t>–</w:t>
            </w:r>
            <w:r w:rsidR="00652B4D" w:rsidRPr="00845D1E">
              <w:rPr>
                <w:rFonts w:ascii="Times New Roman" w:hAnsi="Times New Roman"/>
              </w:rPr>
              <w:t xml:space="preserve"> wzrost progów ustawowych od 1 stycznia 2026 r. oznacza, że</w:t>
            </w:r>
            <w:r w:rsidR="000D3791">
              <w:rPr>
                <w:rFonts w:ascii="Times New Roman" w:hAnsi="Times New Roman"/>
              </w:rPr>
              <w:t> </w:t>
            </w:r>
            <w:r w:rsidR="00652B4D" w:rsidRPr="00845D1E">
              <w:rPr>
                <w:rFonts w:ascii="Times New Roman" w:hAnsi="Times New Roman"/>
              </w:rPr>
              <w:t>mniejsze zamówienia związane z wyposażeniem artystycznym będą mogły być realizowane według uproszczonych procedur wewnętrznych.</w:t>
            </w:r>
          </w:p>
        </w:tc>
      </w:tr>
      <w:tr w:rsidR="000C6E02" w:rsidRPr="00D129C5" w14:paraId="03614517" w14:textId="77777777" w:rsidTr="00785D37">
        <w:trPr>
          <w:gridAfter w:val="1"/>
          <w:wAfter w:w="10" w:type="dxa"/>
          <w:trHeight w:val="342"/>
        </w:trPr>
        <w:tc>
          <w:tcPr>
            <w:tcW w:w="11333" w:type="dxa"/>
            <w:gridSpan w:val="21"/>
            <w:shd w:val="clear" w:color="auto" w:fill="99CCFF"/>
            <w:vAlign w:val="center"/>
          </w:tcPr>
          <w:p w14:paraId="29497D86" w14:textId="77777777" w:rsidR="000C6E02" w:rsidRPr="00D129C5" w:rsidRDefault="000C6E02" w:rsidP="00CE73F6">
            <w:pPr>
              <w:numPr>
                <w:ilvl w:val="0"/>
                <w:numId w:val="34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129C5">
              <w:rPr>
                <w:rFonts w:ascii="Times New Roman" w:hAnsi="Times New Roman"/>
                <w:b/>
                <w:color w:val="000000"/>
              </w:rPr>
              <w:lastRenderedPageBreak/>
              <w:t>Zmiana obciążeń regulacyjnych (w tym obowiązków informacyjnych) wynikających z projektu</w:t>
            </w:r>
          </w:p>
        </w:tc>
      </w:tr>
      <w:tr w:rsidR="000C6E02" w:rsidRPr="00D129C5" w14:paraId="4870B432" w14:textId="77777777" w:rsidTr="00785D37">
        <w:trPr>
          <w:gridAfter w:val="1"/>
          <w:wAfter w:w="10" w:type="dxa"/>
          <w:trHeight w:val="151"/>
        </w:trPr>
        <w:tc>
          <w:tcPr>
            <w:tcW w:w="11333" w:type="dxa"/>
            <w:gridSpan w:val="21"/>
            <w:shd w:val="clear" w:color="auto" w:fill="FFFFFF"/>
          </w:tcPr>
          <w:p w14:paraId="45A43ACD" w14:textId="77777777" w:rsidR="000C6E02" w:rsidRPr="00D129C5" w:rsidRDefault="0027086D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  <w:spacing w:val="-2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  <w:spacing w:val="-2"/>
              </w:rPr>
            </w:r>
            <w:r w:rsidR="009E504F">
              <w:rPr>
                <w:rFonts w:ascii="Times New Roman" w:hAnsi="Times New Roman"/>
                <w:color w:val="000000"/>
                <w:spacing w:val="-2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  <w:spacing w:val="-2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  <w:spacing w:val="-2"/>
              </w:rPr>
              <w:t xml:space="preserve"> nie dotyczy</w:t>
            </w:r>
          </w:p>
        </w:tc>
      </w:tr>
      <w:tr w:rsidR="000C6E02" w:rsidRPr="00D129C5" w14:paraId="195E3B3C" w14:textId="77777777" w:rsidTr="00785D37">
        <w:trPr>
          <w:gridAfter w:val="1"/>
          <w:wAfter w:w="10" w:type="dxa"/>
          <w:trHeight w:val="946"/>
        </w:trPr>
        <w:tc>
          <w:tcPr>
            <w:tcW w:w="5507" w:type="dxa"/>
            <w:gridSpan w:val="10"/>
            <w:shd w:val="clear" w:color="auto" w:fill="FFFFFF"/>
          </w:tcPr>
          <w:p w14:paraId="26BDC752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D129C5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26" w:type="dxa"/>
            <w:gridSpan w:val="11"/>
            <w:shd w:val="clear" w:color="auto" w:fill="FFFFFF"/>
          </w:tcPr>
          <w:p w14:paraId="59945081" w14:textId="77777777" w:rsidR="0027086D" w:rsidRPr="00D129C5" w:rsidRDefault="0027086D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29E15C27" w14:textId="77777777" w:rsidR="0027086D" w:rsidRPr="00D129C5" w:rsidRDefault="0027086D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4598FE3D" w14:textId="77777777" w:rsidR="000C6E02" w:rsidRPr="00D129C5" w:rsidRDefault="0027086D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27086D" w:rsidRPr="00D129C5" w14:paraId="34618132" w14:textId="77777777" w:rsidTr="00785D37">
        <w:trPr>
          <w:gridAfter w:val="1"/>
          <w:wAfter w:w="10" w:type="dxa"/>
          <w:trHeight w:val="1245"/>
        </w:trPr>
        <w:tc>
          <w:tcPr>
            <w:tcW w:w="5507" w:type="dxa"/>
            <w:gridSpan w:val="10"/>
            <w:shd w:val="clear" w:color="auto" w:fill="FFFFFF"/>
          </w:tcPr>
          <w:p w14:paraId="4F1334CD" w14:textId="77777777" w:rsidR="0027086D" w:rsidRPr="00D129C5" w:rsidRDefault="0027086D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2EDD8BAB" w14:textId="77777777" w:rsidR="0027086D" w:rsidRPr="00D129C5" w:rsidRDefault="0027086D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0443E7E1" w14:textId="77777777" w:rsidR="0027086D" w:rsidRPr="00D129C5" w:rsidRDefault="0027086D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14:paraId="3C236487" w14:textId="77777777" w:rsidR="0027086D" w:rsidRPr="00D129C5" w:rsidRDefault="0027086D" w:rsidP="00D129C5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D129C5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D129C5">
              <w:rPr>
                <w:rFonts w:ascii="Times New Roman" w:hAnsi="Times New Roman"/>
                <w:color w:val="000000"/>
              </w:rPr>
            </w:r>
            <w:r w:rsidRPr="00D129C5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noProof/>
                <w:color w:val="000000"/>
              </w:rPr>
              <w:t> </w:t>
            </w:r>
            <w:r w:rsidRPr="00D129C5">
              <w:rPr>
                <w:rFonts w:ascii="Times New Roman" w:hAnsi="Times New Roman"/>
                <w:noProof/>
                <w:color w:val="000000"/>
              </w:rPr>
              <w:t> </w:t>
            </w:r>
            <w:r w:rsidRPr="00D129C5">
              <w:rPr>
                <w:rFonts w:ascii="Times New Roman" w:hAnsi="Times New Roman"/>
                <w:noProof/>
                <w:color w:val="000000"/>
              </w:rPr>
              <w:t> </w:t>
            </w:r>
            <w:r w:rsidRPr="00D129C5">
              <w:rPr>
                <w:rFonts w:ascii="Times New Roman" w:hAnsi="Times New Roman"/>
                <w:noProof/>
                <w:color w:val="000000"/>
              </w:rPr>
              <w:t> </w:t>
            </w:r>
            <w:r w:rsidRPr="00D129C5">
              <w:rPr>
                <w:rFonts w:ascii="Times New Roman" w:hAnsi="Times New Roman"/>
                <w:noProof/>
                <w:color w:val="000000"/>
              </w:rPr>
              <w:t> </w:t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1"/>
            <w:shd w:val="clear" w:color="auto" w:fill="FFFFFF"/>
          </w:tcPr>
          <w:p w14:paraId="34D454F4" w14:textId="77777777" w:rsidR="0027086D" w:rsidRPr="00D129C5" w:rsidRDefault="0027086D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50CBDA2C" w14:textId="77777777" w:rsidR="0027086D" w:rsidRPr="00D129C5" w:rsidRDefault="0027086D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377DB967" w14:textId="77777777" w:rsidR="0027086D" w:rsidRPr="00D129C5" w:rsidRDefault="0027086D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14:paraId="1211150E" w14:textId="186E3DCB" w:rsidR="0027086D" w:rsidRPr="00D129C5" w:rsidRDefault="0027086D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D129C5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D129C5">
              <w:rPr>
                <w:rFonts w:ascii="Times New Roman" w:hAnsi="Times New Roman"/>
                <w:color w:val="000000"/>
              </w:rPr>
            </w:r>
            <w:r w:rsidRPr="00D129C5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noProof/>
                <w:color w:val="000000"/>
              </w:rPr>
              <w:t> </w:t>
            </w:r>
            <w:r w:rsidRPr="00D129C5">
              <w:rPr>
                <w:rFonts w:ascii="Times New Roman" w:hAnsi="Times New Roman"/>
                <w:noProof/>
                <w:color w:val="000000"/>
              </w:rPr>
              <w:t> </w:t>
            </w:r>
            <w:r w:rsidRPr="00D129C5">
              <w:rPr>
                <w:rFonts w:ascii="Times New Roman" w:hAnsi="Times New Roman"/>
                <w:noProof/>
                <w:color w:val="000000"/>
              </w:rPr>
              <w:t> </w:t>
            </w:r>
            <w:r w:rsidRPr="00D129C5">
              <w:rPr>
                <w:rFonts w:ascii="Times New Roman" w:hAnsi="Times New Roman"/>
                <w:noProof/>
                <w:color w:val="000000"/>
              </w:rPr>
              <w:t> </w:t>
            </w:r>
            <w:r w:rsidRPr="00D129C5">
              <w:rPr>
                <w:rFonts w:ascii="Times New Roman" w:hAnsi="Times New Roman"/>
                <w:noProof/>
                <w:color w:val="000000"/>
              </w:rPr>
              <w:t> </w:t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0C6E02" w:rsidRPr="00D129C5" w14:paraId="156863C7" w14:textId="77777777" w:rsidTr="00785D37">
        <w:trPr>
          <w:gridAfter w:val="1"/>
          <w:wAfter w:w="10" w:type="dxa"/>
          <w:trHeight w:val="870"/>
        </w:trPr>
        <w:tc>
          <w:tcPr>
            <w:tcW w:w="5507" w:type="dxa"/>
            <w:gridSpan w:val="10"/>
            <w:shd w:val="clear" w:color="auto" w:fill="FFFFFF"/>
          </w:tcPr>
          <w:p w14:paraId="1BA61D1A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1"/>
            <w:shd w:val="clear" w:color="auto" w:fill="FFFFFF"/>
          </w:tcPr>
          <w:p w14:paraId="4EB7424A" w14:textId="77777777" w:rsidR="00FA05CA" w:rsidRPr="00D129C5" w:rsidRDefault="00FA05CA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6776F489" w14:textId="77777777" w:rsidR="00FA05CA" w:rsidRPr="00D129C5" w:rsidRDefault="00FA05CA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088C9CCF" w14:textId="58454CDE" w:rsidR="000C6E02" w:rsidRPr="00D129C5" w:rsidRDefault="00FA05CA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0C6E02" w:rsidRPr="00D129C5" w14:paraId="09E55B06" w14:textId="77777777" w:rsidTr="00785D37">
        <w:trPr>
          <w:gridAfter w:val="1"/>
          <w:wAfter w:w="10" w:type="dxa"/>
          <w:trHeight w:val="512"/>
        </w:trPr>
        <w:tc>
          <w:tcPr>
            <w:tcW w:w="11333" w:type="dxa"/>
            <w:gridSpan w:val="21"/>
            <w:shd w:val="clear" w:color="auto" w:fill="FFFFFF"/>
          </w:tcPr>
          <w:p w14:paraId="3856D6CE" w14:textId="77777777" w:rsidR="000C6E02" w:rsidRDefault="000C6E02" w:rsidP="00EA6CB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Komentarz:</w:t>
            </w:r>
            <w:r w:rsidR="00C620C0" w:rsidRPr="00D129C5">
              <w:rPr>
                <w:rFonts w:ascii="Times New Roman" w:hAnsi="Times New Roman"/>
                <w:color w:val="000000"/>
              </w:rPr>
              <w:t xml:space="preserve"> Budowa </w:t>
            </w:r>
            <w:r w:rsidR="0067022A">
              <w:rPr>
                <w:rFonts w:ascii="Times New Roman" w:hAnsi="Times New Roman"/>
                <w:color w:val="000000"/>
              </w:rPr>
              <w:t xml:space="preserve">obiektów dydaktycznych </w:t>
            </w:r>
            <w:r w:rsidR="00C620C0" w:rsidRPr="00D129C5">
              <w:rPr>
                <w:rFonts w:ascii="Times New Roman" w:hAnsi="Times New Roman"/>
                <w:color w:val="000000"/>
              </w:rPr>
              <w:t>A</w:t>
            </w:r>
            <w:r w:rsidR="007232D1">
              <w:rPr>
                <w:rFonts w:ascii="Times New Roman" w:hAnsi="Times New Roman"/>
                <w:color w:val="000000"/>
              </w:rPr>
              <w:t>MKP</w:t>
            </w:r>
            <w:r w:rsidR="0067022A">
              <w:rPr>
                <w:rFonts w:ascii="Times New Roman" w:hAnsi="Times New Roman"/>
                <w:color w:val="000000"/>
              </w:rPr>
              <w:t xml:space="preserve"> będzie</w:t>
            </w:r>
            <w:r w:rsidR="00C620C0" w:rsidRPr="00D129C5">
              <w:rPr>
                <w:rFonts w:ascii="Times New Roman" w:hAnsi="Times New Roman"/>
                <w:color w:val="000000"/>
              </w:rPr>
              <w:t xml:space="preserve"> podlega</w:t>
            </w:r>
            <w:r w:rsidR="0067022A">
              <w:rPr>
                <w:rFonts w:ascii="Times New Roman" w:hAnsi="Times New Roman"/>
                <w:color w:val="000000"/>
              </w:rPr>
              <w:t>ła</w:t>
            </w:r>
            <w:r w:rsidR="00C620C0" w:rsidRPr="00D129C5">
              <w:rPr>
                <w:rFonts w:ascii="Times New Roman" w:hAnsi="Times New Roman"/>
                <w:color w:val="000000"/>
              </w:rPr>
              <w:t xml:space="preserve"> stałemu monitoringowi według określonych zasad. W</w:t>
            </w:r>
            <w:r w:rsidR="000D67D1">
              <w:rPr>
                <w:rFonts w:ascii="Times New Roman" w:hAnsi="Times New Roman"/>
                <w:color w:val="000000"/>
              </w:rPr>
              <w:t> </w:t>
            </w:r>
            <w:r w:rsidR="00C620C0" w:rsidRPr="00D129C5">
              <w:rPr>
                <w:rFonts w:ascii="Times New Roman" w:hAnsi="Times New Roman"/>
                <w:color w:val="000000"/>
              </w:rPr>
              <w:t>przypadku wystąpienia konieczności aktualizacji Programu będzie ona dokonana przez weryfikację zakresów rzeczowych i</w:t>
            </w:r>
            <w:r w:rsidR="001C6A97">
              <w:rPr>
                <w:rFonts w:ascii="Times New Roman" w:hAnsi="Times New Roman"/>
                <w:color w:val="000000"/>
              </w:rPr>
              <w:t> </w:t>
            </w:r>
            <w:r w:rsidR="00C620C0" w:rsidRPr="00D129C5">
              <w:rPr>
                <w:rFonts w:ascii="Times New Roman" w:hAnsi="Times New Roman"/>
                <w:color w:val="000000"/>
              </w:rPr>
              <w:t xml:space="preserve">wynikających </w:t>
            </w:r>
            <w:r w:rsidR="00F17544" w:rsidRPr="00D129C5">
              <w:rPr>
                <w:rFonts w:ascii="Times New Roman" w:hAnsi="Times New Roman"/>
                <w:color w:val="000000"/>
              </w:rPr>
              <w:t xml:space="preserve">z tego kosztów i terminów, niezwłocznie po wystąpieniu czynników mających wpływ na zmianę </w:t>
            </w:r>
            <w:r w:rsidR="00CC3A6D">
              <w:rPr>
                <w:rFonts w:ascii="Times New Roman" w:hAnsi="Times New Roman"/>
                <w:color w:val="000000"/>
              </w:rPr>
              <w:t>regulacji</w:t>
            </w:r>
            <w:r w:rsidR="00F17544" w:rsidRPr="00D129C5">
              <w:rPr>
                <w:rFonts w:ascii="Times New Roman" w:hAnsi="Times New Roman"/>
                <w:color w:val="000000"/>
              </w:rPr>
              <w:t xml:space="preserve"> przyjętych w uchwale. </w:t>
            </w:r>
          </w:p>
          <w:p w14:paraId="767B6237" w14:textId="7C8E28FE" w:rsidR="00477204" w:rsidRPr="00845D1E" w:rsidRDefault="00477204" w:rsidP="00845D1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5D1E">
              <w:rPr>
                <w:rFonts w:ascii="Times New Roman" w:hAnsi="Times New Roman"/>
              </w:rPr>
              <w:lastRenderedPageBreak/>
              <w:t>A</w:t>
            </w:r>
            <w:r w:rsidR="00EA6CB2">
              <w:rPr>
                <w:rFonts w:ascii="Times New Roman" w:hAnsi="Times New Roman"/>
              </w:rPr>
              <w:t>MKP</w:t>
            </w:r>
            <w:r w:rsidRPr="00845D1E">
              <w:rPr>
                <w:rFonts w:ascii="Times New Roman" w:hAnsi="Times New Roman"/>
              </w:rPr>
              <w:t xml:space="preserve"> posiada doświadczenie w realizacji inwestycji</w:t>
            </w:r>
            <w:r w:rsidR="00394ACD">
              <w:rPr>
                <w:rFonts w:ascii="Times New Roman" w:hAnsi="Times New Roman"/>
              </w:rPr>
              <w:t>,</w:t>
            </w:r>
            <w:r w:rsidRPr="00845D1E">
              <w:rPr>
                <w:rFonts w:ascii="Times New Roman" w:hAnsi="Times New Roman"/>
              </w:rPr>
              <w:t xml:space="preserve"> jak również dokłada wszelkich starań w pozyskaniu dodatkowych funduszy na utrzymanie i modernizację dotychczas użytkowanych budynków. Wśród najważniejszych inwestycji, które udało się skutecznie zrealizować własnymi siłami</w:t>
            </w:r>
            <w:r w:rsidR="00A127D8">
              <w:rPr>
                <w:rFonts w:ascii="Times New Roman" w:hAnsi="Times New Roman"/>
              </w:rPr>
              <w:t>,</w:t>
            </w:r>
            <w:r w:rsidRPr="00845D1E">
              <w:rPr>
                <w:rFonts w:ascii="Times New Roman" w:hAnsi="Times New Roman"/>
              </w:rPr>
              <w:t xml:space="preserve"> są projekty termomodernizacyjne</w:t>
            </w:r>
            <w:r w:rsidR="00A17507">
              <w:rPr>
                <w:rFonts w:ascii="Times New Roman" w:hAnsi="Times New Roman"/>
              </w:rPr>
              <w:t>,</w:t>
            </w:r>
            <w:r w:rsidRPr="00845D1E">
              <w:rPr>
                <w:rFonts w:ascii="Times New Roman" w:hAnsi="Times New Roman"/>
              </w:rPr>
              <w:t xml:space="preserve"> jak również rozbudowa i gruntowny remont, zakupionego budynku przy ul. A. Potebni. </w:t>
            </w:r>
          </w:p>
          <w:p w14:paraId="7673DFD3" w14:textId="78A8F18A" w:rsidR="00477204" w:rsidRPr="00845D1E" w:rsidRDefault="00477204" w:rsidP="00845D1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5D1E">
              <w:rPr>
                <w:rFonts w:ascii="Times New Roman" w:hAnsi="Times New Roman"/>
              </w:rPr>
              <w:t>W odniesieniu do planowanej inwestycji budowy obiektów AMKP wykonano szereg prac rozbiórkowych</w:t>
            </w:r>
            <w:r w:rsidR="00A17507">
              <w:rPr>
                <w:rFonts w:ascii="Times New Roman" w:hAnsi="Times New Roman"/>
              </w:rPr>
              <w:t xml:space="preserve"> i</w:t>
            </w:r>
            <w:r w:rsidRPr="00845D1E">
              <w:rPr>
                <w:rFonts w:ascii="Times New Roman" w:hAnsi="Times New Roman"/>
              </w:rPr>
              <w:t xml:space="preserve"> porządkowych, zmierzających do przygotowania budowy kubaturowej. Przy realizacji inwestycji budowy nowej siedziby A</w:t>
            </w:r>
            <w:r w:rsidR="00A17507">
              <w:rPr>
                <w:rFonts w:ascii="Times New Roman" w:hAnsi="Times New Roman"/>
              </w:rPr>
              <w:t>MKP</w:t>
            </w:r>
            <w:r w:rsidRPr="00845D1E">
              <w:rPr>
                <w:rFonts w:ascii="Times New Roman" w:hAnsi="Times New Roman"/>
              </w:rPr>
              <w:t xml:space="preserve">, oprócz własnych zasobów kadrowych, zamierza wyłonić inwestora zastępczego, stawiając mu wysokie wymagania dotyczące doświadczenia w realizacji obiektów o podobnym przeznaczeniu. W przygotowaniu inwestycji </w:t>
            </w:r>
            <w:r w:rsidR="00A17507">
              <w:rPr>
                <w:rFonts w:ascii="Times New Roman" w:hAnsi="Times New Roman"/>
              </w:rPr>
              <w:t>AMKP</w:t>
            </w:r>
            <w:r w:rsidRPr="00845D1E">
              <w:rPr>
                <w:rFonts w:ascii="Times New Roman" w:hAnsi="Times New Roman"/>
              </w:rPr>
              <w:t xml:space="preserve"> zawiązała stałą współpracę ze specjalistami z zakresu architektoniczno-budowlanego, akustyki i ochrony akustycznej oraz spraw z zakresu prawa budowlanego i zamówień publicznych. </w:t>
            </w:r>
          </w:p>
          <w:p w14:paraId="565E87A1" w14:textId="3D1AD436" w:rsidR="00477204" w:rsidRPr="00845D1E" w:rsidRDefault="00477204" w:rsidP="00845D1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5D1E">
              <w:rPr>
                <w:rFonts w:ascii="Times New Roman" w:hAnsi="Times New Roman"/>
              </w:rPr>
              <w:t xml:space="preserve">Niemniej jednak </w:t>
            </w:r>
            <w:r w:rsidRPr="00845D1E">
              <w:rPr>
                <w:rFonts w:ascii="Times New Roman" w:eastAsia="Times New Roman" w:hAnsi="Times New Roman"/>
                <w:lang w:eastAsia="pl-PL"/>
              </w:rPr>
              <w:t>głównym celem A</w:t>
            </w:r>
            <w:r w:rsidR="00A17507">
              <w:rPr>
                <w:rFonts w:ascii="Times New Roman" w:eastAsia="Times New Roman" w:hAnsi="Times New Roman"/>
                <w:lang w:eastAsia="pl-PL"/>
              </w:rPr>
              <w:t>MKP</w:t>
            </w:r>
            <w:r w:rsidRPr="00845D1E">
              <w:rPr>
                <w:rFonts w:ascii="Times New Roman" w:eastAsia="Times New Roman" w:hAnsi="Times New Roman"/>
                <w:lang w:eastAsia="pl-PL"/>
              </w:rPr>
              <w:t xml:space="preserve"> jest kształcenie wysoko wykwalifikowanych artystów-muzyków, rozwijanie indywidualnych osobowości twórczych oraz prowadzenie działalności naukowej i artystycznej w dziedzinie sztuk muzycznych. W związku z powyższym A</w:t>
            </w:r>
            <w:r w:rsidR="00A17507">
              <w:rPr>
                <w:rFonts w:ascii="Times New Roman" w:eastAsia="Times New Roman" w:hAnsi="Times New Roman"/>
                <w:lang w:eastAsia="pl-PL"/>
              </w:rPr>
              <w:t>MKP</w:t>
            </w:r>
            <w:r w:rsidRPr="00845D1E">
              <w:rPr>
                <w:rFonts w:ascii="Times New Roman" w:eastAsia="Times New Roman" w:hAnsi="Times New Roman"/>
                <w:lang w:eastAsia="pl-PL"/>
              </w:rPr>
              <w:t xml:space="preserve"> nie posiada w swojej strukturze </w:t>
            </w:r>
            <w:r w:rsidRPr="00845D1E">
              <w:rPr>
                <w:rFonts w:ascii="Times New Roman" w:eastAsia="Times New Roman" w:hAnsi="Times New Roman"/>
                <w:i/>
                <w:iCs/>
                <w:lang w:eastAsia="pl-PL"/>
              </w:rPr>
              <w:t>stricte</w:t>
            </w:r>
            <w:r w:rsidRPr="00845D1E">
              <w:rPr>
                <w:rFonts w:ascii="Times New Roman" w:eastAsia="Times New Roman" w:hAnsi="Times New Roman"/>
                <w:lang w:eastAsia="pl-PL"/>
              </w:rPr>
              <w:t xml:space="preserve"> wykwalifikowanej kadry z zakresu prawa budowlanego czy zarzadzania procesem inwestycyjnym.</w:t>
            </w:r>
          </w:p>
          <w:p w14:paraId="60C89412" w14:textId="42F5A066" w:rsidR="00477204" w:rsidRPr="00D129C5" w:rsidRDefault="00477204" w:rsidP="00EA6CB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45D1E">
              <w:rPr>
                <w:rFonts w:ascii="Times New Roman" w:hAnsi="Times New Roman"/>
              </w:rPr>
              <w:t>Zaangażowanie  zewn</w:t>
            </w:r>
            <w:r w:rsidRPr="00845D1E">
              <w:rPr>
                <w:rFonts w:ascii="Times New Roman" w:eastAsia="TimesNewRoman" w:hAnsi="Times New Roman"/>
              </w:rPr>
              <w:t>ę</w:t>
            </w:r>
            <w:r w:rsidRPr="00845D1E">
              <w:rPr>
                <w:rFonts w:ascii="Times New Roman" w:hAnsi="Times New Roman"/>
              </w:rPr>
              <w:t>trznego podmiotu do zarz</w:t>
            </w:r>
            <w:r w:rsidRPr="00845D1E">
              <w:rPr>
                <w:rFonts w:ascii="Times New Roman" w:eastAsia="TimesNewRoman" w:hAnsi="Times New Roman"/>
              </w:rPr>
              <w:t>ą</w:t>
            </w:r>
            <w:r w:rsidRPr="00845D1E">
              <w:rPr>
                <w:rFonts w:ascii="Times New Roman" w:hAnsi="Times New Roman"/>
              </w:rPr>
              <w:t>dzania procesem inwestycyjnym</w:t>
            </w:r>
            <w:r w:rsidR="00A17507">
              <w:rPr>
                <w:rFonts w:ascii="Times New Roman" w:hAnsi="Times New Roman"/>
              </w:rPr>
              <w:t>,</w:t>
            </w:r>
            <w:r w:rsidRPr="00845D1E">
              <w:rPr>
                <w:rFonts w:ascii="Times New Roman" w:hAnsi="Times New Roman"/>
              </w:rPr>
              <w:t xml:space="preserve"> tzw.</w:t>
            </w:r>
            <w:r w:rsidRPr="00845D1E">
              <w:rPr>
                <w:rFonts w:ascii="Times New Roman" w:eastAsia="TimesNewRoman" w:hAnsi="Times New Roman"/>
              </w:rPr>
              <w:t xml:space="preserve"> </w:t>
            </w:r>
            <w:r w:rsidRPr="00845D1E">
              <w:rPr>
                <w:rFonts w:ascii="Times New Roman" w:hAnsi="Times New Roman"/>
              </w:rPr>
              <w:t>inwestora zast</w:t>
            </w:r>
            <w:r w:rsidRPr="00845D1E">
              <w:rPr>
                <w:rFonts w:ascii="Times New Roman" w:eastAsia="TimesNewRoman" w:hAnsi="Times New Roman"/>
              </w:rPr>
              <w:t>ę</w:t>
            </w:r>
            <w:r w:rsidRPr="00845D1E">
              <w:rPr>
                <w:rFonts w:ascii="Times New Roman" w:hAnsi="Times New Roman"/>
              </w:rPr>
              <w:t>pczego, znajduje uzasadnienie w związku z brakiem</w:t>
            </w:r>
            <w:r w:rsidR="00A17507">
              <w:rPr>
                <w:rFonts w:ascii="Times New Roman" w:hAnsi="Times New Roman"/>
              </w:rPr>
              <w:t>,</w:t>
            </w:r>
            <w:r w:rsidRPr="00845D1E">
              <w:rPr>
                <w:rFonts w:ascii="Times New Roman" w:hAnsi="Times New Roman"/>
              </w:rPr>
              <w:t xml:space="preserve"> jak wspomniano</w:t>
            </w:r>
            <w:r w:rsidR="00A17507">
              <w:rPr>
                <w:rFonts w:ascii="Times New Roman" w:hAnsi="Times New Roman"/>
              </w:rPr>
              <w:t>,</w:t>
            </w:r>
            <w:r w:rsidRPr="00845D1E">
              <w:rPr>
                <w:rFonts w:ascii="Times New Roman" w:hAnsi="Times New Roman"/>
              </w:rPr>
              <w:t xml:space="preserve"> wyspecjalizowanych i do</w:t>
            </w:r>
            <w:r w:rsidRPr="00845D1E">
              <w:rPr>
                <w:rFonts w:ascii="Times New Roman" w:eastAsia="TimesNewRoman" w:hAnsi="Times New Roman"/>
              </w:rPr>
              <w:t>ś</w:t>
            </w:r>
            <w:r w:rsidRPr="00845D1E">
              <w:rPr>
                <w:rFonts w:ascii="Times New Roman" w:hAnsi="Times New Roman"/>
              </w:rPr>
              <w:t>wiadczonych własnych jednostek organizacyjnych</w:t>
            </w:r>
            <w:r w:rsidR="00A17507">
              <w:rPr>
                <w:rFonts w:ascii="Times New Roman" w:hAnsi="Times New Roman"/>
              </w:rPr>
              <w:t>,</w:t>
            </w:r>
            <w:r w:rsidRPr="00845D1E">
              <w:rPr>
                <w:rFonts w:ascii="Times New Roman" w:hAnsi="Times New Roman"/>
              </w:rPr>
              <w:t xml:space="preserve"> jak również wysokim stopniem skomplikowania procesu inwestycyjnego. Podstawowym wyzwaniem w tym przypadku będzie konieczno</w:t>
            </w:r>
            <w:r w:rsidRPr="00845D1E">
              <w:rPr>
                <w:rFonts w:ascii="Times New Roman" w:eastAsia="TimesNewRoman" w:hAnsi="Times New Roman"/>
              </w:rPr>
              <w:t xml:space="preserve">ść </w:t>
            </w:r>
            <w:r w:rsidRPr="00845D1E">
              <w:rPr>
                <w:rFonts w:ascii="Times New Roman" w:hAnsi="Times New Roman"/>
              </w:rPr>
              <w:t>zapewnienia przez A</w:t>
            </w:r>
            <w:r w:rsidR="00A17507">
              <w:rPr>
                <w:rFonts w:ascii="Times New Roman" w:hAnsi="Times New Roman"/>
              </w:rPr>
              <w:t>MKP</w:t>
            </w:r>
            <w:r w:rsidRPr="00845D1E">
              <w:rPr>
                <w:rFonts w:ascii="Times New Roman" w:hAnsi="Times New Roman"/>
              </w:rPr>
              <w:t xml:space="preserve"> odpowiedniego nadzoru nad wykonywaną usługą przez podmiot zewn</w:t>
            </w:r>
            <w:r w:rsidRPr="00845D1E">
              <w:rPr>
                <w:rFonts w:ascii="Times New Roman" w:eastAsia="TimesNewRoman" w:hAnsi="Times New Roman"/>
              </w:rPr>
              <w:t>ę</w:t>
            </w:r>
            <w:r w:rsidRPr="00845D1E">
              <w:rPr>
                <w:rFonts w:ascii="Times New Roman" w:hAnsi="Times New Roman"/>
              </w:rPr>
              <w:t>trzny (inwestora zastępczego), która powinna by</w:t>
            </w:r>
            <w:r w:rsidRPr="00845D1E">
              <w:rPr>
                <w:rFonts w:ascii="Times New Roman" w:eastAsia="TimesNewRoman" w:hAnsi="Times New Roman"/>
              </w:rPr>
              <w:t xml:space="preserve">ć </w:t>
            </w:r>
            <w:r w:rsidRPr="00845D1E">
              <w:rPr>
                <w:rFonts w:ascii="Times New Roman" w:hAnsi="Times New Roman"/>
              </w:rPr>
              <w:t>realizowana z pełnym uwzgl</w:t>
            </w:r>
            <w:r w:rsidRPr="00845D1E">
              <w:rPr>
                <w:rFonts w:ascii="Times New Roman" w:eastAsia="TimesNewRoman" w:hAnsi="Times New Roman"/>
              </w:rPr>
              <w:t>ę</w:t>
            </w:r>
            <w:r w:rsidRPr="00845D1E">
              <w:rPr>
                <w:rFonts w:ascii="Times New Roman" w:hAnsi="Times New Roman"/>
              </w:rPr>
              <w:t xml:space="preserve">dnieniem zasad </w:t>
            </w:r>
            <w:r w:rsidRPr="00845D1E">
              <w:rPr>
                <w:rFonts w:ascii="Times New Roman" w:eastAsia="TimesNewRoman" w:hAnsi="Times New Roman"/>
              </w:rPr>
              <w:t>prowadzonego procesu inwestycyjnego oraz odpowiedzialności</w:t>
            </w:r>
            <w:r w:rsidRPr="00845D1E">
              <w:rPr>
                <w:rFonts w:ascii="Times New Roman" w:hAnsi="Times New Roman"/>
              </w:rPr>
              <w:t>. Jest to niezb</w:t>
            </w:r>
            <w:r w:rsidRPr="00845D1E">
              <w:rPr>
                <w:rFonts w:ascii="Times New Roman" w:eastAsia="TimesNewRoman" w:hAnsi="Times New Roman"/>
              </w:rPr>
              <w:t>ę</w:t>
            </w:r>
            <w:r w:rsidRPr="00845D1E">
              <w:rPr>
                <w:rFonts w:ascii="Times New Roman" w:hAnsi="Times New Roman"/>
              </w:rPr>
              <w:t>dne, gdy</w:t>
            </w:r>
            <w:r w:rsidRPr="00845D1E">
              <w:rPr>
                <w:rFonts w:ascii="Times New Roman" w:eastAsia="TimesNewRoman" w:hAnsi="Times New Roman"/>
              </w:rPr>
              <w:t xml:space="preserve">ż </w:t>
            </w:r>
            <w:r w:rsidRPr="00845D1E">
              <w:rPr>
                <w:rFonts w:ascii="Times New Roman" w:hAnsi="Times New Roman"/>
              </w:rPr>
              <w:t>ostatecznie odpowiedzialnym za realizację inwestycji pozostaje beneficjent, czyli A</w:t>
            </w:r>
            <w:r w:rsidR="00A17507">
              <w:rPr>
                <w:rFonts w:ascii="Times New Roman" w:hAnsi="Times New Roman"/>
              </w:rPr>
              <w:t>MKP</w:t>
            </w:r>
            <w:r w:rsidRPr="00845D1E">
              <w:rPr>
                <w:rFonts w:ascii="Times New Roman" w:hAnsi="Times New Roman"/>
              </w:rPr>
              <w:t>. W tym przypadku niezwykle wa</w:t>
            </w:r>
            <w:r w:rsidRPr="00845D1E">
              <w:rPr>
                <w:rFonts w:ascii="Times New Roman" w:eastAsia="TimesNewRoman" w:hAnsi="Times New Roman"/>
              </w:rPr>
              <w:t>ż</w:t>
            </w:r>
            <w:r w:rsidRPr="00845D1E">
              <w:rPr>
                <w:rFonts w:ascii="Times New Roman" w:hAnsi="Times New Roman"/>
              </w:rPr>
              <w:t>ne będzie odpowiednie sformalizowanie współpracy. W</w:t>
            </w:r>
            <w:r w:rsidR="000D3791">
              <w:rPr>
                <w:rFonts w:ascii="Times New Roman" w:hAnsi="Times New Roman"/>
              </w:rPr>
              <w:t> </w:t>
            </w:r>
            <w:r w:rsidRPr="00845D1E">
              <w:rPr>
                <w:rFonts w:ascii="Times New Roman" w:hAnsi="Times New Roman"/>
              </w:rPr>
              <w:t>tym też celu A</w:t>
            </w:r>
            <w:r w:rsidR="00A17507">
              <w:rPr>
                <w:rFonts w:ascii="Times New Roman" w:hAnsi="Times New Roman"/>
              </w:rPr>
              <w:t>MKP</w:t>
            </w:r>
            <w:r w:rsidRPr="00845D1E">
              <w:rPr>
                <w:rFonts w:ascii="Times New Roman" w:hAnsi="Times New Roman"/>
              </w:rPr>
              <w:t xml:space="preserve"> zawiązała już na wcześniejszym etapie współpracę z wyżej wspomnianymi specjalistami, którzy będą </w:t>
            </w:r>
            <w:r w:rsidR="00A17507">
              <w:rPr>
                <w:rFonts w:ascii="Times New Roman" w:hAnsi="Times New Roman"/>
              </w:rPr>
              <w:t xml:space="preserve">ją </w:t>
            </w:r>
            <w:r w:rsidRPr="00845D1E">
              <w:rPr>
                <w:rFonts w:ascii="Times New Roman" w:hAnsi="Times New Roman"/>
              </w:rPr>
              <w:t>reprezentować.</w:t>
            </w:r>
          </w:p>
        </w:tc>
      </w:tr>
      <w:tr w:rsidR="000C6E02" w:rsidRPr="00D129C5" w14:paraId="6FA60281" w14:textId="77777777" w:rsidTr="00785D37">
        <w:trPr>
          <w:gridAfter w:val="1"/>
          <w:wAfter w:w="10" w:type="dxa"/>
          <w:trHeight w:val="142"/>
        </w:trPr>
        <w:tc>
          <w:tcPr>
            <w:tcW w:w="11333" w:type="dxa"/>
            <w:gridSpan w:val="21"/>
            <w:shd w:val="clear" w:color="auto" w:fill="99CCFF"/>
          </w:tcPr>
          <w:p w14:paraId="3EE1988C" w14:textId="77777777" w:rsidR="000C6E02" w:rsidRPr="00D129C5" w:rsidRDefault="000C6E02" w:rsidP="00CE73F6">
            <w:pPr>
              <w:numPr>
                <w:ilvl w:val="0"/>
                <w:numId w:val="34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129C5">
              <w:rPr>
                <w:rFonts w:ascii="Times New Roman" w:hAnsi="Times New Roman"/>
                <w:b/>
                <w:color w:val="000000"/>
              </w:rPr>
              <w:lastRenderedPageBreak/>
              <w:t xml:space="preserve">Wpływ na rynek pracy </w:t>
            </w:r>
          </w:p>
        </w:tc>
      </w:tr>
      <w:tr w:rsidR="000C6E02" w:rsidRPr="00D129C5" w14:paraId="79B96B6F" w14:textId="77777777" w:rsidTr="00785D37">
        <w:trPr>
          <w:gridAfter w:val="1"/>
          <w:wAfter w:w="10" w:type="dxa"/>
          <w:trHeight w:val="142"/>
        </w:trPr>
        <w:tc>
          <w:tcPr>
            <w:tcW w:w="11333" w:type="dxa"/>
            <w:gridSpan w:val="21"/>
          </w:tcPr>
          <w:p w14:paraId="4EBB1249" w14:textId="64173687" w:rsidR="000C6E02" w:rsidRPr="00D129C5" w:rsidRDefault="00F17544" w:rsidP="0067022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 xml:space="preserve">Wzrost zatrudnienia w </w:t>
            </w:r>
            <w:r w:rsidR="0067022A">
              <w:rPr>
                <w:rFonts w:ascii="Times New Roman" w:hAnsi="Times New Roman"/>
                <w:color w:val="000000"/>
              </w:rPr>
              <w:t>branży budowlanej w latach 202</w:t>
            </w:r>
            <w:r w:rsidR="00E51520">
              <w:rPr>
                <w:rFonts w:ascii="Times New Roman" w:hAnsi="Times New Roman"/>
                <w:color w:val="000000"/>
              </w:rPr>
              <w:t>6</w:t>
            </w:r>
            <w:r w:rsidR="00F9012F" w:rsidRPr="00F9012F">
              <w:rPr>
                <w:rFonts w:ascii="Times New Roman" w:hAnsi="Times New Roman"/>
                <w:color w:val="000000"/>
              </w:rPr>
              <w:t>–</w:t>
            </w:r>
            <w:r w:rsidR="0067022A">
              <w:rPr>
                <w:rFonts w:ascii="Times New Roman" w:hAnsi="Times New Roman"/>
                <w:color w:val="000000"/>
              </w:rPr>
              <w:t>203</w:t>
            </w:r>
            <w:r w:rsidR="00F64D26">
              <w:rPr>
                <w:rFonts w:ascii="Times New Roman" w:hAnsi="Times New Roman"/>
                <w:color w:val="000000"/>
              </w:rPr>
              <w:t>4</w:t>
            </w:r>
            <w:r w:rsidRPr="00D129C5">
              <w:rPr>
                <w:rFonts w:ascii="Times New Roman" w:hAnsi="Times New Roman"/>
                <w:color w:val="000000"/>
              </w:rPr>
              <w:t xml:space="preserve"> w związku z realizacj</w:t>
            </w:r>
            <w:r w:rsidR="00137B03" w:rsidRPr="00D129C5">
              <w:rPr>
                <w:rFonts w:ascii="Times New Roman" w:hAnsi="Times New Roman"/>
                <w:color w:val="000000"/>
              </w:rPr>
              <w:t>ą</w:t>
            </w:r>
            <w:r w:rsidRPr="00D129C5">
              <w:rPr>
                <w:rFonts w:ascii="Times New Roman" w:hAnsi="Times New Roman"/>
                <w:color w:val="000000"/>
              </w:rPr>
              <w:t xml:space="preserve"> inwestycji. </w:t>
            </w:r>
          </w:p>
        </w:tc>
      </w:tr>
      <w:tr w:rsidR="000C6E02" w:rsidRPr="00D129C5" w14:paraId="24FB1B96" w14:textId="77777777" w:rsidTr="00785D37">
        <w:trPr>
          <w:gridAfter w:val="1"/>
          <w:wAfter w:w="10" w:type="dxa"/>
          <w:trHeight w:val="142"/>
        </w:trPr>
        <w:tc>
          <w:tcPr>
            <w:tcW w:w="11333" w:type="dxa"/>
            <w:gridSpan w:val="21"/>
            <w:shd w:val="clear" w:color="auto" w:fill="99CCFF"/>
          </w:tcPr>
          <w:p w14:paraId="595B7743" w14:textId="77777777" w:rsidR="000C6E02" w:rsidRPr="00D129C5" w:rsidRDefault="000C6E02" w:rsidP="00CE73F6">
            <w:pPr>
              <w:numPr>
                <w:ilvl w:val="0"/>
                <w:numId w:val="34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129C5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FA05CA" w:rsidRPr="00D129C5" w14:paraId="5718401D" w14:textId="77777777" w:rsidTr="00845D1E">
        <w:trPr>
          <w:gridAfter w:val="1"/>
          <w:wAfter w:w="10" w:type="dxa"/>
          <w:trHeight w:val="1031"/>
        </w:trPr>
        <w:tc>
          <w:tcPr>
            <w:tcW w:w="3544" w:type="dxa"/>
            <w:gridSpan w:val="5"/>
            <w:shd w:val="clear" w:color="auto" w:fill="FFFFFF"/>
          </w:tcPr>
          <w:p w14:paraId="4123233D" w14:textId="77777777" w:rsidR="00FA05CA" w:rsidRPr="00D129C5" w:rsidRDefault="00FA05CA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7C0BBDC3" w14:textId="77777777" w:rsidR="00FA05CA" w:rsidRPr="00D129C5" w:rsidRDefault="00643DAF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43DAF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43DAF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643DAF">
              <w:rPr>
                <w:rFonts w:ascii="Times New Roman" w:hAnsi="Times New Roman"/>
                <w:color w:val="000000"/>
              </w:rPr>
              <w:fldChar w:fldCharType="end"/>
            </w:r>
            <w:r w:rsidRPr="00643DAF">
              <w:rPr>
                <w:rFonts w:ascii="Times New Roman" w:hAnsi="Times New Roman"/>
                <w:color w:val="000000"/>
              </w:rPr>
              <w:t xml:space="preserve"> </w:t>
            </w:r>
            <w:r w:rsidR="00FA05CA" w:rsidRPr="00D129C5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697BE38A" w14:textId="77777777" w:rsidR="00FA05CA" w:rsidRPr="00D129C5" w:rsidRDefault="00FA05CA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4678" w:type="dxa"/>
            <w:gridSpan w:val="10"/>
            <w:shd w:val="clear" w:color="auto" w:fill="FFFFFF"/>
          </w:tcPr>
          <w:p w14:paraId="18B34C32" w14:textId="77777777" w:rsidR="00FA05CA" w:rsidRPr="00D129C5" w:rsidRDefault="00FA05CA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317EEBC3" w14:textId="77777777" w:rsidR="00FA05CA" w:rsidRPr="00D129C5" w:rsidRDefault="00FA05CA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mienie państwowe</w:t>
            </w:r>
          </w:p>
          <w:p w14:paraId="6D276A42" w14:textId="77777777" w:rsidR="00FA05CA" w:rsidRPr="00D129C5" w:rsidRDefault="002267F4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="00FA05CA" w:rsidRPr="00D129C5">
              <w:rPr>
                <w:rFonts w:ascii="Times New Roman" w:hAnsi="Times New Roman"/>
                <w:color w:val="000000"/>
              </w:rPr>
              <w:t xml:space="preserve"> </w:t>
            </w:r>
            <w:r w:rsidR="00FA05CA" w:rsidRPr="00D129C5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D129C5">
              <w:rPr>
                <w:rFonts w:ascii="Times New Roman" w:hAnsi="Times New Roman"/>
                <w:color w:val="000000"/>
              </w:rPr>
              <w:t>szkolnictwo wyższe i nauka</w:t>
            </w:r>
          </w:p>
        </w:tc>
        <w:tc>
          <w:tcPr>
            <w:tcW w:w="3111" w:type="dxa"/>
            <w:gridSpan w:val="6"/>
            <w:shd w:val="clear" w:color="auto" w:fill="FFFFFF"/>
          </w:tcPr>
          <w:p w14:paraId="3A515164" w14:textId="77777777" w:rsidR="00FA05CA" w:rsidRPr="00D129C5" w:rsidRDefault="00FA05CA" w:rsidP="00D129C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5CAC3FCB" w14:textId="77777777" w:rsidR="00FA05CA" w:rsidRPr="00D129C5" w:rsidRDefault="00FA05CA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9C5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9E504F">
              <w:rPr>
                <w:rFonts w:ascii="Times New Roman" w:hAnsi="Times New Roman"/>
                <w:color w:val="000000"/>
              </w:rPr>
            </w:r>
            <w:r w:rsidR="009E504F">
              <w:rPr>
                <w:rFonts w:ascii="Times New Roman" w:hAnsi="Times New Roman"/>
                <w:color w:val="000000"/>
              </w:rPr>
              <w:fldChar w:fldCharType="separate"/>
            </w:r>
            <w:r w:rsidRPr="00D129C5">
              <w:rPr>
                <w:rFonts w:ascii="Times New Roman" w:hAnsi="Times New Roman"/>
                <w:color w:val="000000"/>
              </w:rPr>
              <w:fldChar w:fldCharType="end"/>
            </w:r>
            <w:r w:rsidRPr="00D129C5">
              <w:rPr>
                <w:rFonts w:ascii="Times New Roman" w:hAnsi="Times New Roman"/>
                <w:color w:val="000000"/>
              </w:rPr>
              <w:t xml:space="preserve"> </w:t>
            </w:r>
            <w:r w:rsidRPr="00D129C5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0C6E02" w:rsidRPr="00D129C5" w14:paraId="70979632" w14:textId="77777777" w:rsidTr="00785D37">
        <w:trPr>
          <w:gridAfter w:val="1"/>
          <w:wAfter w:w="10" w:type="dxa"/>
          <w:trHeight w:val="1405"/>
        </w:trPr>
        <w:tc>
          <w:tcPr>
            <w:tcW w:w="1985" w:type="dxa"/>
            <w:shd w:val="clear" w:color="auto" w:fill="FFFFFF"/>
            <w:vAlign w:val="center"/>
          </w:tcPr>
          <w:p w14:paraId="58606B8E" w14:textId="77777777" w:rsidR="000C6E02" w:rsidRPr="00D129C5" w:rsidRDefault="000C6E02" w:rsidP="00D129C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129C5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9348" w:type="dxa"/>
            <w:gridSpan w:val="20"/>
            <w:shd w:val="clear" w:color="auto" w:fill="FFFFFF"/>
            <w:vAlign w:val="center"/>
          </w:tcPr>
          <w:p w14:paraId="060B0A52" w14:textId="278A3D0F" w:rsidR="000C6E02" w:rsidRPr="00D129C5" w:rsidRDefault="00F91F06" w:rsidP="00D129C5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color w:val="000000"/>
                <w:spacing w:val="-2"/>
              </w:rPr>
              <w:t>Poprawa infrastruktury szkolnictwa artystycznego, poprawa jakości prowadzonej działalności kulturalnej A</w:t>
            </w:r>
            <w:r w:rsidR="007232D1">
              <w:rPr>
                <w:rFonts w:ascii="Times New Roman" w:hAnsi="Times New Roman"/>
                <w:color w:val="000000"/>
                <w:spacing w:val="-2"/>
              </w:rPr>
              <w:t>MKP</w:t>
            </w:r>
            <w:r w:rsidRPr="00D129C5">
              <w:rPr>
                <w:rFonts w:ascii="Times New Roman" w:hAnsi="Times New Roman"/>
                <w:color w:val="000000"/>
                <w:spacing w:val="-2"/>
              </w:rPr>
              <w:t>, poprawa konkurencyjności edukacyjnej region</w:t>
            </w:r>
            <w:r w:rsidR="00643DAF">
              <w:rPr>
                <w:rFonts w:ascii="Times New Roman" w:hAnsi="Times New Roman"/>
                <w:color w:val="000000"/>
                <w:spacing w:val="-2"/>
              </w:rPr>
              <w:t>u.</w:t>
            </w:r>
          </w:p>
        </w:tc>
      </w:tr>
      <w:tr w:rsidR="000C6E02" w:rsidRPr="00D129C5" w14:paraId="35E9C092" w14:textId="77777777" w:rsidTr="00785D37">
        <w:trPr>
          <w:gridAfter w:val="1"/>
          <w:wAfter w:w="10" w:type="dxa"/>
          <w:trHeight w:val="142"/>
        </w:trPr>
        <w:tc>
          <w:tcPr>
            <w:tcW w:w="11333" w:type="dxa"/>
            <w:gridSpan w:val="21"/>
            <w:shd w:val="clear" w:color="auto" w:fill="99CCFF"/>
          </w:tcPr>
          <w:p w14:paraId="0269F507" w14:textId="77777777" w:rsidR="000C6E02" w:rsidRPr="00D129C5" w:rsidRDefault="000C6E02" w:rsidP="00CE73F6">
            <w:pPr>
              <w:numPr>
                <w:ilvl w:val="0"/>
                <w:numId w:val="34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D129C5">
              <w:rPr>
                <w:rFonts w:ascii="Times New Roman" w:hAnsi="Times New Roman"/>
                <w:b/>
                <w:spacing w:val="-2"/>
              </w:rPr>
              <w:t>Planowane wykonanie przepisów aktu prawnego</w:t>
            </w:r>
          </w:p>
        </w:tc>
      </w:tr>
      <w:tr w:rsidR="000C6E02" w:rsidRPr="00D129C5" w14:paraId="247920A9" w14:textId="77777777" w:rsidTr="00845D1E">
        <w:trPr>
          <w:gridAfter w:val="1"/>
          <w:wAfter w:w="10" w:type="dxa"/>
          <w:trHeight w:val="4842"/>
        </w:trPr>
        <w:tc>
          <w:tcPr>
            <w:tcW w:w="11333" w:type="dxa"/>
            <w:gridSpan w:val="21"/>
            <w:shd w:val="clear" w:color="auto" w:fill="FFFFFF"/>
          </w:tcPr>
          <w:p w14:paraId="638D6F44" w14:textId="1113C6D7" w:rsidR="00644285" w:rsidRPr="0067022A" w:rsidRDefault="008032C9" w:rsidP="00D129C5">
            <w:pPr>
              <w:pStyle w:val="CM7"/>
              <w:spacing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32C9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Projektowana uchwała wejdzie w życie</w:t>
            </w:r>
            <w:r w:rsidR="008F0C2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 xml:space="preserve"> po upływie 14 dni od dnia </w:t>
            </w:r>
            <w:r w:rsidRPr="008032C9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 xml:space="preserve"> ogłoszenia. Minister Kultury i Dziedzictwa Narodowego będzie sprawował nadzór nad realizacją inwestycji. A</w:t>
            </w:r>
            <w:r w:rsidR="007232D1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MKP</w:t>
            </w:r>
            <w:r w:rsidRPr="008032C9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 xml:space="preserve"> będzie składać Ministrowi </w:t>
            </w:r>
            <w:r w:rsidR="00C97377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 xml:space="preserve">Kultury i Dziedzictwa Narodowego </w:t>
            </w:r>
            <w:r w:rsidRPr="008032C9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sprawozdania ze stanu realizacji inwestycji w</w:t>
            </w:r>
            <w:r w:rsidR="00A6575A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 </w:t>
            </w:r>
            <w:r w:rsidRPr="008032C9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dwóch terminach przewidzianych w projekcie, w trybie z nim uzgodnionym.</w:t>
            </w:r>
            <w:r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="00644285" w:rsidRPr="0067022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Sprawozdanie </w:t>
            </w:r>
            <w:r w:rsidR="007232D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będzie </w:t>
            </w:r>
            <w:r w:rsidR="00644285" w:rsidRPr="0067022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zawierać: </w:t>
            </w:r>
          </w:p>
          <w:p w14:paraId="43F26675" w14:textId="6993D233" w:rsidR="00644285" w:rsidRPr="0067022A" w:rsidRDefault="00C97377" w:rsidP="000F59B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0F59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4285" w:rsidRPr="0067022A">
              <w:rPr>
                <w:rFonts w:ascii="Times New Roman" w:hAnsi="Times New Roman" w:cs="Times New Roman"/>
                <w:sz w:val="22"/>
                <w:szCs w:val="22"/>
              </w:rPr>
              <w:t>informacje ogólne wraz z przedłożeniem Ministrowi Kultury i Dziedzictwa Narodowego do akceptacji planowanych do</w:t>
            </w:r>
            <w:r w:rsidR="000D379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44285" w:rsidRPr="0067022A">
              <w:rPr>
                <w:rFonts w:ascii="Times New Roman" w:hAnsi="Times New Roman" w:cs="Times New Roman"/>
                <w:sz w:val="22"/>
                <w:szCs w:val="22"/>
              </w:rPr>
              <w:t xml:space="preserve">podjęcia zobowiązań w kwocie powyżej </w:t>
            </w:r>
            <w:r w:rsidR="008F0C2A">
              <w:rPr>
                <w:rFonts w:ascii="Times New Roman" w:hAnsi="Times New Roman" w:cs="Times New Roman"/>
                <w:sz w:val="22"/>
                <w:szCs w:val="22"/>
              </w:rPr>
              <w:t>1 0</w:t>
            </w:r>
            <w:r w:rsidR="00644285" w:rsidRPr="0067022A">
              <w:rPr>
                <w:rFonts w:ascii="Times New Roman" w:hAnsi="Times New Roman" w:cs="Times New Roman"/>
                <w:sz w:val="22"/>
                <w:szCs w:val="22"/>
              </w:rPr>
              <w:t xml:space="preserve">00 000 zł, </w:t>
            </w:r>
          </w:p>
          <w:p w14:paraId="45517FC7" w14:textId="66F3E3B7" w:rsidR="00644285" w:rsidRPr="0067022A" w:rsidRDefault="00C97377" w:rsidP="00845D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0F59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4285" w:rsidRPr="0067022A">
              <w:rPr>
                <w:rFonts w:ascii="Times New Roman" w:hAnsi="Times New Roman" w:cs="Times New Roman"/>
                <w:sz w:val="22"/>
                <w:szCs w:val="22"/>
              </w:rPr>
              <w:t xml:space="preserve">informacje z przebiegu realizacji Programu w zakresie rzeczowym, </w:t>
            </w:r>
          </w:p>
          <w:p w14:paraId="629FD6FF" w14:textId="3573C09E" w:rsidR="00644285" w:rsidRPr="0067022A" w:rsidRDefault="00C97377" w:rsidP="00845D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0F59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4285" w:rsidRPr="0067022A">
              <w:rPr>
                <w:rFonts w:ascii="Times New Roman" w:hAnsi="Times New Roman" w:cs="Times New Roman"/>
                <w:sz w:val="22"/>
                <w:szCs w:val="22"/>
              </w:rPr>
              <w:t xml:space="preserve">informacje dotyczące przebiegu finansowego Programu, </w:t>
            </w:r>
          </w:p>
          <w:p w14:paraId="2907EF72" w14:textId="34B13EC6" w:rsidR="00644285" w:rsidRPr="0067022A" w:rsidRDefault="00C97377" w:rsidP="00845D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0F59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4285" w:rsidRPr="0067022A">
              <w:rPr>
                <w:rFonts w:ascii="Times New Roman" w:hAnsi="Times New Roman" w:cs="Times New Roman"/>
                <w:sz w:val="22"/>
                <w:szCs w:val="22"/>
              </w:rPr>
              <w:t>informacje o napotkanych problemach oraz zagrożeniach dla realizacji Programu wraz z propozycją działań naprawczych i</w:t>
            </w:r>
            <w:r w:rsidR="000D379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44285" w:rsidRPr="0067022A">
              <w:rPr>
                <w:rFonts w:ascii="Times New Roman" w:hAnsi="Times New Roman" w:cs="Times New Roman"/>
                <w:sz w:val="22"/>
                <w:szCs w:val="22"/>
              </w:rPr>
              <w:t xml:space="preserve">zaradczych, </w:t>
            </w:r>
          </w:p>
          <w:p w14:paraId="3079B717" w14:textId="0EC1EF73" w:rsidR="008032C9" w:rsidRPr="002E6FD9" w:rsidRDefault="00C97377" w:rsidP="00845D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0F59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4285" w:rsidRPr="0067022A">
              <w:rPr>
                <w:rFonts w:ascii="Times New Roman" w:hAnsi="Times New Roman" w:cs="Times New Roman"/>
                <w:sz w:val="22"/>
                <w:szCs w:val="22"/>
              </w:rPr>
              <w:t>informacje o postępie w realizacji zakładanych celów i rezultatach wraz z analizą zgodności realizacji Programu z</w:t>
            </w:r>
            <w:r w:rsidR="00D129C5" w:rsidRPr="0067022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44285" w:rsidRPr="0067022A">
              <w:rPr>
                <w:rFonts w:ascii="Times New Roman" w:hAnsi="Times New Roman" w:cs="Times New Roman"/>
                <w:sz w:val="22"/>
                <w:szCs w:val="22"/>
              </w:rPr>
              <w:t xml:space="preserve">założeniami. </w:t>
            </w:r>
          </w:p>
          <w:p w14:paraId="4E5B6D33" w14:textId="410BC720" w:rsidR="008032C9" w:rsidRPr="00D129C5" w:rsidRDefault="008032C9" w:rsidP="00CE73F6">
            <w:pPr>
              <w:spacing w:before="288" w:after="288" w:line="240" w:lineRule="auto"/>
              <w:jc w:val="both"/>
              <w:rPr>
                <w:rFonts w:ascii="Times New Roman" w:hAnsi="Times New Roman"/>
              </w:rPr>
            </w:pPr>
            <w:r w:rsidRPr="00385257">
              <w:rPr>
                <w:rFonts w:ascii="Times New Roman" w:hAnsi="Times New Roman"/>
                <w:spacing w:val="-2"/>
              </w:rPr>
              <w:t>A</w:t>
            </w:r>
            <w:r w:rsidR="00F90C22">
              <w:rPr>
                <w:rFonts w:ascii="Times New Roman" w:hAnsi="Times New Roman"/>
                <w:spacing w:val="-2"/>
              </w:rPr>
              <w:t>MKP</w:t>
            </w:r>
            <w:r w:rsidRPr="00385257">
              <w:rPr>
                <w:rFonts w:ascii="Times New Roman" w:hAnsi="Times New Roman"/>
                <w:spacing w:val="-2"/>
              </w:rPr>
              <w:t xml:space="preserve"> będzie przedstawiać sprawozdania ze stanu realizacji inwestycji w terminach:</w:t>
            </w:r>
            <w:r w:rsidR="008F0C2A" w:rsidRPr="00385257">
              <w:rPr>
                <w:rFonts w:ascii="Times New Roman" w:hAnsi="Times New Roman"/>
                <w:spacing w:val="-2"/>
              </w:rPr>
              <w:t xml:space="preserve"> sprawozdania okresowe obejmujące okres od 1 stycznia do 31 sierpnia w terminie do dnia 20 września oraz</w:t>
            </w:r>
            <w:r w:rsidRPr="00385257">
              <w:rPr>
                <w:rFonts w:ascii="Times New Roman" w:hAnsi="Times New Roman"/>
                <w:spacing w:val="-2"/>
              </w:rPr>
              <w:t xml:space="preserve"> do dnia 1 lutego roku następującego po roku sprawozdawczym</w:t>
            </w:r>
            <w:r w:rsidR="008F0C2A" w:rsidRPr="00385257">
              <w:rPr>
                <w:rFonts w:ascii="Times New Roman" w:hAnsi="Times New Roman"/>
                <w:spacing w:val="-2"/>
              </w:rPr>
              <w:t xml:space="preserve"> – sprawozdanie roczne. </w:t>
            </w:r>
            <w:r w:rsidRPr="00385257">
              <w:rPr>
                <w:rFonts w:ascii="Times New Roman" w:hAnsi="Times New Roman"/>
                <w:spacing w:val="-2"/>
              </w:rPr>
              <w:t>Analogicznie, na podstawie sprawozdań przekazanych przez A</w:t>
            </w:r>
            <w:r w:rsidR="007232D1" w:rsidRPr="00385257">
              <w:rPr>
                <w:rFonts w:ascii="Times New Roman" w:hAnsi="Times New Roman"/>
                <w:spacing w:val="-2"/>
              </w:rPr>
              <w:t>MKP</w:t>
            </w:r>
            <w:r w:rsidRPr="00385257">
              <w:rPr>
                <w:rFonts w:ascii="Times New Roman" w:hAnsi="Times New Roman"/>
                <w:spacing w:val="-2"/>
              </w:rPr>
              <w:t>, Minister Kultury i Dziedzictwa Narodowego będzie przedstawiał Radzie Ministrów raport w termi</w:t>
            </w:r>
            <w:r w:rsidR="008F0C2A" w:rsidRPr="00385257">
              <w:rPr>
                <w:rFonts w:ascii="Times New Roman" w:hAnsi="Times New Roman"/>
                <w:spacing w:val="-2"/>
              </w:rPr>
              <w:t>nie</w:t>
            </w:r>
            <w:r w:rsidRPr="00385257">
              <w:rPr>
                <w:rFonts w:ascii="Times New Roman" w:hAnsi="Times New Roman"/>
                <w:spacing w:val="-2"/>
              </w:rPr>
              <w:t xml:space="preserve">: do dnia 1 </w:t>
            </w:r>
            <w:r w:rsidR="008F0C2A" w:rsidRPr="00385257">
              <w:rPr>
                <w:rFonts w:ascii="Times New Roman" w:hAnsi="Times New Roman"/>
                <w:spacing w:val="-2"/>
              </w:rPr>
              <w:t>kwietnia.</w:t>
            </w:r>
            <w:r w:rsidRPr="00385257">
              <w:rPr>
                <w:rFonts w:ascii="Times New Roman" w:hAnsi="Times New Roman"/>
                <w:spacing w:val="-2"/>
              </w:rPr>
              <w:t xml:space="preserve"> </w:t>
            </w:r>
            <w:r w:rsidR="00385257" w:rsidRPr="00385257">
              <w:rPr>
                <w:rFonts w:ascii="Times New Roman" w:hAnsi="Times New Roman"/>
                <w:spacing w:val="-2"/>
              </w:rPr>
              <w:t xml:space="preserve">Minister </w:t>
            </w:r>
            <w:r w:rsidR="00C97377">
              <w:rPr>
                <w:rFonts w:ascii="Times New Roman" w:hAnsi="Times New Roman"/>
                <w:spacing w:val="-2"/>
              </w:rPr>
              <w:t xml:space="preserve">Kultury i Dziedzictwa Narodowego </w:t>
            </w:r>
            <w:r w:rsidR="00385257" w:rsidRPr="00385257">
              <w:rPr>
                <w:rFonts w:ascii="Times New Roman" w:hAnsi="Times New Roman"/>
                <w:spacing w:val="-2"/>
              </w:rPr>
              <w:t>będzie przedkładał Radzie Ministrów sprawozdanie roczne w terminie do dnia 30 kwietnia z wykonania Programu za rok poprzedni.</w:t>
            </w:r>
            <w:r w:rsidR="00385257">
              <w:rPr>
                <w:rFonts w:ascii="Times New Roman" w:hAnsi="Times New Roman"/>
              </w:rPr>
              <w:t xml:space="preserve"> </w:t>
            </w:r>
          </w:p>
        </w:tc>
      </w:tr>
      <w:tr w:rsidR="000C6E02" w:rsidRPr="00D129C5" w14:paraId="0E659620" w14:textId="77777777" w:rsidTr="00785D37">
        <w:trPr>
          <w:gridAfter w:val="1"/>
          <w:wAfter w:w="10" w:type="dxa"/>
          <w:trHeight w:val="142"/>
        </w:trPr>
        <w:tc>
          <w:tcPr>
            <w:tcW w:w="11333" w:type="dxa"/>
            <w:gridSpan w:val="21"/>
            <w:shd w:val="clear" w:color="auto" w:fill="99CCFF"/>
          </w:tcPr>
          <w:p w14:paraId="55E6B2C8" w14:textId="77777777" w:rsidR="000C6E02" w:rsidRPr="00D129C5" w:rsidRDefault="000C6E02" w:rsidP="00CE73F6">
            <w:pPr>
              <w:numPr>
                <w:ilvl w:val="0"/>
                <w:numId w:val="34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129C5">
              <w:rPr>
                <w:rFonts w:ascii="Times New Roman" w:hAnsi="Times New Roman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F91F06" w:rsidRPr="00D129C5" w14:paraId="403F8632" w14:textId="77777777" w:rsidTr="00785D37">
        <w:trPr>
          <w:gridAfter w:val="1"/>
          <w:wAfter w:w="10" w:type="dxa"/>
          <w:trHeight w:val="142"/>
        </w:trPr>
        <w:tc>
          <w:tcPr>
            <w:tcW w:w="11333" w:type="dxa"/>
            <w:gridSpan w:val="21"/>
            <w:shd w:val="clear" w:color="auto" w:fill="FFFFFF"/>
          </w:tcPr>
          <w:p w14:paraId="6A3CF994" w14:textId="49D9F1CD" w:rsidR="00F91F06" w:rsidRPr="00643DAF" w:rsidRDefault="008032C9" w:rsidP="001440D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highlight w:val="yellow"/>
              </w:rPr>
            </w:pPr>
            <w:r w:rsidRPr="008032C9">
              <w:rPr>
                <w:rFonts w:ascii="Times New Roman" w:hAnsi="Times New Roman"/>
              </w:rPr>
              <w:lastRenderedPageBreak/>
              <w:t>Planowany efekt rzeczowy</w:t>
            </w:r>
            <w:r>
              <w:rPr>
                <w:rFonts w:ascii="Times New Roman" w:hAnsi="Times New Roman"/>
              </w:rPr>
              <w:t xml:space="preserve"> inwestycji to powstanie budynków</w:t>
            </w:r>
            <w:r w:rsidRPr="008032C9">
              <w:rPr>
                <w:rFonts w:ascii="Times New Roman" w:hAnsi="Times New Roman"/>
              </w:rPr>
              <w:t xml:space="preserve"> A</w:t>
            </w:r>
            <w:r w:rsidR="00051B5E">
              <w:rPr>
                <w:rFonts w:ascii="Times New Roman" w:hAnsi="Times New Roman"/>
              </w:rPr>
              <w:t>MKP</w:t>
            </w:r>
            <w:r w:rsidRPr="008032C9">
              <w:rPr>
                <w:rFonts w:ascii="Times New Roman" w:hAnsi="Times New Roman"/>
              </w:rPr>
              <w:t xml:space="preserve">. Miernikiem stopnia realizacji </w:t>
            </w:r>
            <w:r w:rsidR="00394ACD">
              <w:rPr>
                <w:rFonts w:ascii="Times New Roman" w:hAnsi="Times New Roman"/>
              </w:rPr>
              <w:t>P</w:t>
            </w:r>
            <w:r w:rsidRPr="008032C9">
              <w:rPr>
                <w:rFonts w:ascii="Times New Roman" w:hAnsi="Times New Roman"/>
              </w:rPr>
              <w:t>rogramu w latach 202</w:t>
            </w:r>
            <w:r w:rsidR="008F0C2A">
              <w:rPr>
                <w:rFonts w:ascii="Times New Roman" w:hAnsi="Times New Roman"/>
              </w:rPr>
              <w:t>6</w:t>
            </w:r>
            <w:r w:rsidRPr="008032C9">
              <w:rPr>
                <w:rFonts w:ascii="Times New Roman" w:hAnsi="Times New Roman"/>
              </w:rPr>
              <w:t>–203</w:t>
            </w:r>
            <w:r w:rsidR="00F64D26">
              <w:rPr>
                <w:rFonts w:ascii="Times New Roman" w:hAnsi="Times New Roman"/>
              </w:rPr>
              <w:t>4</w:t>
            </w:r>
            <w:r w:rsidRPr="008032C9">
              <w:rPr>
                <w:rFonts w:ascii="Times New Roman" w:hAnsi="Times New Roman"/>
              </w:rPr>
              <w:t xml:space="preserve"> jest całkowita wybudowana powierzchnia użytkowa obiektów inf</w:t>
            </w:r>
            <w:r w:rsidR="001C0905">
              <w:rPr>
                <w:rFonts w:ascii="Times New Roman" w:hAnsi="Times New Roman"/>
              </w:rPr>
              <w:t>r</w:t>
            </w:r>
            <w:r w:rsidRPr="008032C9">
              <w:rPr>
                <w:rFonts w:ascii="Times New Roman" w:hAnsi="Times New Roman"/>
              </w:rPr>
              <w:t>astrukturalnych – 16 51</w:t>
            </w:r>
            <w:r w:rsidR="00DD0EBC">
              <w:rPr>
                <w:rFonts w:ascii="Times New Roman" w:hAnsi="Times New Roman"/>
              </w:rPr>
              <w:t>2</w:t>
            </w:r>
            <w:r w:rsidRPr="008032C9">
              <w:rPr>
                <w:rFonts w:ascii="Times New Roman" w:hAnsi="Times New Roman"/>
              </w:rPr>
              <w:t>,</w:t>
            </w:r>
            <w:r w:rsidR="00DD0EBC">
              <w:rPr>
                <w:rFonts w:ascii="Times New Roman" w:hAnsi="Times New Roman"/>
              </w:rPr>
              <w:t>3</w:t>
            </w:r>
            <w:r w:rsidRPr="008032C9">
              <w:rPr>
                <w:rFonts w:ascii="Times New Roman" w:hAnsi="Times New Roman"/>
              </w:rPr>
              <w:t xml:space="preserve"> m</w:t>
            </w:r>
            <w:r w:rsidR="00051B5E">
              <w:rPr>
                <w:rFonts w:ascii="Times New Roman" w:hAnsi="Times New Roman"/>
              </w:rPr>
              <w:t>²</w:t>
            </w:r>
            <w:r w:rsidRPr="008032C9">
              <w:rPr>
                <w:rFonts w:ascii="Times New Roman" w:hAnsi="Times New Roman"/>
              </w:rPr>
              <w:t xml:space="preserve"> oddana do użytkowania (miernik główny).  </w:t>
            </w:r>
          </w:p>
        </w:tc>
      </w:tr>
      <w:tr w:rsidR="00F91F06" w:rsidRPr="00D129C5" w14:paraId="4885C394" w14:textId="77777777" w:rsidTr="00785D37">
        <w:trPr>
          <w:gridAfter w:val="1"/>
          <w:wAfter w:w="10" w:type="dxa"/>
          <w:trHeight w:val="142"/>
        </w:trPr>
        <w:tc>
          <w:tcPr>
            <w:tcW w:w="11333" w:type="dxa"/>
            <w:gridSpan w:val="21"/>
            <w:shd w:val="clear" w:color="auto" w:fill="99CCFF"/>
          </w:tcPr>
          <w:p w14:paraId="600C076D" w14:textId="77777777" w:rsidR="00F91F06" w:rsidRPr="00D129C5" w:rsidRDefault="00F91F06" w:rsidP="00CE73F6">
            <w:pPr>
              <w:numPr>
                <w:ilvl w:val="0"/>
                <w:numId w:val="34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D129C5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D129C5">
              <w:rPr>
                <w:rFonts w:ascii="Times New Roman" w:hAnsi="Times New Roman"/>
                <w:b/>
                <w:spacing w:val="-2"/>
              </w:rPr>
              <w:t>(istotne dokumenty źródłowe, badania, analizy itp.</w:t>
            </w:r>
            <w:r w:rsidRPr="00D129C5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F91F06" w:rsidRPr="00D129C5" w14:paraId="58971579" w14:textId="77777777" w:rsidTr="00785D37">
        <w:trPr>
          <w:gridAfter w:val="1"/>
          <w:wAfter w:w="10" w:type="dxa"/>
          <w:trHeight w:val="142"/>
        </w:trPr>
        <w:tc>
          <w:tcPr>
            <w:tcW w:w="11333" w:type="dxa"/>
            <w:gridSpan w:val="21"/>
            <w:shd w:val="clear" w:color="auto" w:fill="FFFFFF"/>
          </w:tcPr>
          <w:p w14:paraId="4EACDC95" w14:textId="675DC4DA" w:rsidR="00F91F06" w:rsidRPr="00D129C5" w:rsidRDefault="001E21EB" w:rsidP="00D129C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</w:t>
            </w:r>
            <w:r w:rsidR="008E5C88" w:rsidRPr="00D129C5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</w:tbl>
    <w:p w14:paraId="371F9887" w14:textId="77777777" w:rsidR="006176ED" w:rsidRPr="00D129C5" w:rsidRDefault="006176ED" w:rsidP="00D129C5">
      <w:pPr>
        <w:pStyle w:val="Nagwek1"/>
        <w:rPr>
          <w:rFonts w:ascii="Times New Roman" w:hAnsi="Times New Roman" w:cs="Times New Roman"/>
          <w:sz w:val="22"/>
          <w:szCs w:val="22"/>
        </w:rPr>
      </w:pPr>
    </w:p>
    <w:sectPr w:rsidR="006176ED" w:rsidRPr="00D129C5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E8F47" w14:textId="77777777" w:rsidR="009E504F" w:rsidRDefault="009E504F" w:rsidP="00044739">
      <w:pPr>
        <w:spacing w:line="240" w:lineRule="auto"/>
      </w:pPr>
      <w:r>
        <w:separator/>
      </w:r>
    </w:p>
  </w:endnote>
  <w:endnote w:type="continuationSeparator" w:id="0">
    <w:p w14:paraId="725464F9" w14:textId="77777777" w:rsidR="009E504F" w:rsidRDefault="009E504F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EF49F" w14:textId="77777777" w:rsidR="009E504F" w:rsidRDefault="009E504F" w:rsidP="00044739">
      <w:pPr>
        <w:spacing w:line="240" w:lineRule="auto"/>
      </w:pPr>
      <w:r>
        <w:separator/>
      </w:r>
    </w:p>
  </w:footnote>
  <w:footnote w:type="continuationSeparator" w:id="0">
    <w:p w14:paraId="59FD9E33" w14:textId="77777777" w:rsidR="009E504F" w:rsidRDefault="009E504F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5559"/>
    <w:multiLevelType w:val="hybridMultilevel"/>
    <w:tmpl w:val="107E0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4" w15:restartNumberingAfterBreak="0">
    <w:nsid w:val="14843099"/>
    <w:multiLevelType w:val="hybridMultilevel"/>
    <w:tmpl w:val="3D14A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1122"/>
    <w:multiLevelType w:val="hybridMultilevel"/>
    <w:tmpl w:val="0792B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6D83"/>
    <w:multiLevelType w:val="hybridMultilevel"/>
    <w:tmpl w:val="26061888"/>
    <w:lvl w:ilvl="0" w:tplc="661E0A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1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3011F"/>
    <w:multiLevelType w:val="multilevel"/>
    <w:tmpl w:val="587A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39252C"/>
    <w:multiLevelType w:val="hybridMultilevel"/>
    <w:tmpl w:val="F03AAE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6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BAB4B8A"/>
    <w:multiLevelType w:val="hybridMultilevel"/>
    <w:tmpl w:val="3C94719C"/>
    <w:lvl w:ilvl="0" w:tplc="7E761392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3E98010D"/>
    <w:multiLevelType w:val="multilevel"/>
    <w:tmpl w:val="1D8A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C12943"/>
    <w:multiLevelType w:val="hybridMultilevel"/>
    <w:tmpl w:val="370A0A14"/>
    <w:lvl w:ilvl="0" w:tplc="F8D2268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A519B"/>
    <w:multiLevelType w:val="multilevel"/>
    <w:tmpl w:val="A84E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642602"/>
    <w:multiLevelType w:val="hybridMultilevel"/>
    <w:tmpl w:val="77A4457E"/>
    <w:lvl w:ilvl="0" w:tplc="82D6B9F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8034A"/>
    <w:multiLevelType w:val="multilevel"/>
    <w:tmpl w:val="D9FE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120DBF"/>
    <w:multiLevelType w:val="hybridMultilevel"/>
    <w:tmpl w:val="A9E2B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6" w15:restartNumberingAfterBreak="0">
    <w:nsid w:val="503A15B7"/>
    <w:multiLevelType w:val="hybridMultilevel"/>
    <w:tmpl w:val="3F10BA26"/>
    <w:lvl w:ilvl="0" w:tplc="CC2E86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7AB7C14"/>
    <w:multiLevelType w:val="multilevel"/>
    <w:tmpl w:val="D74A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AD73C9B"/>
    <w:multiLevelType w:val="multilevel"/>
    <w:tmpl w:val="B370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5" w15:restartNumberingAfterBreak="0">
    <w:nsid w:val="6BA73930"/>
    <w:multiLevelType w:val="multilevel"/>
    <w:tmpl w:val="A84E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952D2C"/>
    <w:multiLevelType w:val="hybridMultilevel"/>
    <w:tmpl w:val="F48C4A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8D37D1"/>
    <w:multiLevelType w:val="multilevel"/>
    <w:tmpl w:val="296C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161B2"/>
    <w:multiLevelType w:val="multilevel"/>
    <w:tmpl w:val="8354CA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093257"/>
    <w:multiLevelType w:val="hybridMultilevel"/>
    <w:tmpl w:val="D1B8378E"/>
    <w:lvl w:ilvl="0" w:tplc="E712554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33"/>
  </w:num>
  <w:num w:numId="5">
    <w:abstractNumId w:val="1"/>
  </w:num>
  <w:num w:numId="6">
    <w:abstractNumId w:val="11"/>
  </w:num>
  <w:num w:numId="7">
    <w:abstractNumId w:val="22"/>
  </w:num>
  <w:num w:numId="8">
    <w:abstractNumId w:val="8"/>
  </w:num>
  <w:num w:numId="9">
    <w:abstractNumId w:val="27"/>
  </w:num>
  <w:num w:numId="10">
    <w:abstractNumId w:val="16"/>
  </w:num>
  <w:num w:numId="11">
    <w:abstractNumId w:val="25"/>
  </w:num>
  <w:num w:numId="12">
    <w:abstractNumId w:val="3"/>
  </w:num>
  <w:num w:numId="13">
    <w:abstractNumId w:val="15"/>
  </w:num>
  <w:num w:numId="14">
    <w:abstractNumId w:val="34"/>
  </w:num>
  <w:num w:numId="15">
    <w:abstractNumId w:val="29"/>
  </w:num>
  <w:num w:numId="16">
    <w:abstractNumId w:val="32"/>
  </w:num>
  <w:num w:numId="17">
    <w:abstractNumId w:val="9"/>
  </w:num>
  <w:num w:numId="18">
    <w:abstractNumId w:val="36"/>
  </w:num>
  <w:num w:numId="19">
    <w:abstractNumId w:val="40"/>
  </w:num>
  <w:num w:numId="20">
    <w:abstractNumId w:val="31"/>
  </w:num>
  <w:num w:numId="21">
    <w:abstractNumId w:val="10"/>
  </w:num>
  <w:num w:numId="22">
    <w:abstractNumId w:val="17"/>
  </w:num>
  <w:num w:numId="23">
    <w:abstractNumId w:val="13"/>
  </w:num>
  <w:num w:numId="24">
    <w:abstractNumId w:val="24"/>
  </w:num>
  <w:num w:numId="25">
    <w:abstractNumId w:val="26"/>
  </w:num>
  <w:num w:numId="26">
    <w:abstractNumId w:val="21"/>
  </w:num>
  <w:num w:numId="27">
    <w:abstractNumId w:val="19"/>
  </w:num>
  <w:num w:numId="28">
    <w:abstractNumId w:val="5"/>
  </w:num>
  <w:num w:numId="29">
    <w:abstractNumId w:val="39"/>
  </w:num>
  <w:num w:numId="30">
    <w:abstractNumId w:val="20"/>
  </w:num>
  <w:num w:numId="31">
    <w:abstractNumId w:val="35"/>
  </w:num>
  <w:num w:numId="32">
    <w:abstractNumId w:val="5"/>
  </w:num>
  <w:num w:numId="33">
    <w:abstractNumId w:val="6"/>
  </w:num>
  <w:num w:numId="34">
    <w:abstractNumId w:val="41"/>
  </w:num>
  <w:num w:numId="35">
    <w:abstractNumId w:val="4"/>
  </w:num>
  <w:num w:numId="36">
    <w:abstractNumId w:val="37"/>
  </w:num>
  <w:num w:numId="37">
    <w:abstractNumId w:val="38"/>
  </w:num>
  <w:num w:numId="38">
    <w:abstractNumId w:val="28"/>
  </w:num>
  <w:num w:numId="39">
    <w:abstractNumId w:val="2"/>
  </w:num>
  <w:num w:numId="40">
    <w:abstractNumId w:val="18"/>
  </w:num>
  <w:num w:numId="41">
    <w:abstractNumId w:val="30"/>
  </w:num>
  <w:num w:numId="42">
    <w:abstractNumId w:val="12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22D5"/>
    <w:rsid w:val="00002653"/>
    <w:rsid w:val="000027B5"/>
    <w:rsid w:val="00004C6A"/>
    <w:rsid w:val="00012D11"/>
    <w:rsid w:val="00013EB5"/>
    <w:rsid w:val="00014BDD"/>
    <w:rsid w:val="00016BA6"/>
    <w:rsid w:val="00021C2B"/>
    <w:rsid w:val="00023836"/>
    <w:rsid w:val="00026A30"/>
    <w:rsid w:val="00030E4C"/>
    <w:rsid w:val="00031599"/>
    <w:rsid w:val="000356A9"/>
    <w:rsid w:val="000373EE"/>
    <w:rsid w:val="0004261E"/>
    <w:rsid w:val="00044138"/>
    <w:rsid w:val="00044739"/>
    <w:rsid w:val="00051637"/>
    <w:rsid w:val="00051B5E"/>
    <w:rsid w:val="00053899"/>
    <w:rsid w:val="00056681"/>
    <w:rsid w:val="000603A2"/>
    <w:rsid w:val="000648A7"/>
    <w:rsid w:val="00065489"/>
    <w:rsid w:val="0006618B"/>
    <w:rsid w:val="000670C0"/>
    <w:rsid w:val="00071B99"/>
    <w:rsid w:val="00074931"/>
    <w:rsid w:val="000756E5"/>
    <w:rsid w:val="00075B5F"/>
    <w:rsid w:val="0007704E"/>
    <w:rsid w:val="00080EC8"/>
    <w:rsid w:val="000944AC"/>
    <w:rsid w:val="00094CB9"/>
    <w:rsid w:val="00095353"/>
    <w:rsid w:val="000956B2"/>
    <w:rsid w:val="0009593A"/>
    <w:rsid w:val="000969E7"/>
    <w:rsid w:val="000A1CC1"/>
    <w:rsid w:val="000A23DE"/>
    <w:rsid w:val="000A291D"/>
    <w:rsid w:val="000A37D5"/>
    <w:rsid w:val="000A3828"/>
    <w:rsid w:val="000A4020"/>
    <w:rsid w:val="000B0BE0"/>
    <w:rsid w:val="000B1CEE"/>
    <w:rsid w:val="000B2187"/>
    <w:rsid w:val="000B3876"/>
    <w:rsid w:val="000B54FB"/>
    <w:rsid w:val="000B6130"/>
    <w:rsid w:val="000B692E"/>
    <w:rsid w:val="000B7362"/>
    <w:rsid w:val="000C29B0"/>
    <w:rsid w:val="000C671D"/>
    <w:rsid w:val="000C6E02"/>
    <w:rsid w:val="000C76FC"/>
    <w:rsid w:val="000D3009"/>
    <w:rsid w:val="000D3791"/>
    <w:rsid w:val="000D38FC"/>
    <w:rsid w:val="000D4A08"/>
    <w:rsid w:val="000D4D90"/>
    <w:rsid w:val="000D67D1"/>
    <w:rsid w:val="000E0505"/>
    <w:rsid w:val="000E2D10"/>
    <w:rsid w:val="000E3D8D"/>
    <w:rsid w:val="000E45C5"/>
    <w:rsid w:val="000E6CA2"/>
    <w:rsid w:val="000F126A"/>
    <w:rsid w:val="000F1A30"/>
    <w:rsid w:val="000F3204"/>
    <w:rsid w:val="000F3745"/>
    <w:rsid w:val="000F59B3"/>
    <w:rsid w:val="000F5B0B"/>
    <w:rsid w:val="000F75C8"/>
    <w:rsid w:val="00102938"/>
    <w:rsid w:val="0010477C"/>
    <w:rsid w:val="0010548B"/>
    <w:rsid w:val="0010601F"/>
    <w:rsid w:val="001072D1"/>
    <w:rsid w:val="0011120E"/>
    <w:rsid w:val="00111818"/>
    <w:rsid w:val="00111BA4"/>
    <w:rsid w:val="00117017"/>
    <w:rsid w:val="00117BBE"/>
    <w:rsid w:val="00125D24"/>
    <w:rsid w:val="001278D7"/>
    <w:rsid w:val="00127DD9"/>
    <w:rsid w:val="00130E8E"/>
    <w:rsid w:val="00131F88"/>
    <w:rsid w:val="0013216E"/>
    <w:rsid w:val="001361B9"/>
    <w:rsid w:val="00137B03"/>
    <w:rsid w:val="001401B5"/>
    <w:rsid w:val="00140F54"/>
    <w:rsid w:val="001422B9"/>
    <w:rsid w:val="001422C0"/>
    <w:rsid w:val="001432C2"/>
    <w:rsid w:val="001440D9"/>
    <w:rsid w:val="0014665F"/>
    <w:rsid w:val="0014686F"/>
    <w:rsid w:val="0015174A"/>
    <w:rsid w:val="00151855"/>
    <w:rsid w:val="001518CF"/>
    <w:rsid w:val="00153464"/>
    <w:rsid w:val="001541B3"/>
    <w:rsid w:val="00155B15"/>
    <w:rsid w:val="00155F42"/>
    <w:rsid w:val="001572A9"/>
    <w:rsid w:val="001625BE"/>
    <w:rsid w:val="001643A4"/>
    <w:rsid w:val="001727BB"/>
    <w:rsid w:val="00175C42"/>
    <w:rsid w:val="00177D02"/>
    <w:rsid w:val="00180D25"/>
    <w:rsid w:val="00181223"/>
    <w:rsid w:val="0018318D"/>
    <w:rsid w:val="0018572C"/>
    <w:rsid w:val="00186502"/>
    <w:rsid w:val="001865C8"/>
    <w:rsid w:val="00187E79"/>
    <w:rsid w:val="00187F0D"/>
    <w:rsid w:val="00191B10"/>
    <w:rsid w:val="00192CC5"/>
    <w:rsid w:val="001956A7"/>
    <w:rsid w:val="001974C6"/>
    <w:rsid w:val="001A0331"/>
    <w:rsid w:val="001A118A"/>
    <w:rsid w:val="001A1CB1"/>
    <w:rsid w:val="001A27F4"/>
    <w:rsid w:val="001A2D95"/>
    <w:rsid w:val="001A6510"/>
    <w:rsid w:val="001A7B74"/>
    <w:rsid w:val="001B3460"/>
    <w:rsid w:val="001B4CA1"/>
    <w:rsid w:val="001B6D0A"/>
    <w:rsid w:val="001B6EC9"/>
    <w:rsid w:val="001B7162"/>
    <w:rsid w:val="001B75D8"/>
    <w:rsid w:val="001C0905"/>
    <w:rsid w:val="001C0E01"/>
    <w:rsid w:val="001C1060"/>
    <w:rsid w:val="001C3C63"/>
    <w:rsid w:val="001C6A97"/>
    <w:rsid w:val="001D4732"/>
    <w:rsid w:val="001D6A3C"/>
    <w:rsid w:val="001D6D51"/>
    <w:rsid w:val="001D70CE"/>
    <w:rsid w:val="001D7796"/>
    <w:rsid w:val="001E1640"/>
    <w:rsid w:val="001E21EB"/>
    <w:rsid w:val="001E5B87"/>
    <w:rsid w:val="001E6452"/>
    <w:rsid w:val="001F2EB2"/>
    <w:rsid w:val="001F653A"/>
    <w:rsid w:val="001F6979"/>
    <w:rsid w:val="00200D35"/>
    <w:rsid w:val="00202274"/>
    <w:rsid w:val="00202BC6"/>
    <w:rsid w:val="00205104"/>
    <w:rsid w:val="00205141"/>
    <w:rsid w:val="0020516B"/>
    <w:rsid w:val="00206A42"/>
    <w:rsid w:val="00210BA7"/>
    <w:rsid w:val="00210FB5"/>
    <w:rsid w:val="00211BF0"/>
    <w:rsid w:val="00213559"/>
    <w:rsid w:val="00213EFD"/>
    <w:rsid w:val="00214C67"/>
    <w:rsid w:val="002170CB"/>
    <w:rsid w:val="002172F1"/>
    <w:rsid w:val="002228F5"/>
    <w:rsid w:val="00223B32"/>
    <w:rsid w:val="00223C7B"/>
    <w:rsid w:val="00224AB1"/>
    <w:rsid w:val="002267F4"/>
    <w:rsid w:val="0022687A"/>
    <w:rsid w:val="0023053C"/>
    <w:rsid w:val="00230728"/>
    <w:rsid w:val="00231147"/>
    <w:rsid w:val="00234040"/>
    <w:rsid w:val="00235CD2"/>
    <w:rsid w:val="00240D31"/>
    <w:rsid w:val="002520AB"/>
    <w:rsid w:val="00253CA5"/>
    <w:rsid w:val="00254DED"/>
    <w:rsid w:val="00255619"/>
    <w:rsid w:val="00255DAD"/>
    <w:rsid w:val="00256108"/>
    <w:rsid w:val="00260F33"/>
    <w:rsid w:val="002613BD"/>
    <w:rsid w:val="002624F1"/>
    <w:rsid w:val="0026290E"/>
    <w:rsid w:val="002630E7"/>
    <w:rsid w:val="00265F8D"/>
    <w:rsid w:val="002678AA"/>
    <w:rsid w:val="0027086D"/>
    <w:rsid w:val="00270C81"/>
    <w:rsid w:val="00271558"/>
    <w:rsid w:val="00274862"/>
    <w:rsid w:val="00277B2B"/>
    <w:rsid w:val="00277C87"/>
    <w:rsid w:val="002810D5"/>
    <w:rsid w:val="00282D72"/>
    <w:rsid w:val="00283402"/>
    <w:rsid w:val="00285BF9"/>
    <w:rsid w:val="0028642C"/>
    <w:rsid w:val="00290EA1"/>
    <w:rsid w:val="00290FD6"/>
    <w:rsid w:val="00291445"/>
    <w:rsid w:val="00294259"/>
    <w:rsid w:val="00294998"/>
    <w:rsid w:val="002949FE"/>
    <w:rsid w:val="0029530F"/>
    <w:rsid w:val="00296D7B"/>
    <w:rsid w:val="002972CD"/>
    <w:rsid w:val="002A2C81"/>
    <w:rsid w:val="002A3509"/>
    <w:rsid w:val="002B3D1A"/>
    <w:rsid w:val="002B4C9E"/>
    <w:rsid w:val="002C1C60"/>
    <w:rsid w:val="002C210E"/>
    <w:rsid w:val="002C27D0"/>
    <w:rsid w:val="002C2C9B"/>
    <w:rsid w:val="002C78CB"/>
    <w:rsid w:val="002D17D6"/>
    <w:rsid w:val="002D18D7"/>
    <w:rsid w:val="002D21CE"/>
    <w:rsid w:val="002D25B3"/>
    <w:rsid w:val="002D2C7C"/>
    <w:rsid w:val="002D2F13"/>
    <w:rsid w:val="002D699E"/>
    <w:rsid w:val="002E1859"/>
    <w:rsid w:val="002E3DA3"/>
    <w:rsid w:val="002E450F"/>
    <w:rsid w:val="002E4905"/>
    <w:rsid w:val="002E6B38"/>
    <w:rsid w:val="002E6D63"/>
    <w:rsid w:val="002E6E2B"/>
    <w:rsid w:val="002E6FD9"/>
    <w:rsid w:val="002E7A5E"/>
    <w:rsid w:val="002F1174"/>
    <w:rsid w:val="002F2FF3"/>
    <w:rsid w:val="002F500B"/>
    <w:rsid w:val="00300991"/>
    <w:rsid w:val="00301959"/>
    <w:rsid w:val="0030248D"/>
    <w:rsid w:val="003024B2"/>
    <w:rsid w:val="00305B8A"/>
    <w:rsid w:val="003061F3"/>
    <w:rsid w:val="00306573"/>
    <w:rsid w:val="003110B2"/>
    <w:rsid w:val="00313297"/>
    <w:rsid w:val="003145B7"/>
    <w:rsid w:val="003168C0"/>
    <w:rsid w:val="003174E3"/>
    <w:rsid w:val="00323E47"/>
    <w:rsid w:val="00331BF9"/>
    <w:rsid w:val="00333DA8"/>
    <w:rsid w:val="0033495E"/>
    <w:rsid w:val="00334A79"/>
    <w:rsid w:val="00334D8D"/>
    <w:rsid w:val="00335A6E"/>
    <w:rsid w:val="00336AD0"/>
    <w:rsid w:val="00337345"/>
    <w:rsid w:val="00337DD2"/>
    <w:rsid w:val="003404D1"/>
    <w:rsid w:val="0034077E"/>
    <w:rsid w:val="003412E2"/>
    <w:rsid w:val="0034227A"/>
    <w:rsid w:val="00343B25"/>
    <w:rsid w:val="003443FF"/>
    <w:rsid w:val="00344E1E"/>
    <w:rsid w:val="003503C1"/>
    <w:rsid w:val="00352F85"/>
    <w:rsid w:val="00355808"/>
    <w:rsid w:val="00362C7E"/>
    <w:rsid w:val="00363309"/>
    <w:rsid w:val="0036331C"/>
    <w:rsid w:val="00363601"/>
    <w:rsid w:val="00365696"/>
    <w:rsid w:val="003665F4"/>
    <w:rsid w:val="003667DC"/>
    <w:rsid w:val="00366C29"/>
    <w:rsid w:val="00371857"/>
    <w:rsid w:val="00371A06"/>
    <w:rsid w:val="003752D8"/>
    <w:rsid w:val="00376AC9"/>
    <w:rsid w:val="00377AB9"/>
    <w:rsid w:val="003831A6"/>
    <w:rsid w:val="0038329C"/>
    <w:rsid w:val="00385257"/>
    <w:rsid w:val="00387A93"/>
    <w:rsid w:val="00393032"/>
    <w:rsid w:val="00394292"/>
    <w:rsid w:val="00394ACD"/>
    <w:rsid w:val="00394B69"/>
    <w:rsid w:val="00396CE1"/>
    <w:rsid w:val="00397078"/>
    <w:rsid w:val="003A1EBB"/>
    <w:rsid w:val="003A4060"/>
    <w:rsid w:val="003A686F"/>
    <w:rsid w:val="003A6953"/>
    <w:rsid w:val="003B5B48"/>
    <w:rsid w:val="003B6083"/>
    <w:rsid w:val="003C01EB"/>
    <w:rsid w:val="003C3630"/>
    <w:rsid w:val="003C37CD"/>
    <w:rsid w:val="003C3838"/>
    <w:rsid w:val="003C5847"/>
    <w:rsid w:val="003C5E33"/>
    <w:rsid w:val="003D0681"/>
    <w:rsid w:val="003D12F6"/>
    <w:rsid w:val="003D1426"/>
    <w:rsid w:val="003D2508"/>
    <w:rsid w:val="003D2703"/>
    <w:rsid w:val="003D4AA6"/>
    <w:rsid w:val="003D620D"/>
    <w:rsid w:val="003E17BC"/>
    <w:rsid w:val="003E2F4E"/>
    <w:rsid w:val="003E4938"/>
    <w:rsid w:val="003E5F39"/>
    <w:rsid w:val="003E6154"/>
    <w:rsid w:val="003E720A"/>
    <w:rsid w:val="003F4408"/>
    <w:rsid w:val="003F4B09"/>
    <w:rsid w:val="00403E6E"/>
    <w:rsid w:val="00404E56"/>
    <w:rsid w:val="00404E98"/>
    <w:rsid w:val="00405954"/>
    <w:rsid w:val="00407238"/>
    <w:rsid w:val="004129B4"/>
    <w:rsid w:val="00414D84"/>
    <w:rsid w:val="00415DB4"/>
    <w:rsid w:val="00416C2B"/>
    <w:rsid w:val="0041713C"/>
    <w:rsid w:val="00417EF0"/>
    <w:rsid w:val="00422181"/>
    <w:rsid w:val="004224B1"/>
    <w:rsid w:val="004244A8"/>
    <w:rsid w:val="00425F72"/>
    <w:rsid w:val="00427736"/>
    <w:rsid w:val="0043459D"/>
    <w:rsid w:val="00436EC3"/>
    <w:rsid w:val="00437553"/>
    <w:rsid w:val="00440CE4"/>
    <w:rsid w:val="00441787"/>
    <w:rsid w:val="00441BF2"/>
    <w:rsid w:val="00444F2D"/>
    <w:rsid w:val="00452034"/>
    <w:rsid w:val="004523F8"/>
    <w:rsid w:val="0045435B"/>
    <w:rsid w:val="00455FA6"/>
    <w:rsid w:val="00457FBB"/>
    <w:rsid w:val="004632EB"/>
    <w:rsid w:val="00465AC4"/>
    <w:rsid w:val="00465E46"/>
    <w:rsid w:val="00466C70"/>
    <w:rsid w:val="00467CE7"/>
    <w:rsid w:val="004702C9"/>
    <w:rsid w:val="00472E45"/>
    <w:rsid w:val="00473FEA"/>
    <w:rsid w:val="00474787"/>
    <w:rsid w:val="0047579D"/>
    <w:rsid w:val="004760DD"/>
    <w:rsid w:val="004764D2"/>
    <w:rsid w:val="00477204"/>
    <w:rsid w:val="00483262"/>
    <w:rsid w:val="00484107"/>
    <w:rsid w:val="00485CC5"/>
    <w:rsid w:val="00492384"/>
    <w:rsid w:val="00492557"/>
    <w:rsid w:val="0049343F"/>
    <w:rsid w:val="004964FC"/>
    <w:rsid w:val="0049698A"/>
    <w:rsid w:val="00497AD0"/>
    <w:rsid w:val="004A145E"/>
    <w:rsid w:val="004A1918"/>
    <w:rsid w:val="004A1F15"/>
    <w:rsid w:val="004A2A81"/>
    <w:rsid w:val="004A3F13"/>
    <w:rsid w:val="004A5628"/>
    <w:rsid w:val="004A6F9D"/>
    <w:rsid w:val="004A7BD7"/>
    <w:rsid w:val="004B0C21"/>
    <w:rsid w:val="004C1145"/>
    <w:rsid w:val="004C15C2"/>
    <w:rsid w:val="004C15CF"/>
    <w:rsid w:val="004C1DAA"/>
    <w:rsid w:val="004C36D8"/>
    <w:rsid w:val="004C7243"/>
    <w:rsid w:val="004C7B51"/>
    <w:rsid w:val="004D0008"/>
    <w:rsid w:val="004D1248"/>
    <w:rsid w:val="004D1E3C"/>
    <w:rsid w:val="004D4169"/>
    <w:rsid w:val="004D6E14"/>
    <w:rsid w:val="004D6FE6"/>
    <w:rsid w:val="004E6BB2"/>
    <w:rsid w:val="004F02D4"/>
    <w:rsid w:val="004F0575"/>
    <w:rsid w:val="004F4E17"/>
    <w:rsid w:val="004F5FC6"/>
    <w:rsid w:val="00500091"/>
    <w:rsid w:val="0050082F"/>
    <w:rsid w:val="00500C56"/>
    <w:rsid w:val="00500E11"/>
    <w:rsid w:val="00500F8A"/>
    <w:rsid w:val="00501713"/>
    <w:rsid w:val="00501B06"/>
    <w:rsid w:val="00505B07"/>
    <w:rsid w:val="00506568"/>
    <w:rsid w:val="00507C4D"/>
    <w:rsid w:val="005111C4"/>
    <w:rsid w:val="00513339"/>
    <w:rsid w:val="0051551B"/>
    <w:rsid w:val="00520C57"/>
    <w:rsid w:val="00522D94"/>
    <w:rsid w:val="005245FD"/>
    <w:rsid w:val="005266A8"/>
    <w:rsid w:val="005325AD"/>
    <w:rsid w:val="00532A93"/>
    <w:rsid w:val="00533D89"/>
    <w:rsid w:val="0053546F"/>
    <w:rsid w:val="005355BD"/>
    <w:rsid w:val="00536564"/>
    <w:rsid w:val="00537E23"/>
    <w:rsid w:val="005417CB"/>
    <w:rsid w:val="00544597"/>
    <w:rsid w:val="00544FFE"/>
    <w:rsid w:val="0054520D"/>
    <w:rsid w:val="00546FA6"/>
    <w:rsid w:val="005473F5"/>
    <w:rsid w:val="005477E7"/>
    <w:rsid w:val="00551CE8"/>
    <w:rsid w:val="00552794"/>
    <w:rsid w:val="00561723"/>
    <w:rsid w:val="00563199"/>
    <w:rsid w:val="00564874"/>
    <w:rsid w:val="00564C83"/>
    <w:rsid w:val="00567963"/>
    <w:rsid w:val="0057009A"/>
    <w:rsid w:val="00571260"/>
    <w:rsid w:val="0057189C"/>
    <w:rsid w:val="00573FC1"/>
    <w:rsid w:val="005741EE"/>
    <w:rsid w:val="0057668E"/>
    <w:rsid w:val="005849A4"/>
    <w:rsid w:val="0059323C"/>
    <w:rsid w:val="005942F2"/>
    <w:rsid w:val="005957B2"/>
    <w:rsid w:val="00595A63"/>
    <w:rsid w:val="00595E83"/>
    <w:rsid w:val="00596530"/>
    <w:rsid w:val="005967F3"/>
    <w:rsid w:val="00596E08"/>
    <w:rsid w:val="005972B8"/>
    <w:rsid w:val="005A06DF"/>
    <w:rsid w:val="005A5527"/>
    <w:rsid w:val="005A5AE6"/>
    <w:rsid w:val="005A63DF"/>
    <w:rsid w:val="005A68C5"/>
    <w:rsid w:val="005A794D"/>
    <w:rsid w:val="005B0BBF"/>
    <w:rsid w:val="005B1206"/>
    <w:rsid w:val="005B37E8"/>
    <w:rsid w:val="005B7FF6"/>
    <w:rsid w:val="005C0056"/>
    <w:rsid w:val="005C18BD"/>
    <w:rsid w:val="005C1C6C"/>
    <w:rsid w:val="005C45D7"/>
    <w:rsid w:val="005C7323"/>
    <w:rsid w:val="005D203A"/>
    <w:rsid w:val="005D2C36"/>
    <w:rsid w:val="005D480D"/>
    <w:rsid w:val="005D504C"/>
    <w:rsid w:val="005D5507"/>
    <w:rsid w:val="005D61D6"/>
    <w:rsid w:val="005E0D13"/>
    <w:rsid w:val="005E302F"/>
    <w:rsid w:val="005E5047"/>
    <w:rsid w:val="005E5BC6"/>
    <w:rsid w:val="005E6E84"/>
    <w:rsid w:val="005E7205"/>
    <w:rsid w:val="005E7371"/>
    <w:rsid w:val="005F116C"/>
    <w:rsid w:val="005F2131"/>
    <w:rsid w:val="005F2848"/>
    <w:rsid w:val="00601492"/>
    <w:rsid w:val="006046F7"/>
    <w:rsid w:val="006052CD"/>
    <w:rsid w:val="00605EF6"/>
    <w:rsid w:val="00606455"/>
    <w:rsid w:val="006124FB"/>
    <w:rsid w:val="00614929"/>
    <w:rsid w:val="00616511"/>
    <w:rsid w:val="006176ED"/>
    <w:rsid w:val="006202F3"/>
    <w:rsid w:val="006205B6"/>
    <w:rsid w:val="0062097A"/>
    <w:rsid w:val="00621DA6"/>
    <w:rsid w:val="006237CE"/>
    <w:rsid w:val="00623CFE"/>
    <w:rsid w:val="00624894"/>
    <w:rsid w:val="006252BD"/>
    <w:rsid w:val="00625545"/>
    <w:rsid w:val="00627221"/>
    <w:rsid w:val="00627EE8"/>
    <w:rsid w:val="00630600"/>
    <w:rsid w:val="006316FA"/>
    <w:rsid w:val="0063275A"/>
    <w:rsid w:val="00632D75"/>
    <w:rsid w:val="006370D2"/>
    <w:rsid w:val="0064074F"/>
    <w:rsid w:val="00641717"/>
    <w:rsid w:val="00641F55"/>
    <w:rsid w:val="00643DAF"/>
    <w:rsid w:val="00644285"/>
    <w:rsid w:val="00645E4A"/>
    <w:rsid w:val="0065091F"/>
    <w:rsid w:val="00650ABF"/>
    <w:rsid w:val="00651641"/>
    <w:rsid w:val="00652B4D"/>
    <w:rsid w:val="00653688"/>
    <w:rsid w:val="00654DB4"/>
    <w:rsid w:val="00656242"/>
    <w:rsid w:val="0066091B"/>
    <w:rsid w:val="006647D9"/>
    <w:rsid w:val="006660E9"/>
    <w:rsid w:val="00667249"/>
    <w:rsid w:val="00667558"/>
    <w:rsid w:val="0067022A"/>
    <w:rsid w:val="00671523"/>
    <w:rsid w:val="00673513"/>
    <w:rsid w:val="006754EF"/>
    <w:rsid w:val="00676C8D"/>
    <w:rsid w:val="00676F1F"/>
    <w:rsid w:val="00677381"/>
    <w:rsid w:val="00677414"/>
    <w:rsid w:val="006832CF"/>
    <w:rsid w:val="006842EB"/>
    <w:rsid w:val="0068601E"/>
    <w:rsid w:val="00686D42"/>
    <w:rsid w:val="00687DD9"/>
    <w:rsid w:val="00690C44"/>
    <w:rsid w:val="006920D4"/>
    <w:rsid w:val="0069486B"/>
    <w:rsid w:val="00696366"/>
    <w:rsid w:val="006A4904"/>
    <w:rsid w:val="006A548F"/>
    <w:rsid w:val="006A55F8"/>
    <w:rsid w:val="006A59BD"/>
    <w:rsid w:val="006A701A"/>
    <w:rsid w:val="006B3BA9"/>
    <w:rsid w:val="006B64DC"/>
    <w:rsid w:val="006B6640"/>
    <w:rsid w:val="006B7A91"/>
    <w:rsid w:val="006C10D5"/>
    <w:rsid w:val="006C1B05"/>
    <w:rsid w:val="006C470E"/>
    <w:rsid w:val="006C5652"/>
    <w:rsid w:val="006D4704"/>
    <w:rsid w:val="006D6A2D"/>
    <w:rsid w:val="006E1E18"/>
    <w:rsid w:val="006E31CE"/>
    <w:rsid w:val="006E34D3"/>
    <w:rsid w:val="006F1435"/>
    <w:rsid w:val="006F4D93"/>
    <w:rsid w:val="006F78C4"/>
    <w:rsid w:val="007031A0"/>
    <w:rsid w:val="007059C1"/>
    <w:rsid w:val="00705A29"/>
    <w:rsid w:val="00705B58"/>
    <w:rsid w:val="00707498"/>
    <w:rsid w:val="00707BA8"/>
    <w:rsid w:val="00711A65"/>
    <w:rsid w:val="00712290"/>
    <w:rsid w:val="00714133"/>
    <w:rsid w:val="00714DA4"/>
    <w:rsid w:val="007158B2"/>
    <w:rsid w:val="00716081"/>
    <w:rsid w:val="007221EC"/>
    <w:rsid w:val="00722B48"/>
    <w:rsid w:val="007232D1"/>
    <w:rsid w:val="00723C1A"/>
    <w:rsid w:val="00724164"/>
    <w:rsid w:val="00725DE7"/>
    <w:rsid w:val="0072636A"/>
    <w:rsid w:val="00726B44"/>
    <w:rsid w:val="00727A60"/>
    <w:rsid w:val="00730B82"/>
    <w:rsid w:val="007318DD"/>
    <w:rsid w:val="00733167"/>
    <w:rsid w:val="007407BD"/>
    <w:rsid w:val="00740D2C"/>
    <w:rsid w:val="007415D0"/>
    <w:rsid w:val="00742E84"/>
    <w:rsid w:val="00744BF9"/>
    <w:rsid w:val="00752623"/>
    <w:rsid w:val="007554DB"/>
    <w:rsid w:val="00757A85"/>
    <w:rsid w:val="00757E24"/>
    <w:rsid w:val="00760F1F"/>
    <w:rsid w:val="007614E2"/>
    <w:rsid w:val="0076423E"/>
    <w:rsid w:val="007646CB"/>
    <w:rsid w:val="0076658F"/>
    <w:rsid w:val="0077040A"/>
    <w:rsid w:val="00771C08"/>
    <w:rsid w:val="00772D64"/>
    <w:rsid w:val="00785D37"/>
    <w:rsid w:val="00786491"/>
    <w:rsid w:val="00787EC4"/>
    <w:rsid w:val="0079136B"/>
    <w:rsid w:val="00792609"/>
    <w:rsid w:val="00792887"/>
    <w:rsid w:val="00792928"/>
    <w:rsid w:val="007943E2"/>
    <w:rsid w:val="00794F2C"/>
    <w:rsid w:val="007A3BC7"/>
    <w:rsid w:val="007A56FB"/>
    <w:rsid w:val="007A5AC4"/>
    <w:rsid w:val="007A7AB4"/>
    <w:rsid w:val="007B063C"/>
    <w:rsid w:val="007B0753"/>
    <w:rsid w:val="007B0FDD"/>
    <w:rsid w:val="007B4802"/>
    <w:rsid w:val="007B6668"/>
    <w:rsid w:val="007B6B33"/>
    <w:rsid w:val="007B72B1"/>
    <w:rsid w:val="007C064F"/>
    <w:rsid w:val="007C2701"/>
    <w:rsid w:val="007C38F1"/>
    <w:rsid w:val="007C5454"/>
    <w:rsid w:val="007D082E"/>
    <w:rsid w:val="007D1447"/>
    <w:rsid w:val="007D2192"/>
    <w:rsid w:val="007D34AD"/>
    <w:rsid w:val="007E361D"/>
    <w:rsid w:val="007E4C34"/>
    <w:rsid w:val="007E5A72"/>
    <w:rsid w:val="007F0021"/>
    <w:rsid w:val="007F2F52"/>
    <w:rsid w:val="007F6767"/>
    <w:rsid w:val="00800D6D"/>
    <w:rsid w:val="00801F71"/>
    <w:rsid w:val="008032C9"/>
    <w:rsid w:val="0080492A"/>
    <w:rsid w:val="00805F28"/>
    <w:rsid w:val="0080749F"/>
    <w:rsid w:val="008108FA"/>
    <w:rsid w:val="008110C5"/>
    <w:rsid w:val="00811D46"/>
    <w:rsid w:val="008125B0"/>
    <w:rsid w:val="008129FE"/>
    <w:rsid w:val="00812AE6"/>
    <w:rsid w:val="008144CB"/>
    <w:rsid w:val="00817F28"/>
    <w:rsid w:val="00821717"/>
    <w:rsid w:val="00824210"/>
    <w:rsid w:val="008256A8"/>
    <w:rsid w:val="00825B64"/>
    <w:rsid w:val="008263C0"/>
    <w:rsid w:val="00833DEB"/>
    <w:rsid w:val="00841422"/>
    <w:rsid w:val="00841D3B"/>
    <w:rsid w:val="00842094"/>
    <w:rsid w:val="00842445"/>
    <w:rsid w:val="0084284F"/>
    <w:rsid w:val="0084314C"/>
    <w:rsid w:val="00843171"/>
    <w:rsid w:val="00845D1E"/>
    <w:rsid w:val="00850986"/>
    <w:rsid w:val="00856799"/>
    <w:rsid w:val="00856C41"/>
    <w:rsid w:val="00856F34"/>
    <w:rsid w:val="008575C3"/>
    <w:rsid w:val="00861EEA"/>
    <w:rsid w:val="00861F99"/>
    <w:rsid w:val="00863D28"/>
    <w:rsid w:val="008648C3"/>
    <w:rsid w:val="0086497A"/>
    <w:rsid w:val="00871855"/>
    <w:rsid w:val="00872848"/>
    <w:rsid w:val="00874260"/>
    <w:rsid w:val="008742D1"/>
    <w:rsid w:val="00874F6F"/>
    <w:rsid w:val="00880F26"/>
    <w:rsid w:val="0088341B"/>
    <w:rsid w:val="00883CAE"/>
    <w:rsid w:val="00891692"/>
    <w:rsid w:val="00894BD2"/>
    <w:rsid w:val="0089678D"/>
    <w:rsid w:val="00896C2E"/>
    <w:rsid w:val="008A0D68"/>
    <w:rsid w:val="008A5095"/>
    <w:rsid w:val="008A608F"/>
    <w:rsid w:val="008A62B3"/>
    <w:rsid w:val="008A6CA4"/>
    <w:rsid w:val="008B1A9A"/>
    <w:rsid w:val="008B21F6"/>
    <w:rsid w:val="008B27B3"/>
    <w:rsid w:val="008B4FE6"/>
    <w:rsid w:val="008B6C37"/>
    <w:rsid w:val="008B73A2"/>
    <w:rsid w:val="008B78B3"/>
    <w:rsid w:val="008D2249"/>
    <w:rsid w:val="008D2EB6"/>
    <w:rsid w:val="008D36D8"/>
    <w:rsid w:val="008D639B"/>
    <w:rsid w:val="008D7F66"/>
    <w:rsid w:val="008E0896"/>
    <w:rsid w:val="008E1149"/>
    <w:rsid w:val="008E18F7"/>
    <w:rsid w:val="008E1E10"/>
    <w:rsid w:val="008E291B"/>
    <w:rsid w:val="008E2BC2"/>
    <w:rsid w:val="008E4F2F"/>
    <w:rsid w:val="008E58F4"/>
    <w:rsid w:val="008E5C88"/>
    <w:rsid w:val="008E5E99"/>
    <w:rsid w:val="008E69EB"/>
    <w:rsid w:val="008E74B0"/>
    <w:rsid w:val="008E7C4D"/>
    <w:rsid w:val="008F0C2A"/>
    <w:rsid w:val="008F4D60"/>
    <w:rsid w:val="009008A8"/>
    <w:rsid w:val="00901D87"/>
    <w:rsid w:val="009063B0"/>
    <w:rsid w:val="00907106"/>
    <w:rsid w:val="009107FD"/>
    <w:rsid w:val="00910D6D"/>
    <w:rsid w:val="0091137C"/>
    <w:rsid w:val="00911567"/>
    <w:rsid w:val="00917AAE"/>
    <w:rsid w:val="00920746"/>
    <w:rsid w:val="009228E5"/>
    <w:rsid w:val="009251A9"/>
    <w:rsid w:val="00925ABE"/>
    <w:rsid w:val="00930020"/>
    <w:rsid w:val="0093008F"/>
    <w:rsid w:val="00930699"/>
    <w:rsid w:val="00931F69"/>
    <w:rsid w:val="00933C4D"/>
    <w:rsid w:val="00934123"/>
    <w:rsid w:val="00936DBC"/>
    <w:rsid w:val="00937218"/>
    <w:rsid w:val="00940896"/>
    <w:rsid w:val="0094324D"/>
    <w:rsid w:val="00954BB0"/>
    <w:rsid w:val="009551DF"/>
    <w:rsid w:val="00955774"/>
    <w:rsid w:val="009560B5"/>
    <w:rsid w:val="00956550"/>
    <w:rsid w:val="0096175C"/>
    <w:rsid w:val="00965083"/>
    <w:rsid w:val="00967421"/>
    <w:rsid w:val="009703D6"/>
    <w:rsid w:val="00971813"/>
    <w:rsid w:val="0097181B"/>
    <w:rsid w:val="00975970"/>
    <w:rsid w:val="00976DC5"/>
    <w:rsid w:val="00980501"/>
    <w:rsid w:val="009818C7"/>
    <w:rsid w:val="00982DD4"/>
    <w:rsid w:val="00983AE0"/>
    <w:rsid w:val="009841E5"/>
    <w:rsid w:val="0098479F"/>
    <w:rsid w:val="00984A8A"/>
    <w:rsid w:val="009857B6"/>
    <w:rsid w:val="00985A8D"/>
    <w:rsid w:val="00985ADE"/>
    <w:rsid w:val="00986610"/>
    <w:rsid w:val="009877DC"/>
    <w:rsid w:val="00990982"/>
    <w:rsid w:val="00991F96"/>
    <w:rsid w:val="00993CA9"/>
    <w:rsid w:val="00995159"/>
    <w:rsid w:val="00996833"/>
    <w:rsid w:val="00996F0A"/>
    <w:rsid w:val="00996FFD"/>
    <w:rsid w:val="009A0658"/>
    <w:rsid w:val="009A1D86"/>
    <w:rsid w:val="009A23E9"/>
    <w:rsid w:val="009A7C85"/>
    <w:rsid w:val="009B049C"/>
    <w:rsid w:val="009B11C8"/>
    <w:rsid w:val="009B2BCF"/>
    <w:rsid w:val="009B2FF8"/>
    <w:rsid w:val="009B3B17"/>
    <w:rsid w:val="009B56C0"/>
    <w:rsid w:val="009B5914"/>
    <w:rsid w:val="009B5BA3"/>
    <w:rsid w:val="009C0884"/>
    <w:rsid w:val="009C49C1"/>
    <w:rsid w:val="009D0027"/>
    <w:rsid w:val="009D0655"/>
    <w:rsid w:val="009E0B05"/>
    <w:rsid w:val="009E1E98"/>
    <w:rsid w:val="009E3ABE"/>
    <w:rsid w:val="009E3C4B"/>
    <w:rsid w:val="009E504F"/>
    <w:rsid w:val="009E7D6B"/>
    <w:rsid w:val="009F0637"/>
    <w:rsid w:val="009F0D32"/>
    <w:rsid w:val="009F62A6"/>
    <w:rsid w:val="009F674F"/>
    <w:rsid w:val="009F799E"/>
    <w:rsid w:val="009F7DDA"/>
    <w:rsid w:val="009F7FDD"/>
    <w:rsid w:val="00A02020"/>
    <w:rsid w:val="00A02B27"/>
    <w:rsid w:val="00A02EA4"/>
    <w:rsid w:val="00A039FA"/>
    <w:rsid w:val="00A056CB"/>
    <w:rsid w:val="00A07A29"/>
    <w:rsid w:val="00A10FF1"/>
    <w:rsid w:val="00A112E3"/>
    <w:rsid w:val="00A127D8"/>
    <w:rsid w:val="00A1506B"/>
    <w:rsid w:val="00A17288"/>
    <w:rsid w:val="00A17507"/>
    <w:rsid w:val="00A17CB2"/>
    <w:rsid w:val="00A2055B"/>
    <w:rsid w:val="00A23191"/>
    <w:rsid w:val="00A23DCD"/>
    <w:rsid w:val="00A24384"/>
    <w:rsid w:val="00A30F2E"/>
    <w:rsid w:val="00A319C0"/>
    <w:rsid w:val="00A31DC9"/>
    <w:rsid w:val="00A33560"/>
    <w:rsid w:val="00A35225"/>
    <w:rsid w:val="00A356E2"/>
    <w:rsid w:val="00A364E4"/>
    <w:rsid w:val="00A36662"/>
    <w:rsid w:val="00A37067"/>
    <w:rsid w:val="00A371A5"/>
    <w:rsid w:val="00A45CA1"/>
    <w:rsid w:val="00A475C6"/>
    <w:rsid w:val="00A47BDF"/>
    <w:rsid w:val="00A51CD7"/>
    <w:rsid w:val="00A52ADB"/>
    <w:rsid w:val="00A52C19"/>
    <w:rsid w:val="00A533E8"/>
    <w:rsid w:val="00A542D9"/>
    <w:rsid w:val="00A550A9"/>
    <w:rsid w:val="00A5644F"/>
    <w:rsid w:val="00A56E64"/>
    <w:rsid w:val="00A624C3"/>
    <w:rsid w:val="00A6575A"/>
    <w:rsid w:val="00A6610C"/>
    <w:rsid w:val="00A6641C"/>
    <w:rsid w:val="00A70317"/>
    <w:rsid w:val="00A715FA"/>
    <w:rsid w:val="00A73118"/>
    <w:rsid w:val="00A763C9"/>
    <w:rsid w:val="00A76796"/>
    <w:rsid w:val="00A767D2"/>
    <w:rsid w:val="00A76A31"/>
    <w:rsid w:val="00A76D2E"/>
    <w:rsid w:val="00A77616"/>
    <w:rsid w:val="00A805DA"/>
    <w:rsid w:val="00A811B4"/>
    <w:rsid w:val="00A87CDE"/>
    <w:rsid w:val="00A91AAB"/>
    <w:rsid w:val="00A9296A"/>
    <w:rsid w:val="00A92BAF"/>
    <w:rsid w:val="00A92BF5"/>
    <w:rsid w:val="00A93BCA"/>
    <w:rsid w:val="00A93C80"/>
    <w:rsid w:val="00A94737"/>
    <w:rsid w:val="00A94BA3"/>
    <w:rsid w:val="00A956B8"/>
    <w:rsid w:val="00A96CBA"/>
    <w:rsid w:val="00AA1897"/>
    <w:rsid w:val="00AA19D1"/>
    <w:rsid w:val="00AA3106"/>
    <w:rsid w:val="00AA3774"/>
    <w:rsid w:val="00AA4FEB"/>
    <w:rsid w:val="00AA5F49"/>
    <w:rsid w:val="00AB1ACD"/>
    <w:rsid w:val="00AB1B31"/>
    <w:rsid w:val="00AB277F"/>
    <w:rsid w:val="00AB3CAF"/>
    <w:rsid w:val="00AB4099"/>
    <w:rsid w:val="00AB449A"/>
    <w:rsid w:val="00AB6313"/>
    <w:rsid w:val="00AC2711"/>
    <w:rsid w:val="00AC2F38"/>
    <w:rsid w:val="00AC50BC"/>
    <w:rsid w:val="00AD01FA"/>
    <w:rsid w:val="00AD12F1"/>
    <w:rsid w:val="00AD14F9"/>
    <w:rsid w:val="00AD23E5"/>
    <w:rsid w:val="00AD35D6"/>
    <w:rsid w:val="00AD4061"/>
    <w:rsid w:val="00AD4F9A"/>
    <w:rsid w:val="00AD501E"/>
    <w:rsid w:val="00AD58C5"/>
    <w:rsid w:val="00AD7364"/>
    <w:rsid w:val="00AE36C4"/>
    <w:rsid w:val="00AE4554"/>
    <w:rsid w:val="00AE472C"/>
    <w:rsid w:val="00AE5375"/>
    <w:rsid w:val="00AE5604"/>
    <w:rsid w:val="00AE6CF8"/>
    <w:rsid w:val="00AF4CAC"/>
    <w:rsid w:val="00AF7FEE"/>
    <w:rsid w:val="00B01415"/>
    <w:rsid w:val="00B01885"/>
    <w:rsid w:val="00B01D35"/>
    <w:rsid w:val="00B0298D"/>
    <w:rsid w:val="00B03E0D"/>
    <w:rsid w:val="00B054F8"/>
    <w:rsid w:val="00B070C6"/>
    <w:rsid w:val="00B11230"/>
    <w:rsid w:val="00B2219A"/>
    <w:rsid w:val="00B238A6"/>
    <w:rsid w:val="00B26607"/>
    <w:rsid w:val="00B31C0D"/>
    <w:rsid w:val="00B3581B"/>
    <w:rsid w:val="00B36B81"/>
    <w:rsid w:val="00B36FEE"/>
    <w:rsid w:val="00B37C80"/>
    <w:rsid w:val="00B409EE"/>
    <w:rsid w:val="00B40FD8"/>
    <w:rsid w:val="00B5092B"/>
    <w:rsid w:val="00B5194E"/>
    <w:rsid w:val="00B51AF5"/>
    <w:rsid w:val="00B52110"/>
    <w:rsid w:val="00B52B03"/>
    <w:rsid w:val="00B5312E"/>
    <w:rsid w:val="00B531FC"/>
    <w:rsid w:val="00B55347"/>
    <w:rsid w:val="00B57E5E"/>
    <w:rsid w:val="00B61F37"/>
    <w:rsid w:val="00B64317"/>
    <w:rsid w:val="00B6649B"/>
    <w:rsid w:val="00B71167"/>
    <w:rsid w:val="00B7770F"/>
    <w:rsid w:val="00B77A89"/>
    <w:rsid w:val="00B77B27"/>
    <w:rsid w:val="00B8008A"/>
    <w:rsid w:val="00B8134E"/>
    <w:rsid w:val="00B81B55"/>
    <w:rsid w:val="00B82252"/>
    <w:rsid w:val="00B84613"/>
    <w:rsid w:val="00B87AF0"/>
    <w:rsid w:val="00B9037B"/>
    <w:rsid w:val="00B910BD"/>
    <w:rsid w:val="00B9189C"/>
    <w:rsid w:val="00B92FB3"/>
    <w:rsid w:val="00B93834"/>
    <w:rsid w:val="00B93C1D"/>
    <w:rsid w:val="00B96469"/>
    <w:rsid w:val="00B96DC6"/>
    <w:rsid w:val="00BA0DA2"/>
    <w:rsid w:val="00BA2981"/>
    <w:rsid w:val="00BA2BB7"/>
    <w:rsid w:val="00BA42EE"/>
    <w:rsid w:val="00BA48F9"/>
    <w:rsid w:val="00BA662D"/>
    <w:rsid w:val="00BB0DCA"/>
    <w:rsid w:val="00BB17EC"/>
    <w:rsid w:val="00BB1896"/>
    <w:rsid w:val="00BB2666"/>
    <w:rsid w:val="00BB6B80"/>
    <w:rsid w:val="00BC08B6"/>
    <w:rsid w:val="00BC3773"/>
    <w:rsid w:val="00BC381A"/>
    <w:rsid w:val="00BC400B"/>
    <w:rsid w:val="00BC57A4"/>
    <w:rsid w:val="00BC7C50"/>
    <w:rsid w:val="00BD0962"/>
    <w:rsid w:val="00BD1EED"/>
    <w:rsid w:val="00BD2F70"/>
    <w:rsid w:val="00BD5B32"/>
    <w:rsid w:val="00BD680D"/>
    <w:rsid w:val="00BE0160"/>
    <w:rsid w:val="00BE0E40"/>
    <w:rsid w:val="00BE2656"/>
    <w:rsid w:val="00BE39B5"/>
    <w:rsid w:val="00BE52DF"/>
    <w:rsid w:val="00BE7649"/>
    <w:rsid w:val="00BF00DE"/>
    <w:rsid w:val="00BF0DA2"/>
    <w:rsid w:val="00BF109C"/>
    <w:rsid w:val="00BF1238"/>
    <w:rsid w:val="00BF1856"/>
    <w:rsid w:val="00BF34FA"/>
    <w:rsid w:val="00BF777A"/>
    <w:rsid w:val="00C0031A"/>
    <w:rsid w:val="00C004B6"/>
    <w:rsid w:val="00C00A88"/>
    <w:rsid w:val="00C0452F"/>
    <w:rsid w:val="00C047A7"/>
    <w:rsid w:val="00C0586F"/>
    <w:rsid w:val="00C05DE5"/>
    <w:rsid w:val="00C05F2E"/>
    <w:rsid w:val="00C13818"/>
    <w:rsid w:val="00C2006B"/>
    <w:rsid w:val="00C24105"/>
    <w:rsid w:val="00C25C76"/>
    <w:rsid w:val="00C33027"/>
    <w:rsid w:val="00C37667"/>
    <w:rsid w:val="00C37CDE"/>
    <w:rsid w:val="00C40F4A"/>
    <w:rsid w:val="00C435DB"/>
    <w:rsid w:val="00C44D73"/>
    <w:rsid w:val="00C45A20"/>
    <w:rsid w:val="00C50899"/>
    <w:rsid w:val="00C50B42"/>
    <w:rsid w:val="00C516FF"/>
    <w:rsid w:val="00C52BFA"/>
    <w:rsid w:val="00C53D1D"/>
    <w:rsid w:val="00C53DA3"/>
    <w:rsid w:val="00C53F26"/>
    <w:rsid w:val="00C540BC"/>
    <w:rsid w:val="00C5499D"/>
    <w:rsid w:val="00C55B96"/>
    <w:rsid w:val="00C620C0"/>
    <w:rsid w:val="00C628D7"/>
    <w:rsid w:val="00C629A3"/>
    <w:rsid w:val="00C64F7D"/>
    <w:rsid w:val="00C6577A"/>
    <w:rsid w:val="00C671CF"/>
    <w:rsid w:val="00C67309"/>
    <w:rsid w:val="00C702C3"/>
    <w:rsid w:val="00C73C85"/>
    <w:rsid w:val="00C73E19"/>
    <w:rsid w:val="00C7614E"/>
    <w:rsid w:val="00C77BF1"/>
    <w:rsid w:val="00C80D60"/>
    <w:rsid w:val="00C81CEB"/>
    <w:rsid w:val="00C82FBD"/>
    <w:rsid w:val="00C8301E"/>
    <w:rsid w:val="00C85267"/>
    <w:rsid w:val="00C86D72"/>
    <w:rsid w:val="00C8721B"/>
    <w:rsid w:val="00C87729"/>
    <w:rsid w:val="00C9372C"/>
    <w:rsid w:val="00C9470E"/>
    <w:rsid w:val="00C95216"/>
    <w:rsid w:val="00C952CB"/>
    <w:rsid w:val="00C95CEB"/>
    <w:rsid w:val="00C9711D"/>
    <w:rsid w:val="00C97377"/>
    <w:rsid w:val="00CA1054"/>
    <w:rsid w:val="00CA63EB"/>
    <w:rsid w:val="00CA69F1"/>
    <w:rsid w:val="00CA7259"/>
    <w:rsid w:val="00CA76C1"/>
    <w:rsid w:val="00CB3378"/>
    <w:rsid w:val="00CB6991"/>
    <w:rsid w:val="00CC12A3"/>
    <w:rsid w:val="00CC1606"/>
    <w:rsid w:val="00CC3862"/>
    <w:rsid w:val="00CC3A6D"/>
    <w:rsid w:val="00CC5107"/>
    <w:rsid w:val="00CC6194"/>
    <w:rsid w:val="00CC6305"/>
    <w:rsid w:val="00CC6744"/>
    <w:rsid w:val="00CC78A5"/>
    <w:rsid w:val="00CD00CD"/>
    <w:rsid w:val="00CD0516"/>
    <w:rsid w:val="00CD756B"/>
    <w:rsid w:val="00CE1236"/>
    <w:rsid w:val="00CE2C8E"/>
    <w:rsid w:val="00CE734F"/>
    <w:rsid w:val="00CE73F6"/>
    <w:rsid w:val="00CF112E"/>
    <w:rsid w:val="00CF11B3"/>
    <w:rsid w:val="00CF27D4"/>
    <w:rsid w:val="00CF5982"/>
    <w:rsid w:val="00CF5F4F"/>
    <w:rsid w:val="00CF7525"/>
    <w:rsid w:val="00D05840"/>
    <w:rsid w:val="00D06439"/>
    <w:rsid w:val="00D129C5"/>
    <w:rsid w:val="00D218DC"/>
    <w:rsid w:val="00D228F3"/>
    <w:rsid w:val="00D24E56"/>
    <w:rsid w:val="00D260B9"/>
    <w:rsid w:val="00D31643"/>
    <w:rsid w:val="00D31AEB"/>
    <w:rsid w:val="00D32ECD"/>
    <w:rsid w:val="00D361E4"/>
    <w:rsid w:val="00D42A8F"/>
    <w:rsid w:val="00D439F6"/>
    <w:rsid w:val="00D448F0"/>
    <w:rsid w:val="00D449E3"/>
    <w:rsid w:val="00D44BC0"/>
    <w:rsid w:val="00D44D70"/>
    <w:rsid w:val="00D4546B"/>
    <w:rsid w:val="00D4566C"/>
    <w:rsid w:val="00D459C6"/>
    <w:rsid w:val="00D45B64"/>
    <w:rsid w:val="00D50729"/>
    <w:rsid w:val="00D50C19"/>
    <w:rsid w:val="00D51464"/>
    <w:rsid w:val="00D51606"/>
    <w:rsid w:val="00D5379E"/>
    <w:rsid w:val="00D62643"/>
    <w:rsid w:val="00D64C0F"/>
    <w:rsid w:val="00D72EFE"/>
    <w:rsid w:val="00D731DE"/>
    <w:rsid w:val="00D73623"/>
    <w:rsid w:val="00D73A94"/>
    <w:rsid w:val="00D76227"/>
    <w:rsid w:val="00D77DF1"/>
    <w:rsid w:val="00D806B1"/>
    <w:rsid w:val="00D808DE"/>
    <w:rsid w:val="00D813DF"/>
    <w:rsid w:val="00D8279A"/>
    <w:rsid w:val="00D8337B"/>
    <w:rsid w:val="00D85553"/>
    <w:rsid w:val="00D86AFF"/>
    <w:rsid w:val="00D86D08"/>
    <w:rsid w:val="00D94A78"/>
    <w:rsid w:val="00D957E7"/>
    <w:rsid w:val="00D95A44"/>
    <w:rsid w:val="00D95D16"/>
    <w:rsid w:val="00D97C76"/>
    <w:rsid w:val="00DB02B4"/>
    <w:rsid w:val="00DB1423"/>
    <w:rsid w:val="00DB1FEC"/>
    <w:rsid w:val="00DB3503"/>
    <w:rsid w:val="00DB538D"/>
    <w:rsid w:val="00DB5D7F"/>
    <w:rsid w:val="00DB65F0"/>
    <w:rsid w:val="00DB78EA"/>
    <w:rsid w:val="00DB7DDD"/>
    <w:rsid w:val="00DC0CAF"/>
    <w:rsid w:val="00DC275C"/>
    <w:rsid w:val="00DC3630"/>
    <w:rsid w:val="00DC4B0D"/>
    <w:rsid w:val="00DC7FE1"/>
    <w:rsid w:val="00DD0EBC"/>
    <w:rsid w:val="00DD1067"/>
    <w:rsid w:val="00DD17D8"/>
    <w:rsid w:val="00DD23FD"/>
    <w:rsid w:val="00DD3F3F"/>
    <w:rsid w:val="00DD5572"/>
    <w:rsid w:val="00DD55FC"/>
    <w:rsid w:val="00DE0BC7"/>
    <w:rsid w:val="00DE5D80"/>
    <w:rsid w:val="00DF3DE4"/>
    <w:rsid w:val="00DF47D3"/>
    <w:rsid w:val="00DF58CD"/>
    <w:rsid w:val="00DF5AA4"/>
    <w:rsid w:val="00DF6130"/>
    <w:rsid w:val="00DF65DE"/>
    <w:rsid w:val="00DF76CF"/>
    <w:rsid w:val="00DF7D8E"/>
    <w:rsid w:val="00E019A5"/>
    <w:rsid w:val="00E02EC8"/>
    <w:rsid w:val="00E037F5"/>
    <w:rsid w:val="00E04ECB"/>
    <w:rsid w:val="00E05A09"/>
    <w:rsid w:val="00E0601F"/>
    <w:rsid w:val="00E06CA1"/>
    <w:rsid w:val="00E172B8"/>
    <w:rsid w:val="00E17FB4"/>
    <w:rsid w:val="00E2059E"/>
    <w:rsid w:val="00E20B75"/>
    <w:rsid w:val="00E214F2"/>
    <w:rsid w:val="00E2371E"/>
    <w:rsid w:val="00E23B2E"/>
    <w:rsid w:val="00E24BD7"/>
    <w:rsid w:val="00E25586"/>
    <w:rsid w:val="00E25B37"/>
    <w:rsid w:val="00E26523"/>
    <w:rsid w:val="00E26809"/>
    <w:rsid w:val="00E32FD2"/>
    <w:rsid w:val="00E33A6A"/>
    <w:rsid w:val="00E3412D"/>
    <w:rsid w:val="00E37608"/>
    <w:rsid w:val="00E441B3"/>
    <w:rsid w:val="00E44DE6"/>
    <w:rsid w:val="00E46DC8"/>
    <w:rsid w:val="00E47515"/>
    <w:rsid w:val="00E50B46"/>
    <w:rsid w:val="00E51520"/>
    <w:rsid w:val="00E529F7"/>
    <w:rsid w:val="00E57322"/>
    <w:rsid w:val="00E628CB"/>
    <w:rsid w:val="00E62AD9"/>
    <w:rsid w:val="00E638C8"/>
    <w:rsid w:val="00E71146"/>
    <w:rsid w:val="00E7178B"/>
    <w:rsid w:val="00E71F9D"/>
    <w:rsid w:val="00E72D93"/>
    <w:rsid w:val="00E7509B"/>
    <w:rsid w:val="00E80AA4"/>
    <w:rsid w:val="00E855D4"/>
    <w:rsid w:val="00E85A62"/>
    <w:rsid w:val="00E86590"/>
    <w:rsid w:val="00E86949"/>
    <w:rsid w:val="00E90719"/>
    <w:rsid w:val="00E907FF"/>
    <w:rsid w:val="00E91A07"/>
    <w:rsid w:val="00E925DE"/>
    <w:rsid w:val="00E96FE9"/>
    <w:rsid w:val="00EA42D1"/>
    <w:rsid w:val="00EA42EF"/>
    <w:rsid w:val="00EA6CB2"/>
    <w:rsid w:val="00EB1181"/>
    <w:rsid w:val="00EB2DD1"/>
    <w:rsid w:val="00EB6B37"/>
    <w:rsid w:val="00EC29FE"/>
    <w:rsid w:val="00EC339B"/>
    <w:rsid w:val="00EC35C2"/>
    <w:rsid w:val="00EC3C70"/>
    <w:rsid w:val="00ED186D"/>
    <w:rsid w:val="00ED3A3D"/>
    <w:rsid w:val="00ED538A"/>
    <w:rsid w:val="00ED5DAC"/>
    <w:rsid w:val="00ED6AFC"/>
    <w:rsid w:val="00ED6FBC"/>
    <w:rsid w:val="00ED7D00"/>
    <w:rsid w:val="00EE26C9"/>
    <w:rsid w:val="00EE2F16"/>
    <w:rsid w:val="00EE3861"/>
    <w:rsid w:val="00EE7C44"/>
    <w:rsid w:val="00EF03A2"/>
    <w:rsid w:val="00EF1B4C"/>
    <w:rsid w:val="00EF1DDE"/>
    <w:rsid w:val="00EF290C"/>
    <w:rsid w:val="00EF2E73"/>
    <w:rsid w:val="00EF403F"/>
    <w:rsid w:val="00EF7683"/>
    <w:rsid w:val="00EF78F6"/>
    <w:rsid w:val="00EF7A2D"/>
    <w:rsid w:val="00F00291"/>
    <w:rsid w:val="00F046EB"/>
    <w:rsid w:val="00F04F8D"/>
    <w:rsid w:val="00F064C6"/>
    <w:rsid w:val="00F07B77"/>
    <w:rsid w:val="00F10AD0"/>
    <w:rsid w:val="00F116CC"/>
    <w:rsid w:val="00F12BD1"/>
    <w:rsid w:val="00F13F15"/>
    <w:rsid w:val="00F15327"/>
    <w:rsid w:val="00F168CF"/>
    <w:rsid w:val="00F17544"/>
    <w:rsid w:val="00F21CAD"/>
    <w:rsid w:val="00F22916"/>
    <w:rsid w:val="00F24189"/>
    <w:rsid w:val="00F2555C"/>
    <w:rsid w:val="00F31DF3"/>
    <w:rsid w:val="00F33AE5"/>
    <w:rsid w:val="00F3597D"/>
    <w:rsid w:val="00F4376D"/>
    <w:rsid w:val="00F45399"/>
    <w:rsid w:val="00F465EA"/>
    <w:rsid w:val="00F50657"/>
    <w:rsid w:val="00F54E7B"/>
    <w:rsid w:val="00F55A88"/>
    <w:rsid w:val="00F615DF"/>
    <w:rsid w:val="00F64D26"/>
    <w:rsid w:val="00F67093"/>
    <w:rsid w:val="00F71205"/>
    <w:rsid w:val="00F7340F"/>
    <w:rsid w:val="00F74005"/>
    <w:rsid w:val="00F76884"/>
    <w:rsid w:val="00F81F49"/>
    <w:rsid w:val="00F83D24"/>
    <w:rsid w:val="00F83DD9"/>
    <w:rsid w:val="00F83F40"/>
    <w:rsid w:val="00F9012F"/>
    <w:rsid w:val="00F904E9"/>
    <w:rsid w:val="00F90C22"/>
    <w:rsid w:val="00F91F06"/>
    <w:rsid w:val="00F96C2C"/>
    <w:rsid w:val="00F97853"/>
    <w:rsid w:val="00FA0520"/>
    <w:rsid w:val="00FA05CA"/>
    <w:rsid w:val="00FA117A"/>
    <w:rsid w:val="00FA50A5"/>
    <w:rsid w:val="00FB2551"/>
    <w:rsid w:val="00FB386A"/>
    <w:rsid w:val="00FB3C07"/>
    <w:rsid w:val="00FB3CFE"/>
    <w:rsid w:val="00FB5D80"/>
    <w:rsid w:val="00FC0786"/>
    <w:rsid w:val="00FC3D77"/>
    <w:rsid w:val="00FC49EF"/>
    <w:rsid w:val="00FC5E3A"/>
    <w:rsid w:val="00FC6856"/>
    <w:rsid w:val="00FC6BAC"/>
    <w:rsid w:val="00FC743E"/>
    <w:rsid w:val="00FD33D4"/>
    <w:rsid w:val="00FE36E2"/>
    <w:rsid w:val="00FE5F03"/>
    <w:rsid w:val="00FF11AD"/>
    <w:rsid w:val="00FF1466"/>
    <w:rsid w:val="00FF18C3"/>
    <w:rsid w:val="00FF2971"/>
    <w:rsid w:val="00FF34D4"/>
    <w:rsid w:val="00FF6EE8"/>
    <w:rsid w:val="00FF759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707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550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styleId="Tekstzastpczy">
    <w:name w:val="Placeholder Text"/>
    <w:basedOn w:val="Domylnaczcionkaakapitu"/>
    <w:uiPriority w:val="99"/>
    <w:semiHidden/>
    <w:rsid w:val="00EF290C"/>
    <w:rPr>
      <w:color w:val="808080"/>
    </w:rPr>
  </w:style>
  <w:style w:type="paragraph" w:customStyle="1" w:styleId="Default">
    <w:name w:val="Default"/>
    <w:rsid w:val="00644285"/>
    <w:pPr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644285"/>
    <w:pPr>
      <w:spacing w:line="288" w:lineRule="atLeast"/>
    </w:pPr>
    <w:rPr>
      <w:rFonts w:cs="Times New Roman"/>
      <w:color w:val="auto"/>
    </w:rPr>
  </w:style>
  <w:style w:type="paragraph" w:styleId="Legenda">
    <w:name w:val="caption"/>
    <w:next w:val="Normalny"/>
    <w:uiPriority w:val="35"/>
    <w:semiHidden/>
    <w:unhideWhenUsed/>
    <w:qFormat/>
    <w:locked/>
    <w:rsid w:val="0041713C"/>
    <w:pPr>
      <w:spacing w:after="200"/>
      <w:jc w:val="both"/>
    </w:pPr>
    <w:rPr>
      <w:rFonts w:cs="Calibri"/>
      <w:b/>
      <w:bCs/>
      <w:color w:val="000000"/>
      <w:sz w:val="18"/>
      <w:szCs w:val="18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3C8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B5D7F"/>
    <w:rPr>
      <w:sz w:val="22"/>
      <w:szCs w:val="22"/>
      <w:lang w:eastAsia="en-US"/>
    </w:rPr>
  </w:style>
  <w:style w:type="table" w:styleId="Tabelasiatki1jasna">
    <w:name w:val="Grid Table 1 Light"/>
    <w:basedOn w:val="Standardowy"/>
    <w:uiPriority w:val="46"/>
    <w:rsid w:val="00F07B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wrzaszek@kul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DC878-6BF1-4BEF-BF44-5BC76C6CD293}"/>
      </w:docPartPr>
      <w:docPartBody>
        <w:p w:rsidR="00F523DD" w:rsidRDefault="00AD66A9">
          <w:r w:rsidRPr="008D2484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6A9"/>
    <w:rsid w:val="000343D9"/>
    <w:rsid w:val="00035018"/>
    <w:rsid w:val="000436D4"/>
    <w:rsid w:val="0005442E"/>
    <w:rsid w:val="00082E39"/>
    <w:rsid w:val="00087141"/>
    <w:rsid w:val="0009593A"/>
    <w:rsid w:val="000D20FB"/>
    <w:rsid w:val="000F126A"/>
    <w:rsid w:val="000F5A5F"/>
    <w:rsid w:val="000F721A"/>
    <w:rsid w:val="00100DA7"/>
    <w:rsid w:val="0010477C"/>
    <w:rsid w:val="00195AF9"/>
    <w:rsid w:val="001A3D84"/>
    <w:rsid w:val="001A7467"/>
    <w:rsid w:val="001B3841"/>
    <w:rsid w:val="001D107E"/>
    <w:rsid w:val="00201C39"/>
    <w:rsid w:val="00221A91"/>
    <w:rsid w:val="00251A08"/>
    <w:rsid w:val="00257935"/>
    <w:rsid w:val="002630E7"/>
    <w:rsid w:val="0027177A"/>
    <w:rsid w:val="002828D5"/>
    <w:rsid w:val="002A2FB3"/>
    <w:rsid w:val="002C78CB"/>
    <w:rsid w:val="002F1174"/>
    <w:rsid w:val="002F52A9"/>
    <w:rsid w:val="00302C9A"/>
    <w:rsid w:val="00302D2C"/>
    <w:rsid w:val="00311D7D"/>
    <w:rsid w:val="003177AE"/>
    <w:rsid w:val="00327077"/>
    <w:rsid w:val="00346839"/>
    <w:rsid w:val="003570E8"/>
    <w:rsid w:val="00360C25"/>
    <w:rsid w:val="00362B17"/>
    <w:rsid w:val="00365C2B"/>
    <w:rsid w:val="00384B2E"/>
    <w:rsid w:val="00391943"/>
    <w:rsid w:val="003B0983"/>
    <w:rsid w:val="003B1025"/>
    <w:rsid w:val="0040127E"/>
    <w:rsid w:val="0041605A"/>
    <w:rsid w:val="00420BCE"/>
    <w:rsid w:val="00424623"/>
    <w:rsid w:val="00424801"/>
    <w:rsid w:val="004446CB"/>
    <w:rsid w:val="004573D4"/>
    <w:rsid w:val="00474337"/>
    <w:rsid w:val="004800E8"/>
    <w:rsid w:val="004816F9"/>
    <w:rsid w:val="00494552"/>
    <w:rsid w:val="004A30E1"/>
    <w:rsid w:val="004A50F2"/>
    <w:rsid w:val="004D6FE6"/>
    <w:rsid w:val="004E2DC6"/>
    <w:rsid w:val="004F20CC"/>
    <w:rsid w:val="00500E11"/>
    <w:rsid w:val="005122F3"/>
    <w:rsid w:val="0051469B"/>
    <w:rsid w:val="005245FD"/>
    <w:rsid w:val="005426E8"/>
    <w:rsid w:val="005523AC"/>
    <w:rsid w:val="00564C83"/>
    <w:rsid w:val="0056707F"/>
    <w:rsid w:val="0057061B"/>
    <w:rsid w:val="005B1E45"/>
    <w:rsid w:val="005D504C"/>
    <w:rsid w:val="005D5634"/>
    <w:rsid w:val="0060167E"/>
    <w:rsid w:val="006025E3"/>
    <w:rsid w:val="00623C07"/>
    <w:rsid w:val="006311F7"/>
    <w:rsid w:val="006450C1"/>
    <w:rsid w:val="00665F2B"/>
    <w:rsid w:val="00666968"/>
    <w:rsid w:val="00696366"/>
    <w:rsid w:val="006D7D90"/>
    <w:rsid w:val="006E457A"/>
    <w:rsid w:val="006F4992"/>
    <w:rsid w:val="0070304F"/>
    <w:rsid w:val="0071080D"/>
    <w:rsid w:val="00723C1A"/>
    <w:rsid w:val="00727C97"/>
    <w:rsid w:val="00757E24"/>
    <w:rsid w:val="00771FD3"/>
    <w:rsid w:val="0078514C"/>
    <w:rsid w:val="007A7CE2"/>
    <w:rsid w:val="007B5084"/>
    <w:rsid w:val="007C4134"/>
    <w:rsid w:val="007C5454"/>
    <w:rsid w:val="007D79EC"/>
    <w:rsid w:val="007E7155"/>
    <w:rsid w:val="007F6767"/>
    <w:rsid w:val="007F7F47"/>
    <w:rsid w:val="008057DA"/>
    <w:rsid w:val="00812D81"/>
    <w:rsid w:val="00813993"/>
    <w:rsid w:val="00821C6A"/>
    <w:rsid w:val="0082576B"/>
    <w:rsid w:val="00826ED7"/>
    <w:rsid w:val="00841065"/>
    <w:rsid w:val="00850A57"/>
    <w:rsid w:val="00853571"/>
    <w:rsid w:val="00855E0A"/>
    <w:rsid w:val="00856C41"/>
    <w:rsid w:val="00874260"/>
    <w:rsid w:val="00886144"/>
    <w:rsid w:val="008A0D68"/>
    <w:rsid w:val="008B21F6"/>
    <w:rsid w:val="008B4B37"/>
    <w:rsid w:val="008C7CA2"/>
    <w:rsid w:val="008D2E43"/>
    <w:rsid w:val="008E58F4"/>
    <w:rsid w:val="008E7581"/>
    <w:rsid w:val="008F49B4"/>
    <w:rsid w:val="00902B12"/>
    <w:rsid w:val="00903DD5"/>
    <w:rsid w:val="0091378D"/>
    <w:rsid w:val="00914FEC"/>
    <w:rsid w:val="009228E5"/>
    <w:rsid w:val="0093008F"/>
    <w:rsid w:val="00937218"/>
    <w:rsid w:val="00941109"/>
    <w:rsid w:val="009603FC"/>
    <w:rsid w:val="00980501"/>
    <w:rsid w:val="00990982"/>
    <w:rsid w:val="009A551A"/>
    <w:rsid w:val="009A7C85"/>
    <w:rsid w:val="009B2CFE"/>
    <w:rsid w:val="009B3B17"/>
    <w:rsid w:val="009B65D1"/>
    <w:rsid w:val="009B7CDB"/>
    <w:rsid w:val="009E25A3"/>
    <w:rsid w:val="009F46B8"/>
    <w:rsid w:val="009F7FDD"/>
    <w:rsid w:val="00A011D9"/>
    <w:rsid w:val="00A06384"/>
    <w:rsid w:val="00A23A3E"/>
    <w:rsid w:val="00A24384"/>
    <w:rsid w:val="00A36662"/>
    <w:rsid w:val="00A36C51"/>
    <w:rsid w:val="00A44118"/>
    <w:rsid w:val="00A46EC4"/>
    <w:rsid w:val="00A6290A"/>
    <w:rsid w:val="00A847C3"/>
    <w:rsid w:val="00A97C72"/>
    <w:rsid w:val="00AB1E92"/>
    <w:rsid w:val="00AC2711"/>
    <w:rsid w:val="00AD12F1"/>
    <w:rsid w:val="00AD4061"/>
    <w:rsid w:val="00AD501E"/>
    <w:rsid w:val="00AD66A9"/>
    <w:rsid w:val="00AD797D"/>
    <w:rsid w:val="00B0447A"/>
    <w:rsid w:val="00B060E6"/>
    <w:rsid w:val="00B21254"/>
    <w:rsid w:val="00B22035"/>
    <w:rsid w:val="00B27409"/>
    <w:rsid w:val="00B46DC7"/>
    <w:rsid w:val="00B5312E"/>
    <w:rsid w:val="00B617BD"/>
    <w:rsid w:val="00B6649B"/>
    <w:rsid w:val="00B80723"/>
    <w:rsid w:val="00B956C1"/>
    <w:rsid w:val="00B9597C"/>
    <w:rsid w:val="00BA6687"/>
    <w:rsid w:val="00BB17EC"/>
    <w:rsid w:val="00BC6D8E"/>
    <w:rsid w:val="00BD30B2"/>
    <w:rsid w:val="00BD3600"/>
    <w:rsid w:val="00BE39B5"/>
    <w:rsid w:val="00C06285"/>
    <w:rsid w:val="00C077A7"/>
    <w:rsid w:val="00C13818"/>
    <w:rsid w:val="00C2006B"/>
    <w:rsid w:val="00C2548F"/>
    <w:rsid w:val="00C36555"/>
    <w:rsid w:val="00C454B5"/>
    <w:rsid w:val="00C66DDF"/>
    <w:rsid w:val="00C7324E"/>
    <w:rsid w:val="00C73E19"/>
    <w:rsid w:val="00C77C78"/>
    <w:rsid w:val="00C84C7D"/>
    <w:rsid w:val="00C86D72"/>
    <w:rsid w:val="00C93B09"/>
    <w:rsid w:val="00CA1D76"/>
    <w:rsid w:val="00CA3A5D"/>
    <w:rsid w:val="00CB3378"/>
    <w:rsid w:val="00D25AA4"/>
    <w:rsid w:val="00D420EE"/>
    <w:rsid w:val="00D4283F"/>
    <w:rsid w:val="00D45B64"/>
    <w:rsid w:val="00DB78EA"/>
    <w:rsid w:val="00DB7A25"/>
    <w:rsid w:val="00DD23FD"/>
    <w:rsid w:val="00DE39D6"/>
    <w:rsid w:val="00DF0184"/>
    <w:rsid w:val="00E031B6"/>
    <w:rsid w:val="00E20405"/>
    <w:rsid w:val="00E3145B"/>
    <w:rsid w:val="00E37A2D"/>
    <w:rsid w:val="00E406D6"/>
    <w:rsid w:val="00E621D7"/>
    <w:rsid w:val="00E75FB5"/>
    <w:rsid w:val="00E80AA4"/>
    <w:rsid w:val="00E855D4"/>
    <w:rsid w:val="00EA5F02"/>
    <w:rsid w:val="00EB1181"/>
    <w:rsid w:val="00EB7FF7"/>
    <w:rsid w:val="00EC3E6B"/>
    <w:rsid w:val="00EE18E9"/>
    <w:rsid w:val="00EE7C44"/>
    <w:rsid w:val="00EF07A3"/>
    <w:rsid w:val="00EF23E9"/>
    <w:rsid w:val="00EF2EF4"/>
    <w:rsid w:val="00EF32A8"/>
    <w:rsid w:val="00EF4475"/>
    <w:rsid w:val="00EF78F6"/>
    <w:rsid w:val="00F116E8"/>
    <w:rsid w:val="00F11AF7"/>
    <w:rsid w:val="00F27C0E"/>
    <w:rsid w:val="00F523DD"/>
    <w:rsid w:val="00F67093"/>
    <w:rsid w:val="00F81F49"/>
    <w:rsid w:val="00F94F36"/>
    <w:rsid w:val="00FA7F3E"/>
    <w:rsid w:val="00FB25B4"/>
    <w:rsid w:val="00FB7278"/>
    <w:rsid w:val="00FD2CB6"/>
    <w:rsid w:val="00FD4AF3"/>
    <w:rsid w:val="00FF14B7"/>
    <w:rsid w:val="00F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E39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204E-7A19-45E4-92A2-60D7B757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6855</Words>
  <Characters>41133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OSR</vt:lpstr>
    </vt:vector>
  </TitlesOfParts>
  <LinksUpToDate>false</LinksUpToDate>
  <CharactersWithSpaces>47893</CharactersWithSpaces>
  <SharedDoc>false</SharedDoc>
  <HLinks>
    <vt:vector size="12" baseType="variant">
      <vt:variant>
        <vt:i4>1638433</vt:i4>
      </vt:variant>
      <vt:variant>
        <vt:i4>103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100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OSR</dc:title>
  <dc:creator/>
  <cp:keywords>ocena skutków regulacji</cp:keywords>
  <cp:lastModifiedBy/>
  <cp:revision>1</cp:revision>
  <dcterms:created xsi:type="dcterms:W3CDTF">2026-06-30T09:39:00Z</dcterms:created>
  <dcterms:modified xsi:type="dcterms:W3CDTF">2026-06-30T09:39:00Z</dcterms:modified>
</cp:coreProperties>
</file>