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7E5D" w14:textId="77777777" w:rsidR="00046A8C" w:rsidRPr="00AD0501" w:rsidRDefault="00046A8C" w:rsidP="003E10BF">
      <w:pPr>
        <w:spacing w:line="360" w:lineRule="auto"/>
        <w:jc w:val="center"/>
        <w:rPr>
          <w:rFonts w:ascii="Arial" w:hAnsi="Arial" w:cs="Arial"/>
          <w:b/>
          <w:sz w:val="22"/>
          <w:szCs w:val="22"/>
        </w:rPr>
      </w:pPr>
    </w:p>
    <w:p w14:paraId="6D117240" w14:textId="1AE1DC2A" w:rsidR="00D27791" w:rsidRPr="00C32349" w:rsidRDefault="00D27791" w:rsidP="003E10BF">
      <w:pPr>
        <w:pStyle w:val="Podtytu"/>
        <w:spacing w:after="0" w:line="360" w:lineRule="auto"/>
        <w:jc w:val="center"/>
        <w:rPr>
          <w:rStyle w:val="Tytuksiki"/>
          <w:rFonts w:ascii="Arial" w:hAnsi="Arial" w:cs="Arial"/>
          <w:i w:val="0"/>
          <w:iCs w:val="0"/>
        </w:rPr>
      </w:pPr>
      <w:r w:rsidRPr="00C32349">
        <w:rPr>
          <w:rStyle w:val="Tytuksiki"/>
          <w:rFonts w:ascii="Arial" w:hAnsi="Arial" w:cs="Arial"/>
          <w:i w:val="0"/>
          <w:iCs w:val="0"/>
        </w:rPr>
        <w:t>OPIS PRZEDMIOTU ZAMÓWIENIA</w:t>
      </w:r>
    </w:p>
    <w:p w14:paraId="5158F17E" w14:textId="65C7EC88" w:rsidR="00D27791" w:rsidRPr="00C32349" w:rsidRDefault="00D27791" w:rsidP="003E10BF">
      <w:pPr>
        <w:pStyle w:val="Podtytu"/>
        <w:spacing w:after="0" w:line="360" w:lineRule="auto"/>
        <w:jc w:val="center"/>
        <w:rPr>
          <w:rStyle w:val="Tytuksiki"/>
          <w:i w:val="0"/>
          <w:iCs w:val="0"/>
        </w:rPr>
      </w:pPr>
      <w:r w:rsidRPr="00C32349">
        <w:rPr>
          <w:rStyle w:val="Tytuksiki"/>
          <w:i w:val="0"/>
          <w:iCs w:val="0"/>
        </w:rPr>
        <w:t>(dalej: „OPZ”)</w:t>
      </w:r>
    </w:p>
    <w:p w14:paraId="78D497C0" w14:textId="77777777" w:rsidR="00916465" w:rsidRPr="00C32349" w:rsidRDefault="00916465" w:rsidP="003E10BF">
      <w:pPr>
        <w:pStyle w:val="Podtytu"/>
        <w:spacing w:after="0" w:line="360" w:lineRule="auto"/>
        <w:jc w:val="both"/>
        <w:rPr>
          <w:rFonts w:eastAsia="Calibri"/>
        </w:rPr>
      </w:pPr>
    </w:p>
    <w:p w14:paraId="5C355A25" w14:textId="28A12E7E" w:rsidR="00D27791" w:rsidRPr="00C32349" w:rsidRDefault="00D27791" w:rsidP="003E10BF">
      <w:pPr>
        <w:pStyle w:val="Podtytu"/>
        <w:spacing w:after="0" w:line="360" w:lineRule="auto"/>
        <w:jc w:val="both"/>
        <w:rPr>
          <w:rFonts w:ascii="Arial" w:eastAsia="Times New Roman" w:hAnsi="Arial" w:cs="Arial"/>
          <w:color w:val="auto"/>
          <w:spacing w:val="0"/>
        </w:rPr>
      </w:pPr>
      <w:r w:rsidRPr="00C32349">
        <w:rPr>
          <w:rFonts w:ascii="Arial" w:eastAsia="Times New Roman" w:hAnsi="Arial" w:cs="Arial"/>
          <w:color w:val="auto"/>
          <w:spacing w:val="0"/>
        </w:rPr>
        <w:t xml:space="preserve">Przedmiotem zamówienia jest przygotowanie </w:t>
      </w:r>
      <w:r w:rsidR="00830242" w:rsidRPr="00C32349">
        <w:rPr>
          <w:rFonts w:ascii="Arial" w:eastAsia="Times New Roman" w:hAnsi="Arial" w:cs="Arial"/>
          <w:color w:val="auto"/>
          <w:spacing w:val="0"/>
        </w:rPr>
        <w:t>opracowania</w:t>
      </w:r>
      <w:r w:rsidRPr="00C32349">
        <w:rPr>
          <w:rFonts w:ascii="Arial" w:eastAsia="Times New Roman" w:hAnsi="Arial" w:cs="Arial"/>
          <w:color w:val="auto"/>
          <w:spacing w:val="0"/>
        </w:rPr>
        <w:t xml:space="preserve"> pod tytułem: </w:t>
      </w:r>
      <w:r w:rsidR="00916465" w:rsidRPr="00C32349">
        <w:rPr>
          <w:rFonts w:ascii="Arial" w:eastAsia="Times New Roman" w:hAnsi="Arial" w:cs="Arial"/>
          <w:color w:val="auto"/>
          <w:spacing w:val="0"/>
        </w:rPr>
        <w:t xml:space="preserve">„Analiza komparatystyczna rozwiązań prawnych służących implementacji dyrektywy Parlamentu Europejskiego i Rady 2011/92/UE w sprawie oceny skutków wywieranych przez niektóre przedsięwzięcia publiczne i prywatne na środowisko – porównanie </w:t>
      </w:r>
      <w:r w:rsidR="00010F88" w:rsidRPr="00C32349">
        <w:rPr>
          <w:rFonts w:ascii="Arial" w:eastAsia="Times New Roman" w:hAnsi="Arial" w:cs="Arial"/>
          <w:color w:val="auto"/>
          <w:spacing w:val="0"/>
        </w:rPr>
        <w:t>systemów prawnych</w:t>
      </w:r>
      <w:r w:rsidR="00916465" w:rsidRPr="00C32349">
        <w:rPr>
          <w:rFonts w:ascii="Arial" w:eastAsia="Times New Roman" w:hAnsi="Arial" w:cs="Arial"/>
          <w:color w:val="auto"/>
          <w:spacing w:val="0"/>
        </w:rPr>
        <w:t xml:space="preserve"> wybranych państw członkowskich Unii Europejskiej.</w:t>
      </w:r>
      <w:r w:rsidR="00830242" w:rsidRPr="00C32349">
        <w:rPr>
          <w:rFonts w:ascii="Arial" w:eastAsia="Times New Roman" w:hAnsi="Arial" w:cs="Arial"/>
          <w:color w:val="auto"/>
          <w:spacing w:val="0"/>
        </w:rPr>
        <w:t>”</w:t>
      </w:r>
      <w:r w:rsidRPr="00C32349">
        <w:rPr>
          <w:rFonts w:ascii="Arial" w:eastAsia="Times New Roman" w:hAnsi="Arial" w:cs="Arial"/>
          <w:color w:val="auto"/>
          <w:spacing w:val="0"/>
        </w:rPr>
        <w:t>, zwanego dalej: „</w:t>
      </w:r>
      <w:r w:rsidR="00830242" w:rsidRPr="00C32349">
        <w:rPr>
          <w:rFonts w:ascii="Arial" w:eastAsia="Times New Roman" w:hAnsi="Arial" w:cs="Arial"/>
          <w:color w:val="auto"/>
          <w:spacing w:val="0"/>
        </w:rPr>
        <w:t>Analizą</w:t>
      </w:r>
      <w:r w:rsidRPr="00C32349">
        <w:rPr>
          <w:rFonts w:ascii="Arial" w:eastAsia="Times New Roman" w:hAnsi="Arial" w:cs="Arial"/>
          <w:color w:val="auto"/>
          <w:spacing w:val="0"/>
        </w:rPr>
        <w:t>”.</w:t>
      </w:r>
    </w:p>
    <w:p w14:paraId="49B5AA3D" w14:textId="77777777" w:rsidR="008232AC" w:rsidRPr="00AD0501" w:rsidRDefault="008232AC" w:rsidP="003E10BF">
      <w:pPr>
        <w:spacing w:line="360" w:lineRule="auto"/>
        <w:jc w:val="both"/>
        <w:rPr>
          <w:rFonts w:ascii="Arial" w:eastAsia="Calibri" w:hAnsi="Arial" w:cs="Arial"/>
          <w:b/>
          <w:sz w:val="22"/>
          <w:szCs w:val="22"/>
        </w:rPr>
      </w:pPr>
    </w:p>
    <w:p w14:paraId="082DA555" w14:textId="52143F72" w:rsidR="008232AC" w:rsidRPr="00C32349" w:rsidRDefault="008232AC" w:rsidP="003E10BF">
      <w:pPr>
        <w:pStyle w:val="Podtytu"/>
        <w:spacing w:after="0" w:line="360" w:lineRule="auto"/>
        <w:rPr>
          <w:rStyle w:val="Pogrubienie"/>
          <w:rFonts w:ascii="Arial" w:hAnsi="Arial" w:cs="Arial"/>
        </w:rPr>
      </w:pPr>
      <w:bookmarkStart w:id="0" w:name="_Toc16168026"/>
      <w:bookmarkStart w:id="1" w:name="_Toc34148415"/>
      <w:r w:rsidRPr="00C32349">
        <w:rPr>
          <w:rStyle w:val="Pogrubienie"/>
          <w:rFonts w:ascii="Arial" w:hAnsi="Arial" w:cs="Arial"/>
        </w:rPr>
        <w:t>I. PROJEKT – INFORMACJE WSTĘPNE</w:t>
      </w:r>
      <w:bookmarkEnd w:id="0"/>
      <w:bookmarkEnd w:id="1"/>
      <w:r w:rsidR="00E919E0" w:rsidRPr="00C32349">
        <w:rPr>
          <w:rStyle w:val="Pogrubienie"/>
          <w:rFonts w:ascii="Arial" w:hAnsi="Arial" w:cs="Arial"/>
        </w:rPr>
        <w:t xml:space="preserve"> </w:t>
      </w:r>
    </w:p>
    <w:p w14:paraId="116F6489" w14:textId="77777777" w:rsidR="008232AC" w:rsidRPr="00AD0501" w:rsidRDefault="008232AC" w:rsidP="003E10BF">
      <w:pPr>
        <w:pStyle w:val="Bezodstpw"/>
        <w:spacing w:line="360" w:lineRule="auto"/>
        <w:jc w:val="both"/>
        <w:rPr>
          <w:rFonts w:ascii="Arial" w:hAnsi="Arial" w:cs="Arial"/>
        </w:rPr>
      </w:pPr>
    </w:p>
    <w:p w14:paraId="52EFCF34" w14:textId="79309ACE" w:rsidR="008232AC" w:rsidRPr="00C32349" w:rsidRDefault="008232AC" w:rsidP="003E10BF">
      <w:pPr>
        <w:pStyle w:val="Bezodstpw"/>
        <w:spacing w:line="360" w:lineRule="auto"/>
        <w:jc w:val="both"/>
        <w:rPr>
          <w:rFonts w:ascii="Arial" w:hAnsi="Arial" w:cs="Arial"/>
        </w:rPr>
      </w:pPr>
      <w:r w:rsidRPr="00C32349">
        <w:rPr>
          <w:rFonts w:ascii="Arial" w:hAnsi="Arial" w:cs="Arial"/>
        </w:rPr>
        <w:t xml:space="preserve">Wszystkie państwa członkowskie Unii Europejskiej są zobowiązane do wdrożenia przepisów </w:t>
      </w:r>
      <w:r w:rsidR="00916465" w:rsidRPr="00C32349">
        <w:rPr>
          <w:rFonts w:ascii="Arial" w:hAnsi="Arial" w:cs="Arial"/>
        </w:rPr>
        <w:t xml:space="preserve">dyrektywy Parlamentu Europejskiego i Rady nr 2011/92/UE z 13 grudnia 2011 r. w sprawie oceny skutków wywieranych przez niektóre przedsięwzięcia publiczne i prywatne na środowisko (Dz. U. UE L. z 2012 r. Nr 26, str. 1 z </w:t>
      </w:r>
      <w:proofErr w:type="spellStart"/>
      <w:r w:rsidR="00916465" w:rsidRPr="00C32349">
        <w:rPr>
          <w:rFonts w:ascii="Arial" w:hAnsi="Arial" w:cs="Arial"/>
        </w:rPr>
        <w:t>późn</w:t>
      </w:r>
      <w:proofErr w:type="spellEnd"/>
      <w:r w:rsidR="00916465" w:rsidRPr="00C32349">
        <w:rPr>
          <w:rFonts w:ascii="Arial" w:hAnsi="Arial" w:cs="Arial"/>
        </w:rPr>
        <w:t xml:space="preserve">. zm.), zwanej </w:t>
      </w:r>
      <w:r w:rsidR="00B52384" w:rsidRPr="00C32349">
        <w:rPr>
          <w:rFonts w:ascii="Arial" w:hAnsi="Arial" w:cs="Arial"/>
        </w:rPr>
        <w:t>także</w:t>
      </w:r>
      <w:r w:rsidR="00916465" w:rsidRPr="00C32349">
        <w:rPr>
          <w:rFonts w:ascii="Arial" w:hAnsi="Arial" w:cs="Arial"/>
        </w:rPr>
        <w:t xml:space="preserve"> „dyrektywą EIA”.</w:t>
      </w:r>
      <w:r w:rsidRPr="00C32349">
        <w:rPr>
          <w:rFonts w:ascii="Arial" w:hAnsi="Arial" w:cs="Arial"/>
        </w:rPr>
        <w:t xml:space="preserve"> </w:t>
      </w:r>
      <w:r w:rsidR="00B52384" w:rsidRPr="00C32349">
        <w:rPr>
          <w:rFonts w:ascii="Arial" w:hAnsi="Arial" w:cs="Arial"/>
        </w:rPr>
        <w:t xml:space="preserve">Podstawowym celem dyrektywy, określonym w art. 2 ust. 1, jest by przedsięwzięcia mogące znacząco oddziaływać na środowisko, m.in. ze względu na ich charakter, rozmiary lub lokalizację, podlegały wymogowi uprzedniego uzyskania zezwolenia na inwestycję i oceny ich skutków na środowisko. Dyrektywa nie przesądza, w jaki sposób </w:t>
      </w:r>
      <w:r w:rsidR="00DC2B9E" w:rsidRPr="00C32349">
        <w:rPr>
          <w:rFonts w:ascii="Arial" w:hAnsi="Arial" w:cs="Arial"/>
        </w:rPr>
        <w:t>ten cel powinien zostać zrealizowany, tzn. jak powinien dokładnie przebiegać proces wydawania takiego zezwolenia zawierającego ocenę oddziaływania na środowisko</w:t>
      </w:r>
      <w:r w:rsidR="006F1C66">
        <w:rPr>
          <w:rFonts w:ascii="Arial" w:hAnsi="Arial" w:cs="Arial"/>
        </w:rPr>
        <w:t xml:space="preserve"> lecz</w:t>
      </w:r>
      <w:r w:rsidR="00DC2B9E" w:rsidRPr="00F460B5">
        <w:rPr>
          <w:rFonts w:ascii="Arial" w:hAnsi="Arial" w:cs="Arial"/>
        </w:rPr>
        <w:t xml:space="preserve"> pozostawia państwom członkowskim UE pew</w:t>
      </w:r>
      <w:r w:rsidR="00AD0501">
        <w:rPr>
          <w:rFonts w:ascii="Arial" w:hAnsi="Arial" w:cs="Arial"/>
        </w:rPr>
        <w:t>ną swobodę</w:t>
      </w:r>
      <w:r w:rsidR="00DC2B9E" w:rsidRPr="00F460B5">
        <w:rPr>
          <w:rFonts w:ascii="Arial" w:hAnsi="Arial" w:cs="Arial"/>
        </w:rPr>
        <w:t xml:space="preserve"> </w:t>
      </w:r>
      <w:r w:rsidR="00DC2B9E" w:rsidRPr="00C32349">
        <w:rPr>
          <w:rFonts w:ascii="Arial" w:hAnsi="Arial" w:cs="Arial"/>
        </w:rPr>
        <w:t>decyzyjn</w:t>
      </w:r>
      <w:r w:rsidR="00AD0501">
        <w:rPr>
          <w:rFonts w:ascii="Arial" w:hAnsi="Arial" w:cs="Arial"/>
        </w:rPr>
        <w:t>ą</w:t>
      </w:r>
      <w:r w:rsidR="00DC2B9E" w:rsidRPr="00C32349">
        <w:rPr>
          <w:rFonts w:ascii="Arial" w:hAnsi="Arial" w:cs="Arial"/>
        </w:rPr>
        <w:t xml:space="preserve"> w tym zakresie. Z przepisu art. 2 ust. 2 dyrektywy wynika, że ocena może być zintegrowana z istniejącymi procedurami udzielania zezwoleń na inwestycję albo</w:t>
      </w:r>
      <w:r w:rsidR="007A0054" w:rsidRPr="00C32349">
        <w:rPr>
          <w:rFonts w:ascii="Arial" w:hAnsi="Arial" w:cs="Arial"/>
        </w:rPr>
        <w:t xml:space="preserve"> z innymi procedurami, w tym takimi, które będą ustanowione do realizacji jej celów. Istotne z punktu widzenia prawodawstwa UE jest zatem nie to jak państwa członkowskie ukształtują krajową procedurę wydawania zezwoleń na inwestycję, tylko czy cele dyrektywy zostaną osiągnięte. </w:t>
      </w:r>
    </w:p>
    <w:p w14:paraId="71761D44" w14:textId="5B4DA932" w:rsidR="007A0054" w:rsidRPr="00C32349" w:rsidRDefault="007A0054" w:rsidP="003E10BF">
      <w:pPr>
        <w:pStyle w:val="Bezodstpw"/>
        <w:spacing w:line="360" w:lineRule="auto"/>
        <w:jc w:val="both"/>
        <w:rPr>
          <w:rFonts w:ascii="Arial" w:hAnsi="Arial" w:cs="Arial"/>
        </w:rPr>
      </w:pPr>
    </w:p>
    <w:p w14:paraId="6ABA18F7" w14:textId="673E6B81" w:rsidR="003E10BF" w:rsidRPr="00C32349" w:rsidRDefault="007A0054" w:rsidP="003E10BF">
      <w:pPr>
        <w:spacing w:line="360" w:lineRule="auto"/>
        <w:jc w:val="both"/>
        <w:rPr>
          <w:rFonts w:ascii="Arial" w:hAnsi="Arial" w:cs="Arial"/>
          <w:sz w:val="22"/>
          <w:szCs w:val="22"/>
        </w:rPr>
      </w:pPr>
      <w:r w:rsidRPr="00C32349">
        <w:rPr>
          <w:rFonts w:ascii="Arial" w:hAnsi="Arial" w:cs="Arial"/>
          <w:sz w:val="22"/>
          <w:szCs w:val="22"/>
        </w:rPr>
        <w:t>P</w:t>
      </w:r>
      <w:r w:rsidR="003E10BF" w:rsidRPr="00C32349">
        <w:rPr>
          <w:rFonts w:ascii="Arial" w:hAnsi="Arial" w:cs="Arial"/>
          <w:sz w:val="22"/>
          <w:szCs w:val="22"/>
        </w:rPr>
        <w:t xml:space="preserve">rzyjęty w Polsce model prowadzenia ocen oddziaływania na środowisko jest dwuetapowy. </w:t>
      </w:r>
      <w:r w:rsidR="004945B5" w:rsidRPr="00C32349">
        <w:rPr>
          <w:rFonts w:ascii="Arial" w:hAnsi="Arial" w:cs="Arial"/>
          <w:sz w:val="22"/>
          <w:szCs w:val="22"/>
        </w:rPr>
        <w:t>Dyrektywa EIA została transponowana do prawa krajowego głównie w przepisach ustawy z</w:t>
      </w:r>
      <w:r w:rsidR="006F1C66">
        <w:rPr>
          <w:rFonts w:ascii="Arial" w:hAnsi="Arial" w:cs="Arial"/>
          <w:sz w:val="22"/>
          <w:szCs w:val="22"/>
        </w:rPr>
        <w:t> </w:t>
      </w:r>
      <w:r w:rsidR="004945B5" w:rsidRPr="00F460B5">
        <w:rPr>
          <w:rFonts w:ascii="Arial" w:hAnsi="Arial" w:cs="Arial"/>
          <w:sz w:val="22"/>
          <w:szCs w:val="22"/>
        </w:rPr>
        <w:t>dnia 3 października 2008 r. o udostępnianiu informacji o środowisku i jego ochronie, udziale społeczeństwa w ochronie środowiska oraz o ocenach oddziaływania na środowisko (Dz. U. z</w:t>
      </w:r>
      <w:r w:rsidR="0069684F">
        <w:rPr>
          <w:rFonts w:ascii="Arial" w:hAnsi="Arial" w:cs="Arial"/>
          <w:sz w:val="22"/>
          <w:szCs w:val="22"/>
        </w:rPr>
        <w:t> </w:t>
      </w:r>
      <w:r w:rsidR="004945B5" w:rsidRPr="0069684F">
        <w:rPr>
          <w:rFonts w:ascii="Arial" w:hAnsi="Arial" w:cs="Arial"/>
          <w:sz w:val="22"/>
          <w:szCs w:val="22"/>
        </w:rPr>
        <w:t xml:space="preserve">2021 r. poz. 2373, z </w:t>
      </w:r>
      <w:proofErr w:type="spellStart"/>
      <w:r w:rsidR="004945B5" w:rsidRPr="0069684F">
        <w:rPr>
          <w:rFonts w:ascii="Arial" w:hAnsi="Arial" w:cs="Arial"/>
          <w:sz w:val="22"/>
          <w:szCs w:val="22"/>
        </w:rPr>
        <w:t>późn</w:t>
      </w:r>
      <w:proofErr w:type="spellEnd"/>
      <w:r w:rsidR="004945B5" w:rsidRPr="0069684F">
        <w:rPr>
          <w:rFonts w:ascii="Arial" w:hAnsi="Arial" w:cs="Arial"/>
          <w:sz w:val="22"/>
          <w:szCs w:val="22"/>
        </w:rPr>
        <w:t xml:space="preserve">. zm.), zwanej dalej „ustawą </w:t>
      </w:r>
      <w:proofErr w:type="spellStart"/>
      <w:r w:rsidR="004945B5" w:rsidRPr="0069684F">
        <w:rPr>
          <w:rFonts w:ascii="Arial" w:hAnsi="Arial" w:cs="Arial"/>
          <w:sz w:val="22"/>
          <w:szCs w:val="22"/>
        </w:rPr>
        <w:t>ooś</w:t>
      </w:r>
      <w:proofErr w:type="spellEnd"/>
      <w:r w:rsidR="004945B5" w:rsidRPr="0069684F">
        <w:rPr>
          <w:rFonts w:ascii="Arial" w:hAnsi="Arial" w:cs="Arial"/>
          <w:sz w:val="22"/>
          <w:szCs w:val="22"/>
        </w:rPr>
        <w:t xml:space="preserve">”. </w:t>
      </w:r>
      <w:r w:rsidR="003E10BF" w:rsidRPr="0069684F">
        <w:rPr>
          <w:rFonts w:ascii="Arial" w:hAnsi="Arial" w:cs="Arial"/>
          <w:sz w:val="22"/>
          <w:szCs w:val="22"/>
        </w:rPr>
        <w:t xml:space="preserve">Zasadą wynikającą </w:t>
      </w:r>
      <w:r w:rsidR="003E10BF" w:rsidRPr="0069684F">
        <w:rPr>
          <w:rFonts w:ascii="Arial" w:hAnsi="Arial" w:cs="Arial"/>
          <w:sz w:val="22"/>
          <w:szCs w:val="22"/>
        </w:rPr>
        <w:lastRenderedPageBreak/>
        <w:t>z</w:t>
      </w:r>
      <w:r w:rsidR="006F1C66">
        <w:rPr>
          <w:rFonts w:ascii="Arial" w:hAnsi="Arial" w:cs="Arial"/>
          <w:sz w:val="22"/>
          <w:szCs w:val="22"/>
        </w:rPr>
        <w:t> </w:t>
      </w:r>
      <w:r w:rsidR="003E10BF" w:rsidRPr="00F460B5">
        <w:rPr>
          <w:rFonts w:ascii="Arial" w:hAnsi="Arial" w:cs="Arial"/>
          <w:sz w:val="22"/>
          <w:szCs w:val="22"/>
        </w:rPr>
        <w:t>obowiązujących przepisów prawa jest, że przed realizacją przedsięwzięć mogących znacząco oddziaływać na środowisko inwestor jest zobowiązany do uzyskania decyzji o</w:t>
      </w:r>
      <w:r w:rsidRPr="00F460B5">
        <w:rPr>
          <w:rFonts w:ascii="Arial" w:hAnsi="Arial" w:cs="Arial"/>
          <w:sz w:val="22"/>
          <w:szCs w:val="22"/>
        </w:rPr>
        <w:t> </w:t>
      </w:r>
      <w:r w:rsidR="003E10BF" w:rsidRPr="00F460B5">
        <w:rPr>
          <w:rFonts w:ascii="Arial" w:hAnsi="Arial" w:cs="Arial"/>
          <w:sz w:val="22"/>
          <w:szCs w:val="22"/>
        </w:rPr>
        <w:t>środowiskowych uwarunkowaniach, a dopiero ta decyzja upoważnia go do wystąpienia z</w:t>
      </w:r>
      <w:r w:rsidR="006F1C66">
        <w:rPr>
          <w:rFonts w:ascii="Arial" w:hAnsi="Arial" w:cs="Arial"/>
          <w:sz w:val="22"/>
          <w:szCs w:val="22"/>
        </w:rPr>
        <w:t> </w:t>
      </w:r>
      <w:r w:rsidR="003E10BF" w:rsidRPr="00C32349">
        <w:rPr>
          <w:rFonts w:ascii="Arial" w:hAnsi="Arial" w:cs="Arial"/>
          <w:sz w:val="22"/>
          <w:szCs w:val="22"/>
        </w:rPr>
        <w:t>wnioskiem o wydanie zezwolenia na inwestycję. W związku z tym przedsięwzięcie jest zasadniczo realizowane w</w:t>
      </w:r>
      <w:r w:rsidRPr="00C32349">
        <w:rPr>
          <w:rFonts w:ascii="Arial" w:hAnsi="Arial" w:cs="Arial"/>
          <w:sz w:val="22"/>
          <w:szCs w:val="22"/>
        </w:rPr>
        <w:t> </w:t>
      </w:r>
      <w:r w:rsidR="003E10BF" w:rsidRPr="00C32349">
        <w:rPr>
          <w:rFonts w:ascii="Arial" w:hAnsi="Arial" w:cs="Arial"/>
          <w:sz w:val="22"/>
          <w:szCs w:val="22"/>
        </w:rPr>
        <w:t xml:space="preserve">oparciu o </w:t>
      </w:r>
      <w:r w:rsidRPr="00C32349">
        <w:rPr>
          <w:rFonts w:ascii="Arial" w:hAnsi="Arial" w:cs="Arial"/>
          <w:sz w:val="22"/>
          <w:szCs w:val="22"/>
        </w:rPr>
        <w:t xml:space="preserve">(przynajmniej) </w:t>
      </w:r>
      <w:r w:rsidR="003E10BF" w:rsidRPr="00C32349">
        <w:rPr>
          <w:rFonts w:ascii="Arial" w:hAnsi="Arial" w:cs="Arial"/>
          <w:sz w:val="22"/>
          <w:szCs w:val="22"/>
        </w:rPr>
        <w:t xml:space="preserve">dwie decyzje administracyjne, wydawane przez różne organy. Ponieważ są </w:t>
      </w:r>
      <w:r w:rsidRPr="00C32349">
        <w:rPr>
          <w:rFonts w:ascii="Arial" w:hAnsi="Arial" w:cs="Arial"/>
          <w:sz w:val="22"/>
          <w:szCs w:val="22"/>
        </w:rPr>
        <w:t xml:space="preserve">one </w:t>
      </w:r>
      <w:r w:rsidR="003E10BF" w:rsidRPr="00C32349">
        <w:rPr>
          <w:rFonts w:ascii="Arial" w:hAnsi="Arial" w:cs="Arial"/>
          <w:sz w:val="22"/>
          <w:szCs w:val="22"/>
        </w:rPr>
        <w:t>zaskarżalne w administracyjnym toku instancji, a także można na nie wnieść skargi do sądu administracyjnego (</w:t>
      </w:r>
      <w:r w:rsidRPr="00C32349">
        <w:rPr>
          <w:rFonts w:ascii="Arial" w:hAnsi="Arial" w:cs="Arial"/>
          <w:sz w:val="22"/>
          <w:szCs w:val="22"/>
        </w:rPr>
        <w:t>również</w:t>
      </w:r>
      <w:r w:rsidR="003E10BF" w:rsidRPr="00C32349">
        <w:rPr>
          <w:rFonts w:ascii="Arial" w:hAnsi="Arial" w:cs="Arial"/>
          <w:sz w:val="22"/>
          <w:szCs w:val="22"/>
        </w:rPr>
        <w:t xml:space="preserve"> w zakresie badania zgodności pomiędzy tymi decyzjami), procedura inwestycyjna jest dość skomplikowana</w:t>
      </w:r>
      <w:r w:rsidRPr="00C32349">
        <w:rPr>
          <w:rFonts w:ascii="Arial" w:hAnsi="Arial" w:cs="Arial"/>
          <w:sz w:val="22"/>
          <w:szCs w:val="22"/>
        </w:rPr>
        <w:t xml:space="preserve"> oraz </w:t>
      </w:r>
      <w:r w:rsidR="003E10BF" w:rsidRPr="00C32349">
        <w:rPr>
          <w:rFonts w:ascii="Arial" w:hAnsi="Arial" w:cs="Arial"/>
          <w:sz w:val="22"/>
          <w:szCs w:val="22"/>
        </w:rPr>
        <w:t>skutkuje wieloma wątpliwościami co do stosowania poszczególnych przepisów prawa, co z</w:t>
      </w:r>
      <w:r w:rsidR="006F1C66">
        <w:rPr>
          <w:rFonts w:ascii="Arial" w:hAnsi="Arial" w:cs="Arial"/>
          <w:sz w:val="22"/>
          <w:szCs w:val="22"/>
        </w:rPr>
        <w:t> </w:t>
      </w:r>
      <w:r w:rsidR="003E10BF" w:rsidRPr="00C32349">
        <w:rPr>
          <w:rFonts w:ascii="Arial" w:hAnsi="Arial" w:cs="Arial"/>
          <w:sz w:val="22"/>
          <w:szCs w:val="22"/>
        </w:rPr>
        <w:t>kolei przekłada się na długość prowadzonych postępowań. Z</w:t>
      </w:r>
      <w:r w:rsidRPr="00C32349">
        <w:rPr>
          <w:rFonts w:ascii="Arial" w:hAnsi="Arial" w:cs="Arial"/>
          <w:sz w:val="22"/>
          <w:szCs w:val="22"/>
        </w:rPr>
        <w:t> </w:t>
      </w:r>
      <w:r w:rsidR="003E10BF" w:rsidRPr="00C32349">
        <w:rPr>
          <w:rFonts w:ascii="Arial" w:hAnsi="Arial" w:cs="Arial"/>
          <w:sz w:val="22"/>
          <w:szCs w:val="22"/>
        </w:rPr>
        <w:t>informacji będących w</w:t>
      </w:r>
      <w:r w:rsidR="00277AE5">
        <w:rPr>
          <w:rFonts w:ascii="Arial" w:hAnsi="Arial" w:cs="Arial"/>
          <w:sz w:val="22"/>
          <w:szCs w:val="22"/>
        </w:rPr>
        <w:t> </w:t>
      </w:r>
      <w:r w:rsidR="003E10BF" w:rsidRPr="00C32349">
        <w:rPr>
          <w:rFonts w:ascii="Arial" w:hAnsi="Arial" w:cs="Arial"/>
          <w:sz w:val="22"/>
          <w:szCs w:val="22"/>
        </w:rPr>
        <w:t>posiadaniu G</w:t>
      </w:r>
      <w:r w:rsidRPr="00C32349">
        <w:rPr>
          <w:rFonts w:ascii="Arial" w:hAnsi="Arial" w:cs="Arial"/>
          <w:sz w:val="22"/>
          <w:szCs w:val="22"/>
        </w:rPr>
        <w:t>eneralnej Dyrekcji Ochrony Środowiska, zwanej także „Generalną Dyrekcją”,</w:t>
      </w:r>
      <w:r w:rsidR="003E10BF" w:rsidRPr="00C32349">
        <w:rPr>
          <w:rFonts w:ascii="Arial" w:hAnsi="Arial" w:cs="Arial"/>
          <w:sz w:val="22"/>
          <w:szCs w:val="22"/>
        </w:rPr>
        <w:t xml:space="preserve"> wynika, że w wielu państwach członkowskich UE ta procedura wygląda odmiennie – z reguły obowiązuje bowiem model zintegrowany, jednoetapowy, co oznacza że realizacja jednego konkretnego przedsięwzięcia odbywa się na podstawie jednej decyzji administracyjnej, w</w:t>
      </w:r>
      <w:r w:rsidR="00D66F8A" w:rsidRPr="00C32349">
        <w:rPr>
          <w:rFonts w:ascii="Arial" w:hAnsi="Arial" w:cs="Arial"/>
          <w:sz w:val="22"/>
          <w:szCs w:val="22"/>
        </w:rPr>
        <w:t> </w:t>
      </w:r>
      <w:r w:rsidR="003E10BF" w:rsidRPr="00C32349">
        <w:rPr>
          <w:rFonts w:ascii="Arial" w:hAnsi="Arial" w:cs="Arial"/>
          <w:sz w:val="22"/>
          <w:szCs w:val="22"/>
        </w:rPr>
        <w:t>ramach której uczestniczą różne organy administracji publicznej uzgadniające stanowiska w zakresie swojej właściwości.</w:t>
      </w:r>
    </w:p>
    <w:p w14:paraId="44038C5D" w14:textId="77777777" w:rsidR="00D66F8A" w:rsidRPr="00C32349" w:rsidRDefault="00D66F8A" w:rsidP="003E10BF">
      <w:pPr>
        <w:spacing w:line="360" w:lineRule="auto"/>
        <w:jc w:val="both"/>
        <w:rPr>
          <w:rFonts w:ascii="Arial" w:hAnsi="Arial" w:cs="Arial"/>
          <w:sz w:val="22"/>
          <w:szCs w:val="22"/>
        </w:rPr>
      </w:pPr>
    </w:p>
    <w:p w14:paraId="005C98B8" w14:textId="60AF2228" w:rsidR="003E10BF" w:rsidRPr="00C32349" w:rsidRDefault="003E10BF" w:rsidP="003E10BF">
      <w:pPr>
        <w:spacing w:line="360" w:lineRule="auto"/>
        <w:jc w:val="both"/>
        <w:rPr>
          <w:rFonts w:ascii="Arial" w:hAnsi="Arial" w:cs="Arial"/>
          <w:sz w:val="22"/>
          <w:szCs w:val="22"/>
        </w:rPr>
      </w:pPr>
      <w:r w:rsidRPr="00C32349">
        <w:rPr>
          <w:rFonts w:ascii="Arial" w:hAnsi="Arial" w:cs="Arial"/>
          <w:sz w:val="22"/>
          <w:szCs w:val="22"/>
        </w:rPr>
        <w:t xml:space="preserve">Ze względu na fakt, że obowiązujące w Polsce przepisy dotyczące ocen oddziaływania na środowisko były już wielokrotnie nowelizowane, także w związku z wątpliwościami zgłaszanymi przez Komisję Europejską, podejmowanie dalszych usprawnień w zakresie rozwiązań prawnych i systemowych jest znacznie utrudnione. Tymczasem </w:t>
      </w:r>
      <w:r w:rsidR="00D66F8A" w:rsidRPr="00C32349">
        <w:rPr>
          <w:rFonts w:ascii="Arial" w:hAnsi="Arial" w:cs="Arial"/>
          <w:sz w:val="22"/>
          <w:szCs w:val="22"/>
        </w:rPr>
        <w:t xml:space="preserve">jakkolwiek </w:t>
      </w:r>
      <w:r w:rsidRPr="00C32349">
        <w:rPr>
          <w:rFonts w:ascii="Arial" w:hAnsi="Arial" w:cs="Arial"/>
          <w:sz w:val="22"/>
          <w:szCs w:val="22"/>
        </w:rPr>
        <w:t>dotychczasowe próby wprowadzania nowych rozwiązań prawnych zapewniają zgodność z</w:t>
      </w:r>
      <w:r w:rsidR="006F1C66">
        <w:rPr>
          <w:rFonts w:ascii="Arial" w:hAnsi="Arial" w:cs="Arial"/>
          <w:sz w:val="22"/>
          <w:szCs w:val="22"/>
        </w:rPr>
        <w:t> </w:t>
      </w:r>
      <w:r w:rsidRPr="00C32349">
        <w:rPr>
          <w:rFonts w:ascii="Arial" w:hAnsi="Arial" w:cs="Arial"/>
          <w:sz w:val="22"/>
          <w:szCs w:val="22"/>
        </w:rPr>
        <w:t xml:space="preserve">porządkiem prawnym Unii Europejskiej, to jednak nie rozwiązują wielu problemów praktycznych, związanych ze stosowaniem przepisów. Co więcej, z </w:t>
      </w:r>
      <w:r w:rsidR="00D66F8A" w:rsidRPr="00C32349">
        <w:rPr>
          <w:rFonts w:ascii="Arial" w:hAnsi="Arial" w:cs="Arial"/>
          <w:sz w:val="22"/>
          <w:szCs w:val="22"/>
        </w:rPr>
        <w:t>dotychczasowej praktyki prowadzenia procesów legislacyjnych w Generalnej Dyrekcji</w:t>
      </w:r>
      <w:r w:rsidRPr="00C32349">
        <w:rPr>
          <w:rFonts w:ascii="Arial" w:hAnsi="Arial" w:cs="Arial"/>
          <w:sz w:val="22"/>
          <w:szCs w:val="22"/>
        </w:rPr>
        <w:t xml:space="preserve"> wynika, że </w:t>
      </w:r>
      <w:r w:rsidR="00D66F8A" w:rsidRPr="00C32349">
        <w:rPr>
          <w:rFonts w:ascii="Arial" w:hAnsi="Arial" w:cs="Arial"/>
          <w:sz w:val="22"/>
          <w:szCs w:val="22"/>
        </w:rPr>
        <w:t xml:space="preserve">nierzadko podejmowane są </w:t>
      </w:r>
      <w:r w:rsidRPr="00C32349">
        <w:rPr>
          <w:rFonts w:ascii="Arial" w:hAnsi="Arial" w:cs="Arial"/>
          <w:sz w:val="22"/>
          <w:szCs w:val="22"/>
        </w:rPr>
        <w:t xml:space="preserve">próby usprawnień procesów </w:t>
      </w:r>
      <w:r w:rsidR="00D66F8A" w:rsidRPr="00C32349">
        <w:rPr>
          <w:rFonts w:ascii="Arial" w:hAnsi="Arial" w:cs="Arial"/>
          <w:sz w:val="22"/>
          <w:szCs w:val="22"/>
        </w:rPr>
        <w:t>inwestycyjnych</w:t>
      </w:r>
      <w:r w:rsidRPr="00C32349">
        <w:rPr>
          <w:rFonts w:ascii="Arial" w:hAnsi="Arial" w:cs="Arial"/>
          <w:sz w:val="22"/>
          <w:szCs w:val="22"/>
        </w:rPr>
        <w:t xml:space="preserve"> w postaci </w:t>
      </w:r>
      <w:r w:rsidR="009123AF" w:rsidRPr="00C32349">
        <w:rPr>
          <w:rFonts w:ascii="Arial" w:hAnsi="Arial" w:cs="Arial"/>
          <w:sz w:val="22"/>
          <w:szCs w:val="22"/>
        </w:rPr>
        <w:t>tzw. „</w:t>
      </w:r>
      <w:r w:rsidRPr="00C32349">
        <w:rPr>
          <w:rFonts w:ascii="Arial" w:hAnsi="Arial" w:cs="Arial"/>
          <w:sz w:val="22"/>
          <w:szCs w:val="22"/>
        </w:rPr>
        <w:t>specustaw</w:t>
      </w:r>
      <w:r w:rsidR="009123AF" w:rsidRPr="00C32349">
        <w:rPr>
          <w:rFonts w:ascii="Arial" w:hAnsi="Arial" w:cs="Arial"/>
          <w:sz w:val="22"/>
          <w:szCs w:val="22"/>
        </w:rPr>
        <w:t>”</w:t>
      </w:r>
      <w:r w:rsidRPr="00C32349">
        <w:rPr>
          <w:rFonts w:ascii="Arial" w:hAnsi="Arial" w:cs="Arial"/>
          <w:sz w:val="22"/>
          <w:szCs w:val="22"/>
        </w:rPr>
        <w:t xml:space="preserve">, jednak wiele z tych propozycji </w:t>
      </w:r>
      <w:r w:rsidR="00D66F8A" w:rsidRPr="00C32349">
        <w:rPr>
          <w:rFonts w:ascii="Arial" w:hAnsi="Arial" w:cs="Arial"/>
          <w:sz w:val="22"/>
          <w:szCs w:val="22"/>
        </w:rPr>
        <w:t xml:space="preserve">– z uwagi na </w:t>
      </w:r>
      <w:r w:rsidR="00094DDA" w:rsidRPr="00C32349">
        <w:rPr>
          <w:rFonts w:ascii="Arial" w:hAnsi="Arial" w:cs="Arial"/>
          <w:sz w:val="22"/>
          <w:szCs w:val="22"/>
        </w:rPr>
        <w:t xml:space="preserve">specyfikę </w:t>
      </w:r>
      <w:r w:rsidR="00D66F8A" w:rsidRPr="00C32349">
        <w:rPr>
          <w:rFonts w:ascii="Arial" w:hAnsi="Arial" w:cs="Arial"/>
          <w:sz w:val="22"/>
          <w:szCs w:val="22"/>
        </w:rPr>
        <w:t>postępowań środowiskowyc</w:t>
      </w:r>
      <w:r w:rsidR="00094DDA" w:rsidRPr="00C32349">
        <w:rPr>
          <w:rFonts w:ascii="Arial" w:hAnsi="Arial" w:cs="Arial"/>
          <w:sz w:val="22"/>
          <w:szCs w:val="22"/>
        </w:rPr>
        <w:t xml:space="preserve">h (obszerna dokumentacja, duży stopień skomplikowania sprawy, wielość stron postępowania, konieczność zapewnienia udziału społeczeństwa oraz współpracy z innymi wyspecjalizowanymi organami) – </w:t>
      </w:r>
      <w:r w:rsidRPr="00C32349">
        <w:rPr>
          <w:rFonts w:ascii="Arial" w:hAnsi="Arial" w:cs="Arial"/>
          <w:sz w:val="22"/>
          <w:szCs w:val="22"/>
        </w:rPr>
        <w:t>mogłaby powodować niezgodność z</w:t>
      </w:r>
      <w:r w:rsidR="00094DDA" w:rsidRPr="00C32349">
        <w:rPr>
          <w:rFonts w:ascii="Arial" w:hAnsi="Arial" w:cs="Arial"/>
          <w:sz w:val="22"/>
          <w:szCs w:val="22"/>
        </w:rPr>
        <w:t> </w:t>
      </w:r>
      <w:r w:rsidRPr="00C32349">
        <w:rPr>
          <w:rFonts w:ascii="Arial" w:hAnsi="Arial" w:cs="Arial"/>
          <w:sz w:val="22"/>
          <w:szCs w:val="22"/>
        </w:rPr>
        <w:t xml:space="preserve">przepisami prawa UE albo jest kontrowersyjna z innych względów (np. ustrojowych, konstytucyjnych). </w:t>
      </w:r>
    </w:p>
    <w:p w14:paraId="7B5B8E47" w14:textId="77777777" w:rsidR="003E10BF" w:rsidRPr="00C32349" w:rsidRDefault="003E10BF" w:rsidP="003E10BF">
      <w:pPr>
        <w:spacing w:line="360" w:lineRule="auto"/>
        <w:jc w:val="both"/>
        <w:rPr>
          <w:rFonts w:ascii="Arial" w:hAnsi="Arial" w:cs="Arial"/>
          <w:sz w:val="22"/>
          <w:szCs w:val="22"/>
        </w:rPr>
      </w:pPr>
    </w:p>
    <w:p w14:paraId="11F33EBC" w14:textId="689DBB53" w:rsidR="009123AF" w:rsidRPr="00C32349" w:rsidRDefault="003E10BF" w:rsidP="003E10BF">
      <w:pPr>
        <w:spacing w:line="360" w:lineRule="auto"/>
        <w:jc w:val="both"/>
        <w:rPr>
          <w:rFonts w:ascii="Arial" w:hAnsi="Arial" w:cs="Arial"/>
          <w:sz w:val="22"/>
          <w:szCs w:val="22"/>
        </w:rPr>
      </w:pPr>
      <w:r w:rsidRPr="00C32349">
        <w:rPr>
          <w:rFonts w:ascii="Arial" w:hAnsi="Arial" w:cs="Arial"/>
          <w:sz w:val="22"/>
          <w:szCs w:val="22"/>
        </w:rPr>
        <w:t xml:space="preserve">W związku z tym przeprowadzenie kompleksowej analizy </w:t>
      </w:r>
      <w:proofErr w:type="spellStart"/>
      <w:r w:rsidRPr="00C32349">
        <w:rPr>
          <w:rFonts w:ascii="Arial" w:hAnsi="Arial" w:cs="Arial"/>
          <w:sz w:val="22"/>
          <w:szCs w:val="22"/>
        </w:rPr>
        <w:t>prawnoporównawczej</w:t>
      </w:r>
      <w:proofErr w:type="spellEnd"/>
      <w:r w:rsidRPr="00C32349">
        <w:rPr>
          <w:rFonts w:ascii="Arial" w:hAnsi="Arial" w:cs="Arial"/>
          <w:sz w:val="22"/>
          <w:szCs w:val="22"/>
        </w:rPr>
        <w:t xml:space="preserve"> na przykładzie </w:t>
      </w:r>
      <w:r w:rsidR="009949F0">
        <w:rPr>
          <w:rFonts w:ascii="Arial" w:hAnsi="Arial" w:cs="Arial"/>
          <w:sz w:val="22"/>
          <w:szCs w:val="22"/>
        </w:rPr>
        <w:t>przynajmniej takich</w:t>
      </w:r>
      <w:r w:rsidR="009949F0" w:rsidRPr="00C32349">
        <w:rPr>
          <w:rFonts w:ascii="Arial" w:hAnsi="Arial" w:cs="Arial"/>
          <w:sz w:val="22"/>
          <w:szCs w:val="22"/>
        </w:rPr>
        <w:t xml:space="preserve"> </w:t>
      </w:r>
      <w:r w:rsidRPr="00C32349">
        <w:rPr>
          <w:rFonts w:ascii="Arial" w:hAnsi="Arial" w:cs="Arial"/>
          <w:sz w:val="22"/>
          <w:szCs w:val="22"/>
        </w:rPr>
        <w:t>państw członkowskich UE</w:t>
      </w:r>
      <w:r w:rsidR="009949F0">
        <w:rPr>
          <w:rFonts w:ascii="Arial" w:hAnsi="Arial" w:cs="Arial"/>
          <w:sz w:val="22"/>
          <w:szCs w:val="22"/>
        </w:rPr>
        <w:t xml:space="preserve"> jak</w:t>
      </w:r>
      <w:r w:rsidRPr="00C32349">
        <w:rPr>
          <w:rFonts w:ascii="Arial" w:hAnsi="Arial" w:cs="Arial"/>
          <w:sz w:val="22"/>
          <w:szCs w:val="22"/>
        </w:rPr>
        <w:t xml:space="preserve"> </w:t>
      </w:r>
      <w:r w:rsidR="008E6580" w:rsidRPr="00C32349">
        <w:rPr>
          <w:rFonts w:ascii="Arial" w:hAnsi="Arial" w:cs="Arial"/>
          <w:b/>
          <w:bCs/>
          <w:sz w:val="22"/>
          <w:szCs w:val="22"/>
        </w:rPr>
        <w:t xml:space="preserve">Czechy, Dania, </w:t>
      </w:r>
      <w:r w:rsidRPr="00C32349">
        <w:rPr>
          <w:rFonts w:ascii="Arial" w:hAnsi="Arial" w:cs="Arial"/>
          <w:b/>
          <w:bCs/>
          <w:sz w:val="22"/>
          <w:szCs w:val="22"/>
        </w:rPr>
        <w:t>Niemcy</w:t>
      </w:r>
      <w:r w:rsidR="009949F0">
        <w:rPr>
          <w:rFonts w:ascii="Arial" w:hAnsi="Arial" w:cs="Arial"/>
          <w:b/>
          <w:bCs/>
          <w:sz w:val="22"/>
          <w:szCs w:val="22"/>
        </w:rPr>
        <w:t xml:space="preserve"> oraz</w:t>
      </w:r>
      <w:r w:rsidR="000370C9">
        <w:rPr>
          <w:rFonts w:ascii="Arial" w:hAnsi="Arial" w:cs="Arial"/>
          <w:b/>
          <w:bCs/>
          <w:sz w:val="22"/>
          <w:szCs w:val="22"/>
        </w:rPr>
        <w:t xml:space="preserve"> </w:t>
      </w:r>
      <w:r w:rsidR="00B4580F" w:rsidRPr="00C32349">
        <w:rPr>
          <w:rFonts w:ascii="Arial" w:hAnsi="Arial" w:cs="Arial"/>
          <w:b/>
          <w:bCs/>
          <w:sz w:val="22"/>
          <w:szCs w:val="22"/>
        </w:rPr>
        <w:t>Słowacja</w:t>
      </w:r>
      <w:r w:rsidRPr="00C32349">
        <w:rPr>
          <w:rFonts w:ascii="Arial" w:hAnsi="Arial" w:cs="Arial"/>
          <w:sz w:val="22"/>
          <w:szCs w:val="22"/>
        </w:rPr>
        <w:t xml:space="preserve">, </w:t>
      </w:r>
      <w:r w:rsidR="007D5569" w:rsidRPr="00C32349">
        <w:rPr>
          <w:rFonts w:ascii="Arial" w:hAnsi="Arial" w:cs="Arial"/>
          <w:sz w:val="22"/>
          <w:szCs w:val="22"/>
        </w:rPr>
        <w:lastRenderedPageBreak/>
        <w:t>jest zasadne i celowe ze względu na potrzeby bieżących prac analitycznych i legislacyjnych prowadzonych w Generalnej Dyrekcji</w:t>
      </w:r>
      <w:r w:rsidRPr="00C32349">
        <w:rPr>
          <w:rFonts w:ascii="Arial" w:hAnsi="Arial" w:cs="Arial"/>
          <w:sz w:val="22"/>
          <w:szCs w:val="22"/>
        </w:rPr>
        <w:t>, która opiera się na zachowaniu spójności systemu ocen oddziaływania na środowisko przyjętego w modelu polskim. Po</w:t>
      </w:r>
      <w:r w:rsidR="006F1C66">
        <w:rPr>
          <w:rFonts w:ascii="Arial" w:hAnsi="Arial" w:cs="Arial"/>
          <w:sz w:val="22"/>
          <w:szCs w:val="22"/>
        </w:rPr>
        <w:t>nadto</w:t>
      </w:r>
      <w:r w:rsidRPr="00C32349">
        <w:rPr>
          <w:rFonts w:ascii="Arial" w:hAnsi="Arial" w:cs="Arial"/>
          <w:sz w:val="22"/>
          <w:szCs w:val="22"/>
        </w:rPr>
        <w:t xml:space="preserve"> </w:t>
      </w:r>
      <w:r w:rsidR="007D5569" w:rsidRPr="00C32349">
        <w:rPr>
          <w:rFonts w:ascii="Arial" w:hAnsi="Arial" w:cs="Arial"/>
          <w:sz w:val="22"/>
          <w:szCs w:val="22"/>
        </w:rPr>
        <w:t xml:space="preserve">Generalna Dyrekcja </w:t>
      </w:r>
      <w:r w:rsidR="0066518A" w:rsidRPr="00C32349">
        <w:rPr>
          <w:rFonts w:ascii="Arial" w:hAnsi="Arial" w:cs="Arial"/>
          <w:sz w:val="22"/>
          <w:szCs w:val="22"/>
        </w:rPr>
        <w:t xml:space="preserve">jest zobowiązana do podjęcia prac nad ewaluacją dwóch </w:t>
      </w:r>
      <w:r w:rsidR="009123AF" w:rsidRPr="00C32349">
        <w:rPr>
          <w:rFonts w:ascii="Arial" w:hAnsi="Arial" w:cs="Arial"/>
          <w:sz w:val="22"/>
          <w:szCs w:val="22"/>
        </w:rPr>
        <w:t xml:space="preserve">ustaw nowelizujących ustawę </w:t>
      </w:r>
      <w:proofErr w:type="spellStart"/>
      <w:r w:rsidR="009123AF" w:rsidRPr="00C32349">
        <w:rPr>
          <w:rFonts w:ascii="Arial" w:hAnsi="Arial" w:cs="Arial"/>
          <w:sz w:val="22"/>
          <w:szCs w:val="22"/>
        </w:rPr>
        <w:t>ooś</w:t>
      </w:r>
      <w:proofErr w:type="spellEnd"/>
      <w:r w:rsidR="009123AF" w:rsidRPr="00C32349">
        <w:rPr>
          <w:rFonts w:ascii="Arial" w:hAnsi="Arial" w:cs="Arial"/>
          <w:sz w:val="22"/>
          <w:szCs w:val="22"/>
        </w:rPr>
        <w:t>, które zostały uchwalone w ostatnim czasie – tj. ustawy</w:t>
      </w:r>
      <w:r w:rsidR="0066518A" w:rsidRPr="00C32349">
        <w:rPr>
          <w:rFonts w:ascii="Arial" w:hAnsi="Arial" w:cs="Arial"/>
          <w:sz w:val="22"/>
          <w:szCs w:val="22"/>
        </w:rPr>
        <w:t xml:space="preserve"> nowelizując</w:t>
      </w:r>
      <w:r w:rsidR="009123AF" w:rsidRPr="00C32349">
        <w:rPr>
          <w:rFonts w:ascii="Arial" w:hAnsi="Arial" w:cs="Arial"/>
          <w:sz w:val="22"/>
          <w:szCs w:val="22"/>
        </w:rPr>
        <w:t>ej</w:t>
      </w:r>
      <w:r w:rsidR="0066518A" w:rsidRPr="00C32349">
        <w:rPr>
          <w:rFonts w:ascii="Arial" w:hAnsi="Arial" w:cs="Arial"/>
          <w:sz w:val="22"/>
          <w:szCs w:val="22"/>
        </w:rPr>
        <w:t xml:space="preserve"> z dnia 19</w:t>
      </w:r>
      <w:r w:rsidR="00350CA0">
        <w:rPr>
          <w:rFonts w:ascii="Arial" w:hAnsi="Arial" w:cs="Arial"/>
          <w:sz w:val="22"/>
          <w:szCs w:val="22"/>
        </w:rPr>
        <w:t> </w:t>
      </w:r>
      <w:r w:rsidR="0066518A" w:rsidRPr="00C32349">
        <w:rPr>
          <w:rFonts w:ascii="Arial" w:hAnsi="Arial" w:cs="Arial"/>
          <w:sz w:val="22"/>
          <w:szCs w:val="22"/>
        </w:rPr>
        <w:t>lipca 2019 r.</w:t>
      </w:r>
      <w:r w:rsidR="009123AF" w:rsidRPr="00C32349">
        <w:rPr>
          <w:rFonts w:ascii="Arial" w:hAnsi="Arial" w:cs="Arial"/>
          <w:sz w:val="22"/>
          <w:szCs w:val="22"/>
        </w:rPr>
        <w:t>, która</w:t>
      </w:r>
      <w:r w:rsidR="0066518A" w:rsidRPr="00C32349">
        <w:rPr>
          <w:rFonts w:ascii="Arial" w:hAnsi="Arial" w:cs="Arial"/>
          <w:sz w:val="22"/>
          <w:szCs w:val="22"/>
        </w:rPr>
        <w:t xml:space="preserve"> weszła w życie 24 września 2019 r</w:t>
      </w:r>
      <w:r w:rsidR="009123AF" w:rsidRPr="00C32349">
        <w:rPr>
          <w:rFonts w:ascii="Arial" w:hAnsi="Arial" w:cs="Arial"/>
          <w:sz w:val="22"/>
          <w:szCs w:val="22"/>
        </w:rPr>
        <w:t>. oraz ustawy nowelizującej</w:t>
      </w:r>
      <w:r w:rsidR="0066518A" w:rsidRPr="00C32349">
        <w:rPr>
          <w:rFonts w:ascii="Arial" w:hAnsi="Arial" w:cs="Arial"/>
          <w:sz w:val="22"/>
          <w:szCs w:val="22"/>
        </w:rPr>
        <w:t xml:space="preserve"> z dnia 30 marca 2021 r.</w:t>
      </w:r>
      <w:r w:rsidR="009123AF" w:rsidRPr="00C32349">
        <w:rPr>
          <w:rFonts w:ascii="Arial" w:hAnsi="Arial" w:cs="Arial"/>
          <w:sz w:val="22"/>
          <w:szCs w:val="22"/>
        </w:rPr>
        <w:t xml:space="preserve">, która </w:t>
      </w:r>
      <w:r w:rsidR="0066518A" w:rsidRPr="00C32349">
        <w:rPr>
          <w:rFonts w:ascii="Arial" w:hAnsi="Arial" w:cs="Arial"/>
          <w:sz w:val="22"/>
          <w:szCs w:val="22"/>
        </w:rPr>
        <w:t>weszła w życie 13 maja 2021</w:t>
      </w:r>
      <w:r w:rsidR="009123AF" w:rsidRPr="00C32349">
        <w:rPr>
          <w:rFonts w:ascii="Arial" w:hAnsi="Arial" w:cs="Arial"/>
          <w:sz w:val="22"/>
          <w:szCs w:val="22"/>
        </w:rPr>
        <w:t> </w:t>
      </w:r>
      <w:r w:rsidR="0066518A" w:rsidRPr="00C32349">
        <w:rPr>
          <w:rFonts w:ascii="Arial" w:hAnsi="Arial" w:cs="Arial"/>
          <w:sz w:val="22"/>
          <w:szCs w:val="22"/>
        </w:rPr>
        <w:t>r.</w:t>
      </w:r>
      <w:r w:rsidR="004945B5" w:rsidRPr="00C32349">
        <w:rPr>
          <w:rFonts w:ascii="Arial" w:hAnsi="Arial" w:cs="Arial"/>
          <w:sz w:val="22"/>
          <w:szCs w:val="22"/>
        </w:rPr>
        <w:t xml:space="preserve"> </w:t>
      </w:r>
      <w:r w:rsidRPr="00C32349">
        <w:rPr>
          <w:rFonts w:ascii="Arial" w:hAnsi="Arial" w:cs="Arial"/>
          <w:sz w:val="22"/>
          <w:szCs w:val="22"/>
        </w:rPr>
        <w:t xml:space="preserve">Wnioski, jakie będą wynikały z tej ewaluacji pozwolą odpowiedzieć w jakimś stopniu czy i jakie zmiany prawne w tym obszarze okazały się skuteczne, a które elementy wymagają poprawy. </w:t>
      </w:r>
    </w:p>
    <w:p w14:paraId="7849B553" w14:textId="77777777" w:rsidR="009123AF" w:rsidRPr="00C32349" w:rsidRDefault="009123AF" w:rsidP="003E10BF">
      <w:pPr>
        <w:spacing w:line="360" w:lineRule="auto"/>
        <w:jc w:val="both"/>
        <w:rPr>
          <w:rFonts w:ascii="Arial" w:hAnsi="Arial" w:cs="Arial"/>
          <w:sz w:val="22"/>
          <w:szCs w:val="22"/>
        </w:rPr>
      </w:pPr>
    </w:p>
    <w:p w14:paraId="5E7E2785" w14:textId="0628438F" w:rsidR="008232AC" w:rsidRPr="00F460B5" w:rsidRDefault="003E10BF" w:rsidP="003E10BF">
      <w:pPr>
        <w:spacing w:line="360" w:lineRule="auto"/>
        <w:jc w:val="both"/>
        <w:rPr>
          <w:rFonts w:ascii="Arial" w:hAnsi="Arial" w:cs="Arial"/>
          <w:sz w:val="22"/>
          <w:szCs w:val="22"/>
        </w:rPr>
      </w:pPr>
      <w:r w:rsidRPr="00C32349">
        <w:rPr>
          <w:rFonts w:ascii="Arial" w:hAnsi="Arial" w:cs="Arial"/>
          <w:sz w:val="22"/>
          <w:szCs w:val="22"/>
        </w:rPr>
        <w:t>Optymalne byłoby zatem uzupełnienie tych rozważań o wyniki analiz</w:t>
      </w:r>
      <w:r w:rsidR="0009082D">
        <w:rPr>
          <w:rFonts w:ascii="Arial" w:hAnsi="Arial" w:cs="Arial"/>
          <w:sz w:val="22"/>
          <w:szCs w:val="22"/>
        </w:rPr>
        <w:t>y</w:t>
      </w:r>
      <w:r w:rsidRPr="00C32349">
        <w:rPr>
          <w:rFonts w:ascii="Arial" w:hAnsi="Arial" w:cs="Arial"/>
          <w:sz w:val="22"/>
          <w:szCs w:val="22"/>
        </w:rPr>
        <w:t xml:space="preserve"> komparatystyczn</w:t>
      </w:r>
      <w:r w:rsidR="0009082D">
        <w:rPr>
          <w:rFonts w:ascii="Arial" w:hAnsi="Arial" w:cs="Arial"/>
          <w:sz w:val="22"/>
          <w:szCs w:val="22"/>
        </w:rPr>
        <w:t>ej</w:t>
      </w:r>
      <w:r w:rsidRPr="00F460B5">
        <w:rPr>
          <w:rFonts w:ascii="Arial" w:hAnsi="Arial" w:cs="Arial"/>
          <w:sz w:val="22"/>
          <w:szCs w:val="22"/>
        </w:rPr>
        <w:t>, które pozwoliłyby odpowiedzieć na pytanie zasadnicze – tj. czy przyjęty w Polsce system ocen oddziaływania na środowisko i procedury dla inwestycji mogących znacząco oddziaływać na środowisko są skuteczne, czy też możliwe jest rozważenie wprowadzenia innego</w:t>
      </w:r>
      <w:r w:rsidR="009123AF" w:rsidRPr="00F460B5">
        <w:rPr>
          <w:rFonts w:ascii="Arial" w:hAnsi="Arial" w:cs="Arial"/>
          <w:sz w:val="22"/>
          <w:szCs w:val="22"/>
        </w:rPr>
        <w:t>, nowego</w:t>
      </w:r>
      <w:r w:rsidRPr="00F460B5">
        <w:rPr>
          <w:rFonts w:ascii="Arial" w:hAnsi="Arial" w:cs="Arial"/>
          <w:sz w:val="22"/>
          <w:szCs w:val="22"/>
        </w:rPr>
        <w:t xml:space="preserve"> modelu, wzorem </w:t>
      </w:r>
      <w:r w:rsidR="009123AF" w:rsidRPr="00F460B5">
        <w:rPr>
          <w:rFonts w:ascii="Arial" w:hAnsi="Arial" w:cs="Arial"/>
          <w:sz w:val="22"/>
          <w:szCs w:val="22"/>
        </w:rPr>
        <w:t>jednego z wybranych</w:t>
      </w:r>
      <w:r w:rsidRPr="00F460B5">
        <w:rPr>
          <w:rFonts w:ascii="Arial" w:hAnsi="Arial" w:cs="Arial"/>
          <w:sz w:val="22"/>
          <w:szCs w:val="22"/>
        </w:rPr>
        <w:t xml:space="preserve"> państw członkowskich UE.</w:t>
      </w:r>
      <w:r w:rsidR="001972C2" w:rsidRPr="00F460B5">
        <w:rPr>
          <w:rFonts w:ascii="Arial" w:hAnsi="Arial" w:cs="Arial"/>
          <w:sz w:val="22"/>
          <w:szCs w:val="22"/>
        </w:rPr>
        <w:t xml:space="preserve"> Znaczenie wyników takiej analizy jest tym większe, że w </w:t>
      </w:r>
      <w:r w:rsidR="003C5337" w:rsidRPr="00F460B5">
        <w:rPr>
          <w:rFonts w:ascii="Arial" w:hAnsi="Arial" w:cs="Arial"/>
          <w:sz w:val="22"/>
          <w:szCs w:val="22"/>
        </w:rPr>
        <w:t xml:space="preserve">sprawach planów, programów i przedsięwzięć, co do których istnieje możliwość znaczącego transgranicznego oddziaływania na środowisko Generalna Dyrekcja podejmuje współpracę z innymi państwami, które mogą występować w roli strony pochodzenia takich oddziaływań </w:t>
      </w:r>
      <w:r w:rsidR="00010F88" w:rsidRPr="00F460B5">
        <w:rPr>
          <w:rFonts w:ascii="Arial" w:hAnsi="Arial" w:cs="Arial"/>
          <w:sz w:val="22"/>
          <w:szCs w:val="22"/>
        </w:rPr>
        <w:t>lub</w:t>
      </w:r>
      <w:r w:rsidR="003C5337" w:rsidRPr="00F460B5">
        <w:rPr>
          <w:rFonts w:ascii="Arial" w:hAnsi="Arial" w:cs="Arial"/>
          <w:sz w:val="22"/>
          <w:szCs w:val="22"/>
        </w:rPr>
        <w:t xml:space="preserve"> strony narażonej na takie oddziaływania. Dane dotyczące procedur uzyskiwania zezwolenia na inwestycję </w:t>
      </w:r>
      <w:r w:rsidR="00850005" w:rsidRPr="00F460B5">
        <w:rPr>
          <w:rFonts w:ascii="Arial" w:hAnsi="Arial" w:cs="Arial"/>
          <w:sz w:val="22"/>
          <w:szCs w:val="22"/>
        </w:rPr>
        <w:t xml:space="preserve">w innych państwach </w:t>
      </w:r>
      <w:r w:rsidR="003C5337" w:rsidRPr="00F460B5">
        <w:rPr>
          <w:rFonts w:ascii="Arial" w:hAnsi="Arial" w:cs="Arial"/>
          <w:sz w:val="22"/>
          <w:szCs w:val="22"/>
        </w:rPr>
        <w:t>są również często przydatne w ramach anali</w:t>
      </w:r>
      <w:r w:rsidR="00850005" w:rsidRPr="00F460B5">
        <w:rPr>
          <w:rFonts w:ascii="Arial" w:hAnsi="Arial" w:cs="Arial"/>
          <w:sz w:val="22"/>
          <w:szCs w:val="22"/>
        </w:rPr>
        <w:t>z prowadzonych w związku z bieżącymi pracami legislacyjnymi. Przykładowo jeśli Generalna Dyrekcja pracuje nad usprawnieniem procesów inwestycyjnych, to na potrzeby Oceny Skutków Regulacji poszukuje odpowiedzi</w:t>
      </w:r>
      <w:r w:rsidR="00010F88" w:rsidRPr="00F460B5">
        <w:rPr>
          <w:rFonts w:ascii="Arial" w:hAnsi="Arial" w:cs="Arial"/>
          <w:sz w:val="22"/>
          <w:szCs w:val="22"/>
        </w:rPr>
        <w:t xml:space="preserve"> na pytanie</w:t>
      </w:r>
      <w:r w:rsidR="00850005" w:rsidRPr="00F460B5">
        <w:rPr>
          <w:rFonts w:ascii="Arial" w:hAnsi="Arial" w:cs="Arial"/>
          <w:sz w:val="22"/>
          <w:szCs w:val="22"/>
        </w:rPr>
        <w:t xml:space="preserve">, jak dane rozwiązanie funkcjonuje </w:t>
      </w:r>
      <w:r w:rsidR="00010F88" w:rsidRPr="00F460B5">
        <w:rPr>
          <w:rFonts w:ascii="Arial" w:hAnsi="Arial" w:cs="Arial"/>
          <w:sz w:val="22"/>
          <w:szCs w:val="22"/>
        </w:rPr>
        <w:t xml:space="preserve">obecnie </w:t>
      </w:r>
      <w:r w:rsidR="00850005" w:rsidRPr="00F460B5">
        <w:rPr>
          <w:rFonts w:ascii="Arial" w:hAnsi="Arial" w:cs="Arial"/>
          <w:sz w:val="22"/>
          <w:szCs w:val="22"/>
        </w:rPr>
        <w:t xml:space="preserve">w innych państwach. </w:t>
      </w:r>
      <w:r w:rsidR="003C5337" w:rsidRPr="00F460B5">
        <w:rPr>
          <w:rFonts w:ascii="Arial" w:hAnsi="Arial" w:cs="Arial"/>
          <w:sz w:val="22"/>
          <w:szCs w:val="22"/>
        </w:rPr>
        <w:t xml:space="preserve">Stąd znajomość systemów prawnych tych państw (najczęściej państw sąsiednich RP) jest niezwykle przydatna w </w:t>
      </w:r>
      <w:r w:rsidR="00850005" w:rsidRPr="00F460B5">
        <w:rPr>
          <w:rFonts w:ascii="Arial" w:hAnsi="Arial" w:cs="Arial"/>
          <w:sz w:val="22"/>
          <w:szCs w:val="22"/>
        </w:rPr>
        <w:t>codziennej</w:t>
      </w:r>
      <w:r w:rsidR="003C5337" w:rsidRPr="00F460B5">
        <w:rPr>
          <w:rFonts w:ascii="Arial" w:hAnsi="Arial" w:cs="Arial"/>
          <w:sz w:val="22"/>
          <w:szCs w:val="22"/>
        </w:rPr>
        <w:t xml:space="preserve"> pracy urzędu. </w:t>
      </w:r>
    </w:p>
    <w:p w14:paraId="57DD12B1" w14:textId="572301E4" w:rsidR="009123AF" w:rsidRPr="00F460B5" w:rsidRDefault="009123AF" w:rsidP="003E10BF">
      <w:pPr>
        <w:spacing w:line="360" w:lineRule="auto"/>
        <w:jc w:val="both"/>
        <w:rPr>
          <w:rFonts w:ascii="Arial" w:hAnsi="Arial" w:cs="Arial"/>
          <w:sz w:val="22"/>
          <w:szCs w:val="22"/>
        </w:rPr>
      </w:pPr>
    </w:p>
    <w:p w14:paraId="750C6FC0" w14:textId="77777777" w:rsidR="009123AF" w:rsidRPr="00F460B5" w:rsidRDefault="009123AF" w:rsidP="003E10BF">
      <w:pPr>
        <w:spacing w:line="360" w:lineRule="auto"/>
        <w:jc w:val="both"/>
        <w:rPr>
          <w:rFonts w:ascii="Arial" w:hAnsi="Arial" w:cs="Arial"/>
          <w:sz w:val="22"/>
          <w:szCs w:val="22"/>
        </w:rPr>
      </w:pPr>
    </w:p>
    <w:p w14:paraId="584044B1" w14:textId="44F667B9" w:rsidR="00E919E0" w:rsidRPr="00C32349" w:rsidRDefault="00E919E0" w:rsidP="00E919E0">
      <w:pPr>
        <w:pStyle w:val="Podtytu"/>
        <w:spacing w:after="0" w:line="360" w:lineRule="auto"/>
        <w:rPr>
          <w:rStyle w:val="Pogrubienie"/>
          <w:rFonts w:ascii="Arial" w:hAnsi="Arial" w:cs="Arial"/>
        </w:rPr>
      </w:pPr>
      <w:r w:rsidRPr="00F460B5">
        <w:rPr>
          <w:rStyle w:val="Pogrubienie"/>
          <w:rFonts w:ascii="Arial" w:hAnsi="Arial" w:cs="Arial"/>
        </w:rPr>
        <w:t>II. PRZEDMIOT ZAMÓWIENIA</w:t>
      </w:r>
    </w:p>
    <w:p w14:paraId="2CF639E1" w14:textId="3BF600E5" w:rsidR="003E10BF" w:rsidRPr="00C32349" w:rsidRDefault="003E10BF" w:rsidP="003E10BF">
      <w:pPr>
        <w:jc w:val="both"/>
        <w:rPr>
          <w:rStyle w:val="Pogrubienie"/>
          <w:rFonts w:ascii="Arial" w:hAnsi="Arial" w:cs="Arial"/>
          <w:sz w:val="22"/>
          <w:szCs w:val="22"/>
        </w:rPr>
      </w:pPr>
    </w:p>
    <w:p w14:paraId="3B51291D" w14:textId="292BE78D" w:rsidR="001972C2" w:rsidRDefault="001972C2" w:rsidP="001972C2">
      <w:pPr>
        <w:spacing w:line="360" w:lineRule="auto"/>
        <w:jc w:val="both"/>
        <w:rPr>
          <w:rFonts w:ascii="Arial" w:hAnsi="Arial" w:cs="Arial"/>
          <w:sz w:val="22"/>
          <w:szCs w:val="22"/>
        </w:rPr>
      </w:pPr>
      <w:r w:rsidRPr="00C32349">
        <w:rPr>
          <w:rFonts w:ascii="Arial" w:hAnsi="Arial" w:cs="Arial"/>
          <w:sz w:val="22"/>
          <w:szCs w:val="22"/>
        </w:rPr>
        <w:t>Przedmiotem</w:t>
      </w:r>
      <w:r w:rsidR="00010F88" w:rsidRPr="00C32349">
        <w:rPr>
          <w:rFonts w:ascii="Arial" w:hAnsi="Arial" w:cs="Arial"/>
          <w:sz w:val="22"/>
          <w:szCs w:val="22"/>
        </w:rPr>
        <w:t xml:space="preserve"> </w:t>
      </w:r>
      <w:r w:rsidRPr="00C32349">
        <w:rPr>
          <w:rFonts w:ascii="Arial" w:hAnsi="Arial" w:cs="Arial"/>
          <w:sz w:val="22"/>
          <w:szCs w:val="22"/>
        </w:rPr>
        <w:t>zamówienia publicznego je</w:t>
      </w:r>
      <w:r w:rsidR="00277AE5">
        <w:rPr>
          <w:rFonts w:ascii="Arial" w:hAnsi="Arial" w:cs="Arial"/>
          <w:sz w:val="22"/>
          <w:szCs w:val="22"/>
        </w:rPr>
        <w:t>st</w:t>
      </w:r>
      <w:r w:rsidRPr="00C32349">
        <w:rPr>
          <w:rFonts w:ascii="Arial" w:hAnsi="Arial" w:cs="Arial"/>
          <w:sz w:val="22"/>
          <w:szCs w:val="22"/>
        </w:rPr>
        <w:t xml:space="preserve"> przeprowadzenie kompleksowej analizy </w:t>
      </w:r>
      <w:proofErr w:type="spellStart"/>
      <w:r w:rsidRPr="00C32349">
        <w:rPr>
          <w:rFonts w:ascii="Arial" w:hAnsi="Arial" w:cs="Arial"/>
          <w:sz w:val="22"/>
          <w:szCs w:val="22"/>
        </w:rPr>
        <w:t>prawnoporównawczej</w:t>
      </w:r>
      <w:proofErr w:type="spellEnd"/>
      <w:r w:rsidRPr="00C32349">
        <w:rPr>
          <w:rFonts w:ascii="Arial" w:hAnsi="Arial" w:cs="Arial"/>
          <w:sz w:val="22"/>
          <w:szCs w:val="22"/>
        </w:rPr>
        <w:t>, w ramach której zbadane i opisane zostaną podobieństwa i</w:t>
      </w:r>
      <w:r w:rsidR="0009082D">
        <w:rPr>
          <w:rFonts w:ascii="Arial" w:hAnsi="Arial" w:cs="Arial"/>
          <w:sz w:val="22"/>
          <w:szCs w:val="22"/>
        </w:rPr>
        <w:t> </w:t>
      </w:r>
      <w:r w:rsidRPr="00C32349">
        <w:rPr>
          <w:rFonts w:ascii="Arial" w:hAnsi="Arial" w:cs="Arial"/>
          <w:sz w:val="22"/>
          <w:szCs w:val="22"/>
        </w:rPr>
        <w:t>odmienności prawa poszczególnych państw</w:t>
      </w:r>
      <w:r w:rsidR="00E16831">
        <w:rPr>
          <w:rFonts w:ascii="Arial" w:hAnsi="Arial" w:cs="Arial"/>
          <w:sz w:val="22"/>
          <w:szCs w:val="22"/>
        </w:rPr>
        <w:t>, o których mowa w części I „Projekt</w:t>
      </w:r>
      <w:r w:rsidR="00277AE5">
        <w:rPr>
          <w:rFonts w:ascii="Arial" w:hAnsi="Arial" w:cs="Arial"/>
          <w:sz w:val="22"/>
          <w:szCs w:val="22"/>
        </w:rPr>
        <w:t xml:space="preserve"> </w:t>
      </w:r>
      <w:r w:rsidR="00E16831">
        <w:rPr>
          <w:rFonts w:ascii="Arial" w:hAnsi="Arial" w:cs="Arial"/>
          <w:sz w:val="22"/>
          <w:szCs w:val="22"/>
        </w:rPr>
        <w:t>-</w:t>
      </w:r>
      <w:r w:rsidR="00277AE5">
        <w:rPr>
          <w:rFonts w:ascii="Arial" w:hAnsi="Arial" w:cs="Arial"/>
          <w:sz w:val="22"/>
          <w:szCs w:val="22"/>
        </w:rPr>
        <w:t xml:space="preserve"> </w:t>
      </w:r>
      <w:r w:rsidR="00E16831">
        <w:rPr>
          <w:rFonts w:ascii="Arial" w:hAnsi="Arial" w:cs="Arial"/>
          <w:sz w:val="22"/>
          <w:szCs w:val="22"/>
        </w:rPr>
        <w:t>informacje wstępne”</w:t>
      </w:r>
      <w:r w:rsidR="00DB611E">
        <w:rPr>
          <w:rFonts w:ascii="Arial" w:hAnsi="Arial" w:cs="Arial"/>
          <w:sz w:val="22"/>
          <w:szCs w:val="22"/>
        </w:rPr>
        <w:t xml:space="preserve"> (fakultatywnie: dodatkowo jednego dowolnego państwa należącego do Unii Europejskiej oprócz </w:t>
      </w:r>
      <w:r w:rsidR="0055751B">
        <w:rPr>
          <w:rFonts w:ascii="Arial" w:hAnsi="Arial" w:cs="Arial"/>
          <w:sz w:val="22"/>
          <w:szCs w:val="22"/>
        </w:rPr>
        <w:t xml:space="preserve">wcześniej </w:t>
      </w:r>
      <w:r w:rsidR="00DB611E">
        <w:rPr>
          <w:rFonts w:ascii="Arial" w:hAnsi="Arial" w:cs="Arial"/>
          <w:sz w:val="22"/>
          <w:szCs w:val="22"/>
        </w:rPr>
        <w:t>wymienionych</w:t>
      </w:r>
      <w:r w:rsidR="00F8034E">
        <w:rPr>
          <w:rFonts w:ascii="Arial" w:hAnsi="Arial" w:cs="Arial"/>
          <w:sz w:val="22"/>
          <w:szCs w:val="22"/>
        </w:rPr>
        <w:t>,</w:t>
      </w:r>
      <w:r w:rsidR="00D8187D">
        <w:rPr>
          <w:rFonts w:ascii="Arial" w:hAnsi="Arial" w:cs="Arial"/>
          <w:sz w:val="22"/>
          <w:szCs w:val="22"/>
        </w:rPr>
        <w:t xml:space="preserve"> wybranego przez Wykonawcę</w:t>
      </w:r>
      <w:r w:rsidR="00DB611E">
        <w:rPr>
          <w:rFonts w:ascii="Arial" w:hAnsi="Arial" w:cs="Arial"/>
          <w:sz w:val="22"/>
          <w:szCs w:val="22"/>
        </w:rPr>
        <w:t>)</w:t>
      </w:r>
      <w:r w:rsidRPr="00C32349">
        <w:rPr>
          <w:rFonts w:ascii="Arial" w:hAnsi="Arial" w:cs="Arial"/>
          <w:sz w:val="22"/>
          <w:szCs w:val="22"/>
        </w:rPr>
        <w:t xml:space="preserve"> w zakresie, </w:t>
      </w:r>
      <w:r w:rsidRPr="00C32349">
        <w:rPr>
          <w:rFonts w:ascii="Arial" w:hAnsi="Arial" w:cs="Arial"/>
          <w:sz w:val="22"/>
          <w:szCs w:val="22"/>
        </w:rPr>
        <w:lastRenderedPageBreak/>
        <w:t>w</w:t>
      </w:r>
      <w:r w:rsidR="00F8034E">
        <w:rPr>
          <w:rFonts w:ascii="Arial" w:hAnsi="Arial" w:cs="Arial"/>
          <w:sz w:val="22"/>
          <w:szCs w:val="22"/>
        </w:rPr>
        <w:t> </w:t>
      </w:r>
      <w:r w:rsidRPr="00C32349">
        <w:rPr>
          <w:rFonts w:ascii="Arial" w:hAnsi="Arial" w:cs="Arial"/>
          <w:sz w:val="22"/>
          <w:szCs w:val="22"/>
        </w:rPr>
        <w:t xml:space="preserve">jakim państwa te transponowały do porządku krajowego przepisy dyrektywy EIA. </w:t>
      </w:r>
      <w:r w:rsidR="004332DD" w:rsidRPr="00C32349">
        <w:rPr>
          <w:rFonts w:ascii="Arial" w:hAnsi="Arial" w:cs="Arial"/>
          <w:sz w:val="22"/>
          <w:szCs w:val="22"/>
        </w:rPr>
        <w:t xml:space="preserve">Szczegółowe wymagania zostały określone </w:t>
      </w:r>
      <w:r w:rsidR="00277AE5">
        <w:rPr>
          <w:rFonts w:ascii="Arial" w:hAnsi="Arial" w:cs="Arial"/>
          <w:sz w:val="22"/>
          <w:szCs w:val="22"/>
        </w:rPr>
        <w:t>poniżej</w:t>
      </w:r>
      <w:r w:rsidR="004332DD" w:rsidRPr="00C32349">
        <w:rPr>
          <w:rFonts w:ascii="Arial" w:hAnsi="Arial" w:cs="Arial"/>
          <w:sz w:val="22"/>
          <w:szCs w:val="22"/>
        </w:rPr>
        <w:t xml:space="preserve">. </w:t>
      </w:r>
    </w:p>
    <w:p w14:paraId="3815002C" w14:textId="5522DAD1" w:rsidR="00422954" w:rsidRDefault="004332DD" w:rsidP="001972C2">
      <w:pPr>
        <w:spacing w:line="360" w:lineRule="auto"/>
        <w:jc w:val="both"/>
        <w:rPr>
          <w:rFonts w:ascii="Arial" w:hAnsi="Arial" w:cs="Arial"/>
          <w:sz w:val="22"/>
          <w:szCs w:val="22"/>
        </w:rPr>
      </w:pPr>
      <w:r w:rsidRPr="00C32349">
        <w:rPr>
          <w:rFonts w:ascii="Arial" w:hAnsi="Arial" w:cs="Arial"/>
          <w:sz w:val="22"/>
          <w:szCs w:val="22"/>
        </w:rPr>
        <w:t xml:space="preserve">Efektem końcowym realizacji zamówienia ma być </w:t>
      </w:r>
      <w:r w:rsidR="00547C1E">
        <w:rPr>
          <w:rFonts w:ascii="Arial" w:hAnsi="Arial" w:cs="Arial"/>
          <w:sz w:val="22"/>
          <w:szCs w:val="22"/>
        </w:rPr>
        <w:t>pisemne opracowanie o charakterze a</w:t>
      </w:r>
      <w:r w:rsidR="00547C1E" w:rsidRPr="00985635">
        <w:rPr>
          <w:rFonts w:ascii="Arial" w:hAnsi="Arial" w:cs="Arial"/>
          <w:sz w:val="22"/>
          <w:szCs w:val="22"/>
        </w:rPr>
        <w:t>naliz</w:t>
      </w:r>
      <w:r w:rsidR="00547C1E">
        <w:rPr>
          <w:rFonts w:ascii="Arial" w:hAnsi="Arial" w:cs="Arial"/>
          <w:sz w:val="22"/>
          <w:szCs w:val="22"/>
        </w:rPr>
        <w:t>y</w:t>
      </w:r>
      <w:r w:rsidR="00431F7A">
        <w:rPr>
          <w:rFonts w:ascii="Arial" w:hAnsi="Arial" w:cs="Arial"/>
          <w:sz w:val="22"/>
          <w:szCs w:val="22"/>
        </w:rPr>
        <w:t xml:space="preserve">. Dzieło powinno zostać </w:t>
      </w:r>
      <w:r w:rsidR="00547C1E">
        <w:rPr>
          <w:rFonts w:ascii="Arial" w:hAnsi="Arial" w:cs="Arial"/>
          <w:sz w:val="22"/>
          <w:szCs w:val="22"/>
        </w:rPr>
        <w:t xml:space="preserve">dostarczone Zamawiającemu </w:t>
      </w:r>
      <w:r w:rsidR="003B6E9C">
        <w:rPr>
          <w:rFonts w:ascii="Arial" w:hAnsi="Arial" w:cs="Arial"/>
          <w:sz w:val="22"/>
          <w:szCs w:val="22"/>
        </w:rPr>
        <w:t xml:space="preserve">nie później niż 30 września 2022 r. </w:t>
      </w:r>
      <w:r w:rsidR="00277AE5">
        <w:rPr>
          <w:rFonts w:ascii="Arial" w:hAnsi="Arial" w:cs="Arial"/>
          <w:sz w:val="22"/>
          <w:szCs w:val="22"/>
        </w:rPr>
        <w:t>w</w:t>
      </w:r>
      <w:r w:rsidR="00D8187D">
        <w:rPr>
          <w:rFonts w:ascii="Arial" w:hAnsi="Arial" w:cs="Arial"/>
          <w:sz w:val="22"/>
          <w:szCs w:val="22"/>
        </w:rPr>
        <w:t> </w:t>
      </w:r>
      <w:r w:rsidR="00547C1E" w:rsidRPr="00475CCA">
        <w:rPr>
          <w:rFonts w:ascii="Arial" w:hAnsi="Arial" w:cs="Arial"/>
          <w:sz w:val="22"/>
          <w:szCs w:val="22"/>
        </w:rPr>
        <w:t xml:space="preserve">formie papierowej oraz </w:t>
      </w:r>
      <w:r w:rsidR="00547C1E">
        <w:rPr>
          <w:rFonts w:ascii="Arial" w:hAnsi="Arial" w:cs="Arial"/>
          <w:sz w:val="22"/>
          <w:szCs w:val="22"/>
        </w:rPr>
        <w:t xml:space="preserve">w formie elektronicznej </w:t>
      </w:r>
      <w:r w:rsidR="00547C1E" w:rsidRPr="00475CCA">
        <w:rPr>
          <w:rFonts w:ascii="Arial" w:hAnsi="Arial" w:cs="Arial"/>
          <w:sz w:val="22"/>
          <w:szCs w:val="22"/>
        </w:rPr>
        <w:t>na cyfrowym nośniku danych (płyta CD, pamięć USB)</w:t>
      </w:r>
      <w:r w:rsidR="00547C1E">
        <w:rPr>
          <w:rFonts w:ascii="Arial" w:hAnsi="Arial" w:cs="Arial"/>
          <w:sz w:val="22"/>
          <w:szCs w:val="22"/>
        </w:rPr>
        <w:t xml:space="preserve"> w otwartym pliku tekstowym, sformatowanym zgodnie z wytycznymi dostarczonymi Wykonawcy przez Zamawiającego. Wykonawca przekaże Zamawiającemu majątkowe prawa autorskie do utworu na polach eksploatacji</w:t>
      </w:r>
      <w:r w:rsidR="00D8187D">
        <w:rPr>
          <w:rFonts w:ascii="Arial" w:hAnsi="Arial" w:cs="Arial"/>
          <w:sz w:val="22"/>
          <w:szCs w:val="22"/>
        </w:rPr>
        <w:t>, które zostaną</w:t>
      </w:r>
      <w:r w:rsidR="00547C1E">
        <w:rPr>
          <w:rFonts w:ascii="Arial" w:hAnsi="Arial" w:cs="Arial"/>
          <w:sz w:val="22"/>
          <w:szCs w:val="22"/>
        </w:rPr>
        <w:t xml:space="preserve"> wskazan</w:t>
      </w:r>
      <w:r w:rsidR="00D8187D">
        <w:rPr>
          <w:rFonts w:ascii="Arial" w:hAnsi="Arial" w:cs="Arial"/>
          <w:sz w:val="22"/>
          <w:szCs w:val="22"/>
        </w:rPr>
        <w:t>e</w:t>
      </w:r>
      <w:r w:rsidR="00547C1E">
        <w:rPr>
          <w:rFonts w:ascii="Arial" w:hAnsi="Arial" w:cs="Arial"/>
          <w:sz w:val="22"/>
          <w:szCs w:val="22"/>
        </w:rPr>
        <w:t xml:space="preserve"> w umowie. </w:t>
      </w:r>
      <w:r w:rsidR="00FB5803">
        <w:rPr>
          <w:rFonts w:ascii="Arial" w:hAnsi="Arial" w:cs="Arial"/>
          <w:sz w:val="22"/>
          <w:szCs w:val="22"/>
        </w:rPr>
        <w:t xml:space="preserve"> </w:t>
      </w:r>
    </w:p>
    <w:p w14:paraId="624F3909" w14:textId="22FF52B7" w:rsidR="001F16BC" w:rsidRPr="00C32349" w:rsidRDefault="00FB5803" w:rsidP="001972C2">
      <w:pPr>
        <w:spacing w:line="360" w:lineRule="auto"/>
        <w:jc w:val="both"/>
        <w:rPr>
          <w:rFonts w:ascii="Arial" w:hAnsi="Arial" w:cs="Arial"/>
          <w:sz w:val="22"/>
          <w:szCs w:val="22"/>
        </w:rPr>
      </w:pPr>
      <w:r>
        <w:rPr>
          <w:rFonts w:ascii="Arial" w:hAnsi="Arial" w:cs="Arial"/>
          <w:sz w:val="22"/>
          <w:szCs w:val="22"/>
        </w:rPr>
        <w:t>Analiza</w:t>
      </w:r>
      <w:r w:rsidR="004332DD" w:rsidRPr="00C32349">
        <w:rPr>
          <w:rFonts w:ascii="Arial" w:hAnsi="Arial" w:cs="Arial"/>
          <w:sz w:val="22"/>
          <w:szCs w:val="22"/>
        </w:rPr>
        <w:t xml:space="preserve"> będzie </w:t>
      </w:r>
      <w:r w:rsidR="001F16BC" w:rsidRPr="00C32349">
        <w:rPr>
          <w:rFonts w:ascii="Arial" w:hAnsi="Arial" w:cs="Arial"/>
          <w:sz w:val="22"/>
          <w:szCs w:val="22"/>
        </w:rPr>
        <w:t xml:space="preserve">zawierała odrębne </w:t>
      </w:r>
      <w:r w:rsidR="00F82CC6" w:rsidRPr="00C32349">
        <w:rPr>
          <w:rFonts w:ascii="Arial" w:hAnsi="Arial" w:cs="Arial"/>
          <w:sz w:val="22"/>
          <w:szCs w:val="22"/>
        </w:rPr>
        <w:t>części</w:t>
      </w:r>
      <w:r w:rsidR="001F16BC" w:rsidRPr="00C32349">
        <w:rPr>
          <w:rFonts w:ascii="Arial" w:hAnsi="Arial" w:cs="Arial"/>
          <w:sz w:val="22"/>
          <w:szCs w:val="22"/>
        </w:rPr>
        <w:t xml:space="preserve"> poświęcone każdemu z państw osobno</w:t>
      </w:r>
      <w:r w:rsidR="00B741DE" w:rsidRPr="00C32349">
        <w:rPr>
          <w:rFonts w:ascii="Arial" w:hAnsi="Arial" w:cs="Arial"/>
          <w:sz w:val="22"/>
          <w:szCs w:val="22"/>
        </w:rPr>
        <w:t>, w kolejności alfabetycznej</w:t>
      </w:r>
      <w:r w:rsidR="001F16BC" w:rsidRPr="00C32349">
        <w:rPr>
          <w:rFonts w:ascii="Arial" w:hAnsi="Arial" w:cs="Arial"/>
          <w:sz w:val="22"/>
          <w:szCs w:val="22"/>
        </w:rPr>
        <w:t xml:space="preserve">. </w:t>
      </w:r>
      <w:r w:rsidR="00F82CC6" w:rsidRPr="00C32349">
        <w:rPr>
          <w:rFonts w:ascii="Arial" w:hAnsi="Arial" w:cs="Arial"/>
          <w:sz w:val="22"/>
          <w:szCs w:val="22"/>
        </w:rPr>
        <w:t>Każda z części</w:t>
      </w:r>
      <w:r w:rsidR="001F16BC" w:rsidRPr="00C32349">
        <w:rPr>
          <w:rFonts w:ascii="Arial" w:hAnsi="Arial" w:cs="Arial"/>
          <w:sz w:val="22"/>
          <w:szCs w:val="22"/>
        </w:rPr>
        <w:t xml:space="preserve"> powin</w:t>
      </w:r>
      <w:r w:rsidR="00B741DE" w:rsidRPr="00C32349">
        <w:rPr>
          <w:rFonts w:ascii="Arial" w:hAnsi="Arial" w:cs="Arial"/>
          <w:sz w:val="22"/>
          <w:szCs w:val="22"/>
        </w:rPr>
        <w:t>na</w:t>
      </w:r>
      <w:r w:rsidR="001F16BC" w:rsidRPr="00C32349">
        <w:rPr>
          <w:rFonts w:ascii="Arial" w:hAnsi="Arial" w:cs="Arial"/>
          <w:sz w:val="22"/>
          <w:szCs w:val="22"/>
        </w:rPr>
        <w:t xml:space="preserve"> </w:t>
      </w:r>
      <w:r w:rsidR="00B741DE" w:rsidRPr="00C32349">
        <w:rPr>
          <w:rFonts w:ascii="Arial" w:hAnsi="Arial" w:cs="Arial"/>
          <w:sz w:val="22"/>
          <w:szCs w:val="22"/>
        </w:rPr>
        <w:t xml:space="preserve">z kolei </w:t>
      </w:r>
      <w:r w:rsidR="001F16BC" w:rsidRPr="00C32349">
        <w:rPr>
          <w:rFonts w:ascii="Arial" w:hAnsi="Arial" w:cs="Arial"/>
          <w:sz w:val="22"/>
          <w:szCs w:val="22"/>
        </w:rPr>
        <w:t>być zbudowan</w:t>
      </w:r>
      <w:r w:rsidR="00B741DE" w:rsidRPr="00C32349">
        <w:rPr>
          <w:rFonts w:ascii="Arial" w:hAnsi="Arial" w:cs="Arial"/>
          <w:sz w:val="22"/>
          <w:szCs w:val="22"/>
        </w:rPr>
        <w:t>a</w:t>
      </w:r>
      <w:r w:rsidR="001F16BC" w:rsidRPr="00C32349">
        <w:rPr>
          <w:rFonts w:ascii="Arial" w:hAnsi="Arial" w:cs="Arial"/>
          <w:sz w:val="22"/>
          <w:szCs w:val="22"/>
        </w:rPr>
        <w:t xml:space="preserve"> według n</w:t>
      </w:r>
      <w:r w:rsidR="00F82CC6" w:rsidRPr="00C32349">
        <w:rPr>
          <w:rFonts w:ascii="Arial" w:hAnsi="Arial" w:cs="Arial"/>
          <w:sz w:val="22"/>
          <w:szCs w:val="22"/>
        </w:rPr>
        <w:t>astępującej systematyki</w:t>
      </w:r>
      <w:r w:rsidR="001F16BC" w:rsidRPr="00C32349">
        <w:rPr>
          <w:rFonts w:ascii="Arial" w:hAnsi="Arial" w:cs="Arial"/>
          <w:sz w:val="22"/>
          <w:szCs w:val="22"/>
        </w:rPr>
        <w:t>:</w:t>
      </w:r>
    </w:p>
    <w:p w14:paraId="3A72C3A3" w14:textId="2591CB0E" w:rsidR="005825E1" w:rsidRPr="00C32349" w:rsidRDefault="005825E1" w:rsidP="005825E1">
      <w:pPr>
        <w:spacing w:line="360" w:lineRule="auto"/>
        <w:jc w:val="both"/>
        <w:rPr>
          <w:rFonts w:ascii="Arial" w:hAnsi="Arial" w:cs="Arial"/>
          <w:sz w:val="22"/>
          <w:szCs w:val="22"/>
        </w:rPr>
      </w:pPr>
    </w:p>
    <w:p w14:paraId="297C0C5F" w14:textId="6278C71E" w:rsidR="001F16BC" w:rsidRPr="00C32349" w:rsidRDefault="005825E1" w:rsidP="001F16BC">
      <w:pPr>
        <w:pStyle w:val="Akapitzlist"/>
        <w:numPr>
          <w:ilvl w:val="0"/>
          <w:numId w:val="32"/>
        </w:numPr>
        <w:spacing w:line="360" w:lineRule="auto"/>
        <w:jc w:val="both"/>
        <w:rPr>
          <w:rFonts w:ascii="Arial" w:hAnsi="Arial" w:cs="Arial"/>
          <w:sz w:val="22"/>
          <w:szCs w:val="22"/>
        </w:rPr>
      </w:pPr>
      <w:r w:rsidRPr="00C32349">
        <w:rPr>
          <w:rFonts w:ascii="Arial" w:hAnsi="Arial" w:cs="Arial"/>
          <w:sz w:val="22"/>
          <w:szCs w:val="22"/>
        </w:rPr>
        <w:t>Krajowe ramy prawne – wskazanie głównych aktów transponujących dyrektywę EIA do prawa krajowego, a także wskazanie właściwego organu państwa odpowiedzialnego za wykonywanie obowiązków wynikających z dyrektywy EIA.</w:t>
      </w:r>
    </w:p>
    <w:p w14:paraId="360A7367" w14:textId="77777777" w:rsidR="00F1768F" w:rsidRPr="00C32349" w:rsidRDefault="00F1768F" w:rsidP="00F1768F">
      <w:pPr>
        <w:pStyle w:val="Akapitzlist"/>
        <w:numPr>
          <w:ilvl w:val="0"/>
          <w:numId w:val="32"/>
        </w:numPr>
        <w:spacing w:line="360" w:lineRule="auto"/>
        <w:jc w:val="both"/>
        <w:rPr>
          <w:rFonts w:ascii="Arial" w:hAnsi="Arial" w:cs="Arial"/>
          <w:sz w:val="22"/>
          <w:szCs w:val="22"/>
        </w:rPr>
      </w:pPr>
      <w:r w:rsidRPr="00C32349">
        <w:rPr>
          <w:rFonts w:ascii="Arial" w:hAnsi="Arial" w:cs="Arial"/>
          <w:sz w:val="22"/>
          <w:szCs w:val="22"/>
        </w:rPr>
        <w:t>Charakterystyka procedury udzielania zezwolenia na inwestycję, z uwzględnieniem następujących okoliczności:</w:t>
      </w:r>
    </w:p>
    <w:p w14:paraId="49F9F7AE" w14:textId="77777777"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czy przepisy prawa krajowego zawierają definicję „zezwolenia na inwestycję”. Czy postępowanie dotyczące zezwolenia na inwestycję, które upoważnia do przystąpienia do realizacji przedsięwzięcia, prowadzone jest jednoetapowo czy obejmuje wiele etapów (czy ocena oddziaływania na środowisko jest zintegrowana z istniejącą procedurą zezwolenia na inwestycję czy ustanowiono osobną procedurę do realizacji celów dyrektywy);</w:t>
      </w:r>
    </w:p>
    <w:p w14:paraId="159FB012" w14:textId="17F4A241"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w przypadku zezwolenia na inwestycję wydawanego w wielu etapach – na którym z etapów przeprowadzana jest ocena oddziaływania przedsięwzięcia na środowisko. Czy ocena może być prowadzona wiele razy na różnych etapach, a</w:t>
      </w:r>
      <w:r w:rsidR="00D422A0">
        <w:rPr>
          <w:rFonts w:ascii="Arial" w:hAnsi="Arial" w:cs="Arial"/>
          <w:sz w:val="22"/>
          <w:szCs w:val="22"/>
        </w:rPr>
        <w:t> </w:t>
      </w:r>
      <w:r w:rsidRPr="00C32349">
        <w:rPr>
          <w:rFonts w:ascii="Arial" w:hAnsi="Arial" w:cs="Arial"/>
          <w:sz w:val="22"/>
          <w:szCs w:val="22"/>
        </w:rPr>
        <w:t>jeśli tak to jakie przesłanki decydują o obligatoryjności lub fakultatywności prowadzenia oceny;</w:t>
      </w:r>
    </w:p>
    <w:p w14:paraId="2A325E8F" w14:textId="77777777"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czy przepisy umożliwiają przeprowadzenie częściowej oceny oddziaływania na środowisko;</w:t>
      </w:r>
    </w:p>
    <w:p w14:paraId="69625A61" w14:textId="1F0156B5"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jakie organy i w jakim trybie badają wniosek o zezwolenie na inwestycję w</w:t>
      </w:r>
      <w:r w:rsidR="00D422A0">
        <w:rPr>
          <w:rFonts w:ascii="Arial" w:hAnsi="Arial" w:cs="Arial"/>
          <w:sz w:val="22"/>
          <w:szCs w:val="22"/>
        </w:rPr>
        <w:t> </w:t>
      </w:r>
      <w:r w:rsidRPr="00C32349">
        <w:rPr>
          <w:rFonts w:ascii="Arial" w:hAnsi="Arial" w:cs="Arial"/>
          <w:sz w:val="22"/>
          <w:szCs w:val="22"/>
        </w:rPr>
        <w:t xml:space="preserve">odniesieniu do skutków dla środowiska, jakie mogą wiązać się z realizacją przedsięwzięcia, między innymi z powodu na jego charakter, rozmiar lub </w:t>
      </w:r>
      <w:r w:rsidRPr="00C32349">
        <w:rPr>
          <w:rFonts w:ascii="Arial" w:hAnsi="Arial" w:cs="Arial"/>
          <w:sz w:val="22"/>
          <w:szCs w:val="22"/>
        </w:rPr>
        <w:lastRenderedPageBreak/>
        <w:t>lokalizację;</w:t>
      </w:r>
    </w:p>
    <w:p w14:paraId="7D32318C" w14:textId="0CA56BFC"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czy przepisy prawa krajowego zawierają definicję „przedsięwzięcia”; czy zakwalifikowanie danego działania jako „przedsięwzięcia” uzależnione jest od przekształcenia terenu;</w:t>
      </w:r>
      <w:r w:rsidR="00FD6604" w:rsidRPr="00C32349">
        <w:rPr>
          <w:rFonts w:ascii="Arial" w:hAnsi="Arial" w:cs="Arial"/>
          <w:sz w:val="22"/>
          <w:szCs w:val="22"/>
        </w:rPr>
        <w:t xml:space="preserve"> czy prawo krajowe ustanawia osobną definicję „przedsięwzięcia, które może powodować znaczące skutki w środowisku”;</w:t>
      </w:r>
    </w:p>
    <w:p w14:paraId="09A3C0CC" w14:textId="11680EFC"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czy ustawodawca krajowy rozróżnia działania o charakterze budowlanym i</w:t>
      </w:r>
      <w:r w:rsidR="00D422A0">
        <w:rPr>
          <w:rFonts w:ascii="Arial" w:hAnsi="Arial" w:cs="Arial"/>
          <w:sz w:val="22"/>
          <w:szCs w:val="22"/>
        </w:rPr>
        <w:t> </w:t>
      </w:r>
      <w:r w:rsidRPr="00C32349">
        <w:rPr>
          <w:rFonts w:ascii="Arial" w:hAnsi="Arial" w:cs="Arial"/>
          <w:sz w:val="22"/>
          <w:szCs w:val="22"/>
        </w:rPr>
        <w:t>niebudowlanym kwalifikowane jako „przedsięwzięcia” w rozumieniu dyrektywy EIA, a także w jaki sposób kategoryzuje rodzaje przedsięwzięć;</w:t>
      </w:r>
    </w:p>
    <w:p w14:paraId="6A280C2D" w14:textId="17EFD98C" w:rsidR="00F1768F"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czy jako „przedsięwzięcie” mogą być zakwalifikowane modyfikacje w stosunku do istniejących przedsięwzięć, a jeśli tak to jakimi kryteriami kieruje się w tym zakresie ustawodawca;</w:t>
      </w:r>
    </w:p>
    <w:p w14:paraId="677988CE" w14:textId="27320730" w:rsidR="00886313" w:rsidRPr="00886313" w:rsidRDefault="00886313" w:rsidP="00886313">
      <w:pPr>
        <w:pStyle w:val="Akapitzlist"/>
        <w:numPr>
          <w:ilvl w:val="0"/>
          <w:numId w:val="33"/>
        </w:numPr>
        <w:spacing w:line="360" w:lineRule="auto"/>
        <w:ind w:left="1134"/>
        <w:jc w:val="both"/>
        <w:rPr>
          <w:rFonts w:ascii="Arial" w:hAnsi="Arial" w:cs="Arial"/>
          <w:sz w:val="22"/>
          <w:szCs w:val="22"/>
        </w:rPr>
      </w:pPr>
      <w:r w:rsidRPr="00BF599F">
        <w:rPr>
          <w:rFonts w:ascii="Arial" w:hAnsi="Arial" w:cs="Arial"/>
          <w:sz w:val="22"/>
          <w:szCs w:val="22"/>
        </w:rPr>
        <w:t>jak prawo krajowe reguluje kwestię wydłużenia terminu eksploatacji istniejącego przedsięwzięcia, w szczególności konieczność przedłużenia działalności funkcjonującej kopalni lub składowiska odpadów;</w:t>
      </w:r>
    </w:p>
    <w:p w14:paraId="1D6811C9" w14:textId="77777777"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czy przepisy prawa krajowego zawierają definicję „wykonawca”;</w:t>
      </w:r>
    </w:p>
    <w:p w14:paraId="3C7F1407" w14:textId="601399FC"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czy przepisy prawa krajowego zawierają definicję „społeczeństwa” oraz „zainteresowanej społeczności”, a także jakie są przesłanki, od spełnienia których ustawodawca uzależnia możliwość udziału danego członka tej społeczności  w</w:t>
      </w:r>
      <w:r w:rsidR="00D422A0">
        <w:rPr>
          <w:rFonts w:ascii="Arial" w:hAnsi="Arial" w:cs="Arial"/>
          <w:sz w:val="22"/>
          <w:szCs w:val="22"/>
        </w:rPr>
        <w:t> </w:t>
      </w:r>
      <w:r w:rsidRPr="00C32349">
        <w:rPr>
          <w:rFonts w:ascii="Arial" w:hAnsi="Arial" w:cs="Arial"/>
          <w:sz w:val="22"/>
          <w:szCs w:val="22"/>
        </w:rPr>
        <w:t>procedurach decyzyjnych, z rozróżnieniem na kryteria stawiane organizacjom pozarządowym oraz pozostałym członkom zainteresowanej społeczności. Charakterystyka w tym zakresie powinna zawierać także opis poszczególnych przesłanek, a nie poprzestawać na ich wyliczeniu. Należy wskazać, jak ustawodawca odnosi się do „skutków jakimi może być dotknięte społeczeństwo” oraz „interesu w procedurze podejmowania decyzji” i w jaki sposób w toku postępowania ustalany jest obszar, na który może oddziaływać przedsięwzięcie;</w:t>
      </w:r>
    </w:p>
    <w:p w14:paraId="7230195F" w14:textId="6B073A7A"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w jaki sposób informowane jest społeczeństwo o poszczególnych kwestiach w</w:t>
      </w:r>
      <w:r w:rsidR="00D422A0">
        <w:rPr>
          <w:rFonts w:ascii="Arial" w:hAnsi="Arial" w:cs="Arial"/>
          <w:sz w:val="22"/>
          <w:szCs w:val="22"/>
        </w:rPr>
        <w:t> </w:t>
      </w:r>
      <w:r w:rsidRPr="00C32349">
        <w:rPr>
          <w:rFonts w:ascii="Arial" w:hAnsi="Arial" w:cs="Arial"/>
          <w:sz w:val="22"/>
          <w:szCs w:val="22"/>
        </w:rPr>
        <w:t>ramach procedur podejmowania decyzji dotyczących środowiska; jaki jest zakres informacji, które powinny być przekazywane społeczeństwu;</w:t>
      </w:r>
    </w:p>
    <w:p w14:paraId="3A4A40A2" w14:textId="77777777"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na jakim etapie procedury zapewniany jest udział społeczeństwa w rozumieniu dyrektywy EIA; czy może zachodzić sytuacja, w której taki udział powinien być zapewniany powtórnie; jakie są ramy czasowe, które dają możliwość zapewnienia udziału społeczeństwa;</w:t>
      </w:r>
    </w:p>
    <w:p w14:paraId="4D9E48B7" w14:textId="77777777"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 xml:space="preserve">czy państwo członkowskie wdrożyło przepis art. 1 ust. 3 dyrektywy EIA, który umożliwia wyłączenie przedsięwzięć służących celom obrony narodowej z zakresu </w:t>
      </w:r>
      <w:r w:rsidRPr="00C32349">
        <w:rPr>
          <w:rFonts w:ascii="Arial" w:hAnsi="Arial" w:cs="Arial"/>
          <w:sz w:val="22"/>
          <w:szCs w:val="22"/>
        </w:rPr>
        <w:lastRenderedPageBreak/>
        <w:t>stosowania dyrektywy, a tym samym z procedury oceny oddziaływania na środowisko, jeśli zastosowanie miałoby niekorzystny wpływ na te cele, a jeśli tak, to jak wygląda procedura w tym zakresie;</w:t>
      </w:r>
    </w:p>
    <w:p w14:paraId="4C58615B" w14:textId="0F5B43AC"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 xml:space="preserve">czy państwo członkowskie posiada szczególny akt ustawodawstwa krajowego, </w:t>
      </w:r>
      <w:r w:rsidR="001F3B71" w:rsidRPr="00C32349">
        <w:rPr>
          <w:rFonts w:ascii="Arial" w:hAnsi="Arial" w:cs="Arial"/>
          <w:sz w:val="22"/>
          <w:szCs w:val="22"/>
        </w:rPr>
        <w:t>o</w:t>
      </w:r>
      <w:r w:rsidR="00D422A0">
        <w:rPr>
          <w:rFonts w:ascii="Arial" w:hAnsi="Arial" w:cs="Arial"/>
          <w:sz w:val="22"/>
          <w:szCs w:val="22"/>
        </w:rPr>
        <w:t> </w:t>
      </w:r>
      <w:r w:rsidR="001F3B71" w:rsidRPr="00C32349">
        <w:rPr>
          <w:rFonts w:ascii="Arial" w:hAnsi="Arial" w:cs="Arial"/>
          <w:sz w:val="22"/>
          <w:szCs w:val="22"/>
        </w:rPr>
        <w:t xml:space="preserve">którym mowa w art. 1 ust. 4 dyrektywy, a </w:t>
      </w:r>
      <w:r w:rsidRPr="00C32349">
        <w:rPr>
          <w:rFonts w:ascii="Arial" w:hAnsi="Arial" w:cs="Arial"/>
          <w:sz w:val="22"/>
          <w:szCs w:val="22"/>
        </w:rPr>
        <w:t>który zawiera rozwiązania dotyczące konkretnych przedsięwzięć, co do których dyrektywa nie ma zastosowania, ponieważ jej cele zostały osiągnięte w procesie ustawodawczym, a jeśli tak, jak przebiegał taki proces ustawodawczy (jak uzgadniano szczegóły przedsięwzięcia z poszczególnymi organami i w jaki sposób zapewniono udział społeczeństwa);</w:t>
      </w:r>
    </w:p>
    <w:p w14:paraId="759BC7D5" w14:textId="77777777"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czy państwo członkowskie transponowało do swojego ustawodawstwa przepis art. 2 ust. 4 dyrektywy EIA, który przewiduje możliwość zwolnienia danego przedsięwzięcia z wymogów dyrektywy; jak państwo członkowskie odnosi się do kwestii rozważenia, czy właściwe jest przeprowadzenie w innej formie;</w:t>
      </w:r>
    </w:p>
    <w:p w14:paraId="744E262B" w14:textId="77777777"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jakie wymogi powinna spełniać ocena oddziaływania na środowisko i jakie elementy są brane pod uwagę w ramach oceny skutków przedsięwzięcia; czy te elementy mogą być różne w zależności etapu procedury zezwolenia lub szczególnych cech przedsięwzięcia;</w:t>
      </w:r>
    </w:p>
    <w:p w14:paraId="751B401F" w14:textId="77777777"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jakie środki przyjął ustawodawca krajowy do zapewnienia, by wykonawca dostarczył we właściwej formie informacje wyszczególnione w załączniku IV do dyrektywy EIA; czy te informacje mogą być różne w zależności etapu procedury zezwolenia lub szczególnych cech przedsięwzięcia;</w:t>
      </w:r>
    </w:p>
    <w:p w14:paraId="3177D2E2" w14:textId="77777777"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czy państwo członkowskie posiada przepisy zapewniające, by wykonawca, jeszcze przed złożeniem wniosku o zezwolenie na inwestycję mógł domagać się od właściwego organu wydania opinii na temat informacji, jakie powinny być przez niego dostarczone;</w:t>
      </w:r>
    </w:p>
    <w:p w14:paraId="5CE1F80C" w14:textId="4459C65A"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jak przepisy krajowe regulują procedurę transgranicznego oddziaływania przedsięwzięcia na środowisko, o której mowa w art. 7 dyrektywy EIA</w:t>
      </w:r>
      <w:r w:rsidR="001F3B71" w:rsidRPr="00C32349">
        <w:rPr>
          <w:rFonts w:ascii="Arial" w:hAnsi="Arial" w:cs="Arial"/>
          <w:sz w:val="22"/>
          <w:szCs w:val="22"/>
        </w:rPr>
        <w:t>, w zależności od tego czy państwo jest stroną pochodzenia negatywnych oddziaływań czy stroną narażoną na negatywne oddziaływania</w:t>
      </w:r>
      <w:r w:rsidRPr="00C32349">
        <w:rPr>
          <w:rFonts w:ascii="Arial" w:hAnsi="Arial" w:cs="Arial"/>
          <w:sz w:val="22"/>
          <w:szCs w:val="22"/>
        </w:rPr>
        <w:t>;</w:t>
      </w:r>
    </w:p>
    <w:p w14:paraId="63F5DD4B" w14:textId="1C7F252D"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jaki jest odpowiedni czas na przekazanie stosownych informacji organom i</w:t>
      </w:r>
      <w:r w:rsidR="00AD03DA" w:rsidRPr="00C32349">
        <w:rPr>
          <w:rFonts w:ascii="Arial" w:hAnsi="Arial" w:cs="Arial"/>
          <w:sz w:val="22"/>
          <w:szCs w:val="22"/>
        </w:rPr>
        <w:t> </w:t>
      </w:r>
      <w:r w:rsidRPr="00C32349">
        <w:rPr>
          <w:rFonts w:ascii="Arial" w:hAnsi="Arial" w:cs="Arial"/>
          <w:sz w:val="22"/>
          <w:szCs w:val="22"/>
        </w:rPr>
        <w:t>zainteresowanej społeczności w ramach procedury transgranicznej; czy w</w:t>
      </w:r>
      <w:r w:rsidR="00D422A0">
        <w:rPr>
          <w:rFonts w:ascii="Arial" w:hAnsi="Arial" w:cs="Arial"/>
          <w:sz w:val="22"/>
          <w:szCs w:val="22"/>
        </w:rPr>
        <w:t> </w:t>
      </w:r>
      <w:r w:rsidRPr="00C32349">
        <w:rPr>
          <w:rFonts w:ascii="Arial" w:hAnsi="Arial" w:cs="Arial"/>
          <w:sz w:val="22"/>
          <w:szCs w:val="22"/>
        </w:rPr>
        <w:t>przypadku tej procedury udział społeczeństwa państwa pochodzenia i</w:t>
      </w:r>
      <w:r w:rsidR="00D422A0">
        <w:rPr>
          <w:rFonts w:ascii="Arial" w:hAnsi="Arial" w:cs="Arial"/>
          <w:sz w:val="22"/>
          <w:szCs w:val="22"/>
        </w:rPr>
        <w:t> </w:t>
      </w:r>
      <w:r w:rsidRPr="00C32349">
        <w:rPr>
          <w:rFonts w:ascii="Arial" w:hAnsi="Arial" w:cs="Arial"/>
          <w:sz w:val="22"/>
          <w:szCs w:val="22"/>
        </w:rPr>
        <w:t>społeczeństwa państwa narażenia może być zapewniany w różnym czasie;</w:t>
      </w:r>
    </w:p>
    <w:p w14:paraId="6A376687" w14:textId="3817A732"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jakie informacje</w:t>
      </w:r>
      <w:r w:rsidR="000D03B6" w:rsidRPr="00C32349">
        <w:rPr>
          <w:rFonts w:ascii="Arial" w:hAnsi="Arial" w:cs="Arial"/>
          <w:sz w:val="22"/>
          <w:szCs w:val="22"/>
        </w:rPr>
        <w:t xml:space="preserve">, zgodnie z przepisami krajowymi, są </w:t>
      </w:r>
      <w:r w:rsidRPr="00C32349">
        <w:rPr>
          <w:rFonts w:ascii="Arial" w:hAnsi="Arial" w:cs="Arial"/>
          <w:sz w:val="22"/>
          <w:szCs w:val="22"/>
        </w:rPr>
        <w:t xml:space="preserve">przekazywane  państwu </w:t>
      </w:r>
      <w:r w:rsidRPr="00C32349">
        <w:rPr>
          <w:rFonts w:ascii="Arial" w:hAnsi="Arial" w:cs="Arial"/>
          <w:sz w:val="22"/>
          <w:szCs w:val="22"/>
        </w:rPr>
        <w:lastRenderedPageBreak/>
        <w:t>naraż</w:t>
      </w:r>
      <w:r w:rsidR="00AA3F9C" w:rsidRPr="00C32349">
        <w:rPr>
          <w:rFonts w:ascii="Arial" w:hAnsi="Arial" w:cs="Arial"/>
          <w:sz w:val="22"/>
          <w:szCs w:val="22"/>
        </w:rPr>
        <w:t>onemu na oddziaływania</w:t>
      </w:r>
      <w:r w:rsidR="000D03B6" w:rsidRPr="00C32349">
        <w:rPr>
          <w:rFonts w:ascii="Arial" w:hAnsi="Arial" w:cs="Arial"/>
          <w:sz w:val="22"/>
          <w:szCs w:val="22"/>
        </w:rPr>
        <w:t xml:space="preserve"> (w szczególności czy</w:t>
      </w:r>
      <w:r w:rsidR="005D4470" w:rsidRPr="00C32349">
        <w:rPr>
          <w:rFonts w:ascii="Arial" w:hAnsi="Arial" w:cs="Arial"/>
          <w:sz w:val="22"/>
          <w:szCs w:val="22"/>
        </w:rPr>
        <w:t xml:space="preserve"> istnieje wymóg przekazania wniosku o zezwolenie na inwestycję, dokumentu bądź informacji stwierdzające obowiązek przeprowadzenia oceny oddziaływania na środowisko w kontekście transgranicznym oraz dokumentu określające zakres informacji, jakie musi dostarczyć wykonawca w ramach oceny oddziaływania na środowisko)</w:t>
      </w:r>
      <w:r w:rsidRPr="00C32349">
        <w:rPr>
          <w:rFonts w:ascii="Arial" w:hAnsi="Arial" w:cs="Arial"/>
          <w:sz w:val="22"/>
          <w:szCs w:val="22"/>
        </w:rPr>
        <w:t xml:space="preserve"> i jak przepisy krajowe odnoszą się do kwestii tłumaczenia dokumentów niezbędnych do przekazania</w:t>
      </w:r>
      <w:r w:rsidR="005D4470" w:rsidRPr="00C32349">
        <w:rPr>
          <w:rFonts w:ascii="Arial" w:hAnsi="Arial" w:cs="Arial"/>
          <w:sz w:val="22"/>
          <w:szCs w:val="22"/>
        </w:rPr>
        <w:t xml:space="preserve"> państwu narażonemu</w:t>
      </w:r>
      <w:r w:rsidRPr="00C32349">
        <w:rPr>
          <w:rFonts w:ascii="Arial" w:hAnsi="Arial" w:cs="Arial"/>
          <w:sz w:val="22"/>
          <w:szCs w:val="22"/>
        </w:rPr>
        <w:t>;</w:t>
      </w:r>
    </w:p>
    <w:p w14:paraId="24CAB1D4" w14:textId="54C1F627" w:rsidR="00AD03DA" w:rsidRPr="00C32349" w:rsidRDefault="00F1768F" w:rsidP="00AD03DA">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czy państwo członkowskie zawiera umowy bilateralne z innymi państwami w</w:t>
      </w:r>
      <w:r w:rsidR="00D422A0">
        <w:rPr>
          <w:rFonts w:ascii="Arial" w:hAnsi="Arial" w:cs="Arial"/>
          <w:sz w:val="22"/>
          <w:szCs w:val="22"/>
        </w:rPr>
        <w:t> </w:t>
      </w:r>
      <w:r w:rsidRPr="00C32349">
        <w:rPr>
          <w:rFonts w:ascii="Arial" w:hAnsi="Arial" w:cs="Arial"/>
          <w:sz w:val="22"/>
          <w:szCs w:val="22"/>
        </w:rPr>
        <w:t>zakresie procedur transgranicznych</w:t>
      </w:r>
      <w:r w:rsidR="00AA3F9C" w:rsidRPr="00C32349">
        <w:rPr>
          <w:rFonts w:ascii="Arial" w:hAnsi="Arial" w:cs="Arial"/>
          <w:sz w:val="22"/>
          <w:szCs w:val="22"/>
        </w:rPr>
        <w:t>; jeśli tak, to jakich kwestii dotyczą te umowy</w:t>
      </w:r>
      <w:r w:rsidRPr="00C32349">
        <w:rPr>
          <w:rFonts w:ascii="Arial" w:hAnsi="Arial" w:cs="Arial"/>
          <w:sz w:val="22"/>
          <w:szCs w:val="22"/>
        </w:rPr>
        <w:t>;</w:t>
      </w:r>
    </w:p>
    <w:p w14:paraId="46FA532C" w14:textId="77777777" w:rsidR="00AD03DA" w:rsidRPr="00C32349" w:rsidRDefault="00F1768F" w:rsidP="00AD03DA">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w jaki sposób rezultaty konsultacj</w:t>
      </w:r>
      <w:r w:rsidR="00AD03DA" w:rsidRPr="00C32349">
        <w:rPr>
          <w:rFonts w:ascii="Arial" w:hAnsi="Arial" w:cs="Arial"/>
          <w:sz w:val="22"/>
          <w:szCs w:val="22"/>
        </w:rPr>
        <w:t>i</w:t>
      </w:r>
      <w:r w:rsidRPr="00C32349">
        <w:rPr>
          <w:rFonts w:ascii="Arial" w:hAnsi="Arial" w:cs="Arial"/>
          <w:sz w:val="22"/>
          <w:szCs w:val="22"/>
        </w:rPr>
        <w:t xml:space="preserve"> dotyczące potencjalnych transgranicznych skutków przedsięwzięcia są uwzględniane w procedurze zezwolenia na inwestycję</w:t>
      </w:r>
      <w:r w:rsidR="00AD03DA" w:rsidRPr="00C32349">
        <w:rPr>
          <w:rFonts w:ascii="Arial" w:hAnsi="Arial" w:cs="Arial"/>
          <w:sz w:val="22"/>
          <w:szCs w:val="22"/>
        </w:rPr>
        <w:t xml:space="preserve">. Czy w przypadku systemów jednoetapowych (gdzie wydawane jest jedno zezwolenie na realizację w formie decyzji) w trakcie postępowania wydawany jest dokument podsumowujący przebieg oceny oddziaływania na środowisko (w tym uwzględniający kontekst transgraniczny). Jeśli tak, to jaki organ go wydaje oraz czy jest udostępniany społeczeństwu. Jeśli nie, to gdzie i na jakim etapie można zapoznać się z wynikami oceny oddziaływania na środowisko (w tym transgranicznej) w ramach wydawania zezwolenia na inwestycję. </w:t>
      </w:r>
    </w:p>
    <w:p w14:paraId="02183D79" w14:textId="300D28F6" w:rsidR="00F1768F" w:rsidRPr="00C32349" w:rsidRDefault="00F1768F" w:rsidP="00F1768F">
      <w:pPr>
        <w:pStyle w:val="Akapitzlist"/>
        <w:numPr>
          <w:ilvl w:val="0"/>
          <w:numId w:val="33"/>
        </w:numPr>
        <w:spacing w:line="360" w:lineRule="auto"/>
        <w:ind w:left="1134"/>
        <w:jc w:val="both"/>
        <w:rPr>
          <w:rFonts w:ascii="Arial" w:hAnsi="Arial" w:cs="Arial"/>
          <w:sz w:val="22"/>
          <w:szCs w:val="22"/>
        </w:rPr>
      </w:pPr>
      <w:r w:rsidRPr="00C32349">
        <w:rPr>
          <w:rFonts w:ascii="Arial" w:hAnsi="Arial" w:cs="Arial"/>
          <w:sz w:val="22"/>
          <w:szCs w:val="22"/>
        </w:rPr>
        <w:t>jakie informacje podawane są przez organ do publicznej wiadomości w przypadku decyzji o przyznaniu lub odmowie przyznania zezwolenia na inwestycję</w:t>
      </w:r>
      <w:r w:rsidR="007A4D12" w:rsidRPr="00C32349">
        <w:rPr>
          <w:rFonts w:ascii="Arial" w:hAnsi="Arial" w:cs="Arial"/>
          <w:sz w:val="22"/>
          <w:szCs w:val="22"/>
        </w:rPr>
        <w:t xml:space="preserve"> (w</w:t>
      </w:r>
      <w:r w:rsidR="00FB5803">
        <w:rPr>
          <w:rFonts w:ascii="Arial" w:hAnsi="Arial" w:cs="Arial"/>
          <w:sz w:val="22"/>
          <w:szCs w:val="22"/>
        </w:rPr>
        <w:t> </w:t>
      </w:r>
      <w:r w:rsidR="007A4D12" w:rsidRPr="00C32349">
        <w:rPr>
          <w:rFonts w:ascii="Arial" w:hAnsi="Arial" w:cs="Arial"/>
          <w:sz w:val="22"/>
          <w:szCs w:val="22"/>
        </w:rPr>
        <w:t>szczególności, czy podawana jest treść decyzji).</w:t>
      </w:r>
      <w:r w:rsidRPr="00C32349">
        <w:rPr>
          <w:rFonts w:ascii="Arial" w:hAnsi="Arial" w:cs="Arial"/>
          <w:sz w:val="22"/>
          <w:szCs w:val="22"/>
        </w:rPr>
        <w:t xml:space="preserve"> </w:t>
      </w:r>
      <w:r w:rsidR="007A4D12" w:rsidRPr="00C32349">
        <w:rPr>
          <w:rFonts w:ascii="Arial" w:hAnsi="Arial" w:cs="Arial"/>
          <w:sz w:val="22"/>
          <w:szCs w:val="22"/>
        </w:rPr>
        <w:t>J</w:t>
      </w:r>
      <w:r w:rsidRPr="00C32349">
        <w:rPr>
          <w:rFonts w:ascii="Arial" w:hAnsi="Arial" w:cs="Arial"/>
          <w:sz w:val="22"/>
          <w:szCs w:val="22"/>
        </w:rPr>
        <w:t>akie są terminy udostępnienia tych informacji;</w:t>
      </w:r>
    </w:p>
    <w:p w14:paraId="281361F9" w14:textId="18E6D27C" w:rsidR="00886313" w:rsidRPr="00C07631" w:rsidRDefault="00886313" w:rsidP="00C07631">
      <w:pPr>
        <w:pStyle w:val="Akapitzlist"/>
        <w:numPr>
          <w:ilvl w:val="0"/>
          <w:numId w:val="33"/>
        </w:numPr>
        <w:spacing w:line="360" w:lineRule="auto"/>
        <w:ind w:left="1134"/>
        <w:jc w:val="both"/>
        <w:rPr>
          <w:rFonts w:ascii="Arial" w:hAnsi="Arial" w:cs="Arial"/>
          <w:sz w:val="22"/>
          <w:szCs w:val="22"/>
        </w:rPr>
      </w:pPr>
      <w:r w:rsidRPr="00C07631">
        <w:rPr>
          <w:rFonts w:ascii="Arial" w:hAnsi="Arial" w:cs="Arial"/>
          <w:sz w:val="22"/>
          <w:szCs w:val="22"/>
        </w:rPr>
        <w:t>jaki jest tryb procedury odwoławczej od zezwolenia na inwestycję i tryb zaskarżenia zezwolenia do sądu. Jak państwa rozumieją wystarczający interes lub naruszenie prawa, zgodnie z celem udzielenia zainteresowanej społeczności szerokiego dostępu do wymiaru sprawiedliwości, a także jaki jest status organizacji pozarządowych w procedurach odwoławczych i sądowych;</w:t>
      </w:r>
      <w:r w:rsidR="00C07631">
        <w:rPr>
          <w:rFonts w:ascii="Arial" w:hAnsi="Arial" w:cs="Arial"/>
          <w:sz w:val="22"/>
          <w:szCs w:val="22"/>
        </w:rPr>
        <w:t xml:space="preserve"> </w:t>
      </w:r>
      <w:r w:rsidRPr="00C07631">
        <w:rPr>
          <w:rFonts w:ascii="Arial" w:hAnsi="Arial" w:cs="Arial"/>
          <w:sz w:val="22"/>
          <w:szCs w:val="22"/>
        </w:rPr>
        <w:t>jak rozumiane są terminy w trybie procedury odwoławczej w przypadku postępowania transgranicznego. Na jakim etapie mogą być kwestionowane decyzje, działania lub zaniechania.</w:t>
      </w:r>
    </w:p>
    <w:p w14:paraId="55B3EEC1" w14:textId="5284C23A" w:rsidR="00F1768F" w:rsidRPr="00C32349" w:rsidRDefault="00F1768F" w:rsidP="003A422E">
      <w:pPr>
        <w:spacing w:line="360" w:lineRule="auto"/>
        <w:jc w:val="both"/>
        <w:rPr>
          <w:rFonts w:ascii="Arial" w:hAnsi="Arial" w:cs="Arial"/>
          <w:sz w:val="22"/>
          <w:szCs w:val="22"/>
        </w:rPr>
      </w:pPr>
      <w:r w:rsidRPr="00C32349">
        <w:rPr>
          <w:rFonts w:ascii="Arial" w:hAnsi="Arial" w:cs="Arial"/>
          <w:sz w:val="22"/>
          <w:szCs w:val="22"/>
        </w:rPr>
        <w:t xml:space="preserve">. </w:t>
      </w:r>
    </w:p>
    <w:p w14:paraId="49D89E05" w14:textId="76A0A725" w:rsidR="003A422E" w:rsidRPr="00C32349" w:rsidRDefault="003A422E" w:rsidP="003A422E">
      <w:pPr>
        <w:pStyle w:val="Akapitzlist"/>
        <w:numPr>
          <w:ilvl w:val="0"/>
          <w:numId w:val="32"/>
        </w:numPr>
        <w:spacing w:line="360" w:lineRule="auto"/>
        <w:jc w:val="both"/>
        <w:rPr>
          <w:rFonts w:ascii="Arial" w:hAnsi="Arial" w:cs="Arial"/>
          <w:sz w:val="22"/>
          <w:szCs w:val="22"/>
        </w:rPr>
      </w:pPr>
      <w:r w:rsidRPr="00C32349">
        <w:rPr>
          <w:rFonts w:ascii="Arial" w:hAnsi="Arial" w:cs="Arial"/>
          <w:sz w:val="22"/>
          <w:szCs w:val="22"/>
        </w:rPr>
        <w:t>Wskazanie, czy państwo członkowskie opracowało wzory formularzy, które powinny być stosowane dla realizacji celów wynikających z dyrektywy</w:t>
      </w:r>
      <w:r w:rsidR="00B741DE" w:rsidRPr="00C32349">
        <w:rPr>
          <w:rFonts w:ascii="Arial" w:hAnsi="Arial" w:cs="Arial"/>
          <w:sz w:val="22"/>
          <w:szCs w:val="22"/>
        </w:rPr>
        <w:t xml:space="preserve"> EIA. </w:t>
      </w:r>
    </w:p>
    <w:p w14:paraId="2849E176" w14:textId="3E4DCDB0" w:rsidR="00F1768F" w:rsidRPr="00C32349" w:rsidRDefault="00F1768F" w:rsidP="00F179B6">
      <w:pPr>
        <w:pStyle w:val="Akapitzlist"/>
        <w:numPr>
          <w:ilvl w:val="0"/>
          <w:numId w:val="32"/>
        </w:numPr>
        <w:spacing w:line="360" w:lineRule="auto"/>
        <w:jc w:val="both"/>
        <w:rPr>
          <w:rFonts w:ascii="Arial" w:hAnsi="Arial" w:cs="Arial"/>
          <w:sz w:val="22"/>
          <w:szCs w:val="22"/>
        </w:rPr>
      </w:pPr>
      <w:r w:rsidRPr="00C32349">
        <w:rPr>
          <w:rFonts w:ascii="Arial" w:hAnsi="Arial" w:cs="Arial"/>
          <w:sz w:val="22"/>
          <w:szCs w:val="22"/>
        </w:rPr>
        <w:t xml:space="preserve">Podsumowanie, zawierające główne wnioski wypływające z analizy systemów różnych </w:t>
      </w:r>
      <w:r w:rsidRPr="00C32349">
        <w:rPr>
          <w:rFonts w:ascii="Arial" w:hAnsi="Arial" w:cs="Arial"/>
          <w:sz w:val="22"/>
          <w:szCs w:val="22"/>
        </w:rPr>
        <w:lastRenderedPageBreak/>
        <w:t>państw</w:t>
      </w:r>
      <w:r w:rsidR="00900AAA" w:rsidRPr="00C32349">
        <w:rPr>
          <w:rFonts w:ascii="Arial" w:hAnsi="Arial" w:cs="Arial"/>
          <w:sz w:val="22"/>
          <w:szCs w:val="22"/>
        </w:rPr>
        <w:t xml:space="preserve"> i opisanie zasadniczych różnic pomiędzy poszczególnymi modelami</w:t>
      </w:r>
      <w:r w:rsidR="008E6580" w:rsidRPr="00C32349">
        <w:rPr>
          <w:rFonts w:ascii="Arial" w:hAnsi="Arial" w:cs="Arial"/>
          <w:sz w:val="22"/>
          <w:szCs w:val="22"/>
        </w:rPr>
        <w:t xml:space="preserve">. </w:t>
      </w:r>
    </w:p>
    <w:p w14:paraId="0629E97C" w14:textId="03E92356" w:rsidR="00F1768F" w:rsidRPr="00C32349" w:rsidRDefault="008E6580" w:rsidP="00F179B6">
      <w:pPr>
        <w:pStyle w:val="Akapitzlist"/>
        <w:numPr>
          <w:ilvl w:val="0"/>
          <w:numId w:val="32"/>
        </w:numPr>
        <w:spacing w:line="360" w:lineRule="auto"/>
        <w:jc w:val="both"/>
        <w:rPr>
          <w:rFonts w:ascii="Arial" w:hAnsi="Arial" w:cs="Arial"/>
          <w:sz w:val="22"/>
          <w:szCs w:val="22"/>
        </w:rPr>
      </w:pPr>
      <w:r w:rsidRPr="00C32349">
        <w:rPr>
          <w:rFonts w:ascii="Arial" w:hAnsi="Arial" w:cs="Arial"/>
          <w:sz w:val="22"/>
          <w:szCs w:val="22"/>
        </w:rPr>
        <w:t>Załączniki – akty prawne, orzecznictwo i literatura wykorzystane w ramach analizy komparatystycznej. Załączniki mogą być przedłożone w formie elektronicznej, także w</w:t>
      </w:r>
      <w:r w:rsidR="00FB5803">
        <w:rPr>
          <w:rFonts w:ascii="Arial" w:hAnsi="Arial" w:cs="Arial"/>
          <w:sz w:val="22"/>
          <w:szCs w:val="22"/>
        </w:rPr>
        <w:t> </w:t>
      </w:r>
      <w:r w:rsidRPr="00C32349">
        <w:rPr>
          <w:rFonts w:ascii="Arial" w:hAnsi="Arial" w:cs="Arial"/>
          <w:sz w:val="22"/>
          <w:szCs w:val="22"/>
        </w:rPr>
        <w:t xml:space="preserve">formie hiperłączy odsyłających do poszczególnych dokumentów źródłowych. </w:t>
      </w:r>
    </w:p>
    <w:p w14:paraId="6FFC9492" w14:textId="77777777" w:rsidR="008E6580" w:rsidRPr="00C32349" w:rsidRDefault="008E6580" w:rsidP="00F1768F">
      <w:pPr>
        <w:spacing w:line="360" w:lineRule="auto"/>
        <w:ind w:left="360"/>
        <w:jc w:val="both"/>
        <w:rPr>
          <w:rFonts w:ascii="Arial" w:hAnsi="Arial" w:cs="Arial"/>
          <w:sz w:val="22"/>
          <w:szCs w:val="22"/>
        </w:rPr>
      </w:pPr>
    </w:p>
    <w:p w14:paraId="4853A3E3" w14:textId="21FD560A" w:rsidR="00F1768F" w:rsidRPr="00C32349" w:rsidRDefault="00F1768F" w:rsidP="00F1768F">
      <w:pPr>
        <w:spacing w:line="360" w:lineRule="auto"/>
        <w:ind w:left="360"/>
        <w:jc w:val="both"/>
        <w:rPr>
          <w:rFonts w:ascii="Arial" w:hAnsi="Arial" w:cs="Arial"/>
          <w:sz w:val="22"/>
          <w:szCs w:val="22"/>
        </w:rPr>
      </w:pPr>
      <w:r w:rsidRPr="00C32349">
        <w:rPr>
          <w:rFonts w:ascii="Arial" w:hAnsi="Arial" w:cs="Arial"/>
          <w:sz w:val="22"/>
          <w:szCs w:val="22"/>
        </w:rPr>
        <w:t>Problematyka opisana w punktach powinna być ujęta w rozdziały. Rozdział 2  „Charakterystyka procedury udzielania zezwolenia na inwestycję” może dzielić się na podrozdziały (np. podrozdział poświęcony oddziaływaniom transgranicznym, podrozdział poświęcony udziałowi społeczeństwa, itd.). W tym zakresie wykonawca ma dowolność. Niemniej, przyjęta systematyka powinna być jednolita dla wszystkich państw opisanych w</w:t>
      </w:r>
      <w:r w:rsidR="00FB5803">
        <w:rPr>
          <w:rFonts w:ascii="Arial" w:hAnsi="Arial" w:cs="Arial"/>
          <w:sz w:val="22"/>
          <w:szCs w:val="22"/>
        </w:rPr>
        <w:t> </w:t>
      </w:r>
      <w:r w:rsidRPr="00C32349">
        <w:rPr>
          <w:rFonts w:ascii="Arial" w:hAnsi="Arial" w:cs="Arial"/>
          <w:sz w:val="22"/>
          <w:szCs w:val="22"/>
        </w:rPr>
        <w:t xml:space="preserve">odrębnych częściach. </w:t>
      </w:r>
    </w:p>
    <w:p w14:paraId="19C20E96" w14:textId="77777777" w:rsidR="008F3FE0" w:rsidRPr="00C32349" w:rsidRDefault="008F3FE0" w:rsidP="008F3FE0">
      <w:pPr>
        <w:pStyle w:val="Akapitzlist"/>
        <w:spacing w:line="360" w:lineRule="auto"/>
        <w:ind w:left="1440"/>
        <w:jc w:val="both"/>
        <w:rPr>
          <w:rFonts w:ascii="Arial" w:hAnsi="Arial" w:cs="Arial"/>
          <w:sz w:val="22"/>
          <w:szCs w:val="22"/>
        </w:rPr>
      </w:pPr>
    </w:p>
    <w:sectPr w:rsidR="008F3FE0" w:rsidRPr="00C32349" w:rsidSect="00DF60D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6211" w14:textId="77777777" w:rsidR="004833A9" w:rsidRDefault="004833A9" w:rsidP="00432F04">
      <w:r>
        <w:separator/>
      </w:r>
    </w:p>
  </w:endnote>
  <w:endnote w:type="continuationSeparator" w:id="0">
    <w:p w14:paraId="42E83545" w14:textId="77777777" w:rsidR="004833A9" w:rsidRDefault="004833A9" w:rsidP="0043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0D3E" w14:textId="77777777" w:rsidR="00F0629D" w:rsidRPr="00386E64" w:rsidRDefault="00F0629D" w:rsidP="00F0629D">
    <w:pPr>
      <w:pStyle w:val="Nagwek"/>
    </w:pPr>
    <w:r>
      <w:rPr>
        <w:noProof/>
      </w:rPr>
      <w:drawing>
        <wp:inline distT="0" distB="0" distL="0" distR="0" wp14:anchorId="52049541" wp14:editId="14DEC8DD">
          <wp:extent cx="914400" cy="83693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914400" cy="836930"/>
                  </a:xfrm>
                  <a:prstGeom prst="rect">
                    <a:avLst/>
                  </a:prstGeom>
                  <a:noFill/>
                  <a:ln w="9525">
                    <a:noFill/>
                    <a:miter lim="800000"/>
                    <a:headEnd/>
                    <a:tailEnd/>
                  </a:ln>
                </pic:spPr>
              </pic:pic>
            </a:graphicData>
          </a:graphic>
        </wp:inline>
      </w:drawing>
    </w:r>
    <w:r>
      <w:tab/>
    </w:r>
    <w:r>
      <w:rPr>
        <w:noProof/>
      </w:rPr>
      <w:drawing>
        <wp:inline distT="0" distB="0" distL="0" distR="0" wp14:anchorId="41CC8F7E" wp14:editId="5FA99A01">
          <wp:extent cx="1009015" cy="854075"/>
          <wp:effectExtent l="19050" t="0" r="635"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srcRect/>
                  <a:stretch>
                    <a:fillRect/>
                  </a:stretch>
                </pic:blipFill>
                <pic:spPr bwMode="auto">
                  <a:xfrm>
                    <a:off x="0" y="0"/>
                    <a:ext cx="1009015" cy="854075"/>
                  </a:xfrm>
                  <a:prstGeom prst="rect">
                    <a:avLst/>
                  </a:prstGeom>
                  <a:noFill/>
                  <a:ln w="9525">
                    <a:noFill/>
                    <a:miter lim="800000"/>
                    <a:headEnd/>
                    <a:tailEnd/>
                  </a:ln>
                </pic:spPr>
              </pic:pic>
            </a:graphicData>
          </a:graphic>
        </wp:inline>
      </w:drawing>
    </w:r>
    <w:r>
      <w:tab/>
      <w:t xml:space="preserve"> </w:t>
    </w:r>
    <w:r>
      <w:rPr>
        <w:noProof/>
      </w:rPr>
      <w:drawing>
        <wp:inline distT="0" distB="0" distL="0" distR="0" wp14:anchorId="08861246" wp14:editId="1A77CF37">
          <wp:extent cx="603885" cy="836930"/>
          <wp:effectExtent l="19050" t="0" r="5715"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srcRect/>
                  <a:stretch>
                    <a:fillRect/>
                  </a:stretch>
                </pic:blipFill>
                <pic:spPr bwMode="auto">
                  <a:xfrm>
                    <a:off x="0" y="0"/>
                    <a:ext cx="603885" cy="836930"/>
                  </a:xfrm>
                  <a:prstGeom prst="rect">
                    <a:avLst/>
                  </a:prstGeom>
                  <a:noFill/>
                  <a:ln w="9525">
                    <a:noFill/>
                    <a:miter lim="800000"/>
                    <a:headEnd/>
                    <a:tailEnd/>
                  </a:ln>
                </pic:spPr>
              </pic:pic>
            </a:graphicData>
          </a:graphic>
        </wp:inline>
      </w:drawing>
    </w:r>
  </w:p>
  <w:p w14:paraId="0913EEAD" w14:textId="77777777" w:rsidR="00432F04" w:rsidRDefault="00432F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BE21" w14:textId="77777777" w:rsidR="004833A9" w:rsidRDefault="004833A9" w:rsidP="00432F04">
      <w:r>
        <w:separator/>
      </w:r>
    </w:p>
  </w:footnote>
  <w:footnote w:type="continuationSeparator" w:id="0">
    <w:p w14:paraId="122BF9CE" w14:textId="77777777" w:rsidR="004833A9" w:rsidRDefault="004833A9" w:rsidP="00432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335858"/>
      <w:docPartObj>
        <w:docPartGallery w:val="Page Numbers (Top of Page)"/>
        <w:docPartUnique/>
      </w:docPartObj>
    </w:sdtPr>
    <w:sdtEndPr/>
    <w:sdtContent>
      <w:p w14:paraId="0CB38EB7" w14:textId="28966EFE" w:rsidR="00D66F8A" w:rsidRDefault="00D66F8A">
        <w:pPr>
          <w:pStyle w:val="Nagwek"/>
          <w:jc w:val="center"/>
        </w:pPr>
        <w:r>
          <w:fldChar w:fldCharType="begin"/>
        </w:r>
        <w:r>
          <w:instrText>PAGE   \* MERGEFORMAT</w:instrText>
        </w:r>
        <w:r>
          <w:fldChar w:fldCharType="separate"/>
        </w:r>
        <w:r>
          <w:t>2</w:t>
        </w:r>
        <w:r>
          <w:fldChar w:fldCharType="end"/>
        </w:r>
      </w:p>
    </w:sdtContent>
  </w:sdt>
  <w:p w14:paraId="12613EAB" w14:textId="77777777" w:rsidR="00D66F8A" w:rsidRDefault="00D66F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60D"/>
    <w:multiLevelType w:val="hybridMultilevel"/>
    <w:tmpl w:val="1D42C3F6"/>
    <w:lvl w:ilvl="0" w:tplc="2D00B784">
      <w:start w:val="1"/>
      <w:numFmt w:val="lowerLetter"/>
      <w:lvlText w:val="%1)"/>
      <w:lvlJc w:val="left"/>
      <w:pPr>
        <w:ind w:left="1080" w:hanging="360"/>
      </w:pPr>
      <w:rPr>
        <w:rFonts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472353A"/>
    <w:multiLevelType w:val="hybridMultilevel"/>
    <w:tmpl w:val="DFB23F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CC0490"/>
    <w:multiLevelType w:val="hybridMultilevel"/>
    <w:tmpl w:val="F4C267B8"/>
    <w:lvl w:ilvl="0" w:tplc="8B744D64">
      <w:start w:val="1"/>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DA58C4"/>
    <w:multiLevelType w:val="hybridMultilevel"/>
    <w:tmpl w:val="4CE0A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D562C"/>
    <w:multiLevelType w:val="hybridMultilevel"/>
    <w:tmpl w:val="C1EAE88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57BCD"/>
    <w:multiLevelType w:val="multilevel"/>
    <w:tmpl w:val="8592AB5E"/>
    <w:lvl w:ilvl="0">
      <w:start w:val="1"/>
      <w:numFmt w:val="decimal"/>
      <w:lvlText w:val="%1."/>
      <w:lvlJc w:val="left"/>
      <w:pPr>
        <w:tabs>
          <w:tab w:val="num" w:pos="360"/>
        </w:tabs>
        <w:ind w:left="360" w:hanging="360"/>
      </w:pPr>
      <w:rPr>
        <w:rFonts w:cs="Times New Roman"/>
        <w:i w:val="0"/>
        <w:color w:val="auto"/>
      </w:rPr>
    </w:lvl>
    <w:lvl w:ilvl="1">
      <w:start w:val="1"/>
      <w:numFmt w:val="decimal"/>
      <w:lvlText w:val="%2)"/>
      <w:lvlJc w:val="left"/>
      <w:pPr>
        <w:tabs>
          <w:tab w:val="num" w:pos="792"/>
        </w:tabs>
        <w:ind w:left="792" w:hanging="432"/>
      </w:pPr>
      <w:rPr>
        <w:i w:val="0"/>
        <w:color w:val="000000" w:themeColor="text1"/>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C4F3554"/>
    <w:multiLevelType w:val="multilevel"/>
    <w:tmpl w:val="1D2EE03E"/>
    <w:lvl w:ilvl="0">
      <w:start w:val="1"/>
      <w:numFmt w:val="decimal"/>
      <w:lvlText w:val="%1."/>
      <w:lvlJc w:val="left"/>
      <w:pPr>
        <w:ind w:left="360" w:hanging="360"/>
      </w:pPr>
      <w:rPr>
        <w:rFonts w:hint="default"/>
        <w:b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8C4144"/>
    <w:multiLevelType w:val="hybridMultilevel"/>
    <w:tmpl w:val="2822F8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721067"/>
    <w:multiLevelType w:val="hybridMultilevel"/>
    <w:tmpl w:val="D464945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9" w15:restartNumberingAfterBreak="0">
    <w:nsid w:val="23A05FE5"/>
    <w:multiLevelType w:val="hybridMultilevel"/>
    <w:tmpl w:val="E9D2D66A"/>
    <w:lvl w:ilvl="0" w:tplc="85965FEA">
      <w:start w:val="1"/>
      <w:numFmt w:val="upperRoman"/>
      <w:lvlText w:val="%1."/>
      <w:lvlJc w:val="right"/>
      <w:pPr>
        <w:ind w:left="360" w:hanging="360"/>
      </w:pPr>
      <w:rPr>
        <w:rFonts w:hint="default"/>
      </w:rPr>
    </w:lvl>
    <w:lvl w:ilvl="1" w:tplc="B65099B4">
      <w:start w:val="1"/>
      <w:numFmt w:val="decimal"/>
      <w:lvlText w:val="%2."/>
      <w:lvlJc w:val="left"/>
      <w:pPr>
        <w:ind w:left="1551" w:hanging="690"/>
      </w:pPr>
      <w:rPr>
        <w:rFonts w:hint="default"/>
      </w:r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0" w15:restartNumberingAfterBreak="0">
    <w:nsid w:val="25AF7040"/>
    <w:multiLevelType w:val="multilevel"/>
    <w:tmpl w:val="41362B40"/>
    <w:lvl w:ilvl="0">
      <w:start w:val="8"/>
      <w:numFmt w:val="decimal"/>
      <w:lvlText w:val="%1."/>
      <w:lvlJc w:val="left"/>
      <w:pPr>
        <w:tabs>
          <w:tab w:val="num" w:pos="720"/>
        </w:tabs>
        <w:ind w:left="720" w:hanging="360"/>
      </w:pPr>
      <w:rPr>
        <w:rFonts w:cs="Times New Roman"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166" w:hanging="720"/>
      </w:pPr>
      <w:rPr>
        <w:rFonts w:hint="default"/>
      </w:rPr>
    </w:lvl>
    <w:lvl w:ilvl="3">
      <w:start w:val="1"/>
      <w:numFmt w:val="decimal"/>
      <w:isLgl/>
      <w:lvlText w:val="%1.%2.%3.%4"/>
      <w:lvlJc w:val="left"/>
      <w:pPr>
        <w:ind w:left="1209" w:hanging="720"/>
      </w:pPr>
      <w:rPr>
        <w:rFonts w:hint="default"/>
      </w:rPr>
    </w:lvl>
    <w:lvl w:ilvl="4">
      <w:start w:val="1"/>
      <w:numFmt w:val="decimal"/>
      <w:isLgl/>
      <w:lvlText w:val="%1.%2.%3.%4.%5"/>
      <w:lvlJc w:val="left"/>
      <w:pPr>
        <w:ind w:left="1612"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101" w:hanging="1440"/>
      </w:pPr>
      <w:rPr>
        <w:rFonts w:hint="default"/>
      </w:rPr>
    </w:lvl>
    <w:lvl w:ilvl="8">
      <w:start w:val="1"/>
      <w:numFmt w:val="decimal"/>
      <w:isLgl/>
      <w:lvlText w:val="%1.%2.%3.%4.%5.%6.%7.%8.%9"/>
      <w:lvlJc w:val="left"/>
      <w:pPr>
        <w:ind w:left="2504" w:hanging="1800"/>
      </w:pPr>
      <w:rPr>
        <w:rFonts w:hint="default"/>
      </w:rPr>
    </w:lvl>
  </w:abstractNum>
  <w:abstractNum w:abstractNumId="11" w15:restartNumberingAfterBreak="0">
    <w:nsid w:val="301A20E8"/>
    <w:multiLevelType w:val="hybridMultilevel"/>
    <w:tmpl w:val="08B8FD14"/>
    <w:lvl w:ilvl="0" w:tplc="F5A8E18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304F7816"/>
    <w:multiLevelType w:val="hybridMultilevel"/>
    <w:tmpl w:val="30B4D094"/>
    <w:lvl w:ilvl="0" w:tplc="9536AC80">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A045C1"/>
    <w:multiLevelType w:val="hybridMultilevel"/>
    <w:tmpl w:val="288AAAB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A416AC"/>
    <w:multiLevelType w:val="hybridMultilevel"/>
    <w:tmpl w:val="DD5CA7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E8A6700"/>
    <w:multiLevelType w:val="hybridMultilevel"/>
    <w:tmpl w:val="71289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5E2633"/>
    <w:multiLevelType w:val="hybridMultilevel"/>
    <w:tmpl w:val="D86C5876"/>
    <w:lvl w:ilvl="0" w:tplc="F5869910">
      <w:start w:val="1"/>
      <w:numFmt w:val="decimal"/>
      <w:lvlText w:val="%1."/>
      <w:lvlJc w:val="left"/>
      <w:pPr>
        <w:tabs>
          <w:tab w:val="num" w:pos="360"/>
        </w:tabs>
        <w:ind w:left="360" w:hanging="360"/>
      </w:pPr>
      <w:rPr>
        <w:rFonts w:hint="default"/>
        <w:b/>
      </w:rPr>
    </w:lvl>
    <w:lvl w:ilvl="1" w:tplc="187A804C">
      <w:start w:val="1"/>
      <w:numFmt w:val="lowerLetter"/>
      <w:lvlText w:val="%2)"/>
      <w:lvlJc w:val="left"/>
      <w:pPr>
        <w:tabs>
          <w:tab w:val="num" w:pos="1080"/>
        </w:tabs>
        <w:ind w:left="1080" w:hanging="360"/>
      </w:pPr>
      <w:rPr>
        <w:rFonts w:ascii="Arial" w:eastAsia="Times New Roman" w:hAnsi="Arial" w:cs="Arial"/>
      </w:rPr>
    </w:lvl>
    <w:lvl w:ilvl="2" w:tplc="AD2AC9FA">
      <w:start w:val="1"/>
      <w:numFmt w:val="decimal"/>
      <w:lvlText w:val="%3)"/>
      <w:lvlJc w:val="left"/>
      <w:pPr>
        <w:tabs>
          <w:tab w:val="num" w:pos="434"/>
        </w:tabs>
        <w:ind w:left="377" w:hanging="567"/>
      </w:pPr>
      <w:rPr>
        <w:rFonts w:hint="default"/>
        <w:b w:val="0"/>
        <w:i w:val="0"/>
        <w:sz w:val="24"/>
        <w:szCs w:val="24"/>
      </w:rPr>
    </w:lvl>
    <w:lvl w:ilvl="3" w:tplc="D670162E">
      <w:start w:val="1"/>
      <w:numFmt w:val="bullet"/>
      <w:lvlText w:val=""/>
      <w:lvlJc w:val="left"/>
      <w:pPr>
        <w:tabs>
          <w:tab w:val="num" w:pos="173"/>
        </w:tabs>
        <w:ind w:left="173" w:hanging="363"/>
      </w:pPr>
      <w:rPr>
        <w:rFonts w:ascii="Symbol" w:hAnsi="Symbol" w:hint="default"/>
        <w:b/>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95EC1D82">
      <w:start w:val="1"/>
      <w:numFmt w:val="bullet"/>
      <w:lvlText w:val=""/>
      <w:lvlJc w:val="left"/>
      <w:pPr>
        <w:tabs>
          <w:tab w:val="num" w:pos="434"/>
        </w:tabs>
        <w:ind w:left="377" w:hanging="567"/>
      </w:pPr>
      <w:rPr>
        <w:rFonts w:ascii="Wingdings" w:hAnsi="Wingdings" w:hint="default"/>
        <w:b w:val="0"/>
        <w:i w:val="0"/>
        <w:sz w:val="20"/>
      </w:rPr>
    </w:lvl>
  </w:abstractNum>
  <w:abstractNum w:abstractNumId="17" w15:restartNumberingAfterBreak="0">
    <w:nsid w:val="479035FE"/>
    <w:multiLevelType w:val="hybridMultilevel"/>
    <w:tmpl w:val="16643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1F13A9"/>
    <w:multiLevelType w:val="hybridMultilevel"/>
    <w:tmpl w:val="DD5CA7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9C07F91"/>
    <w:multiLevelType w:val="hybridMultilevel"/>
    <w:tmpl w:val="3F4CD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466357"/>
    <w:multiLevelType w:val="hybridMultilevel"/>
    <w:tmpl w:val="AD02BF44"/>
    <w:lvl w:ilvl="0" w:tplc="3ECA28D4">
      <w:start w:val="1"/>
      <w:numFmt w:val="decimal"/>
      <w:lvlText w:val="%1)"/>
      <w:lvlJc w:val="left"/>
      <w:pPr>
        <w:tabs>
          <w:tab w:val="num" w:pos="1593"/>
        </w:tabs>
        <w:ind w:left="1536" w:hanging="567"/>
      </w:pPr>
      <w:rPr>
        <w:rFonts w:hint="default"/>
        <w:b w:val="0"/>
        <w:i w:val="0"/>
        <w:sz w:val="24"/>
        <w:szCs w:val="24"/>
      </w:rPr>
    </w:lvl>
    <w:lvl w:ilvl="1" w:tplc="04150003" w:tentative="1">
      <w:start w:val="1"/>
      <w:numFmt w:val="bullet"/>
      <w:lvlText w:val="o"/>
      <w:lvlJc w:val="left"/>
      <w:pPr>
        <w:tabs>
          <w:tab w:val="num" w:pos="2239"/>
        </w:tabs>
        <w:ind w:left="2239" w:hanging="360"/>
      </w:pPr>
      <w:rPr>
        <w:rFonts w:ascii="Courier New" w:hAnsi="Courier New" w:cs="Courier New" w:hint="default"/>
      </w:rPr>
    </w:lvl>
    <w:lvl w:ilvl="2" w:tplc="04150005" w:tentative="1">
      <w:start w:val="1"/>
      <w:numFmt w:val="bullet"/>
      <w:lvlText w:val=""/>
      <w:lvlJc w:val="left"/>
      <w:pPr>
        <w:tabs>
          <w:tab w:val="num" w:pos="2959"/>
        </w:tabs>
        <w:ind w:left="2959" w:hanging="360"/>
      </w:pPr>
      <w:rPr>
        <w:rFonts w:ascii="Wingdings" w:hAnsi="Wingdings" w:hint="default"/>
      </w:rPr>
    </w:lvl>
    <w:lvl w:ilvl="3" w:tplc="04150001" w:tentative="1">
      <w:start w:val="1"/>
      <w:numFmt w:val="bullet"/>
      <w:lvlText w:val=""/>
      <w:lvlJc w:val="left"/>
      <w:pPr>
        <w:tabs>
          <w:tab w:val="num" w:pos="3679"/>
        </w:tabs>
        <w:ind w:left="3679" w:hanging="360"/>
      </w:pPr>
      <w:rPr>
        <w:rFonts w:ascii="Symbol" w:hAnsi="Symbol" w:hint="default"/>
      </w:rPr>
    </w:lvl>
    <w:lvl w:ilvl="4" w:tplc="04150003" w:tentative="1">
      <w:start w:val="1"/>
      <w:numFmt w:val="bullet"/>
      <w:lvlText w:val="o"/>
      <w:lvlJc w:val="left"/>
      <w:pPr>
        <w:tabs>
          <w:tab w:val="num" w:pos="4399"/>
        </w:tabs>
        <w:ind w:left="4399" w:hanging="360"/>
      </w:pPr>
      <w:rPr>
        <w:rFonts w:ascii="Courier New" w:hAnsi="Courier New" w:cs="Courier New" w:hint="default"/>
      </w:rPr>
    </w:lvl>
    <w:lvl w:ilvl="5" w:tplc="04150005" w:tentative="1">
      <w:start w:val="1"/>
      <w:numFmt w:val="bullet"/>
      <w:lvlText w:val=""/>
      <w:lvlJc w:val="left"/>
      <w:pPr>
        <w:tabs>
          <w:tab w:val="num" w:pos="5119"/>
        </w:tabs>
        <w:ind w:left="5119" w:hanging="360"/>
      </w:pPr>
      <w:rPr>
        <w:rFonts w:ascii="Wingdings" w:hAnsi="Wingdings" w:hint="default"/>
      </w:rPr>
    </w:lvl>
    <w:lvl w:ilvl="6" w:tplc="04150001" w:tentative="1">
      <w:start w:val="1"/>
      <w:numFmt w:val="bullet"/>
      <w:lvlText w:val=""/>
      <w:lvlJc w:val="left"/>
      <w:pPr>
        <w:tabs>
          <w:tab w:val="num" w:pos="5839"/>
        </w:tabs>
        <w:ind w:left="5839" w:hanging="360"/>
      </w:pPr>
      <w:rPr>
        <w:rFonts w:ascii="Symbol" w:hAnsi="Symbol" w:hint="default"/>
      </w:rPr>
    </w:lvl>
    <w:lvl w:ilvl="7" w:tplc="04150003" w:tentative="1">
      <w:start w:val="1"/>
      <w:numFmt w:val="bullet"/>
      <w:lvlText w:val="o"/>
      <w:lvlJc w:val="left"/>
      <w:pPr>
        <w:tabs>
          <w:tab w:val="num" w:pos="6559"/>
        </w:tabs>
        <w:ind w:left="6559" w:hanging="360"/>
      </w:pPr>
      <w:rPr>
        <w:rFonts w:ascii="Courier New" w:hAnsi="Courier New" w:cs="Courier New" w:hint="default"/>
      </w:rPr>
    </w:lvl>
    <w:lvl w:ilvl="8" w:tplc="04150005" w:tentative="1">
      <w:start w:val="1"/>
      <w:numFmt w:val="bullet"/>
      <w:lvlText w:val=""/>
      <w:lvlJc w:val="left"/>
      <w:pPr>
        <w:tabs>
          <w:tab w:val="num" w:pos="7279"/>
        </w:tabs>
        <w:ind w:left="7279" w:hanging="360"/>
      </w:pPr>
      <w:rPr>
        <w:rFonts w:ascii="Wingdings" w:hAnsi="Wingdings" w:hint="default"/>
      </w:rPr>
    </w:lvl>
  </w:abstractNum>
  <w:abstractNum w:abstractNumId="21" w15:restartNumberingAfterBreak="0">
    <w:nsid w:val="505230D1"/>
    <w:multiLevelType w:val="hybridMultilevel"/>
    <w:tmpl w:val="004837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51B42BE"/>
    <w:multiLevelType w:val="hybridMultilevel"/>
    <w:tmpl w:val="66F2D6C8"/>
    <w:lvl w:ilvl="0" w:tplc="D6E49442">
      <w:start w:val="1"/>
      <w:numFmt w:val="bullet"/>
      <w:lvlText w:val=""/>
      <w:lvlJc w:val="left"/>
      <w:pPr>
        <w:ind w:left="-2601" w:hanging="360"/>
      </w:pPr>
      <w:rPr>
        <w:rFonts w:ascii="Symbol" w:hAnsi="Symbol" w:hint="default"/>
      </w:rPr>
    </w:lvl>
    <w:lvl w:ilvl="1" w:tplc="04150003">
      <w:start w:val="1"/>
      <w:numFmt w:val="bullet"/>
      <w:lvlText w:val="o"/>
      <w:lvlJc w:val="left"/>
      <w:pPr>
        <w:ind w:left="-1881" w:hanging="360"/>
      </w:pPr>
      <w:rPr>
        <w:rFonts w:ascii="Courier New" w:hAnsi="Courier New" w:cs="Courier New" w:hint="default"/>
      </w:rPr>
    </w:lvl>
    <w:lvl w:ilvl="2" w:tplc="04150005">
      <w:start w:val="1"/>
      <w:numFmt w:val="bullet"/>
      <w:lvlText w:val=""/>
      <w:lvlJc w:val="left"/>
      <w:pPr>
        <w:ind w:left="-1161" w:hanging="360"/>
      </w:pPr>
      <w:rPr>
        <w:rFonts w:ascii="Wingdings" w:hAnsi="Wingdings" w:hint="default"/>
      </w:rPr>
    </w:lvl>
    <w:lvl w:ilvl="3" w:tplc="04150001">
      <w:start w:val="1"/>
      <w:numFmt w:val="bullet"/>
      <w:lvlText w:val=""/>
      <w:lvlJc w:val="left"/>
      <w:pPr>
        <w:ind w:left="-441" w:hanging="360"/>
      </w:pPr>
      <w:rPr>
        <w:rFonts w:ascii="Symbol" w:hAnsi="Symbol" w:hint="default"/>
      </w:rPr>
    </w:lvl>
    <w:lvl w:ilvl="4" w:tplc="04150003">
      <w:start w:val="1"/>
      <w:numFmt w:val="bullet"/>
      <w:lvlText w:val="o"/>
      <w:lvlJc w:val="left"/>
      <w:pPr>
        <w:ind w:left="279" w:hanging="360"/>
      </w:pPr>
      <w:rPr>
        <w:rFonts w:ascii="Courier New" w:hAnsi="Courier New" w:cs="Courier New" w:hint="default"/>
      </w:rPr>
    </w:lvl>
    <w:lvl w:ilvl="5" w:tplc="04150005">
      <w:start w:val="1"/>
      <w:numFmt w:val="bullet"/>
      <w:lvlText w:val=""/>
      <w:lvlJc w:val="left"/>
      <w:pPr>
        <w:ind w:left="999" w:hanging="360"/>
      </w:pPr>
      <w:rPr>
        <w:rFonts w:ascii="Wingdings" w:hAnsi="Wingdings" w:hint="default"/>
      </w:rPr>
    </w:lvl>
    <w:lvl w:ilvl="6" w:tplc="04150001">
      <w:start w:val="1"/>
      <w:numFmt w:val="bullet"/>
      <w:lvlText w:val=""/>
      <w:lvlJc w:val="left"/>
      <w:pPr>
        <w:ind w:left="1719" w:hanging="360"/>
      </w:pPr>
      <w:rPr>
        <w:rFonts w:ascii="Symbol" w:hAnsi="Symbol" w:hint="default"/>
      </w:rPr>
    </w:lvl>
    <w:lvl w:ilvl="7" w:tplc="04150003">
      <w:start w:val="1"/>
      <w:numFmt w:val="bullet"/>
      <w:lvlText w:val="o"/>
      <w:lvlJc w:val="left"/>
      <w:pPr>
        <w:ind w:left="2439" w:hanging="360"/>
      </w:pPr>
      <w:rPr>
        <w:rFonts w:ascii="Courier New" w:hAnsi="Courier New" w:cs="Courier New" w:hint="default"/>
      </w:rPr>
    </w:lvl>
    <w:lvl w:ilvl="8" w:tplc="04150005">
      <w:start w:val="1"/>
      <w:numFmt w:val="bullet"/>
      <w:lvlText w:val=""/>
      <w:lvlJc w:val="left"/>
      <w:pPr>
        <w:ind w:left="3159" w:hanging="360"/>
      </w:pPr>
      <w:rPr>
        <w:rFonts w:ascii="Wingdings" w:hAnsi="Wingdings" w:hint="default"/>
      </w:rPr>
    </w:lvl>
  </w:abstractNum>
  <w:abstractNum w:abstractNumId="23" w15:restartNumberingAfterBreak="0">
    <w:nsid w:val="5C241F16"/>
    <w:multiLevelType w:val="hybridMultilevel"/>
    <w:tmpl w:val="894C9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2C4C10"/>
    <w:multiLevelType w:val="hybridMultilevel"/>
    <w:tmpl w:val="A8F41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D16AA0"/>
    <w:multiLevelType w:val="hybridMultilevel"/>
    <w:tmpl w:val="8ADECE62"/>
    <w:lvl w:ilvl="0" w:tplc="0840C04A">
      <w:start w:val="1"/>
      <w:numFmt w:val="decimal"/>
      <w:lvlText w:val="%1."/>
      <w:lvlJc w:val="left"/>
      <w:pPr>
        <w:ind w:left="360" w:hanging="360"/>
      </w:pPr>
      <w:rPr>
        <w:rFonts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373735D"/>
    <w:multiLevelType w:val="hybridMultilevel"/>
    <w:tmpl w:val="2E968532"/>
    <w:lvl w:ilvl="0" w:tplc="76F64CB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15:restartNumberingAfterBreak="0">
    <w:nsid w:val="67920F85"/>
    <w:multiLevelType w:val="hybridMultilevel"/>
    <w:tmpl w:val="05B0A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ABF6F0F"/>
    <w:multiLevelType w:val="hybridMultilevel"/>
    <w:tmpl w:val="AD4A8CA8"/>
    <w:lvl w:ilvl="0" w:tplc="DFAA2A3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6E1F72C0"/>
    <w:multiLevelType w:val="hybridMultilevel"/>
    <w:tmpl w:val="51F81418"/>
    <w:lvl w:ilvl="0" w:tplc="1AD25BDE">
      <w:start w:val="1"/>
      <w:numFmt w:val="bullet"/>
      <w:lvlText w:val=""/>
      <w:lvlJc w:val="left"/>
      <w:pPr>
        <w:ind w:left="1353" w:hanging="360"/>
      </w:pPr>
      <w:rPr>
        <w:rFonts w:ascii="Symbol" w:hAnsi="Symbol" w:hint="default"/>
        <w:color w:val="auto"/>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71662AB5"/>
    <w:multiLevelType w:val="hybridMultilevel"/>
    <w:tmpl w:val="260617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2B9735E"/>
    <w:multiLevelType w:val="hybridMultilevel"/>
    <w:tmpl w:val="6F98A6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383271"/>
    <w:multiLevelType w:val="multilevel"/>
    <w:tmpl w:val="DF3A5F0C"/>
    <w:lvl w:ilvl="0">
      <w:start w:val="8"/>
      <w:numFmt w:val="decimal"/>
      <w:lvlText w:val="%1."/>
      <w:lvlJc w:val="left"/>
      <w:pPr>
        <w:tabs>
          <w:tab w:val="num" w:pos="720"/>
        </w:tabs>
        <w:ind w:left="720" w:hanging="360"/>
      </w:pPr>
      <w:rPr>
        <w:rFonts w:cs="Times New Roman"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166" w:hanging="720"/>
      </w:pPr>
      <w:rPr>
        <w:rFonts w:hint="default"/>
      </w:rPr>
    </w:lvl>
    <w:lvl w:ilvl="3">
      <w:start w:val="1"/>
      <w:numFmt w:val="decimal"/>
      <w:isLgl/>
      <w:lvlText w:val="%1.%2.%3.%4"/>
      <w:lvlJc w:val="left"/>
      <w:pPr>
        <w:ind w:left="1209" w:hanging="720"/>
      </w:pPr>
      <w:rPr>
        <w:rFonts w:hint="default"/>
      </w:rPr>
    </w:lvl>
    <w:lvl w:ilvl="4">
      <w:start w:val="1"/>
      <w:numFmt w:val="decimal"/>
      <w:isLgl/>
      <w:lvlText w:val="%1.%2.%3.%4.%5"/>
      <w:lvlJc w:val="left"/>
      <w:pPr>
        <w:ind w:left="1612"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101" w:hanging="1440"/>
      </w:pPr>
      <w:rPr>
        <w:rFonts w:hint="default"/>
      </w:rPr>
    </w:lvl>
    <w:lvl w:ilvl="8">
      <w:start w:val="1"/>
      <w:numFmt w:val="decimal"/>
      <w:isLgl/>
      <w:lvlText w:val="%1.%2.%3.%4.%5.%6.%7.%8.%9"/>
      <w:lvlJc w:val="left"/>
      <w:pPr>
        <w:ind w:left="2504" w:hanging="1800"/>
      </w:pPr>
      <w:rPr>
        <w:rFonts w:hint="default"/>
      </w:rPr>
    </w:lvl>
  </w:abstractNum>
  <w:abstractNum w:abstractNumId="33" w15:restartNumberingAfterBreak="0">
    <w:nsid w:val="79C41F24"/>
    <w:multiLevelType w:val="hybridMultilevel"/>
    <w:tmpl w:val="CFB4D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73626784">
    <w:abstractNumId w:val="10"/>
  </w:num>
  <w:num w:numId="2" w16cid:durableId="448595697">
    <w:abstractNumId w:val="16"/>
  </w:num>
  <w:num w:numId="3" w16cid:durableId="1042167019">
    <w:abstractNumId w:val="20"/>
  </w:num>
  <w:num w:numId="4" w16cid:durableId="1345743043">
    <w:abstractNumId w:val="4"/>
  </w:num>
  <w:num w:numId="5" w16cid:durableId="1578594688">
    <w:abstractNumId w:val="29"/>
  </w:num>
  <w:num w:numId="6" w16cid:durableId="1103959977">
    <w:abstractNumId w:val="9"/>
  </w:num>
  <w:num w:numId="7" w16cid:durableId="1901288822">
    <w:abstractNumId w:val="24"/>
  </w:num>
  <w:num w:numId="8" w16cid:durableId="2024942056">
    <w:abstractNumId w:val="25"/>
  </w:num>
  <w:num w:numId="9" w16cid:durableId="375811461">
    <w:abstractNumId w:val="19"/>
  </w:num>
  <w:num w:numId="10" w16cid:durableId="955647560">
    <w:abstractNumId w:val="32"/>
  </w:num>
  <w:num w:numId="11" w16cid:durableId="271255374">
    <w:abstractNumId w:val="7"/>
  </w:num>
  <w:num w:numId="12" w16cid:durableId="471675685">
    <w:abstractNumId w:val="12"/>
  </w:num>
  <w:num w:numId="13" w16cid:durableId="1784184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3363633">
    <w:abstractNumId w:val="8"/>
  </w:num>
  <w:num w:numId="15" w16cid:durableId="1450590563">
    <w:abstractNumId w:val="2"/>
  </w:num>
  <w:num w:numId="16" w16cid:durableId="1552616917">
    <w:abstractNumId w:val="13"/>
  </w:num>
  <w:num w:numId="17" w16cid:durableId="2076925067">
    <w:abstractNumId w:val="1"/>
  </w:num>
  <w:num w:numId="18" w16cid:durableId="147941514">
    <w:abstractNumId w:val="14"/>
  </w:num>
  <w:num w:numId="19" w16cid:durableId="2012024311">
    <w:abstractNumId w:val="18"/>
  </w:num>
  <w:num w:numId="20" w16cid:durableId="2105225371">
    <w:abstractNumId w:val="0"/>
  </w:num>
  <w:num w:numId="21" w16cid:durableId="427047357">
    <w:abstractNumId w:val="15"/>
  </w:num>
  <w:num w:numId="22" w16cid:durableId="1919168904">
    <w:abstractNumId w:val="23"/>
  </w:num>
  <w:num w:numId="23" w16cid:durableId="397245440">
    <w:abstractNumId w:val="11"/>
  </w:num>
  <w:num w:numId="24" w16cid:durableId="1587764361">
    <w:abstractNumId w:val="26"/>
  </w:num>
  <w:num w:numId="25" w16cid:durableId="940988029">
    <w:abstractNumId w:val="27"/>
  </w:num>
  <w:num w:numId="26" w16cid:durableId="1572807679">
    <w:abstractNumId w:val="17"/>
  </w:num>
  <w:num w:numId="27" w16cid:durableId="607011115">
    <w:abstractNumId w:val="3"/>
  </w:num>
  <w:num w:numId="28" w16cid:durableId="1273173806">
    <w:abstractNumId w:val="5"/>
  </w:num>
  <w:num w:numId="29" w16cid:durableId="1714620873">
    <w:abstractNumId w:val="6"/>
  </w:num>
  <w:num w:numId="30" w16cid:durableId="1573616400">
    <w:abstractNumId w:val="22"/>
  </w:num>
  <w:num w:numId="31" w16cid:durableId="2048603110">
    <w:abstractNumId w:val="33"/>
  </w:num>
  <w:num w:numId="32" w16cid:durableId="509879871">
    <w:abstractNumId w:val="31"/>
  </w:num>
  <w:num w:numId="33" w16cid:durableId="1976834614">
    <w:abstractNumId w:val="21"/>
  </w:num>
  <w:num w:numId="34" w16cid:durableId="1397896184">
    <w:abstractNumId w:val="30"/>
  </w:num>
  <w:num w:numId="35" w16cid:durableId="10914384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D1"/>
    <w:rsid w:val="000003C9"/>
    <w:rsid w:val="00001FEB"/>
    <w:rsid w:val="00010F88"/>
    <w:rsid w:val="00014B26"/>
    <w:rsid w:val="00015D91"/>
    <w:rsid w:val="00015EB2"/>
    <w:rsid w:val="00021D94"/>
    <w:rsid w:val="00022987"/>
    <w:rsid w:val="00023280"/>
    <w:rsid w:val="0002506E"/>
    <w:rsid w:val="00026644"/>
    <w:rsid w:val="00031496"/>
    <w:rsid w:val="00031DA0"/>
    <w:rsid w:val="00036C3A"/>
    <w:rsid w:val="000370C9"/>
    <w:rsid w:val="00042C9A"/>
    <w:rsid w:val="00046A8C"/>
    <w:rsid w:val="0005259F"/>
    <w:rsid w:val="0005267F"/>
    <w:rsid w:val="00055CFB"/>
    <w:rsid w:val="00056A51"/>
    <w:rsid w:val="00066D20"/>
    <w:rsid w:val="00072404"/>
    <w:rsid w:val="0007386E"/>
    <w:rsid w:val="00085DA1"/>
    <w:rsid w:val="0009082D"/>
    <w:rsid w:val="00094DDA"/>
    <w:rsid w:val="00096D53"/>
    <w:rsid w:val="000A364A"/>
    <w:rsid w:val="000B4C00"/>
    <w:rsid w:val="000B6D7D"/>
    <w:rsid w:val="000D03B6"/>
    <w:rsid w:val="000E1CDA"/>
    <w:rsid w:val="000E5CE1"/>
    <w:rsid w:val="000E5E55"/>
    <w:rsid w:val="000E680E"/>
    <w:rsid w:val="000F18B8"/>
    <w:rsid w:val="000F64AD"/>
    <w:rsid w:val="001002C1"/>
    <w:rsid w:val="00101E76"/>
    <w:rsid w:val="001047EA"/>
    <w:rsid w:val="001053B5"/>
    <w:rsid w:val="001110EB"/>
    <w:rsid w:val="001116F7"/>
    <w:rsid w:val="001118C2"/>
    <w:rsid w:val="00131C13"/>
    <w:rsid w:val="0014206A"/>
    <w:rsid w:val="00147310"/>
    <w:rsid w:val="001529EE"/>
    <w:rsid w:val="00163BB1"/>
    <w:rsid w:val="00176F4C"/>
    <w:rsid w:val="00184926"/>
    <w:rsid w:val="001904AE"/>
    <w:rsid w:val="0019063D"/>
    <w:rsid w:val="00190CA5"/>
    <w:rsid w:val="0019177D"/>
    <w:rsid w:val="0019186D"/>
    <w:rsid w:val="001972C2"/>
    <w:rsid w:val="001974FF"/>
    <w:rsid w:val="001A1DCD"/>
    <w:rsid w:val="001A3910"/>
    <w:rsid w:val="001A77A0"/>
    <w:rsid w:val="001A7A3A"/>
    <w:rsid w:val="001A7BDC"/>
    <w:rsid w:val="001B0DE2"/>
    <w:rsid w:val="001B4F50"/>
    <w:rsid w:val="001C12F8"/>
    <w:rsid w:val="001C2619"/>
    <w:rsid w:val="001C32C2"/>
    <w:rsid w:val="001C3E8E"/>
    <w:rsid w:val="001C475F"/>
    <w:rsid w:val="001C4BB5"/>
    <w:rsid w:val="001D0E84"/>
    <w:rsid w:val="001D2193"/>
    <w:rsid w:val="001D2CDA"/>
    <w:rsid w:val="001E18A1"/>
    <w:rsid w:val="001E2FFC"/>
    <w:rsid w:val="001E39D7"/>
    <w:rsid w:val="001E649B"/>
    <w:rsid w:val="001E7456"/>
    <w:rsid w:val="001F16BC"/>
    <w:rsid w:val="001F2004"/>
    <w:rsid w:val="001F3B71"/>
    <w:rsid w:val="001F4A11"/>
    <w:rsid w:val="002008A4"/>
    <w:rsid w:val="00200CB6"/>
    <w:rsid w:val="0021112A"/>
    <w:rsid w:val="00213902"/>
    <w:rsid w:val="00215AFC"/>
    <w:rsid w:val="002166D3"/>
    <w:rsid w:val="00222ACD"/>
    <w:rsid w:val="002242B7"/>
    <w:rsid w:val="00232337"/>
    <w:rsid w:val="00233052"/>
    <w:rsid w:val="0023775B"/>
    <w:rsid w:val="00245406"/>
    <w:rsid w:val="00250FAD"/>
    <w:rsid w:val="00253309"/>
    <w:rsid w:val="0025345C"/>
    <w:rsid w:val="002546BA"/>
    <w:rsid w:val="00260990"/>
    <w:rsid w:val="002609F5"/>
    <w:rsid w:val="00262DDF"/>
    <w:rsid w:val="002656EC"/>
    <w:rsid w:val="00277AE5"/>
    <w:rsid w:val="002A2C70"/>
    <w:rsid w:val="002B3E54"/>
    <w:rsid w:val="002C0BD8"/>
    <w:rsid w:val="002C322C"/>
    <w:rsid w:val="002C53F3"/>
    <w:rsid w:val="002C6A91"/>
    <w:rsid w:val="002D0320"/>
    <w:rsid w:val="002E4898"/>
    <w:rsid w:val="002F4DD1"/>
    <w:rsid w:val="002F73B4"/>
    <w:rsid w:val="003039AF"/>
    <w:rsid w:val="00305577"/>
    <w:rsid w:val="00305CF9"/>
    <w:rsid w:val="00317E1D"/>
    <w:rsid w:val="00322E38"/>
    <w:rsid w:val="0032306F"/>
    <w:rsid w:val="00324142"/>
    <w:rsid w:val="0032614A"/>
    <w:rsid w:val="00334FC4"/>
    <w:rsid w:val="003353BD"/>
    <w:rsid w:val="00337E56"/>
    <w:rsid w:val="00340803"/>
    <w:rsid w:val="00340E5B"/>
    <w:rsid w:val="00342533"/>
    <w:rsid w:val="00343278"/>
    <w:rsid w:val="00350CA0"/>
    <w:rsid w:val="003523A8"/>
    <w:rsid w:val="00355320"/>
    <w:rsid w:val="00356240"/>
    <w:rsid w:val="0036044F"/>
    <w:rsid w:val="003806C1"/>
    <w:rsid w:val="003809B4"/>
    <w:rsid w:val="00393ADA"/>
    <w:rsid w:val="003A398C"/>
    <w:rsid w:val="003A422E"/>
    <w:rsid w:val="003A498E"/>
    <w:rsid w:val="003B01C3"/>
    <w:rsid w:val="003B2353"/>
    <w:rsid w:val="003B6E9C"/>
    <w:rsid w:val="003C3B66"/>
    <w:rsid w:val="003C5337"/>
    <w:rsid w:val="003D260B"/>
    <w:rsid w:val="003E10BF"/>
    <w:rsid w:val="003E77A1"/>
    <w:rsid w:val="004060D5"/>
    <w:rsid w:val="00407E7C"/>
    <w:rsid w:val="00422954"/>
    <w:rsid w:val="004233F2"/>
    <w:rsid w:val="00431F7A"/>
    <w:rsid w:val="00432F04"/>
    <w:rsid w:val="004332DD"/>
    <w:rsid w:val="00442E66"/>
    <w:rsid w:val="00453D6A"/>
    <w:rsid w:val="00457E08"/>
    <w:rsid w:val="004665DC"/>
    <w:rsid w:val="00467AAD"/>
    <w:rsid w:val="00467F39"/>
    <w:rsid w:val="00473979"/>
    <w:rsid w:val="004740F5"/>
    <w:rsid w:val="00474766"/>
    <w:rsid w:val="00475CCA"/>
    <w:rsid w:val="00476756"/>
    <w:rsid w:val="004833A9"/>
    <w:rsid w:val="00483A61"/>
    <w:rsid w:val="004933F5"/>
    <w:rsid w:val="00494106"/>
    <w:rsid w:val="004945B5"/>
    <w:rsid w:val="004A4300"/>
    <w:rsid w:val="004A5685"/>
    <w:rsid w:val="004A65E0"/>
    <w:rsid w:val="004B5C34"/>
    <w:rsid w:val="004C00AB"/>
    <w:rsid w:val="004C1C96"/>
    <w:rsid w:val="004D3D46"/>
    <w:rsid w:val="004E05C7"/>
    <w:rsid w:val="004E11A8"/>
    <w:rsid w:val="004E7FF3"/>
    <w:rsid w:val="004F73DB"/>
    <w:rsid w:val="00501F26"/>
    <w:rsid w:val="00504D9C"/>
    <w:rsid w:val="00507758"/>
    <w:rsid w:val="005132A1"/>
    <w:rsid w:val="00516125"/>
    <w:rsid w:val="005209C9"/>
    <w:rsid w:val="005215F8"/>
    <w:rsid w:val="00522C57"/>
    <w:rsid w:val="005236EC"/>
    <w:rsid w:val="005238BD"/>
    <w:rsid w:val="00523ED5"/>
    <w:rsid w:val="005252F5"/>
    <w:rsid w:val="005350D6"/>
    <w:rsid w:val="00547C1E"/>
    <w:rsid w:val="005535BB"/>
    <w:rsid w:val="0055751B"/>
    <w:rsid w:val="005755DB"/>
    <w:rsid w:val="005825E1"/>
    <w:rsid w:val="00583251"/>
    <w:rsid w:val="00592133"/>
    <w:rsid w:val="005A4D10"/>
    <w:rsid w:val="005A740D"/>
    <w:rsid w:val="005B49FF"/>
    <w:rsid w:val="005B52EC"/>
    <w:rsid w:val="005C18C7"/>
    <w:rsid w:val="005D19E5"/>
    <w:rsid w:val="005D4470"/>
    <w:rsid w:val="005D7DA2"/>
    <w:rsid w:val="005F0BA4"/>
    <w:rsid w:val="005F1B68"/>
    <w:rsid w:val="005F1F0F"/>
    <w:rsid w:val="005F356D"/>
    <w:rsid w:val="00605290"/>
    <w:rsid w:val="00632AD0"/>
    <w:rsid w:val="00636CAC"/>
    <w:rsid w:val="00636DD5"/>
    <w:rsid w:val="00636E61"/>
    <w:rsid w:val="00640695"/>
    <w:rsid w:val="00641B2D"/>
    <w:rsid w:val="006431B1"/>
    <w:rsid w:val="00651ABD"/>
    <w:rsid w:val="00660B8D"/>
    <w:rsid w:val="00664A2C"/>
    <w:rsid w:val="0066518A"/>
    <w:rsid w:val="00675996"/>
    <w:rsid w:val="00684820"/>
    <w:rsid w:val="006912AA"/>
    <w:rsid w:val="00692313"/>
    <w:rsid w:val="006942E8"/>
    <w:rsid w:val="0069684F"/>
    <w:rsid w:val="006A1B81"/>
    <w:rsid w:val="006B2E61"/>
    <w:rsid w:val="006C5183"/>
    <w:rsid w:val="006C6ACE"/>
    <w:rsid w:val="006D750F"/>
    <w:rsid w:val="006D758E"/>
    <w:rsid w:val="006E0064"/>
    <w:rsid w:val="006E0D35"/>
    <w:rsid w:val="006F1C66"/>
    <w:rsid w:val="006F6583"/>
    <w:rsid w:val="00703594"/>
    <w:rsid w:val="0070657A"/>
    <w:rsid w:val="007146F7"/>
    <w:rsid w:val="00715A79"/>
    <w:rsid w:val="007262C9"/>
    <w:rsid w:val="00733F37"/>
    <w:rsid w:val="00734FCB"/>
    <w:rsid w:val="00746DC9"/>
    <w:rsid w:val="007547EE"/>
    <w:rsid w:val="00764392"/>
    <w:rsid w:val="0076526D"/>
    <w:rsid w:val="00781F97"/>
    <w:rsid w:val="0078376D"/>
    <w:rsid w:val="007A0054"/>
    <w:rsid w:val="007A1BAE"/>
    <w:rsid w:val="007A4C5B"/>
    <w:rsid w:val="007A4D12"/>
    <w:rsid w:val="007A7DB3"/>
    <w:rsid w:val="007B0922"/>
    <w:rsid w:val="007B1D54"/>
    <w:rsid w:val="007B2333"/>
    <w:rsid w:val="007B47A9"/>
    <w:rsid w:val="007B606A"/>
    <w:rsid w:val="007B71F0"/>
    <w:rsid w:val="007C5923"/>
    <w:rsid w:val="007D5569"/>
    <w:rsid w:val="007E67EE"/>
    <w:rsid w:val="007F2D30"/>
    <w:rsid w:val="008013E7"/>
    <w:rsid w:val="008017E6"/>
    <w:rsid w:val="008065BC"/>
    <w:rsid w:val="008132D9"/>
    <w:rsid w:val="00813A43"/>
    <w:rsid w:val="0081504F"/>
    <w:rsid w:val="008154A6"/>
    <w:rsid w:val="00815C66"/>
    <w:rsid w:val="00820EF7"/>
    <w:rsid w:val="008232AC"/>
    <w:rsid w:val="00830242"/>
    <w:rsid w:val="00840384"/>
    <w:rsid w:val="00842AC2"/>
    <w:rsid w:val="00845E4F"/>
    <w:rsid w:val="00850005"/>
    <w:rsid w:val="00852C91"/>
    <w:rsid w:val="00853488"/>
    <w:rsid w:val="00885791"/>
    <w:rsid w:val="00886313"/>
    <w:rsid w:val="008978D3"/>
    <w:rsid w:val="008A252E"/>
    <w:rsid w:val="008B1F82"/>
    <w:rsid w:val="008C1068"/>
    <w:rsid w:val="008C57EF"/>
    <w:rsid w:val="008D085B"/>
    <w:rsid w:val="008E579D"/>
    <w:rsid w:val="008E6580"/>
    <w:rsid w:val="008E6AD7"/>
    <w:rsid w:val="008F3FE0"/>
    <w:rsid w:val="008F7EFF"/>
    <w:rsid w:val="00900AAA"/>
    <w:rsid w:val="00900B50"/>
    <w:rsid w:val="0091085F"/>
    <w:rsid w:val="00910AC6"/>
    <w:rsid w:val="009123AF"/>
    <w:rsid w:val="00916465"/>
    <w:rsid w:val="00927512"/>
    <w:rsid w:val="00927E5A"/>
    <w:rsid w:val="00935BA7"/>
    <w:rsid w:val="009550FE"/>
    <w:rsid w:val="00957E56"/>
    <w:rsid w:val="00964572"/>
    <w:rsid w:val="00973B9F"/>
    <w:rsid w:val="00984181"/>
    <w:rsid w:val="00993F11"/>
    <w:rsid w:val="00994997"/>
    <w:rsid w:val="009949F0"/>
    <w:rsid w:val="00996853"/>
    <w:rsid w:val="009A54D4"/>
    <w:rsid w:val="009A5EA4"/>
    <w:rsid w:val="009B5B40"/>
    <w:rsid w:val="009C488B"/>
    <w:rsid w:val="009F5EC2"/>
    <w:rsid w:val="00A0220C"/>
    <w:rsid w:val="00A05463"/>
    <w:rsid w:val="00A22247"/>
    <w:rsid w:val="00A24F7B"/>
    <w:rsid w:val="00A26474"/>
    <w:rsid w:val="00A26DC7"/>
    <w:rsid w:val="00A31FA5"/>
    <w:rsid w:val="00A434DE"/>
    <w:rsid w:val="00A4720C"/>
    <w:rsid w:val="00A477D8"/>
    <w:rsid w:val="00A50612"/>
    <w:rsid w:val="00A53549"/>
    <w:rsid w:val="00A53696"/>
    <w:rsid w:val="00A54F71"/>
    <w:rsid w:val="00A57069"/>
    <w:rsid w:val="00A57088"/>
    <w:rsid w:val="00A61A21"/>
    <w:rsid w:val="00A74764"/>
    <w:rsid w:val="00A94DBF"/>
    <w:rsid w:val="00AA1E3E"/>
    <w:rsid w:val="00AA1FF2"/>
    <w:rsid w:val="00AA2E03"/>
    <w:rsid w:val="00AA3F9C"/>
    <w:rsid w:val="00AB3F4C"/>
    <w:rsid w:val="00AC0531"/>
    <w:rsid w:val="00AD03DA"/>
    <w:rsid w:val="00AD0501"/>
    <w:rsid w:val="00AD1CD5"/>
    <w:rsid w:val="00AD57B5"/>
    <w:rsid w:val="00AD7428"/>
    <w:rsid w:val="00AE07C6"/>
    <w:rsid w:val="00AE1EFC"/>
    <w:rsid w:val="00AE2E65"/>
    <w:rsid w:val="00AE3A58"/>
    <w:rsid w:val="00AF443A"/>
    <w:rsid w:val="00B044CA"/>
    <w:rsid w:val="00B12979"/>
    <w:rsid w:val="00B15A55"/>
    <w:rsid w:val="00B20BFD"/>
    <w:rsid w:val="00B243B8"/>
    <w:rsid w:val="00B26488"/>
    <w:rsid w:val="00B31CDE"/>
    <w:rsid w:val="00B343EA"/>
    <w:rsid w:val="00B37423"/>
    <w:rsid w:val="00B42C00"/>
    <w:rsid w:val="00B4580F"/>
    <w:rsid w:val="00B47699"/>
    <w:rsid w:val="00B52384"/>
    <w:rsid w:val="00B61FCB"/>
    <w:rsid w:val="00B65518"/>
    <w:rsid w:val="00B6768C"/>
    <w:rsid w:val="00B741DE"/>
    <w:rsid w:val="00B76F98"/>
    <w:rsid w:val="00B81642"/>
    <w:rsid w:val="00B8448F"/>
    <w:rsid w:val="00B901D1"/>
    <w:rsid w:val="00B90BCA"/>
    <w:rsid w:val="00BA1981"/>
    <w:rsid w:val="00BB6ACF"/>
    <w:rsid w:val="00BC4141"/>
    <w:rsid w:val="00BC6015"/>
    <w:rsid w:val="00BC7E57"/>
    <w:rsid w:val="00BD0ACC"/>
    <w:rsid w:val="00BD44B3"/>
    <w:rsid w:val="00BE3E56"/>
    <w:rsid w:val="00BE40C3"/>
    <w:rsid w:val="00BE6FA7"/>
    <w:rsid w:val="00BF52A7"/>
    <w:rsid w:val="00BF5C97"/>
    <w:rsid w:val="00BF5E28"/>
    <w:rsid w:val="00C00B8E"/>
    <w:rsid w:val="00C01CFF"/>
    <w:rsid w:val="00C02BF8"/>
    <w:rsid w:val="00C07631"/>
    <w:rsid w:val="00C0775C"/>
    <w:rsid w:val="00C123FA"/>
    <w:rsid w:val="00C13CC1"/>
    <w:rsid w:val="00C14818"/>
    <w:rsid w:val="00C163D2"/>
    <w:rsid w:val="00C164F8"/>
    <w:rsid w:val="00C16DF6"/>
    <w:rsid w:val="00C32349"/>
    <w:rsid w:val="00C326B2"/>
    <w:rsid w:val="00C34CE5"/>
    <w:rsid w:val="00C36CA1"/>
    <w:rsid w:val="00C40E06"/>
    <w:rsid w:val="00C56C14"/>
    <w:rsid w:val="00C64A4E"/>
    <w:rsid w:val="00C660BF"/>
    <w:rsid w:val="00C72C33"/>
    <w:rsid w:val="00C73F86"/>
    <w:rsid w:val="00C80044"/>
    <w:rsid w:val="00C80309"/>
    <w:rsid w:val="00C80F0B"/>
    <w:rsid w:val="00C83A06"/>
    <w:rsid w:val="00C852FE"/>
    <w:rsid w:val="00CA34F5"/>
    <w:rsid w:val="00CB16AE"/>
    <w:rsid w:val="00CC667B"/>
    <w:rsid w:val="00CD0A90"/>
    <w:rsid w:val="00CD1810"/>
    <w:rsid w:val="00CD6428"/>
    <w:rsid w:val="00CD74FE"/>
    <w:rsid w:val="00CF0B3E"/>
    <w:rsid w:val="00CF1178"/>
    <w:rsid w:val="00CF27DE"/>
    <w:rsid w:val="00D0438A"/>
    <w:rsid w:val="00D110A8"/>
    <w:rsid w:val="00D11664"/>
    <w:rsid w:val="00D27791"/>
    <w:rsid w:val="00D30C67"/>
    <w:rsid w:val="00D316F7"/>
    <w:rsid w:val="00D36D46"/>
    <w:rsid w:val="00D41D62"/>
    <w:rsid w:val="00D422A0"/>
    <w:rsid w:val="00D4313E"/>
    <w:rsid w:val="00D523AA"/>
    <w:rsid w:val="00D526A5"/>
    <w:rsid w:val="00D55965"/>
    <w:rsid w:val="00D64ED7"/>
    <w:rsid w:val="00D66F8A"/>
    <w:rsid w:val="00D76D52"/>
    <w:rsid w:val="00D81551"/>
    <w:rsid w:val="00D8187D"/>
    <w:rsid w:val="00D81BA1"/>
    <w:rsid w:val="00D84476"/>
    <w:rsid w:val="00D84D6C"/>
    <w:rsid w:val="00D92531"/>
    <w:rsid w:val="00DA2DD6"/>
    <w:rsid w:val="00DA5977"/>
    <w:rsid w:val="00DB05D4"/>
    <w:rsid w:val="00DB17E5"/>
    <w:rsid w:val="00DB611E"/>
    <w:rsid w:val="00DC2B9E"/>
    <w:rsid w:val="00DD56A7"/>
    <w:rsid w:val="00DD75A8"/>
    <w:rsid w:val="00DE5743"/>
    <w:rsid w:val="00DF429F"/>
    <w:rsid w:val="00DF510B"/>
    <w:rsid w:val="00DF5E20"/>
    <w:rsid w:val="00DF60DA"/>
    <w:rsid w:val="00E05520"/>
    <w:rsid w:val="00E1043D"/>
    <w:rsid w:val="00E11638"/>
    <w:rsid w:val="00E132F2"/>
    <w:rsid w:val="00E16831"/>
    <w:rsid w:val="00E2603E"/>
    <w:rsid w:val="00E3563A"/>
    <w:rsid w:val="00E3677E"/>
    <w:rsid w:val="00E43339"/>
    <w:rsid w:val="00E44846"/>
    <w:rsid w:val="00E46217"/>
    <w:rsid w:val="00E703B0"/>
    <w:rsid w:val="00E77C55"/>
    <w:rsid w:val="00E82473"/>
    <w:rsid w:val="00E919E0"/>
    <w:rsid w:val="00EA3615"/>
    <w:rsid w:val="00EB2A07"/>
    <w:rsid w:val="00EB4DA1"/>
    <w:rsid w:val="00EB5EC2"/>
    <w:rsid w:val="00EC701B"/>
    <w:rsid w:val="00ED0827"/>
    <w:rsid w:val="00ED0DDB"/>
    <w:rsid w:val="00ED2BA2"/>
    <w:rsid w:val="00ED48F2"/>
    <w:rsid w:val="00ED615E"/>
    <w:rsid w:val="00EE0657"/>
    <w:rsid w:val="00EE3ADE"/>
    <w:rsid w:val="00EF1FA0"/>
    <w:rsid w:val="00EF631F"/>
    <w:rsid w:val="00EF798A"/>
    <w:rsid w:val="00EF7DD9"/>
    <w:rsid w:val="00F0629D"/>
    <w:rsid w:val="00F06AE5"/>
    <w:rsid w:val="00F12755"/>
    <w:rsid w:val="00F1768F"/>
    <w:rsid w:val="00F179B6"/>
    <w:rsid w:val="00F235AF"/>
    <w:rsid w:val="00F24F2B"/>
    <w:rsid w:val="00F255B0"/>
    <w:rsid w:val="00F31261"/>
    <w:rsid w:val="00F4196F"/>
    <w:rsid w:val="00F4416A"/>
    <w:rsid w:val="00F44560"/>
    <w:rsid w:val="00F460B5"/>
    <w:rsid w:val="00F500A3"/>
    <w:rsid w:val="00F50EF2"/>
    <w:rsid w:val="00F72F07"/>
    <w:rsid w:val="00F7317E"/>
    <w:rsid w:val="00F739EB"/>
    <w:rsid w:val="00F73A25"/>
    <w:rsid w:val="00F8034E"/>
    <w:rsid w:val="00F82CC6"/>
    <w:rsid w:val="00F905E9"/>
    <w:rsid w:val="00F9270B"/>
    <w:rsid w:val="00F939E1"/>
    <w:rsid w:val="00FA3E0F"/>
    <w:rsid w:val="00FB36FE"/>
    <w:rsid w:val="00FB5803"/>
    <w:rsid w:val="00FB5ED2"/>
    <w:rsid w:val="00FB60EC"/>
    <w:rsid w:val="00FC4E72"/>
    <w:rsid w:val="00FD6604"/>
    <w:rsid w:val="00FE2B67"/>
    <w:rsid w:val="00FF0F16"/>
    <w:rsid w:val="00FF3455"/>
    <w:rsid w:val="00FF437A"/>
    <w:rsid w:val="00FF629B"/>
    <w:rsid w:val="00FF65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AD67"/>
  <w15:docId w15:val="{F33134CF-95AC-45C6-8B53-55AE0673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4DD1"/>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4D3D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B4DA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91646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2F4DD1"/>
    <w:pPr>
      <w:widowControl w:val="0"/>
      <w:suppressAutoHyphens/>
      <w:overflowPunct w:val="0"/>
      <w:autoSpaceDE w:val="0"/>
      <w:autoSpaceDN w:val="0"/>
      <w:adjustRightInd w:val="0"/>
      <w:ind w:left="720"/>
      <w:textAlignment w:val="baseline"/>
    </w:pPr>
    <w:rPr>
      <w:kern w:val="1"/>
      <w:sz w:val="24"/>
    </w:rPr>
  </w:style>
  <w:style w:type="paragraph" w:styleId="Tekstkomentarza">
    <w:name w:val="annotation text"/>
    <w:basedOn w:val="Normalny"/>
    <w:link w:val="TekstkomentarzaZnak"/>
    <w:uiPriority w:val="99"/>
    <w:semiHidden/>
    <w:rsid w:val="002F4DD1"/>
    <w:rPr>
      <w:rFonts w:eastAsia="Calibri"/>
      <w:sz w:val="24"/>
      <w:szCs w:val="24"/>
    </w:rPr>
  </w:style>
  <w:style w:type="character" w:customStyle="1" w:styleId="TekstkomentarzaZnak">
    <w:name w:val="Tekst komentarza Znak"/>
    <w:basedOn w:val="Domylnaczcionkaakapitu"/>
    <w:link w:val="Tekstkomentarza"/>
    <w:uiPriority w:val="99"/>
    <w:semiHidden/>
    <w:rsid w:val="002F4DD1"/>
    <w:rPr>
      <w:rFonts w:ascii="Times New Roman" w:eastAsia="Calibri" w:hAnsi="Times New Roman" w:cs="Times New Roman"/>
      <w:sz w:val="24"/>
      <w:szCs w:val="24"/>
      <w:lang w:eastAsia="pl-PL"/>
    </w:rPr>
  </w:style>
  <w:style w:type="character" w:styleId="Odwoaniedokomentarza">
    <w:name w:val="annotation reference"/>
    <w:semiHidden/>
    <w:rsid w:val="002F4DD1"/>
    <w:rPr>
      <w:rFonts w:cs="Times New Roman"/>
      <w:sz w:val="16"/>
    </w:rPr>
  </w:style>
  <w:style w:type="character" w:styleId="Uwydatnienie">
    <w:name w:val="Emphasis"/>
    <w:basedOn w:val="Domylnaczcionkaakapitu"/>
    <w:uiPriority w:val="20"/>
    <w:qFormat/>
    <w:rsid w:val="002F4DD1"/>
    <w:rPr>
      <w:i/>
      <w:iCs/>
    </w:rPr>
  </w:style>
  <w:style w:type="paragraph" w:styleId="Tekstdymka">
    <w:name w:val="Balloon Text"/>
    <w:basedOn w:val="Normalny"/>
    <w:link w:val="TekstdymkaZnak"/>
    <w:uiPriority w:val="99"/>
    <w:semiHidden/>
    <w:unhideWhenUsed/>
    <w:rsid w:val="002F4D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DD1"/>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233052"/>
    <w:rPr>
      <w:rFonts w:eastAsia="Times New Roman"/>
      <w:b/>
      <w:bCs/>
      <w:sz w:val="20"/>
      <w:szCs w:val="20"/>
    </w:rPr>
  </w:style>
  <w:style w:type="character" w:customStyle="1" w:styleId="TematkomentarzaZnak">
    <w:name w:val="Temat komentarza Znak"/>
    <w:basedOn w:val="TekstkomentarzaZnak"/>
    <w:link w:val="Tematkomentarza"/>
    <w:uiPriority w:val="99"/>
    <w:semiHidden/>
    <w:rsid w:val="00233052"/>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432F04"/>
    <w:pPr>
      <w:tabs>
        <w:tab w:val="center" w:pos="4536"/>
        <w:tab w:val="right" w:pos="9072"/>
      </w:tabs>
    </w:pPr>
  </w:style>
  <w:style w:type="character" w:customStyle="1" w:styleId="NagwekZnak">
    <w:name w:val="Nagłówek Znak"/>
    <w:basedOn w:val="Domylnaczcionkaakapitu"/>
    <w:link w:val="Nagwek"/>
    <w:uiPriority w:val="99"/>
    <w:rsid w:val="00432F04"/>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32F04"/>
    <w:pPr>
      <w:tabs>
        <w:tab w:val="center" w:pos="4536"/>
        <w:tab w:val="right" w:pos="9072"/>
      </w:tabs>
    </w:pPr>
  </w:style>
  <w:style w:type="character" w:customStyle="1" w:styleId="StopkaZnak">
    <w:name w:val="Stopka Znak"/>
    <w:basedOn w:val="Domylnaczcionkaakapitu"/>
    <w:link w:val="Stopka"/>
    <w:uiPriority w:val="99"/>
    <w:rsid w:val="00432F04"/>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4D3D46"/>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EB4DA1"/>
    <w:rPr>
      <w:rFonts w:asciiTheme="majorHAnsi" w:eastAsiaTheme="majorEastAsia" w:hAnsiTheme="majorHAnsi" w:cstheme="majorBidi"/>
      <w:color w:val="2E74B5" w:themeColor="accent1" w:themeShade="BF"/>
      <w:sz w:val="26"/>
      <w:szCs w:val="26"/>
      <w:lang w:eastAsia="pl-PL"/>
    </w:rPr>
  </w:style>
  <w:style w:type="character" w:styleId="Hipercze">
    <w:name w:val="Hyperlink"/>
    <w:basedOn w:val="Domylnaczcionkaakapitu"/>
    <w:uiPriority w:val="99"/>
    <w:unhideWhenUsed/>
    <w:rsid w:val="00703594"/>
    <w:rPr>
      <w:color w:val="0563C1" w:themeColor="hyperlink"/>
      <w:u w:val="single"/>
    </w:rPr>
  </w:style>
  <w:style w:type="paragraph" w:styleId="Tekstprzypisudolnego">
    <w:name w:val="footnote text"/>
    <w:basedOn w:val="Normalny"/>
    <w:link w:val="TekstprzypisudolnegoZnak"/>
    <w:uiPriority w:val="99"/>
    <w:semiHidden/>
    <w:unhideWhenUsed/>
    <w:rsid w:val="007B606A"/>
  </w:style>
  <w:style w:type="character" w:customStyle="1" w:styleId="TekstprzypisudolnegoZnak">
    <w:name w:val="Tekst przypisu dolnego Znak"/>
    <w:basedOn w:val="Domylnaczcionkaakapitu"/>
    <w:link w:val="Tekstprzypisudolnego"/>
    <w:uiPriority w:val="99"/>
    <w:semiHidden/>
    <w:rsid w:val="007B606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B606A"/>
    <w:rPr>
      <w:vertAlign w:val="superscript"/>
    </w:rPr>
  </w:style>
  <w:style w:type="paragraph" w:styleId="Poprawka">
    <w:name w:val="Revision"/>
    <w:hidden/>
    <w:uiPriority w:val="99"/>
    <w:semiHidden/>
    <w:rsid w:val="00675996"/>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8232AC"/>
    <w:rPr>
      <w:rFonts w:ascii="Calibri" w:eastAsia="Times New Roman" w:hAnsi="Calibri" w:cs="Times New Roman"/>
      <w:lang w:eastAsia="pl-PL"/>
    </w:rPr>
  </w:style>
  <w:style w:type="character" w:customStyle="1" w:styleId="BezodstpwZnak">
    <w:name w:val="Bez odstępów Znak"/>
    <w:link w:val="Bezodstpw"/>
    <w:uiPriority w:val="1"/>
    <w:rsid w:val="008232AC"/>
    <w:rPr>
      <w:rFonts w:ascii="Calibri" w:eastAsia="Times New Roman" w:hAnsi="Calibri" w:cs="Times New Roman"/>
      <w:lang w:eastAsia="pl-PL"/>
    </w:rPr>
  </w:style>
  <w:style w:type="paragraph" w:styleId="Tytu">
    <w:name w:val="Title"/>
    <w:basedOn w:val="Normalny"/>
    <w:next w:val="Normalny"/>
    <w:link w:val="TytuZnak"/>
    <w:uiPriority w:val="10"/>
    <w:qFormat/>
    <w:rsid w:val="0091646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6465"/>
    <w:rPr>
      <w:rFonts w:asciiTheme="majorHAnsi" w:eastAsiaTheme="majorEastAsia" w:hAnsiTheme="majorHAnsi" w:cstheme="majorBidi"/>
      <w:spacing w:val="-10"/>
      <w:kern w:val="28"/>
      <w:sz w:val="56"/>
      <w:szCs w:val="56"/>
      <w:lang w:eastAsia="pl-PL"/>
    </w:rPr>
  </w:style>
  <w:style w:type="paragraph" w:styleId="Podtytu">
    <w:name w:val="Subtitle"/>
    <w:basedOn w:val="Normalny"/>
    <w:next w:val="Normalny"/>
    <w:link w:val="PodtytuZnak"/>
    <w:uiPriority w:val="11"/>
    <w:qFormat/>
    <w:rsid w:val="009164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916465"/>
    <w:rPr>
      <w:rFonts w:eastAsiaTheme="minorEastAsia"/>
      <w:color w:val="5A5A5A" w:themeColor="text1" w:themeTint="A5"/>
      <w:spacing w:val="15"/>
      <w:lang w:eastAsia="pl-PL"/>
    </w:rPr>
  </w:style>
  <w:style w:type="character" w:styleId="Tytuksiki">
    <w:name w:val="Book Title"/>
    <w:basedOn w:val="Domylnaczcionkaakapitu"/>
    <w:uiPriority w:val="33"/>
    <w:qFormat/>
    <w:rsid w:val="00916465"/>
    <w:rPr>
      <w:b/>
      <w:bCs/>
      <w:i/>
      <w:iCs/>
      <w:spacing w:val="5"/>
    </w:rPr>
  </w:style>
  <w:style w:type="character" w:customStyle="1" w:styleId="Nagwek3Znak">
    <w:name w:val="Nagłówek 3 Znak"/>
    <w:basedOn w:val="Domylnaczcionkaakapitu"/>
    <w:link w:val="Nagwek3"/>
    <w:uiPriority w:val="9"/>
    <w:rsid w:val="00916465"/>
    <w:rPr>
      <w:rFonts w:asciiTheme="majorHAnsi" w:eastAsiaTheme="majorEastAsia" w:hAnsiTheme="majorHAnsi" w:cstheme="majorBidi"/>
      <w:color w:val="1F4D78" w:themeColor="accent1" w:themeShade="7F"/>
      <w:sz w:val="24"/>
      <w:szCs w:val="24"/>
      <w:lang w:eastAsia="pl-PL"/>
    </w:rPr>
  </w:style>
  <w:style w:type="character" w:styleId="Pogrubienie">
    <w:name w:val="Strong"/>
    <w:basedOn w:val="Domylnaczcionkaakapitu"/>
    <w:uiPriority w:val="22"/>
    <w:qFormat/>
    <w:rsid w:val="00916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77229">
      <w:bodyDiv w:val="1"/>
      <w:marLeft w:val="0"/>
      <w:marRight w:val="0"/>
      <w:marTop w:val="0"/>
      <w:marBottom w:val="0"/>
      <w:divBdr>
        <w:top w:val="none" w:sz="0" w:space="0" w:color="auto"/>
        <w:left w:val="none" w:sz="0" w:space="0" w:color="auto"/>
        <w:bottom w:val="none" w:sz="0" w:space="0" w:color="auto"/>
        <w:right w:val="none" w:sz="0" w:space="0" w:color="auto"/>
      </w:divBdr>
    </w:div>
    <w:div w:id="985474781">
      <w:bodyDiv w:val="1"/>
      <w:marLeft w:val="0"/>
      <w:marRight w:val="0"/>
      <w:marTop w:val="0"/>
      <w:marBottom w:val="0"/>
      <w:divBdr>
        <w:top w:val="none" w:sz="0" w:space="0" w:color="auto"/>
        <w:left w:val="none" w:sz="0" w:space="0" w:color="auto"/>
        <w:bottom w:val="none" w:sz="0" w:space="0" w:color="auto"/>
        <w:right w:val="none" w:sz="0" w:space="0" w:color="auto"/>
      </w:divBdr>
    </w:div>
    <w:div w:id="1461992581">
      <w:bodyDiv w:val="1"/>
      <w:marLeft w:val="0"/>
      <w:marRight w:val="0"/>
      <w:marTop w:val="0"/>
      <w:marBottom w:val="0"/>
      <w:divBdr>
        <w:top w:val="none" w:sz="0" w:space="0" w:color="auto"/>
        <w:left w:val="none" w:sz="0" w:space="0" w:color="auto"/>
        <w:bottom w:val="none" w:sz="0" w:space="0" w:color="auto"/>
        <w:right w:val="none" w:sz="0" w:space="0" w:color="auto"/>
      </w:divBdr>
    </w:div>
    <w:div w:id="1471820779">
      <w:bodyDiv w:val="1"/>
      <w:marLeft w:val="0"/>
      <w:marRight w:val="0"/>
      <w:marTop w:val="0"/>
      <w:marBottom w:val="0"/>
      <w:divBdr>
        <w:top w:val="none" w:sz="0" w:space="0" w:color="auto"/>
        <w:left w:val="none" w:sz="0" w:space="0" w:color="auto"/>
        <w:bottom w:val="none" w:sz="0" w:space="0" w:color="auto"/>
        <w:right w:val="none" w:sz="0" w:space="0" w:color="auto"/>
      </w:divBdr>
    </w:div>
    <w:div w:id="1502820151">
      <w:bodyDiv w:val="1"/>
      <w:marLeft w:val="0"/>
      <w:marRight w:val="0"/>
      <w:marTop w:val="0"/>
      <w:marBottom w:val="0"/>
      <w:divBdr>
        <w:top w:val="none" w:sz="0" w:space="0" w:color="auto"/>
        <w:left w:val="none" w:sz="0" w:space="0" w:color="auto"/>
        <w:bottom w:val="none" w:sz="0" w:space="0" w:color="auto"/>
        <w:right w:val="none" w:sz="0" w:space="0" w:color="auto"/>
      </w:divBdr>
    </w:div>
    <w:div w:id="1802531666">
      <w:bodyDiv w:val="1"/>
      <w:marLeft w:val="0"/>
      <w:marRight w:val="0"/>
      <w:marTop w:val="0"/>
      <w:marBottom w:val="0"/>
      <w:divBdr>
        <w:top w:val="none" w:sz="0" w:space="0" w:color="auto"/>
        <w:left w:val="none" w:sz="0" w:space="0" w:color="auto"/>
        <w:bottom w:val="none" w:sz="0" w:space="0" w:color="auto"/>
        <w:right w:val="none" w:sz="0" w:space="0" w:color="auto"/>
      </w:divBdr>
    </w:div>
    <w:div w:id="1902014249">
      <w:bodyDiv w:val="1"/>
      <w:marLeft w:val="0"/>
      <w:marRight w:val="0"/>
      <w:marTop w:val="0"/>
      <w:marBottom w:val="0"/>
      <w:divBdr>
        <w:top w:val="none" w:sz="0" w:space="0" w:color="auto"/>
        <w:left w:val="none" w:sz="0" w:space="0" w:color="auto"/>
        <w:bottom w:val="none" w:sz="0" w:space="0" w:color="auto"/>
        <w:right w:val="none" w:sz="0" w:space="0" w:color="auto"/>
      </w:divBdr>
    </w:div>
    <w:div w:id="1928924482">
      <w:bodyDiv w:val="1"/>
      <w:marLeft w:val="0"/>
      <w:marRight w:val="0"/>
      <w:marTop w:val="0"/>
      <w:marBottom w:val="0"/>
      <w:divBdr>
        <w:top w:val="none" w:sz="0" w:space="0" w:color="auto"/>
        <w:left w:val="none" w:sz="0" w:space="0" w:color="auto"/>
        <w:bottom w:val="none" w:sz="0" w:space="0" w:color="auto"/>
        <w:right w:val="none" w:sz="0" w:space="0" w:color="auto"/>
      </w:divBdr>
    </w:div>
    <w:div w:id="200011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8748-95F9-4573-969C-49BFC34B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2466</Words>
  <Characters>14801</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Zajaczkowska</dc:creator>
  <cp:lastModifiedBy>Tomasz Łojek</cp:lastModifiedBy>
  <cp:revision>6</cp:revision>
  <cp:lastPrinted>2017-04-26T07:16:00Z</cp:lastPrinted>
  <dcterms:created xsi:type="dcterms:W3CDTF">2022-05-11T15:38:00Z</dcterms:created>
  <dcterms:modified xsi:type="dcterms:W3CDTF">2022-05-12T09:07:00Z</dcterms:modified>
</cp:coreProperties>
</file>