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 fillcolor="window">
            <v:imagedata r:id="rId7" o:title=""/>
          </v:shape>
          <o:OLEObject Type="Embed" ProgID="CDraw" ShapeID="_x0000_i1025" DrawAspect="Content" ObjectID="_1797151254" r:id="rId8"/>
        </w:object>
      </w: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1C61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WOJEWODA PODKARPACKI</w:t>
      </w: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Grunwaldzka 15 </w:t>
      </w: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35-959 Rzeszów </w:t>
      </w: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OA-IV.431.4.2024</w:t>
      </w: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Rzeszów, 2024-12-</w:t>
      </w:r>
      <w:r w:rsidR="004E49EA">
        <w:rPr>
          <w:rFonts w:ascii="Times New Roman" w:eastAsia="Arial Unicode MS" w:hAnsi="Times New Roman" w:cs="Times New Roman"/>
          <w:sz w:val="24"/>
          <w:szCs w:val="24"/>
          <w:lang w:eastAsia="pl-PL"/>
        </w:rPr>
        <w:t>31</w:t>
      </w:r>
      <w:bookmarkStart w:id="0" w:name="_GoBack"/>
      <w:bookmarkEnd w:id="0"/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tabs>
          <w:tab w:val="center" w:pos="2127"/>
          <w:tab w:val="right" w:pos="878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1C6173" w:rsidRPr="001C6173" w:rsidRDefault="001C6173" w:rsidP="00F94C6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Dawid Homa</w:t>
      </w:r>
    </w:p>
    <w:p w:rsidR="001C6173" w:rsidRPr="00F94C64" w:rsidRDefault="001C6173" w:rsidP="00F94C6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4C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Świlcza</w:t>
      </w:r>
    </w:p>
    <w:p w:rsidR="001C6173" w:rsidRPr="001C6173" w:rsidRDefault="001C6173" w:rsidP="00F94C64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46 ust. 1 </w:t>
      </w: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>ustawy z dnia 15 lipca 2011 r. o kontroli w administracji rządowej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ze zrealizowaną w dniach 5 i 6 listopada 2024 r.</w:t>
      </w:r>
      <w:r w:rsidRPr="001C6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Świlcza (Urząd Gminy, 36-072 Świlcza 168)</w:t>
      </w:r>
      <w:r w:rsidRPr="001C61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problemową</w:t>
      </w:r>
      <w:r w:rsidRPr="001C61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1C6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przedmiotem była ocena działania systemów teleinformatycznych używanych do realizacji zadań zleconych z zakresu administracji rządowej z minimalnymi wymaganiami dla systemów teleinformatycznych - przekazuję niniejsze </w:t>
      </w:r>
      <w:r w:rsidRPr="001C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wystąpienie pokontrolne.</w:t>
      </w:r>
    </w:p>
    <w:p w:rsidR="001C6173" w:rsidRPr="001C6173" w:rsidRDefault="001C6173" w:rsidP="00F94C64">
      <w:pPr>
        <w:keepNext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Kontrolę przeprowadził zespół kontrolerów: Alicja Trygar (starszy inspektor wojewódzki), Tomasz Szmigiel (z-ca kierownika) na podstawie imiennych upoważnień do kontroli (pisma z dnia 25.10.2024 r., znak OA-IV.431.4.2024) udzielonych przez działającego z upoważnienia Wojewody Podkarpackiego – Dyrektora Wydziału Organizacyjno-Administracyjnego</w:t>
      </w: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.</w:t>
      </w:r>
    </w:p>
    <w:p w:rsidR="001C6173" w:rsidRPr="001C6173" w:rsidRDefault="001C6173" w:rsidP="00F94C64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kontrolne dokonane zostały w oparciu o stan faktyczny istniejący od 1 stycznia 2023 r.</w:t>
      </w:r>
      <w:r w:rsidRPr="001C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realizacji czynności kontrolnych włącznie.</w:t>
      </w:r>
    </w:p>
    <w:p w:rsidR="001C6173" w:rsidRPr="001C6173" w:rsidRDefault="001C6173" w:rsidP="00F94C64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priorytet Prezesa Rady Ministrów na 2024, pn.: Bezpieczeństwo teleinformatyczne oraz cyfryzacja usług i procesów w administracji”.</w:t>
      </w:r>
    </w:p>
    <w:p w:rsidR="001C6173" w:rsidRPr="001C6173" w:rsidRDefault="001C6173" w:rsidP="00F94C64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- w oparciu o kontrolowane dokumenty (przy zastosowaniu metody niestatystycznej, losowy dobór próby) - ustalono, iż pracownicy Urzędu Gminy Świlcza prawidłowo realizowali swoje zadania. Stwierdzone uchybienia w swych skutkach nie miały charakteru kluczowego (strategicznego) dla funkcjonowania kontrolowanej jednostki. W dużej mierze miały one charakter formalny, przejawiając się odstępstwami od stanu pożądanego, nie powodując jednak negatywnych następstw dla kontrolowanej działalności.</w:t>
      </w:r>
    </w:p>
    <w:p w:rsidR="001C6173" w:rsidRPr="001C6173" w:rsidRDefault="001C6173" w:rsidP="00F94C64">
      <w:pPr>
        <w:spacing w:before="100" w:beforeAutospacing="1" w:after="100" w:afterAutospacing="1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0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Kontrola nie wykazała okoliczności wskazujących na popełnienie przestępstwa, wykroczenia, naruszenia dyscypliny finansów publicznych lub innych czynów, za które ustawowo przewidziana jest odpowiedzialność prawna.</w:t>
      </w:r>
    </w:p>
    <w:p w:rsidR="001C6173" w:rsidRPr="001C6173" w:rsidRDefault="001C6173" w:rsidP="00F94C64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poczynione ustalenia, stosownie do skali ocen przyjętej w „Programie kontroli problemowej realizowanej </w:t>
      </w: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u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Świlcza”</w:t>
      </w:r>
      <w:r w:rsidRPr="001C61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C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w ww. zakresie należy ocenić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pozytywnie z uchybieniami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6173" w:rsidRPr="001C6173" w:rsidRDefault="001C6173" w:rsidP="00F94C6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dokumentacji źródłowej zespół kontrolny sformułował następującą ocenę kontrolowanych obszarów:</w:t>
      </w:r>
    </w:p>
    <w:p w:rsidR="001C6173" w:rsidRPr="001C6173" w:rsidRDefault="001C6173" w:rsidP="00F94C64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informacji w postaci elektronicznej, w tym współpraca z innymi systemami/rejestrami informatycznymi i wspomaganie świadczenia usług drogą elektroniczną – pozytywnie;</w:t>
      </w:r>
    </w:p>
    <w:p w:rsidR="001C6173" w:rsidRPr="001C6173" w:rsidRDefault="001C6173" w:rsidP="00F94C64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Wdrożenie systemu zarządzania bezpieczeństwem informacji w systemach teleinformatycznych – pozytywnie z uchybieniami;</w:t>
      </w:r>
    </w:p>
    <w:p w:rsidR="001C6173" w:rsidRPr="001C6173" w:rsidRDefault="001C6173" w:rsidP="00F94C64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systemów informatycznych do standardu WCAG 2.0 – pozytywnie.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Kontekst organizacyjny</w:t>
      </w:r>
    </w:p>
    <w:p w:rsidR="001C6173" w:rsidRPr="001C6173" w:rsidRDefault="001C6173" w:rsidP="00F94C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kierownika w Urzędzie Gminy Świlcza pełnił Wójt: Pan Dawid Homa.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Inspektora Ochrony Danych (IOD) powierzono wykonawcy zewnętrznemu Panu Danielowi Panek, na podstawie umowy ORP.2151.3.2024 z dnia 02.01.2024 z MP LEGAL </w:t>
      </w:r>
      <w:r w:rsidR="00F94C64"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Mielech, Panek </w:t>
      </w:r>
      <w:r w:rsidR="00F94C6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94C64"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Wspólnicy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Sp. Komandytowa.</w:t>
      </w:r>
    </w:p>
    <w:p w:rsidR="001C6173" w:rsidRPr="001C6173" w:rsidRDefault="001C6173" w:rsidP="00F94C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informatyczne zapewnione było przez jedną osobę będącą pracownikiem Urzędu Gminy. Pod opieką informatyka znajdowały się: środowiska sprzętowo-programowe, sieć lokalna i serwerownia, systemy i aplikacje centralne oraz własne, usprawniające pracę pracownikom Urzędu Gminy Świlcza. Dodatkowo zawarte zostały umowy z wykonawcami zewnętrznymi zapewniające wsparcie w zakresie środowiska sprzętowo-programowego, systemów i sieci.</w:t>
      </w:r>
    </w:p>
    <w:p w:rsidR="001C6173" w:rsidRPr="001C6173" w:rsidRDefault="001C6173" w:rsidP="00F94C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wyznaczona osoba odpowiedzialna za utrzymywanie kontaktów z podmiotami krajowego systemu cyberbezpieczeństwa (Zarządzenie nr 202.2020 Wójta Gminy Świlcza z dnia 10 listopada 2020 r.) oraz dokonano jej zgłoszenia do CSIRT NASK w dniu 17 listopada 2020 r.</w:t>
      </w:r>
    </w:p>
    <w:p w:rsidR="001C6173" w:rsidRPr="001C6173" w:rsidRDefault="001C6173" w:rsidP="00F94C64">
      <w:pPr>
        <w:spacing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</w:t>
      </w:r>
      <w:r w:rsidRPr="001C6173">
        <w:rPr>
          <w:rFonts w:ascii="Times New Roman" w:eastAsia="Calibri" w:hAnsi="Times New Roman" w:cs="Times New Roman"/>
          <w:sz w:val="24"/>
          <w:szCs w:val="24"/>
        </w:rPr>
        <w:t xml:space="preserve">w Urzędzie Gminy Świlcza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funkcjonowały systemy teleinformatyczne zakupione przez urząd oraz centralne m.in.: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a) systemy centralne:</w:t>
      </w:r>
    </w:p>
    <w:p w:rsidR="001C6173" w:rsidRPr="001C6173" w:rsidRDefault="001C6173" w:rsidP="00F94C64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System Rejestrów Państwowych (SRP) - dane o obywatelach zgromadzonych w poszczególnych rejestrach (rejestr PESEL, rejestr Dowodów Osobistych, rejestr Stanu Cywilnego)</w:t>
      </w:r>
    </w:p>
    <w:p w:rsidR="001C6173" w:rsidRPr="001C6173" w:rsidRDefault="001C6173" w:rsidP="00F94C64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C6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Elektroniczna Platforma Usług Administracji Publicznej</w:t>
      </w:r>
      <w:r w:rsidRPr="001C6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6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ePUAP)</w:t>
      </w:r>
    </w:p>
    <w:p w:rsidR="001C6173" w:rsidRPr="001C6173" w:rsidRDefault="001C6173" w:rsidP="00F94C64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 Centralna Ewidencja Działalności Gospodarczej (CEIDG)</w:t>
      </w:r>
    </w:p>
    <w:p w:rsidR="001C6173" w:rsidRPr="001C6173" w:rsidRDefault="001C6173" w:rsidP="00F94C64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systemy własne lub zakupione:</w:t>
      </w:r>
    </w:p>
    <w:p w:rsidR="001C6173" w:rsidRPr="001C6173" w:rsidRDefault="001C6173" w:rsidP="00F94C64">
      <w:pPr>
        <w:tabs>
          <w:tab w:val="left" w:pos="284"/>
          <w:tab w:val="left" w:pos="426"/>
        </w:tabs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CLANET Lokalny Rejestr Mieszkańców– firmy Clanet,</w:t>
      </w:r>
    </w:p>
    <w:p w:rsidR="001C6173" w:rsidRPr="001C6173" w:rsidRDefault="001C6173" w:rsidP="00F94C64">
      <w:pPr>
        <w:tabs>
          <w:tab w:val="left" w:pos="284"/>
        </w:tabs>
        <w:spacing w:after="0"/>
        <w:ind w:left="42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="00E7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zwrotów podatku akcyzowego – firmy Biuro Usług komputerowych SOFTRES sp. z o.o. w ramach oprogramowania Sprawny Urząd,</w:t>
      </w:r>
    </w:p>
    <w:p w:rsidR="001C6173" w:rsidRPr="001C6173" w:rsidRDefault="001C6173" w:rsidP="00F94C64">
      <w:pPr>
        <w:tabs>
          <w:tab w:val="left" w:pos="426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 Proton - Elektroniczny Obieg Dokumentów firmy Sputnik wdrożony w ramach projektu PSeAP (Podkarpacki System E-Administracji Publicznej),</w:t>
      </w:r>
    </w:p>
    <w:p w:rsidR="001C6173" w:rsidRPr="001C6173" w:rsidRDefault="001C6173" w:rsidP="00F94C64">
      <w:pPr>
        <w:tabs>
          <w:tab w:val="left" w:pos="284"/>
          <w:tab w:val="left" w:pos="426"/>
        </w:tabs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 poczta elektroniczna</w:t>
      </w:r>
    </w:p>
    <w:p w:rsidR="001C6173" w:rsidRPr="001C6173" w:rsidRDefault="001C6173" w:rsidP="00F94C64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 strona www</w:t>
      </w:r>
    </w:p>
    <w:p w:rsidR="001C6173" w:rsidRPr="001C6173" w:rsidRDefault="001C6173" w:rsidP="00F94C64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- BIP.</w:t>
      </w:r>
    </w:p>
    <w:p w:rsidR="001C6173" w:rsidRPr="001C6173" w:rsidRDefault="001C6173" w:rsidP="00F94C64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oceny są następujące ustalenia kontroli:</w:t>
      </w:r>
    </w:p>
    <w:p w:rsidR="001C6173" w:rsidRPr="001C6173" w:rsidRDefault="001C6173" w:rsidP="00F94C64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Wymiana informacji w postaci elektronicznej, w tym współpraca z innymi systemami/rejestrami informatycznymi i wspomaganie świadczenia usług drogą elektroniczną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6173" w:rsidRPr="001C6173" w:rsidRDefault="001C6173" w:rsidP="00E770DB">
      <w:pPr>
        <w:numPr>
          <w:ilvl w:val="1"/>
          <w:numId w:val="3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elektroniczne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Świlczy udostępniał elektroniczną skrzynkę podawczą (dalej: ESP) na platformie ePUAP, która pozwalała na przesłanie drogą elektroniczną pism kierowanych do urzędu, w tym pism ogólnych, skarg, wniosków, zapytań itp. Korespondencja z ePUAP odbierana była poprzez system Proton.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oraz BIP kontrolowanej jednostki znajdowała się informacja o adresie </w:t>
      </w:r>
      <w:r w:rsidRPr="00E770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elektronicznej skrzynki podawczej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E770DB">
      <w:pPr>
        <w:numPr>
          <w:ilvl w:val="1"/>
          <w:numId w:val="3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systemów teleinformatycznych z innymi systemami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Gminy Świlcza posiadali dostęp do rejestrów publicznych takich jak: SRP Źródło, CEIDG.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do obsługi Lokalnego Rejestru Mieszkańców komunikował się z usługami sieciowymi Systemu Rejestrów Państwowych w celu pobierania danych dzięki modułowi ImportSRP odpowiadającemu za transmisję danych z SRP do Rejestru Mieszkańców.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E770DB">
      <w:pPr>
        <w:numPr>
          <w:ilvl w:val="1"/>
          <w:numId w:val="3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dokumentów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Świlcza był wdrożony Proton - system Elektronicznego Obiegu Dokumentów umożliwiający częściowe zarządzanie dokumentami i wykonywanie czynności kancelaryjnych głównie w zakresie przyjmowania korespondencji.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Wdrożenie systemu zarządzania bezpieczeństwem informacji w systemach teleinformatycznych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 zakresu bezpieczeństwa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19 ust. 1 Rozporządzenia Rady Ministrów z dnia 21 maja 2024 r. w sprawie Krajowych Ram Interoperacyjności, minimalnych wymagań dla rejestrów publicznych i wymiany informacji w postaci elektronicznej oraz minimalnych wymagań dla systemów teleinformatycznych, zwanego dalej Rozporządzeniem KRI - podmiot realizujący zadania publiczne opracowuje i ustanawia, wdraża i eksploatuje, monitoruje i przegląda oraz utrzymuje i doskonali system zarządzania bezpieczeństwem informacji zapewniający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poufność, dostępność i integralność informacji z uwzględnieniem takich atrybutów, jak autentyczność, rozliczalność, niezaprzeczalność i niezawodność.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bezpieczeństwa teleinformatycznego w badanej jednostce nie został ustanowiony System Zarządzania Bezpieczeństwem Informacji (SZBI) według wymogów powyższego rozporządzenia KRI.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dokumenty z zakresu bezpieczeństwa informacji dotyczyły głównie ochrony danych osobowych, były to: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0"/>
          <w:numId w:val="7"/>
        </w:numPr>
        <w:spacing w:after="0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Bezpieczeństwa Danych Osobowych w Urzędzie Gminy Świlcza wraz z załącznikami, stanowiąca Załącznik Nr 1 do Zarządzenia Nr 140.2020 Wójta Gminy Świlcza z dnia 1 września 2020 r.;</w:t>
      </w:r>
    </w:p>
    <w:p w:rsidR="001C6173" w:rsidRPr="001C6173" w:rsidRDefault="001C6173" w:rsidP="00F94C64">
      <w:pPr>
        <w:numPr>
          <w:ilvl w:val="0"/>
          <w:numId w:val="7"/>
        </w:numPr>
        <w:spacing w:after="0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Bezpieczeństwa Danych Osobowych, stanowiąca Załącznik Nr 1 do Zarządzenia Nr 140.2020 Wójta Gminy Świlcza z dnia 1 września 2020 r.;</w:t>
      </w:r>
    </w:p>
    <w:p w:rsidR="001C6173" w:rsidRPr="001C6173" w:rsidRDefault="001C6173" w:rsidP="00F94C64">
      <w:pPr>
        <w:numPr>
          <w:ilvl w:val="0"/>
          <w:numId w:val="7"/>
        </w:numPr>
        <w:spacing w:after="0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Zarządzania Kluczami obowiązująca Urząd Gminy Świlcza stanowiąca Załącznik do Zarządzenia Nr 63/2012 Wójta Gminy Świlcza z dnia 6 czerwca 2012 r.;</w:t>
      </w:r>
    </w:p>
    <w:p w:rsidR="001C6173" w:rsidRPr="001C6173" w:rsidRDefault="001C6173" w:rsidP="00F94C64">
      <w:pPr>
        <w:numPr>
          <w:ilvl w:val="0"/>
          <w:numId w:val="7"/>
        </w:numPr>
        <w:spacing w:after="0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202.2020 Wójta Gminy Świlcza z dnia 10 listopada 2020 r. w sprawie wyznaczenia osoby odpowiedzialnej za utrzymywanie kontaktów z podmiotami krajowego systemu cyberbezpieczeństwa oraz wprowadzenia instrukcji zarządzania zdarzeniami mającymi negatywny wpływ na cyberbezpieczeństwo (tzw. incydentami);</w:t>
      </w:r>
    </w:p>
    <w:p w:rsidR="001C6173" w:rsidRPr="001C6173" w:rsidRDefault="001C6173" w:rsidP="00F94C64">
      <w:pPr>
        <w:numPr>
          <w:ilvl w:val="0"/>
          <w:numId w:val="7"/>
        </w:numPr>
        <w:spacing w:after="0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osób kontaktowych do CSIRT NASK z 17 listopada 2020 r.</w:t>
      </w:r>
    </w:p>
    <w:p w:rsidR="001C6173" w:rsidRPr="001C6173" w:rsidRDefault="001C6173" w:rsidP="00F94C64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zagrożeń związanych z przetwarzaniem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bezpieczeństwem opierało się na analizie ryzykiem związanym z ochroną danych osobowych. W tym celu stosowana była procedura określająca zasady przeprowadzenia analizy ryzyka w celu zabezpieczenia danych osobowych adekwatnych do zidentyfikowanych zagrożeń. 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analizy ryzyka - szacowania z 31.06.2022 r. został udostępniony na potrzeby kontroli. Były w nim opisane zagrożenia oraz adekwatne zabezpieczenia dotyczące czynności przetwarzania w zbiorach danych. Arkusz, od tego czasu nie był aktualizowany. Innych analiz zagrożeń związanych z przetwarzaniem informacji nie przedstawiono.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analizy ryzyka mają wpływać na decyzje odnośnie podniesienia bezpieczeństwa funkcjonowania jednostki, np. poprzez wzmocnienie kontroli zarządczej, system zastępstw na strategicznych stanowiskach, szkolenia pracowników w stosunku do zagrożonych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obszarów eksploatacji systemów informatycznych. Dokonując analizy ryzyka warto wziąć pod uwagę utratę integralności, dostępności lub poufności wszystkich informacji.</w:t>
      </w:r>
    </w:p>
    <w:p w:rsidR="001C6173" w:rsidRPr="001C6173" w:rsidRDefault="001C6173" w:rsidP="00F94C64">
      <w:pPr>
        <w:spacing w:after="0"/>
        <w:ind w:left="7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sprzętu i oprogramowania informatycznego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zawierającego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Regulacje wewnętrzne w Urzędzie Gminy nie zawierały zapisów dotyczących utrzymania aktualności inwentaryzacji sprzętu i oprogramowania służącego do przetwarzania informacji. 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poszczególnych podzespołów oraz oprogramowania była prowadzona głównie w Ewidencji Środków Trwałych (EST) firmy SOFTRES sp. z o.o.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nie dysponowała oprogramowaniem pozwalającym na identyfikację oprogramowania i komputerów w sieci.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do pracy bieżącej, użytkowane były komputery stacjonarne oraz laptopy, a do eksploatacji dopuszczone było tylko oprogramowanie autoryzowane przez ASI.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uprawnieniami do pracy w systemach informatycznych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Istotnym elementem polityki bezpieczeństwa informacji jest zarządzanie dostępem do systemów teleinformatycznych przetwarzających informacje. Zarządzanie dostępem ma na celu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badanym okresie zarządzanie uprawnieniami dostępu do przetwarzania danych regulowały: Polityka Bezpieczeństwa Danych Osobowych</w:t>
      </w:r>
      <w:r w:rsidR="00E7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Instrukcja Bezpieczeństwa Danych Osobowych. W zakresie zarządzania dostępem istotne procedury to: Zarządzanie dostępem do danych osobowych oraz </w:t>
      </w:r>
      <w:r w:rsidR="00E770D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rocedura określająca środki techniczne i organizacyjne niezbędne do zapewnienia poufności, integralności i rozliczalności przetwarzanych danych osobowych.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powyższa opisywała sposób dostępu do obszarów chronionych, sieci i systemów teleinformatycznych, a także nadawanie uprawnień użytkownikom oraz ich pracy w systemach informatycznych funkcjonujących w jednostce. Instrukcja i Polityka nie regulowały sposobu odbierania uprawnień użytkownikom lub ich zmiany w przypadku innego zakresu obowiązków.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uzyskiwali dostęp do zasobów informatycznych po przyznaniu zakresu obowiązków, zapoznaniu z obowiązującymi dokumentami, nadaniu unikalnego identyfikatora i hasła w systemie teleinformatycznym zgodnie z zakresem obowiązków.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uprawnień użytkowników badanych systemów uniemożliwiał wykonywanie przez nich działań zastrzeżonych dla administratorów systemów.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bieżąco odbywało się monitorowanie dostępu do zasobów informatycznych zgodnie z wymaganiami § 19 ust. 2 pkt 4 rozporządzenia KRI.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 byłych pracowników urzędu były sukcesywnie blokowane w systemach informatycznych.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zgłoszenia zmiany i odbioru uprawnień dla użytkownika w systemach informatycznych przekazywana była ustnie. Nie wykorzystywano do tego celu np. formularza wniosków o nadanie/odebranie uprawnień w systemie informatycznym.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pracowników zaangażowanych w proces przetwarzania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Istotnym elementem SZBI jest świadomość pracowników współodpowiedzialności za bezpieczeństwo informacji, zagrożeń i konsekwencji zaistnienia incydentów związanych z naruszeniem bezpieczeństwa.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Bezpieczeństwa Danych Osobowych uregulowany był zakres podnoszenia świadomości pracowników.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Kontrolującym przedstawiono informację o szkoleniach pracowników z 2024 roku, z zakresu bezpieczeństwa i ochrony danych osobowych. Wcześniejsze szkolenia nie zostały przedstawione. Nie przedstawiono również szkoleń odbytych przez Informatyka (poza tym z 2024 r.)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odległość i mobilne przetwarzanie danych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możliwości technicznych związanych z telepracą (pracą poza siedzibą podmiotu publicznego z wykorzystaniem urządzeń mobilnych takich jak laptopy, tablety, smartfony) pojawiają się nowe zagrożenia bezpieczeństwa informacji.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obowiązujących dokumentach były zawarte ogólne zasady zarządzania bezpieczną pracą na komputerach przenośnych i sposoby zabezpieczenia tych urządzeń (Zasady korzystania z komputerów przenośnych).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pracy bieżącej wykorzystywane były pendrive, które nie były szyfrowane. 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Laptopy były szyfrowane.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sprzętu informatycznego i oprogramowania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dokumentacji wewnętrznej zostały określone zasady współpracy z podmiotami trzecimi w zakresie naprawy sprzętu komputerowego.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bezpieczeństwa regulowały przede wszystkim umowy zawierane z firmami zewnętrznymi, w przypadku serwisowania sprzętu lub oprogramowania.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sprawdzanych umowach z firmami zewnętrznymi o asystę i opiekę autorską lub serwisową nie zawsze były określone SLA (Service Level Agreement), czyli gwarantowany poziom świadczenia usług oraz czas i sposób reakcji na zgłaszane problemy (udostępniono umowę z Biurem Usług komputerowych SOFTRES sp. z o.o. – 2024 r., oraz z CLANET Sp. z o.o. – na 2024 r.).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systemów informatycznych istotnych dla jednostki nie zawsze zostały zawarte umowy powierzenia przetwarzania danych osobowych (np. stosowne zapisy w umowie z Biurem Usług komputerowych SOFTRES sp. z o.o.).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zgłaszania incydentów naruszenia bezpieczeństwa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określone zasady postępowania w przypadku stwierdzenia naruszenia bezpieczeństwa danych osobowych w Polityce Bezpieczeństwa Danych Osobowych (Postępowanie w przypadku stwierdzenia naruszenia bezpieczeństwa danych osobowych) oraz w Instrukcji Bezpieczeństwa Danych Osobowych (Zgłaszanie zdarzeń mogących świadczyć o naruszeniu bezpieczeństwa). W przypadku naruszenia bezpieczeństwa pozostałych informacji została ustanowiona Instrukcja zarządzania zdarzeniami mającymi negatywny wpływ na cyberbezpieczeństwo (tzw. incydentami).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rejestr incydentów bezpieczeństwa nie zawierał wpisów.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 z zakresu bezpieczeństwa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z zakresu bezpieczeństwa informacji nie rzadziej niż raz na rok, w rozumieniu § 19 ust. 14 rozporządzenia Rady Ministrów z dnia 21 maja 2024 r. w sprawie Krajowych Ram Interoperacyjności, minimalnych wymagań dla rejestrów publicznych i wymiany informacji w postaci elektronicznej oraz minimalnych wymagań dla systemów teleinformatycznych był wykonany corocznie. Ostatni audyt odbył się w 2024 r. Została także przeprowadzona diagnoza cyberbezpieczeństwa w ramach Projektu „Cyfrowa Gmina” w 2022 r. Warto zwrócić uwagę, że celem audytów jest ewentualne ujawnienie słabości systemów, a także słabości zabezpieczeń lub ich stosowania.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audytu powinny wpłynąć na doskonalenie tych zabezpieczeń, sposobów ich stosowania, a także na program szkoleń z bezpieczeństwa informacji.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zapasowe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kopii zapasowych zapobiega utracie informacji w wyniku awarii.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powinny być właściwie tworzone, przechowywane i testowane.</w:t>
      </w:r>
      <w:r w:rsidRPr="001C6173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sprawdzanej Polityce i Instrukcji nie było informacji w zakresie obowiązku tworzenia kopii zapasowych oraz ich testowego przywracania mających na celu zapewnienie ciągłości pracy i bezpieczeństwa w systemach informatycznych. Na potrzeby kontroli została sporządzona przez Informatyka notatka zawierająca Procedurę tworzenia kopii zapasowych wraz z testowym przywracaniem maszyn wirtualnych. 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kopii zapasowych było prowadzone przy pomocy specjalistycznego oprogramowania do backupu.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Kopie zapasowe były przechowywane w innej lokalizacji niż serwerownia.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kopii bezpieczeństwa miały tylko osoby upoważnione przez Administratora Danych Osobowych.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odtworzenia systemów z kopii zapasowych było przeprowadzane przez Informatyka lub firmy nadzorujące użytkowane systemy.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wdrażanie i eksploatacja systemów teleinformatycznych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Świlcza proces administrowania technicznego i monitorowania określonych obszarów systemów, aplikacji, danych, infrastruktury sieciowej i stacji roboczych był wykonywany przez </w:t>
      </w:r>
      <w:r w:rsidR="001D6B2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Informatyka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pozwalało na przewidywanie i zapobieganie ewentualnym problemom związanym z awariami, wyciekami bądź utratą danych.</w:t>
      </w:r>
    </w:p>
    <w:p w:rsidR="001C6173" w:rsidRPr="001C6173" w:rsidRDefault="001C6173" w:rsidP="00F94C6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centralne, w ramach kontroli podlegały badaniu w ograniczonym zakresie, ze względu na centralne polityki, procedury, wdrożenia i dostępy.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Wybrane systemy własne lub zakupione podlegały sprawdzeniu w zakresie zgodności z rozdz. IV </w:t>
      </w: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rozporządzenia Rady Ministrów z dnia 21 maja 2024 r. w sprawie Krajowych Ram Interoperacyjności, minimalnych wymagań dla rejestrów publicznych i wymiany informacji w postaci elektronicznej oraz minimalnych wymagań dla systemów teleinformatycznych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Najistotniejsze systemy były objęte opieką na podstawie umów opieki autorskiej lub serwisowej.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 zgłaszali problemów z funkcjonalnością badanych systemów.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techniczno-organizacyjne dostępu do informacji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Szereg zabezpieczeń techniczno-organizacyjnych dostępu do informacji opisano w Polityce Bezpieczeństwa Danych Osobowych (Określenie środków technicznych i organizacyjnych niezbędnych do zapewnienia poufności, integralności i rozliczalności przetwarzanych danych osobowych, Zarządzania dostępem do danych osobowych) i Instrukcji Bezpieczeństwa Danych Osobowych.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przetwarzanych informacji przed ich kradzieżą, nieuprawnionym dostępem, uszkodzeniami lub zakłóceniami realizowana była przez:</w:t>
      </w:r>
    </w:p>
    <w:p w:rsidR="001C6173" w:rsidRPr="001C6173" w:rsidRDefault="001C6173" w:rsidP="00F94C64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dostępu do informacji poprzez wymuszone logowanie użytkowników za pomocą kart lub poprzez podanie unikalnego hasła do badanych systemów;</w:t>
      </w:r>
    </w:p>
    <w:p w:rsidR="001C6173" w:rsidRPr="001C6173" w:rsidRDefault="001C6173" w:rsidP="00F94C64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i monitorowanie zabezpieczenia fizycznego dostępu do pomieszczeń;</w:t>
      </w:r>
    </w:p>
    <w:p w:rsidR="001C6173" w:rsidRPr="001C6173" w:rsidRDefault="001C6173" w:rsidP="00F94C64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:rsidR="001C6173" w:rsidRPr="001C6173" w:rsidRDefault="001C6173" w:rsidP="00F94C64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środków uniemożliwiających nieautoryzowany dostęp na poziomie systemów operacyjnych, usług sieciowych i aplikacji poprzez system autoryzacji 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dostępu do systemów operacyjnych, sieci i aplikacji, stosowania systemów antywirusowych i antyspamowych.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ruchu wchodzącego i wychodzącego realizowane było przez maszynę sprzętową UTM Fortigate. Konfiguracja i nadzór nad urządzeniem zostało powierzony wykonawcy zewnętrznemu.</w:t>
      </w:r>
    </w:p>
    <w:p w:rsidR="001C6173" w:rsidRPr="001C6173" w:rsidRDefault="001C6173" w:rsidP="00F94C6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Świlcza pomieszczenia biurowe pracowników zlokalizowane były w głównym budynku, częściowo w sąsiednim budynku.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 był objęty systemem alarmowym ochrony oraz był objęty systemem monitoringu. Do otwierania głównych drzwi budynku byli upoważnieni wyznaczeni pracownicy.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dysponował jedną serwerownią główną, która znajdowała się w pomieszczeniu przeznaczonym na ten cel oraz dodatkowym miejscem, znajdującym się w niewielkim pomieszczeniu, na infrastrukturę sprzętową dedykowaną dla drugiego budynku. Dostęp do serwerowni był ograniczony i możliwy jedynie dla upoważnionych pracowników urzędu. Nie występowała kontrola dostępu. Ważnym elementem ochrony było asystowanie osobom wchodzącym i wykonującym prace serwisowe.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Serwerownia posiadała system alarmowy. Nie występowało monitorowanie parametrów środowiskowych w serwerowni (np. wilgotności, zalania, temperatury). Pomieszczenie było klimatyzowane.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do serwerowni były wzmocnione, natomiast okno znajdujące się w pomieszczeniu nie było zabezpieczone.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serwerowni znajdował się UPS, który podtrzymywał pracę serwera, urządzeń sieciowych oraz komputerów. Dodatkowo przy stanowiskach komputerowych również znajdowały się UPSy.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pomieszczeniu nie były przechowywane materiały łatwopalne. 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urządzenie infrastruktury informatycznej: serwer, urządzenia sieciowe były zakupione w ramach Projektów.</w:t>
      </w:r>
    </w:p>
    <w:p w:rsidR="001C6173" w:rsidRPr="001C6173" w:rsidRDefault="001C6173" w:rsidP="00F94C6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komputery oraz urządzenie sieciowe posiadały oprogramowanie systemowe zaktualizowane do wersji posiadających wsparcie producenta.</w:t>
      </w:r>
    </w:p>
    <w:p w:rsidR="001C6173" w:rsidRPr="001C6173" w:rsidRDefault="001C6173" w:rsidP="00F94C6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techniczno-organizacyjne systemów informatycznych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zabezpieczeń techniczno-organizacyjnych również powinno wynikać z analizy ryzyka i powstałego w jej wyniku planu postępowania z ryzykiem i deklaracji stosowania zabezpieczeń.</w:t>
      </w:r>
    </w:p>
    <w:p w:rsidR="001C6173" w:rsidRPr="001C6173" w:rsidRDefault="001C6173" w:rsidP="00F94C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bezpieczeństwa systemów teleinformatycznych zapewniono poprzez:</w:t>
      </w:r>
    </w:p>
    <w:p w:rsidR="001C6173" w:rsidRPr="001C6173" w:rsidRDefault="001C6173" w:rsidP="00F94C6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aktualizację oprogramowania oraz redukcję ryzyk wynikających z wykorzystywania opublikowanych podatności technicznych systemów teleinformatycznych (w tym oprogramowania antywirusowego);</w:t>
      </w:r>
    </w:p>
    <w:p w:rsidR="001C6173" w:rsidRPr="001C6173" w:rsidRDefault="001C6173" w:rsidP="00F94C6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wdrożona usługa katalogowa Active Directory, która pozwalała na zarządzanie tożsamościami i relacjami w sieci, przez co umożliwiała sprawniejszą kontrolę nad całą siecią. </w:t>
      </w:r>
    </w:p>
    <w:p w:rsidR="001C6173" w:rsidRPr="001C6173" w:rsidRDefault="001C6173" w:rsidP="00F94C64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Rozliczalność działań w systemach informatycznych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:rsidR="001C6173" w:rsidRPr="001C6173" w:rsidRDefault="001C6173" w:rsidP="00F94C64">
      <w:pPr>
        <w:spacing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Świlcza nie dysponował regulacjami wewnętrznymi, określającymi zasady rozliczalności działań użytkowników wykonywanych w systemach informatycznych. 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Sprawdzane systemy informatyczne użytkowe nie miały udokumentowanej rozliczalności.</w:t>
      </w:r>
    </w:p>
    <w:p w:rsidR="001C6173" w:rsidRPr="001C6173" w:rsidRDefault="001C6173" w:rsidP="00F94C64">
      <w:pPr>
        <w:spacing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B47018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dostępności informacji zawartych na stronach internetowych urzędów dla osób niepełnosprawnych</w:t>
      </w:r>
    </w:p>
    <w:p w:rsidR="001C6173" w:rsidRPr="001C6173" w:rsidRDefault="001C6173" w:rsidP="00F94C64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W 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:rsidR="001C6173" w:rsidRPr="001C6173" w:rsidRDefault="001C6173" w:rsidP="00F94C6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Systemy informatyczne wspomagające realizację zadań urzędu nie były objęte wymogami WCAG 2.0 w zakresie dostępności ze względu na brak interakcji z klientami za pośrednictwem sieci publicznej.</w:t>
      </w:r>
    </w:p>
    <w:p w:rsidR="001C6173" w:rsidRPr="001C6173" w:rsidRDefault="001C6173" w:rsidP="00F94C6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Analizując poprawność kodu strony BIP poprzez walidator dostępny pod adresem: https://validator.utilitia.pl/ badana strona uzyskała wynik 5,5 pkt na 10 możliwych, natomiast strona www uzyskała wynik 3,2 pkt na 10 możliwych. </w:t>
      </w:r>
    </w:p>
    <w:p w:rsidR="001C6173" w:rsidRPr="001C6173" w:rsidRDefault="001C6173" w:rsidP="00F94C64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Ww. ustalenia, w tym ocena kontrolowanej działalności, zostały udokumentowane w aktach kontroli, na które składają się kopie dokumentów oraz dokumenty przesłane </w:t>
      </w:r>
      <w:r w:rsidR="00B470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urząd drogą elektroniczną</w:t>
      </w: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C6173" w:rsidRPr="001C6173" w:rsidRDefault="001C6173" w:rsidP="00F94C64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czym do ww. ustaleń kontrolnych (przekazanych do wiadomości w dniu 6 grudnia 2024 r.) przysługiwało Panu, na podstawie ww. ustawy o kontroli w administracji rządowej, prawo zgłoszenia umotywowanych pisemnych zastrzeżeń, z którego Pan nie skorzystał.</w:t>
      </w:r>
    </w:p>
    <w:p w:rsidR="001C6173" w:rsidRPr="001C6173" w:rsidRDefault="001C6173" w:rsidP="00F94C64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powyższym, stosownie do art. 46 ust. 1 ustawy o kontroli w administracji rządowej, sporządzono niniejsze wystąpienie pokontrolne, obejmujące m.in. treść projektu wystąpienia pokontrolnego.</w:t>
      </w:r>
    </w:p>
    <w:p w:rsidR="00DD402C" w:rsidRDefault="001C6173" w:rsidP="00F94C64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Przedstawiając powyższe uwagi i oceny, dokonane m.in. w oparciu o projekt wystąpienia pokontrolnego oraz ww. akta kontroli, w celu usunięcia stwierdzonych uchybień oraz usprawnienia badanej działalności, przekazuję Panu poniższe wnioski, zalecenia pokontrolne</w:t>
      </w:r>
      <w:r w:rsidR="00DD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C6173" w:rsidRPr="001C6173" w:rsidRDefault="00DD402C" w:rsidP="00F94C64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</w:t>
      </w:r>
      <w:r w:rsidR="001C6173" w:rsidRPr="001C6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godnie z wymogami § 19 ust. 1-14 Rozporządzenia Rady Ministrów z dnia 21 maja 2024 r. w sprawie Krajowych Ram Interoperacyjności, minimalnych wymagań dla rejestrów publicznych i wymiany informacji w postaci elektronicznej oraz minimalnych wymagań dla systemów teleinformatycznych: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Dokonać analizy wszystkich umów serwisowych ze stronami trzecimi i w razie potrzeby uzupełnić je o zapisy gwarantujące odpowiedni poziom bezpieczeństwa informacji, w tym określić SLA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(ciągłość działania) 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oraz prowadzić nadzór nad wykonawcami w zakresie zgodności z regulacjami i zapisami.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Dążyć do wzmocnienia zabezpieczeń techniczno-organizacyjnych pomieszczenia pełniącego rolę serwerowni.</w:t>
      </w:r>
    </w:p>
    <w:p w:rsidR="00F3050F" w:rsidRPr="00062C5F" w:rsidRDefault="00F3050F" w:rsidP="00F3050F">
      <w:pPr>
        <w:pStyle w:val="Akapitzlist"/>
        <w:numPr>
          <w:ilvl w:val="0"/>
          <w:numId w:val="8"/>
        </w:numPr>
        <w:spacing w:after="120" w:line="276" w:lineRule="auto"/>
        <w:ind w:left="0" w:firstLine="0"/>
        <w:jc w:val="both"/>
        <w:rPr>
          <w:color w:val="000000" w:themeColor="text1"/>
        </w:rPr>
      </w:pPr>
      <w:r w:rsidRPr="00062C5F">
        <w:rPr>
          <w:color w:val="000000" w:themeColor="text1"/>
        </w:rPr>
        <w:t>Niezbędne jest ustalenie, wdrożenie, a następnie eksploatowanie, monitorowanie, przeglądanie i doskonalenie pełnego systemu zarządzania bezpieczeństwem informacji uwzględniającego zarządzanie ryzykiem i ciągłość działania systemu bezpieczeństwa informacji.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sz w:val="24"/>
          <w:szCs w:val="24"/>
        </w:rPr>
        <w:t>Wdrożyć szyfrowanie wszystkich urządzeń przenośnych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Przeprowadzać cyklicznie szkolenia z zakresu nie tylko ochrony danych osobowych lecz również z zakresu bezpieczeństwa informacji, obejmujące wszystkie osoby uczestniczące w procesie przetwarzania informacji. Szkolenia te powinny dostarczać aktualnej wiedzy o nowych zagrożeniach, adekwatnych zabezpieczeniach oraz skutkach ewentualnych incydentów naruszenia bezpieczeństwa informacji.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Ustanowić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procedurze 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i uruchomić rozliczalność działań w systemach informatycznych użytkowników i obiektów oraz ich regularny przegląd.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Wprowadzić inwentaryzację sprzętu i oprogramowania informatycznego  służącego do przetwarzania informacji obejmującej ich rodzaj i konfigurację (§ 19 ust. 2 pkt 2 Rozporządzenia Rady Ministrów z dnia 21 maja 2024 r. w sprawie Krajowych Ram Interoperacyjności, minimalnych wymagań dla rejestrów publicznych i wymiany informacji w postaci elektronicznej oraz minimalnych wymagań dla systemów teleinformatycznych).</w:t>
      </w:r>
    </w:p>
    <w:p w:rsidR="00F3050F" w:rsidRPr="00062C5F" w:rsidRDefault="00F3050F" w:rsidP="00F3050F">
      <w:pPr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celu zapewnienie bezpieczeństwa informacj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p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odejmować działania zapewniające, że osoby zaangażowane w proces przetwarzania informacji posiadają stosowne uprawnienia i uczestniczą w tym procesie w stopniu adekwatnym do realizowanych przez nie zadań oraz obowiązków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Te działania powinny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uprawnić proces przekazywania informacji m. in. w przypadku 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bezzwłoczn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uprawnień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ich odebrania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np. poprzez system obiegu korespondencji</w:t>
      </w:r>
      <w:r w:rsidRPr="00062C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050F" w:rsidRDefault="00F3050F" w:rsidP="00F3050F"/>
    <w:p w:rsidR="001C6173" w:rsidRPr="001C6173" w:rsidRDefault="001C6173" w:rsidP="00F94C64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sposobie wykonania powyższych wniosków pokontrolnych, bądź działaniach podjętych w celu ich realizacji, oczekuję od Pana odpowiedzi na piśmie, w terminie </w:t>
      </w: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dni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6173">
        <w:rPr>
          <w:rFonts w:ascii="Times New Roman" w:eastAsia="Arial Unicode MS" w:hAnsi="Times New Roman" w:cs="Times New Roman"/>
          <w:sz w:val="24"/>
          <w:szCs w:val="24"/>
          <w:lang w:eastAsia="pl-PL"/>
        </w:rPr>
        <w:t>od dnia otrzymania niniejszego wystąpienia</w:t>
      </w:r>
      <w:r w:rsidRPr="001C61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6173" w:rsidRPr="001C6173" w:rsidRDefault="001C6173" w:rsidP="00F9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50F" w:rsidRDefault="00F3050F" w:rsidP="00F94C64">
      <w:pPr>
        <w:spacing w:after="120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50F" w:rsidRDefault="00F3050F" w:rsidP="00F94C64">
      <w:pPr>
        <w:spacing w:after="120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50F" w:rsidRDefault="00F3050F" w:rsidP="00F94C64">
      <w:pPr>
        <w:spacing w:after="120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6173" w:rsidRPr="001C6173" w:rsidRDefault="001C6173" w:rsidP="00F94C64">
      <w:pPr>
        <w:spacing w:after="120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1C6173" w:rsidRPr="001C6173" w:rsidRDefault="00F3050F" w:rsidP="00F3050F">
      <w:pPr>
        <w:spacing w:after="120"/>
        <w:ind w:left="1978" w:right="425" w:firstLine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1C6173"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1C6173" w:rsidRPr="001C6173" w:rsidRDefault="00F3050F" w:rsidP="00F3050F">
      <w:pPr>
        <w:spacing w:after="0"/>
        <w:ind w:left="561" w:right="423" w:firstLine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1C6173" w:rsidRPr="001C6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Kubas-Hul</w:t>
      </w:r>
    </w:p>
    <w:p w:rsidR="001C6173" w:rsidRPr="001C6173" w:rsidRDefault="001C6173" w:rsidP="00F94C64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6173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(Podpisane bezpiecznym podpisem elektronicznym)</w:t>
      </w:r>
    </w:p>
    <w:p w:rsidR="008E58AC" w:rsidRPr="00F94C64" w:rsidRDefault="00D814A4" w:rsidP="00F94C64">
      <w:pPr>
        <w:jc w:val="both"/>
        <w:rPr>
          <w:rFonts w:ascii="Times New Roman" w:hAnsi="Times New Roman" w:cs="Times New Roman"/>
        </w:rPr>
      </w:pPr>
    </w:p>
    <w:sectPr w:rsidR="008E58AC" w:rsidRPr="00F94C64" w:rsidSect="00E770DB">
      <w:footerReference w:type="default" r:id="rId9"/>
      <w:footerReference w:type="first" r:id="rId10"/>
      <w:pgSz w:w="11906" w:h="16838" w:code="9"/>
      <w:pgMar w:top="993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A4" w:rsidRDefault="00D814A4" w:rsidP="001C6173">
      <w:pPr>
        <w:spacing w:after="0" w:line="240" w:lineRule="auto"/>
      </w:pPr>
      <w:r>
        <w:separator/>
      </w:r>
    </w:p>
  </w:endnote>
  <w:endnote w:type="continuationSeparator" w:id="0">
    <w:p w:rsidR="00D814A4" w:rsidRDefault="00D814A4" w:rsidP="001C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9" w:rsidRPr="00F94C64" w:rsidRDefault="00DD402C" w:rsidP="00A937AD">
    <w:pPr>
      <w:pStyle w:val="Stopka"/>
      <w:tabs>
        <w:tab w:val="clear" w:pos="9072"/>
        <w:tab w:val="right" w:pos="8789"/>
      </w:tabs>
      <w:rPr>
        <w:rFonts w:ascii="Times New Roman" w:hAnsi="Times New Roman" w:cs="Times New Roman"/>
        <w:sz w:val="20"/>
        <w:szCs w:val="20"/>
      </w:rPr>
    </w:pPr>
    <w:r w:rsidRPr="00F94C64">
      <w:rPr>
        <w:rFonts w:ascii="Times New Roman" w:hAnsi="Times New Roman" w:cs="Times New Roman"/>
        <w:sz w:val="20"/>
        <w:szCs w:val="20"/>
      </w:rPr>
      <w:t>OA-IV.431.4.2024</w:t>
    </w:r>
    <w:r w:rsidRPr="00F94C64">
      <w:rPr>
        <w:rFonts w:ascii="Times New Roman" w:hAnsi="Times New Roman" w:cs="Times New Roman"/>
        <w:sz w:val="20"/>
        <w:szCs w:val="20"/>
      </w:rPr>
      <w:tab/>
    </w:r>
    <w:r w:rsidRPr="00F94C64">
      <w:rPr>
        <w:rFonts w:ascii="Times New Roman" w:hAnsi="Times New Roman" w:cs="Times New Roman"/>
        <w:sz w:val="20"/>
        <w:szCs w:val="20"/>
      </w:rPr>
      <w:tab/>
      <w:t xml:space="preserve">str. </w: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F94C64">
      <w:rPr>
        <w:rStyle w:val="Numerstrony"/>
        <w:rFonts w:ascii="Times New Roman" w:hAnsi="Times New Roman" w:cs="Times New Roman"/>
        <w:sz w:val="20"/>
        <w:szCs w:val="20"/>
      </w:rPr>
      <w:instrText xml:space="preserve"> PAGE </w:instrTex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4E49EA">
      <w:rPr>
        <w:rStyle w:val="Numerstrony"/>
        <w:rFonts w:ascii="Times New Roman" w:hAnsi="Times New Roman" w:cs="Times New Roman"/>
        <w:noProof/>
        <w:sz w:val="20"/>
        <w:szCs w:val="20"/>
      </w:rPr>
      <w:t>2</w: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end"/>
    </w:r>
    <w:r w:rsidRPr="00F94C64">
      <w:rPr>
        <w:rStyle w:val="Numerstrony"/>
        <w:rFonts w:ascii="Times New Roman" w:hAnsi="Times New Roman" w:cs="Times New Roman"/>
        <w:sz w:val="20"/>
        <w:szCs w:val="20"/>
      </w:rPr>
      <w:t xml:space="preserve"> z </w: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F94C64">
      <w:rPr>
        <w:rStyle w:val="Numerstrony"/>
        <w:rFonts w:ascii="Times New Roman" w:hAnsi="Times New Roman" w:cs="Times New Roman"/>
        <w:sz w:val="20"/>
        <w:szCs w:val="20"/>
      </w:rPr>
      <w:instrText xml:space="preserve"> NUMPAGES </w:instrTex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4E49EA">
      <w:rPr>
        <w:rStyle w:val="Numerstrony"/>
        <w:rFonts w:ascii="Times New Roman" w:hAnsi="Times New Roman" w:cs="Times New Roman"/>
        <w:noProof/>
        <w:sz w:val="20"/>
        <w:szCs w:val="20"/>
      </w:rPr>
      <w:t>12</w:t>
    </w:r>
    <w:r w:rsidRPr="00F94C64">
      <w:rPr>
        <w:rStyle w:val="Numerstrony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9" w:rsidRPr="005A0CF1" w:rsidRDefault="00DD402C" w:rsidP="00A937AD">
    <w:pPr>
      <w:pStyle w:val="Stopka"/>
      <w:tabs>
        <w:tab w:val="clear" w:pos="9072"/>
        <w:tab w:val="right" w:pos="8789"/>
      </w:tabs>
      <w:jc w:val="right"/>
      <w:rPr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5A0CF1">
      <w:rPr>
        <w:sz w:val="20"/>
        <w:szCs w:val="20"/>
      </w:rPr>
      <w:t xml:space="preserve">str.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PAGE </w:instrText>
    </w:r>
    <w:r w:rsidRPr="005A0CF1">
      <w:rPr>
        <w:rStyle w:val="Numerstrony"/>
        <w:sz w:val="20"/>
        <w:szCs w:val="20"/>
      </w:rPr>
      <w:fldChar w:fldCharType="separate"/>
    </w:r>
    <w:r w:rsidR="004E49EA">
      <w:rPr>
        <w:rStyle w:val="Numerstrony"/>
        <w:noProof/>
        <w:sz w:val="20"/>
        <w:szCs w:val="20"/>
      </w:rPr>
      <w:t>1</w:t>
    </w:r>
    <w:r w:rsidRPr="005A0CF1">
      <w:rPr>
        <w:rStyle w:val="Numerstrony"/>
        <w:sz w:val="20"/>
        <w:szCs w:val="20"/>
      </w:rPr>
      <w:fldChar w:fldCharType="end"/>
    </w:r>
    <w:r w:rsidRPr="005A0CF1">
      <w:rPr>
        <w:rStyle w:val="Numerstrony"/>
        <w:sz w:val="20"/>
        <w:szCs w:val="20"/>
      </w:rPr>
      <w:t xml:space="preserve"> z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NUMPAGES </w:instrText>
    </w:r>
    <w:r w:rsidRPr="005A0CF1">
      <w:rPr>
        <w:rStyle w:val="Numerstrony"/>
        <w:sz w:val="20"/>
        <w:szCs w:val="20"/>
      </w:rPr>
      <w:fldChar w:fldCharType="separate"/>
    </w:r>
    <w:r w:rsidR="004E49EA">
      <w:rPr>
        <w:rStyle w:val="Numerstrony"/>
        <w:noProof/>
        <w:sz w:val="20"/>
        <w:szCs w:val="20"/>
      </w:rPr>
      <w:t>12</w:t>
    </w:r>
    <w:r w:rsidRPr="005A0CF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A4" w:rsidRDefault="00D814A4" w:rsidP="001C6173">
      <w:pPr>
        <w:spacing w:after="0" w:line="240" w:lineRule="auto"/>
      </w:pPr>
      <w:r>
        <w:separator/>
      </w:r>
    </w:p>
  </w:footnote>
  <w:footnote w:type="continuationSeparator" w:id="0">
    <w:p w:rsidR="00D814A4" w:rsidRDefault="00D814A4" w:rsidP="001C6173">
      <w:pPr>
        <w:spacing w:after="0" w:line="240" w:lineRule="auto"/>
      </w:pPr>
      <w:r>
        <w:continuationSeparator/>
      </w:r>
    </w:p>
  </w:footnote>
  <w:footnote w:id="1">
    <w:p w:rsidR="001C6173" w:rsidRPr="00E770DB" w:rsidRDefault="001C6173" w:rsidP="001C617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70DB">
        <w:rPr>
          <w:rStyle w:val="Odwoanieprzypisudolnego"/>
          <w:rFonts w:ascii="Times New Roman" w:hAnsi="Times New Roman" w:cs="Times New Roman"/>
          <w:sz w:val="28"/>
          <w:szCs w:val="28"/>
        </w:rPr>
        <w:footnoteRef/>
      </w:r>
      <w:r w:rsidRPr="00E77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0DB">
        <w:rPr>
          <w:rFonts w:ascii="Times New Roman" w:hAnsi="Times New Roman" w:cs="Times New Roman"/>
          <w:sz w:val="18"/>
          <w:szCs w:val="18"/>
        </w:rPr>
        <w:t>W oparciu o zatwierdzony w dniu 13 grudnia 2023 r. „Plan zewnętrznej działalności kontrolnej Podkarpackiego Urzędu Wojewódzkiego w Rzeszowie na 2024 rok”.</w:t>
      </w:r>
    </w:p>
  </w:footnote>
  <w:footnote w:id="2">
    <w:p w:rsidR="001C6173" w:rsidRPr="00F94C64" w:rsidRDefault="001C6173" w:rsidP="001C61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4C64">
        <w:rPr>
          <w:rStyle w:val="Odwoanieprzypisudolnego"/>
          <w:rFonts w:ascii="Times New Roman" w:hAnsi="Times New Roman" w:cs="Times New Roman"/>
          <w:sz w:val="28"/>
          <w:szCs w:val="28"/>
        </w:rPr>
        <w:footnoteRef/>
      </w:r>
      <w:r w:rsidRPr="00F94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C64">
        <w:rPr>
          <w:rFonts w:ascii="Times New Roman" w:hAnsi="Times New Roman" w:cs="Times New Roman"/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9AE32FE"/>
    <w:multiLevelType w:val="hybridMultilevel"/>
    <w:tmpl w:val="FB4C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6F1"/>
    <w:multiLevelType w:val="hybridMultilevel"/>
    <w:tmpl w:val="4696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73"/>
    <w:rsid w:val="001C6173"/>
    <w:rsid w:val="001D6B23"/>
    <w:rsid w:val="004E49EA"/>
    <w:rsid w:val="0099380C"/>
    <w:rsid w:val="00B47018"/>
    <w:rsid w:val="00D814A4"/>
    <w:rsid w:val="00DB0E80"/>
    <w:rsid w:val="00DD402C"/>
    <w:rsid w:val="00E770DB"/>
    <w:rsid w:val="00F3050F"/>
    <w:rsid w:val="00F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4EB9"/>
  <w15:docId w15:val="{47F3D840-DA9E-404D-A4C6-78B10F9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173"/>
  </w:style>
  <w:style w:type="character" w:styleId="Numerstrony">
    <w:name w:val="page number"/>
    <w:basedOn w:val="Domylnaczcionkaakapitu"/>
    <w:rsid w:val="001C6173"/>
  </w:style>
  <w:style w:type="character" w:styleId="Odwoanieprzypisudolnego">
    <w:name w:val="footnote reference"/>
    <w:semiHidden/>
    <w:rsid w:val="001C61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4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C64"/>
  </w:style>
  <w:style w:type="paragraph" w:styleId="Akapitzlist">
    <w:name w:val="List Paragraph"/>
    <w:basedOn w:val="Normalny"/>
    <w:uiPriority w:val="34"/>
    <w:qFormat/>
    <w:rsid w:val="00F3050F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4168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Kamila Filipczak-Stasicka</cp:lastModifiedBy>
  <cp:revision>6</cp:revision>
  <cp:lastPrinted>2024-12-20T06:27:00Z</cp:lastPrinted>
  <dcterms:created xsi:type="dcterms:W3CDTF">2024-12-20T06:14:00Z</dcterms:created>
  <dcterms:modified xsi:type="dcterms:W3CDTF">2024-12-31T10:54:00Z</dcterms:modified>
</cp:coreProperties>
</file>