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C3" w:rsidRPr="00C96DC3" w:rsidRDefault="00C96DC3" w:rsidP="00C96DC3">
      <w:pPr>
        <w:pStyle w:val="Akapitzlist"/>
        <w:numPr>
          <w:ilvl w:val="0"/>
          <w:numId w:val="1"/>
        </w:numPr>
        <w:spacing w:line="360" w:lineRule="auto"/>
        <w:rPr>
          <w:i/>
          <w:sz w:val="24"/>
          <w:szCs w:val="24"/>
        </w:rPr>
      </w:pPr>
      <w:r w:rsidRPr="00C96DC3">
        <w:rPr>
          <w:sz w:val="24"/>
          <w:szCs w:val="24"/>
        </w:rPr>
        <w:t>WARUNKI, JAKIE POWINIEN SPEŁNIAĆ PACJENT PRZED RUTYNOWYM POBRANIEM KRWI DO BADAŃ</w:t>
      </w:r>
      <w:r>
        <w:rPr>
          <w:sz w:val="24"/>
          <w:szCs w:val="24"/>
        </w:rPr>
        <w:t xml:space="preserve">-  </w:t>
      </w:r>
      <w:r w:rsidRPr="00C96DC3">
        <w:rPr>
          <w:i/>
          <w:sz w:val="24"/>
          <w:szCs w:val="24"/>
        </w:rPr>
        <w:t>Instrukcja laboratorium nr 51</w:t>
      </w:r>
    </w:p>
    <w:p w:rsidR="00C96DC3" w:rsidRPr="00C96DC3" w:rsidRDefault="00C96DC3" w:rsidP="00C96DC3">
      <w:pPr>
        <w:spacing w:line="360" w:lineRule="auto"/>
        <w:rPr>
          <w:sz w:val="24"/>
          <w:szCs w:val="24"/>
        </w:rPr>
      </w:pPr>
    </w:p>
    <w:p w:rsidR="00C96DC3" w:rsidRPr="00B833FE" w:rsidRDefault="00C96DC3" w:rsidP="00C96DC3">
      <w:pPr>
        <w:rPr>
          <w:b/>
          <w:sz w:val="24"/>
          <w:szCs w:val="24"/>
        </w:rPr>
      </w:pPr>
      <w:r w:rsidRPr="00B833FE">
        <w:rPr>
          <w:b/>
          <w:sz w:val="24"/>
          <w:szCs w:val="24"/>
        </w:rPr>
        <w:t>Zasady ogólne:</w:t>
      </w:r>
      <w:bookmarkStart w:id="0" w:name="_GoBack"/>
      <w:bookmarkEnd w:id="0"/>
    </w:p>
    <w:p w:rsidR="00C96DC3" w:rsidRPr="00B833FE" w:rsidRDefault="00C96DC3" w:rsidP="00C96DC3">
      <w:pPr>
        <w:rPr>
          <w:b/>
          <w:sz w:val="24"/>
          <w:szCs w:val="24"/>
        </w:rPr>
      </w:pP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Na pobranie materiału do badań pacjent powinien zgł</w:t>
      </w:r>
      <w:r>
        <w:rPr>
          <w:sz w:val="24"/>
          <w:szCs w:val="24"/>
        </w:rPr>
        <w:t>o</w:t>
      </w:r>
      <w:r w:rsidRPr="00B833FE">
        <w:rPr>
          <w:sz w:val="24"/>
          <w:szCs w:val="24"/>
        </w:rPr>
        <w:t>sić się do punktu pobrań materiału, I piętro, pok.</w:t>
      </w:r>
      <w:r>
        <w:rPr>
          <w:sz w:val="24"/>
          <w:szCs w:val="24"/>
        </w:rPr>
        <w:t>A117</w:t>
      </w:r>
      <w:r w:rsidRPr="00B833FE">
        <w:rPr>
          <w:sz w:val="24"/>
          <w:szCs w:val="24"/>
        </w:rPr>
        <w:t>. Pobranie materiału powinno odbyć się w godzinach porannych</w:t>
      </w:r>
      <w:r>
        <w:rPr>
          <w:sz w:val="24"/>
          <w:szCs w:val="24"/>
        </w:rPr>
        <w:t xml:space="preserve"> od poniedziałku do piątku w wyznaczonych godzinach.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 xml:space="preserve">Pacjent powinien być na czczo (ostatni posiłek powinien spożyć 12 godz. </w:t>
      </w:r>
      <w:r>
        <w:rPr>
          <w:sz w:val="24"/>
          <w:szCs w:val="24"/>
        </w:rPr>
        <w:t>p</w:t>
      </w:r>
      <w:r w:rsidRPr="00B833FE">
        <w:rPr>
          <w:sz w:val="24"/>
          <w:szCs w:val="24"/>
        </w:rPr>
        <w:t>rzed pobraniem).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Przed pobraniem krwi pacjent powinien unikać wysiłku fizycznego i stresu; wskazany jest 15 minutowy odpoczynek.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W miarę możliwości pacjent powinien ograniczyć przyjmowanie leków.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W przypadku wykonywania testów obciążeniowych pacjent zostaje poinformowany o sposobie przeprowadzenia testu.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Próba obciążeniowa: test tolerancji glukozy wiąże się z koniecznością stosowania diety normalno-węglowodanowej.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Mocz – badanie ogólne: higiena osobista, 50-100 ml moczu, ze środkowego strumienia, mocz należy przekazać w przeciągu 2 godzin.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Pacjent powinien prowadzić dobową zbiórkę moczu z zaleceniami uzyskanymi w laboratorium.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Kał – jednorazowa porcja pobrana z różnych miejsc, bez uwzględnienia diety.</w:t>
      </w:r>
    </w:p>
    <w:p w:rsidR="00C96DC3" w:rsidRPr="00B833FE" w:rsidRDefault="00C96DC3" w:rsidP="00C96DC3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W przypadku badań wykonywanych u podwykonawców procedura pobierania materiału dotyczy dni od poniedziałku do piątku w wyznaczonych godzinach.</w:t>
      </w:r>
    </w:p>
    <w:p w:rsidR="00C96DC3" w:rsidRPr="00B833FE" w:rsidRDefault="00C96DC3" w:rsidP="00C96DC3">
      <w:pPr>
        <w:ind w:left="360"/>
        <w:rPr>
          <w:sz w:val="24"/>
          <w:szCs w:val="24"/>
        </w:rPr>
      </w:pPr>
    </w:p>
    <w:p w:rsidR="00C96DC3" w:rsidRPr="00B833FE" w:rsidRDefault="00C96DC3" w:rsidP="00C96DC3">
      <w:p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UWAGA:</w:t>
      </w:r>
    </w:p>
    <w:p w:rsidR="00C96DC3" w:rsidRPr="00B833FE" w:rsidRDefault="00C96DC3" w:rsidP="00C96DC3">
      <w:pPr>
        <w:spacing w:line="360" w:lineRule="auto"/>
        <w:rPr>
          <w:sz w:val="24"/>
          <w:szCs w:val="24"/>
        </w:rPr>
      </w:pPr>
      <w:r w:rsidRPr="00B833FE">
        <w:rPr>
          <w:sz w:val="24"/>
          <w:szCs w:val="24"/>
        </w:rPr>
        <w:t>Procedura nie ma zastosowania u pacjentów, którym należy wykonać badania w trybie pilnym.</w:t>
      </w:r>
    </w:p>
    <w:p w:rsidR="00264C4F" w:rsidRDefault="00264C4F" w:rsidP="00C96DC3"/>
    <w:sectPr w:rsidR="00264C4F" w:rsidSect="002D6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1CE"/>
    <w:multiLevelType w:val="hybridMultilevel"/>
    <w:tmpl w:val="71F2B4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BE7CF9"/>
    <w:multiLevelType w:val="hybridMultilevel"/>
    <w:tmpl w:val="50868A14"/>
    <w:lvl w:ilvl="0" w:tplc="A20899E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6DC3"/>
    <w:rsid w:val="00264C4F"/>
    <w:rsid w:val="002D62F6"/>
    <w:rsid w:val="008C19E6"/>
    <w:rsid w:val="00C9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D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Langer</dc:creator>
  <cp:lastModifiedBy>jartc</cp:lastModifiedBy>
  <cp:revision>2</cp:revision>
  <dcterms:created xsi:type="dcterms:W3CDTF">2022-02-17T12:53:00Z</dcterms:created>
  <dcterms:modified xsi:type="dcterms:W3CDTF">2022-02-17T12:53:00Z</dcterms:modified>
</cp:coreProperties>
</file>