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0" w:line="240" w:lineRule="auto"/>
        <w:ind w:left="0" w:right="0" w:firstLine="0"/>
        <w:jc w:val="left"/>
      </w:pPr>
      <w:r>
        <w:rPr>
          <w:rStyle w:val="CharStyle3"/>
          <w:b/>
          <w:bCs/>
        </w:rPr>
        <w:t>Miejscowość, data:</w:t>
      </w:r>
    </w:p>
    <w:p>
      <w:pPr>
        <w:pStyle w:val="Style2"/>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pgSz w:w="11900" w:h="16840"/>
          <w:pgMar w:top="6102" w:right="701" w:bottom="1817" w:left="5736" w:header="5674" w:footer="1389" w:gutter="0"/>
          <w:pgNumType w:start="1"/>
          <w:cols w:num="2" w:space="634"/>
          <w:noEndnote/>
          <w:rtlGutter w:val="0"/>
          <w:docGrid w:linePitch="360"/>
        </w:sectPr>
      </w:pPr>
      <w:r>
        <w:rPr>
          <w:rStyle w:val="CharStyle3"/>
        </w:rPr>
        <w:t>dnia 3 sierpnia 2026 r.</w:t>
      </w:r>
    </w:p>
    <w:p>
      <w:pPr>
        <w:widowControl w:val="0"/>
        <w:spacing w:line="136" w:lineRule="exact"/>
        <w:rPr>
          <w:sz w:val="11"/>
          <w:szCs w:val="11"/>
        </w:rPr>
      </w:pPr>
    </w:p>
    <w:p>
      <w:pPr>
        <w:widowControl w:val="0"/>
        <w:spacing w:line="1" w:lineRule="exact"/>
        <w:sectPr>
          <w:footnotePr>
            <w:pos w:val="pageBottom"/>
            <w:numFmt w:val="decimal"/>
            <w:numRestart w:val="continuous"/>
          </w:footnotePr>
          <w:type w:val="continuous"/>
          <w:pgSz w:w="11900" w:h="16840"/>
          <w:pgMar w:top="702" w:right="0" w:bottom="665" w:left="0" w:header="0" w:footer="3" w:gutter="0"/>
          <w:cols w:space="720"/>
          <w:noEndnote/>
          <w:rtlGutter w:val="0"/>
          <w:docGrid w:linePitch="360"/>
        </w:sectPr>
      </w:pPr>
    </w:p>
    <w:p>
      <w:pPr>
        <w:pStyle w:val="Style5"/>
        <w:keepNext w:val="0"/>
        <w:keepLines w:val="0"/>
        <w:widowControl w:val="0"/>
        <w:shd w:val="clear" w:color="auto" w:fill="auto"/>
        <w:bidi w:val="0"/>
        <w:spacing w:before="0" w:after="3880" w:line="240" w:lineRule="auto"/>
        <w:ind w:left="0" w:right="0" w:firstLine="0"/>
        <w:jc w:val="left"/>
      </w:pPr>
      <w:r>
        <w:rPr>
          <w:rStyle w:val="CharStyle6"/>
          <w:b/>
          <w:bCs/>
        </w:rPr>
        <w:t>WNIOSKODAWCA:</w:t>
      </w:r>
    </w:p>
    <w:p>
      <w:pPr>
        <w:pStyle w:val="Style5"/>
        <w:keepNext w:val="0"/>
        <w:keepLines w:val="0"/>
        <w:widowControl w:val="0"/>
        <w:shd w:val="clear" w:color="auto" w:fill="auto"/>
        <w:bidi w:val="0"/>
        <w:spacing w:before="0" w:after="280" w:line="240" w:lineRule="auto"/>
        <w:ind w:left="0" w:right="0" w:firstLine="0"/>
        <w:jc w:val="left"/>
      </w:pPr>
      <w:r>
        <w:rPr>
          <w:rStyle w:val="CharStyle6"/>
          <w:b/>
          <w:bCs/>
        </w:rPr>
        <w:t>ADRESACI:</w:t>
      </w:r>
    </w:p>
    <w:p>
      <w:pPr>
        <w:pStyle w:val="Style5"/>
        <w:keepNext w:val="0"/>
        <w:keepLines w:val="0"/>
        <w:widowControl w:val="0"/>
        <w:numPr>
          <w:ilvl w:val="0"/>
          <w:numId w:val="1"/>
        </w:numPr>
        <w:shd w:val="clear" w:color="auto" w:fill="auto"/>
        <w:tabs>
          <w:tab w:pos="762" w:val="left"/>
        </w:tabs>
        <w:bidi w:val="0"/>
        <w:spacing w:before="0" w:after="280" w:line="240" w:lineRule="auto"/>
        <w:ind w:left="0" w:right="0" w:firstLine="380"/>
        <w:jc w:val="left"/>
      </w:pPr>
      <w:r>
        <w:rPr>
          <w:rStyle w:val="CharStyle6"/>
          <w:b/>
          <w:bCs/>
        </w:rPr>
        <w:t>Komisja Petycji Parlamentu Europejskiego (PETI)</w:t>
      </w:r>
    </w:p>
    <w:p>
      <w:pPr>
        <w:pStyle w:val="Style5"/>
        <w:keepNext w:val="0"/>
        <w:keepLines w:val="0"/>
        <w:widowControl w:val="0"/>
        <w:shd w:val="clear" w:color="auto" w:fill="auto"/>
        <w:bidi w:val="0"/>
        <w:spacing w:before="0" w:after="280" w:line="240" w:lineRule="auto"/>
        <w:ind w:left="0" w:right="0" w:firstLine="740"/>
        <w:jc w:val="left"/>
      </w:pPr>
      <w:r>
        <w:rPr>
          <w:rStyle w:val="CharStyle6"/>
          <w:i/>
          <w:iCs/>
        </w:rPr>
        <w:t>European Parliament, Rue Wiertz 60, B-1047 Brussels, Belgia</w:t>
      </w:r>
    </w:p>
    <w:p>
      <w:pPr>
        <w:pStyle w:val="Style5"/>
        <w:keepNext w:val="0"/>
        <w:keepLines w:val="0"/>
        <w:widowControl w:val="0"/>
        <w:numPr>
          <w:ilvl w:val="0"/>
          <w:numId w:val="1"/>
        </w:numPr>
        <w:shd w:val="clear" w:color="auto" w:fill="auto"/>
        <w:tabs>
          <w:tab w:pos="782" w:val="left"/>
        </w:tabs>
        <w:bidi w:val="0"/>
        <w:spacing w:before="0" w:after="280" w:line="240" w:lineRule="auto"/>
        <w:ind w:left="0" w:right="0" w:firstLine="380"/>
        <w:jc w:val="left"/>
      </w:pPr>
      <w:r>
        <w:rPr>
          <w:rStyle w:val="CharStyle6"/>
          <w:b/>
          <w:bCs/>
        </w:rPr>
        <w:t>Komisja Europejska – Dyrekcja Generalna ds. Środowiska (DG ENV)</w:t>
      </w:r>
    </w:p>
    <w:p>
      <w:pPr>
        <w:pStyle w:val="Style5"/>
        <w:keepNext w:val="0"/>
        <w:keepLines w:val="0"/>
        <w:widowControl w:val="0"/>
        <w:shd w:val="clear" w:color="auto" w:fill="auto"/>
        <w:bidi w:val="0"/>
        <w:spacing w:before="0" w:after="280" w:line="240" w:lineRule="auto"/>
        <w:ind w:left="0" w:right="0" w:firstLine="740"/>
        <w:jc w:val="left"/>
      </w:pPr>
      <w:r>
        <w:rPr>
          <w:rStyle w:val="CharStyle6"/>
          <w:i/>
          <w:iCs/>
        </w:rPr>
        <w:t>European Commission, B-1049 Brussels, Belgia</w:t>
      </w:r>
    </w:p>
    <w:p>
      <w:pPr>
        <w:pStyle w:val="Style5"/>
        <w:keepNext w:val="0"/>
        <w:keepLines w:val="0"/>
        <w:widowControl w:val="0"/>
        <w:numPr>
          <w:ilvl w:val="0"/>
          <w:numId w:val="1"/>
        </w:numPr>
        <w:shd w:val="clear" w:color="auto" w:fill="auto"/>
        <w:tabs>
          <w:tab w:pos="782" w:val="left"/>
        </w:tabs>
        <w:bidi w:val="0"/>
        <w:spacing w:before="0" w:after="280" w:line="240" w:lineRule="auto"/>
        <w:ind w:left="0" w:right="0" w:firstLine="380"/>
        <w:jc w:val="left"/>
      </w:pPr>
      <w:r>
        <w:rPr>
          <w:rStyle w:val="CharStyle6"/>
          <w:b/>
          <w:bCs/>
        </w:rPr>
        <w:t>Ministerstwo Klimatu i Środowiska Rzeczypospolitej Polskiej</w:t>
      </w:r>
    </w:p>
    <w:p>
      <w:pPr>
        <w:pStyle w:val="Style5"/>
        <w:keepNext w:val="0"/>
        <w:keepLines w:val="0"/>
        <w:widowControl w:val="0"/>
        <w:shd w:val="clear" w:color="auto" w:fill="auto"/>
        <w:bidi w:val="0"/>
        <w:spacing w:before="0" w:after="280" w:line="240" w:lineRule="auto"/>
        <w:ind w:left="0" w:right="0" w:firstLine="740"/>
        <w:jc w:val="left"/>
      </w:pPr>
      <w:r>
        <w:rPr>
          <w:rStyle w:val="CharStyle6"/>
          <w:i/>
          <w:iCs/>
        </w:rPr>
        <w:t>ul. Wawelska 52/54, 00-922 Warszawa</w:t>
      </w:r>
    </w:p>
    <w:p>
      <w:pPr>
        <w:pStyle w:val="Style9"/>
        <w:keepNext/>
        <w:keepLines/>
        <w:widowControl w:val="0"/>
        <w:shd w:val="clear" w:color="auto" w:fill="auto"/>
        <w:bidi w:val="0"/>
        <w:spacing w:before="0" w:line="240" w:lineRule="auto"/>
        <w:ind w:left="0" w:right="0" w:firstLine="0"/>
        <w:jc w:val="center"/>
      </w:pPr>
      <w:bookmarkStart w:id="0" w:name="bookmark0"/>
      <w:r>
        <w:rPr>
          <w:rStyle w:val="CharStyle10"/>
          <w:b/>
          <w:bCs/>
        </w:rPr>
        <w:t>OFFICIAL PETITION / PETYCJA OFICJALNA</w:t>
      </w:r>
      <w:bookmarkEnd w:id="0"/>
    </w:p>
    <w:p>
      <w:pPr>
        <w:pStyle w:val="Style5"/>
        <w:keepNext w:val="0"/>
        <w:keepLines w:val="0"/>
        <w:widowControl w:val="0"/>
        <w:shd w:val="clear" w:color="auto" w:fill="auto"/>
        <w:bidi w:val="0"/>
        <w:spacing w:before="0" w:line="240" w:lineRule="auto"/>
        <w:ind w:left="0" w:right="0" w:firstLine="0"/>
        <w:jc w:val="both"/>
      </w:pPr>
      <w:r>
        <w:rPr>
          <w:rStyle w:val="CharStyle6"/>
          <w:b/>
          <w:bCs/>
        </w:rPr>
        <w:t xml:space="preserve">Dotyczy: </w:t>
      </w:r>
      <w:r>
        <w:rPr>
          <w:rStyle w:val="CharStyle6"/>
          <w:i/>
          <w:iCs/>
        </w:rPr>
        <w:t>Wystąpienia przeciwko patologii regulacyjnej w systemie Rozszerzonej Odpowiedzialności Producenta (EPR/BDO), jawnej dyskryminacji mikrofirm wspólnotowych, niszczeniu zrównoważonego rozwoju poprzez niekontrolowany import plastiku na rynek UE oraz przedstawienia alternatywnego modelu Akcyzy Środowiskowej u Źródła.</w:t>
      </w:r>
    </w:p>
    <w:p>
      <w:pPr>
        <w:pStyle w:val="Style9"/>
        <w:keepNext/>
        <w:keepLines/>
        <w:widowControl w:val="0"/>
        <w:shd w:val="clear" w:color="auto" w:fill="auto"/>
        <w:bidi w:val="0"/>
        <w:spacing w:before="0" w:line="240" w:lineRule="auto"/>
        <w:ind w:left="0" w:right="0" w:firstLine="0"/>
        <w:jc w:val="center"/>
        <w:rPr>
          <w:sz w:val="36"/>
          <w:szCs w:val="36"/>
        </w:rPr>
      </w:pPr>
      <w:bookmarkStart w:id="2" w:name="bookmark2"/>
      <w:r>
        <w:rPr>
          <w:rStyle w:val="CharStyle10"/>
          <w:rFonts w:ascii="Arial" w:eastAsia="Arial" w:hAnsi="Arial" w:cs="Arial"/>
          <w:b/>
          <w:bCs/>
          <w:sz w:val="36"/>
          <w:szCs w:val="36"/>
        </w:rPr>
        <w:t>TREŚĆ PETYCJI</w:t>
      </w:r>
      <w:bookmarkEnd w:id="2"/>
    </w:p>
    <w:p>
      <w:pPr>
        <w:pStyle w:val="Style5"/>
        <w:keepNext w:val="0"/>
        <w:keepLines w:val="0"/>
        <w:widowControl w:val="0"/>
        <w:shd w:val="clear" w:color="auto" w:fill="auto"/>
        <w:bidi w:val="0"/>
        <w:spacing w:before="0" w:after="0" w:line="240" w:lineRule="auto"/>
        <w:ind w:left="0" w:right="0" w:firstLine="0"/>
        <w:jc w:val="both"/>
      </w:pPr>
      <w:r>
        <w:rPr>
          <w:rStyle w:val="CharStyle6"/>
        </w:rPr>
        <w:t xml:space="preserve">Działając w imieniu </w:t>
      </w:r>
      <w:r>
        <w:rPr>
          <w:rStyle w:val="CharStyle6"/>
          <w:b/>
          <w:bCs/>
        </w:rPr>
        <w:t>Stowarzyszenia</w:t>
      </w:r>
    </w:p>
    <w:p>
      <w:pPr>
        <w:pStyle w:val="Style5"/>
        <w:keepNext w:val="0"/>
        <w:keepLines w:val="0"/>
        <w:widowControl w:val="0"/>
        <w:shd w:val="clear" w:color="auto" w:fill="auto"/>
        <w:bidi w:val="0"/>
        <w:spacing w:before="0" w:line="240" w:lineRule="auto"/>
        <w:ind w:left="0" w:right="0" w:firstLine="0"/>
        <w:jc w:val="both"/>
      </w:pPr>
      <w:r>
        <w:rPr>
          <w:rStyle w:val="CharStyle6"/>
        </w:rPr>
        <w:t>na podstawie § 6 pkt 4 Regulaminu Stowarzyszenia oraz przepisów ustawy z dnia 11 lipca 2014 r. o petycjach, przedkładamy niniejszym wniosek o przeprowadzenie systemowych zmian legislacyjnych w unijnym i krajowym modelu gospodarki odpadami opakowaniowymi (EPR / BDO).</w:t>
      </w:r>
    </w:p>
    <w:p>
      <w:pPr>
        <w:pStyle w:val="Style5"/>
        <w:keepNext w:val="0"/>
        <w:keepLines w:val="0"/>
        <w:widowControl w:val="0"/>
        <w:shd w:val="clear" w:color="auto" w:fill="auto"/>
        <w:bidi w:val="0"/>
        <w:spacing w:before="0" w:line="240" w:lineRule="auto"/>
        <w:ind w:left="0" w:right="0" w:firstLine="0"/>
        <w:jc w:val="both"/>
      </w:pPr>
      <w:r>
        <w:rPr>
          <w:rStyle w:val="CharStyle6"/>
        </w:rPr>
        <w:t>Jako organizacja realizująca cele statutowe w zakresie ochrony środowiska oraz wspierania zrównoważonego rozwoju gospodarczego, poddaliśmy szczegółowej analizie ekonomiczno-prawnej funkcjonowanie obecnego systemu ewidencyjno- opłatowego. Wyniki analizy wskazują na istnienie istotnych wad konstrukcyjnych obecnego modelu, prowadzących do dysproporcji rynkowych, asymetrii obciążeń oraz zniekształcenia danych statystycznych.</w:t>
      </w:r>
    </w:p>
    <w:p>
      <w:pPr>
        <w:pStyle w:val="Style12"/>
        <w:keepNext/>
        <w:keepLines/>
        <w:widowControl w:val="0"/>
        <w:numPr>
          <w:ilvl w:val="0"/>
          <w:numId w:val="3"/>
        </w:numPr>
        <w:shd w:val="clear" w:color="auto" w:fill="auto"/>
        <w:tabs>
          <w:tab w:pos="332" w:val="left"/>
        </w:tabs>
        <w:bidi w:val="0"/>
        <w:spacing w:before="0" w:after="260" w:line="240" w:lineRule="auto"/>
        <w:ind w:left="0" w:right="0" w:firstLine="0"/>
        <w:jc w:val="both"/>
      </w:pPr>
      <w:bookmarkStart w:id="4" w:name="bookmark4"/>
      <w:r>
        <w:rPr>
          <w:rStyle w:val="CharStyle13"/>
          <w:b/>
          <w:bCs/>
        </w:rPr>
        <w:t>Nierówność konkurencji i asymetria egzekucyjna na granicy celnej UE</w:t>
      </w:r>
      <w:bookmarkEnd w:id="4"/>
    </w:p>
    <w:p>
      <w:pPr>
        <w:pStyle w:val="Style5"/>
        <w:keepNext w:val="0"/>
        <w:keepLines w:val="0"/>
        <w:widowControl w:val="0"/>
        <w:shd w:val="clear" w:color="auto" w:fill="auto"/>
        <w:bidi w:val="0"/>
        <w:spacing w:before="0" w:line="240" w:lineRule="auto"/>
        <w:ind w:left="0" w:right="0" w:firstLine="0"/>
        <w:jc w:val="both"/>
      </w:pPr>
      <w:r>
        <w:rPr>
          <w:rStyle w:val="CharStyle6"/>
        </w:rPr>
        <w:t>Dotychczasowa praktyka funkcjonowania systemów EPR/BDO wskazuje na deficyt skuteczności w obszarze przesyłek transgranicznych pochodzących z państw trzecich (spoza UE):</w:t>
      </w:r>
    </w:p>
    <w:p>
      <w:pPr>
        <w:pStyle w:val="Style5"/>
        <w:keepNext w:val="0"/>
        <w:keepLines w:val="0"/>
        <w:widowControl w:val="0"/>
        <w:numPr>
          <w:ilvl w:val="0"/>
          <w:numId w:val="5"/>
        </w:numPr>
        <w:shd w:val="clear" w:color="auto" w:fill="auto"/>
        <w:tabs>
          <w:tab w:pos="750" w:val="left"/>
        </w:tabs>
        <w:bidi w:val="0"/>
        <w:spacing w:before="0" w:after="0" w:line="240" w:lineRule="auto"/>
        <w:ind w:left="740" w:right="0" w:hanging="360"/>
        <w:jc w:val="both"/>
      </w:pPr>
      <w:r>
        <w:rPr>
          <w:rStyle w:val="CharStyle6"/>
          <w:b/>
          <w:bCs/>
        </w:rPr>
        <w:t xml:space="preserve">Brak efektywnej egzekucji na granicy: </w:t>
      </w:r>
      <w:r>
        <w:rPr>
          <w:rStyle w:val="CharStyle6"/>
        </w:rPr>
        <w:t>Zgodnie z szacunkami rynkowymi, do państw członkowskich trafiają rocznie miliony przesyłek bezpośrednich w ramach e-commerce z krajów trzecich. Opakowania te w znacznej mierze nie zostają ujęte w krajowych rejestrach typu BDO, a podmioty zagraniczne nie ponoszą kosztów opłat produktowych i recyklingowych.</w:t>
      </w:r>
    </w:p>
    <w:p>
      <w:pPr>
        <w:pStyle w:val="Style5"/>
        <w:keepNext w:val="0"/>
        <w:keepLines w:val="0"/>
        <w:widowControl w:val="0"/>
        <w:numPr>
          <w:ilvl w:val="0"/>
          <w:numId w:val="5"/>
        </w:numPr>
        <w:shd w:val="clear" w:color="auto" w:fill="auto"/>
        <w:tabs>
          <w:tab w:pos="750" w:val="left"/>
        </w:tabs>
        <w:bidi w:val="0"/>
        <w:spacing w:before="0" w:line="240" w:lineRule="auto"/>
        <w:ind w:left="740" w:right="0" w:hanging="360"/>
        <w:jc w:val="both"/>
      </w:pPr>
      <w:r>
        <w:rPr>
          <w:rStyle w:val="CharStyle6"/>
          <w:b/>
          <w:bCs/>
        </w:rPr>
        <w:t xml:space="preserve">Obciążenia mikroprzedsiębiorstw wspólnotowych: </w:t>
      </w:r>
      <w:r>
        <w:rPr>
          <w:rStyle w:val="CharStyle6"/>
        </w:rPr>
        <w:t>W tym samym czasie podmioty zarejestrowane na terenie UE, w tym mikroprzedsiębiorstwa generujące śladowe wolumeny opakowań, ponoszą pełne koszty stałe (opłaty rejestrowe, roczne) oraz koszty pracy związane z prowadzeniem szczegółowej ewidencji wagowej.</w:t>
      </w:r>
    </w:p>
    <w:p>
      <w:pPr>
        <w:pStyle w:val="Style5"/>
        <w:keepNext w:val="0"/>
        <w:keepLines w:val="0"/>
        <w:widowControl w:val="0"/>
        <w:shd w:val="clear" w:color="auto" w:fill="auto"/>
        <w:bidi w:val="0"/>
        <w:spacing w:before="0" w:line="240" w:lineRule="auto"/>
        <w:ind w:left="0" w:right="0" w:firstLine="0"/>
        <w:jc w:val="both"/>
      </w:pPr>
      <w:r>
        <w:rPr>
          <w:rStyle w:val="CharStyle6"/>
        </w:rPr>
        <w:t>Stan ten narusza unijną zasadę równego traktowania podmiotów gospodarczych (</w:t>
      </w:r>
      <w:r>
        <w:rPr>
          <w:rStyle w:val="CharStyle6"/>
          <w:i/>
          <w:iCs/>
        </w:rPr>
        <w:t>Level Playing Field</w:t>
      </w:r>
      <w:r>
        <w:rPr>
          <w:rStyle w:val="CharStyle6"/>
        </w:rPr>
        <w:t>) oraz generuje przewagę cenową po stronie dostawców z państw trzecich.</w:t>
      </w:r>
    </w:p>
    <w:p>
      <w:pPr>
        <w:pStyle w:val="Style12"/>
        <w:keepNext/>
        <w:keepLines/>
        <w:widowControl w:val="0"/>
        <w:numPr>
          <w:ilvl w:val="0"/>
          <w:numId w:val="3"/>
        </w:numPr>
        <w:shd w:val="clear" w:color="auto" w:fill="auto"/>
        <w:tabs>
          <w:tab w:pos="351" w:val="left"/>
        </w:tabs>
        <w:bidi w:val="0"/>
        <w:spacing w:before="0" w:after="260" w:line="240" w:lineRule="auto"/>
        <w:ind w:left="0" w:right="0" w:firstLine="0"/>
        <w:jc w:val="both"/>
      </w:pPr>
      <w:bookmarkStart w:id="6" w:name="bookmark6"/>
      <w:r>
        <w:rPr>
          <w:rStyle w:val="CharStyle13"/>
          <w:b/>
          <w:bCs/>
        </w:rPr>
        <w:t>Metodologiczna niewiarygodność baz danych oraz analiza cyklu zwrotów</w:t>
      </w:r>
      <w:bookmarkEnd w:id="6"/>
    </w:p>
    <w:p>
      <w:pPr>
        <w:pStyle w:val="Style5"/>
        <w:keepNext w:val="0"/>
        <w:keepLines w:val="0"/>
        <w:widowControl w:val="0"/>
        <w:shd w:val="clear" w:color="auto" w:fill="auto"/>
        <w:bidi w:val="0"/>
        <w:spacing w:before="0" w:line="240" w:lineRule="auto"/>
        <w:ind w:left="0" w:right="0" w:firstLine="0"/>
        <w:jc w:val="both"/>
      </w:pPr>
      <w:r>
        <w:rPr>
          <w:rStyle w:val="CharStyle6"/>
        </w:rPr>
        <w:t>Obecna architektura prawna systemu BDO opiera się na założeniu, że ewidencja wagowa prowadzona przez małe podmioty dostarcza rzetelnych danych do prognozowania polityki ekologicznej. Analiza procesów logistycznych wykazuje jednak poważne luki metodologiczne:</w:t>
      </w:r>
    </w:p>
    <w:p>
      <w:pPr>
        <w:pStyle w:val="Style5"/>
        <w:keepNext w:val="0"/>
        <w:keepLines w:val="0"/>
        <w:widowControl w:val="0"/>
        <w:numPr>
          <w:ilvl w:val="0"/>
          <w:numId w:val="7"/>
        </w:numPr>
        <w:shd w:val="clear" w:color="auto" w:fill="auto"/>
        <w:tabs>
          <w:tab w:pos="764" w:val="left"/>
          <w:tab w:pos="3285" w:val="left"/>
        </w:tabs>
        <w:bidi w:val="0"/>
        <w:spacing w:before="0" w:after="0" w:line="240" w:lineRule="auto"/>
        <w:ind w:left="760" w:right="0" w:hanging="360"/>
        <w:jc w:val="both"/>
      </w:pPr>
      <w:r>
        <w:rPr>
          <w:rStyle w:val="CharStyle6"/>
          <w:b/>
          <w:bCs/>
        </w:rPr>
        <w:t>Pominięcie wolumenu z obrotu prywatnego i działalności nierejestrowanej:</w:t>
        <w:tab/>
      </w:r>
      <w:r>
        <w:rPr>
          <w:rStyle w:val="CharStyle6"/>
        </w:rPr>
        <w:t>Obrót opakowaniowy generowany w ramach handlu</w:t>
      </w:r>
    </w:p>
    <w:p>
      <w:pPr>
        <w:pStyle w:val="Style5"/>
        <w:keepNext w:val="0"/>
        <w:keepLines w:val="0"/>
        <w:widowControl w:val="0"/>
        <w:shd w:val="clear" w:color="auto" w:fill="auto"/>
        <w:bidi w:val="0"/>
        <w:spacing w:before="0" w:after="0" w:line="240" w:lineRule="auto"/>
        <w:ind w:left="760" w:right="0" w:firstLine="0"/>
        <w:jc w:val="both"/>
      </w:pPr>
      <w:r>
        <w:rPr>
          <w:rStyle w:val="CharStyle6"/>
        </w:rPr>
        <w:t>prywatnego (platformy C2C typu Vinted, OLX, eBay) oraz działalności nierejestrowanej nie podlega obowiązkowi wpisu do BDO. Tworzy to znaczący strumień materiałowy znajdujący się całkowicie poza oficjalną statystyką.</w:t>
      </w:r>
    </w:p>
    <w:p>
      <w:pPr>
        <w:pStyle w:val="Style5"/>
        <w:keepNext w:val="0"/>
        <w:keepLines w:val="0"/>
        <w:widowControl w:val="0"/>
        <w:numPr>
          <w:ilvl w:val="0"/>
          <w:numId w:val="7"/>
        </w:numPr>
        <w:shd w:val="clear" w:color="auto" w:fill="auto"/>
        <w:tabs>
          <w:tab w:pos="764" w:val="left"/>
        </w:tabs>
        <w:bidi w:val="0"/>
        <w:spacing w:before="0" w:line="240" w:lineRule="auto"/>
        <w:ind w:left="760" w:right="0" w:hanging="360"/>
        <w:jc w:val="both"/>
      </w:pPr>
      <w:r>
        <w:rPr>
          <w:rStyle w:val="CharStyle6"/>
          <w:b/>
          <w:bCs/>
        </w:rPr>
        <w:t xml:space="preserve">Załamanie spójności danych w logistyce zwrotów (Returns): </w:t>
      </w:r>
      <w:r>
        <w:rPr>
          <w:rStyle w:val="CharStyle6"/>
        </w:rPr>
        <w:t>W przypadku zwrotu towaru przez konsumenta, przesyłka dostarczana jest do przedsiębiorcy w opakowaniu zastępczym, użytym przez osobę fizyczną. Konsument nie prowadzi ewidencji BDO, a odbiorca zwrotu nie jest podmiotem wprowadzającym to konkretne opakowanie na rynek. Powstaje niezaewidencjonowana luka materiałowa, która uniemożliwia bilansowanie rzeczywistej masy opakowań.</w:t>
      </w:r>
    </w:p>
    <w:p>
      <w:pPr>
        <w:pStyle w:val="Style5"/>
        <w:keepNext w:val="0"/>
        <w:keepLines w:val="0"/>
        <w:widowControl w:val="0"/>
        <w:shd w:val="clear" w:color="auto" w:fill="auto"/>
        <w:bidi w:val="0"/>
        <w:spacing w:before="0" w:line="240" w:lineRule="auto"/>
        <w:ind w:left="0" w:right="0" w:firstLine="0"/>
        <w:jc w:val="both"/>
      </w:pPr>
      <w:r>
        <w:rPr>
          <w:rStyle w:val="CharStyle6"/>
        </w:rPr>
        <w:t>Powyższe czynniki sprawiają, że statystyki gromadzone w bazach typu BDO są obarczone błędem systemowym i nie mogą stanowić wiarygodnej podstawy do projektowania progów recyklingowych i decyzji budżetowych.</w:t>
      </w:r>
    </w:p>
    <w:p>
      <w:pPr>
        <w:pStyle w:val="Style12"/>
        <w:keepNext/>
        <w:keepLines/>
        <w:widowControl w:val="0"/>
        <w:numPr>
          <w:ilvl w:val="0"/>
          <w:numId w:val="3"/>
        </w:numPr>
        <w:shd w:val="clear" w:color="auto" w:fill="auto"/>
        <w:tabs>
          <w:tab w:pos="346" w:val="left"/>
        </w:tabs>
        <w:bidi w:val="0"/>
        <w:spacing w:before="0" w:after="260" w:line="240" w:lineRule="auto"/>
        <w:ind w:left="0" w:right="0" w:firstLine="0"/>
        <w:jc w:val="both"/>
      </w:pPr>
      <w:bookmarkStart w:id="8" w:name="bookmark8"/>
      <w:r>
        <w:rPr>
          <w:rStyle w:val="CharStyle13"/>
          <w:b/>
          <w:bCs/>
        </w:rPr>
        <w:t>Analiza efektywności ekonomicznej i redukcja kosztów transakcyjnych (Model Win-Win)</w:t>
      </w:r>
      <w:bookmarkEnd w:id="8"/>
    </w:p>
    <w:p>
      <w:pPr>
        <w:pStyle w:val="Style5"/>
        <w:keepNext w:val="0"/>
        <w:keepLines w:val="0"/>
        <w:widowControl w:val="0"/>
        <w:shd w:val="clear" w:color="auto" w:fill="auto"/>
        <w:bidi w:val="0"/>
        <w:spacing w:before="0" w:line="240" w:lineRule="auto"/>
        <w:ind w:left="0" w:right="0" w:firstLine="0"/>
        <w:jc w:val="both"/>
      </w:pPr>
      <w:r>
        <w:rPr>
          <w:rStyle w:val="CharStyle6"/>
        </w:rPr>
        <w:t>Poddając obecny system analizie finansowej i procesowej, należy wskazać na skrajną nieracjonalność ekonomiczną obecnych rozwiązań:</w:t>
      </w:r>
    </w:p>
    <w:p>
      <w:pPr>
        <w:pStyle w:val="Style5"/>
        <w:keepNext w:val="0"/>
        <w:keepLines w:val="0"/>
        <w:widowControl w:val="0"/>
        <w:numPr>
          <w:ilvl w:val="0"/>
          <w:numId w:val="9"/>
        </w:numPr>
        <w:shd w:val="clear" w:color="auto" w:fill="auto"/>
        <w:tabs>
          <w:tab w:pos="764" w:val="left"/>
        </w:tabs>
        <w:bidi w:val="0"/>
        <w:spacing w:before="0" w:after="40" w:line="240" w:lineRule="auto"/>
        <w:ind w:left="760" w:right="0" w:hanging="360"/>
        <w:jc w:val="both"/>
      </w:pPr>
      <w:r>
        <w:rPr>
          <w:rStyle w:val="CharStyle6"/>
          <w:b/>
          <w:bCs/>
        </w:rPr>
        <w:t xml:space="preserve">Koszt alternatywny pracy w mikrofirmie: </w:t>
      </w:r>
      <w:r>
        <w:rPr>
          <w:rStyle w:val="CharStyle6"/>
        </w:rPr>
        <w:t>Przeciętny mikroprzedsiębiorca poświęca kilkanaście godzin rocznie na czynności ewidencji wagowej, weryfikację przepisów, doradztwo prawne oraz obsługę systemu BDO. W przeliczeniu na realny koszt roboczogodziny oraz stres związany z ryzykiem drastycznych kar administracyjnych, obecny system generuje dla sektora MŚP ogromne koszty transakcyjne, nie przynosząc przy tym bezpośrednich środków na realny recykling.</w:t>
      </w:r>
    </w:p>
    <w:p>
      <w:pPr>
        <w:pStyle w:val="Style5"/>
        <w:keepNext w:val="0"/>
        <w:keepLines w:val="0"/>
        <w:widowControl w:val="0"/>
        <w:numPr>
          <w:ilvl w:val="0"/>
          <w:numId w:val="9"/>
        </w:numPr>
        <w:shd w:val="clear" w:color="auto" w:fill="auto"/>
        <w:tabs>
          <w:tab w:pos="764" w:val="left"/>
        </w:tabs>
        <w:bidi w:val="0"/>
        <w:spacing w:before="0" w:after="40" w:line="254" w:lineRule="auto"/>
        <w:ind w:left="760" w:right="0" w:hanging="360"/>
        <w:jc w:val="both"/>
      </w:pPr>
      <w:r>
        <w:rPr>
          <w:rStyle w:val="CharStyle6"/>
          <w:b/>
          <w:bCs/>
        </w:rPr>
        <w:t xml:space="preserve">Gotowość rynkowa do prostych opłat zamiast biurokracji: </w:t>
      </w:r>
      <w:r>
        <w:rPr>
          <w:rStyle w:val="CharStyle6"/>
        </w:rPr>
        <w:t>Wymierny rachunek ekonomiczny wskazuje, że mały biznes woli ponieść symboliczną, przewidywalną opłatę doliczoną u źródła w cenie materiału opakowaniowego (np. kilkanaście groszy od sztuki kartonu czy foliopaku) i mieć 100% pewności prawnej oraz zero biurokracji, niż biernie wykonywać darmową pracę administracyjną na rzecz państwa pod presją sankcji.</w:t>
      </w:r>
    </w:p>
    <w:p>
      <w:pPr>
        <w:pStyle w:val="Style5"/>
        <w:keepNext w:val="0"/>
        <w:keepLines w:val="0"/>
        <w:widowControl w:val="0"/>
        <w:numPr>
          <w:ilvl w:val="0"/>
          <w:numId w:val="9"/>
        </w:numPr>
        <w:shd w:val="clear" w:color="auto" w:fill="auto"/>
        <w:tabs>
          <w:tab w:pos="764" w:val="left"/>
        </w:tabs>
        <w:bidi w:val="0"/>
        <w:spacing w:before="0" w:line="257" w:lineRule="auto"/>
        <w:ind w:left="760" w:right="0" w:hanging="360"/>
        <w:jc w:val="both"/>
      </w:pPr>
      <w:r>
        <w:rPr>
          <w:rStyle w:val="CharStyle6"/>
          <w:b/>
          <w:bCs/>
        </w:rPr>
        <w:t xml:space="preserve">Rachunek ciągniony dla budżetu państwa: </w:t>
      </w:r>
      <w:r>
        <w:rPr>
          <w:rStyle w:val="CharStyle6"/>
        </w:rPr>
        <w:t>Zamiana skomplikowanej ewidencji na płatność u źródła (Akcyza Środowiskowa) przekształca bezużyteczny strumień dokumentów w miliardowe, bezpośrednie wpływy do budżetu ekologicznego, przy jednoczesnej likwidacji kosztów utrzymania rozbudowanego aparatu kontrolno-sprawdzającego.</w:t>
      </w:r>
    </w:p>
    <w:p>
      <w:pPr>
        <w:pStyle w:val="Style12"/>
        <w:keepNext/>
        <w:keepLines/>
        <w:widowControl w:val="0"/>
        <w:shd w:val="clear" w:color="auto" w:fill="auto"/>
        <w:bidi w:val="0"/>
        <w:spacing w:before="0" w:line="240" w:lineRule="auto"/>
        <w:ind w:left="0" w:right="0" w:firstLine="0"/>
        <w:jc w:val="both"/>
      </w:pPr>
      <w:bookmarkStart w:id="10" w:name="bookmark10"/>
      <w:r>
        <w:rPr>
          <w:rStyle w:val="CharStyle13"/>
          <w:b/>
          <w:bCs/>
        </w:rPr>
        <w:t>POSTULATY I PROPOZYCJE ROZWIĄZAŃ LEGISLATYWNYCH:</w:t>
      </w:r>
      <w:bookmarkEnd w:id="10"/>
    </w:p>
    <w:p>
      <w:pPr>
        <w:pStyle w:val="Style12"/>
        <w:keepNext/>
        <w:keepLines/>
        <w:widowControl w:val="0"/>
        <w:numPr>
          <w:ilvl w:val="0"/>
          <w:numId w:val="11"/>
        </w:numPr>
        <w:shd w:val="clear" w:color="auto" w:fill="auto"/>
        <w:tabs>
          <w:tab w:pos="715" w:val="left"/>
        </w:tabs>
        <w:bidi w:val="0"/>
        <w:spacing w:before="0" w:line="240" w:lineRule="auto"/>
        <w:ind w:left="0" w:right="0" w:firstLine="360"/>
        <w:jc w:val="both"/>
      </w:pPr>
      <w:r>
        <w:rPr>
          <w:rStyle w:val="CharStyle13"/>
          <w:b/>
          <w:bCs/>
        </w:rPr>
        <w:t>USZCZELNIENIE POBORU OPŁAT NA GRANICY CELNEJ UE:</w:t>
      </w:r>
    </w:p>
    <w:p>
      <w:pPr>
        <w:pStyle w:val="Style5"/>
        <w:keepNext w:val="0"/>
        <w:keepLines w:val="0"/>
        <w:widowControl w:val="0"/>
        <w:shd w:val="clear" w:color="auto" w:fill="auto"/>
        <w:bidi w:val="0"/>
        <w:spacing w:before="0" w:after="280" w:line="240" w:lineRule="auto"/>
        <w:ind w:left="720" w:right="0" w:firstLine="0"/>
        <w:jc w:val="both"/>
      </w:pPr>
      <w:r>
        <w:rPr>
          <w:rStyle w:val="CharStyle6"/>
        </w:rPr>
        <w:t xml:space="preserve">Wdrożenie mechanizmu automatycznego poboru opłat środowiskowych / recyklingowych od przesyłek z państw trzecich bezpośrednio na granicy celnej UE lub obciążenie tym obowiązkiem operatorów cyfrowych platform sprzedażowych (Model </w:t>
      </w:r>
      <w:r>
        <w:rPr>
          <w:rStyle w:val="CharStyle6"/>
          <w:i/>
          <w:iCs/>
        </w:rPr>
        <w:t>Marketplace Responsibility</w:t>
      </w:r>
      <w:r>
        <w:rPr>
          <w:rStyle w:val="CharStyle6"/>
        </w:rPr>
        <w:t>).</w:t>
      </w:r>
    </w:p>
    <w:p>
      <w:pPr>
        <w:pStyle w:val="Style12"/>
        <w:keepNext/>
        <w:keepLines/>
        <w:widowControl w:val="0"/>
        <w:numPr>
          <w:ilvl w:val="0"/>
          <w:numId w:val="11"/>
        </w:numPr>
        <w:shd w:val="clear" w:color="auto" w:fill="auto"/>
        <w:tabs>
          <w:tab w:pos="715" w:val="left"/>
        </w:tabs>
        <w:bidi w:val="0"/>
        <w:spacing w:before="0" w:line="240" w:lineRule="auto"/>
        <w:ind w:left="720" w:right="0" w:hanging="360"/>
        <w:jc w:val="both"/>
      </w:pPr>
      <w:bookmarkStart w:id="13" w:name="bookmark13"/>
      <w:r>
        <w:rPr>
          <w:rStyle w:val="CharStyle13"/>
          <w:b/>
          <w:bCs/>
        </w:rPr>
        <w:t>ZNOSZENIE BARIER DLA MIKROPRZEDSIĘBIORSTW (Próg przychodu do 200 000 zł):</w:t>
      </w:r>
      <w:bookmarkEnd w:id="13"/>
    </w:p>
    <w:p>
      <w:pPr>
        <w:pStyle w:val="Style5"/>
        <w:keepNext w:val="0"/>
        <w:keepLines w:val="0"/>
        <w:widowControl w:val="0"/>
        <w:shd w:val="clear" w:color="auto" w:fill="auto"/>
        <w:bidi w:val="0"/>
        <w:spacing w:before="0" w:after="320" w:line="240" w:lineRule="auto"/>
        <w:ind w:left="720" w:right="0" w:firstLine="0"/>
        <w:jc w:val="both"/>
      </w:pPr>
      <w:r>
        <w:rPr>
          <w:rStyle w:val="CharStyle6"/>
        </w:rPr>
        <w:t xml:space="preserve">Wprowadzenie wyłączenia z obowiązków rejestrowych, prowadzenia ewidencji wagowej i składania corocznych sprawozdań w BDO/EPR dla podmiotów, których roczny przychód z działalności nie przekracza kwoty </w:t>
      </w:r>
      <w:r>
        <w:rPr>
          <w:rStyle w:val="CharStyle6"/>
          <w:b/>
          <w:bCs/>
        </w:rPr>
        <w:t>200 000 zł</w:t>
      </w:r>
      <w:r>
        <w:rPr>
          <w:rStyle w:val="CharStyle6"/>
        </w:rPr>
        <w:t>:</w:t>
      </w:r>
    </w:p>
    <w:p>
      <w:pPr>
        <w:pStyle w:val="Style5"/>
        <w:keepNext w:val="0"/>
        <w:keepLines w:val="0"/>
        <w:widowControl w:val="0"/>
        <w:shd w:val="clear" w:color="auto" w:fill="auto"/>
        <w:bidi w:val="0"/>
        <w:spacing w:before="0" w:after="0" w:line="259" w:lineRule="auto"/>
        <w:ind w:left="1440" w:right="0" w:hanging="360"/>
        <w:jc w:val="both"/>
      </w:pPr>
      <w:r>
        <w:rPr>
          <w:rStyle w:val="CharStyle6"/>
          <w:rFonts w:ascii="Courier New" w:eastAsia="Courier New" w:hAnsi="Courier New" w:cs="Courier New"/>
          <w:sz w:val="20"/>
          <w:szCs w:val="20"/>
        </w:rPr>
        <w:t xml:space="preserve">o </w:t>
      </w:r>
      <w:r>
        <w:rPr>
          <w:rStyle w:val="CharStyle6"/>
          <w:b/>
          <w:bCs/>
        </w:rPr>
        <w:t xml:space="preserve">Kryterium roku poprzedniego: </w:t>
      </w:r>
      <w:r>
        <w:rPr>
          <w:rStyle w:val="CharStyle6"/>
        </w:rPr>
        <w:t>O prawie do wyłączenia decyduje wartość przychodu z ubiegłego roku podatkowego (na podstawie złożonych deklaracji PIT/VAT), co eliminuje konieczność prewencyjnego prowadzenia ewidencji.</w:t>
      </w:r>
    </w:p>
    <w:p>
      <w:pPr>
        <w:pStyle w:val="Style5"/>
        <w:keepNext w:val="0"/>
        <w:keepLines w:val="0"/>
        <w:widowControl w:val="0"/>
        <w:shd w:val="clear" w:color="auto" w:fill="auto"/>
        <w:bidi w:val="0"/>
        <w:spacing w:before="0" w:after="0" w:line="259" w:lineRule="auto"/>
        <w:ind w:left="1440" w:right="0" w:hanging="360"/>
        <w:jc w:val="both"/>
      </w:pPr>
      <w:r>
        <w:rPr>
          <w:rStyle w:val="CharStyle6"/>
          <w:rFonts w:ascii="Courier New" w:eastAsia="Courier New" w:hAnsi="Courier New" w:cs="Courier New"/>
          <w:sz w:val="20"/>
          <w:szCs w:val="20"/>
        </w:rPr>
        <w:t xml:space="preserve">o </w:t>
      </w:r>
      <w:r>
        <w:rPr>
          <w:rStyle w:val="CharStyle6"/>
          <w:b/>
          <w:bCs/>
        </w:rPr>
        <w:t xml:space="preserve">Brak skutków wstecznych: </w:t>
      </w:r>
      <w:r>
        <w:rPr>
          <w:rStyle w:val="CharStyle6"/>
        </w:rPr>
        <w:t>W przypadku przekroczenia progu w trakcie roku obrachunkowego, ewentualne obowiązki ewidencyjne powstają wyłącznie od momentu przekroczenia progu, bez możliwości nakładania sankcji za okres wcześniejszy.</w:t>
      </w:r>
    </w:p>
    <w:p>
      <w:pPr>
        <w:pStyle w:val="Style12"/>
        <w:keepNext/>
        <w:keepLines/>
        <w:widowControl w:val="0"/>
        <w:numPr>
          <w:ilvl w:val="0"/>
          <w:numId w:val="11"/>
        </w:numPr>
        <w:shd w:val="clear" w:color="auto" w:fill="auto"/>
        <w:tabs>
          <w:tab w:pos="715" w:val="left"/>
        </w:tabs>
        <w:bidi w:val="0"/>
        <w:spacing w:before="0" w:line="240" w:lineRule="auto"/>
        <w:ind w:left="720" w:right="0" w:hanging="360"/>
        <w:jc w:val="both"/>
      </w:pPr>
      <w:bookmarkStart w:id="15" w:name="bookmark15"/>
      <w:r>
        <w:rPr>
          <w:rStyle w:val="CharStyle13"/>
          <w:b/>
          <w:bCs/>
        </w:rPr>
        <w:t>WDROŻENIE MODELU AKCYZY ŚRODOWISKOWEJ U ŹRÓDŁA I FUNDUSZU REALNEJ EKOLOGII:</w:t>
      </w:r>
      <w:bookmarkEnd w:id="15"/>
    </w:p>
    <w:p>
      <w:pPr>
        <w:pStyle w:val="Style5"/>
        <w:keepNext w:val="0"/>
        <w:keepLines w:val="0"/>
        <w:widowControl w:val="0"/>
        <w:shd w:val="clear" w:color="auto" w:fill="auto"/>
        <w:bidi w:val="0"/>
        <w:spacing w:before="0" w:after="320" w:line="240" w:lineRule="auto"/>
        <w:ind w:left="720" w:right="0" w:firstLine="0"/>
        <w:jc w:val="both"/>
      </w:pPr>
      <w:r>
        <w:rPr>
          <w:rStyle w:val="CharStyle6"/>
        </w:rPr>
        <w:t>Zastąpienie rozproszonego systemu sprawozdawczego jednorazową opłatą naliczaną na początku łańcucha dostaw (u producenta czystego opakowania lub przy odprawie celnej importowej):</w:t>
      </w:r>
    </w:p>
    <w:p>
      <w:pPr>
        <w:pStyle w:val="Style5"/>
        <w:keepNext w:val="0"/>
        <w:keepLines w:val="0"/>
        <w:widowControl w:val="0"/>
        <w:shd w:val="clear" w:color="auto" w:fill="auto"/>
        <w:bidi w:val="0"/>
        <w:spacing w:before="0" w:after="0" w:line="254" w:lineRule="auto"/>
        <w:ind w:left="1440" w:right="0" w:hanging="360"/>
        <w:jc w:val="both"/>
      </w:pPr>
      <w:r>
        <w:rPr>
          <w:rStyle w:val="CharStyle6"/>
          <w:rFonts w:ascii="Courier New" w:eastAsia="Courier New" w:hAnsi="Courier New" w:cs="Courier New"/>
          <w:sz w:val="20"/>
          <w:szCs w:val="20"/>
        </w:rPr>
        <w:t xml:space="preserve">o </w:t>
      </w:r>
      <w:r>
        <w:rPr>
          <w:rStyle w:val="CharStyle6"/>
          <w:b/>
          <w:bCs/>
        </w:rPr>
        <w:t xml:space="preserve">Stała stawka kwotowa u źródła: </w:t>
      </w:r>
      <w:r>
        <w:rPr>
          <w:rStyle w:val="CharStyle6"/>
        </w:rPr>
        <w:t>Zastosowanie niskiej, stałej stawki kwotowej od sztuki lub kilograma materiału opakowaniowego gwarantuje natychmiastowe, miliardowe wpływy do budżetu ekologicznego od miliardów paczek rocznie, całkowicie zwalniając nabywców (sklepy, rolników, mikrofirmy) z darmowej pracy administracyjnej.</w:t>
      </w:r>
    </w:p>
    <w:p>
      <w:pPr>
        <w:pStyle w:val="Style5"/>
        <w:keepNext w:val="0"/>
        <w:keepLines w:val="0"/>
        <w:widowControl w:val="0"/>
        <w:shd w:val="clear" w:color="auto" w:fill="auto"/>
        <w:bidi w:val="0"/>
        <w:spacing w:before="0" w:after="0" w:line="259" w:lineRule="auto"/>
        <w:ind w:left="1440" w:right="0" w:hanging="360"/>
        <w:jc w:val="both"/>
      </w:pPr>
      <w:r>
        <w:rPr>
          <w:rStyle w:val="CharStyle6"/>
          <w:rFonts w:ascii="Courier New" w:eastAsia="Courier New" w:hAnsi="Courier New" w:cs="Courier New"/>
          <w:sz w:val="20"/>
          <w:szCs w:val="20"/>
        </w:rPr>
        <w:t xml:space="preserve">o </w:t>
      </w:r>
      <w:r>
        <w:rPr>
          <w:rStyle w:val="CharStyle6"/>
          <w:b/>
          <w:bCs/>
        </w:rPr>
        <w:t xml:space="preserve">Sztywny wymóg celowy (Przeznaczenie środków z Akcyzy): </w:t>
      </w:r>
      <w:r>
        <w:rPr>
          <w:rStyle w:val="CharStyle6"/>
        </w:rPr>
        <w:t>100% wpływów z Akcyzy Środowiskowej musi zasilać dedykowany Fundusz z prawnym zakazem finansowania aparatów urzędniczych, przekazując środki wyłącznie na:</w:t>
      </w:r>
    </w:p>
    <w:p>
      <w:pPr>
        <w:pStyle w:val="Style5"/>
        <w:keepNext w:val="0"/>
        <w:keepLines w:val="0"/>
        <w:widowControl w:val="0"/>
        <w:numPr>
          <w:ilvl w:val="0"/>
          <w:numId w:val="13"/>
        </w:numPr>
        <w:shd w:val="clear" w:color="auto" w:fill="auto"/>
        <w:tabs>
          <w:tab w:pos="2165" w:val="left"/>
        </w:tabs>
        <w:bidi w:val="0"/>
        <w:spacing w:before="0" w:after="0" w:line="298" w:lineRule="auto"/>
        <w:ind w:left="2160" w:right="0" w:hanging="360"/>
        <w:jc w:val="both"/>
      </w:pPr>
      <w:r>
        <w:rPr>
          <w:rStyle w:val="CharStyle6"/>
          <w:b/>
          <w:bCs/>
        </w:rPr>
        <w:t xml:space="preserve">Bezpośrednie sprzątanie środowiska (Direct Action): </w:t>
      </w:r>
      <w:r>
        <w:rPr>
          <w:rStyle w:val="CharStyle6"/>
        </w:rPr>
        <w:t>Finansowanie akcji oczyszczania lasów, rzek, parków i terenów zielonych z dzikich wysypisk.</w:t>
      </w:r>
    </w:p>
    <w:p>
      <w:pPr>
        <w:pStyle w:val="Style5"/>
        <w:keepNext w:val="0"/>
        <w:keepLines w:val="0"/>
        <w:widowControl w:val="0"/>
        <w:numPr>
          <w:ilvl w:val="0"/>
          <w:numId w:val="13"/>
        </w:numPr>
        <w:shd w:val="clear" w:color="auto" w:fill="auto"/>
        <w:tabs>
          <w:tab w:pos="2165" w:val="left"/>
        </w:tabs>
        <w:bidi w:val="0"/>
        <w:spacing w:before="0" w:after="0" w:line="336" w:lineRule="auto"/>
        <w:ind w:left="2160" w:right="0" w:hanging="360"/>
        <w:jc w:val="both"/>
      </w:pPr>
      <w:r>
        <w:rPr>
          <w:rStyle w:val="CharStyle6"/>
          <w:b/>
          <w:bCs/>
        </w:rPr>
        <w:t xml:space="preserve">Edukację i happeningi społeczne: </w:t>
      </w:r>
      <w:r>
        <w:rPr>
          <w:rStyle w:val="CharStyle6"/>
        </w:rPr>
        <w:t>Praktyczna nauka młodego pokolenia w zakresie ochrony środowiska lokalnego i planetarnego.</w:t>
      </w:r>
    </w:p>
    <w:p>
      <w:pPr>
        <w:pStyle w:val="Style5"/>
        <w:keepNext w:val="0"/>
        <w:keepLines w:val="0"/>
        <w:widowControl w:val="0"/>
        <w:numPr>
          <w:ilvl w:val="0"/>
          <w:numId w:val="13"/>
        </w:numPr>
        <w:shd w:val="clear" w:color="auto" w:fill="auto"/>
        <w:tabs>
          <w:tab w:pos="2165" w:val="left"/>
        </w:tabs>
        <w:bidi w:val="0"/>
        <w:spacing w:before="0" w:after="280" w:line="298" w:lineRule="auto"/>
        <w:ind w:left="2160" w:right="0" w:hanging="360"/>
        <w:jc w:val="both"/>
      </w:pPr>
      <w:r>
        <w:rPr>
          <w:rStyle w:val="CharStyle6"/>
          <w:b/>
          <w:bCs/>
        </w:rPr>
        <w:t xml:space="preserve">Badania naukowe (B+R): </w:t>
      </w:r>
      <w:r>
        <w:rPr>
          <w:rStyle w:val="CharStyle6"/>
        </w:rPr>
        <w:t>Innowacyjne prace nad biochemiczną utylizacją odpadów (enzymy, grzyby) oraz rozwój biodegradowalnych materiałów.</w:t>
      </w:r>
    </w:p>
    <w:p>
      <w:pPr>
        <w:pStyle w:val="Style5"/>
        <w:keepNext w:val="0"/>
        <w:keepLines w:val="0"/>
        <w:widowControl w:val="0"/>
        <w:numPr>
          <w:ilvl w:val="0"/>
          <w:numId w:val="13"/>
        </w:numPr>
        <w:shd w:val="clear" w:color="auto" w:fill="auto"/>
        <w:tabs>
          <w:tab w:pos="2185" w:val="left"/>
        </w:tabs>
        <w:bidi w:val="0"/>
        <w:spacing w:before="0" w:after="280" w:line="240" w:lineRule="auto"/>
        <w:ind w:left="2180" w:right="0" w:hanging="360"/>
        <w:jc w:val="both"/>
      </w:pPr>
      <w:r>
        <w:rPr>
          <w:rStyle w:val="CharStyle6"/>
          <w:b/>
          <w:bCs/>
        </w:rPr>
        <w:t xml:space="preserve">Zieloną logistykę i bezpieczeństwo energetyczne: </w:t>
      </w:r>
      <w:r>
        <w:rPr>
          <w:rStyle w:val="CharStyle6"/>
        </w:rPr>
        <w:t>Wspieranie nowych, niskoemisyjnych form transportu przesyłek oraz odzysku energii z odpadów.</w:t>
      </w:r>
    </w:p>
    <w:p>
      <w:pPr>
        <w:pStyle w:val="Style5"/>
        <w:keepNext w:val="0"/>
        <w:keepLines w:val="0"/>
        <w:widowControl w:val="0"/>
        <w:shd w:val="clear" w:color="auto" w:fill="auto"/>
        <w:bidi w:val="0"/>
        <w:spacing w:before="0" w:after="280" w:line="240" w:lineRule="auto"/>
        <w:ind w:left="0" w:right="0" w:firstLine="0"/>
        <w:jc w:val="both"/>
      </w:pPr>
      <w:r>
        <w:rPr>
          <w:rStyle w:val="CharStyle6"/>
        </w:rPr>
        <w:t>Prawdziwa ochrona środowiska wymaga eliminacji patologii u źródła, a nie budowania fasadowych przepisów zżerających od środka uczciwych ludzi i europejską gospodarkę.</w:t>
      </w:r>
    </w:p>
    <w:p>
      <w:pPr>
        <w:pStyle w:val="Style5"/>
        <w:keepNext w:val="0"/>
        <w:keepLines w:val="0"/>
        <w:widowControl w:val="0"/>
        <w:shd w:val="clear" w:color="auto" w:fill="auto"/>
        <w:bidi w:val="0"/>
        <w:spacing w:before="0" w:after="280" w:line="240" w:lineRule="auto"/>
        <w:ind w:left="0" w:right="0" w:firstLine="0"/>
        <w:jc w:val="both"/>
      </w:pPr>
      <w:r>
        <w:rPr>
          <w:rStyle w:val="CharStyle6"/>
        </w:rPr>
        <w:t>Wskazane propozycje mają na celu wyeliminowanie barier biurokratycznych, przywrócenie uczciwej konkurencji rynkowej oraz zapewnienie realnych środków finansowych na ochronę środowiska naturalnego.</w:t>
      </w:r>
    </w:p>
    <w:sectPr>
      <w:footnotePr>
        <w:pos w:val="pageBottom"/>
        <w:numFmt w:val="decimal"/>
        <w:numRestart w:val="continuous"/>
      </w:footnotePr>
      <w:type w:val="continuous"/>
      <w:pgSz w:w="11900" w:h="16840"/>
      <w:pgMar w:top="702" w:right="679" w:bottom="665" w:left="684" w:header="274" w:footer="237"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8"/>
        <w:szCs w:val="28"/>
        <w:u w:val="none"/>
        <w:shd w:val="clear" w:color="auto" w:fill="auto"/>
        <w:lang w:val="pl-PL" w:eastAsia="pl-PL"/>
      </w:rPr>
    </w:lvl>
  </w:abstractNum>
  <w:abstractNum w:abstractNumId="2">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28"/>
        <w:szCs w:val="28"/>
        <w:u w:val="none"/>
        <w:shd w:val="clear" w:color="auto" w:fill="auto"/>
        <w:lang w:val="pl-PL" w:eastAsia="pl-PL"/>
      </w:rPr>
    </w:lvl>
  </w:abstractNum>
  <w:abstractNum w:abstractNumId="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6">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28"/>
        <w:szCs w:val="28"/>
        <w:u w:val="none"/>
        <w:shd w:val="clear" w:color="auto" w:fill="auto"/>
        <w:lang w:val="pl-PL" w:eastAsia="pl-PL"/>
      </w:rPr>
    </w:lvl>
  </w:abstractNum>
  <w:abstractNum w:abstractNumId="8">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10">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28"/>
        <w:szCs w:val="28"/>
        <w:u w:val="none"/>
        <w:shd w:val="clear" w:color="auto" w:fill="auto"/>
        <w:lang w:val="pl-PL" w:eastAsia="pl-PL"/>
      </w:rPr>
    </w:lvl>
  </w:abstractNum>
  <w:abstractNum w:abstractNumId="1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2"/>
        <w:szCs w:val="12"/>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 (2)_"/>
    <w:basedOn w:val="DefaultParagraphFont"/>
    <w:link w:val="Style2"/>
    <w:rPr>
      <w:rFonts w:ascii="Arial" w:eastAsia="Arial" w:hAnsi="Arial" w:cs="Arial"/>
      <w:b w:val="0"/>
      <w:bCs w:val="0"/>
      <w:i w:val="0"/>
      <w:iCs w:val="0"/>
      <w:smallCaps w:val="0"/>
      <w:strike w:val="0"/>
      <w:u w:val="none"/>
    </w:rPr>
  </w:style>
  <w:style w:type="character" w:customStyle="1" w:styleId="CharStyle6">
    <w:name w:val="Body text_"/>
    <w:basedOn w:val="DefaultParagraphFont"/>
    <w:link w:val="Style5"/>
    <w:rPr>
      <w:rFonts w:ascii="Arial" w:eastAsia="Arial" w:hAnsi="Arial" w:cs="Arial"/>
      <w:b w:val="0"/>
      <w:bCs w:val="0"/>
      <w:i w:val="0"/>
      <w:iCs w:val="0"/>
      <w:smallCaps w:val="0"/>
      <w:strike w:val="0"/>
      <w:sz w:val="28"/>
      <w:szCs w:val="28"/>
      <w:u w:val="none"/>
    </w:rPr>
  </w:style>
  <w:style w:type="character" w:customStyle="1" w:styleId="CharStyle10">
    <w:name w:val="Heading #1_"/>
    <w:basedOn w:val="DefaultParagraphFont"/>
    <w:link w:val="Style9"/>
    <w:rPr>
      <w:rFonts w:ascii="Times New Roman" w:eastAsia="Times New Roman" w:hAnsi="Times New Roman" w:cs="Times New Roman"/>
      <w:b/>
      <w:bCs/>
      <w:i w:val="0"/>
      <w:iCs w:val="0"/>
      <w:smallCaps w:val="0"/>
      <w:strike w:val="0"/>
      <w:sz w:val="42"/>
      <w:szCs w:val="42"/>
      <w:u w:val="none"/>
    </w:rPr>
  </w:style>
  <w:style w:type="character" w:customStyle="1" w:styleId="CharStyle13">
    <w:name w:val="Heading #2_"/>
    <w:basedOn w:val="DefaultParagraphFont"/>
    <w:link w:val="Style12"/>
    <w:rPr>
      <w:rFonts w:ascii="Arial" w:eastAsia="Arial" w:hAnsi="Arial" w:cs="Arial"/>
      <w:b/>
      <w:bCs/>
      <w:i w:val="0"/>
      <w:iCs w:val="0"/>
      <w:smallCaps w:val="0"/>
      <w:strike w:val="0"/>
      <w:sz w:val="28"/>
      <w:szCs w:val="28"/>
      <w:u w:val="none"/>
    </w:rPr>
  </w:style>
  <w:style w:type="paragraph" w:customStyle="1" w:styleId="Style2">
    <w:name w:val="Body text (2)"/>
    <w:basedOn w:val="Normal"/>
    <w:link w:val="CharStyle3"/>
    <w:pPr>
      <w:widowControl w:val="0"/>
      <w:shd w:val="clear" w:color="auto" w:fill="auto"/>
    </w:pPr>
    <w:rPr>
      <w:rFonts w:ascii="Arial" w:eastAsia="Arial" w:hAnsi="Arial" w:cs="Arial"/>
      <w:b w:val="0"/>
      <w:bCs w:val="0"/>
      <w:i w:val="0"/>
      <w:iCs w:val="0"/>
      <w:smallCaps w:val="0"/>
      <w:strike w:val="0"/>
      <w:u w:val="none"/>
    </w:rPr>
  </w:style>
  <w:style w:type="paragraph" w:styleId="Style5">
    <w:name w:val="Body text"/>
    <w:basedOn w:val="Normal"/>
    <w:link w:val="CharStyle6"/>
    <w:qFormat/>
    <w:pPr>
      <w:widowControl w:val="0"/>
      <w:shd w:val="clear" w:color="auto" w:fill="auto"/>
      <w:spacing w:after="260"/>
    </w:pPr>
    <w:rPr>
      <w:rFonts w:ascii="Arial" w:eastAsia="Arial" w:hAnsi="Arial" w:cs="Arial"/>
      <w:b w:val="0"/>
      <w:bCs w:val="0"/>
      <w:i w:val="0"/>
      <w:iCs w:val="0"/>
      <w:smallCaps w:val="0"/>
      <w:strike w:val="0"/>
      <w:sz w:val="28"/>
      <w:szCs w:val="28"/>
      <w:u w:val="none"/>
    </w:rPr>
  </w:style>
  <w:style w:type="paragraph" w:customStyle="1" w:styleId="Style9">
    <w:name w:val="Heading #1"/>
    <w:basedOn w:val="Normal"/>
    <w:link w:val="CharStyle10"/>
    <w:pPr>
      <w:widowControl w:val="0"/>
      <w:shd w:val="clear" w:color="auto" w:fill="auto"/>
      <w:spacing w:after="260"/>
      <w:jc w:val="center"/>
      <w:outlineLvl w:val="0"/>
    </w:pPr>
    <w:rPr>
      <w:rFonts w:ascii="Times New Roman" w:eastAsia="Times New Roman" w:hAnsi="Times New Roman" w:cs="Times New Roman"/>
      <w:b/>
      <w:bCs/>
      <w:i w:val="0"/>
      <w:iCs w:val="0"/>
      <w:smallCaps w:val="0"/>
      <w:strike w:val="0"/>
      <w:sz w:val="42"/>
      <w:szCs w:val="42"/>
      <w:u w:val="none"/>
    </w:rPr>
  </w:style>
  <w:style w:type="paragraph" w:customStyle="1" w:styleId="Style12">
    <w:name w:val="Heading #2"/>
    <w:basedOn w:val="Normal"/>
    <w:link w:val="CharStyle13"/>
    <w:pPr>
      <w:widowControl w:val="0"/>
      <w:shd w:val="clear" w:color="auto" w:fill="auto"/>
      <w:spacing w:after="280"/>
      <w:outlineLvl w:val="1"/>
    </w:pPr>
    <w:rPr>
      <w:rFonts w:ascii="Arial" w:eastAsia="Arial" w:hAnsi="Arial" w:cs="Arial"/>
      <w:b/>
      <w:bCs/>
      <w:i w:val="0"/>
      <w:iCs w:val="0"/>
      <w:smallCaps w:val="0"/>
      <w:strike w:val="0"/>
      <w:sz w:val="28"/>
      <w:szCs w:val="2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Wojciech Kawalec</dc:creator>
  <cp:keywords/>
</cp:coreProperties>
</file>