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187A" w14:textId="77777777" w:rsidR="00C8263F" w:rsidRDefault="00C8263F">
      <w:pPr>
        <w:pStyle w:val="Tekstpodstawowy"/>
        <w:spacing w:before="15"/>
        <w:ind w:left="0"/>
        <w:jc w:val="left"/>
        <w:rPr>
          <w:rFonts w:ascii="Times New Roman"/>
        </w:rPr>
      </w:pPr>
    </w:p>
    <w:p w14:paraId="326BE88C" w14:textId="77777777" w:rsidR="00C8263F" w:rsidRDefault="00000000">
      <w:pPr>
        <w:ind w:left="83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25CF47" wp14:editId="148D943D">
            <wp:extent cx="1411212" cy="368807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12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50FBC" w14:textId="77777777" w:rsidR="00C8263F" w:rsidRDefault="00C8263F">
      <w:pPr>
        <w:pStyle w:val="Tekstpodstawowy"/>
        <w:ind w:left="0"/>
        <w:jc w:val="left"/>
        <w:rPr>
          <w:rFonts w:ascii="Times New Roman"/>
          <w:sz w:val="18"/>
        </w:rPr>
      </w:pPr>
    </w:p>
    <w:p w14:paraId="52F98712" w14:textId="77777777" w:rsidR="00C8263F" w:rsidRDefault="00C8263F">
      <w:pPr>
        <w:pStyle w:val="Tekstpodstawowy"/>
        <w:spacing w:before="33"/>
        <w:ind w:left="0"/>
        <w:jc w:val="left"/>
        <w:rPr>
          <w:rFonts w:ascii="Times New Roman"/>
          <w:sz w:val="18"/>
        </w:rPr>
      </w:pPr>
    </w:p>
    <w:p w14:paraId="49BFAD68" w14:textId="77777777" w:rsidR="00C8263F" w:rsidRDefault="00000000">
      <w:pPr>
        <w:ind w:right="86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7C998A" wp14:editId="451B1182">
                <wp:simplePos x="0" y="0"/>
                <wp:positionH relativeFrom="page">
                  <wp:posOffset>465455</wp:posOffset>
                </wp:positionH>
                <wp:positionV relativeFrom="paragraph">
                  <wp:posOffset>174646</wp:posOffset>
                </wp:positionV>
                <wp:extent cx="66294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839FC" id="Graphic 2" o:spid="_x0000_s1026" style="position:absolute;margin-left:36.65pt;margin-top:13.75pt;width:52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" path="m,l6629400,e" filled="f" strokecolor="gray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251658240" behindDoc="0" locked="0" layoutInCell="1" allowOverlap="1" wp14:anchorId="3A7B81EB" wp14:editId="2F33D81C">
            <wp:simplePos x="0" y="0"/>
            <wp:positionH relativeFrom="page">
              <wp:posOffset>441959</wp:posOffset>
            </wp:positionH>
            <wp:positionV relativeFrom="paragraph">
              <wp:posOffset>-814047</wp:posOffset>
            </wp:positionV>
            <wp:extent cx="2391409" cy="885189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409" cy="885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20"/>
          <w:sz w:val="18"/>
        </w:rPr>
        <w:t>Arkusz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informacyjny</w:t>
      </w:r>
      <w:proofErr w:type="spellEnd"/>
      <w:r>
        <w:rPr>
          <w:w w:val="120"/>
          <w:sz w:val="18"/>
        </w:rPr>
        <w:t xml:space="preserve"> - </w:t>
      </w:r>
      <w:proofErr w:type="spellStart"/>
      <w:r>
        <w:rPr>
          <w:w w:val="120"/>
          <w:sz w:val="18"/>
        </w:rPr>
        <w:t>Koniec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życia</w:t>
      </w:r>
      <w:proofErr w:type="spellEnd"/>
      <w:r>
        <w:rPr>
          <w:w w:val="120"/>
          <w:sz w:val="18"/>
        </w:rPr>
        <w:t xml:space="preserve"> </w:t>
      </w:r>
      <w:proofErr w:type="gramStart"/>
      <w:r>
        <w:rPr>
          <w:spacing w:val="-4"/>
          <w:w w:val="120"/>
          <w:sz w:val="18"/>
        </w:rPr>
        <w:t>a</w:t>
      </w:r>
      <w:proofErr w:type="gramEnd"/>
      <w:r>
        <w:rPr>
          <w:spacing w:val="-4"/>
          <w:w w:val="120"/>
          <w:sz w:val="18"/>
        </w:rPr>
        <w:t xml:space="preserve"> EKPC</w:t>
      </w:r>
    </w:p>
    <w:p w14:paraId="596C4FE3" w14:textId="77777777" w:rsidR="00C8263F" w:rsidRDefault="00C8263F">
      <w:pPr>
        <w:pStyle w:val="Tekstpodstawowy"/>
        <w:spacing w:before="19"/>
        <w:ind w:left="0"/>
        <w:jc w:val="left"/>
        <w:rPr>
          <w:sz w:val="18"/>
        </w:rPr>
      </w:pPr>
    </w:p>
    <w:p w14:paraId="2B41A0E4" w14:textId="3B131009" w:rsidR="00C8263F" w:rsidRDefault="00000000" w:rsidP="007051D7">
      <w:pPr>
        <w:ind w:left="2835" w:right="454" w:firstLine="4576"/>
        <w:jc w:val="right"/>
        <w:rPr>
          <w:sz w:val="18"/>
        </w:rPr>
      </w:pPr>
      <w:r>
        <w:rPr>
          <w:color w:val="EB7E12"/>
          <w:w w:val="120"/>
          <w:sz w:val="18"/>
        </w:rPr>
        <w:t xml:space="preserve">Czerwiec 2024 </w:t>
      </w:r>
      <w:r w:rsidR="007051D7">
        <w:rPr>
          <w:color w:val="EB7E12"/>
          <w:w w:val="120"/>
          <w:sz w:val="18"/>
        </w:rPr>
        <w:t>r.</w:t>
      </w:r>
      <w:r w:rsidR="007051D7">
        <w:rPr>
          <w:color w:val="EB7E12"/>
          <w:w w:val="120"/>
          <w:sz w:val="18"/>
        </w:rPr>
        <w:br/>
      </w:r>
      <w:proofErr w:type="spellStart"/>
      <w:r>
        <w:rPr>
          <w:color w:val="EB7E12"/>
          <w:w w:val="120"/>
          <w:sz w:val="18"/>
        </w:rPr>
        <w:t>Niniejszy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 w:rsidR="000D5D2D">
        <w:rPr>
          <w:color w:val="EB7E12"/>
          <w:w w:val="120"/>
          <w:sz w:val="18"/>
        </w:rPr>
        <w:t>zestawienie</w:t>
      </w:r>
      <w:proofErr w:type="spellEnd"/>
      <w:r w:rsidR="000D5D2D">
        <w:rPr>
          <w:color w:val="EB7E12"/>
          <w:w w:val="120"/>
          <w:sz w:val="18"/>
        </w:rPr>
        <w:t xml:space="preserve"> </w:t>
      </w:r>
      <w:proofErr w:type="spellStart"/>
      <w:r w:rsidR="000D5D2D">
        <w:rPr>
          <w:color w:val="EB7E12"/>
          <w:w w:val="120"/>
          <w:sz w:val="18"/>
        </w:rPr>
        <w:t>tematyczne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>
        <w:rPr>
          <w:color w:val="EB7E12"/>
          <w:w w:val="120"/>
          <w:sz w:val="18"/>
        </w:rPr>
        <w:t>nie</w:t>
      </w:r>
      <w:proofErr w:type="spellEnd"/>
      <w:r>
        <w:rPr>
          <w:color w:val="EB7E12"/>
          <w:w w:val="120"/>
          <w:sz w:val="18"/>
        </w:rPr>
        <w:t xml:space="preserve"> jest </w:t>
      </w:r>
      <w:proofErr w:type="spellStart"/>
      <w:r>
        <w:rPr>
          <w:color w:val="EB7E12"/>
          <w:w w:val="120"/>
          <w:sz w:val="18"/>
        </w:rPr>
        <w:t>wiążąc</w:t>
      </w:r>
      <w:r w:rsidR="000D5D2D">
        <w:rPr>
          <w:color w:val="EB7E12"/>
          <w:w w:val="120"/>
          <w:sz w:val="18"/>
        </w:rPr>
        <w:t>e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>
        <w:rPr>
          <w:color w:val="EB7E12"/>
          <w:w w:val="120"/>
          <w:sz w:val="18"/>
        </w:rPr>
        <w:t>dla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>
        <w:rPr>
          <w:color w:val="EB7E12"/>
          <w:w w:val="120"/>
          <w:sz w:val="18"/>
        </w:rPr>
        <w:t>Trybunału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>
        <w:rPr>
          <w:color w:val="EB7E12"/>
          <w:w w:val="120"/>
          <w:sz w:val="18"/>
        </w:rPr>
        <w:t>i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>
        <w:rPr>
          <w:color w:val="EB7E12"/>
          <w:w w:val="120"/>
          <w:sz w:val="18"/>
        </w:rPr>
        <w:t>nie</w:t>
      </w:r>
      <w:proofErr w:type="spellEnd"/>
      <w:r>
        <w:rPr>
          <w:color w:val="EB7E12"/>
          <w:w w:val="120"/>
          <w:sz w:val="18"/>
        </w:rPr>
        <w:t xml:space="preserve"> jest </w:t>
      </w:r>
      <w:proofErr w:type="spellStart"/>
      <w:r>
        <w:rPr>
          <w:color w:val="EB7E12"/>
          <w:spacing w:val="-2"/>
          <w:w w:val="120"/>
          <w:sz w:val="18"/>
        </w:rPr>
        <w:t>wyczerpując</w:t>
      </w:r>
      <w:r w:rsidR="000D5D2D">
        <w:rPr>
          <w:color w:val="EB7E12"/>
          <w:spacing w:val="-2"/>
          <w:w w:val="120"/>
          <w:sz w:val="18"/>
        </w:rPr>
        <w:t>e</w:t>
      </w:r>
      <w:proofErr w:type="spellEnd"/>
    </w:p>
    <w:p w14:paraId="0FC6141C" w14:textId="77777777" w:rsidR="00C8263F" w:rsidRDefault="00C8263F">
      <w:pPr>
        <w:pStyle w:val="Tekstpodstawowy"/>
        <w:spacing w:before="36"/>
        <w:ind w:left="0"/>
        <w:jc w:val="left"/>
        <w:rPr>
          <w:sz w:val="18"/>
        </w:rPr>
      </w:pPr>
    </w:p>
    <w:p w14:paraId="3CFE4260" w14:textId="77777777" w:rsidR="00C8263F" w:rsidRDefault="00000000">
      <w:pPr>
        <w:pStyle w:val="Tytu"/>
      </w:pPr>
      <w:proofErr w:type="spellStart"/>
      <w:r>
        <w:rPr>
          <w:color w:val="0071BB"/>
          <w:w w:val="120"/>
          <w:sz w:val="50"/>
        </w:rPr>
        <w:t>Koniec</w:t>
      </w:r>
      <w:proofErr w:type="spellEnd"/>
      <w:r>
        <w:rPr>
          <w:color w:val="0071BB"/>
          <w:w w:val="120"/>
          <w:sz w:val="50"/>
        </w:rPr>
        <w:t xml:space="preserve"> </w:t>
      </w:r>
      <w:proofErr w:type="spellStart"/>
      <w:r>
        <w:rPr>
          <w:color w:val="0071BB"/>
          <w:w w:val="120"/>
          <w:sz w:val="50"/>
        </w:rPr>
        <w:t>życia</w:t>
      </w:r>
      <w:proofErr w:type="spellEnd"/>
      <w:r>
        <w:rPr>
          <w:color w:val="0071BB"/>
          <w:w w:val="120"/>
          <w:sz w:val="50"/>
        </w:rPr>
        <w:t xml:space="preserve"> a </w:t>
      </w:r>
      <w:proofErr w:type="spellStart"/>
      <w:r>
        <w:rPr>
          <w:color w:val="0071BB"/>
          <w:w w:val="120"/>
          <w:sz w:val="50"/>
        </w:rPr>
        <w:t>Europejska</w:t>
      </w:r>
      <w:proofErr w:type="spellEnd"/>
      <w:r>
        <w:rPr>
          <w:color w:val="0071BB"/>
          <w:w w:val="120"/>
          <w:sz w:val="50"/>
        </w:rPr>
        <w:t xml:space="preserve"> </w:t>
      </w:r>
      <w:proofErr w:type="spellStart"/>
      <w:r>
        <w:rPr>
          <w:color w:val="0071BB"/>
          <w:w w:val="120"/>
          <w:sz w:val="50"/>
        </w:rPr>
        <w:t>Konwencja</w:t>
      </w:r>
      <w:proofErr w:type="spellEnd"/>
      <w:r>
        <w:rPr>
          <w:color w:val="0071BB"/>
          <w:w w:val="120"/>
          <w:sz w:val="50"/>
        </w:rPr>
        <w:t xml:space="preserve"> </w:t>
      </w:r>
      <w:proofErr w:type="spellStart"/>
      <w:r>
        <w:rPr>
          <w:color w:val="0071BB"/>
          <w:w w:val="120"/>
          <w:sz w:val="50"/>
        </w:rPr>
        <w:t>Praw</w:t>
      </w:r>
      <w:proofErr w:type="spellEnd"/>
      <w:r>
        <w:rPr>
          <w:color w:val="0071BB"/>
          <w:w w:val="120"/>
          <w:sz w:val="50"/>
        </w:rPr>
        <w:t xml:space="preserve"> </w:t>
      </w:r>
      <w:proofErr w:type="spellStart"/>
      <w:r>
        <w:rPr>
          <w:color w:val="0071BB"/>
          <w:w w:val="120"/>
          <w:sz w:val="50"/>
        </w:rPr>
        <w:t>Człowieka</w:t>
      </w:r>
      <w:proofErr w:type="spellEnd"/>
    </w:p>
    <w:p w14:paraId="01452C4E" w14:textId="77777777" w:rsidR="00C8263F" w:rsidRDefault="00000000">
      <w:pPr>
        <w:spacing w:line="60" w:lineRule="exact"/>
        <w:ind w:left="84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2F66570" wp14:editId="719E6D86">
                <wp:extent cx="5768340" cy="3810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38100"/>
                          <a:chOff x="0" y="0"/>
                          <a:chExt cx="5768340" cy="38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68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38100">
                                <a:moveTo>
                                  <a:pt x="5768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768340" y="38100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B674E" id="Group 4" o:spid="_x0000_s1026" style="width:454.2pt;height:3pt;mso-position-horizontal-relative:char;mso-position-vertical-relative:line" coordsize="5768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">
                <v:shape id="Graphic 5" o:spid="_x0000_s1027" style="position:absolute;width:57683;height:381;visibility:visible;mso-wrap-style:square;v-text-anchor:top" coordsize="5768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" path="m5768340,l,,,38100r5768340,l5768340,xe" fillcolor="#eaeaea" stroked="f">
                  <v:path arrowok="t"/>
                </v:shape>
                <w10:anchorlock/>
              </v:group>
            </w:pict>
          </mc:Fallback>
        </mc:AlternateContent>
      </w:r>
    </w:p>
    <w:p w14:paraId="55C14E21" w14:textId="77777777" w:rsidR="00C8263F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DCA6FD" wp14:editId="5CFF14BF">
                <wp:simplePos x="0" y="0"/>
                <wp:positionH relativeFrom="page">
                  <wp:posOffset>896111</wp:posOffset>
                </wp:positionH>
                <wp:positionV relativeFrom="paragraph">
                  <wp:posOffset>411682</wp:posOffset>
                </wp:positionV>
                <wp:extent cx="5768340" cy="1841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8340" y="18288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F7DE" id="Graphic 6" o:spid="_x0000_s1026" style="position:absolute;margin-left:70.55pt;margin-top:32.4pt;width:454.2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" path="m5768340,l,,,18288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w w:val="120"/>
          <w:sz w:val="29"/>
        </w:rPr>
        <w:t>Prawo</w:t>
      </w:r>
      <w:proofErr w:type="spellEnd"/>
      <w:r>
        <w:rPr>
          <w:color w:val="0071BB"/>
          <w:w w:val="120"/>
          <w:sz w:val="29"/>
        </w:rPr>
        <w:t xml:space="preserve"> do </w:t>
      </w:r>
      <w:proofErr w:type="spellStart"/>
      <w:r>
        <w:rPr>
          <w:color w:val="0071BB"/>
          <w:w w:val="120"/>
          <w:sz w:val="29"/>
        </w:rPr>
        <w:t>życia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i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prawo</w:t>
      </w:r>
      <w:proofErr w:type="spellEnd"/>
      <w:r>
        <w:rPr>
          <w:color w:val="0071BB"/>
          <w:w w:val="120"/>
          <w:sz w:val="29"/>
        </w:rPr>
        <w:t xml:space="preserve"> do </w:t>
      </w:r>
      <w:proofErr w:type="spellStart"/>
      <w:r>
        <w:rPr>
          <w:color w:val="0071BB"/>
          <w:w w:val="120"/>
          <w:sz w:val="29"/>
        </w:rPr>
        <w:t>poszanowania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spacing w:val="-4"/>
          <w:w w:val="120"/>
          <w:sz w:val="29"/>
        </w:rPr>
        <w:t>życia</w:t>
      </w:r>
      <w:proofErr w:type="spellEnd"/>
      <w:r>
        <w:rPr>
          <w:color w:val="0071BB"/>
          <w:spacing w:val="-4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prywatnego</w:t>
      </w:r>
      <w:proofErr w:type="spellEnd"/>
    </w:p>
    <w:p w14:paraId="73DF1EC1" w14:textId="77777777" w:rsidR="00C8263F" w:rsidRPr="000D5D2D" w:rsidRDefault="00C8263F">
      <w:pPr>
        <w:pStyle w:val="Nagwek2"/>
        <w:spacing w:before="133"/>
        <w:rPr>
          <w:u w:val="thick"/>
        </w:rPr>
      </w:pPr>
      <w:hyperlink r:id="rId9">
        <w:proofErr w:type="spellStart"/>
        <w:r w:rsidRPr="000D5D2D">
          <w:rPr>
            <w:color w:val="0071BB"/>
            <w:w w:val="135"/>
            <w:u w:val="thick" w:color="0071BB"/>
          </w:rPr>
          <w:t>Sanles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w w:val="135"/>
            <w:u w:val="thick" w:color="0071BB"/>
          </w:rPr>
          <w:t>Sanles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4"/>
            <w:w w:val="135"/>
            <w:u w:val="thick" w:color="0071BB"/>
          </w:rPr>
          <w:t>Hiszpanii</w:t>
        </w:r>
        <w:proofErr w:type="spellEnd"/>
      </w:hyperlink>
    </w:p>
    <w:p w14:paraId="51ABC474" w14:textId="77777777" w:rsidR="00C8263F" w:rsidRDefault="00000000">
      <w:pPr>
        <w:spacing w:before="56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26 </w:t>
      </w:r>
      <w:proofErr w:type="spellStart"/>
      <w:r>
        <w:rPr>
          <w:color w:val="808080"/>
          <w:w w:val="125"/>
          <w:sz w:val="18"/>
        </w:rPr>
        <w:t>października</w:t>
      </w:r>
      <w:proofErr w:type="spellEnd"/>
      <w:r>
        <w:rPr>
          <w:color w:val="808080"/>
          <w:w w:val="125"/>
          <w:sz w:val="18"/>
        </w:rPr>
        <w:t xml:space="preserve"> 2000 r. (</w:t>
      </w:r>
      <w:proofErr w:type="spellStart"/>
      <w:r>
        <w:rPr>
          <w:color w:val="808080"/>
          <w:w w:val="125"/>
          <w:sz w:val="18"/>
        </w:rPr>
        <w:t>decyzja</w:t>
      </w:r>
      <w:proofErr w:type="spellEnd"/>
      <w:r>
        <w:rPr>
          <w:color w:val="808080"/>
          <w:w w:val="125"/>
          <w:sz w:val="18"/>
        </w:rPr>
        <w:t xml:space="preserve"> w </w:t>
      </w:r>
      <w:proofErr w:type="spellStart"/>
      <w:r>
        <w:rPr>
          <w:color w:val="808080"/>
          <w:w w:val="125"/>
          <w:sz w:val="18"/>
        </w:rPr>
        <w:t>sprawie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spacing w:val="-2"/>
          <w:w w:val="125"/>
          <w:sz w:val="18"/>
        </w:rPr>
        <w:t>dopuszczalności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459C772C" w14:textId="3D3441D7" w:rsidR="00C8263F" w:rsidRDefault="00000000">
      <w:pPr>
        <w:pStyle w:val="Tekstpodstawowy"/>
        <w:spacing w:before="4"/>
        <w:ind w:right="730"/>
      </w:pP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spadkobiercą</w:t>
      </w:r>
      <w:proofErr w:type="spellEnd"/>
      <w:r>
        <w:rPr>
          <w:w w:val="120"/>
        </w:rPr>
        <w:t xml:space="preserve"> prawnie </w:t>
      </w:r>
      <w:proofErr w:type="spellStart"/>
      <w:r>
        <w:rPr>
          <w:w w:val="120"/>
        </w:rPr>
        <w:t>wyznaczonym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szwagra</w:t>
      </w:r>
      <w:proofErr w:type="spellEnd"/>
      <w:r>
        <w:rPr>
          <w:w w:val="120"/>
        </w:rPr>
        <w:t xml:space="preserve"> -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porażony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czterokończynowo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wypadku</w:t>
      </w:r>
      <w:proofErr w:type="spellEnd"/>
      <w:r>
        <w:rPr>
          <w:w w:val="120"/>
        </w:rPr>
        <w:t xml:space="preserve"> w 1968 r.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popełnił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samobójstwo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styczniu</w:t>
      </w:r>
      <w:proofErr w:type="spellEnd"/>
      <w:r>
        <w:rPr>
          <w:w w:val="120"/>
        </w:rPr>
        <w:t xml:space="preserve"> 1998 r. z </w:t>
      </w:r>
      <w:proofErr w:type="spellStart"/>
      <w:r>
        <w:rPr>
          <w:w w:val="120"/>
        </w:rPr>
        <w:t>pomocą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trzeciej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podczas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powództwo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uznanie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godnej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śmierci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było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toku</w:t>
      </w:r>
      <w:proofErr w:type="spellEnd"/>
      <w:r>
        <w:rPr>
          <w:w w:val="120"/>
        </w:rPr>
        <w:t xml:space="preserve"> - </w:t>
      </w:r>
      <w:proofErr w:type="spellStart"/>
      <w:r w:rsidR="000D5D2D">
        <w:rPr>
          <w:w w:val="120"/>
        </w:rPr>
        <w:t>kontynuowano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postępowani</w:t>
      </w:r>
      <w:r w:rsidR="000D5D2D">
        <w:rPr>
          <w:w w:val="120"/>
        </w:rPr>
        <w:t>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wszczął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. Domagała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godnego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lub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godnej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śmierci</w:t>
      </w:r>
      <w:proofErr w:type="spellEnd"/>
      <w:r>
        <w:rPr>
          <w:w w:val="120"/>
        </w:rPr>
        <w:t xml:space="preserve">, a </w:t>
      </w:r>
      <w:proofErr w:type="spellStart"/>
      <w:r>
        <w:rPr>
          <w:w w:val="120"/>
        </w:rPr>
        <w:t>także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nieingerowania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wolę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zakończenia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szwagra</w:t>
      </w:r>
      <w:proofErr w:type="spellEnd"/>
      <w:r>
        <w:rPr>
          <w:w w:val="120"/>
        </w:rPr>
        <w:t>.</w:t>
      </w:r>
    </w:p>
    <w:p w14:paraId="1E94B571" w14:textId="7A688770" w:rsidR="00C8263F" w:rsidRDefault="00000000">
      <w:pPr>
        <w:pStyle w:val="Tekstpodstawowy"/>
        <w:spacing w:line="237" w:lineRule="auto"/>
        <w:ind w:left="874" w:right="728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uznał</w:t>
      </w:r>
      <w:proofErr w:type="spellEnd"/>
      <w:r>
        <w:rPr>
          <w:b/>
          <w:color w:val="0071BB"/>
          <w:w w:val="120"/>
        </w:rPr>
        <w:t xml:space="preserve"> za </w:t>
      </w:r>
      <w:proofErr w:type="spellStart"/>
      <w:r>
        <w:rPr>
          <w:b/>
          <w:color w:val="0071BB"/>
          <w:w w:val="120"/>
        </w:rPr>
        <w:t>niedopuszczalne</w:t>
      </w:r>
      <w:proofErr w:type="spellEnd"/>
      <w:r>
        <w:rPr>
          <w:b/>
          <w:color w:val="0071BB"/>
          <w:w w:val="120"/>
        </w:rPr>
        <w:t xml:space="preserve">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niezgodne</w:t>
      </w:r>
      <w:proofErr w:type="spellEnd"/>
      <w:r>
        <w:rPr>
          <w:color w:val="0071BB"/>
          <w:w w:val="120"/>
        </w:rPr>
        <w:t xml:space="preserve"> </w:t>
      </w:r>
      <w:r>
        <w:rPr>
          <w:i/>
          <w:color w:val="0071BB"/>
          <w:w w:val="120"/>
        </w:rPr>
        <w:t>ratione personae</w:t>
      </w:r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skargi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</w:t>
      </w:r>
      <w:r w:rsidR="000D5D2D">
        <w:rPr>
          <w:color w:val="0071BB"/>
          <w:w w:val="120"/>
        </w:rPr>
        <w:t>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podstawie</w:t>
      </w:r>
      <w:proofErr w:type="spellEnd"/>
      <w:r>
        <w:rPr>
          <w:color w:val="0071BB"/>
          <w:w w:val="120"/>
        </w:rPr>
        <w:t xml:space="preserve"> art. 2 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>), 3 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nieludzkiego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poniżającego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traktowania</w:t>
      </w:r>
      <w:proofErr w:type="spellEnd"/>
      <w:r>
        <w:rPr>
          <w:color w:val="0071BB"/>
          <w:w w:val="120"/>
        </w:rPr>
        <w:t>), 5 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wolności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bezpieczeństwa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osobistego</w:t>
      </w:r>
      <w:proofErr w:type="spellEnd"/>
      <w:r>
        <w:rPr>
          <w:color w:val="0071BB"/>
          <w:w w:val="120"/>
        </w:rPr>
        <w:t>), 6 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rzetelnego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sądowego</w:t>
      </w:r>
      <w:proofErr w:type="spellEnd"/>
      <w:r>
        <w:rPr>
          <w:color w:val="0071BB"/>
          <w:w w:val="120"/>
        </w:rPr>
        <w:t>), 8 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>), 9 (</w:t>
      </w:r>
      <w:proofErr w:type="spellStart"/>
      <w:r>
        <w:rPr>
          <w:color w:val="0071BB"/>
          <w:w w:val="120"/>
        </w:rPr>
        <w:t>wolność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sumienia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14 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Europejskiej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Człowieka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ponieważ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</w:t>
      </w:r>
      <w:r w:rsidR="000D5D2D">
        <w:rPr>
          <w:color w:val="0071BB"/>
          <w:w w:val="120"/>
        </w:rPr>
        <w:t>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r w:rsidR="000D5D2D">
        <w:rPr>
          <w:color w:val="0071BB"/>
          <w:w w:val="120"/>
        </w:rPr>
        <w:t>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bezpośrednio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dotknięt</w:t>
      </w:r>
      <w:r w:rsidR="000D5D2D">
        <w:rPr>
          <w:color w:val="0071BB"/>
          <w:w w:val="120"/>
        </w:rPr>
        <w:t>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domniemanymi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naruszeniami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twierdzić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stał</w:t>
      </w:r>
      <w:r w:rsidR="000D5D2D">
        <w:rPr>
          <w:color w:val="0071BB"/>
          <w:w w:val="120"/>
        </w:rPr>
        <w:t>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ofiarą</w:t>
      </w:r>
      <w:proofErr w:type="spellEnd"/>
      <w:r w:rsidR="00C8263F">
        <w:fldChar w:fldCharType="begin"/>
      </w:r>
      <w:r w:rsidR="00C8263F">
        <w:instrText>HYPERLINK \l "_bookmark0"</w:instrText>
      </w:r>
      <w:r w:rsidR="00C8263F">
        <w:fldChar w:fldCharType="separate"/>
      </w:r>
      <w:r w:rsidR="00C8263F">
        <w:rPr>
          <w:color w:val="0071BB"/>
          <w:w w:val="120"/>
          <w:position w:val="7"/>
          <w:sz w:val="13"/>
        </w:rPr>
        <w:t>1</w:t>
      </w:r>
      <w:r w:rsidR="00C8263F">
        <w:fldChar w:fldCharType="end"/>
      </w:r>
      <w:r>
        <w:rPr>
          <w:color w:val="0071BB"/>
          <w:w w:val="120"/>
        </w:rPr>
        <w:t>.</w:t>
      </w:r>
    </w:p>
    <w:p w14:paraId="4A017D74" w14:textId="040A9859" w:rsidR="00C8263F" w:rsidRPr="000D5D2D" w:rsidRDefault="00C8263F">
      <w:pPr>
        <w:pStyle w:val="Nagwek2"/>
        <w:ind w:left="873"/>
        <w:rPr>
          <w:u w:val="thick"/>
        </w:rPr>
      </w:pPr>
      <w:hyperlink r:id="rId10">
        <w:r w:rsidRPr="000D5D2D">
          <w:rPr>
            <w:color w:val="0071BB"/>
            <w:w w:val="135"/>
            <w:u w:val="thick" w:color="0071BB"/>
          </w:rPr>
          <w:t xml:space="preserve">Ada Rossi </w:t>
        </w:r>
        <w:proofErr w:type="spellStart"/>
        <w:r w:rsidRPr="000D5D2D">
          <w:rPr>
            <w:color w:val="0071BB"/>
            <w:w w:val="135"/>
            <w:u w:val="thick" w:color="0071BB"/>
          </w:rPr>
          <w:t>i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r w:rsidR="00DB1F5C" w:rsidRPr="00DB1F5C">
          <w:rPr>
            <w:color w:val="0071BB"/>
            <w:w w:val="135"/>
            <w:u w:val="thick" w:color="0071BB"/>
          </w:rPr>
          <w:t>Inni</w:t>
        </w:r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4"/>
            <w:w w:val="135"/>
            <w:u w:val="thick" w:color="0071BB"/>
          </w:rPr>
          <w:t>Włochom</w:t>
        </w:r>
        <w:proofErr w:type="spellEnd"/>
      </w:hyperlink>
    </w:p>
    <w:p w14:paraId="363696F8" w14:textId="77777777" w:rsidR="00C8263F" w:rsidRDefault="0000000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16 </w:t>
      </w:r>
      <w:proofErr w:type="spellStart"/>
      <w:r>
        <w:rPr>
          <w:color w:val="808080"/>
          <w:w w:val="125"/>
          <w:sz w:val="18"/>
        </w:rPr>
        <w:t>grudnia</w:t>
      </w:r>
      <w:proofErr w:type="spellEnd"/>
      <w:r>
        <w:rPr>
          <w:color w:val="808080"/>
          <w:w w:val="125"/>
          <w:sz w:val="18"/>
        </w:rPr>
        <w:t xml:space="preserve"> 2008 r. (</w:t>
      </w:r>
      <w:proofErr w:type="spellStart"/>
      <w:r>
        <w:rPr>
          <w:color w:val="808080"/>
          <w:w w:val="125"/>
          <w:sz w:val="18"/>
        </w:rPr>
        <w:t>decyzja</w:t>
      </w:r>
      <w:proofErr w:type="spellEnd"/>
      <w:r>
        <w:rPr>
          <w:color w:val="808080"/>
          <w:w w:val="125"/>
          <w:sz w:val="18"/>
        </w:rPr>
        <w:t xml:space="preserve"> w </w:t>
      </w:r>
      <w:proofErr w:type="spellStart"/>
      <w:r>
        <w:rPr>
          <w:color w:val="808080"/>
          <w:w w:val="125"/>
          <w:sz w:val="18"/>
        </w:rPr>
        <w:t>sprawie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spacing w:val="-2"/>
          <w:w w:val="125"/>
          <w:sz w:val="18"/>
        </w:rPr>
        <w:t>dopuszczalności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674A7B0A" w14:textId="63B6BC46" w:rsidR="00C8263F" w:rsidRDefault="00000000">
      <w:pPr>
        <w:pStyle w:val="Tekstpodstawowy"/>
        <w:spacing w:before="1"/>
        <w:ind w:left="874" w:right="728"/>
      </w:pPr>
      <w:proofErr w:type="spellStart"/>
      <w:r>
        <w:rPr>
          <w:w w:val="120"/>
        </w:rPr>
        <w:t>Ojciec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opiekun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młodej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kobiety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znajdowała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stanie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wegetatywnym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wypadku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drogowego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wszczął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postępowanie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sądowe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celu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zgody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zaprzestanie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sztucznego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odżywiania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nawadniania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córki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opierając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argumenty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osobowości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oraz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ideach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dotyczących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godności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rzekomo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wyrażała</w:t>
      </w:r>
      <w:proofErr w:type="spellEnd"/>
      <w:r>
        <w:rPr>
          <w:w w:val="120"/>
        </w:rPr>
        <w:t xml:space="preserve">. W </w:t>
      </w:r>
      <w:proofErr w:type="spellStart"/>
      <w:r>
        <w:rPr>
          <w:w w:val="120"/>
        </w:rPr>
        <w:t>postanowieniu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umorzeniu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sprawy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włoski</w:t>
      </w:r>
      <w:proofErr w:type="spellEnd"/>
      <w:r>
        <w:rPr>
          <w:w w:val="120"/>
        </w:rPr>
        <w:t xml:space="preserve"> Sąd </w:t>
      </w:r>
      <w:proofErr w:type="spellStart"/>
      <w:r>
        <w:rPr>
          <w:w w:val="120"/>
        </w:rPr>
        <w:t>Kasacyjny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stwierdził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organ </w:t>
      </w:r>
      <w:proofErr w:type="spellStart"/>
      <w:r>
        <w:rPr>
          <w:w w:val="120"/>
        </w:rPr>
        <w:t>sądowy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zezwolić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zaprzestanie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odżywiania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jeśli</w:t>
      </w:r>
      <w:proofErr w:type="spellEnd"/>
      <w:r>
        <w:rPr>
          <w:w w:val="120"/>
        </w:rPr>
        <w:t xml:space="preserve"> dana </w:t>
      </w:r>
      <w:proofErr w:type="spellStart"/>
      <w:r>
        <w:rPr>
          <w:w w:val="120"/>
        </w:rPr>
        <w:t>osoba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znajduje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r>
        <w:rPr>
          <w:spacing w:val="28"/>
          <w:w w:val="120"/>
        </w:rPr>
        <w:t>w</w:t>
      </w:r>
      <w:r w:rsidR="00443E0B">
        <w:rPr>
          <w:spacing w:val="28"/>
          <w:w w:val="120"/>
        </w:rPr>
        <w:t xml:space="preserve"> </w:t>
      </w:r>
      <w:proofErr w:type="spellStart"/>
      <w:r>
        <w:rPr>
          <w:w w:val="120"/>
        </w:rPr>
        <w:t>uporczywym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wegetatywnym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jeśli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istnieją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dowody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to,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gdyby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posiadaniu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wszystkich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zdolności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sprzeciwiłaby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leczeniu</w:t>
      </w:r>
      <w:proofErr w:type="spellEnd"/>
      <w:r>
        <w:rPr>
          <w:w w:val="120"/>
        </w:rPr>
        <w:t xml:space="preserve">. Sąd </w:t>
      </w:r>
      <w:proofErr w:type="spellStart"/>
      <w:r>
        <w:rPr>
          <w:w w:val="120"/>
        </w:rPr>
        <w:t>Apelacyjny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udzielił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wnioskowanego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zezwolenia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podstawie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dwóch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kryteriów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Przed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Europejskim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Trybunałem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(</w:t>
      </w:r>
      <w:proofErr w:type="spellStart"/>
      <w:r>
        <w:rPr>
          <w:w w:val="120"/>
        </w:rPr>
        <w:t>osoby</w:t>
      </w:r>
      <w:proofErr w:type="spellEnd"/>
      <w:r>
        <w:rPr>
          <w:w w:val="120"/>
        </w:rPr>
        <w:t xml:space="preserve"> ze </w:t>
      </w:r>
      <w:proofErr w:type="spellStart"/>
      <w:r>
        <w:rPr>
          <w:w w:val="120"/>
        </w:rPr>
        <w:t>znacznym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stopniem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niepełnosprawności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stowarzyszenia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broniące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interesów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takic</w:t>
      </w:r>
      <w:r w:rsidR="00ED3A31">
        <w:rPr>
          <w:w w:val="120"/>
        </w:rPr>
        <w:t>h</w:t>
      </w:r>
      <w:proofErr w:type="spellEnd"/>
      <w:r w:rsidR="00ED3A31">
        <w:rPr>
          <w:w w:val="120"/>
        </w:rPr>
        <w:t xml:space="preserve"> </w:t>
      </w:r>
      <w:proofErr w:type="spellStart"/>
      <w:r w:rsidR="00ED3A31">
        <w:rPr>
          <w:w w:val="120"/>
        </w:rPr>
        <w:t>osób</w:t>
      </w:r>
      <w:proofErr w:type="spellEnd"/>
      <w:r>
        <w:rPr>
          <w:w w:val="120"/>
        </w:rPr>
        <w:t xml:space="preserve">) </w:t>
      </w:r>
      <w:proofErr w:type="spellStart"/>
      <w:r>
        <w:rPr>
          <w:w w:val="120"/>
        </w:rPr>
        <w:t>skarżyli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niekorzystne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skutki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jakie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dla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wykonanie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decyzji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Apelacyjnego</w:t>
      </w:r>
      <w:proofErr w:type="spellEnd"/>
      <w:r>
        <w:rPr>
          <w:w w:val="120"/>
        </w:rPr>
        <w:t>.</w:t>
      </w:r>
    </w:p>
    <w:p w14:paraId="6C44F695" w14:textId="72210B10" w:rsidR="00C8263F" w:rsidRDefault="00000000" w:rsidP="000D5D2D">
      <w:pPr>
        <w:pStyle w:val="Tekstpodstawowy"/>
        <w:spacing w:line="237" w:lineRule="auto"/>
        <w:ind w:left="874" w:right="73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powtórzył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co do </w:t>
      </w:r>
      <w:proofErr w:type="spellStart"/>
      <w:r>
        <w:rPr>
          <w:color w:val="0071BB"/>
          <w:w w:val="120"/>
        </w:rPr>
        <w:t>zasady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wystarczy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naruszyło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wynikające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; </w:t>
      </w:r>
      <w:proofErr w:type="spellStart"/>
      <w:r>
        <w:rPr>
          <w:color w:val="0071BB"/>
          <w:w w:val="120"/>
        </w:rPr>
        <w:t>konieczne</w:t>
      </w:r>
      <w:proofErr w:type="spellEnd"/>
      <w:r>
        <w:rPr>
          <w:color w:val="0071BB"/>
          <w:w w:val="120"/>
        </w:rPr>
        <w:t xml:space="preserve"> jest, aby</w:t>
      </w:r>
      <w:r w:rsidR="00ED3A31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 w:rsidR="00ED3A31">
        <w:rPr>
          <w:color w:val="0071BB"/>
          <w:w w:val="120"/>
        </w:rPr>
        <w:t xml:space="preserve"> to</w:t>
      </w:r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zastosowane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niekorzyść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skorzystanie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 w:rsidR="00CA7B68">
        <w:rPr>
          <w:color w:val="0071BB"/>
          <w:w w:val="120"/>
        </w:rPr>
        <w:t>skargi</w:t>
      </w:r>
      <w:proofErr w:type="spellEnd"/>
      <w:r w:rsidR="00CA7B68">
        <w:rPr>
          <w:color w:val="0071BB"/>
          <w:w w:val="120"/>
        </w:rPr>
        <w:t xml:space="preserve"> </w:t>
      </w:r>
      <w:proofErr w:type="spellStart"/>
      <w:r w:rsidR="00CA7B68">
        <w:rPr>
          <w:color w:val="0071BB"/>
          <w:w w:val="120"/>
        </w:rPr>
        <w:t>indywidualnej</w:t>
      </w:r>
      <w:proofErr w:type="spellEnd"/>
      <w:r w:rsidR="00A1525B">
        <w:rPr>
          <w:color w:val="FF0000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wykorzystane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zapobieżenia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potencjalnemu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naruszeniu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: </w:t>
      </w:r>
      <w:proofErr w:type="spellStart"/>
      <w:r>
        <w:rPr>
          <w:color w:val="0071BB"/>
          <w:w w:val="120"/>
        </w:rPr>
        <w:t>tylko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bardzo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wyjątkowych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okolicznościach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CA7B68">
        <w:rPr>
          <w:color w:val="0071BB"/>
          <w:w w:val="120"/>
        </w:rPr>
        <w:t>może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twierdzić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jest </w:t>
      </w:r>
      <w:proofErr w:type="spellStart"/>
      <w:r>
        <w:rPr>
          <w:color w:val="0071BB"/>
          <w:w w:val="120"/>
        </w:rPr>
        <w:t>ofiarą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naruszenia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względu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ryzyko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spacing w:val="-2"/>
          <w:w w:val="120"/>
        </w:rPr>
        <w:t>przyszłego</w:t>
      </w:r>
      <w:proofErr w:type="spellEnd"/>
      <w:r>
        <w:rPr>
          <w:color w:val="0071BB"/>
          <w:spacing w:val="-2"/>
          <w:w w:val="120"/>
        </w:rPr>
        <w:t xml:space="preserve"> </w:t>
      </w:r>
      <w:proofErr w:type="spellStart"/>
      <w:r>
        <w:rPr>
          <w:color w:val="0071BB"/>
          <w:w w:val="120"/>
        </w:rPr>
        <w:t>naruszenia</w:t>
      </w:r>
      <w:proofErr w:type="spellEnd"/>
      <w:r>
        <w:rPr>
          <w:color w:val="0071BB"/>
          <w:w w:val="120"/>
        </w:rPr>
        <w:t>.</w:t>
      </w:r>
    </w:p>
    <w:p w14:paraId="2CB4AA9D" w14:textId="77777777" w:rsidR="00C8263F" w:rsidRDefault="00000000">
      <w:pPr>
        <w:pStyle w:val="Tekstpodstawowy"/>
        <w:spacing w:before="1"/>
        <w:ind w:left="0"/>
        <w:jc w:val="lef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CBBF40" wp14:editId="6374C840">
                <wp:simplePos x="0" y="0"/>
                <wp:positionH relativeFrom="page">
                  <wp:posOffset>914400</wp:posOffset>
                </wp:positionH>
                <wp:positionV relativeFrom="paragraph">
                  <wp:posOffset>86200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E9BF0" id="Graphic 7" o:spid="_x0000_s1026" style="position:absolute;margin-left:1in;margin-top:6.8pt;width:2in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0225DF" w14:textId="1A4DE774" w:rsidR="00C8263F" w:rsidRDefault="00000000">
      <w:pPr>
        <w:spacing w:before="107"/>
        <w:ind w:left="873" w:right="725"/>
        <w:jc w:val="both"/>
        <w:rPr>
          <w:sz w:val="16"/>
        </w:rPr>
      </w:pPr>
      <w:bookmarkStart w:id="0" w:name="_bookmark0"/>
      <w:bookmarkEnd w:id="0"/>
      <w:r>
        <w:rPr>
          <w:w w:val="120"/>
          <w:sz w:val="16"/>
          <w:vertAlign w:val="superscript"/>
        </w:rPr>
        <w:t>1</w:t>
      </w:r>
      <w:r>
        <w:rPr>
          <w:w w:val="120"/>
          <w:sz w:val="16"/>
        </w:rPr>
        <w:t xml:space="preserve">. </w:t>
      </w:r>
      <w:proofErr w:type="spellStart"/>
      <w:r>
        <w:rPr>
          <w:w w:val="120"/>
          <w:sz w:val="16"/>
        </w:rPr>
        <w:t>Europejska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Komisja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Praw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Człowieka</w:t>
      </w:r>
      <w:proofErr w:type="spellEnd"/>
      <w:r>
        <w:rPr>
          <w:w w:val="120"/>
          <w:sz w:val="16"/>
        </w:rPr>
        <w:t xml:space="preserve"> (</w:t>
      </w:r>
      <w:proofErr w:type="spellStart"/>
      <w:r>
        <w:rPr>
          <w:w w:val="120"/>
          <w:sz w:val="16"/>
        </w:rPr>
        <w:t>która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wraz</w:t>
      </w:r>
      <w:proofErr w:type="spellEnd"/>
      <w:r>
        <w:rPr>
          <w:w w:val="120"/>
          <w:sz w:val="16"/>
        </w:rPr>
        <w:t xml:space="preserve"> z </w:t>
      </w:r>
      <w:proofErr w:type="spellStart"/>
      <w:r>
        <w:rPr>
          <w:w w:val="120"/>
          <w:sz w:val="16"/>
        </w:rPr>
        <w:t>Europejskim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Trybunałem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Praw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Człowieka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Komitetem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Ministrów</w:t>
      </w:r>
      <w:proofErr w:type="spellEnd"/>
      <w:r>
        <w:rPr>
          <w:w w:val="120"/>
          <w:sz w:val="16"/>
        </w:rPr>
        <w:t xml:space="preserve"> Rady </w:t>
      </w:r>
      <w:proofErr w:type="spellStart"/>
      <w:r>
        <w:rPr>
          <w:w w:val="120"/>
          <w:sz w:val="16"/>
        </w:rPr>
        <w:t>Europy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nadzorowała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przestrzeganie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przez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Umawiające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się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Państwa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zobowiązań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wynikających</w:t>
      </w:r>
      <w:proofErr w:type="spellEnd"/>
      <w:r>
        <w:rPr>
          <w:w w:val="120"/>
          <w:sz w:val="16"/>
        </w:rPr>
        <w:t xml:space="preserve"> z </w:t>
      </w:r>
      <w:proofErr w:type="spellStart"/>
      <w:r>
        <w:rPr>
          <w:w w:val="120"/>
          <w:sz w:val="16"/>
        </w:rPr>
        <w:t>Europejskiej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Konwencji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Praw</w:t>
      </w:r>
      <w:proofErr w:type="spellEnd"/>
      <w:r>
        <w:rPr>
          <w:w w:val="120"/>
          <w:sz w:val="16"/>
        </w:rPr>
        <w:t xml:space="preserve"> </w:t>
      </w:r>
      <w:proofErr w:type="spellStart"/>
      <w:proofErr w:type="gramStart"/>
      <w:r>
        <w:rPr>
          <w:w w:val="120"/>
          <w:sz w:val="16"/>
        </w:rPr>
        <w:t>Człowieka</w:t>
      </w:r>
      <w:proofErr w:type="spellEnd"/>
      <w:r>
        <w:rPr>
          <w:w w:val="120"/>
          <w:sz w:val="16"/>
        </w:rPr>
        <w:t xml:space="preserve">  </w:t>
      </w:r>
      <w:proofErr w:type="spellStart"/>
      <w:r>
        <w:rPr>
          <w:w w:val="120"/>
          <w:sz w:val="16"/>
        </w:rPr>
        <w:t>przestała</w:t>
      </w:r>
      <w:proofErr w:type="spellEnd"/>
      <w:proofErr w:type="gram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istnieć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gdy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Trybunał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stał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się</w:t>
      </w:r>
      <w:proofErr w:type="spellEnd"/>
      <w:r>
        <w:rPr>
          <w:w w:val="120"/>
          <w:sz w:val="16"/>
        </w:rPr>
        <w:t xml:space="preserve"> </w:t>
      </w:r>
      <w:proofErr w:type="spellStart"/>
      <w:r w:rsidR="00CA7B68">
        <w:rPr>
          <w:w w:val="120"/>
          <w:sz w:val="16"/>
        </w:rPr>
        <w:t>organem</w:t>
      </w:r>
      <w:proofErr w:type="spellEnd"/>
      <w:r w:rsidR="00CA7B68">
        <w:rPr>
          <w:w w:val="120"/>
          <w:sz w:val="16"/>
        </w:rPr>
        <w:t xml:space="preserve"> </w:t>
      </w:r>
      <w:proofErr w:type="spellStart"/>
      <w:r w:rsidR="00CA7B68">
        <w:rPr>
          <w:w w:val="120"/>
          <w:sz w:val="16"/>
        </w:rPr>
        <w:t>stałym</w:t>
      </w:r>
      <w:proofErr w:type="spellEnd"/>
      <w:r>
        <w:rPr>
          <w:w w:val="120"/>
          <w:sz w:val="16"/>
        </w:rPr>
        <w:t xml:space="preserve"> w </w:t>
      </w:r>
      <w:proofErr w:type="spellStart"/>
      <w:r>
        <w:rPr>
          <w:w w:val="120"/>
          <w:sz w:val="16"/>
        </w:rPr>
        <w:t>dniu</w:t>
      </w:r>
      <w:proofErr w:type="spellEnd"/>
      <w:r>
        <w:rPr>
          <w:w w:val="120"/>
          <w:sz w:val="16"/>
        </w:rPr>
        <w:t xml:space="preserve"> 1 </w:t>
      </w:r>
      <w:proofErr w:type="spellStart"/>
      <w:r>
        <w:rPr>
          <w:w w:val="120"/>
          <w:sz w:val="16"/>
        </w:rPr>
        <w:t>listopada</w:t>
      </w:r>
      <w:proofErr w:type="spellEnd"/>
      <w:r>
        <w:rPr>
          <w:w w:val="120"/>
          <w:sz w:val="16"/>
        </w:rPr>
        <w:t xml:space="preserve"> 1998 r.) </w:t>
      </w:r>
      <w:proofErr w:type="spellStart"/>
      <w:r>
        <w:rPr>
          <w:w w:val="120"/>
          <w:sz w:val="16"/>
        </w:rPr>
        <w:t>wcześniej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uznała</w:t>
      </w:r>
      <w:proofErr w:type="spellEnd"/>
      <w:r>
        <w:rPr>
          <w:w w:val="120"/>
          <w:sz w:val="16"/>
        </w:rPr>
        <w:t xml:space="preserve"> za </w:t>
      </w:r>
      <w:proofErr w:type="spellStart"/>
      <w:r>
        <w:rPr>
          <w:w w:val="120"/>
          <w:sz w:val="16"/>
        </w:rPr>
        <w:t>niedopuszczalną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skargę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wniesioną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przez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samego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szwagra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skarżące</w:t>
      </w:r>
      <w:r w:rsidR="00A1525B">
        <w:rPr>
          <w:w w:val="120"/>
          <w:sz w:val="16"/>
        </w:rPr>
        <w:t>j</w:t>
      </w:r>
      <w:proofErr w:type="spellEnd"/>
      <w:r>
        <w:rPr>
          <w:w w:val="120"/>
          <w:sz w:val="16"/>
        </w:rPr>
        <w:t xml:space="preserve"> (</w:t>
      </w:r>
      <w:proofErr w:type="spellStart"/>
      <w:r>
        <w:rPr>
          <w:w w:val="120"/>
          <w:sz w:val="16"/>
        </w:rPr>
        <w:t>zob</w:t>
      </w:r>
      <w:proofErr w:type="spellEnd"/>
      <w:r>
        <w:rPr>
          <w:w w:val="120"/>
          <w:sz w:val="16"/>
        </w:rPr>
        <w:t xml:space="preserve">. </w:t>
      </w:r>
      <w:proofErr w:type="spellStart"/>
      <w:r>
        <w:rPr>
          <w:w w:val="120"/>
          <w:sz w:val="16"/>
        </w:rPr>
        <w:t>decyzja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Komisji</w:t>
      </w:r>
      <w:proofErr w:type="spellEnd"/>
      <w:r>
        <w:rPr>
          <w:w w:val="120"/>
          <w:sz w:val="16"/>
        </w:rPr>
        <w:t xml:space="preserve"> z </w:t>
      </w:r>
      <w:proofErr w:type="spellStart"/>
      <w:r>
        <w:rPr>
          <w:w w:val="120"/>
          <w:sz w:val="16"/>
        </w:rPr>
        <w:t>dnia</w:t>
      </w:r>
      <w:proofErr w:type="spellEnd"/>
      <w:r>
        <w:rPr>
          <w:w w:val="120"/>
          <w:sz w:val="16"/>
        </w:rPr>
        <w:t xml:space="preserve"> 17 maja 1995 r. w </w:t>
      </w:r>
      <w:proofErr w:type="spellStart"/>
      <w:r>
        <w:rPr>
          <w:w w:val="120"/>
          <w:sz w:val="16"/>
        </w:rPr>
        <w:t>sprawie</w:t>
      </w:r>
      <w:proofErr w:type="spellEnd"/>
      <w:r>
        <w:rPr>
          <w:w w:val="120"/>
          <w:sz w:val="16"/>
        </w:rPr>
        <w:t xml:space="preserve"> </w:t>
      </w:r>
      <w:hyperlink r:id="rId11">
        <w:r w:rsidR="00C8263F" w:rsidRPr="000D5D2D">
          <w:rPr>
            <w:rFonts w:ascii="Arial" w:hAnsi="Arial"/>
            <w:b/>
            <w:bCs/>
            <w:i/>
            <w:color w:val="0071BB"/>
            <w:w w:val="120"/>
            <w:sz w:val="14"/>
            <w:szCs w:val="14"/>
            <w:u w:val="single" w:color="0071BB"/>
          </w:rPr>
          <w:t xml:space="preserve">Sampedro Camean </w:t>
        </w:r>
        <w:proofErr w:type="spellStart"/>
        <w:r w:rsidR="00C8263F" w:rsidRPr="000D5D2D">
          <w:rPr>
            <w:rFonts w:ascii="Arial" w:hAnsi="Arial"/>
            <w:b/>
            <w:bCs/>
            <w:i/>
            <w:color w:val="0071BB"/>
            <w:w w:val="120"/>
            <w:sz w:val="14"/>
            <w:szCs w:val="14"/>
            <w:u w:val="single" w:color="0071BB"/>
          </w:rPr>
          <w:t>przeciwko</w:t>
        </w:r>
        <w:proofErr w:type="spellEnd"/>
        <w:r w:rsidR="00C8263F" w:rsidRPr="000D5D2D">
          <w:rPr>
            <w:rFonts w:ascii="Arial" w:hAnsi="Arial"/>
            <w:b/>
            <w:bCs/>
            <w:i/>
            <w:color w:val="0071BB"/>
            <w:w w:val="120"/>
            <w:sz w:val="14"/>
            <w:szCs w:val="14"/>
            <w:u w:val="single" w:color="0071BB"/>
          </w:rPr>
          <w:t xml:space="preserve"> </w:t>
        </w:r>
        <w:proofErr w:type="spellStart"/>
        <w:r w:rsidR="00C8263F" w:rsidRPr="000D5D2D">
          <w:rPr>
            <w:rFonts w:ascii="Arial" w:hAnsi="Arial"/>
            <w:b/>
            <w:bCs/>
            <w:i/>
            <w:color w:val="0071BB"/>
            <w:w w:val="120"/>
            <w:sz w:val="14"/>
            <w:szCs w:val="14"/>
            <w:u w:val="single" w:color="0071BB"/>
          </w:rPr>
          <w:t>Hiszpanii</w:t>
        </w:r>
        <w:proofErr w:type="spellEnd"/>
      </w:hyperlink>
      <w:r w:rsidRPr="000D5D2D">
        <w:rPr>
          <w:b/>
          <w:bCs/>
          <w:w w:val="120"/>
          <w:sz w:val="14"/>
          <w:szCs w:val="14"/>
        </w:rPr>
        <w:t>)</w:t>
      </w:r>
      <w:r>
        <w:rPr>
          <w:w w:val="120"/>
          <w:sz w:val="16"/>
        </w:rPr>
        <w:t>.</w:t>
      </w:r>
    </w:p>
    <w:p w14:paraId="2F73B7E0" w14:textId="77777777" w:rsidR="00C8263F" w:rsidRDefault="00C8263F">
      <w:pPr>
        <w:jc w:val="both"/>
        <w:rPr>
          <w:sz w:val="16"/>
        </w:rPr>
        <w:sectPr w:rsidR="00C8263F">
          <w:type w:val="continuous"/>
          <w:pgSz w:w="11910" w:h="16840"/>
          <w:pgMar w:top="720" w:right="708" w:bottom="280" w:left="566" w:header="708" w:footer="708" w:gutter="0"/>
          <w:cols w:space="708"/>
        </w:sectPr>
      </w:pPr>
    </w:p>
    <w:p w14:paraId="0561DA61" w14:textId="777A086E" w:rsidR="00C8263F" w:rsidRDefault="00000000">
      <w:pPr>
        <w:pStyle w:val="Tekstpodstawowy"/>
        <w:spacing w:before="240"/>
        <w:ind w:right="728"/>
      </w:pPr>
      <w:r>
        <w:rPr>
          <w:color w:val="0071BB"/>
          <w:w w:val="120"/>
        </w:rPr>
        <w:lastRenderedPageBreak/>
        <w:t xml:space="preserve">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za </w:t>
      </w:r>
      <w:proofErr w:type="spellStart"/>
      <w:r>
        <w:rPr>
          <w:b/>
          <w:color w:val="0071BB"/>
          <w:w w:val="120"/>
        </w:rPr>
        <w:t>niedopuszczalne</w:t>
      </w:r>
      <w:proofErr w:type="spellEnd"/>
      <w:r>
        <w:rPr>
          <w:b/>
          <w:color w:val="0071BB"/>
          <w:w w:val="120"/>
        </w:rPr>
        <w:t xml:space="preserve">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niezgodne</w:t>
      </w:r>
      <w:proofErr w:type="spellEnd"/>
      <w:r>
        <w:rPr>
          <w:color w:val="0071BB"/>
          <w:w w:val="120"/>
        </w:rPr>
        <w:t xml:space="preserve"> </w:t>
      </w:r>
      <w:r>
        <w:rPr>
          <w:i/>
          <w:color w:val="0071BB"/>
          <w:w w:val="120"/>
        </w:rPr>
        <w:t>ratione personae</w:t>
      </w:r>
      <w:r>
        <w:rPr>
          <w:color w:val="0071BB"/>
          <w:w w:val="120"/>
        </w:rPr>
        <w:t xml:space="preserve">).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poszczególnych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mogą</w:t>
      </w:r>
      <w:proofErr w:type="spellEnd"/>
      <w:r>
        <w:rPr>
          <w:color w:val="0071BB"/>
          <w:w w:val="120"/>
        </w:rPr>
        <w:t xml:space="preserve"> oni </w:t>
      </w:r>
      <w:proofErr w:type="spellStart"/>
      <w:r>
        <w:rPr>
          <w:color w:val="0071BB"/>
          <w:w w:val="120"/>
        </w:rPr>
        <w:t>twierdzić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ofiarami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braku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ochrony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włoskie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wynikających</w:t>
      </w:r>
      <w:proofErr w:type="spellEnd"/>
      <w:r>
        <w:rPr>
          <w:color w:val="0071BB"/>
          <w:w w:val="120"/>
        </w:rPr>
        <w:t xml:space="preserve"> z art. 2 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art. 3 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nieludzkiego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poniżającego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traktowania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Jeśli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chodzi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skarżące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zostały</w:t>
      </w:r>
      <w:proofErr w:type="spellEnd"/>
      <w:r>
        <w:rPr>
          <w:color w:val="0071BB"/>
          <w:w w:val="120"/>
        </w:rPr>
        <w:t xml:space="preserve"> one </w:t>
      </w:r>
      <w:proofErr w:type="spellStart"/>
      <w:r>
        <w:rPr>
          <w:color w:val="0071BB"/>
          <w:w w:val="120"/>
        </w:rPr>
        <w:t>bezpośrednio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dotknięte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Apelacyjnego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rzeczywistości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mieć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żadnego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wpływu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działalność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uniemożliwiła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realizacji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celów</w:t>
      </w:r>
      <w:proofErr w:type="spellEnd"/>
      <w:r>
        <w:rPr>
          <w:color w:val="0071BB"/>
          <w:w w:val="120"/>
        </w:rPr>
        <w:t>.</w:t>
      </w:r>
    </w:p>
    <w:p w14:paraId="16037217" w14:textId="77777777" w:rsidR="00C8263F" w:rsidRPr="000D5D2D" w:rsidRDefault="00C8263F">
      <w:pPr>
        <w:pStyle w:val="Nagwek2"/>
        <w:spacing w:before="113"/>
        <w:ind w:left="873"/>
        <w:rPr>
          <w:u w:val="thick"/>
        </w:rPr>
      </w:pPr>
      <w:hyperlink r:id="rId12">
        <w:r w:rsidRPr="000D5D2D">
          <w:rPr>
            <w:color w:val="0071BB"/>
            <w:w w:val="135"/>
            <w:u w:val="thick" w:color="0071BB"/>
          </w:rPr>
          <w:t xml:space="preserve">Pretty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w w:val="135"/>
            <w:u w:val="thick" w:color="0071BB"/>
          </w:rPr>
          <w:t>Zjednoczonemu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Królestwu</w:t>
        </w:r>
        <w:proofErr w:type="spellEnd"/>
      </w:hyperlink>
    </w:p>
    <w:p w14:paraId="1D3C8E56" w14:textId="77777777" w:rsidR="00C8263F" w:rsidRDefault="0000000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29 </w:t>
      </w:r>
      <w:proofErr w:type="spellStart"/>
      <w:r>
        <w:rPr>
          <w:color w:val="808080"/>
          <w:w w:val="125"/>
          <w:sz w:val="18"/>
        </w:rPr>
        <w:t>kwietnia</w:t>
      </w:r>
      <w:proofErr w:type="spellEnd"/>
      <w:r>
        <w:rPr>
          <w:color w:val="808080"/>
          <w:w w:val="125"/>
          <w:sz w:val="18"/>
        </w:rPr>
        <w:t xml:space="preserve"> 2002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Izby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372D32A3" w14:textId="30153D2E" w:rsidR="00C8263F" w:rsidRDefault="00000000">
      <w:pPr>
        <w:pStyle w:val="Tekstpodstawowy"/>
        <w:spacing w:before="1"/>
        <w:ind w:right="728"/>
      </w:pP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umierała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chorobę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neuronu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ruchowego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chorobę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zwyrodnieniową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mięśni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którą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ma </w:t>
      </w:r>
      <w:proofErr w:type="spellStart"/>
      <w:r>
        <w:rPr>
          <w:w w:val="120"/>
        </w:rPr>
        <w:t>lekarstwa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Biorąc</w:t>
      </w:r>
      <w:proofErr w:type="spellEnd"/>
      <w:r>
        <w:rPr>
          <w:w w:val="120"/>
        </w:rPr>
        <w:t xml:space="preserve"> pod </w:t>
      </w:r>
      <w:proofErr w:type="spellStart"/>
      <w:r>
        <w:rPr>
          <w:w w:val="120"/>
        </w:rPr>
        <w:t>uwagę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ostatnie</w:t>
      </w:r>
      <w:proofErr w:type="spellEnd"/>
      <w:r>
        <w:rPr>
          <w:w w:val="120"/>
        </w:rPr>
        <w:t xml:space="preserve"> stadia </w:t>
      </w:r>
      <w:proofErr w:type="spellStart"/>
      <w:r>
        <w:rPr>
          <w:w w:val="120"/>
        </w:rPr>
        <w:t>choroby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przygnębiające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niegodne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chciała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kontrolę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, jak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kiedy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umrze</w:t>
      </w:r>
      <w:proofErr w:type="spellEnd"/>
      <w:r>
        <w:rPr>
          <w:w w:val="120"/>
        </w:rPr>
        <w:t xml:space="preserve">. Ze </w:t>
      </w:r>
      <w:proofErr w:type="spellStart"/>
      <w:r>
        <w:rPr>
          <w:w w:val="120"/>
        </w:rPr>
        <w:t>względu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swoją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chorobę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popełnić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chciała</w:t>
      </w:r>
      <w:proofErr w:type="spellEnd"/>
      <w:r>
        <w:rPr>
          <w:w w:val="120"/>
        </w:rPr>
        <w:t xml:space="preserve">, aby </w:t>
      </w:r>
      <w:proofErr w:type="spellStart"/>
      <w:r>
        <w:rPr>
          <w:w w:val="120"/>
        </w:rPr>
        <w:t>pomógł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mąż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Chociaż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popełnienie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przestępstwem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prawie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angielskim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pomoc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samobójstwie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przestępstwem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Ponieważ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władze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odmówiły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prośbie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 w:rsidR="001632C3">
        <w:rPr>
          <w:w w:val="120"/>
        </w:rPr>
        <w:t>podnosiła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mężowi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zagwarantowano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wolności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ścigania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gdyby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pomógł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umrzeć</w:t>
      </w:r>
      <w:proofErr w:type="spellEnd"/>
      <w:r>
        <w:rPr>
          <w:w w:val="120"/>
        </w:rPr>
        <w:t>.</w:t>
      </w:r>
    </w:p>
    <w:p w14:paraId="5BFC764C" w14:textId="40229AAA" w:rsidR="00C8263F" w:rsidRDefault="00000000">
      <w:pPr>
        <w:pStyle w:val="Tekstpodstawowy"/>
        <w:ind w:right="727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</w:t>
      </w:r>
      <w:r w:rsidR="00BA563C">
        <w:rPr>
          <w:b/>
          <w:color w:val="0071BB"/>
          <w:w w:val="120"/>
        </w:rPr>
        <w:t>art.</w:t>
      </w:r>
      <w:r>
        <w:rPr>
          <w:b/>
          <w:color w:val="0071BB"/>
          <w:w w:val="120"/>
        </w:rPr>
        <w:t xml:space="preserve"> 2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może</w:t>
      </w:r>
      <w:proofErr w:type="spellEnd"/>
      <w:r>
        <w:rPr>
          <w:color w:val="0071BB"/>
          <w:w w:val="120"/>
        </w:rPr>
        <w:t xml:space="preserve">, bez </w:t>
      </w:r>
      <w:proofErr w:type="spellStart"/>
      <w:r>
        <w:rPr>
          <w:color w:val="0071BB"/>
          <w:w w:val="120"/>
        </w:rPr>
        <w:t>zniekształcenia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języka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być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interpretowane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przyznające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diametralnie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przeciwne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mianowicie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śmierci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</w:t>
      </w:r>
      <w:r w:rsidR="00BA563C">
        <w:rPr>
          <w:b/>
          <w:color w:val="0071BB"/>
          <w:w w:val="120"/>
        </w:rPr>
        <w:t>art.</w:t>
      </w:r>
      <w:r>
        <w:rPr>
          <w:b/>
          <w:color w:val="0071BB"/>
          <w:w w:val="120"/>
        </w:rPr>
        <w:t xml:space="preserve"> 3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nieludzkiego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poniżającego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traktowania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r w:rsidRPr="00C2599F">
        <w:rPr>
          <w:color w:val="0071BB"/>
          <w:w w:val="120"/>
        </w:rPr>
        <w:t xml:space="preserve">Nawet </w:t>
      </w:r>
      <w:proofErr w:type="spellStart"/>
      <w:r w:rsidRPr="00C2599F">
        <w:rPr>
          <w:color w:val="0071BB"/>
          <w:w w:val="120"/>
        </w:rPr>
        <w:t>jeśli</w:t>
      </w:r>
      <w:proofErr w:type="spellEnd"/>
      <w:r w:rsidRPr="00C2599F">
        <w:rPr>
          <w:color w:val="0071BB"/>
          <w:w w:val="120"/>
        </w:rPr>
        <w:t xml:space="preserve"> </w:t>
      </w:r>
      <w:proofErr w:type="spellStart"/>
      <w:r w:rsidRPr="00C2599F">
        <w:rPr>
          <w:color w:val="0071BB"/>
          <w:w w:val="120"/>
        </w:rPr>
        <w:t>nie</w:t>
      </w:r>
      <w:proofErr w:type="spellEnd"/>
      <w:r w:rsidRPr="00C2599F">
        <w:rPr>
          <w:color w:val="0071BB"/>
          <w:w w:val="120"/>
        </w:rPr>
        <w:t xml:space="preserve"> </w:t>
      </w:r>
      <w:proofErr w:type="spellStart"/>
      <w:r w:rsidRPr="00C2599F">
        <w:rPr>
          <w:color w:val="0071BB"/>
          <w:w w:val="120"/>
        </w:rPr>
        <w:t>mógł</w:t>
      </w:r>
      <w:proofErr w:type="spellEnd"/>
      <w:r w:rsidRPr="00C2599F">
        <w:rPr>
          <w:color w:val="0071BB"/>
          <w:w w:val="120"/>
        </w:rPr>
        <w:t xml:space="preserve"> </w:t>
      </w:r>
      <w:proofErr w:type="spellStart"/>
      <w:r w:rsidRPr="00C2599F">
        <w:rPr>
          <w:color w:val="0071BB"/>
          <w:w w:val="120"/>
        </w:rPr>
        <w:t>ni</w:t>
      </w:r>
      <w:r w:rsidR="0081103B" w:rsidRPr="00C2599F">
        <w:rPr>
          <w:color w:val="0071BB"/>
          <w:w w:val="120"/>
        </w:rPr>
        <w:t>e</w:t>
      </w:r>
      <w:proofErr w:type="spellEnd"/>
      <w:r w:rsidR="0081103B" w:rsidRPr="00C2599F">
        <w:rPr>
          <w:color w:val="0071BB"/>
          <w:w w:val="120"/>
        </w:rPr>
        <w:t xml:space="preserve"> </w:t>
      </w:r>
      <w:proofErr w:type="spellStart"/>
      <w:r w:rsidR="0081103B" w:rsidRPr="00C2599F">
        <w:rPr>
          <w:color w:val="0071BB"/>
          <w:w w:val="120"/>
        </w:rPr>
        <w:t>by</w:t>
      </w:r>
      <w:r w:rsidR="00C2599F">
        <w:rPr>
          <w:color w:val="0071BB"/>
          <w:w w:val="120"/>
        </w:rPr>
        <w:t>ć</w:t>
      </w:r>
      <w:proofErr w:type="spellEnd"/>
      <w:r w:rsidR="00C2599F">
        <w:rPr>
          <w:color w:val="0071BB"/>
          <w:w w:val="120"/>
        </w:rPr>
        <w:t xml:space="preserve"> </w:t>
      </w:r>
      <w:proofErr w:type="spellStart"/>
      <w:r w:rsidR="00C2599F">
        <w:rPr>
          <w:color w:val="0071BB"/>
          <w:w w:val="120"/>
        </w:rPr>
        <w:t>p</w:t>
      </w:r>
      <w:r w:rsidRPr="00C2599F">
        <w:rPr>
          <w:color w:val="0071BB"/>
          <w:w w:val="120"/>
        </w:rPr>
        <w:t>rzychylny</w:t>
      </w:r>
      <w:proofErr w:type="spellEnd"/>
      <w:r w:rsidRPr="00C2599F">
        <w:rPr>
          <w:color w:val="0071BB"/>
          <w:w w:val="120"/>
        </w:rPr>
        <w:t xml:space="preserve"> </w:t>
      </w:r>
      <w:proofErr w:type="spellStart"/>
      <w:r w:rsidRPr="00C2599F">
        <w:rPr>
          <w:color w:val="0071BB"/>
          <w:w w:val="120"/>
        </w:rPr>
        <w:t>obawom</w:t>
      </w:r>
      <w:proofErr w:type="spellEnd"/>
      <w:r w:rsidRPr="00C2599F">
        <w:rPr>
          <w:color w:val="0071BB"/>
          <w:w w:val="120"/>
        </w:rPr>
        <w:t xml:space="preserve"> </w:t>
      </w:r>
      <w:proofErr w:type="spellStart"/>
      <w:r w:rsidRPr="00C2599F"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bez </w:t>
      </w:r>
      <w:proofErr w:type="spellStart"/>
      <w:r>
        <w:rPr>
          <w:color w:val="0071BB"/>
          <w:w w:val="120"/>
        </w:rPr>
        <w:t>możliwości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zakończenia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stanęła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perspektywą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przykrej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śmierci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niemniej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pozytywny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obowiązek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strony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który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powołano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wymagałby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sankcjonowało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działania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przerwanie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, </w:t>
      </w:r>
      <w:proofErr w:type="spellStart"/>
      <w:r w:rsidR="0081103B">
        <w:rPr>
          <w:color w:val="0071BB"/>
          <w:w w:val="120"/>
        </w:rPr>
        <w:t>czego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wywodzić</w:t>
      </w:r>
      <w:proofErr w:type="spellEnd"/>
      <w:r>
        <w:rPr>
          <w:color w:val="0071BB"/>
          <w:w w:val="120"/>
        </w:rPr>
        <w:t xml:space="preserve"> z art. 3.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wreszcie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), </w:t>
      </w:r>
      <w:r>
        <w:rPr>
          <w:b/>
          <w:color w:val="0071BB"/>
          <w:w w:val="120"/>
        </w:rPr>
        <w:t xml:space="preserve">9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wolność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sumienia</w:t>
      </w:r>
      <w:proofErr w:type="spellEnd"/>
      <w:r>
        <w:rPr>
          <w:b/>
          <w:color w:val="0071BB"/>
          <w:w w:val="120"/>
        </w:rPr>
        <w:t xml:space="preserve">) </w:t>
      </w:r>
      <w:proofErr w:type="spellStart"/>
      <w:r>
        <w:rPr>
          <w:b/>
          <w:color w:val="0071BB"/>
          <w:w w:val="120"/>
        </w:rPr>
        <w:t>i</w:t>
      </w:r>
      <w:proofErr w:type="spellEnd"/>
      <w:r>
        <w:rPr>
          <w:b/>
          <w:color w:val="0071BB"/>
          <w:w w:val="120"/>
        </w:rPr>
        <w:t xml:space="preserve"> 14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>.</w:t>
      </w:r>
    </w:p>
    <w:p w14:paraId="7F532EB4" w14:textId="77777777" w:rsidR="00C8263F" w:rsidRPr="000D5D2D" w:rsidRDefault="00C8263F">
      <w:pPr>
        <w:pStyle w:val="Nagwek2"/>
        <w:spacing w:before="98"/>
        <w:rPr>
          <w:u w:val="thick"/>
        </w:rPr>
      </w:pPr>
      <w:hyperlink r:id="rId13">
        <w:r w:rsidRPr="000D5D2D">
          <w:rPr>
            <w:color w:val="0071BB"/>
            <w:w w:val="135"/>
            <w:u w:val="thick" w:color="0071BB"/>
          </w:rPr>
          <w:t xml:space="preserve">Haas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Szwajcarii</w:t>
        </w:r>
        <w:proofErr w:type="spellEnd"/>
      </w:hyperlink>
    </w:p>
    <w:p w14:paraId="35339B37" w14:textId="77777777" w:rsidR="00C8263F" w:rsidRDefault="00000000">
      <w:pPr>
        <w:spacing w:before="57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20 </w:t>
      </w:r>
      <w:proofErr w:type="spellStart"/>
      <w:r>
        <w:rPr>
          <w:color w:val="808080"/>
          <w:w w:val="125"/>
          <w:sz w:val="18"/>
        </w:rPr>
        <w:t>stycznia</w:t>
      </w:r>
      <w:proofErr w:type="spellEnd"/>
      <w:r>
        <w:rPr>
          <w:color w:val="808080"/>
          <w:w w:val="125"/>
          <w:sz w:val="18"/>
        </w:rPr>
        <w:t xml:space="preserve"> 2011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Izby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17D64F25" w14:textId="7597EC3E" w:rsidR="00C8263F" w:rsidRDefault="00000000">
      <w:pPr>
        <w:pStyle w:val="Tekstpodstawowy"/>
        <w:spacing w:before="2"/>
        <w:ind w:right="728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ta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kwestii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czy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poszanowania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prywatnego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państwo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powinno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zapewnić</w:t>
      </w:r>
      <w:proofErr w:type="spellEnd"/>
      <w:r>
        <w:rPr>
          <w:w w:val="120"/>
        </w:rPr>
        <w:t xml:space="preserve">, aby </w:t>
      </w:r>
      <w:proofErr w:type="spellStart"/>
      <w:r>
        <w:rPr>
          <w:w w:val="120"/>
        </w:rPr>
        <w:t>chora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pragnąca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popełnić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śmiertelną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substancję</w:t>
      </w:r>
      <w:proofErr w:type="spellEnd"/>
      <w:r>
        <w:rPr>
          <w:w w:val="120"/>
        </w:rPr>
        <w:t xml:space="preserve"> (pentobarbital </w:t>
      </w:r>
      <w:proofErr w:type="spellStart"/>
      <w:r>
        <w:rPr>
          <w:w w:val="120"/>
        </w:rPr>
        <w:t>sodu</w:t>
      </w:r>
      <w:proofErr w:type="spellEnd"/>
      <w:r>
        <w:rPr>
          <w:w w:val="120"/>
        </w:rPr>
        <w:t xml:space="preserve">) bez </w:t>
      </w:r>
      <w:proofErr w:type="spellStart"/>
      <w:r>
        <w:rPr>
          <w:w w:val="120"/>
        </w:rPr>
        <w:t>recepty</w:t>
      </w:r>
      <w:proofErr w:type="spellEnd"/>
      <w:r>
        <w:rPr>
          <w:w w:val="120"/>
        </w:rPr>
        <w:t xml:space="preserve">, w </w:t>
      </w:r>
      <w:proofErr w:type="spellStart"/>
      <w:r>
        <w:rPr>
          <w:w w:val="120"/>
        </w:rPr>
        <w:t>drodze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odstępstwa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, aby </w:t>
      </w:r>
      <w:proofErr w:type="spellStart"/>
      <w:r>
        <w:rPr>
          <w:w w:val="120"/>
        </w:rPr>
        <w:t>móc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zakończyć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życie</w:t>
      </w:r>
      <w:proofErr w:type="spellEnd"/>
      <w:r>
        <w:rPr>
          <w:w w:val="120"/>
        </w:rPr>
        <w:t xml:space="preserve"> bez </w:t>
      </w:r>
      <w:proofErr w:type="spellStart"/>
      <w:r>
        <w:rPr>
          <w:w w:val="120"/>
        </w:rPr>
        <w:t>bólu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bez </w:t>
      </w:r>
      <w:proofErr w:type="spellStart"/>
      <w:r>
        <w:rPr>
          <w:w w:val="120"/>
        </w:rPr>
        <w:t>ryzyka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niepowodzenia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cierpiał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poważną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chorobę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afektywną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dwubiegunową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około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dwudziestu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lat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uważał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rezultacie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mógł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już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żyć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godny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sposób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argumentował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zakończenia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bezpieczny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godny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sposób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naruszone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Szwajcarii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warunków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musiały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spełnione</w:t>
      </w:r>
      <w:proofErr w:type="spellEnd"/>
      <w:r>
        <w:rPr>
          <w:w w:val="120"/>
        </w:rPr>
        <w:t xml:space="preserve"> -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których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spełnił</w:t>
      </w:r>
      <w:proofErr w:type="spellEnd"/>
      <w:r>
        <w:rPr>
          <w:w w:val="120"/>
        </w:rPr>
        <w:t xml:space="preserve"> - aby </w:t>
      </w:r>
      <w:proofErr w:type="spellStart"/>
      <w:r>
        <w:rPr>
          <w:w w:val="120"/>
        </w:rPr>
        <w:t>móc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</w:t>
      </w:r>
      <w:r w:rsidR="00DF6C0B">
        <w:rPr>
          <w:w w:val="120"/>
        </w:rPr>
        <w:t>ć</w:t>
      </w:r>
      <w:proofErr w:type="spellEnd"/>
      <w:r w:rsidR="00DF6C0B">
        <w:rPr>
          <w:w w:val="120"/>
        </w:rPr>
        <w:t xml:space="preserve"> </w:t>
      </w:r>
      <w:proofErr w:type="spellStart"/>
      <w:r w:rsidR="00DF6C0B">
        <w:rPr>
          <w:w w:val="120"/>
        </w:rPr>
        <w:t>przedmiotową</w:t>
      </w:r>
      <w:proofErr w:type="spellEnd"/>
      <w:r w:rsidR="00DF6C0B">
        <w:rPr>
          <w:w w:val="120"/>
        </w:rPr>
        <w:t xml:space="preserve"> </w:t>
      </w:r>
      <w:proofErr w:type="spellStart"/>
      <w:r>
        <w:rPr>
          <w:w w:val="120"/>
        </w:rPr>
        <w:t>substancję</w:t>
      </w:r>
      <w:proofErr w:type="spellEnd"/>
      <w:r>
        <w:rPr>
          <w:w w:val="120"/>
        </w:rPr>
        <w:t>.</w:t>
      </w:r>
    </w:p>
    <w:p w14:paraId="13A700D5" w14:textId="77777777" w:rsidR="00C8263F" w:rsidRDefault="00000000">
      <w:pPr>
        <w:pStyle w:val="Tekstpodstawowy"/>
        <w:ind w:right="728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r>
        <w:rPr>
          <w:color w:val="0071BB"/>
          <w:spacing w:val="40"/>
          <w:w w:val="120"/>
        </w:rPr>
        <w:t>do</w:t>
      </w:r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nawet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założeniu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pozytywny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podjęcia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ułatwiających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godne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szwajcarskie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naruszyły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obowiązku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członkowskie</w:t>
      </w:r>
      <w:proofErr w:type="spellEnd"/>
      <w:r>
        <w:rPr>
          <w:color w:val="0071BB"/>
          <w:w w:val="120"/>
        </w:rPr>
        <w:t xml:space="preserve"> Rady </w:t>
      </w:r>
      <w:proofErr w:type="spellStart"/>
      <w:r>
        <w:rPr>
          <w:color w:val="0071BB"/>
          <w:w w:val="120"/>
        </w:rPr>
        <w:t>Europy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dalekie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osiągnięcia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konsensusu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jednostki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wyboru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sposobu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czasu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zakończenia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Chociaż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pomoc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samobójstwie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zdekryminalizowana</w:t>
      </w:r>
      <w:proofErr w:type="spellEnd"/>
      <w:r>
        <w:rPr>
          <w:color w:val="0071BB"/>
          <w:w w:val="120"/>
        </w:rPr>
        <w:t xml:space="preserve"> (</w:t>
      </w:r>
      <w:proofErr w:type="spellStart"/>
      <w:r>
        <w:rPr>
          <w:color w:val="0071BB"/>
          <w:w w:val="120"/>
        </w:rPr>
        <w:t>przynajmniej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częściowo</w:t>
      </w:r>
      <w:proofErr w:type="spellEnd"/>
      <w:r>
        <w:rPr>
          <w:color w:val="0071BB"/>
          <w:w w:val="120"/>
        </w:rPr>
        <w:t xml:space="preserve">) w </w:t>
      </w:r>
      <w:proofErr w:type="spellStart"/>
      <w:r>
        <w:rPr>
          <w:color w:val="0071BB"/>
          <w:w w:val="120"/>
        </w:rPr>
        <w:t>niektórych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członkowskich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zdecydowana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większość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nich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zdawała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przywiązywać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większą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wagę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ochrony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jednostki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niż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zakończenia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szeroki</w:t>
      </w:r>
      <w:proofErr w:type="spellEnd"/>
      <w:r>
        <w:rPr>
          <w:color w:val="0071BB"/>
          <w:w w:val="120"/>
        </w:rPr>
        <w:t xml:space="preserve"> margines </w:t>
      </w:r>
      <w:proofErr w:type="spellStart"/>
      <w:r>
        <w:rPr>
          <w:color w:val="0071BB"/>
          <w:w w:val="120"/>
        </w:rPr>
        <w:t>oceny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takich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sprawach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Chociaż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zgodził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mógł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chcieć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popełnić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bezpieczny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godny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bez </w:t>
      </w:r>
      <w:proofErr w:type="spellStart"/>
      <w:r>
        <w:rPr>
          <w:color w:val="0071BB"/>
          <w:w w:val="120"/>
        </w:rPr>
        <w:t>niepotrzebnego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bólu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wymóg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szwajcarskiego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recepty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lekarskiej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uzyskania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pentobarbitalu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sodu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uzasadniony</w:t>
      </w:r>
      <w:proofErr w:type="spellEnd"/>
      <w:r>
        <w:rPr>
          <w:color w:val="0071BB"/>
          <w:w w:val="120"/>
        </w:rPr>
        <w:t xml:space="preserve"> cel, a </w:t>
      </w:r>
      <w:proofErr w:type="spellStart"/>
      <w:r>
        <w:rPr>
          <w:color w:val="0071BB"/>
          <w:w w:val="120"/>
        </w:rPr>
        <w:t>mianowicie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ochronę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ludzi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podejmowaniem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pochopnych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zapobieganie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nadużyciom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ryzyka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należy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lekceważyć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systemie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ułatwiającym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wspomaganego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samobójstwa</w:t>
      </w:r>
      <w:proofErr w:type="spellEnd"/>
      <w:r>
        <w:rPr>
          <w:color w:val="0071BB"/>
          <w:w w:val="120"/>
        </w:rPr>
        <w:t>.</w:t>
      </w:r>
    </w:p>
    <w:p w14:paraId="08D79C50" w14:textId="77777777" w:rsidR="00C8263F" w:rsidRDefault="00C8263F">
      <w:pPr>
        <w:pStyle w:val="Tekstpodstawowy"/>
        <w:sectPr w:rsidR="00C8263F">
          <w:headerReference w:type="default" r:id="rId14"/>
          <w:footerReference w:type="default" r:id="rId15"/>
          <w:pgSz w:w="11910" w:h="16840"/>
          <w:pgMar w:top="1460" w:right="708" w:bottom="680" w:left="566" w:header="730" w:footer="497" w:gutter="0"/>
          <w:pgNumType w:start="2"/>
          <w:cols w:space="708"/>
        </w:sectPr>
      </w:pPr>
    </w:p>
    <w:p w14:paraId="52944DA0" w14:textId="50CAD5E0" w:rsidR="00C8263F" w:rsidRDefault="00000000">
      <w:pPr>
        <w:pStyle w:val="Tekstpodstawowy"/>
        <w:spacing w:before="240"/>
        <w:ind w:right="729"/>
      </w:pPr>
      <w:proofErr w:type="spellStart"/>
      <w:r>
        <w:rPr>
          <w:color w:val="0071BB"/>
          <w:w w:val="120"/>
        </w:rPr>
        <w:lastRenderedPageBreak/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wymóg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recepty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wydanej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podstawie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dokładnej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oceny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psychiatrycznej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służącym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wypełnieniu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spoczywającego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wprowadzenia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procedury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danej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zakończeniu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faktycznie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odzwierciedlała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wolną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wolę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Wreszcie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jeśli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chodzi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kwestię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skuteczny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oceny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medycznej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pozwolić</w:t>
      </w:r>
      <w:proofErr w:type="spellEnd"/>
      <w:r>
        <w:rPr>
          <w:color w:val="0071BB"/>
          <w:w w:val="120"/>
        </w:rPr>
        <w:t xml:space="preserve"> mu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uzyskanie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pentobarbitalu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sodu</w:t>
      </w:r>
      <w:proofErr w:type="spellEnd"/>
      <w:r>
        <w:rPr>
          <w:color w:val="0071BB"/>
          <w:w w:val="120"/>
        </w:rPr>
        <w:t xml:space="preserve"> (w </w:t>
      </w:r>
      <w:proofErr w:type="spellStart"/>
      <w:r>
        <w:rPr>
          <w:color w:val="0071BB"/>
          <w:w w:val="120"/>
        </w:rPr>
        <w:t>przeciwnym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razie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wyboru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czasu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sposobu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śmierci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teoretyczne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iluzoryczne</w:t>
      </w:r>
      <w:proofErr w:type="spellEnd"/>
      <w:r>
        <w:rPr>
          <w:color w:val="0071BB"/>
          <w:w w:val="120"/>
        </w:rPr>
        <w:t xml:space="preserve">),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przekonany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stanie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znaleźć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specjalisty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gotowego</w:t>
      </w:r>
      <w:proofErr w:type="spellEnd"/>
      <w:r>
        <w:rPr>
          <w:color w:val="0071BB"/>
          <w:w w:val="120"/>
        </w:rPr>
        <w:t xml:space="preserve"> mu </w:t>
      </w:r>
      <w:proofErr w:type="spellStart"/>
      <w:r>
        <w:rPr>
          <w:color w:val="0071BB"/>
          <w:w w:val="120"/>
        </w:rPr>
        <w:t>pomóc</w:t>
      </w:r>
      <w:proofErr w:type="spellEnd"/>
      <w:r>
        <w:rPr>
          <w:color w:val="0071BB"/>
          <w:w w:val="120"/>
        </w:rPr>
        <w:t xml:space="preserve">, jak </w:t>
      </w:r>
      <w:proofErr w:type="spellStart"/>
      <w:r>
        <w:rPr>
          <w:color w:val="0071BB"/>
          <w:w w:val="120"/>
        </w:rPr>
        <w:t>twierdził</w:t>
      </w:r>
      <w:proofErr w:type="spellEnd"/>
      <w:r>
        <w:rPr>
          <w:color w:val="0071BB"/>
          <w:w w:val="120"/>
        </w:rPr>
        <w:t>.</w:t>
      </w:r>
    </w:p>
    <w:p w14:paraId="1E72E58B" w14:textId="77777777" w:rsidR="00C8263F" w:rsidRPr="000D5D2D" w:rsidRDefault="00C8263F">
      <w:pPr>
        <w:pStyle w:val="Nagwek2"/>
        <w:spacing w:before="114"/>
        <w:rPr>
          <w:u w:val="thick"/>
        </w:rPr>
      </w:pPr>
      <w:hyperlink r:id="rId16">
        <w:r w:rsidRPr="000D5D2D">
          <w:rPr>
            <w:color w:val="0071BB"/>
            <w:w w:val="135"/>
            <w:u w:val="thick" w:color="0071BB"/>
          </w:rPr>
          <w:t xml:space="preserve">Koch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Niemcom</w:t>
        </w:r>
        <w:proofErr w:type="spellEnd"/>
      </w:hyperlink>
    </w:p>
    <w:p w14:paraId="38DCC6FC" w14:textId="77777777" w:rsidR="00C8263F" w:rsidRDefault="0000000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19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w w:val="125"/>
          <w:sz w:val="18"/>
        </w:rPr>
        <w:t xml:space="preserve"> 2012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Izby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08CA81F3" w14:textId="77777777" w:rsidR="00C8263F" w:rsidRDefault="00000000">
      <w:pPr>
        <w:pStyle w:val="Tekstpodstawowy"/>
        <w:spacing w:before="1"/>
        <w:ind w:right="726"/>
      </w:pPr>
      <w:r>
        <w:rPr>
          <w:w w:val="120"/>
        </w:rPr>
        <w:t xml:space="preserve">W 2004 r. </w:t>
      </w:r>
      <w:proofErr w:type="spellStart"/>
      <w:r>
        <w:rPr>
          <w:w w:val="120"/>
        </w:rPr>
        <w:t>żona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cierpiała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całkowity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paraliż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czterokończynowy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bezskutecznie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wystąpiła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Federalnego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Instytutu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Produktów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Farmaceutycznych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Medycznych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zezwolenie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śmiertelnej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dawki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leku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umożliwiłby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popełnienie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domu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Niemczech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Odwołanie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administracyjne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żony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oddalone</w:t>
      </w:r>
      <w:proofErr w:type="spellEnd"/>
      <w:r>
        <w:rPr>
          <w:w w:val="120"/>
        </w:rPr>
        <w:t xml:space="preserve">. W </w:t>
      </w:r>
      <w:proofErr w:type="spellStart"/>
      <w:r>
        <w:rPr>
          <w:w w:val="120"/>
        </w:rPr>
        <w:t>lutym</w:t>
      </w:r>
      <w:proofErr w:type="spellEnd"/>
      <w:r>
        <w:rPr>
          <w:w w:val="120"/>
        </w:rPr>
        <w:t xml:space="preserve"> 2005 r. </w:t>
      </w:r>
      <w:proofErr w:type="spellStart"/>
      <w:r>
        <w:rPr>
          <w:w w:val="120"/>
        </w:rPr>
        <w:t>oboje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wyjechali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Szwajcarii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gdzie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żona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popełniła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samobójstwo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pomocą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stowarzyszenia</w:t>
      </w:r>
      <w:proofErr w:type="spellEnd"/>
      <w:r>
        <w:rPr>
          <w:w w:val="120"/>
        </w:rPr>
        <w:t xml:space="preserve">. W </w:t>
      </w:r>
      <w:proofErr w:type="spellStart"/>
      <w:r>
        <w:rPr>
          <w:w w:val="120"/>
        </w:rPr>
        <w:t>kwietniu</w:t>
      </w:r>
      <w:proofErr w:type="spellEnd"/>
      <w:r>
        <w:rPr>
          <w:w w:val="120"/>
        </w:rPr>
        <w:t xml:space="preserve"> 2005 r.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bezskutecznie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wniósł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skargę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stwierdzenie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niezgodności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prawem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decyzji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Instytutu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Federalnego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odwołania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sądu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administracyjnego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administracyjnego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apelacyjnego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Federalnego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Trybunału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Konstytucyjnego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uznane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niedopuszczalne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zarzucił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zbadania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zasadności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skargi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krajowe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poszanowania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prywatnego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rodzinnego</w:t>
      </w:r>
      <w:proofErr w:type="spellEnd"/>
      <w:r>
        <w:rPr>
          <w:w w:val="120"/>
        </w:rPr>
        <w:t>.</w:t>
      </w:r>
    </w:p>
    <w:p w14:paraId="5BE7F6EE" w14:textId="5DFA0A92" w:rsidR="00C8263F" w:rsidRDefault="00000000">
      <w:pPr>
        <w:pStyle w:val="Tekstpodstawowy"/>
        <w:ind w:left="872" w:right="730" w:firstLine="1"/>
      </w:pPr>
      <w:proofErr w:type="spellStart"/>
      <w:r>
        <w:rPr>
          <w:color w:val="0071BB"/>
          <w:w w:val="120"/>
        </w:rPr>
        <w:t>Uwzględniając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wyjątkowo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bliskie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relacje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skarżącym</w:t>
      </w:r>
      <w:proofErr w:type="spellEnd"/>
      <w:r>
        <w:rPr>
          <w:color w:val="0071BB"/>
          <w:w w:val="120"/>
        </w:rPr>
        <w:t xml:space="preserve"> a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żoną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bezpośrednie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zaangażowanie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spełnienie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zakończeni</w:t>
      </w:r>
      <w:r w:rsidR="00DB4A65">
        <w:rPr>
          <w:color w:val="0071BB"/>
          <w:w w:val="120"/>
        </w:rPr>
        <w:t>a</w:t>
      </w:r>
      <w:proofErr w:type="spellEnd"/>
      <w:r w:rsidR="00DB4A65">
        <w:rPr>
          <w:color w:val="0071BB"/>
          <w:w w:val="120"/>
        </w:rPr>
        <w:t xml:space="preserve"> </w:t>
      </w:r>
      <w:proofErr w:type="spellStart"/>
      <w:r w:rsidR="00DB4A65"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może</w:t>
      </w:r>
      <w:proofErr w:type="spellEnd"/>
      <w:r>
        <w:rPr>
          <w:color w:val="0071BB"/>
          <w:w w:val="120"/>
        </w:rPr>
        <w:t xml:space="preserve"> on </w:t>
      </w:r>
      <w:proofErr w:type="spellStart"/>
      <w:r>
        <w:rPr>
          <w:color w:val="0071BB"/>
          <w:w w:val="120"/>
        </w:rPr>
        <w:t>twierdzić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odmowa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udzielenia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nabycie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śmiertelnej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dawki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spacing w:val="22"/>
          <w:w w:val="120"/>
        </w:rPr>
        <w:t>leku</w:t>
      </w:r>
      <w:proofErr w:type="spellEnd"/>
      <w:r>
        <w:rPr>
          <w:color w:val="0071BB"/>
          <w:spacing w:val="22"/>
          <w:w w:val="120"/>
        </w:rPr>
        <w:t xml:space="preserve"> </w:t>
      </w:r>
      <w:proofErr w:type="spellStart"/>
      <w:r>
        <w:rPr>
          <w:color w:val="0071BB"/>
          <w:w w:val="120"/>
        </w:rPr>
        <w:t>miała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bezpośredni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wpływ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proceduralnych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podstawie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związku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odmową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zbadania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zasadności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niemieckie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meritum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zbadanie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</w:t>
      </w:r>
      <w:r w:rsidR="00DB4A65">
        <w:rPr>
          <w:color w:val="0071BB"/>
          <w:w w:val="120"/>
        </w:rPr>
        <w:t>j</w:t>
      </w:r>
      <w:proofErr w:type="spellEnd"/>
      <w:r w:rsidR="00DB4A65">
        <w:rPr>
          <w:color w:val="0071BB"/>
          <w:w w:val="120"/>
        </w:rPr>
        <w:t xml:space="preserve"> </w:t>
      </w:r>
      <w:proofErr w:type="spellStart"/>
      <w:r w:rsidR="00DB4A65">
        <w:rPr>
          <w:color w:val="0071BB"/>
          <w:w w:val="120"/>
        </w:rPr>
        <w:t>zasadności</w:t>
      </w:r>
      <w:proofErr w:type="spellEnd"/>
      <w:r w:rsidR="00DB4A65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należało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przede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wszystkim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sądów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niemieckich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wśród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członkowskich</w:t>
      </w:r>
      <w:proofErr w:type="spellEnd"/>
      <w:r>
        <w:rPr>
          <w:color w:val="0071BB"/>
          <w:w w:val="120"/>
        </w:rPr>
        <w:t xml:space="preserve"> Rady </w:t>
      </w:r>
      <w:proofErr w:type="spellStart"/>
      <w:r>
        <w:rPr>
          <w:color w:val="0071BB"/>
          <w:w w:val="120"/>
        </w:rPr>
        <w:t>Europy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konsensusu</w:t>
      </w:r>
      <w:proofErr w:type="spellEnd"/>
      <w:r>
        <w:rPr>
          <w:color w:val="0071BB"/>
          <w:w w:val="120"/>
        </w:rPr>
        <w:t xml:space="preserve"> co do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zezwolić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jakąkolwiek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formę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wspomaganego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samobójstwa</w:t>
      </w:r>
      <w:proofErr w:type="spellEnd"/>
      <w:r>
        <w:rPr>
          <w:color w:val="0071BB"/>
          <w:w w:val="120"/>
        </w:rPr>
        <w:t>.</w:t>
      </w:r>
    </w:p>
    <w:p w14:paraId="6CF8F661" w14:textId="77777777" w:rsidR="00C8263F" w:rsidRPr="000D5D2D" w:rsidRDefault="00C8263F">
      <w:pPr>
        <w:pStyle w:val="Nagwek2"/>
        <w:spacing w:before="97"/>
        <w:ind w:left="872"/>
        <w:rPr>
          <w:u w:val="thick"/>
        </w:rPr>
      </w:pPr>
      <w:hyperlink r:id="rId17">
        <w:r w:rsidRPr="000D5D2D">
          <w:rPr>
            <w:color w:val="0071BB"/>
            <w:w w:val="135"/>
            <w:u w:val="thick" w:color="0071BB"/>
          </w:rPr>
          <w:t xml:space="preserve">Gross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Szwajcarii</w:t>
        </w:r>
        <w:proofErr w:type="spellEnd"/>
      </w:hyperlink>
    </w:p>
    <w:p w14:paraId="2610D2FD" w14:textId="77777777" w:rsidR="00C8263F" w:rsidRDefault="0000000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30 </w:t>
      </w:r>
      <w:proofErr w:type="spellStart"/>
      <w:r>
        <w:rPr>
          <w:color w:val="808080"/>
          <w:w w:val="125"/>
          <w:sz w:val="18"/>
        </w:rPr>
        <w:t>września</w:t>
      </w:r>
      <w:proofErr w:type="spellEnd"/>
      <w:r>
        <w:rPr>
          <w:color w:val="808080"/>
          <w:w w:val="125"/>
          <w:sz w:val="18"/>
        </w:rPr>
        <w:t xml:space="preserve"> 2014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Wielkiej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Izby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6E7AEF2D" w14:textId="77777777" w:rsidR="00C8263F" w:rsidRDefault="00000000">
      <w:pPr>
        <w:pStyle w:val="Tekstpodstawowy"/>
        <w:spacing w:before="4"/>
        <w:ind w:right="729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skargi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starszej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kobiety</w:t>
      </w:r>
      <w:proofErr w:type="spellEnd"/>
      <w:r>
        <w:rPr>
          <w:w w:val="120"/>
        </w:rPr>
        <w:t xml:space="preserve"> - </w:t>
      </w:r>
      <w:proofErr w:type="spellStart"/>
      <w:r>
        <w:rPr>
          <w:w w:val="120"/>
        </w:rPr>
        <w:t>która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chciała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zakończyć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życie</w:t>
      </w:r>
      <w:proofErr w:type="spellEnd"/>
      <w:r>
        <w:rPr>
          <w:w w:val="120"/>
        </w:rPr>
        <w:t xml:space="preserve">, ale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cierpiała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chorobę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kliniczną</w:t>
      </w:r>
      <w:proofErr w:type="spellEnd"/>
      <w:r>
        <w:rPr>
          <w:w w:val="120"/>
        </w:rPr>
        <w:t xml:space="preserve"> -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stanie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zgody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władz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szwajcarskich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śmiertelnej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dawki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leku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celu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popełnienia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zarzuciła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odmawiając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decydowania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, w </w:t>
      </w:r>
      <w:proofErr w:type="spellStart"/>
      <w:r>
        <w:rPr>
          <w:w w:val="120"/>
        </w:rPr>
        <w:t>jaki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sposób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którym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momencie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dobiegnie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końca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władze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szwajcarskie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naruszyły</w:t>
      </w:r>
      <w:proofErr w:type="spellEnd"/>
      <w:r>
        <w:rPr>
          <w:w w:val="120"/>
        </w:rPr>
        <w:t xml:space="preserve"> art. 8 (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poszanowania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prywatnego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rodzinnego</w:t>
      </w:r>
      <w:proofErr w:type="spellEnd"/>
      <w:r>
        <w:rPr>
          <w:w w:val="120"/>
        </w:rPr>
        <w:t xml:space="preserve">) </w:t>
      </w:r>
      <w:proofErr w:type="spellStart"/>
      <w:r>
        <w:rPr>
          <w:w w:val="120"/>
        </w:rPr>
        <w:t>Konwencji</w:t>
      </w:r>
      <w:proofErr w:type="spellEnd"/>
      <w:r>
        <w:rPr>
          <w:w w:val="120"/>
        </w:rPr>
        <w:t>.</w:t>
      </w:r>
    </w:p>
    <w:p w14:paraId="7D36852F" w14:textId="19148C50" w:rsidR="00C8263F" w:rsidRDefault="00000000">
      <w:pPr>
        <w:pStyle w:val="Tekstpodstawowy"/>
        <w:ind w:right="729" w:hanging="1"/>
      </w:pPr>
      <w:r>
        <w:rPr>
          <w:color w:val="0071BB"/>
          <w:w w:val="120"/>
        </w:rPr>
        <w:t xml:space="preserve">W </w:t>
      </w:r>
      <w:hyperlink r:id="rId18">
        <w:proofErr w:type="spellStart"/>
        <w:r w:rsidR="00C8263F" w:rsidRPr="002917DA">
          <w:rPr>
            <w:color w:val="0071BB"/>
            <w:w w:val="120"/>
            <w:u w:val="single" w:color="0071BB"/>
          </w:rPr>
          <w:t>wyroku</w:t>
        </w:r>
        <w:proofErr w:type="spellEnd"/>
        <w:r w:rsidR="00C8263F" w:rsidRPr="002917DA">
          <w:rPr>
            <w:color w:val="0071BB"/>
            <w:w w:val="120"/>
            <w:u w:val="single" w:color="0071BB"/>
          </w:rPr>
          <w:t xml:space="preserve"> </w:t>
        </w:r>
        <w:proofErr w:type="spellStart"/>
        <w:r w:rsidR="00C8263F" w:rsidRPr="002917DA">
          <w:rPr>
            <w:color w:val="0071BB"/>
            <w:w w:val="120"/>
            <w:u w:val="single" w:color="0071BB"/>
          </w:rPr>
          <w:t>Izby</w:t>
        </w:r>
        <w:proofErr w:type="spellEnd"/>
      </w:hyperlink>
      <w:r>
        <w:rPr>
          <w:color w:val="0071BB"/>
          <w:spacing w:val="40"/>
          <w:w w:val="120"/>
        </w:rPr>
        <w:t xml:space="preserve"> w</w:t>
      </w:r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dnia</w:t>
      </w:r>
      <w:proofErr w:type="spellEnd"/>
      <w:r>
        <w:rPr>
          <w:color w:val="0071BB"/>
          <w:w w:val="120"/>
        </w:rPr>
        <w:t xml:space="preserve"> 14 maja 2013 r.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większością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głosów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naruszenia</w:t>
      </w:r>
      <w:proofErr w:type="spellEnd"/>
      <w:r>
        <w:rPr>
          <w:color w:val="0071BB"/>
          <w:w w:val="120"/>
        </w:rPr>
        <w:t xml:space="preserve"> </w:t>
      </w:r>
      <w:r w:rsidR="00DB4A65">
        <w:rPr>
          <w:color w:val="0071BB"/>
          <w:w w:val="120"/>
        </w:rPr>
        <w:t xml:space="preserve">art. </w:t>
      </w:r>
      <w:r>
        <w:rPr>
          <w:color w:val="0071BB"/>
          <w:w w:val="120"/>
        </w:rPr>
        <w:t>8 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szwajcarskie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wystarczająco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jasne</w:t>
      </w:r>
      <w:proofErr w:type="spellEnd"/>
      <w:r>
        <w:rPr>
          <w:color w:val="0071BB"/>
          <w:w w:val="120"/>
        </w:rPr>
        <w:t xml:space="preserve"> co do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kiedy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wspomagane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samobójstwo</w:t>
      </w:r>
      <w:proofErr w:type="spellEnd"/>
      <w:r>
        <w:rPr>
          <w:color w:val="0071BB"/>
          <w:w w:val="120"/>
        </w:rPr>
        <w:t xml:space="preserve"> jest </w:t>
      </w:r>
      <w:proofErr w:type="spellStart"/>
      <w:r>
        <w:rPr>
          <w:color w:val="0071BB"/>
          <w:w w:val="120"/>
        </w:rPr>
        <w:t>dozwolone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Sprawa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następnie</w:t>
      </w:r>
      <w:proofErr w:type="spellEnd"/>
      <w:r>
        <w:rPr>
          <w:color w:val="0071BB"/>
          <w:w w:val="120"/>
        </w:rPr>
        <w:t xml:space="preserve"> </w:t>
      </w:r>
      <w:hyperlink r:id="rId19">
        <w:proofErr w:type="spellStart"/>
        <w:r w:rsidR="00C8263F" w:rsidRPr="002917DA">
          <w:rPr>
            <w:color w:val="0071BB"/>
            <w:w w:val="120"/>
            <w:u w:val="single" w:color="0071BB"/>
          </w:rPr>
          <w:t>przekazana</w:t>
        </w:r>
        <w:proofErr w:type="spellEnd"/>
        <w:r w:rsidR="00C8263F" w:rsidRPr="002917DA">
          <w:rPr>
            <w:color w:val="0071BB"/>
            <w:w w:val="120"/>
            <w:u w:val="single" w:color="0071BB"/>
          </w:rPr>
          <w:t xml:space="preserve"> do </w:t>
        </w:r>
        <w:proofErr w:type="spellStart"/>
        <w:r w:rsidR="00C8263F" w:rsidRPr="002917DA">
          <w:rPr>
            <w:color w:val="0071BB"/>
            <w:w w:val="120"/>
            <w:u w:val="single" w:color="0071BB"/>
          </w:rPr>
          <w:t>Wielkiej</w:t>
        </w:r>
        <w:proofErr w:type="spellEnd"/>
        <w:r w:rsidR="00C8263F" w:rsidRPr="002917DA">
          <w:rPr>
            <w:color w:val="0071BB"/>
            <w:w w:val="120"/>
            <w:u w:val="single" w:color="0071BB"/>
          </w:rPr>
          <w:t xml:space="preserve"> </w:t>
        </w:r>
      </w:hyperlink>
      <w:hyperlink r:id="rId20">
        <w:proofErr w:type="spellStart"/>
        <w:r w:rsidR="00C8263F" w:rsidRPr="002917DA">
          <w:rPr>
            <w:color w:val="0071BB"/>
            <w:w w:val="120"/>
            <w:u w:val="single" w:color="0071BB"/>
          </w:rPr>
          <w:t>Izby</w:t>
        </w:r>
        <w:proofErr w:type="spellEnd"/>
      </w:hyperlink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wniosek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rządu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szwajcarskiego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styczniu</w:t>
      </w:r>
      <w:proofErr w:type="spellEnd"/>
      <w:r>
        <w:rPr>
          <w:color w:val="0071BB"/>
          <w:w w:val="120"/>
        </w:rPr>
        <w:t xml:space="preserve"> 2014 </w:t>
      </w:r>
      <w:proofErr w:type="spellStart"/>
      <w:r>
        <w:rPr>
          <w:color w:val="0071BB"/>
          <w:w w:val="120"/>
        </w:rPr>
        <w:t>roku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9B06D3">
        <w:rPr>
          <w:color w:val="0071BB"/>
          <w:w w:val="120"/>
        </w:rPr>
        <w:t>r</w:t>
      </w:r>
      <w:r>
        <w:rPr>
          <w:color w:val="0071BB"/>
          <w:w w:val="120"/>
        </w:rPr>
        <w:t>ząd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Szwajcarii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poinformował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dowiedział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śmierci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</w:t>
      </w:r>
      <w:r w:rsidR="002753E2">
        <w:rPr>
          <w:color w:val="0071BB"/>
          <w:w w:val="120"/>
        </w:rPr>
        <w:t>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listopadzie</w:t>
      </w:r>
      <w:proofErr w:type="spellEnd"/>
      <w:r>
        <w:rPr>
          <w:color w:val="0071BB"/>
          <w:w w:val="120"/>
        </w:rPr>
        <w:t xml:space="preserve"> 2011 </w:t>
      </w:r>
      <w:proofErr w:type="spellStart"/>
      <w:r>
        <w:rPr>
          <w:color w:val="0071BB"/>
          <w:w w:val="120"/>
        </w:rPr>
        <w:t>roku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wyroku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Wielkiej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Izby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dnia</w:t>
      </w:r>
      <w:proofErr w:type="spellEnd"/>
      <w:r>
        <w:rPr>
          <w:color w:val="0071BB"/>
          <w:w w:val="120"/>
        </w:rPr>
        <w:t xml:space="preserve"> 30 </w:t>
      </w:r>
      <w:proofErr w:type="spellStart"/>
      <w:r>
        <w:rPr>
          <w:color w:val="0071BB"/>
          <w:w w:val="120"/>
        </w:rPr>
        <w:t>września</w:t>
      </w:r>
      <w:proofErr w:type="spellEnd"/>
      <w:r>
        <w:rPr>
          <w:color w:val="0071BB"/>
          <w:w w:val="120"/>
        </w:rPr>
        <w:t xml:space="preserve"> 2014 r.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większością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skargę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niedopuszczalną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doszedł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wniosku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zamierzała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wprowadzić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błąd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kwestii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sedna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skargi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podjęła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ostrożności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zapobiec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ujawnieniu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informacji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śmierci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swojemu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obrońcy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Trybunałowi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uniemożliwienia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ostatniemu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umorzenia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postępowania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zatem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zachowanie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stanowiło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nadużycie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skargi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indywidualnej</w:t>
      </w:r>
      <w:proofErr w:type="spellEnd"/>
      <w:r>
        <w:rPr>
          <w:color w:val="0071BB"/>
          <w:w w:val="120"/>
        </w:rPr>
        <w:t xml:space="preserve"> (art. 35 §§ 3 (a)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4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). W </w:t>
      </w:r>
      <w:proofErr w:type="spellStart"/>
      <w:r>
        <w:rPr>
          <w:color w:val="0071BB"/>
          <w:w w:val="120"/>
        </w:rPr>
        <w:t>wyniku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wyroku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ustalenia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zawarte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wyroku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Izby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dnia</w:t>
      </w:r>
      <w:proofErr w:type="spellEnd"/>
      <w:r>
        <w:rPr>
          <w:color w:val="0071BB"/>
          <w:w w:val="120"/>
        </w:rPr>
        <w:t xml:space="preserve"> 14 maja 2013 r., </w:t>
      </w:r>
      <w:proofErr w:type="spellStart"/>
      <w:r>
        <w:rPr>
          <w:color w:val="0071BB"/>
          <w:w w:val="120"/>
        </w:rPr>
        <w:t>który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ostateczny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już</w:t>
      </w:r>
      <w:proofErr w:type="spellEnd"/>
      <w:r>
        <w:rPr>
          <w:color w:val="0071BB"/>
          <w:w w:val="120"/>
        </w:rPr>
        <w:t xml:space="preserve"> prawnie </w:t>
      </w:r>
      <w:proofErr w:type="spellStart"/>
      <w:r>
        <w:rPr>
          <w:color w:val="0071BB"/>
          <w:w w:val="120"/>
        </w:rPr>
        <w:t>wiążące</w:t>
      </w:r>
      <w:proofErr w:type="spellEnd"/>
      <w:r>
        <w:rPr>
          <w:color w:val="0071BB"/>
          <w:w w:val="120"/>
        </w:rPr>
        <w:t>.</w:t>
      </w:r>
    </w:p>
    <w:p w14:paraId="2FA05562" w14:textId="77777777" w:rsidR="00C8263F" w:rsidRDefault="00C8263F">
      <w:pPr>
        <w:pStyle w:val="Tekstpodstawowy"/>
        <w:sectPr w:rsidR="00C8263F">
          <w:pgSz w:w="11910" w:h="16840"/>
          <w:pgMar w:top="1460" w:right="708" w:bottom="680" w:left="566" w:header="730" w:footer="497" w:gutter="0"/>
          <w:cols w:space="708"/>
        </w:sectPr>
      </w:pPr>
    </w:p>
    <w:p w14:paraId="34F86D70" w14:textId="77777777" w:rsidR="00C8263F" w:rsidRPr="000D5D2D" w:rsidRDefault="00C8263F">
      <w:pPr>
        <w:pStyle w:val="Nagwek2"/>
        <w:spacing w:before="240"/>
        <w:rPr>
          <w:u w:val="thick"/>
        </w:rPr>
      </w:pPr>
      <w:hyperlink r:id="rId21">
        <w:r w:rsidRPr="000D5D2D">
          <w:rPr>
            <w:color w:val="0071BB"/>
            <w:w w:val="135"/>
            <w:u w:val="thick" w:color="0071BB"/>
          </w:rPr>
          <w:t xml:space="preserve">Lambert </w:t>
        </w:r>
        <w:proofErr w:type="spellStart"/>
        <w:r w:rsidRPr="000D5D2D">
          <w:rPr>
            <w:color w:val="0071BB"/>
            <w:w w:val="135"/>
            <w:u w:val="thick" w:color="0071BB"/>
          </w:rPr>
          <w:t>i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Inni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Francji</w:t>
        </w:r>
        <w:proofErr w:type="spellEnd"/>
      </w:hyperlink>
    </w:p>
    <w:p w14:paraId="398B3D8D" w14:textId="77777777" w:rsidR="00C8263F" w:rsidRDefault="0000000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5 </w:t>
      </w:r>
      <w:proofErr w:type="spellStart"/>
      <w:r>
        <w:rPr>
          <w:color w:val="808080"/>
          <w:w w:val="125"/>
          <w:sz w:val="18"/>
        </w:rPr>
        <w:t>czerwca</w:t>
      </w:r>
      <w:proofErr w:type="spellEnd"/>
      <w:r>
        <w:rPr>
          <w:color w:val="808080"/>
          <w:w w:val="125"/>
          <w:sz w:val="18"/>
        </w:rPr>
        <w:t xml:space="preserve"> 2015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Wielkiej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Izby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2DC51839" w14:textId="4E6770C4" w:rsidR="00C8263F" w:rsidRDefault="00000000">
      <w:pPr>
        <w:pStyle w:val="Tekstpodstawowy"/>
        <w:spacing w:before="2"/>
        <w:ind w:right="728"/>
      </w:pP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rodzicami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przyrodnim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bratem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siostrą</w:t>
      </w:r>
      <w:proofErr w:type="spellEnd"/>
      <w:r>
        <w:rPr>
          <w:w w:val="120"/>
        </w:rPr>
        <w:t xml:space="preserve"> Vincenta Lamberta,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doznał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urazu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głowy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wypadku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drogowym</w:t>
      </w:r>
      <w:proofErr w:type="spellEnd"/>
      <w:r>
        <w:rPr>
          <w:w w:val="120"/>
        </w:rPr>
        <w:t xml:space="preserve"> w 2008 r.,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którego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sparaliżowany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czterokończynowo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Skarżyli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wyrok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wydany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dniu</w:t>
      </w:r>
      <w:proofErr w:type="spellEnd"/>
      <w:r>
        <w:rPr>
          <w:w w:val="120"/>
        </w:rPr>
        <w:t xml:space="preserve"> 24 </w:t>
      </w:r>
      <w:proofErr w:type="spellStart"/>
      <w:r>
        <w:rPr>
          <w:w w:val="120"/>
        </w:rPr>
        <w:t>czerwca</w:t>
      </w:r>
      <w:proofErr w:type="spellEnd"/>
      <w:r>
        <w:rPr>
          <w:w w:val="120"/>
        </w:rPr>
        <w:t xml:space="preserve"> 2014 r.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francuską</w:t>
      </w:r>
      <w:proofErr w:type="spellEnd"/>
      <w:r>
        <w:rPr>
          <w:w w:val="120"/>
        </w:rPr>
        <w:t xml:space="preserve"> </w:t>
      </w:r>
      <w:r>
        <w:rPr>
          <w:i/>
          <w:w w:val="120"/>
        </w:rPr>
        <w:t xml:space="preserve">Conseil </w:t>
      </w:r>
      <w:proofErr w:type="spellStart"/>
      <w:r>
        <w:rPr>
          <w:i/>
          <w:w w:val="120"/>
        </w:rPr>
        <w:t>d'État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opierając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między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innymi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raporcie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medycznym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sporządzonym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zespół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trzech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lekarzy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uznała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zgodną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prawem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decyzję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podjętą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dniu</w:t>
      </w:r>
      <w:proofErr w:type="spellEnd"/>
      <w:r>
        <w:rPr>
          <w:w w:val="120"/>
        </w:rPr>
        <w:t xml:space="preserve"> 11 </w:t>
      </w:r>
      <w:proofErr w:type="spellStart"/>
      <w:r>
        <w:rPr>
          <w:w w:val="120"/>
        </w:rPr>
        <w:t>stycznia</w:t>
      </w:r>
      <w:proofErr w:type="spellEnd"/>
      <w:r>
        <w:rPr>
          <w:w w:val="120"/>
        </w:rPr>
        <w:t xml:space="preserve"> 2014 r.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 w:rsidRPr="009B06D3">
        <w:rPr>
          <w:w w:val="120"/>
        </w:rPr>
        <w:t>lekarza</w:t>
      </w:r>
      <w:proofErr w:type="spellEnd"/>
      <w:r w:rsidRPr="009B06D3">
        <w:rPr>
          <w:w w:val="120"/>
        </w:rPr>
        <w:t xml:space="preserve"> </w:t>
      </w:r>
      <w:proofErr w:type="spellStart"/>
      <w:r w:rsidRPr="009B06D3">
        <w:rPr>
          <w:w w:val="120"/>
        </w:rPr>
        <w:t>leczącego</w:t>
      </w:r>
      <w:proofErr w:type="spellEnd"/>
      <w:r>
        <w:rPr>
          <w:w w:val="120"/>
        </w:rPr>
        <w:t xml:space="preserve"> Vincenta Lamberta o </w:t>
      </w:r>
      <w:proofErr w:type="spellStart"/>
      <w:r>
        <w:rPr>
          <w:w w:val="120"/>
        </w:rPr>
        <w:t>zaprzestaniu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sztucznego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odżywiania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nawadniania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podnieśli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wycofanie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sztucznego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nawadniania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odżywiania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byłoby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sprzeczne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zobowiązaniami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państwa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wynikającymi</w:t>
      </w:r>
      <w:proofErr w:type="spellEnd"/>
      <w:r>
        <w:rPr>
          <w:w w:val="120"/>
        </w:rPr>
        <w:t xml:space="preserve"> z art. 2 (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) </w:t>
      </w:r>
      <w:proofErr w:type="spellStart"/>
      <w:r>
        <w:rPr>
          <w:w w:val="120"/>
        </w:rPr>
        <w:t>Konwencji</w:t>
      </w:r>
      <w:proofErr w:type="spellEnd"/>
      <w:r>
        <w:rPr>
          <w:w w:val="120"/>
        </w:rPr>
        <w:t>.</w:t>
      </w:r>
    </w:p>
    <w:p w14:paraId="7D3F1FEA" w14:textId="6293D8C7" w:rsidR="00C8263F" w:rsidRDefault="00000000">
      <w:pPr>
        <w:pStyle w:val="Tekstpodstawowy"/>
        <w:ind w:left="874" w:right="727" w:hanging="1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dojdzie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</w:t>
      </w:r>
      <w:r w:rsidR="0087209A">
        <w:rPr>
          <w:b/>
          <w:color w:val="0071BB"/>
          <w:w w:val="120"/>
        </w:rPr>
        <w:t xml:space="preserve">art. </w:t>
      </w:r>
      <w:r>
        <w:rPr>
          <w:b/>
          <w:color w:val="0071BB"/>
          <w:w w:val="120"/>
        </w:rPr>
        <w:t>2 (</w:t>
      </w:r>
      <w:proofErr w:type="spellStart"/>
      <w:r>
        <w:rPr>
          <w:b/>
          <w:color w:val="0071BB"/>
          <w:w w:val="120"/>
        </w:rPr>
        <w:t>prawo</w:t>
      </w:r>
      <w:proofErr w:type="spellEnd"/>
      <w:r>
        <w:rPr>
          <w:b/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życia</w:t>
      </w:r>
      <w:proofErr w:type="spellEnd"/>
      <w:r>
        <w:rPr>
          <w:b/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wyroku</w:t>
      </w:r>
      <w:proofErr w:type="spellEnd"/>
      <w:r>
        <w:rPr>
          <w:color w:val="0071BB"/>
          <w:w w:val="120"/>
        </w:rPr>
        <w:t xml:space="preserve"> </w:t>
      </w:r>
      <w:r>
        <w:rPr>
          <w:i/>
          <w:color w:val="0071BB"/>
          <w:w w:val="120"/>
        </w:rPr>
        <w:t xml:space="preserve">Conseil </w:t>
      </w:r>
      <w:proofErr w:type="spellStart"/>
      <w:r>
        <w:rPr>
          <w:i/>
          <w:color w:val="0071BB"/>
          <w:w w:val="120"/>
        </w:rPr>
        <w:t>d'État</w:t>
      </w:r>
      <w:proofErr w:type="spellEnd"/>
      <w:r>
        <w:rPr>
          <w:i/>
          <w:color w:val="0071BB"/>
          <w:w w:val="120"/>
        </w:rPr>
        <w:t xml:space="preserve"> </w:t>
      </w:r>
      <w:r>
        <w:rPr>
          <w:color w:val="0071BB"/>
          <w:w w:val="120"/>
        </w:rPr>
        <w:t xml:space="preserve">z </w:t>
      </w:r>
      <w:proofErr w:type="spellStart"/>
      <w:r>
        <w:rPr>
          <w:color w:val="0071BB"/>
          <w:w w:val="120"/>
        </w:rPr>
        <w:t>dnia</w:t>
      </w:r>
      <w:proofErr w:type="spellEnd"/>
      <w:r>
        <w:rPr>
          <w:color w:val="0071BB"/>
          <w:w w:val="120"/>
        </w:rPr>
        <w:t xml:space="preserve"> 24 </w:t>
      </w:r>
      <w:proofErr w:type="spellStart"/>
      <w:r>
        <w:rPr>
          <w:color w:val="0071BB"/>
          <w:w w:val="120"/>
        </w:rPr>
        <w:t>czerwca</w:t>
      </w:r>
      <w:proofErr w:type="spellEnd"/>
      <w:r>
        <w:rPr>
          <w:color w:val="0071BB"/>
          <w:w w:val="120"/>
        </w:rPr>
        <w:t xml:space="preserve"> 2014 </w:t>
      </w:r>
      <w:proofErr w:type="spellStart"/>
      <w:r>
        <w:rPr>
          <w:color w:val="0071BB"/>
          <w:w w:val="120"/>
        </w:rPr>
        <w:t>roku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członkowskie</w:t>
      </w:r>
      <w:proofErr w:type="spellEnd"/>
      <w:r>
        <w:rPr>
          <w:color w:val="0071BB"/>
          <w:w w:val="120"/>
        </w:rPr>
        <w:t xml:space="preserve"> Rady </w:t>
      </w:r>
      <w:proofErr w:type="spellStart"/>
      <w:r>
        <w:rPr>
          <w:color w:val="0071BB"/>
          <w:w w:val="120"/>
        </w:rPr>
        <w:t>Europy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osiągnęły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konsensusu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kwestii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zezwolenia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wycofanie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podtrzymującego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życie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sferze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końca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państwom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należy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przyznać</w:t>
      </w:r>
      <w:proofErr w:type="spellEnd"/>
      <w:r>
        <w:rPr>
          <w:color w:val="0071BB"/>
          <w:w w:val="120"/>
        </w:rPr>
        <w:t xml:space="preserve"> margines </w:t>
      </w:r>
      <w:proofErr w:type="spellStart"/>
      <w:r>
        <w:rPr>
          <w:color w:val="0071BB"/>
          <w:w w:val="120"/>
        </w:rPr>
        <w:t>oceny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przepisy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ustawy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dnia</w:t>
      </w:r>
      <w:proofErr w:type="spellEnd"/>
      <w:r>
        <w:rPr>
          <w:color w:val="0071BB"/>
          <w:w w:val="120"/>
        </w:rPr>
        <w:t xml:space="preserve"> 22 </w:t>
      </w:r>
      <w:proofErr w:type="spellStart"/>
      <w:r>
        <w:rPr>
          <w:color w:val="0071BB"/>
          <w:w w:val="120"/>
        </w:rPr>
        <w:t>kwietnia</w:t>
      </w:r>
      <w:proofErr w:type="spellEnd"/>
      <w:r>
        <w:rPr>
          <w:color w:val="0071BB"/>
          <w:w w:val="120"/>
        </w:rPr>
        <w:t xml:space="preserve"> 2005 r.,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wykładnią</w:t>
      </w:r>
      <w:proofErr w:type="spellEnd"/>
      <w:r>
        <w:rPr>
          <w:color w:val="0071BB"/>
          <w:w w:val="120"/>
        </w:rPr>
        <w:t xml:space="preserve"> </w:t>
      </w:r>
      <w:r>
        <w:rPr>
          <w:i/>
          <w:color w:val="0071BB"/>
          <w:w w:val="120"/>
        </w:rPr>
        <w:t xml:space="preserve">Conseil </w:t>
      </w:r>
      <w:proofErr w:type="spellStart"/>
      <w:r>
        <w:rPr>
          <w:i/>
          <w:color w:val="0071BB"/>
          <w:w w:val="120"/>
        </w:rPr>
        <w:t>d'Etat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stanowiły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ramy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wystarczająco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jasne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precyzyjnie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regulować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podejmowane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lekarzy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sytuacjach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takich</w:t>
      </w:r>
      <w:proofErr w:type="spellEnd"/>
      <w:r>
        <w:rPr>
          <w:color w:val="0071BB"/>
          <w:w w:val="120"/>
        </w:rPr>
        <w:t xml:space="preserve"> jak ta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świadomy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wagi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kwestii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poruszonych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niezwykle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złożonych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kwestii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medycznych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prawnych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etycznych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okolicznościach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powtórzył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to </w:t>
      </w:r>
      <w:proofErr w:type="spellStart"/>
      <w:r>
        <w:rPr>
          <w:color w:val="0071BB"/>
          <w:w w:val="120"/>
        </w:rPr>
        <w:t>przede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wszystkim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władz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należało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sprawdzenie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decyzja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wycofaniu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zgodna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ustawodawstwem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ustalenie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woli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pacjenta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krajowym</w:t>
      </w:r>
      <w:proofErr w:type="spellEnd"/>
      <w:r>
        <w:rPr>
          <w:color w:val="0071BB"/>
          <w:w w:val="120"/>
        </w:rPr>
        <w:t xml:space="preserve">. Rola </w:t>
      </w:r>
      <w:proofErr w:type="spellStart"/>
      <w:r>
        <w:rPr>
          <w:color w:val="0071BB"/>
          <w:w w:val="120"/>
        </w:rPr>
        <w:t>Trybunału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polegała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zbadaniu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pozytywnymi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zobowiązaniami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wynikającymi</w:t>
      </w:r>
      <w:proofErr w:type="spellEnd"/>
      <w:r>
        <w:rPr>
          <w:color w:val="0071BB"/>
          <w:w w:val="120"/>
        </w:rPr>
        <w:t xml:space="preserve"> z art. 2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ramy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ustanowione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wykładnią</w:t>
      </w:r>
      <w:proofErr w:type="spellEnd"/>
      <w:r>
        <w:rPr>
          <w:color w:val="0071BB"/>
          <w:w w:val="120"/>
        </w:rPr>
        <w:t xml:space="preserve"> </w:t>
      </w:r>
      <w:r>
        <w:rPr>
          <w:i/>
          <w:color w:val="0071BB"/>
          <w:w w:val="120"/>
        </w:rPr>
        <w:t xml:space="preserve">Conseil </w:t>
      </w:r>
      <w:proofErr w:type="spellStart"/>
      <w:r>
        <w:rPr>
          <w:i/>
          <w:color w:val="0071BB"/>
          <w:w w:val="120"/>
        </w:rPr>
        <w:t>d'État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decyzyjny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przeprowadzony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skrupulatny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wymogami</w:t>
      </w:r>
      <w:proofErr w:type="spellEnd"/>
      <w:r>
        <w:rPr>
          <w:color w:val="0071BB"/>
          <w:w w:val="120"/>
        </w:rPr>
        <w:t xml:space="preserve"> art. 2.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doszedł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wniosku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niniejsza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przedmiotem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dogłębnego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badania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trakcie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którego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wyrazić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punkty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aspekty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starannie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rozważone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zarówno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świetle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szczegółowego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raportu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biegłego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lekarza</w:t>
      </w:r>
      <w:proofErr w:type="spellEnd"/>
      <w:r>
        <w:rPr>
          <w:color w:val="0071BB"/>
          <w:w w:val="120"/>
        </w:rPr>
        <w:t xml:space="preserve">, jak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ogólnych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najwyższych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rangą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organów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medycznych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etycznych</w:t>
      </w:r>
      <w:proofErr w:type="spellEnd"/>
      <w:r w:rsidR="00C8263F">
        <w:fldChar w:fldCharType="begin"/>
      </w:r>
      <w:r w:rsidR="00C8263F">
        <w:instrText>HYPERLINK \l "_bookmark1"</w:instrText>
      </w:r>
      <w:r w:rsidR="00C8263F">
        <w:fldChar w:fldCharType="separate"/>
      </w:r>
      <w:r w:rsidR="00C8263F">
        <w:rPr>
          <w:color w:val="0071BB"/>
          <w:w w:val="120"/>
          <w:position w:val="7"/>
          <w:sz w:val="13"/>
        </w:rPr>
        <w:t>2</w:t>
      </w:r>
      <w:r w:rsidR="00C8263F">
        <w:fldChar w:fldCharType="end"/>
      </w:r>
      <w:r>
        <w:rPr>
          <w:color w:val="0071BB"/>
          <w:w w:val="120"/>
        </w:rPr>
        <w:t>.</w:t>
      </w:r>
    </w:p>
    <w:p w14:paraId="79B852B5" w14:textId="77777777" w:rsidR="00C8263F" w:rsidRPr="000D5D2D" w:rsidRDefault="00C8263F">
      <w:pPr>
        <w:pStyle w:val="Nagwek2"/>
        <w:spacing w:before="81"/>
        <w:ind w:left="873"/>
        <w:rPr>
          <w:u w:val="thick"/>
        </w:rPr>
      </w:pPr>
      <w:hyperlink r:id="rId22">
        <w:r w:rsidRPr="000D5D2D">
          <w:rPr>
            <w:color w:val="0071BB"/>
            <w:w w:val="135"/>
            <w:u w:val="thick" w:color="0071BB"/>
          </w:rPr>
          <w:t xml:space="preserve">Nicklinson </w:t>
        </w:r>
        <w:proofErr w:type="spellStart"/>
        <w:r w:rsidRPr="000D5D2D">
          <w:rPr>
            <w:color w:val="0071BB"/>
            <w:w w:val="135"/>
            <w:u w:val="thick" w:color="0071BB"/>
          </w:rPr>
          <w:t>i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Lamb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w w:val="135"/>
            <w:u w:val="thick" w:color="0071BB"/>
          </w:rPr>
          <w:t>Zjednoczonemu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Królestwu</w:t>
        </w:r>
        <w:proofErr w:type="spellEnd"/>
      </w:hyperlink>
    </w:p>
    <w:p w14:paraId="2F49EFF4" w14:textId="77777777" w:rsidR="00C8263F" w:rsidRDefault="0000000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23 </w:t>
      </w:r>
      <w:proofErr w:type="spellStart"/>
      <w:r>
        <w:rPr>
          <w:color w:val="808080"/>
          <w:w w:val="125"/>
          <w:sz w:val="18"/>
        </w:rPr>
        <w:t>czerwca</w:t>
      </w:r>
      <w:proofErr w:type="spellEnd"/>
      <w:r>
        <w:rPr>
          <w:color w:val="808080"/>
          <w:w w:val="125"/>
          <w:sz w:val="18"/>
        </w:rPr>
        <w:t xml:space="preserve"> 2015 r. (</w:t>
      </w:r>
      <w:proofErr w:type="spellStart"/>
      <w:r>
        <w:rPr>
          <w:color w:val="808080"/>
          <w:w w:val="125"/>
          <w:sz w:val="18"/>
        </w:rPr>
        <w:t>decyzja</w:t>
      </w:r>
      <w:proofErr w:type="spellEnd"/>
      <w:r>
        <w:rPr>
          <w:color w:val="808080"/>
          <w:w w:val="125"/>
          <w:sz w:val="18"/>
        </w:rPr>
        <w:t xml:space="preserve"> o </w:t>
      </w:r>
      <w:proofErr w:type="spellStart"/>
      <w:r>
        <w:rPr>
          <w:color w:val="808080"/>
          <w:spacing w:val="-2"/>
          <w:w w:val="125"/>
          <w:sz w:val="18"/>
        </w:rPr>
        <w:t>dopuszczalności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42872368" w14:textId="77777777" w:rsidR="00C8263F" w:rsidRDefault="00000000">
      <w:pPr>
        <w:pStyle w:val="Tekstpodstawowy"/>
        <w:spacing w:before="4" w:line="237" w:lineRule="auto"/>
        <w:ind w:right="730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ta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obowiązującego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Wielkiej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Brytanii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zakazu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wspomaganego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dobrowolnej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eutanazji</w:t>
      </w:r>
      <w:proofErr w:type="spellEnd"/>
      <w:r w:rsidR="00C8263F">
        <w:fldChar w:fldCharType="begin"/>
      </w:r>
      <w:r w:rsidR="00C8263F">
        <w:instrText>HYPERLINK \l "_bookmark2"</w:instrText>
      </w:r>
      <w:r w:rsidR="00C8263F">
        <w:fldChar w:fldCharType="separate"/>
      </w:r>
      <w:r w:rsidR="00C8263F">
        <w:rPr>
          <w:w w:val="120"/>
          <w:position w:val="7"/>
          <w:sz w:val="13"/>
        </w:rPr>
        <w:t>3</w:t>
      </w:r>
      <w:r w:rsidR="00C8263F">
        <w:fldChar w:fldCharType="end"/>
      </w:r>
      <w:r>
        <w:rPr>
          <w:w w:val="120"/>
        </w:rPr>
        <w:t xml:space="preserve">. </w:t>
      </w:r>
      <w:proofErr w:type="spellStart"/>
      <w:r>
        <w:rPr>
          <w:w w:val="120"/>
        </w:rPr>
        <w:t>Pierwsza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żona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Tony'ego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Nicklinsona</w:t>
      </w:r>
      <w:proofErr w:type="spellEnd"/>
      <w:r>
        <w:rPr>
          <w:w w:val="120"/>
        </w:rPr>
        <w:t xml:space="preserve"> (</w:t>
      </w:r>
      <w:proofErr w:type="spellStart"/>
      <w:r>
        <w:rPr>
          <w:w w:val="120"/>
        </w:rPr>
        <w:t>obecnie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zmarłego</w:t>
      </w:r>
      <w:proofErr w:type="spellEnd"/>
      <w:r>
        <w:rPr>
          <w:w w:val="120"/>
        </w:rPr>
        <w:t xml:space="preserve">),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cierpiał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zespół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zamknięcia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sobie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chciał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zakończyć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krajowe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ustaliły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zgodności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Zjednoczonego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Królestwa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dotyczącego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wspomaganego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prawem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męża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poszanowania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prywatnego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rodzinnego</w:t>
      </w:r>
      <w:proofErr w:type="spellEnd"/>
      <w:r>
        <w:rPr>
          <w:w w:val="120"/>
        </w:rPr>
        <w:t xml:space="preserve">. Drugi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sparaliżowany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również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chciał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zakończyć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wniósł</w:t>
      </w:r>
      <w:proofErr w:type="spellEnd"/>
      <w:r>
        <w:rPr>
          <w:w w:val="120"/>
        </w:rPr>
        <w:t xml:space="preserve"> </w:t>
      </w:r>
      <w:proofErr w:type="spellStart"/>
      <w:r>
        <w:rPr>
          <w:spacing w:val="-10"/>
          <w:w w:val="120"/>
        </w:rPr>
        <w:t>skargę</w:t>
      </w:r>
      <w:proofErr w:type="spellEnd"/>
      <w:r>
        <w:rPr>
          <w:spacing w:val="-10"/>
          <w:w w:val="120"/>
        </w:rPr>
        <w:t xml:space="preserve"> do </w:t>
      </w:r>
      <w:proofErr w:type="spellStart"/>
      <w:r>
        <w:rPr>
          <w:spacing w:val="-10"/>
          <w:w w:val="120"/>
        </w:rPr>
        <w:t>sądu</w:t>
      </w:r>
      <w:proofErr w:type="spellEnd"/>
      <w:r>
        <w:rPr>
          <w:spacing w:val="-10"/>
          <w:w w:val="120"/>
        </w:rPr>
        <w:t xml:space="preserve"> </w:t>
      </w:r>
      <w:proofErr w:type="spellStart"/>
      <w:r>
        <w:rPr>
          <w:spacing w:val="-10"/>
          <w:w w:val="120"/>
        </w:rPr>
        <w:t>krajowego</w:t>
      </w:r>
      <w:proofErr w:type="spellEnd"/>
      <w:r>
        <w:rPr>
          <w:spacing w:val="-10"/>
          <w:w w:val="120"/>
        </w:rPr>
        <w:t>.</w:t>
      </w:r>
    </w:p>
    <w:p w14:paraId="5566165C" w14:textId="77777777" w:rsidR="00C8263F" w:rsidRDefault="00000000">
      <w:pPr>
        <w:pStyle w:val="Tekstpodstawowy"/>
        <w:spacing w:before="34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331C77" wp14:editId="4DD7B335">
                <wp:simplePos x="0" y="0"/>
                <wp:positionH relativeFrom="page">
                  <wp:posOffset>914400</wp:posOffset>
                </wp:positionH>
                <wp:positionV relativeFrom="paragraph">
                  <wp:posOffset>191853</wp:posOffset>
                </wp:positionV>
                <wp:extent cx="1828800" cy="762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6277" id="Graphic 12" o:spid="_x0000_s1026" style="position:absolute;margin-left:1in;margin-top:15.1pt;width:2in;height: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74AF7F" w14:textId="77777777" w:rsidR="00C8263F" w:rsidRDefault="00000000">
      <w:pPr>
        <w:spacing w:before="104"/>
        <w:ind w:left="873" w:right="725"/>
        <w:jc w:val="both"/>
        <w:rPr>
          <w:sz w:val="16"/>
        </w:rPr>
      </w:pPr>
      <w:bookmarkStart w:id="1" w:name="_bookmark1"/>
      <w:bookmarkEnd w:id="1"/>
      <w:r>
        <w:rPr>
          <w:w w:val="120"/>
          <w:sz w:val="16"/>
          <w:vertAlign w:val="superscript"/>
        </w:rPr>
        <w:t>2</w:t>
      </w:r>
      <w:r>
        <w:rPr>
          <w:w w:val="120"/>
          <w:sz w:val="16"/>
        </w:rPr>
        <w:t xml:space="preserve">. W </w:t>
      </w:r>
      <w:proofErr w:type="spellStart"/>
      <w:r>
        <w:rPr>
          <w:w w:val="120"/>
          <w:sz w:val="16"/>
        </w:rPr>
        <w:t>nowej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skardze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złożonej</w:t>
      </w:r>
      <w:proofErr w:type="spellEnd"/>
      <w:r>
        <w:rPr>
          <w:w w:val="120"/>
          <w:sz w:val="16"/>
        </w:rPr>
        <w:t xml:space="preserve"> do </w:t>
      </w:r>
      <w:proofErr w:type="spellStart"/>
      <w:r>
        <w:rPr>
          <w:w w:val="120"/>
          <w:sz w:val="16"/>
        </w:rPr>
        <w:t>Trybunału</w:t>
      </w:r>
      <w:proofErr w:type="spellEnd"/>
      <w:r>
        <w:rPr>
          <w:w w:val="120"/>
          <w:sz w:val="16"/>
        </w:rPr>
        <w:t xml:space="preserve"> w </w:t>
      </w:r>
      <w:proofErr w:type="spellStart"/>
      <w:r>
        <w:rPr>
          <w:w w:val="120"/>
          <w:sz w:val="16"/>
        </w:rPr>
        <w:t>dniu</w:t>
      </w:r>
      <w:proofErr w:type="spellEnd"/>
      <w:r>
        <w:rPr>
          <w:w w:val="120"/>
          <w:sz w:val="16"/>
        </w:rPr>
        <w:t xml:space="preserve"> 24 </w:t>
      </w:r>
      <w:proofErr w:type="spellStart"/>
      <w:r>
        <w:rPr>
          <w:w w:val="120"/>
          <w:sz w:val="16"/>
        </w:rPr>
        <w:t>kwietnia</w:t>
      </w:r>
      <w:proofErr w:type="spellEnd"/>
      <w:r>
        <w:rPr>
          <w:w w:val="120"/>
          <w:sz w:val="16"/>
        </w:rPr>
        <w:t xml:space="preserve"> 2019 r., 30 </w:t>
      </w:r>
      <w:proofErr w:type="spellStart"/>
      <w:r>
        <w:rPr>
          <w:w w:val="120"/>
          <w:sz w:val="16"/>
        </w:rPr>
        <w:t>kwietnia</w:t>
      </w:r>
      <w:proofErr w:type="spellEnd"/>
      <w:r>
        <w:rPr>
          <w:w w:val="120"/>
          <w:sz w:val="16"/>
        </w:rPr>
        <w:t xml:space="preserve"> 2019 r. </w:t>
      </w:r>
      <w:proofErr w:type="spellStart"/>
      <w:r>
        <w:rPr>
          <w:w w:val="120"/>
          <w:sz w:val="16"/>
        </w:rPr>
        <w:t>Trybunał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postanowił</w:t>
      </w:r>
      <w:proofErr w:type="spellEnd"/>
      <w:r>
        <w:rPr>
          <w:w w:val="120"/>
          <w:sz w:val="16"/>
        </w:rPr>
        <w:t xml:space="preserve">, z </w:t>
      </w:r>
      <w:proofErr w:type="spellStart"/>
      <w:r>
        <w:rPr>
          <w:w w:val="120"/>
          <w:sz w:val="16"/>
        </w:rPr>
        <w:t>uwagi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na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okoliczności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odrzucić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wnioski</w:t>
      </w:r>
      <w:proofErr w:type="spellEnd"/>
      <w:r>
        <w:rPr>
          <w:w w:val="120"/>
          <w:sz w:val="16"/>
        </w:rPr>
        <w:t xml:space="preserve"> o </w:t>
      </w:r>
      <w:proofErr w:type="spellStart"/>
      <w:r>
        <w:rPr>
          <w:w w:val="120"/>
          <w:sz w:val="16"/>
        </w:rPr>
        <w:t>zastosowanie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środków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tymczasowych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złożone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przez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skarżących</w:t>
      </w:r>
      <w:proofErr w:type="spellEnd"/>
      <w:r>
        <w:rPr>
          <w:w w:val="120"/>
          <w:sz w:val="16"/>
        </w:rPr>
        <w:t xml:space="preserve"> w </w:t>
      </w:r>
      <w:proofErr w:type="spellStart"/>
      <w:r>
        <w:rPr>
          <w:w w:val="120"/>
          <w:sz w:val="16"/>
        </w:rPr>
        <w:t>dniu</w:t>
      </w:r>
      <w:proofErr w:type="spellEnd"/>
      <w:r>
        <w:rPr>
          <w:w w:val="120"/>
          <w:sz w:val="16"/>
        </w:rPr>
        <w:t xml:space="preserve"> 24 </w:t>
      </w:r>
      <w:proofErr w:type="spellStart"/>
      <w:r>
        <w:rPr>
          <w:w w:val="120"/>
          <w:sz w:val="16"/>
        </w:rPr>
        <w:t>kwietnia</w:t>
      </w:r>
      <w:proofErr w:type="spellEnd"/>
      <w:r>
        <w:rPr>
          <w:w w:val="120"/>
          <w:sz w:val="16"/>
        </w:rPr>
        <w:t xml:space="preserve"> 2019 r., </w:t>
      </w:r>
      <w:proofErr w:type="spellStart"/>
      <w:r>
        <w:rPr>
          <w:w w:val="120"/>
          <w:sz w:val="16"/>
        </w:rPr>
        <w:t>wnosząc</w:t>
      </w:r>
      <w:proofErr w:type="spellEnd"/>
      <w:r>
        <w:rPr>
          <w:w w:val="120"/>
          <w:sz w:val="16"/>
        </w:rPr>
        <w:t xml:space="preserve"> o </w:t>
      </w:r>
      <w:proofErr w:type="spellStart"/>
      <w:r>
        <w:rPr>
          <w:w w:val="120"/>
          <w:sz w:val="16"/>
        </w:rPr>
        <w:t>wstrzymanie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wykonania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wyroku</w:t>
      </w:r>
      <w:proofErr w:type="spellEnd"/>
      <w:r>
        <w:rPr>
          <w:w w:val="120"/>
          <w:sz w:val="16"/>
        </w:rPr>
        <w:t xml:space="preserve"> </w:t>
      </w:r>
      <w:r>
        <w:rPr>
          <w:i/>
          <w:w w:val="120"/>
          <w:sz w:val="16"/>
        </w:rPr>
        <w:t xml:space="preserve">Conseil </w:t>
      </w:r>
      <w:proofErr w:type="spellStart"/>
      <w:r>
        <w:rPr>
          <w:i/>
          <w:w w:val="120"/>
          <w:sz w:val="16"/>
        </w:rPr>
        <w:t>d'État</w:t>
      </w:r>
      <w:proofErr w:type="spellEnd"/>
      <w:r>
        <w:rPr>
          <w:i/>
          <w:w w:val="120"/>
          <w:sz w:val="16"/>
        </w:rPr>
        <w:t xml:space="preserve"> </w:t>
      </w:r>
      <w:r>
        <w:rPr>
          <w:w w:val="120"/>
          <w:sz w:val="16"/>
        </w:rPr>
        <w:t xml:space="preserve">z </w:t>
      </w:r>
      <w:proofErr w:type="spellStart"/>
      <w:r>
        <w:rPr>
          <w:w w:val="120"/>
          <w:sz w:val="16"/>
        </w:rPr>
        <w:t>dnia</w:t>
      </w:r>
      <w:proofErr w:type="spellEnd"/>
      <w:r>
        <w:rPr>
          <w:w w:val="120"/>
          <w:sz w:val="16"/>
        </w:rPr>
        <w:t xml:space="preserve"> 24 </w:t>
      </w:r>
      <w:proofErr w:type="spellStart"/>
      <w:r>
        <w:rPr>
          <w:w w:val="120"/>
          <w:sz w:val="16"/>
        </w:rPr>
        <w:t>kwietnia</w:t>
      </w:r>
      <w:proofErr w:type="spellEnd"/>
      <w:r>
        <w:rPr>
          <w:w w:val="120"/>
          <w:sz w:val="16"/>
        </w:rPr>
        <w:t xml:space="preserve"> 2019 r. </w:t>
      </w:r>
      <w:proofErr w:type="spellStart"/>
      <w:r>
        <w:rPr>
          <w:w w:val="120"/>
          <w:sz w:val="16"/>
        </w:rPr>
        <w:t>oraz</w:t>
      </w:r>
      <w:proofErr w:type="spellEnd"/>
      <w:r>
        <w:rPr>
          <w:w w:val="120"/>
          <w:sz w:val="16"/>
        </w:rPr>
        <w:t xml:space="preserve"> o </w:t>
      </w:r>
      <w:proofErr w:type="spellStart"/>
      <w:r>
        <w:rPr>
          <w:w w:val="120"/>
          <w:sz w:val="16"/>
        </w:rPr>
        <w:t>wydanie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zakazu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wydalenia</w:t>
      </w:r>
      <w:proofErr w:type="spellEnd"/>
      <w:r>
        <w:rPr>
          <w:w w:val="120"/>
          <w:sz w:val="16"/>
        </w:rPr>
        <w:t xml:space="preserve"> Vincenta Lamberta z </w:t>
      </w:r>
      <w:proofErr w:type="spellStart"/>
      <w:r>
        <w:rPr>
          <w:w w:val="120"/>
          <w:sz w:val="16"/>
        </w:rPr>
        <w:t>Francji</w:t>
      </w:r>
      <w:proofErr w:type="spellEnd"/>
      <w:r>
        <w:rPr>
          <w:w w:val="120"/>
          <w:sz w:val="16"/>
        </w:rPr>
        <w:t xml:space="preserve">. </w:t>
      </w:r>
      <w:proofErr w:type="spellStart"/>
      <w:r>
        <w:rPr>
          <w:w w:val="120"/>
          <w:sz w:val="16"/>
        </w:rPr>
        <w:t>Trybunał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zauważył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że</w:t>
      </w:r>
      <w:proofErr w:type="spellEnd"/>
      <w:r>
        <w:rPr>
          <w:w w:val="120"/>
          <w:sz w:val="16"/>
        </w:rPr>
        <w:t xml:space="preserve"> </w:t>
      </w:r>
      <w:hyperlink r:id="rId23">
        <w:r w:rsidR="00C8263F">
          <w:rPr>
            <w:color w:val="0071BB"/>
            <w:w w:val="120"/>
            <w:sz w:val="16"/>
            <w:u w:val="single" w:color="0071BB"/>
          </w:rPr>
          <w:t xml:space="preserve">w </w:t>
        </w:r>
        <w:proofErr w:type="spellStart"/>
        <w:r w:rsidR="00C8263F">
          <w:rPr>
            <w:color w:val="0071BB"/>
            <w:w w:val="120"/>
            <w:sz w:val="16"/>
            <w:u w:val="single" w:color="0071BB"/>
          </w:rPr>
          <w:t>wyroku</w:t>
        </w:r>
        <w:proofErr w:type="spellEnd"/>
        <w:r w:rsidR="00C8263F">
          <w:rPr>
            <w:color w:val="0071BB"/>
            <w:w w:val="120"/>
            <w:sz w:val="16"/>
            <w:u w:val="single" w:color="0071BB"/>
          </w:rPr>
          <w:t xml:space="preserve"> </w:t>
        </w:r>
        <w:proofErr w:type="spellStart"/>
        <w:r w:rsidR="00C8263F">
          <w:rPr>
            <w:color w:val="0071BB"/>
            <w:w w:val="120"/>
            <w:sz w:val="16"/>
            <w:u w:val="single" w:color="0071BB"/>
          </w:rPr>
          <w:t>Wielkiej</w:t>
        </w:r>
        <w:proofErr w:type="spellEnd"/>
        <w:r w:rsidR="00C8263F">
          <w:rPr>
            <w:color w:val="0071BB"/>
            <w:w w:val="120"/>
            <w:sz w:val="16"/>
            <w:u w:val="single" w:color="0071BB"/>
          </w:rPr>
          <w:t xml:space="preserve"> </w:t>
        </w:r>
        <w:proofErr w:type="spellStart"/>
        <w:r w:rsidR="00C8263F">
          <w:rPr>
            <w:color w:val="0071BB"/>
            <w:w w:val="120"/>
            <w:sz w:val="16"/>
            <w:u w:val="single" w:color="0071BB"/>
          </w:rPr>
          <w:t>Izby</w:t>
        </w:r>
        <w:proofErr w:type="spellEnd"/>
      </w:hyperlink>
      <w:r>
        <w:rPr>
          <w:w w:val="120"/>
          <w:sz w:val="16"/>
        </w:rPr>
        <w:t xml:space="preserve"> z </w:t>
      </w:r>
      <w:proofErr w:type="spellStart"/>
      <w:r>
        <w:rPr>
          <w:w w:val="120"/>
          <w:sz w:val="16"/>
        </w:rPr>
        <w:t>dnia</w:t>
      </w:r>
      <w:proofErr w:type="spellEnd"/>
      <w:r>
        <w:rPr>
          <w:w w:val="120"/>
          <w:sz w:val="16"/>
        </w:rPr>
        <w:t xml:space="preserve"> 5 </w:t>
      </w:r>
      <w:proofErr w:type="spellStart"/>
      <w:r>
        <w:rPr>
          <w:w w:val="120"/>
          <w:sz w:val="16"/>
        </w:rPr>
        <w:t>czerwca</w:t>
      </w:r>
      <w:proofErr w:type="spellEnd"/>
      <w:r>
        <w:rPr>
          <w:w w:val="120"/>
          <w:sz w:val="16"/>
        </w:rPr>
        <w:t xml:space="preserve"> 2015 r. </w:t>
      </w:r>
      <w:proofErr w:type="spellStart"/>
      <w:r w:rsidRPr="004C1846">
        <w:rPr>
          <w:w w:val="120"/>
          <w:sz w:val="16"/>
        </w:rPr>
        <w:t>uznał</w:t>
      </w:r>
      <w:proofErr w:type="spellEnd"/>
      <w:r w:rsidRPr="004C1846">
        <w:rPr>
          <w:w w:val="120"/>
          <w:sz w:val="16"/>
        </w:rPr>
        <w:t>,</w:t>
      </w:r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że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dojdzie</w:t>
      </w:r>
      <w:proofErr w:type="spellEnd"/>
      <w:r>
        <w:rPr>
          <w:w w:val="120"/>
          <w:sz w:val="16"/>
        </w:rPr>
        <w:t xml:space="preserve"> do </w:t>
      </w:r>
      <w:proofErr w:type="spellStart"/>
      <w:r>
        <w:rPr>
          <w:w w:val="120"/>
          <w:sz w:val="16"/>
        </w:rPr>
        <w:t>naruszenia</w:t>
      </w:r>
      <w:proofErr w:type="spellEnd"/>
      <w:r>
        <w:rPr>
          <w:w w:val="120"/>
          <w:sz w:val="16"/>
        </w:rPr>
        <w:t xml:space="preserve"> art. 2 </w:t>
      </w:r>
      <w:proofErr w:type="spellStart"/>
      <w:r>
        <w:rPr>
          <w:w w:val="120"/>
          <w:sz w:val="16"/>
        </w:rPr>
        <w:t>Konwencji</w:t>
      </w:r>
      <w:proofErr w:type="spellEnd"/>
      <w:r>
        <w:rPr>
          <w:w w:val="120"/>
          <w:sz w:val="16"/>
        </w:rPr>
        <w:t xml:space="preserve"> w </w:t>
      </w:r>
      <w:proofErr w:type="spellStart"/>
      <w:r>
        <w:rPr>
          <w:w w:val="120"/>
          <w:sz w:val="16"/>
        </w:rPr>
        <w:t>przypadku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wykonania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wyroku</w:t>
      </w:r>
      <w:proofErr w:type="spellEnd"/>
      <w:r>
        <w:rPr>
          <w:w w:val="120"/>
          <w:sz w:val="16"/>
        </w:rPr>
        <w:t xml:space="preserve"> </w:t>
      </w:r>
      <w:r>
        <w:rPr>
          <w:i/>
          <w:w w:val="120"/>
          <w:sz w:val="16"/>
        </w:rPr>
        <w:t xml:space="preserve">Conseil </w:t>
      </w:r>
      <w:proofErr w:type="spellStart"/>
      <w:r>
        <w:rPr>
          <w:i/>
          <w:w w:val="120"/>
          <w:sz w:val="16"/>
        </w:rPr>
        <w:t>d'État</w:t>
      </w:r>
      <w:proofErr w:type="spellEnd"/>
      <w:r>
        <w:rPr>
          <w:i/>
          <w:w w:val="120"/>
          <w:sz w:val="16"/>
        </w:rPr>
        <w:t xml:space="preserve"> </w:t>
      </w:r>
      <w:r>
        <w:rPr>
          <w:w w:val="120"/>
          <w:sz w:val="16"/>
        </w:rPr>
        <w:t xml:space="preserve">z </w:t>
      </w:r>
      <w:proofErr w:type="spellStart"/>
      <w:r>
        <w:rPr>
          <w:w w:val="120"/>
          <w:sz w:val="16"/>
        </w:rPr>
        <w:t>dnia</w:t>
      </w:r>
      <w:proofErr w:type="spellEnd"/>
      <w:r>
        <w:rPr>
          <w:w w:val="120"/>
          <w:sz w:val="16"/>
        </w:rPr>
        <w:t xml:space="preserve"> 24 </w:t>
      </w:r>
      <w:proofErr w:type="spellStart"/>
      <w:r>
        <w:rPr>
          <w:w w:val="120"/>
          <w:sz w:val="16"/>
        </w:rPr>
        <w:t>czerwca</w:t>
      </w:r>
      <w:proofErr w:type="spellEnd"/>
      <w:r>
        <w:rPr>
          <w:w w:val="120"/>
          <w:sz w:val="16"/>
        </w:rPr>
        <w:t xml:space="preserve"> 2014 r. </w:t>
      </w:r>
      <w:proofErr w:type="spellStart"/>
      <w:r>
        <w:rPr>
          <w:w w:val="120"/>
          <w:sz w:val="16"/>
        </w:rPr>
        <w:t>zezwalającego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na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wycofanie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sztucznego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odżywiania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nawadniania</w:t>
      </w:r>
      <w:proofErr w:type="spellEnd"/>
      <w:r>
        <w:rPr>
          <w:w w:val="120"/>
          <w:sz w:val="16"/>
        </w:rPr>
        <w:t xml:space="preserve"> Vincenta Lamberta. W </w:t>
      </w:r>
      <w:proofErr w:type="spellStart"/>
      <w:r>
        <w:rPr>
          <w:w w:val="120"/>
          <w:sz w:val="16"/>
        </w:rPr>
        <w:t>dniu</w:t>
      </w:r>
      <w:proofErr w:type="spellEnd"/>
      <w:r>
        <w:rPr>
          <w:w w:val="120"/>
          <w:sz w:val="16"/>
        </w:rPr>
        <w:t xml:space="preserve"> 20 maja 2019 r. </w:t>
      </w:r>
      <w:proofErr w:type="spellStart"/>
      <w:r>
        <w:rPr>
          <w:w w:val="120"/>
          <w:sz w:val="16"/>
        </w:rPr>
        <w:t>skarżący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ponownie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zwrócili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się</w:t>
      </w:r>
      <w:proofErr w:type="spellEnd"/>
      <w:r>
        <w:rPr>
          <w:w w:val="120"/>
          <w:sz w:val="16"/>
        </w:rPr>
        <w:t xml:space="preserve"> do </w:t>
      </w:r>
      <w:proofErr w:type="spellStart"/>
      <w:r>
        <w:rPr>
          <w:w w:val="120"/>
          <w:sz w:val="16"/>
        </w:rPr>
        <w:t>Trybunału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na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podstawie</w:t>
      </w:r>
      <w:proofErr w:type="spellEnd"/>
      <w:r>
        <w:rPr>
          <w:w w:val="120"/>
          <w:sz w:val="16"/>
        </w:rPr>
        <w:t xml:space="preserve"> art. 39 </w:t>
      </w:r>
      <w:proofErr w:type="spellStart"/>
      <w:r>
        <w:rPr>
          <w:w w:val="120"/>
          <w:sz w:val="16"/>
        </w:rPr>
        <w:t>Regulaminu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Trybunału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prosząc</w:t>
      </w:r>
      <w:proofErr w:type="spellEnd"/>
      <w:r>
        <w:rPr>
          <w:w w:val="120"/>
          <w:sz w:val="16"/>
        </w:rPr>
        <w:t xml:space="preserve"> go o </w:t>
      </w:r>
      <w:proofErr w:type="spellStart"/>
      <w:r>
        <w:rPr>
          <w:w w:val="120"/>
          <w:sz w:val="16"/>
        </w:rPr>
        <w:t>wskazanie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rządowi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francuskiemu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że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powinien</w:t>
      </w:r>
      <w:proofErr w:type="spellEnd"/>
      <w:r>
        <w:rPr>
          <w:w w:val="120"/>
          <w:sz w:val="16"/>
        </w:rPr>
        <w:t xml:space="preserve"> on </w:t>
      </w:r>
      <w:proofErr w:type="spellStart"/>
      <w:r>
        <w:rPr>
          <w:w w:val="120"/>
          <w:sz w:val="16"/>
        </w:rPr>
        <w:t>niezwłocznie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wdrożyć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środki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tymczasowe</w:t>
      </w:r>
      <w:proofErr w:type="spellEnd"/>
      <w:r>
        <w:rPr>
          <w:w w:val="120"/>
          <w:sz w:val="16"/>
        </w:rPr>
        <w:t xml:space="preserve">, o </w:t>
      </w:r>
      <w:proofErr w:type="spellStart"/>
      <w:r>
        <w:rPr>
          <w:w w:val="120"/>
          <w:sz w:val="16"/>
        </w:rPr>
        <w:t>które</w:t>
      </w:r>
      <w:proofErr w:type="spellEnd"/>
      <w:r>
        <w:rPr>
          <w:w w:val="120"/>
          <w:sz w:val="16"/>
        </w:rPr>
        <w:t xml:space="preserve"> Komitet </w:t>
      </w:r>
      <w:proofErr w:type="spellStart"/>
      <w:r>
        <w:rPr>
          <w:w w:val="120"/>
          <w:sz w:val="16"/>
        </w:rPr>
        <w:t>Praw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Osób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Niepełnosprawnych</w:t>
      </w:r>
      <w:proofErr w:type="spellEnd"/>
      <w:r>
        <w:rPr>
          <w:w w:val="120"/>
          <w:sz w:val="16"/>
        </w:rPr>
        <w:t xml:space="preserve"> ONZ </w:t>
      </w:r>
      <w:proofErr w:type="spellStart"/>
      <w:r>
        <w:rPr>
          <w:w w:val="120"/>
          <w:sz w:val="16"/>
        </w:rPr>
        <w:t>zwrócił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się</w:t>
      </w:r>
      <w:proofErr w:type="spellEnd"/>
      <w:r>
        <w:rPr>
          <w:w w:val="120"/>
          <w:sz w:val="16"/>
        </w:rPr>
        <w:t xml:space="preserve"> w </w:t>
      </w:r>
      <w:proofErr w:type="spellStart"/>
      <w:r>
        <w:rPr>
          <w:w w:val="120"/>
          <w:sz w:val="16"/>
        </w:rPr>
        <w:t>dniu</w:t>
      </w:r>
      <w:proofErr w:type="spellEnd"/>
      <w:r>
        <w:rPr>
          <w:w w:val="120"/>
          <w:sz w:val="16"/>
        </w:rPr>
        <w:t xml:space="preserve"> 3 maja 2019 r. Komitet ONZ </w:t>
      </w:r>
      <w:proofErr w:type="spellStart"/>
      <w:r>
        <w:rPr>
          <w:w w:val="120"/>
          <w:sz w:val="16"/>
        </w:rPr>
        <w:t>zwrócił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się</w:t>
      </w:r>
      <w:proofErr w:type="spellEnd"/>
      <w:r>
        <w:rPr>
          <w:w w:val="120"/>
          <w:sz w:val="16"/>
        </w:rPr>
        <w:t xml:space="preserve"> do </w:t>
      </w:r>
      <w:proofErr w:type="spellStart"/>
      <w:r>
        <w:rPr>
          <w:w w:val="120"/>
          <w:sz w:val="16"/>
        </w:rPr>
        <w:t>rządu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francuskiego</w:t>
      </w:r>
      <w:proofErr w:type="spellEnd"/>
      <w:r>
        <w:rPr>
          <w:w w:val="120"/>
          <w:sz w:val="16"/>
        </w:rPr>
        <w:t xml:space="preserve"> o </w:t>
      </w:r>
      <w:proofErr w:type="spellStart"/>
      <w:r>
        <w:rPr>
          <w:w w:val="120"/>
          <w:sz w:val="16"/>
        </w:rPr>
        <w:t>zawieszenie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decyzji</w:t>
      </w:r>
      <w:proofErr w:type="spellEnd"/>
      <w:r>
        <w:rPr>
          <w:w w:val="120"/>
          <w:sz w:val="16"/>
        </w:rPr>
        <w:t xml:space="preserve"> o </w:t>
      </w:r>
      <w:proofErr w:type="spellStart"/>
      <w:r>
        <w:rPr>
          <w:w w:val="120"/>
          <w:sz w:val="16"/>
        </w:rPr>
        <w:t>zaprzestaniu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leczenia</w:t>
      </w:r>
      <w:proofErr w:type="spellEnd"/>
      <w:r>
        <w:rPr>
          <w:w w:val="120"/>
          <w:sz w:val="16"/>
        </w:rPr>
        <w:t xml:space="preserve"> Vincenta Lamberta </w:t>
      </w:r>
      <w:proofErr w:type="spellStart"/>
      <w:r>
        <w:rPr>
          <w:w w:val="120"/>
          <w:sz w:val="16"/>
        </w:rPr>
        <w:t>na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czas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rozpatrywania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skargi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wniesionej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przez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skarżących</w:t>
      </w:r>
      <w:proofErr w:type="spellEnd"/>
      <w:r>
        <w:rPr>
          <w:w w:val="120"/>
          <w:sz w:val="16"/>
        </w:rPr>
        <w:t xml:space="preserve">. </w:t>
      </w:r>
      <w:proofErr w:type="spellStart"/>
      <w:r>
        <w:rPr>
          <w:w w:val="120"/>
          <w:sz w:val="16"/>
        </w:rPr>
        <w:t>Trybunał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zauważył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że</w:t>
      </w:r>
      <w:proofErr w:type="spellEnd"/>
      <w:r>
        <w:rPr>
          <w:w w:val="120"/>
          <w:sz w:val="16"/>
        </w:rPr>
        <w:t xml:space="preserve"> w </w:t>
      </w:r>
      <w:proofErr w:type="spellStart"/>
      <w:r>
        <w:rPr>
          <w:w w:val="120"/>
          <w:sz w:val="16"/>
        </w:rPr>
        <w:t>dniu</w:t>
      </w:r>
      <w:proofErr w:type="spellEnd"/>
      <w:r>
        <w:rPr>
          <w:w w:val="120"/>
          <w:sz w:val="16"/>
        </w:rPr>
        <w:t xml:space="preserve"> 30 </w:t>
      </w:r>
      <w:proofErr w:type="spellStart"/>
      <w:r>
        <w:rPr>
          <w:w w:val="120"/>
          <w:sz w:val="16"/>
        </w:rPr>
        <w:t>kwietnia</w:t>
      </w:r>
      <w:proofErr w:type="spellEnd"/>
      <w:r>
        <w:rPr>
          <w:w w:val="120"/>
          <w:sz w:val="16"/>
        </w:rPr>
        <w:t xml:space="preserve"> 2019 r., w </w:t>
      </w:r>
      <w:proofErr w:type="spellStart"/>
      <w:r>
        <w:rPr>
          <w:w w:val="120"/>
          <w:sz w:val="16"/>
        </w:rPr>
        <w:t>świetle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okoliczności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podjął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decyzję</w:t>
      </w:r>
      <w:proofErr w:type="spellEnd"/>
      <w:r>
        <w:rPr>
          <w:w w:val="120"/>
          <w:sz w:val="16"/>
        </w:rPr>
        <w:t xml:space="preserve"> o </w:t>
      </w:r>
      <w:proofErr w:type="spellStart"/>
      <w:r>
        <w:rPr>
          <w:w w:val="120"/>
          <w:sz w:val="16"/>
        </w:rPr>
        <w:t>odrzuceniu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przedłożonych</w:t>
      </w:r>
      <w:proofErr w:type="spellEnd"/>
      <w:r>
        <w:rPr>
          <w:w w:val="120"/>
          <w:sz w:val="16"/>
        </w:rPr>
        <w:t xml:space="preserve"> mu </w:t>
      </w:r>
      <w:proofErr w:type="spellStart"/>
      <w:r>
        <w:rPr>
          <w:w w:val="120"/>
          <w:sz w:val="16"/>
        </w:rPr>
        <w:t>wniosków</w:t>
      </w:r>
      <w:proofErr w:type="spellEnd"/>
      <w:r>
        <w:rPr>
          <w:w w:val="120"/>
          <w:sz w:val="16"/>
        </w:rPr>
        <w:t xml:space="preserve"> o </w:t>
      </w:r>
      <w:proofErr w:type="spellStart"/>
      <w:r>
        <w:rPr>
          <w:w w:val="120"/>
          <w:sz w:val="16"/>
        </w:rPr>
        <w:t>zastosowanie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środków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tymczasowych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wskazał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że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skarżący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nie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przedstawili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żadnych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nowych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dowodów</w:t>
      </w:r>
      <w:proofErr w:type="spellEnd"/>
      <w:r>
        <w:rPr>
          <w:w w:val="120"/>
          <w:sz w:val="16"/>
        </w:rPr>
        <w:t xml:space="preserve">, </w:t>
      </w:r>
      <w:proofErr w:type="spellStart"/>
      <w:r>
        <w:rPr>
          <w:w w:val="120"/>
          <w:sz w:val="16"/>
        </w:rPr>
        <w:t>które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mogłyby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skłonić</w:t>
      </w:r>
      <w:proofErr w:type="spellEnd"/>
      <w:r>
        <w:rPr>
          <w:w w:val="120"/>
          <w:sz w:val="16"/>
        </w:rPr>
        <w:t xml:space="preserve"> go do </w:t>
      </w:r>
      <w:proofErr w:type="spellStart"/>
      <w:r>
        <w:rPr>
          <w:w w:val="120"/>
          <w:sz w:val="16"/>
        </w:rPr>
        <w:t>zmiany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stanowiska</w:t>
      </w:r>
      <w:proofErr w:type="spellEnd"/>
      <w:r>
        <w:rPr>
          <w:w w:val="120"/>
          <w:sz w:val="16"/>
        </w:rPr>
        <w:t>.</w:t>
      </w:r>
    </w:p>
    <w:p w14:paraId="3F7D8071" w14:textId="77777777" w:rsidR="00C8263F" w:rsidRDefault="00000000" w:rsidP="000D5D2D">
      <w:pPr>
        <w:spacing w:line="184" w:lineRule="exact"/>
        <w:ind w:left="873" w:right="726"/>
        <w:jc w:val="both"/>
        <w:rPr>
          <w:sz w:val="16"/>
        </w:rPr>
      </w:pPr>
      <w:bookmarkStart w:id="2" w:name="_bookmark2"/>
      <w:bookmarkEnd w:id="2"/>
      <w:r>
        <w:rPr>
          <w:w w:val="125"/>
          <w:sz w:val="16"/>
          <w:vertAlign w:val="superscript"/>
        </w:rPr>
        <w:t>3</w:t>
      </w:r>
      <w:r>
        <w:rPr>
          <w:w w:val="125"/>
          <w:sz w:val="16"/>
        </w:rPr>
        <w:t xml:space="preserve">. </w:t>
      </w:r>
      <w:proofErr w:type="spellStart"/>
      <w:r>
        <w:rPr>
          <w:w w:val="125"/>
          <w:sz w:val="16"/>
        </w:rPr>
        <w:t>Wspomagane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samobójstwo</w:t>
      </w:r>
      <w:proofErr w:type="spellEnd"/>
      <w:r>
        <w:rPr>
          <w:w w:val="125"/>
          <w:sz w:val="16"/>
        </w:rPr>
        <w:t xml:space="preserve"> jest </w:t>
      </w:r>
      <w:proofErr w:type="spellStart"/>
      <w:r>
        <w:rPr>
          <w:w w:val="125"/>
          <w:sz w:val="16"/>
        </w:rPr>
        <w:t>zabronione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na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mocy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sekcji</w:t>
      </w:r>
      <w:proofErr w:type="spellEnd"/>
      <w:r>
        <w:rPr>
          <w:w w:val="125"/>
          <w:sz w:val="16"/>
        </w:rPr>
        <w:t xml:space="preserve"> 2(1) </w:t>
      </w:r>
      <w:proofErr w:type="spellStart"/>
      <w:r>
        <w:rPr>
          <w:w w:val="125"/>
          <w:sz w:val="16"/>
        </w:rPr>
        <w:t>ustawy</w:t>
      </w:r>
      <w:proofErr w:type="spellEnd"/>
      <w:r>
        <w:rPr>
          <w:w w:val="125"/>
          <w:sz w:val="16"/>
        </w:rPr>
        <w:t xml:space="preserve"> o </w:t>
      </w:r>
      <w:proofErr w:type="spellStart"/>
      <w:r>
        <w:rPr>
          <w:w w:val="125"/>
          <w:sz w:val="16"/>
        </w:rPr>
        <w:t>samobójstwie</w:t>
      </w:r>
      <w:proofErr w:type="spellEnd"/>
      <w:r>
        <w:rPr>
          <w:w w:val="125"/>
          <w:sz w:val="16"/>
        </w:rPr>
        <w:t xml:space="preserve"> z 1961 r., a </w:t>
      </w:r>
      <w:proofErr w:type="spellStart"/>
      <w:r>
        <w:rPr>
          <w:w w:val="125"/>
          <w:sz w:val="16"/>
        </w:rPr>
        <w:t>dobrowolna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eutanazja</w:t>
      </w:r>
      <w:proofErr w:type="spellEnd"/>
      <w:r>
        <w:rPr>
          <w:w w:val="125"/>
          <w:sz w:val="16"/>
        </w:rPr>
        <w:t xml:space="preserve"> </w:t>
      </w:r>
      <w:r>
        <w:rPr>
          <w:spacing w:val="-2"/>
          <w:w w:val="125"/>
          <w:sz w:val="16"/>
        </w:rPr>
        <w:t xml:space="preserve">jest </w:t>
      </w:r>
      <w:proofErr w:type="spellStart"/>
      <w:r>
        <w:rPr>
          <w:spacing w:val="-2"/>
          <w:w w:val="125"/>
          <w:sz w:val="16"/>
        </w:rPr>
        <w:t>uważana</w:t>
      </w:r>
      <w:proofErr w:type="spellEnd"/>
      <w:r>
        <w:rPr>
          <w:spacing w:val="-2"/>
          <w:w w:val="125"/>
          <w:sz w:val="16"/>
        </w:rPr>
        <w:t xml:space="preserve"> za </w:t>
      </w:r>
      <w:proofErr w:type="spellStart"/>
      <w:r>
        <w:rPr>
          <w:w w:val="125"/>
          <w:sz w:val="16"/>
        </w:rPr>
        <w:t>morderstwo</w:t>
      </w:r>
      <w:proofErr w:type="spellEnd"/>
      <w:r>
        <w:rPr>
          <w:w w:val="125"/>
          <w:sz w:val="16"/>
        </w:rPr>
        <w:t xml:space="preserve"> </w:t>
      </w:r>
      <w:r>
        <w:rPr>
          <w:spacing w:val="-2"/>
          <w:w w:val="125"/>
          <w:sz w:val="16"/>
        </w:rPr>
        <w:t xml:space="preserve">w </w:t>
      </w:r>
      <w:proofErr w:type="spellStart"/>
      <w:r>
        <w:rPr>
          <w:spacing w:val="-2"/>
          <w:w w:val="125"/>
          <w:sz w:val="16"/>
        </w:rPr>
        <w:t>świetle</w:t>
      </w:r>
      <w:proofErr w:type="spellEnd"/>
      <w:r>
        <w:rPr>
          <w:spacing w:val="-2"/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prawa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brytyjskiego</w:t>
      </w:r>
      <w:proofErr w:type="spellEnd"/>
      <w:r>
        <w:rPr>
          <w:w w:val="125"/>
          <w:sz w:val="16"/>
        </w:rPr>
        <w:t>.</w:t>
      </w:r>
    </w:p>
    <w:p w14:paraId="5F4D406F" w14:textId="77777777" w:rsidR="00C8263F" w:rsidRDefault="00C8263F">
      <w:pPr>
        <w:spacing w:line="195" w:lineRule="exact"/>
        <w:jc w:val="both"/>
        <w:rPr>
          <w:sz w:val="16"/>
        </w:rPr>
        <w:sectPr w:rsidR="00C8263F">
          <w:pgSz w:w="11910" w:h="16840"/>
          <w:pgMar w:top="1460" w:right="708" w:bottom="680" w:left="566" w:header="730" w:footer="497" w:gutter="0"/>
          <w:cols w:space="708"/>
        </w:sectPr>
      </w:pPr>
    </w:p>
    <w:p w14:paraId="31ADC382" w14:textId="77777777" w:rsidR="00C8263F" w:rsidRDefault="00000000">
      <w:pPr>
        <w:pStyle w:val="Tekstpodstawowy"/>
        <w:spacing w:before="240"/>
        <w:ind w:left="874" w:right="733"/>
      </w:pPr>
      <w:proofErr w:type="spellStart"/>
      <w:r>
        <w:rPr>
          <w:w w:val="120"/>
        </w:rPr>
        <w:lastRenderedPageBreak/>
        <w:t>Skarga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zapewnienia</w:t>
      </w:r>
      <w:proofErr w:type="spellEnd"/>
      <w:r>
        <w:rPr>
          <w:w w:val="120"/>
        </w:rPr>
        <w:t xml:space="preserve"> mu </w:t>
      </w:r>
      <w:proofErr w:type="spellStart"/>
      <w:r>
        <w:rPr>
          <w:w w:val="120"/>
        </w:rPr>
        <w:t>możliwości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zgody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zezwolenie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wolontariuszowi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podanie</w:t>
      </w:r>
      <w:proofErr w:type="spellEnd"/>
      <w:r>
        <w:rPr>
          <w:w w:val="120"/>
        </w:rPr>
        <w:t xml:space="preserve"> mu </w:t>
      </w:r>
      <w:proofErr w:type="spellStart"/>
      <w:r>
        <w:rPr>
          <w:w w:val="120"/>
        </w:rPr>
        <w:t>śmiertelnych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leków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zgodą</w:t>
      </w:r>
      <w:proofErr w:type="spellEnd"/>
      <w:r>
        <w:rPr>
          <w:w w:val="120"/>
        </w:rPr>
        <w:t>.</w:t>
      </w:r>
    </w:p>
    <w:p w14:paraId="72321C41" w14:textId="097422BB" w:rsidR="00C8263F" w:rsidRDefault="00000000">
      <w:pPr>
        <w:pStyle w:val="Tekstpodstawowy"/>
        <w:ind w:right="730"/>
      </w:pP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obie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skargi</w:t>
      </w:r>
      <w:proofErr w:type="spellEnd"/>
      <w:r>
        <w:rPr>
          <w:color w:val="0071BB"/>
          <w:w w:val="125"/>
        </w:rPr>
        <w:t xml:space="preserve"> </w:t>
      </w:r>
      <w:r>
        <w:rPr>
          <w:b/>
          <w:color w:val="0071BB"/>
          <w:w w:val="125"/>
        </w:rPr>
        <w:t xml:space="preserve">za </w:t>
      </w:r>
      <w:proofErr w:type="spellStart"/>
      <w:r>
        <w:rPr>
          <w:b/>
          <w:color w:val="0071BB"/>
          <w:w w:val="125"/>
        </w:rPr>
        <w:t>niedopuszczalne</w:t>
      </w:r>
      <w:proofErr w:type="spellEnd"/>
      <w:r>
        <w:rPr>
          <w:color w:val="0071BB"/>
          <w:w w:val="125"/>
        </w:rPr>
        <w:t xml:space="preserve">. W </w:t>
      </w:r>
      <w:proofErr w:type="spellStart"/>
      <w:r>
        <w:rPr>
          <w:color w:val="0071BB"/>
          <w:w w:val="125"/>
        </w:rPr>
        <w:t>odniesieniu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pierwszej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nich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ją</w:t>
      </w:r>
      <w:proofErr w:type="spellEnd"/>
      <w:r>
        <w:rPr>
          <w:color w:val="0071BB"/>
          <w:w w:val="125"/>
        </w:rPr>
        <w:t xml:space="preserve"> za </w:t>
      </w:r>
      <w:proofErr w:type="spellStart"/>
      <w:r>
        <w:rPr>
          <w:color w:val="0071BB"/>
          <w:w w:val="125"/>
        </w:rPr>
        <w:t>oczywiście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bezzasadną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stwierdzając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art. 8 (</w:t>
      </w:r>
      <w:proofErr w:type="spellStart"/>
      <w:r>
        <w:rPr>
          <w:color w:val="0071BB"/>
          <w:w w:val="125"/>
        </w:rPr>
        <w:t>prawo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poszanowania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życia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prywatnego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rodzinnego</w:t>
      </w:r>
      <w:proofErr w:type="spellEnd"/>
      <w:r>
        <w:rPr>
          <w:color w:val="0071BB"/>
          <w:w w:val="125"/>
        </w:rPr>
        <w:t xml:space="preserve">)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nakłada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obowiązków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proceduralnych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które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wymagałyby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od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sądów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krajowych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zbadania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zasadności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wniesionej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odniesieniu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prawa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pierwotnego</w:t>
      </w:r>
      <w:proofErr w:type="spellEnd"/>
      <w:r>
        <w:rPr>
          <w:color w:val="0071BB"/>
          <w:w w:val="125"/>
        </w:rPr>
        <w:t xml:space="preserve">, jak w </w:t>
      </w:r>
      <w:proofErr w:type="spellStart"/>
      <w:r>
        <w:rPr>
          <w:color w:val="0071BB"/>
          <w:w w:val="125"/>
        </w:rPr>
        <w:t>niniejszej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sprawie</w:t>
      </w:r>
      <w:proofErr w:type="spellEnd"/>
      <w:r>
        <w:rPr>
          <w:color w:val="0071BB"/>
          <w:w w:val="125"/>
        </w:rPr>
        <w:t xml:space="preserve">. W </w:t>
      </w:r>
      <w:proofErr w:type="spellStart"/>
      <w:r>
        <w:rPr>
          <w:color w:val="0071BB"/>
          <w:w w:val="125"/>
        </w:rPr>
        <w:t>każdym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razie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był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zdania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większość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Sądu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Najwyższego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zbadała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istotę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skarżącej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stwierdzając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wykazała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ona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nastąpiły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jakiekolwiek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istotne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zmiany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od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czasu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wydania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wyroku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sprawie</w:t>
      </w:r>
      <w:proofErr w:type="spellEnd"/>
      <w:r>
        <w:rPr>
          <w:color w:val="0071BB"/>
          <w:w w:val="125"/>
        </w:rPr>
        <w:t xml:space="preserve"> </w:t>
      </w:r>
      <w:r>
        <w:rPr>
          <w:i/>
          <w:color w:val="0071BB"/>
          <w:w w:val="125"/>
        </w:rPr>
        <w:t xml:space="preserve">Pretty </w:t>
      </w:r>
      <w:proofErr w:type="spellStart"/>
      <w:r>
        <w:rPr>
          <w:i/>
          <w:color w:val="0071BB"/>
          <w:w w:val="125"/>
        </w:rPr>
        <w:t>przeciwko</w:t>
      </w:r>
      <w:proofErr w:type="spellEnd"/>
      <w:r>
        <w:rPr>
          <w:i/>
          <w:color w:val="0071BB"/>
          <w:w w:val="125"/>
        </w:rPr>
        <w:t xml:space="preserve"> </w:t>
      </w:r>
      <w:proofErr w:type="spellStart"/>
      <w:r>
        <w:rPr>
          <w:i/>
          <w:color w:val="0071BB"/>
          <w:w w:val="125"/>
        </w:rPr>
        <w:t>Zjednoczonemu</w:t>
      </w:r>
      <w:proofErr w:type="spellEnd"/>
      <w:r>
        <w:rPr>
          <w:i/>
          <w:color w:val="0071BB"/>
          <w:w w:val="125"/>
        </w:rPr>
        <w:t xml:space="preserve"> </w:t>
      </w:r>
      <w:proofErr w:type="spellStart"/>
      <w:r>
        <w:rPr>
          <w:i/>
          <w:color w:val="0071BB"/>
          <w:w w:val="125"/>
        </w:rPr>
        <w:t>Królestwu</w:t>
      </w:r>
      <w:proofErr w:type="spellEnd"/>
      <w:r>
        <w:rPr>
          <w:i/>
          <w:color w:val="0071BB"/>
          <w:w w:val="125"/>
        </w:rPr>
        <w:t xml:space="preserve"> </w:t>
      </w:r>
      <w:r>
        <w:rPr>
          <w:color w:val="0071BB"/>
          <w:w w:val="125"/>
        </w:rPr>
        <w:t>(</w:t>
      </w:r>
      <w:proofErr w:type="spellStart"/>
      <w:r>
        <w:rPr>
          <w:color w:val="0071BB"/>
          <w:w w:val="125"/>
        </w:rPr>
        <w:t>zob</w:t>
      </w:r>
      <w:proofErr w:type="spellEnd"/>
      <w:r>
        <w:rPr>
          <w:color w:val="0071BB"/>
          <w:w w:val="125"/>
        </w:rPr>
        <w:t xml:space="preserve">. </w:t>
      </w:r>
      <w:proofErr w:type="spellStart"/>
      <w:r>
        <w:rPr>
          <w:color w:val="0071BB"/>
          <w:w w:val="125"/>
        </w:rPr>
        <w:t>powyżej</w:t>
      </w:r>
      <w:proofErr w:type="spellEnd"/>
      <w:r>
        <w:rPr>
          <w:color w:val="0071BB"/>
          <w:w w:val="125"/>
        </w:rPr>
        <w:t xml:space="preserve">, s. 1). W </w:t>
      </w:r>
      <w:proofErr w:type="spellStart"/>
      <w:r>
        <w:rPr>
          <w:color w:val="0071BB"/>
          <w:w w:val="125"/>
        </w:rPr>
        <w:t>odniesieniu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drugiej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zauważył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przed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Sądem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Najwyższym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wniósł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jedynie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dotyczącą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zakazu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wspomaganego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samobójstwa</w:t>
      </w:r>
      <w:proofErr w:type="spellEnd"/>
      <w:r>
        <w:rPr>
          <w:color w:val="0071BB"/>
          <w:w w:val="125"/>
        </w:rPr>
        <w:t xml:space="preserve">, a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argument,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pewnych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okolicznościach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powinna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istnieć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procedura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sądowa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zezwalająca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dobrowolną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eutanazję</w:t>
      </w:r>
      <w:proofErr w:type="spellEnd"/>
      <w:r>
        <w:rPr>
          <w:color w:val="0071BB"/>
          <w:w w:val="125"/>
        </w:rPr>
        <w:t xml:space="preserve">. </w:t>
      </w:r>
      <w:proofErr w:type="spellStart"/>
      <w:r>
        <w:rPr>
          <w:color w:val="0071BB"/>
          <w:w w:val="125"/>
        </w:rPr>
        <w:t>Przypominając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ci, </w:t>
      </w:r>
      <w:proofErr w:type="spellStart"/>
      <w:r>
        <w:rPr>
          <w:color w:val="0071BB"/>
          <w:w w:val="125"/>
        </w:rPr>
        <w:t>którzy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chcą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złożyć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skargę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Europejskiego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Trybunału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Człowieka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przeciwko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państwu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muszą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najpierw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skorzystać</w:t>
      </w:r>
      <w:proofErr w:type="spellEnd"/>
      <w:r>
        <w:rPr>
          <w:color w:val="0071BB"/>
          <w:w w:val="125"/>
        </w:rPr>
        <w:t xml:space="preserve"> ze </w:t>
      </w:r>
      <w:proofErr w:type="spellStart"/>
      <w:r>
        <w:rPr>
          <w:color w:val="0071BB"/>
          <w:w w:val="125"/>
        </w:rPr>
        <w:t>środków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odwoławczych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przewidzianych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krajowym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systemie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prawnym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 w:rsidR="00EA2A26">
        <w:rPr>
          <w:color w:val="0071BB"/>
          <w:w w:val="125"/>
        </w:rPr>
        <w:t>odrzucił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skargę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powodu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niewyczerpania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krajowych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środków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odwoławczych</w:t>
      </w:r>
      <w:proofErr w:type="spellEnd"/>
      <w:r>
        <w:rPr>
          <w:color w:val="0071BB"/>
          <w:w w:val="125"/>
        </w:rPr>
        <w:t>.</w:t>
      </w:r>
    </w:p>
    <w:p w14:paraId="0772D524" w14:textId="32AB1CB8" w:rsidR="00C8263F" w:rsidRPr="000D5D2D" w:rsidRDefault="00C8263F">
      <w:pPr>
        <w:pStyle w:val="Nagwek2"/>
        <w:spacing w:before="103"/>
        <w:ind w:left="873"/>
        <w:rPr>
          <w:u w:val="thick"/>
        </w:rPr>
      </w:pPr>
      <w:hyperlink r:id="rId24">
        <w:r w:rsidRPr="000D5D2D">
          <w:rPr>
            <w:color w:val="0071BB"/>
            <w:w w:val="135"/>
            <w:u w:val="thick" w:color="0071BB"/>
          </w:rPr>
          <w:t xml:space="preserve">Gard </w:t>
        </w:r>
        <w:proofErr w:type="spellStart"/>
        <w:r w:rsidRPr="000D5D2D">
          <w:rPr>
            <w:color w:val="0071BB"/>
            <w:w w:val="135"/>
            <w:u w:val="thick" w:color="0071BB"/>
          </w:rPr>
          <w:t>i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r w:rsidR="00DB1F5C" w:rsidRPr="001B3C1A">
          <w:rPr>
            <w:color w:val="0071BB"/>
            <w:w w:val="135"/>
            <w:u w:val="thick" w:color="0071BB"/>
          </w:rPr>
          <w:t>Inni</w:t>
        </w:r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w w:val="135"/>
            <w:u w:val="thick" w:color="0071BB"/>
          </w:rPr>
          <w:t>Zjednoczonemu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Królestwu</w:t>
        </w:r>
        <w:proofErr w:type="spellEnd"/>
      </w:hyperlink>
    </w:p>
    <w:p w14:paraId="5B676C5D" w14:textId="77777777" w:rsidR="00C8263F" w:rsidRDefault="0000000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27 </w:t>
      </w:r>
      <w:proofErr w:type="spellStart"/>
      <w:r>
        <w:rPr>
          <w:color w:val="808080"/>
          <w:w w:val="125"/>
          <w:sz w:val="18"/>
        </w:rPr>
        <w:t>czerwca</w:t>
      </w:r>
      <w:proofErr w:type="spellEnd"/>
      <w:r>
        <w:rPr>
          <w:color w:val="808080"/>
          <w:w w:val="125"/>
          <w:sz w:val="18"/>
        </w:rPr>
        <w:t xml:space="preserve"> 2017 r. (</w:t>
      </w:r>
      <w:proofErr w:type="spellStart"/>
      <w:r>
        <w:rPr>
          <w:color w:val="808080"/>
          <w:w w:val="125"/>
          <w:sz w:val="18"/>
        </w:rPr>
        <w:t>decyzja</w:t>
      </w:r>
      <w:proofErr w:type="spellEnd"/>
      <w:r>
        <w:rPr>
          <w:color w:val="808080"/>
          <w:w w:val="125"/>
          <w:sz w:val="18"/>
        </w:rPr>
        <w:t xml:space="preserve"> o </w:t>
      </w:r>
      <w:proofErr w:type="spellStart"/>
      <w:r>
        <w:rPr>
          <w:color w:val="808080"/>
          <w:spacing w:val="-2"/>
          <w:w w:val="125"/>
          <w:sz w:val="18"/>
        </w:rPr>
        <w:t>dopuszczalności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29B52505" w14:textId="26601F47" w:rsidR="00C8263F" w:rsidRDefault="00000000" w:rsidP="000D5D2D">
      <w:pPr>
        <w:pStyle w:val="Tekstpodstawowy"/>
        <w:spacing w:before="4"/>
        <w:ind w:right="726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cierpiącego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rzadką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śmiertelną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chorobę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genetyczną</w:t>
      </w:r>
      <w:proofErr w:type="spellEnd"/>
      <w:r>
        <w:rPr>
          <w:w w:val="120"/>
        </w:rPr>
        <w:t xml:space="preserve">. W </w:t>
      </w:r>
      <w:proofErr w:type="spellStart"/>
      <w:r>
        <w:rPr>
          <w:w w:val="120"/>
        </w:rPr>
        <w:t>lutym</w:t>
      </w:r>
      <w:proofErr w:type="spellEnd"/>
      <w:r>
        <w:rPr>
          <w:w w:val="120"/>
        </w:rPr>
        <w:t xml:space="preserve"> 2017 r. </w:t>
      </w:r>
      <w:proofErr w:type="spellStart"/>
      <w:r>
        <w:rPr>
          <w:w w:val="120"/>
        </w:rPr>
        <w:t>szpital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prowadzący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zwrócił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sądów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krajowych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wydanie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oświadczenia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czy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zgodne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prawem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byłoby</w:t>
      </w:r>
      <w:proofErr w:type="spellEnd"/>
      <w:r>
        <w:rPr>
          <w:w w:val="120"/>
        </w:rPr>
        <w:t xml:space="preserve"> </w:t>
      </w:r>
      <w:proofErr w:type="spellStart"/>
      <w:r w:rsidR="00EF00E4" w:rsidRPr="00EA2A26">
        <w:rPr>
          <w:w w:val="120"/>
        </w:rPr>
        <w:t>zaprzestanie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sztucznej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wentylacji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zapewnienie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opieki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paliatywnej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zwrócili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również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sądów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rozważenie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czy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najlepszym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interesie</w:t>
      </w:r>
      <w:proofErr w:type="spellEnd"/>
      <w:r>
        <w:rPr>
          <w:w w:val="120"/>
        </w:rPr>
        <w:t xml:space="preserve"> ich </w:t>
      </w:r>
      <w:proofErr w:type="spellStart"/>
      <w:r>
        <w:rPr>
          <w:w w:val="120"/>
        </w:rPr>
        <w:t>syna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byłoby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poddanie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eksperymentalnemu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leczeniu</w:t>
      </w:r>
      <w:proofErr w:type="spellEnd"/>
      <w:r>
        <w:rPr>
          <w:w w:val="120"/>
        </w:rPr>
        <w:t xml:space="preserve"> w USA. </w:t>
      </w:r>
      <w:proofErr w:type="spellStart"/>
      <w:r>
        <w:rPr>
          <w:w w:val="120"/>
        </w:rPr>
        <w:t>Sądy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krajowe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stwierdziły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szpital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mógłby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zgodnie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prawem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wycofać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podtrzymujące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ponieważ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prawdopodobne</w:t>
      </w:r>
      <w:proofErr w:type="spellEnd"/>
      <w:r>
        <w:rPr>
          <w:w w:val="120"/>
        </w:rPr>
        <w:t xml:space="preserve"> jest,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doznałoby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znacznej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szkody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gdyby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obecne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cierpienie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przedłużane</w:t>
      </w:r>
      <w:proofErr w:type="spellEnd"/>
      <w:r>
        <w:rPr>
          <w:w w:val="120"/>
        </w:rPr>
        <w:t xml:space="preserve"> bez </w:t>
      </w:r>
      <w:proofErr w:type="spellStart"/>
      <w:r>
        <w:rPr>
          <w:w w:val="120"/>
        </w:rPr>
        <w:t>realnej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perspektywy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poprawy</w:t>
      </w:r>
      <w:proofErr w:type="spellEnd"/>
      <w:r>
        <w:rPr>
          <w:w w:val="120"/>
        </w:rPr>
        <w:t xml:space="preserve">, </w:t>
      </w:r>
      <w:proofErr w:type="gramStart"/>
      <w:r>
        <w:rPr>
          <w:w w:val="120"/>
        </w:rPr>
        <w:t>a</w:t>
      </w:r>
      <w:proofErr w:type="gramEnd"/>
      <w:r>
        <w:rPr>
          <w:w w:val="120"/>
        </w:rPr>
        <w:t xml:space="preserve"> </w:t>
      </w:r>
      <w:proofErr w:type="spellStart"/>
      <w:r>
        <w:rPr>
          <w:w w:val="120"/>
        </w:rPr>
        <w:t>eksperymentalna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terapia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przyniosłaby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żadnych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skutecznych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korzyści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Przed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Europejskim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Trybunałem</w:t>
      </w:r>
      <w:proofErr w:type="spellEnd"/>
      <w:r>
        <w:rPr>
          <w:w w:val="120"/>
        </w:rPr>
        <w:t xml:space="preserve"> </w:t>
      </w:r>
      <w:proofErr w:type="spellStart"/>
      <w:r w:rsidR="00EA2A26">
        <w:rPr>
          <w:w w:val="120"/>
        </w:rPr>
        <w:t>Praw</w:t>
      </w:r>
      <w:proofErr w:type="spellEnd"/>
      <w:r w:rsidR="00EA2A26">
        <w:rPr>
          <w:w w:val="120"/>
        </w:rPr>
        <w:t xml:space="preserve"> </w:t>
      </w:r>
      <w:proofErr w:type="spellStart"/>
      <w:r w:rsidR="00EA2A26">
        <w:rPr>
          <w:w w:val="120"/>
        </w:rPr>
        <w:t>Człowieka</w:t>
      </w:r>
      <w:proofErr w:type="spellEnd"/>
      <w:r w:rsidR="00EA2A26">
        <w:rPr>
          <w:w w:val="120"/>
        </w:rPr>
        <w:t xml:space="preserve">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argumentowali</w:t>
      </w:r>
      <w:proofErr w:type="spellEnd"/>
      <w:r>
        <w:rPr>
          <w:w w:val="120"/>
        </w:rPr>
        <w:t xml:space="preserve"> - w </w:t>
      </w:r>
      <w:proofErr w:type="spellStart"/>
      <w:r>
        <w:rPr>
          <w:w w:val="120"/>
        </w:rPr>
        <w:t>imieniu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syna</w:t>
      </w:r>
      <w:proofErr w:type="spellEnd"/>
      <w:r>
        <w:rPr>
          <w:w w:val="120"/>
        </w:rPr>
        <w:t xml:space="preserve"> -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szpital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zablokował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dostęp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leczenia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podtrzymującego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dziecka</w:t>
      </w:r>
      <w:proofErr w:type="spellEnd"/>
      <w:r>
        <w:rPr>
          <w:w w:val="120"/>
        </w:rPr>
        <w:t xml:space="preserve">,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zostało</w:t>
      </w:r>
      <w:proofErr w:type="spellEnd"/>
      <w:r>
        <w:rPr>
          <w:w w:val="120"/>
        </w:rPr>
        <w:t xml:space="preserve"> ono </w:t>
      </w:r>
      <w:proofErr w:type="spellStart"/>
      <w:r>
        <w:rPr>
          <w:w w:val="120"/>
        </w:rPr>
        <w:t>bezprawnie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pozbawione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wolności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Zarzucili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również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decyzje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krajowego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stanowiły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niesprawiedliwą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nieproporcjonalną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ingerencję</w:t>
      </w:r>
      <w:proofErr w:type="spellEnd"/>
      <w:r>
        <w:rPr>
          <w:w w:val="120"/>
        </w:rPr>
        <w:t xml:space="preserve"> w ich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rodzicielskie</w:t>
      </w:r>
      <w:proofErr w:type="spellEnd"/>
      <w:r>
        <w:rPr>
          <w:w w:val="120"/>
        </w:rPr>
        <w:t>.</w:t>
      </w:r>
    </w:p>
    <w:p w14:paraId="09BC67B1" w14:textId="509CB312" w:rsidR="00C8263F" w:rsidRDefault="00000000" w:rsidP="000D5D2D">
      <w:pPr>
        <w:pStyle w:val="Tekstpodstawowy"/>
        <w:spacing w:before="4" w:line="228" w:lineRule="exact"/>
        <w:ind w:right="726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większością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zgodził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co do </w:t>
      </w:r>
      <w:proofErr w:type="spellStart"/>
      <w:r>
        <w:rPr>
          <w:color w:val="0071BB"/>
          <w:w w:val="120"/>
        </w:rPr>
        <w:t>istoty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podejściem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spacing w:val="-2"/>
          <w:w w:val="120"/>
        </w:rPr>
        <w:t>sądów</w:t>
      </w:r>
      <w:proofErr w:type="spellEnd"/>
      <w:r>
        <w:rPr>
          <w:color w:val="0071BB"/>
          <w:spacing w:val="-2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 w:rsidR="001B3C1A">
        <w:rPr>
          <w:color w:val="0071BB"/>
          <w:w w:val="120"/>
        </w:rPr>
        <w:t xml:space="preserve"> </w:t>
      </w:r>
      <w:proofErr w:type="spellStart"/>
      <w:r w:rsidR="001B3C1A">
        <w:rPr>
          <w:color w:val="0071BB"/>
          <w:w w:val="120"/>
        </w:rPr>
        <w:t>i</w:t>
      </w:r>
      <w:proofErr w:type="spellEnd"/>
      <w:r w:rsidR="00424650">
        <w:rPr>
          <w:color w:val="0071BB"/>
          <w:w w:val="120"/>
        </w:rPr>
        <w:t xml:space="preserve"> </w:t>
      </w:r>
      <w:proofErr w:type="spellStart"/>
      <w:r w:rsidR="00424650">
        <w:rPr>
          <w:color w:val="0071BB"/>
          <w:w w:val="120"/>
        </w:rPr>
        <w:t>tym</w:t>
      </w:r>
      <w:proofErr w:type="spellEnd"/>
      <w:r w:rsidR="00424650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skargę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za </w:t>
      </w:r>
      <w:proofErr w:type="spellStart"/>
      <w:r>
        <w:rPr>
          <w:b/>
          <w:color w:val="0071BB"/>
          <w:w w:val="120"/>
        </w:rPr>
        <w:t>niedopuszczalną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znaczne</w:t>
      </w:r>
      <w:proofErr w:type="spellEnd"/>
      <w:r>
        <w:rPr>
          <w:color w:val="0071BB"/>
          <w:w w:val="120"/>
        </w:rPr>
        <w:t xml:space="preserve"> pole </w:t>
      </w:r>
      <w:proofErr w:type="spellStart"/>
      <w:r>
        <w:rPr>
          <w:color w:val="0071BB"/>
          <w:w w:val="120"/>
        </w:rPr>
        <w:t>manewru</w:t>
      </w:r>
      <w:proofErr w:type="spellEnd"/>
      <w:r>
        <w:rPr>
          <w:color w:val="0071BB"/>
          <w:w w:val="120"/>
        </w:rPr>
        <w:t xml:space="preserve"> </w:t>
      </w:r>
      <w:proofErr w:type="gramStart"/>
      <w:r>
        <w:rPr>
          <w:color w:val="0071BB"/>
          <w:w w:val="120"/>
        </w:rPr>
        <w:t>(</w:t>
      </w:r>
      <w:r w:rsidR="00424650">
        <w:rPr>
          <w:color w:val="0071BB"/>
          <w:w w:val="120"/>
        </w:rPr>
        <w:t>,,</w:t>
      </w:r>
      <w:proofErr w:type="spellStart"/>
      <w:proofErr w:type="gramEnd"/>
      <w:r>
        <w:rPr>
          <w:color w:val="0071BB"/>
          <w:w w:val="120"/>
        </w:rPr>
        <w:t>szeroki</w:t>
      </w:r>
      <w:proofErr w:type="spellEnd"/>
      <w:r>
        <w:rPr>
          <w:color w:val="0071BB"/>
          <w:w w:val="120"/>
        </w:rPr>
        <w:t xml:space="preserve"> margines </w:t>
      </w:r>
      <w:proofErr w:type="spellStart"/>
      <w:r>
        <w:rPr>
          <w:color w:val="0071BB"/>
          <w:w w:val="120"/>
        </w:rPr>
        <w:t>oceny</w:t>
      </w:r>
      <w:proofErr w:type="spellEnd"/>
      <w:r w:rsidR="00424650">
        <w:rPr>
          <w:color w:val="0071BB"/>
          <w:w w:val="120"/>
        </w:rPr>
        <w:t>’’</w:t>
      </w:r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pozostawione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władzom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sferze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eksperymentalnych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nieuleczalnie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chorych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sprawach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poruszających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delikatne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kwestie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moralne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etyczne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powtarzając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jest </w:t>
      </w:r>
      <w:proofErr w:type="spellStart"/>
      <w:r>
        <w:rPr>
          <w:color w:val="0071BB"/>
          <w:w w:val="120"/>
        </w:rPr>
        <w:t>zadaniem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zastępowanie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właściwych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 xml:space="preserve">. Z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perspektywy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przywiązywał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wagę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faktu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ramy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</w:t>
      </w:r>
      <w:proofErr w:type="spellEnd"/>
      <w:r>
        <w:rPr>
          <w:color w:val="0071BB"/>
          <w:w w:val="120"/>
        </w:rPr>
        <w:t xml:space="preserve"> - </w:t>
      </w:r>
      <w:proofErr w:type="spellStart"/>
      <w:r>
        <w:rPr>
          <w:color w:val="0071BB"/>
          <w:w w:val="120"/>
        </w:rPr>
        <w:t>zgodne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Konwencją</w:t>
      </w:r>
      <w:proofErr w:type="spellEnd"/>
      <w:r>
        <w:rPr>
          <w:color w:val="0071BB"/>
          <w:w w:val="120"/>
        </w:rPr>
        <w:t xml:space="preserve"> - </w:t>
      </w:r>
      <w:proofErr w:type="spellStart"/>
      <w:r>
        <w:rPr>
          <w:color w:val="0071BB"/>
          <w:w w:val="120"/>
        </w:rPr>
        <w:t>regulujące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zarówno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eksperymentalnych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leków</w:t>
      </w:r>
      <w:proofErr w:type="spellEnd"/>
      <w:r>
        <w:rPr>
          <w:color w:val="0071BB"/>
          <w:w w:val="120"/>
        </w:rPr>
        <w:t xml:space="preserve">, jak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wycofanie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podtrzymującego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życie</w:t>
      </w:r>
      <w:proofErr w:type="spellEnd"/>
      <w:r>
        <w:rPr>
          <w:color w:val="0071BB"/>
          <w:w w:val="120"/>
        </w:rPr>
        <w:t xml:space="preserve">. Co </w:t>
      </w:r>
      <w:proofErr w:type="spellStart"/>
      <w:r>
        <w:rPr>
          <w:color w:val="0071BB"/>
          <w:w w:val="120"/>
        </w:rPr>
        <w:t>więcej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decyzje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skrupulatne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dokładne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poddane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przeglądowi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trzech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poziomach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jurysdykcji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jasnym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obszernym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uzasadnieniem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dającym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odpowiednie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wystarczające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poparcie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wniosków</w:t>
      </w:r>
      <w:proofErr w:type="spellEnd"/>
      <w:r>
        <w:rPr>
          <w:color w:val="0071BB"/>
          <w:w w:val="120"/>
        </w:rPr>
        <w:t xml:space="preserve">;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bezpośredni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kontakt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wszystkimi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zainteresowanymi</w:t>
      </w:r>
      <w:proofErr w:type="spellEnd"/>
      <w:r>
        <w:rPr>
          <w:color w:val="0071BB"/>
          <w:w w:val="120"/>
        </w:rPr>
        <w:t xml:space="preserve"> (w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wysłuchały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ekspertów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medycznych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zaangażowanych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leczenie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także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ekspertów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poinstruowanych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samych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rodziców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niezależnego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specjalisty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wyznaczonego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opiekuna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dziecka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otrzymały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ekspertyzy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lekarzy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międzynarodowej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renomie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dziedzinie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odwiedził</w:t>
      </w:r>
      <w:r w:rsidR="00424650">
        <w:rPr>
          <w:color w:val="0071BB"/>
          <w:w w:val="120"/>
        </w:rPr>
        <w:t>y</w:t>
      </w:r>
      <w:proofErr w:type="spellEnd"/>
      <w:r w:rsidR="00424650">
        <w:rPr>
          <w:color w:val="0071BB"/>
          <w:w w:val="120"/>
        </w:rPr>
        <w:t xml:space="preserve"> spital</w:t>
      </w:r>
      <w:r>
        <w:rPr>
          <w:color w:val="0071BB"/>
          <w:w w:val="120"/>
        </w:rPr>
        <w:t xml:space="preserve">); </w:t>
      </w:r>
      <w:proofErr w:type="spellStart"/>
      <w:r>
        <w:rPr>
          <w:color w:val="0071BB"/>
          <w:w w:val="120"/>
        </w:rPr>
        <w:t>właściwe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szpital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sądów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Wielkiej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Brytanii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wątpliwości</w:t>
      </w:r>
      <w:proofErr w:type="spellEnd"/>
      <w:r>
        <w:rPr>
          <w:color w:val="0071BB"/>
          <w:w w:val="120"/>
        </w:rPr>
        <w:t xml:space="preserve"> co do </w:t>
      </w:r>
      <w:proofErr w:type="spellStart"/>
      <w:r>
        <w:rPr>
          <w:color w:val="0071BB"/>
          <w:w w:val="120"/>
        </w:rPr>
        <w:t>najlepsze</w:t>
      </w:r>
      <w:r w:rsidR="00424650">
        <w:rPr>
          <w:color w:val="0071BB"/>
          <w:w w:val="120"/>
        </w:rPr>
        <w:t>j</w:t>
      </w:r>
      <w:proofErr w:type="spellEnd"/>
      <w:r w:rsidR="00424650">
        <w:rPr>
          <w:color w:val="0071BB"/>
          <w:w w:val="120"/>
        </w:rPr>
        <w:t xml:space="preserve"> </w:t>
      </w:r>
      <w:proofErr w:type="spellStart"/>
      <w:r w:rsidR="00424650"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;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wreszcie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doszły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wniosku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podstawie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obszernych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wysokiej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dowodów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eksperckich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najprawdopodobniej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narażone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ciągły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ból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cierpienie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BA563C" w:rsidRPr="00EA2A26">
        <w:rPr>
          <w:color w:val="0070C0"/>
          <w:w w:val="120"/>
        </w:rPr>
        <w:t>udrękę</w:t>
      </w:r>
      <w:proofErr w:type="spellEnd"/>
      <w:r w:rsidR="004B125B" w:rsidRPr="00EA2A26">
        <w:rPr>
          <w:color w:val="0070C0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poddanie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eksperymentalnemu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leczeniu</w:t>
      </w:r>
      <w:proofErr w:type="spellEnd"/>
      <w:r>
        <w:rPr>
          <w:color w:val="0071BB"/>
          <w:w w:val="120"/>
        </w:rPr>
        <w:t xml:space="preserve"> bez </w:t>
      </w:r>
      <w:proofErr w:type="spellStart"/>
      <w:r>
        <w:rPr>
          <w:color w:val="0071BB"/>
          <w:w w:val="120"/>
        </w:rPr>
        <w:t>perspektyw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powodzenia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przyniosłoby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żadnych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korzyści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nadal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wyrządzałoby</w:t>
      </w:r>
      <w:proofErr w:type="spellEnd"/>
      <w:r>
        <w:rPr>
          <w:color w:val="0071BB"/>
          <w:w w:val="120"/>
        </w:rPr>
        <w:t xml:space="preserve"> mu </w:t>
      </w:r>
      <w:proofErr w:type="spellStart"/>
      <w:r>
        <w:rPr>
          <w:color w:val="0071BB"/>
          <w:w w:val="120"/>
        </w:rPr>
        <w:t>znaczną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szkodę</w:t>
      </w:r>
      <w:proofErr w:type="spellEnd"/>
      <w:r>
        <w:rPr>
          <w:color w:val="0071BB"/>
          <w:w w:val="120"/>
        </w:rPr>
        <w:t>.</w:t>
      </w:r>
    </w:p>
    <w:p w14:paraId="1BE29CB0" w14:textId="77777777" w:rsidR="00C8263F" w:rsidRDefault="00C8263F">
      <w:pPr>
        <w:pStyle w:val="Tekstpodstawowy"/>
        <w:sectPr w:rsidR="00C8263F">
          <w:pgSz w:w="11910" w:h="16840"/>
          <w:pgMar w:top="1460" w:right="708" w:bottom="680" w:left="566" w:header="730" w:footer="497" w:gutter="0"/>
          <w:cols w:space="708"/>
        </w:sectPr>
      </w:pPr>
    </w:p>
    <w:p w14:paraId="5FA1C5EE" w14:textId="4DE84D48" w:rsidR="00C8263F" w:rsidRDefault="00000000">
      <w:pPr>
        <w:spacing w:before="240"/>
        <w:ind w:left="874" w:right="726"/>
        <w:jc w:val="both"/>
        <w:rPr>
          <w:sz w:val="20"/>
        </w:rPr>
      </w:pPr>
      <w:proofErr w:type="spellStart"/>
      <w:r>
        <w:rPr>
          <w:i/>
          <w:color w:val="404040"/>
          <w:w w:val="130"/>
          <w:sz w:val="20"/>
        </w:rPr>
        <w:lastRenderedPageBreak/>
        <w:t>Zobacz</w:t>
      </w:r>
      <w:proofErr w:type="spellEnd"/>
      <w:r>
        <w:rPr>
          <w:i/>
          <w:color w:val="404040"/>
          <w:w w:val="130"/>
          <w:sz w:val="20"/>
        </w:rPr>
        <w:t xml:space="preserve"> </w:t>
      </w:r>
      <w:proofErr w:type="spellStart"/>
      <w:r>
        <w:rPr>
          <w:i/>
          <w:color w:val="404040"/>
          <w:w w:val="130"/>
          <w:sz w:val="20"/>
        </w:rPr>
        <w:t>także</w:t>
      </w:r>
      <w:proofErr w:type="spellEnd"/>
      <w:r>
        <w:rPr>
          <w:i/>
          <w:color w:val="404040"/>
          <w:w w:val="130"/>
          <w:sz w:val="20"/>
        </w:rPr>
        <w:t xml:space="preserve">: </w:t>
      </w:r>
      <w:hyperlink r:id="rId25">
        <w:r w:rsidR="00C8263F" w:rsidRPr="000D5D2D">
          <w:rPr>
            <w:b/>
            <w:color w:val="0071BB"/>
            <w:w w:val="130"/>
            <w:sz w:val="20"/>
            <w:u w:val="thick" w:color="0071BB"/>
          </w:rPr>
          <w:t xml:space="preserve">Parfitt </w:t>
        </w:r>
        <w:proofErr w:type="spellStart"/>
        <w:r w:rsidR="00C8263F" w:rsidRPr="000D5D2D">
          <w:rPr>
            <w:b/>
            <w:color w:val="0071BB"/>
            <w:w w:val="130"/>
            <w:sz w:val="20"/>
            <w:u w:val="thick" w:color="0071BB"/>
          </w:rPr>
          <w:t>przeciwko</w:t>
        </w:r>
        <w:proofErr w:type="spellEnd"/>
        <w:r w:rsidR="00C8263F" w:rsidRPr="000D5D2D">
          <w:rPr>
            <w:b/>
            <w:color w:val="0071BB"/>
            <w:w w:val="130"/>
            <w:sz w:val="20"/>
            <w:u w:val="thick" w:color="0071BB"/>
          </w:rPr>
          <w:t xml:space="preserve"> </w:t>
        </w:r>
        <w:proofErr w:type="spellStart"/>
        <w:r w:rsidR="00C8263F" w:rsidRPr="000D5D2D">
          <w:rPr>
            <w:b/>
            <w:color w:val="0071BB"/>
            <w:w w:val="130"/>
            <w:sz w:val="20"/>
            <w:u w:val="thick" w:color="0071BB"/>
          </w:rPr>
          <w:t>Zjednoczonemu</w:t>
        </w:r>
        <w:proofErr w:type="spellEnd"/>
        <w:r w:rsidR="00C8263F" w:rsidRPr="000D5D2D">
          <w:rPr>
            <w:b/>
            <w:color w:val="0071BB"/>
            <w:w w:val="130"/>
            <w:sz w:val="20"/>
            <w:u w:val="thick" w:color="0071BB"/>
          </w:rPr>
          <w:t xml:space="preserve"> </w:t>
        </w:r>
      </w:hyperlink>
      <w:hyperlink r:id="rId26">
        <w:proofErr w:type="spellStart"/>
        <w:r w:rsidR="00C8263F" w:rsidRPr="000D5D2D">
          <w:rPr>
            <w:b/>
            <w:color w:val="0071BB"/>
            <w:w w:val="130"/>
            <w:sz w:val="20"/>
            <w:u w:val="thick" w:color="0071BB"/>
          </w:rPr>
          <w:t>Królestwu</w:t>
        </w:r>
        <w:proofErr w:type="spellEnd"/>
      </w:hyperlink>
      <w:r>
        <w:rPr>
          <w:color w:val="404040"/>
          <w:w w:val="130"/>
          <w:sz w:val="20"/>
        </w:rPr>
        <w:t xml:space="preserve">, </w:t>
      </w:r>
      <w:proofErr w:type="spellStart"/>
      <w:r>
        <w:rPr>
          <w:color w:val="404040"/>
          <w:w w:val="130"/>
          <w:sz w:val="20"/>
        </w:rPr>
        <w:t>decyzja</w:t>
      </w:r>
      <w:proofErr w:type="spellEnd"/>
      <w:r>
        <w:rPr>
          <w:color w:val="404040"/>
          <w:w w:val="130"/>
          <w:sz w:val="20"/>
        </w:rPr>
        <w:t xml:space="preserve"> w </w:t>
      </w:r>
      <w:proofErr w:type="spellStart"/>
      <w:r>
        <w:rPr>
          <w:color w:val="404040"/>
          <w:w w:val="130"/>
          <w:sz w:val="20"/>
        </w:rPr>
        <w:t>sprawie</w:t>
      </w:r>
      <w:proofErr w:type="spellEnd"/>
      <w:r>
        <w:rPr>
          <w:color w:val="404040"/>
          <w:w w:val="130"/>
          <w:sz w:val="20"/>
        </w:rPr>
        <w:t xml:space="preserve"> </w:t>
      </w:r>
      <w:proofErr w:type="spellStart"/>
      <w:r>
        <w:rPr>
          <w:color w:val="404040"/>
          <w:w w:val="130"/>
          <w:sz w:val="20"/>
        </w:rPr>
        <w:t>dopuszczalności</w:t>
      </w:r>
      <w:proofErr w:type="spellEnd"/>
      <w:r>
        <w:rPr>
          <w:color w:val="404040"/>
          <w:w w:val="130"/>
          <w:sz w:val="20"/>
        </w:rPr>
        <w:t xml:space="preserve"> z </w:t>
      </w:r>
      <w:proofErr w:type="spellStart"/>
      <w:r>
        <w:rPr>
          <w:color w:val="404040"/>
          <w:w w:val="130"/>
          <w:sz w:val="20"/>
        </w:rPr>
        <w:t>dnia</w:t>
      </w:r>
      <w:proofErr w:type="spellEnd"/>
      <w:r>
        <w:rPr>
          <w:color w:val="404040"/>
          <w:w w:val="130"/>
          <w:sz w:val="20"/>
        </w:rPr>
        <w:t xml:space="preserve"> 20 </w:t>
      </w:r>
      <w:proofErr w:type="spellStart"/>
      <w:r>
        <w:rPr>
          <w:color w:val="404040"/>
          <w:w w:val="130"/>
          <w:sz w:val="20"/>
        </w:rPr>
        <w:t>kwietnia</w:t>
      </w:r>
      <w:proofErr w:type="spellEnd"/>
      <w:r>
        <w:rPr>
          <w:color w:val="404040"/>
          <w:w w:val="130"/>
          <w:sz w:val="20"/>
        </w:rPr>
        <w:t xml:space="preserve"> 2021 r.; </w:t>
      </w:r>
      <w:hyperlink r:id="rId27">
        <w:r w:rsidR="00C8263F" w:rsidRPr="000D5D2D">
          <w:rPr>
            <w:b/>
            <w:color w:val="0071BB"/>
            <w:w w:val="130"/>
            <w:sz w:val="20"/>
            <w:u w:val="thick" w:color="0071BB"/>
          </w:rPr>
          <w:t xml:space="preserve">A.B. </w:t>
        </w:r>
        <w:proofErr w:type="spellStart"/>
        <w:r w:rsidR="00C8263F" w:rsidRPr="000D5D2D">
          <w:rPr>
            <w:b/>
            <w:color w:val="0071BB"/>
            <w:w w:val="130"/>
            <w:sz w:val="20"/>
            <w:u w:val="thick" w:color="0071BB"/>
          </w:rPr>
          <w:t>i</w:t>
        </w:r>
        <w:proofErr w:type="spellEnd"/>
        <w:r w:rsidR="00C8263F" w:rsidRPr="000D5D2D">
          <w:rPr>
            <w:b/>
            <w:color w:val="0071BB"/>
            <w:w w:val="130"/>
            <w:sz w:val="20"/>
            <w:u w:val="thick" w:color="0071BB"/>
          </w:rPr>
          <w:t xml:space="preserve"> </w:t>
        </w:r>
        <w:r w:rsidR="004B125B" w:rsidRPr="000D5D2D">
          <w:rPr>
            <w:b/>
            <w:color w:val="0071BB"/>
            <w:w w:val="130"/>
            <w:sz w:val="20"/>
            <w:u w:val="thick" w:color="0071BB"/>
          </w:rPr>
          <w:t>Inni</w:t>
        </w:r>
        <w:r w:rsidR="00C8263F" w:rsidRPr="000D5D2D">
          <w:rPr>
            <w:b/>
            <w:color w:val="0071BB"/>
            <w:w w:val="130"/>
            <w:sz w:val="20"/>
            <w:u w:val="thick" w:color="0071BB"/>
          </w:rPr>
          <w:t xml:space="preserve"> </w:t>
        </w:r>
        <w:proofErr w:type="spellStart"/>
        <w:r w:rsidR="00C8263F" w:rsidRPr="000D5D2D">
          <w:rPr>
            <w:b/>
            <w:color w:val="0071BB"/>
            <w:w w:val="130"/>
            <w:sz w:val="20"/>
            <w:u w:val="thick" w:color="0071BB"/>
          </w:rPr>
          <w:t>przeciwko</w:t>
        </w:r>
        <w:proofErr w:type="spellEnd"/>
        <w:r w:rsidR="00C8263F" w:rsidRPr="000D5D2D">
          <w:rPr>
            <w:b/>
            <w:color w:val="0071BB"/>
            <w:w w:val="130"/>
            <w:sz w:val="20"/>
            <w:u w:val="thick" w:color="0071BB"/>
          </w:rPr>
          <w:t xml:space="preserve"> </w:t>
        </w:r>
        <w:proofErr w:type="spellStart"/>
        <w:r w:rsidR="00C8263F" w:rsidRPr="000D5D2D">
          <w:rPr>
            <w:b/>
            <w:color w:val="0071BB"/>
            <w:w w:val="130"/>
            <w:sz w:val="20"/>
            <w:u w:val="thick" w:color="0071BB"/>
          </w:rPr>
          <w:t>Zjednoczonemu</w:t>
        </w:r>
        <w:proofErr w:type="spellEnd"/>
        <w:r w:rsidR="00C8263F" w:rsidRPr="000D5D2D">
          <w:rPr>
            <w:b/>
            <w:color w:val="0071BB"/>
            <w:w w:val="130"/>
            <w:sz w:val="20"/>
            <w:u w:val="thick" w:color="0071BB"/>
          </w:rPr>
          <w:t xml:space="preserve"> </w:t>
        </w:r>
        <w:proofErr w:type="spellStart"/>
        <w:r w:rsidR="00C8263F" w:rsidRPr="000D5D2D">
          <w:rPr>
            <w:b/>
            <w:color w:val="0071BB"/>
            <w:w w:val="130"/>
            <w:sz w:val="20"/>
            <w:u w:val="thick" w:color="0071BB"/>
          </w:rPr>
          <w:t>Królestwu</w:t>
        </w:r>
        <w:proofErr w:type="spellEnd"/>
        <w:r w:rsidR="00C8263F">
          <w:rPr>
            <w:b/>
            <w:color w:val="0071BB"/>
            <w:w w:val="130"/>
            <w:sz w:val="20"/>
            <w:u w:val="single" w:color="0071BB"/>
          </w:rPr>
          <w:t xml:space="preserve"> </w:t>
        </w:r>
        <w:r w:rsidR="00C8263F">
          <w:rPr>
            <w:color w:val="0D0D0D"/>
            <w:w w:val="130"/>
            <w:sz w:val="20"/>
          </w:rPr>
          <w:t>(nr 37412/22)</w:t>
        </w:r>
      </w:hyperlink>
      <w:r>
        <w:rPr>
          <w:color w:val="404040"/>
          <w:w w:val="130"/>
          <w:sz w:val="20"/>
        </w:rPr>
        <w:t xml:space="preserve">, </w:t>
      </w:r>
      <w:proofErr w:type="spellStart"/>
      <w:r>
        <w:rPr>
          <w:color w:val="404040"/>
          <w:w w:val="130"/>
          <w:sz w:val="20"/>
        </w:rPr>
        <w:t>decyzja</w:t>
      </w:r>
      <w:proofErr w:type="spellEnd"/>
      <w:r>
        <w:rPr>
          <w:color w:val="404040"/>
          <w:w w:val="130"/>
          <w:sz w:val="20"/>
        </w:rPr>
        <w:t xml:space="preserve"> w </w:t>
      </w:r>
      <w:proofErr w:type="spellStart"/>
      <w:r>
        <w:rPr>
          <w:color w:val="404040"/>
          <w:w w:val="130"/>
          <w:sz w:val="20"/>
        </w:rPr>
        <w:t>sprawie</w:t>
      </w:r>
      <w:proofErr w:type="spellEnd"/>
      <w:r>
        <w:rPr>
          <w:color w:val="404040"/>
          <w:w w:val="130"/>
          <w:sz w:val="20"/>
        </w:rPr>
        <w:t xml:space="preserve"> </w:t>
      </w:r>
      <w:proofErr w:type="spellStart"/>
      <w:r>
        <w:rPr>
          <w:color w:val="404040"/>
          <w:w w:val="130"/>
          <w:sz w:val="20"/>
        </w:rPr>
        <w:t>dopuszczalności</w:t>
      </w:r>
      <w:proofErr w:type="spellEnd"/>
      <w:r>
        <w:rPr>
          <w:color w:val="404040"/>
          <w:w w:val="130"/>
          <w:sz w:val="20"/>
        </w:rPr>
        <w:t xml:space="preserve"> z </w:t>
      </w:r>
      <w:proofErr w:type="spellStart"/>
      <w:r>
        <w:rPr>
          <w:color w:val="404040"/>
          <w:w w:val="130"/>
          <w:sz w:val="20"/>
        </w:rPr>
        <w:t>dnia</w:t>
      </w:r>
      <w:proofErr w:type="spellEnd"/>
      <w:r>
        <w:rPr>
          <w:color w:val="404040"/>
          <w:w w:val="130"/>
          <w:sz w:val="20"/>
        </w:rPr>
        <w:t xml:space="preserve"> 3 </w:t>
      </w:r>
      <w:proofErr w:type="spellStart"/>
      <w:r>
        <w:rPr>
          <w:color w:val="404040"/>
          <w:w w:val="130"/>
          <w:sz w:val="20"/>
        </w:rPr>
        <w:t>sierpnia</w:t>
      </w:r>
      <w:proofErr w:type="spellEnd"/>
      <w:r>
        <w:rPr>
          <w:color w:val="404040"/>
          <w:w w:val="130"/>
          <w:sz w:val="20"/>
        </w:rPr>
        <w:t xml:space="preserve"> 2022 r.</w:t>
      </w:r>
    </w:p>
    <w:p w14:paraId="5C332BED" w14:textId="77777777" w:rsidR="00C8263F" w:rsidRPr="000D5D2D" w:rsidRDefault="00C8263F">
      <w:pPr>
        <w:pStyle w:val="Nagwek2"/>
        <w:spacing w:before="117"/>
        <w:rPr>
          <w:u w:val="thick"/>
        </w:rPr>
      </w:pPr>
      <w:hyperlink r:id="rId28">
        <w:r w:rsidRPr="000D5D2D">
          <w:rPr>
            <w:color w:val="0071BB"/>
            <w:w w:val="135"/>
            <w:u w:val="thick" w:color="0071BB"/>
          </w:rPr>
          <w:t xml:space="preserve">Afiri </w:t>
        </w:r>
        <w:proofErr w:type="spellStart"/>
        <w:r w:rsidRPr="000D5D2D">
          <w:rPr>
            <w:color w:val="0071BB"/>
            <w:w w:val="135"/>
            <w:u w:val="thick" w:color="0071BB"/>
          </w:rPr>
          <w:t>i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w w:val="135"/>
            <w:u w:val="thick" w:color="0071BB"/>
          </w:rPr>
          <w:t>Biddarri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Francji</w:t>
        </w:r>
        <w:proofErr w:type="spellEnd"/>
      </w:hyperlink>
    </w:p>
    <w:p w14:paraId="32291597" w14:textId="77777777" w:rsidR="00C8263F" w:rsidRDefault="0000000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23 </w:t>
      </w:r>
      <w:proofErr w:type="spellStart"/>
      <w:r>
        <w:rPr>
          <w:color w:val="808080"/>
          <w:w w:val="125"/>
          <w:sz w:val="18"/>
        </w:rPr>
        <w:t>stycznia</w:t>
      </w:r>
      <w:proofErr w:type="spellEnd"/>
      <w:r>
        <w:rPr>
          <w:color w:val="808080"/>
          <w:w w:val="125"/>
          <w:sz w:val="18"/>
        </w:rPr>
        <w:t xml:space="preserve"> 2018 r. (</w:t>
      </w:r>
      <w:proofErr w:type="spellStart"/>
      <w:r>
        <w:rPr>
          <w:color w:val="808080"/>
          <w:spacing w:val="-2"/>
          <w:w w:val="125"/>
          <w:sz w:val="18"/>
        </w:rPr>
        <w:t>decyzja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r>
        <w:rPr>
          <w:color w:val="808080"/>
          <w:w w:val="125"/>
          <w:sz w:val="18"/>
        </w:rPr>
        <w:t xml:space="preserve">o </w:t>
      </w:r>
      <w:proofErr w:type="spellStart"/>
      <w:r>
        <w:rPr>
          <w:color w:val="808080"/>
          <w:w w:val="125"/>
          <w:sz w:val="18"/>
        </w:rPr>
        <w:t>niedopuszczalności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6D2E0A4F" w14:textId="77777777" w:rsidR="00C8263F" w:rsidRDefault="00000000">
      <w:pPr>
        <w:pStyle w:val="Tekstpodstawowy"/>
        <w:spacing w:before="2"/>
        <w:ind w:right="727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decyzji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wycofaniu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podtrzymującego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życie</w:t>
      </w:r>
      <w:proofErr w:type="spellEnd"/>
      <w:r>
        <w:rPr>
          <w:w w:val="120"/>
        </w:rPr>
        <w:t xml:space="preserve"> 14-letniej </w:t>
      </w:r>
      <w:proofErr w:type="spellStart"/>
      <w:r>
        <w:rPr>
          <w:w w:val="120"/>
        </w:rPr>
        <w:t>dziewczynki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znajdującej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stanie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wegetatywnym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następstwie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ostrej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niewydolności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krążeniowo-oddechowej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skarżyli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fakt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decyzja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wycofaniu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leczenia</w:t>
      </w:r>
      <w:proofErr w:type="spellEnd"/>
      <w:r>
        <w:rPr>
          <w:w w:val="120"/>
        </w:rPr>
        <w:t xml:space="preserve"> ich </w:t>
      </w:r>
      <w:proofErr w:type="spellStart"/>
      <w:r>
        <w:rPr>
          <w:w w:val="120"/>
        </w:rPr>
        <w:t>małoletniej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córki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ostatecznie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należała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lekarza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mimo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sprzeciwiali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temu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Argumentowali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powinni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współdecydowania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ramach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procedury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zbiorowej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posiadające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odpowiedzialność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rodzicielską</w:t>
      </w:r>
      <w:proofErr w:type="spellEnd"/>
      <w:r>
        <w:rPr>
          <w:w w:val="120"/>
        </w:rPr>
        <w:t>.</w:t>
      </w:r>
    </w:p>
    <w:p w14:paraId="1A4E6B58" w14:textId="7BF40759" w:rsidR="00C8263F" w:rsidRDefault="00000000">
      <w:pPr>
        <w:pStyle w:val="Tekstpodstawowy"/>
        <w:ind w:right="728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skargę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b/>
          <w:color w:val="0071BB"/>
          <w:w w:val="120"/>
        </w:rPr>
        <w:t>niedopuszczalną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oczywiście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bezzasadną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obowiązujące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ramy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zgodne</w:t>
      </w:r>
      <w:proofErr w:type="spellEnd"/>
      <w:r>
        <w:rPr>
          <w:color w:val="0071BB"/>
          <w:w w:val="120"/>
        </w:rPr>
        <w:t xml:space="preserve"> z art. 2 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pomimo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zgadzali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wynikiem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decyzyjnego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podjętego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lekarzy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proces</w:t>
      </w:r>
      <w:proofErr w:type="spellEnd"/>
      <w:r>
        <w:rPr>
          <w:color w:val="0071BB"/>
          <w:w w:val="120"/>
        </w:rPr>
        <w:t xml:space="preserve"> ten </w:t>
      </w:r>
      <w:proofErr w:type="spellStart"/>
      <w:r>
        <w:rPr>
          <w:color w:val="0071BB"/>
          <w:w w:val="120"/>
        </w:rPr>
        <w:t>spełniał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wymogi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artykułu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francuskie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przewidziało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odwoławczy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spełniał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wymogi</w:t>
      </w:r>
      <w:proofErr w:type="spellEnd"/>
      <w:r>
        <w:rPr>
          <w:color w:val="0071BB"/>
          <w:w w:val="120"/>
        </w:rPr>
        <w:t xml:space="preserve"> art. 2.</w:t>
      </w:r>
    </w:p>
    <w:p w14:paraId="4D78BF26" w14:textId="77777777" w:rsidR="00C8263F" w:rsidRPr="000D5D2D" w:rsidRDefault="00C8263F">
      <w:pPr>
        <w:pStyle w:val="Nagwek2"/>
        <w:spacing w:before="106"/>
        <w:ind w:left="873"/>
        <w:rPr>
          <w:u w:val="thick"/>
        </w:rPr>
      </w:pPr>
      <w:hyperlink r:id="rId29">
        <w:r w:rsidRPr="000D5D2D">
          <w:rPr>
            <w:color w:val="0071BB"/>
            <w:w w:val="130"/>
            <w:u w:val="thick" w:color="0071BB"/>
          </w:rPr>
          <w:t xml:space="preserve">Mortier </w:t>
        </w:r>
        <w:proofErr w:type="spellStart"/>
        <w:r w:rsidRPr="000D5D2D">
          <w:rPr>
            <w:color w:val="0071BB"/>
            <w:w w:val="130"/>
            <w:u w:val="thick" w:color="0071BB"/>
          </w:rPr>
          <w:t>przeciwko</w:t>
        </w:r>
        <w:proofErr w:type="spellEnd"/>
        <w:r w:rsidRPr="000D5D2D">
          <w:rPr>
            <w:color w:val="0071BB"/>
            <w:w w:val="130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0"/>
            <w:u w:val="thick" w:color="0071BB"/>
          </w:rPr>
          <w:t>Belgii</w:t>
        </w:r>
        <w:proofErr w:type="spellEnd"/>
      </w:hyperlink>
    </w:p>
    <w:p w14:paraId="2C49E6C7" w14:textId="77777777" w:rsidR="00C8263F" w:rsidRDefault="00000000">
      <w:pPr>
        <w:spacing w:before="56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4 </w:t>
      </w:r>
      <w:proofErr w:type="spellStart"/>
      <w:r>
        <w:rPr>
          <w:color w:val="808080"/>
          <w:w w:val="125"/>
          <w:sz w:val="18"/>
        </w:rPr>
        <w:t>października</w:t>
      </w:r>
      <w:proofErr w:type="spellEnd"/>
      <w:r>
        <w:rPr>
          <w:color w:val="808080"/>
          <w:w w:val="125"/>
          <w:sz w:val="18"/>
        </w:rPr>
        <w:t xml:space="preserve"> 2022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Izby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2A272F32" w14:textId="77777777" w:rsidR="00C8263F" w:rsidRDefault="00000000">
      <w:pPr>
        <w:pStyle w:val="Tekstpodstawowy"/>
        <w:spacing w:before="1"/>
        <w:ind w:right="730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śmierci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matki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skarżącego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eutanazji</w:t>
      </w:r>
      <w:proofErr w:type="spellEnd"/>
      <w:r>
        <w:rPr>
          <w:w w:val="120"/>
        </w:rPr>
        <w:t xml:space="preserve">, o </w:t>
      </w:r>
      <w:proofErr w:type="spellStart"/>
      <w:r>
        <w:rPr>
          <w:w w:val="120"/>
        </w:rPr>
        <w:t>której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ani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siostra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poinformowani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Matka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chciała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poinformować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dzieci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swojej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prośbie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eutanazję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pomimo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wielokrotnych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zaleceń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lekarzy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zarzucił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państwo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wypełniło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obowiązków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zakresie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ochrony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matki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ponieważ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przypadku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zastosowano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ustawowej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procedury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eutanazji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zarzucił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również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dogłębnego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skutecznego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śledztwa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podnoszonych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kwestiach</w:t>
      </w:r>
      <w:proofErr w:type="spellEnd"/>
      <w:r>
        <w:rPr>
          <w:w w:val="120"/>
        </w:rPr>
        <w:t>.</w:t>
      </w:r>
    </w:p>
    <w:p w14:paraId="3C4A4EE8" w14:textId="5218621A" w:rsidR="00C8263F" w:rsidRDefault="00000000">
      <w:pPr>
        <w:pStyle w:val="Tekstpodstawowy"/>
        <w:ind w:right="728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najpierw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wyjaśnił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istnieje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eutanazji</w:t>
      </w:r>
      <w:proofErr w:type="spellEnd"/>
      <w:r>
        <w:rPr>
          <w:color w:val="0071BB"/>
          <w:w w:val="120"/>
        </w:rPr>
        <w:t xml:space="preserve">, ale </w:t>
      </w:r>
      <w:proofErr w:type="spellStart"/>
      <w:r>
        <w:rPr>
          <w:color w:val="0071BB"/>
          <w:w w:val="120"/>
        </w:rPr>
        <w:t>zgodności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Konwencją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aktu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eutanazji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dokonanego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matki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2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względu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ramy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regulujące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czynności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procedurę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eutanazją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przepisy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ustawowe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eutanazji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stanowiły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zasadniczo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ramy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ochronę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pacjentów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wymogami</w:t>
      </w:r>
      <w:proofErr w:type="spellEnd"/>
      <w:r>
        <w:rPr>
          <w:color w:val="0071BB"/>
          <w:w w:val="120"/>
        </w:rPr>
        <w:t xml:space="preserve"> art. 2.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2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względu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warunki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jakich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akt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eutanazji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przeprowadzony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matki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uznając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podstawie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zgromadzonych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dowodów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przedmiotowy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przeprowadzony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ustanowionymi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ramami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ustawowymi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naruszył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wymogi</w:t>
      </w:r>
      <w:proofErr w:type="spellEnd"/>
      <w:r>
        <w:rPr>
          <w:color w:val="0071BB"/>
          <w:w w:val="120"/>
        </w:rPr>
        <w:t xml:space="preserve"> art. 2.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2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względu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procedurę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kontroli</w:t>
      </w:r>
      <w:proofErr w:type="spellEnd"/>
      <w:r>
        <w:rPr>
          <w:color w:val="0071BB"/>
          <w:w w:val="120"/>
        </w:rPr>
        <w:t xml:space="preserve"> po </w:t>
      </w:r>
      <w:proofErr w:type="spellStart"/>
      <w:r>
        <w:rPr>
          <w:color w:val="0071BB"/>
          <w:w w:val="120"/>
        </w:rPr>
        <w:t>eutanazji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wypełniło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pozytywnego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proceduralnego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względu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brak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niezależności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Federalnej</w:t>
      </w:r>
      <w:proofErr w:type="spellEnd"/>
      <w:r>
        <w:rPr>
          <w:color w:val="0071BB"/>
          <w:w w:val="120"/>
        </w:rPr>
        <w:t xml:space="preserve"> Rady ds. </w:t>
      </w:r>
      <w:proofErr w:type="spellStart"/>
      <w:r>
        <w:rPr>
          <w:color w:val="0071BB"/>
          <w:w w:val="120"/>
        </w:rPr>
        <w:t>Kontroli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Oceny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Eutanazji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długość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postępowania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karnego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te</w:t>
      </w:r>
      <w:r w:rsidR="00F558EA">
        <w:rPr>
          <w:color w:val="0071BB"/>
          <w:w w:val="120"/>
        </w:rPr>
        <w:t>j</w:t>
      </w:r>
      <w:proofErr w:type="spellEnd"/>
      <w:r w:rsidR="00F558EA">
        <w:rPr>
          <w:color w:val="0071BB"/>
          <w:w w:val="120"/>
        </w:rPr>
        <w:t xml:space="preserve"> </w:t>
      </w:r>
      <w:proofErr w:type="spellStart"/>
      <w:r w:rsidR="00F558EA"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Wreszcie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</w:t>
      </w:r>
      <w:r w:rsidR="00F558EA">
        <w:rPr>
          <w:b/>
          <w:color w:val="0071BB"/>
          <w:w w:val="120"/>
        </w:rPr>
        <w:t xml:space="preserve">art. </w:t>
      </w:r>
      <w:r>
        <w:rPr>
          <w:b/>
          <w:color w:val="0071BB"/>
          <w:w w:val="120"/>
        </w:rPr>
        <w:t xml:space="preserve">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udzielający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pomocy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matce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zrobili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wszystko</w:t>
      </w:r>
      <w:proofErr w:type="spellEnd"/>
      <w:r>
        <w:rPr>
          <w:color w:val="0071BB"/>
          <w:w w:val="120"/>
        </w:rPr>
        <w:t xml:space="preserve">, co w ich </w:t>
      </w:r>
      <w:proofErr w:type="spellStart"/>
      <w:r>
        <w:rPr>
          <w:color w:val="0071BB"/>
          <w:w w:val="120"/>
        </w:rPr>
        <w:t>mocy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obowiązkiem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zachowania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poufności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tajemnicy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lekarskiej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także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wytycznymi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etycznymi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zapewnić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skontaktowała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ona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swoimi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dziećmi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wniosku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eutanazję</w:t>
      </w:r>
      <w:proofErr w:type="spellEnd"/>
      <w:r>
        <w:rPr>
          <w:color w:val="0071BB"/>
          <w:w w:val="120"/>
        </w:rPr>
        <w:t>.</w:t>
      </w:r>
    </w:p>
    <w:p w14:paraId="09C1E789" w14:textId="77777777" w:rsidR="00C8263F" w:rsidRPr="000D5D2D" w:rsidRDefault="00C8263F">
      <w:pPr>
        <w:pStyle w:val="Nagwek2"/>
        <w:spacing w:before="92"/>
        <w:jc w:val="left"/>
        <w:rPr>
          <w:u w:val="thick"/>
        </w:rPr>
      </w:pPr>
      <w:hyperlink r:id="rId30">
        <w:r w:rsidRPr="000D5D2D">
          <w:rPr>
            <w:color w:val="0071BB"/>
            <w:w w:val="135"/>
            <w:u w:val="thick" w:color="0071BB"/>
          </w:rPr>
          <w:t xml:space="preserve">Daniel Karsai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Węgrom</w:t>
        </w:r>
        <w:proofErr w:type="spellEnd"/>
      </w:hyperlink>
    </w:p>
    <w:p w14:paraId="6EDC30A8" w14:textId="77777777" w:rsidR="00C8263F" w:rsidRDefault="00000000">
      <w:pPr>
        <w:spacing w:before="52"/>
        <w:ind w:left="874"/>
        <w:rPr>
          <w:sz w:val="18"/>
        </w:rPr>
      </w:pPr>
      <w:r>
        <w:rPr>
          <w:color w:val="808080"/>
          <w:w w:val="125"/>
          <w:sz w:val="18"/>
        </w:rPr>
        <w:t xml:space="preserve">13 </w:t>
      </w:r>
      <w:proofErr w:type="spellStart"/>
      <w:r>
        <w:rPr>
          <w:color w:val="808080"/>
          <w:w w:val="125"/>
          <w:sz w:val="18"/>
        </w:rPr>
        <w:t>czerwca</w:t>
      </w:r>
      <w:proofErr w:type="spellEnd"/>
      <w:r>
        <w:rPr>
          <w:color w:val="808080"/>
          <w:w w:val="125"/>
          <w:sz w:val="18"/>
        </w:rPr>
        <w:t xml:space="preserve"> 2024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Izby</w:t>
      </w:r>
      <w:proofErr w:type="spellEnd"/>
      <w:r w:rsidR="00C8263F">
        <w:fldChar w:fldCharType="begin"/>
      </w:r>
      <w:r w:rsidR="00C8263F">
        <w:instrText>HYPERLINK \l "_bookmark3"</w:instrText>
      </w:r>
      <w:r w:rsidR="00C8263F">
        <w:fldChar w:fldCharType="separate"/>
      </w:r>
      <w:r w:rsidR="00C8263F">
        <w:rPr>
          <w:color w:val="808080"/>
          <w:spacing w:val="-2"/>
          <w:w w:val="125"/>
          <w:position w:val="6"/>
          <w:sz w:val="12"/>
        </w:rPr>
        <w:t>4</w:t>
      </w:r>
      <w:r w:rsidR="00C8263F">
        <w:fldChar w:fldCharType="end"/>
      </w:r>
      <w:r>
        <w:rPr>
          <w:color w:val="808080"/>
          <w:spacing w:val="-2"/>
          <w:w w:val="125"/>
          <w:sz w:val="18"/>
        </w:rPr>
        <w:t>)</w:t>
      </w:r>
    </w:p>
    <w:p w14:paraId="10439E96" w14:textId="77777777" w:rsidR="00C8263F" w:rsidRDefault="00000000">
      <w:pPr>
        <w:pStyle w:val="Tekstpodstawowy"/>
        <w:spacing w:before="1"/>
        <w:ind w:left="874"/>
        <w:jc w:val="left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ta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kwestii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dochodzonego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samostanowienia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swojej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śmierci</w:t>
      </w:r>
      <w:proofErr w:type="spellEnd"/>
      <w:r>
        <w:rPr>
          <w:w w:val="120"/>
        </w:rPr>
        <w:t xml:space="preserve"> </w:t>
      </w:r>
      <w:proofErr w:type="spellStart"/>
      <w:r>
        <w:rPr>
          <w:spacing w:val="-5"/>
          <w:w w:val="120"/>
        </w:rPr>
        <w:t>przez</w:t>
      </w:r>
      <w:proofErr w:type="spellEnd"/>
    </w:p>
    <w:p w14:paraId="0D279638" w14:textId="77777777" w:rsidR="00C8263F" w:rsidRDefault="00000000">
      <w:pPr>
        <w:pStyle w:val="Tekstpodstawowy"/>
        <w:spacing w:before="48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702D803" wp14:editId="7325CA2C">
                <wp:simplePos x="0" y="0"/>
                <wp:positionH relativeFrom="page">
                  <wp:posOffset>914400</wp:posOffset>
                </wp:positionH>
                <wp:positionV relativeFrom="paragraph">
                  <wp:posOffset>200849</wp:posOffset>
                </wp:positionV>
                <wp:extent cx="1828800" cy="762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5B75E" id="Graphic 13" o:spid="_x0000_s1026" style="position:absolute;margin-left:1in;margin-top:15.8pt;width:2in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BA9EE3" w14:textId="0C7872EA" w:rsidR="00C8263F" w:rsidRDefault="00000000">
      <w:pPr>
        <w:spacing w:before="104"/>
        <w:ind w:left="873" w:right="452"/>
        <w:rPr>
          <w:sz w:val="16"/>
        </w:rPr>
      </w:pPr>
      <w:bookmarkStart w:id="3" w:name="_bookmark3"/>
      <w:bookmarkEnd w:id="3"/>
      <w:r>
        <w:rPr>
          <w:w w:val="125"/>
          <w:sz w:val="16"/>
          <w:vertAlign w:val="superscript"/>
        </w:rPr>
        <w:t>4</w:t>
      </w:r>
      <w:r>
        <w:rPr>
          <w:w w:val="125"/>
          <w:sz w:val="16"/>
        </w:rPr>
        <w:t xml:space="preserve">. </w:t>
      </w:r>
      <w:proofErr w:type="spellStart"/>
      <w:r>
        <w:rPr>
          <w:w w:val="125"/>
          <w:sz w:val="16"/>
        </w:rPr>
        <w:t>Niniejszy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wyrok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stanie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się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ostateczny</w:t>
      </w:r>
      <w:proofErr w:type="spellEnd"/>
      <w:r>
        <w:rPr>
          <w:w w:val="125"/>
          <w:sz w:val="16"/>
        </w:rPr>
        <w:t xml:space="preserve"> w </w:t>
      </w:r>
      <w:proofErr w:type="spellStart"/>
      <w:r>
        <w:rPr>
          <w:w w:val="125"/>
          <w:sz w:val="16"/>
        </w:rPr>
        <w:t>okolicznościach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określonych</w:t>
      </w:r>
      <w:proofErr w:type="spellEnd"/>
      <w:r>
        <w:rPr>
          <w:w w:val="125"/>
          <w:sz w:val="16"/>
        </w:rPr>
        <w:t xml:space="preserve"> w art. 44 § 2 (</w:t>
      </w:r>
      <w:proofErr w:type="spellStart"/>
      <w:r>
        <w:rPr>
          <w:w w:val="125"/>
          <w:sz w:val="16"/>
        </w:rPr>
        <w:t>wyroki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ostateczne</w:t>
      </w:r>
      <w:proofErr w:type="spellEnd"/>
      <w:r>
        <w:rPr>
          <w:w w:val="125"/>
          <w:sz w:val="16"/>
        </w:rPr>
        <w:t>)</w:t>
      </w:r>
      <w:r w:rsidR="00F558EA">
        <w:rPr>
          <w:w w:val="125"/>
          <w:sz w:val="16"/>
        </w:rPr>
        <w:t xml:space="preserve"> </w:t>
      </w:r>
      <w:hyperlink r:id="rId31">
        <w:proofErr w:type="spellStart"/>
        <w:r w:rsidR="00C8263F">
          <w:rPr>
            <w:color w:val="0071BB"/>
            <w:w w:val="125"/>
            <w:sz w:val="16"/>
            <w:u w:val="single" w:color="0071BB"/>
          </w:rPr>
          <w:t>Europejskiej</w:t>
        </w:r>
        <w:proofErr w:type="spellEnd"/>
        <w:r w:rsidR="00C8263F">
          <w:rPr>
            <w:color w:val="0071BB"/>
            <w:w w:val="125"/>
            <w:sz w:val="16"/>
            <w:u w:val="single" w:color="0071BB"/>
          </w:rPr>
          <w:t xml:space="preserve"> </w:t>
        </w:r>
        <w:proofErr w:type="spellStart"/>
        <w:r w:rsidR="00C8263F">
          <w:rPr>
            <w:color w:val="0071BB"/>
            <w:w w:val="125"/>
            <w:sz w:val="16"/>
            <w:u w:val="single" w:color="0071BB"/>
          </w:rPr>
          <w:t>Konwencji</w:t>
        </w:r>
        <w:proofErr w:type="spellEnd"/>
        <w:r w:rsidR="00C8263F">
          <w:rPr>
            <w:color w:val="0071BB"/>
            <w:w w:val="125"/>
            <w:sz w:val="16"/>
            <w:u w:val="single" w:color="0071BB"/>
          </w:rPr>
          <w:t xml:space="preserve"> </w:t>
        </w:r>
        <w:proofErr w:type="spellStart"/>
        <w:r w:rsidR="00C8263F">
          <w:rPr>
            <w:color w:val="0071BB"/>
            <w:w w:val="125"/>
            <w:sz w:val="16"/>
            <w:u w:val="single" w:color="0071BB"/>
          </w:rPr>
          <w:t>Praw</w:t>
        </w:r>
        <w:proofErr w:type="spellEnd"/>
        <w:r w:rsidR="00C8263F">
          <w:rPr>
            <w:color w:val="0071BB"/>
            <w:w w:val="125"/>
            <w:sz w:val="16"/>
            <w:u w:val="single" w:color="0071BB"/>
          </w:rPr>
          <w:t xml:space="preserve"> </w:t>
        </w:r>
        <w:proofErr w:type="spellStart"/>
        <w:r w:rsidR="00C8263F">
          <w:rPr>
            <w:color w:val="0071BB"/>
            <w:w w:val="125"/>
            <w:sz w:val="16"/>
            <w:u w:val="single" w:color="0071BB"/>
          </w:rPr>
          <w:t>Człowieka</w:t>
        </w:r>
        <w:proofErr w:type="spellEnd"/>
      </w:hyperlink>
      <w:r>
        <w:rPr>
          <w:w w:val="125"/>
          <w:sz w:val="16"/>
        </w:rPr>
        <w:t>.</w:t>
      </w:r>
    </w:p>
    <w:p w14:paraId="0C6E3B51" w14:textId="77777777" w:rsidR="00C8263F" w:rsidRDefault="00C8263F">
      <w:pPr>
        <w:rPr>
          <w:sz w:val="16"/>
        </w:rPr>
        <w:sectPr w:rsidR="00C8263F">
          <w:pgSz w:w="11910" w:h="16840"/>
          <w:pgMar w:top="1460" w:right="708" w:bottom="680" w:left="566" w:header="730" w:footer="497" w:gutter="0"/>
          <w:cols w:space="708"/>
        </w:sectPr>
      </w:pPr>
    </w:p>
    <w:p w14:paraId="7BE64586" w14:textId="56C602CC" w:rsidR="00C8263F" w:rsidRDefault="00F558EA">
      <w:pPr>
        <w:pStyle w:val="Tekstpodstawowy"/>
        <w:spacing w:before="240"/>
        <w:ind w:right="729"/>
      </w:pPr>
      <w:proofErr w:type="spellStart"/>
      <w:r>
        <w:rPr>
          <w:w w:val="120"/>
        </w:rPr>
        <w:lastRenderedPageBreak/>
        <w:t>skarżącego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cierpiał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zaawansowaną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postać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stwardnienia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zanikowego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bocznego</w:t>
      </w:r>
      <w:proofErr w:type="spellEnd"/>
      <w:r>
        <w:rPr>
          <w:w w:val="120"/>
        </w:rPr>
        <w:t xml:space="preserve"> (ALS), </w:t>
      </w:r>
      <w:proofErr w:type="spellStart"/>
      <w:r>
        <w:rPr>
          <w:w w:val="120"/>
        </w:rPr>
        <w:t>rodzaj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choroby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neuronów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ruchowych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którą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ma </w:t>
      </w:r>
      <w:proofErr w:type="spellStart"/>
      <w:r>
        <w:rPr>
          <w:w w:val="120"/>
        </w:rPr>
        <w:t>lekarstwa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chciał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możliwość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decydowania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kiedy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jaki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sposób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umrzeć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zanim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choroba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osiągnie</w:t>
      </w:r>
      <w:proofErr w:type="spellEnd"/>
      <w:r>
        <w:rPr>
          <w:w w:val="120"/>
        </w:rPr>
        <w:t xml:space="preserve"> stadium,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będzie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dla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zniesienia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Potrzebowałby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pomocy</w:t>
      </w:r>
      <w:proofErr w:type="spellEnd"/>
      <w:r>
        <w:rPr>
          <w:w w:val="120"/>
        </w:rPr>
        <w:t xml:space="preserve">, ale </w:t>
      </w:r>
      <w:proofErr w:type="spellStart"/>
      <w:r>
        <w:rPr>
          <w:w w:val="120"/>
        </w:rPr>
        <w:t>każdy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kto</w:t>
      </w:r>
      <w:proofErr w:type="spellEnd"/>
      <w:r>
        <w:rPr>
          <w:w w:val="120"/>
        </w:rPr>
        <w:t xml:space="preserve"> by mu </w:t>
      </w:r>
      <w:proofErr w:type="spellStart"/>
      <w:r>
        <w:rPr>
          <w:w w:val="120"/>
        </w:rPr>
        <w:t>pomagał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ryzykowałby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ściganie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nawet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jeśli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zmarłby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kraju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zezwala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śmierć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wspomaganą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lekarza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jest w </w:t>
      </w:r>
      <w:proofErr w:type="spellStart"/>
      <w:r>
        <w:rPr>
          <w:w w:val="120"/>
        </w:rPr>
        <w:t>stanie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zakończyć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pomocą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osób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jest </w:t>
      </w:r>
      <w:proofErr w:type="spellStart"/>
      <w:r>
        <w:rPr>
          <w:w w:val="120"/>
        </w:rPr>
        <w:t>dyskryminowany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porównaniu</w:t>
      </w:r>
      <w:proofErr w:type="spellEnd"/>
      <w:r>
        <w:rPr>
          <w:w w:val="120"/>
        </w:rPr>
        <w:t xml:space="preserve"> ze </w:t>
      </w:r>
      <w:proofErr w:type="spellStart"/>
      <w:r>
        <w:rPr>
          <w:w w:val="120"/>
        </w:rPr>
        <w:t>śmiertelnie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chorymi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pacjentami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poddawanymi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podtrzymującemu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poprosić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wycofanie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leczenia</w:t>
      </w:r>
      <w:proofErr w:type="spellEnd"/>
      <w:r>
        <w:rPr>
          <w:w w:val="120"/>
        </w:rPr>
        <w:t>.</w:t>
      </w:r>
    </w:p>
    <w:p w14:paraId="4C06213C" w14:textId="2FA61FB3" w:rsidR="00C8263F" w:rsidRDefault="00000000">
      <w:pPr>
        <w:pStyle w:val="Tekstpodstawowy"/>
        <w:ind w:right="728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</w:t>
      </w:r>
      <w:r w:rsidR="005670B9">
        <w:rPr>
          <w:color w:val="0071BB"/>
          <w:w w:val="120"/>
        </w:rPr>
        <w:t>j</w:t>
      </w:r>
      <w:proofErr w:type="spellEnd"/>
      <w:r w:rsidR="005670B9">
        <w:rPr>
          <w:color w:val="0071BB"/>
          <w:w w:val="120"/>
        </w:rPr>
        <w:t xml:space="preserve"> </w:t>
      </w:r>
      <w:proofErr w:type="spellStart"/>
      <w:r w:rsidR="005670B9">
        <w:rPr>
          <w:color w:val="0071BB"/>
          <w:w w:val="120"/>
        </w:rPr>
        <w:t>sprawie</w:t>
      </w:r>
      <w:proofErr w:type="spellEnd"/>
      <w:r w:rsidR="005670B9">
        <w:rPr>
          <w:color w:val="0071BB"/>
          <w:spacing w:val="40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doszło</w:t>
      </w:r>
      <w:proofErr w:type="spellEnd"/>
      <w:r>
        <w:rPr>
          <w:b/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</w:t>
      </w:r>
      <w:r w:rsidR="005670B9">
        <w:rPr>
          <w:b/>
          <w:color w:val="0071BB"/>
          <w:w w:val="120"/>
        </w:rPr>
        <w:t>art.</w:t>
      </w:r>
      <w:r>
        <w:rPr>
          <w:b/>
          <w:color w:val="0071BB"/>
          <w:w w:val="120"/>
        </w:rPr>
        <w:t xml:space="preserve">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ani </w:t>
      </w:r>
      <w:r w:rsidR="005670B9">
        <w:rPr>
          <w:b/>
          <w:color w:val="0071BB"/>
          <w:w w:val="120"/>
        </w:rPr>
        <w:t>art.</w:t>
      </w:r>
      <w:r>
        <w:rPr>
          <w:b/>
          <w:color w:val="0071BB"/>
          <w:w w:val="120"/>
        </w:rPr>
        <w:t xml:space="preserve"> 14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r>
        <w:rPr>
          <w:b/>
          <w:color w:val="0071BB"/>
          <w:w w:val="120"/>
        </w:rPr>
        <w:t xml:space="preserve">w </w:t>
      </w:r>
      <w:proofErr w:type="spellStart"/>
      <w:r>
        <w:rPr>
          <w:b/>
          <w:color w:val="0071BB"/>
          <w:w w:val="120"/>
        </w:rPr>
        <w:t>związku</w:t>
      </w:r>
      <w:proofErr w:type="spellEnd"/>
      <w:r>
        <w:rPr>
          <w:b/>
          <w:color w:val="0071BB"/>
          <w:w w:val="120"/>
        </w:rPr>
        <w:t xml:space="preserve"> z </w:t>
      </w:r>
      <w:r w:rsidR="005670B9">
        <w:rPr>
          <w:b/>
          <w:color w:val="0071BB"/>
          <w:w w:val="120"/>
        </w:rPr>
        <w:t xml:space="preserve">art. </w:t>
      </w:r>
      <w:r>
        <w:rPr>
          <w:b/>
          <w:color w:val="0071BB"/>
          <w:w w:val="120"/>
        </w:rPr>
        <w:t>8</w:t>
      </w:r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zapewnieniem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umierania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wspomaganego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lekarza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wiążą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potencjalnie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szerokie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implikacje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ryzyko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błędów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nadużyć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pomimo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rosnącej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tendencji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legalizacji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większość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członkowskich</w:t>
      </w:r>
      <w:proofErr w:type="spellEnd"/>
      <w:r>
        <w:rPr>
          <w:color w:val="0071BB"/>
          <w:w w:val="120"/>
        </w:rPr>
        <w:t xml:space="preserve"> Rady </w:t>
      </w:r>
      <w:proofErr w:type="spellStart"/>
      <w:r>
        <w:rPr>
          <w:color w:val="0071BB"/>
          <w:w w:val="120"/>
        </w:rPr>
        <w:t>Europy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nadal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zakazywała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zarówno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wspomaganego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medycznie</w:t>
      </w:r>
      <w:proofErr w:type="spellEnd"/>
      <w:r>
        <w:rPr>
          <w:color w:val="0071BB"/>
          <w:w w:val="120"/>
        </w:rPr>
        <w:t xml:space="preserve">, jak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eutanazji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związku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dysponowało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zakresie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szerokim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zakresem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węgierskie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zawiodły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znalezieniu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właściwej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konkurującymi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sobą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przekroczyły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zakresu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Niemniej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musi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interpretowana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stosowana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świetle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obecnyc</w:t>
      </w:r>
      <w:r w:rsidR="005670B9">
        <w:rPr>
          <w:color w:val="0071BB"/>
          <w:w w:val="120"/>
        </w:rPr>
        <w:t>h</w:t>
      </w:r>
      <w:proofErr w:type="spellEnd"/>
      <w:r w:rsidR="005670B9">
        <w:rPr>
          <w:color w:val="0071BB"/>
          <w:w w:val="120"/>
        </w:rPr>
        <w:t xml:space="preserve"> </w:t>
      </w:r>
      <w:proofErr w:type="spellStart"/>
      <w:r w:rsidR="005670B9">
        <w:rPr>
          <w:color w:val="0071BB"/>
          <w:w w:val="120"/>
        </w:rPr>
        <w:t>czasów</w:t>
      </w:r>
      <w:proofErr w:type="spellEnd"/>
      <w:r>
        <w:rPr>
          <w:color w:val="0071BB"/>
          <w:w w:val="120"/>
        </w:rPr>
        <w:t xml:space="preserve">. Potrzeba </w:t>
      </w:r>
      <w:proofErr w:type="spellStart"/>
      <w:r>
        <w:rPr>
          <w:color w:val="0071BB"/>
          <w:w w:val="120"/>
        </w:rPr>
        <w:t>odpowiednich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powinna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zatem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poddawana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przeglądowi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społeczeństwach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europejskich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międzynarodowe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standardy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etyki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medycznej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dziedzinie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wysokiej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paliatywna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skutecznego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bólu</w:t>
      </w:r>
      <w:proofErr w:type="spellEnd"/>
      <w:r>
        <w:rPr>
          <w:color w:val="0071BB"/>
          <w:w w:val="120"/>
        </w:rPr>
        <w:t xml:space="preserve">, ma </w:t>
      </w:r>
      <w:proofErr w:type="spellStart"/>
      <w:r>
        <w:rPr>
          <w:color w:val="0071BB"/>
          <w:w w:val="120"/>
        </w:rPr>
        <w:t>zasadnicze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znaczeni</w:t>
      </w:r>
      <w:r w:rsidR="005670B9">
        <w:rPr>
          <w:color w:val="0071BB"/>
          <w:w w:val="120"/>
        </w:rPr>
        <w:t>e</w:t>
      </w:r>
      <w:proofErr w:type="spellEnd"/>
      <w:r w:rsidR="005670B9">
        <w:rPr>
          <w:color w:val="0071BB"/>
          <w:w w:val="120"/>
        </w:rPr>
        <w:t xml:space="preserve"> </w:t>
      </w:r>
      <w:proofErr w:type="spellStart"/>
      <w:r w:rsidR="005670B9"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godnego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zakończenia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dowodami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biegłych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wysłuchanymi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dostępne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opcje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paliatywnej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oparte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zmienionych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zaleceniach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Europejskiego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Stowarzyszenia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Paliatywnej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stosowanie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sedacji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paliatywnej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zasadniczo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stanie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przynieść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ulgę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pacjentom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sytuacji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umożliwić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spokojną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śmierć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taka </w:t>
      </w:r>
      <w:proofErr w:type="spellStart"/>
      <w:r>
        <w:rPr>
          <w:color w:val="0071BB"/>
          <w:w w:val="120"/>
        </w:rPr>
        <w:t>opieka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niedostępna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zarzucanej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odmowa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wycofanie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leczenia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sytuacjach</w:t>
      </w:r>
      <w:proofErr w:type="spellEnd"/>
      <w:r>
        <w:rPr>
          <w:color w:val="0071BB"/>
          <w:w w:val="120"/>
        </w:rPr>
        <w:t xml:space="preserve"> u </w:t>
      </w:r>
      <w:proofErr w:type="spellStart"/>
      <w:r>
        <w:rPr>
          <w:color w:val="0071BB"/>
          <w:w w:val="120"/>
        </w:rPr>
        <w:t>schyłku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nierozerwalnie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związane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swobodnej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świadomej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zgody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pomocy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umieraniu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powszechnie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uznawane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popierane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zawód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lekarza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także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określone</w:t>
      </w:r>
      <w:proofErr w:type="spellEnd"/>
      <w:r>
        <w:rPr>
          <w:color w:val="0071BB"/>
          <w:w w:val="120"/>
        </w:rPr>
        <w:t xml:space="preserve"> w </w:t>
      </w:r>
      <w:hyperlink r:id="rId32">
        <w:proofErr w:type="spellStart"/>
        <w:r w:rsidR="00C8263F">
          <w:rPr>
            <w:color w:val="0071BB"/>
            <w:w w:val="120"/>
            <w:u w:val="single" w:color="0071BB"/>
          </w:rPr>
          <w:t>Konwencji</w:t>
        </w:r>
        <w:proofErr w:type="spellEnd"/>
      </w:hyperlink>
      <w:r>
        <w:rPr>
          <w:color w:val="0071BB"/>
          <w:w w:val="120"/>
        </w:rPr>
        <w:t xml:space="preserve"> Rady </w:t>
      </w:r>
      <w:proofErr w:type="spellStart"/>
      <w:r>
        <w:rPr>
          <w:color w:val="0071BB"/>
          <w:w w:val="120"/>
        </w:rPr>
        <w:t>Europy</w:t>
      </w:r>
      <w:proofErr w:type="spellEnd"/>
      <w:r>
        <w:rPr>
          <w:color w:val="0071BB"/>
          <w:w w:val="120"/>
        </w:rPr>
        <w:t xml:space="preserve"> </w:t>
      </w:r>
      <w:hyperlink r:id="rId33">
        <w:r w:rsidR="00C8263F" w:rsidRPr="000D5D2D">
          <w:rPr>
            <w:color w:val="0071BB"/>
            <w:w w:val="120"/>
            <w:u w:val="thick" w:color="0071BB"/>
          </w:rPr>
          <w:t>z Oviedo</w:t>
        </w:r>
      </w:hyperlink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odmowa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wycofanie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podtrzymywania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dozwolone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większość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członkowskich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zatem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domniemana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różnica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traktowaniu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dwóch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kategorii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obiektywnie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racjonalnie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uzasadniona</w:t>
      </w:r>
      <w:proofErr w:type="spellEnd"/>
      <w:r>
        <w:rPr>
          <w:color w:val="0071BB"/>
          <w:w w:val="120"/>
        </w:rPr>
        <w:t>.</w:t>
      </w:r>
    </w:p>
    <w:p w14:paraId="2235E8DE" w14:textId="77777777" w:rsidR="00C8263F" w:rsidRDefault="00000000">
      <w:pPr>
        <w:pStyle w:val="Tekstpodstawowy"/>
        <w:spacing w:before="1"/>
        <w:ind w:left="0"/>
        <w:jc w:val="lef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BC9E715" wp14:editId="5BB2D616">
                <wp:simplePos x="0" y="0"/>
                <wp:positionH relativeFrom="page">
                  <wp:posOffset>896111</wp:posOffset>
                </wp:positionH>
                <wp:positionV relativeFrom="paragraph">
                  <wp:posOffset>47065</wp:posOffset>
                </wp:positionV>
                <wp:extent cx="5768340" cy="1376680"/>
                <wp:effectExtent l="0" t="0" r="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37668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2190788F" w14:textId="2ED8D5F4" w:rsidR="00C8263F" w:rsidRDefault="00D03401">
                            <w:pPr>
                              <w:spacing w:before="1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spacing w:val="-2"/>
                                <w:w w:val="135"/>
                                <w:sz w:val="20"/>
                              </w:rPr>
                              <w:t>Skargi</w:t>
                            </w:r>
                            <w:proofErr w:type="spellEnd"/>
                            <w:r w:rsidR="00000000">
                              <w:rPr>
                                <w:b/>
                                <w:color w:val="5F5F5F"/>
                                <w:spacing w:val="-2"/>
                                <w:w w:val="13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b/>
                                <w:color w:val="5F5F5F"/>
                                <w:w w:val="135"/>
                                <w:sz w:val="20"/>
                              </w:rPr>
                              <w:t>oczekujące</w:t>
                            </w:r>
                            <w:proofErr w:type="spellEnd"/>
                            <w:r w:rsidR="00000000">
                              <w:rPr>
                                <w:b/>
                                <w:color w:val="5F5F5F"/>
                                <w:w w:val="13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b/>
                                <w:color w:val="5F5F5F"/>
                                <w:w w:val="135"/>
                                <w:sz w:val="20"/>
                              </w:rPr>
                              <w:t>na</w:t>
                            </w:r>
                            <w:proofErr w:type="spellEnd"/>
                            <w:r w:rsidR="00000000">
                              <w:rPr>
                                <w:b/>
                                <w:color w:val="5F5F5F"/>
                                <w:w w:val="13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b/>
                                <w:color w:val="5F5F5F"/>
                                <w:w w:val="135"/>
                                <w:sz w:val="20"/>
                              </w:rPr>
                              <w:t>rozpatrzenie</w:t>
                            </w:r>
                            <w:proofErr w:type="spellEnd"/>
                          </w:p>
                          <w:p w14:paraId="3E6DD90C" w14:textId="77777777" w:rsidR="00C8263F" w:rsidRPr="000D5D2D" w:rsidRDefault="00C8263F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  <w:u w:val="thick"/>
                              </w:rPr>
                            </w:pPr>
                            <w:hyperlink r:id="rId34"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Medmoune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przeciwko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Francji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(nr </w:t>
                              </w:r>
                              <w:r w:rsidRPr="000D5D2D"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20"/>
                                  <w:u w:val="thick" w:color="0071BB"/>
                                </w:rPr>
                                <w:t>55026/22)</w:t>
                              </w:r>
                            </w:hyperlink>
                          </w:p>
                          <w:p w14:paraId="172C65B2" w14:textId="3B159606" w:rsidR="00C8263F" w:rsidRDefault="00D03401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>Skarga</w:t>
                            </w:r>
                            <w:proofErr w:type="spellEnd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>zakomunikowana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rządowi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francuskiemu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dniu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27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lutego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808080"/>
                                <w:spacing w:val="-4"/>
                                <w:w w:val="120"/>
                                <w:sz w:val="18"/>
                              </w:rPr>
                              <w:t xml:space="preserve">2023 </w:t>
                            </w:r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r.</w:t>
                            </w:r>
                          </w:p>
                          <w:p w14:paraId="1D462A51" w14:textId="0416D112" w:rsidR="00C8263F" w:rsidRPr="000D5D2D" w:rsidRDefault="00C8263F">
                            <w:pPr>
                              <w:spacing w:before="123"/>
                              <w:ind w:left="28"/>
                              <w:rPr>
                                <w:b/>
                                <w:color w:val="000000"/>
                                <w:sz w:val="20"/>
                                <w:u w:val="thick"/>
                              </w:rPr>
                            </w:pPr>
                            <w:hyperlink r:id="rId35"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A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i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</w:t>
                              </w:r>
                              <w:r w:rsidR="00DB1F5C" w:rsidRPr="00DB1F5C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Inni</w:t>
                              </w:r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przeciwko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Francji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(nr </w:t>
                              </w:r>
                              <w:r w:rsidRPr="000D5D2D"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20"/>
                                  <w:u w:val="thick" w:color="0071BB"/>
                                </w:rPr>
                                <w:t>17952/23)</w:t>
                              </w:r>
                            </w:hyperlink>
                          </w:p>
                          <w:p w14:paraId="27D2384C" w14:textId="1634D78F" w:rsidR="00C8263F" w:rsidRDefault="00D03401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>Skarga</w:t>
                            </w:r>
                            <w:proofErr w:type="spellEnd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>zakomunikowana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rządowi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francuskiemu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dniu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4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września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808080"/>
                                <w:spacing w:val="-4"/>
                                <w:w w:val="120"/>
                                <w:sz w:val="18"/>
                              </w:rPr>
                              <w:t xml:space="preserve">2023 </w:t>
                            </w:r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r.</w:t>
                            </w:r>
                          </w:p>
                          <w:p w14:paraId="46C69167" w14:textId="77777777" w:rsidR="00C8263F" w:rsidRPr="000D5D2D" w:rsidRDefault="00C8263F">
                            <w:pPr>
                              <w:spacing w:before="121"/>
                              <w:ind w:left="28"/>
                              <w:rPr>
                                <w:b/>
                                <w:color w:val="000000"/>
                                <w:sz w:val="20"/>
                                <w:u w:val="thick"/>
                              </w:rPr>
                            </w:pPr>
                            <w:hyperlink r:id="rId36"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B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przeciwko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Francji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(nr 28026/23)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i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dwie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inne</w:t>
                              </w:r>
                              <w:proofErr w:type="spellEnd"/>
                              <w:r w:rsidRPr="000D5D2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 w:rsidRPr="000D5D2D"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20"/>
                                  <w:u w:val="thick" w:color="0071BB"/>
                                </w:rPr>
                                <w:t>skargi</w:t>
                              </w:r>
                              <w:proofErr w:type="spellEnd"/>
                            </w:hyperlink>
                          </w:p>
                          <w:p w14:paraId="4AC4F56F" w14:textId="15276F87" w:rsidR="00C8263F" w:rsidRDefault="00D03401">
                            <w:pPr>
                              <w:spacing w:before="56" w:line="210" w:lineRule="exact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>Skargi</w:t>
                            </w:r>
                            <w:proofErr w:type="spellEnd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>zakomunikowane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rządowi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francuskiemu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dniu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6 </w:t>
                            </w:r>
                            <w:proofErr w:type="spellStart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września</w:t>
                            </w:r>
                            <w:proofErr w:type="spellEnd"/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808080"/>
                                <w:spacing w:val="-4"/>
                                <w:w w:val="120"/>
                                <w:sz w:val="18"/>
                              </w:rPr>
                              <w:t xml:space="preserve">2023 </w:t>
                            </w:r>
                            <w:r w:rsidR="00000000">
                              <w:rPr>
                                <w:color w:val="808080"/>
                                <w:w w:val="120"/>
                                <w:sz w:val="18"/>
                              </w:rPr>
                              <w:t>r.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0BC9E71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70.55pt;margin-top:3.7pt;width:454.2pt;height:108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" fillcolor="#f3f3f3" stroked="f">
                <v:textbox inset="0,0,0,0">
                  <w:txbxContent>
                    <w:p w14:paraId="2190788F" w14:textId="2ED8D5F4" w:rsidR="00C8263F" w:rsidRDefault="00D03401">
                      <w:pPr>
                        <w:spacing w:before="1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spacing w:val="-2"/>
                          <w:w w:val="135"/>
                          <w:sz w:val="20"/>
                        </w:rPr>
                        <w:t>Skargi</w:t>
                      </w:r>
                      <w:proofErr w:type="spellEnd"/>
                      <w:r w:rsidR="00000000">
                        <w:rPr>
                          <w:b/>
                          <w:color w:val="5F5F5F"/>
                          <w:spacing w:val="-2"/>
                          <w:w w:val="135"/>
                          <w:sz w:val="20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b/>
                          <w:color w:val="5F5F5F"/>
                          <w:w w:val="135"/>
                          <w:sz w:val="20"/>
                        </w:rPr>
                        <w:t>oczekujące</w:t>
                      </w:r>
                      <w:proofErr w:type="spellEnd"/>
                      <w:r w:rsidR="00000000">
                        <w:rPr>
                          <w:b/>
                          <w:color w:val="5F5F5F"/>
                          <w:w w:val="135"/>
                          <w:sz w:val="20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b/>
                          <w:color w:val="5F5F5F"/>
                          <w:w w:val="135"/>
                          <w:sz w:val="20"/>
                        </w:rPr>
                        <w:t>na</w:t>
                      </w:r>
                      <w:proofErr w:type="spellEnd"/>
                      <w:r w:rsidR="00000000">
                        <w:rPr>
                          <w:b/>
                          <w:color w:val="5F5F5F"/>
                          <w:w w:val="135"/>
                          <w:sz w:val="20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b/>
                          <w:color w:val="5F5F5F"/>
                          <w:w w:val="135"/>
                          <w:sz w:val="20"/>
                        </w:rPr>
                        <w:t>rozpatrzenie</w:t>
                      </w:r>
                      <w:proofErr w:type="spellEnd"/>
                    </w:p>
                    <w:p w14:paraId="3E6DD90C" w14:textId="77777777" w:rsidR="00C8263F" w:rsidRPr="000D5D2D" w:rsidRDefault="00C8263F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  <w:u w:val="thick"/>
                        </w:rPr>
                      </w:pPr>
                      <w:hyperlink r:id="rId37"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Medmoune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przeciwko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Francji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(nr </w:t>
                        </w:r>
                        <w:r w:rsidRPr="000D5D2D">
                          <w:rPr>
                            <w:b/>
                            <w:color w:val="0071BB"/>
                            <w:spacing w:val="-2"/>
                            <w:w w:val="135"/>
                            <w:sz w:val="20"/>
                            <w:u w:val="thick" w:color="0071BB"/>
                          </w:rPr>
                          <w:t>55026/22)</w:t>
                        </w:r>
                      </w:hyperlink>
                    </w:p>
                    <w:p w14:paraId="172C65B2" w14:textId="3B159606" w:rsidR="00C8263F" w:rsidRDefault="00D03401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proofErr w:type="spellStart"/>
                      <w:r>
                        <w:rPr>
                          <w:color w:val="808080"/>
                          <w:w w:val="120"/>
                          <w:sz w:val="18"/>
                        </w:rPr>
                        <w:t>Skarga</w:t>
                      </w:r>
                      <w:proofErr w:type="spellEnd"/>
                      <w:r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w w:val="120"/>
                          <w:sz w:val="18"/>
                        </w:rPr>
                        <w:t>zakomunikowana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rządowi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francuskiemu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dniu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27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lutego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r w:rsidR="00000000">
                        <w:rPr>
                          <w:color w:val="808080"/>
                          <w:spacing w:val="-4"/>
                          <w:w w:val="120"/>
                          <w:sz w:val="18"/>
                        </w:rPr>
                        <w:t xml:space="preserve">2023 </w:t>
                      </w:r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r.</w:t>
                      </w:r>
                    </w:p>
                    <w:p w14:paraId="1D462A51" w14:textId="0416D112" w:rsidR="00C8263F" w:rsidRPr="000D5D2D" w:rsidRDefault="00C8263F">
                      <w:pPr>
                        <w:spacing w:before="123"/>
                        <w:ind w:left="28"/>
                        <w:rPr>
                          <w:b/>
                          <w:color w:val="000000"/>
                          <w:sz w:val="20"/>
                          <w:u w:val="thick"/>
                        </w:rPr>
                      </w:pPr>
                      <w:hyperlink r:id="rId38"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A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i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</w:t>
                        </w:r>
                        <w:r w:rsidR="00DB1F5C" w:rsidRPr="00DB1F5C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Inni</w:t>
                        </w:r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przeciwko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Francji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(nr </w:t>
                        </w:r>
                        <w:r w:rsidRPr="000D5D2D">
                          <w:rPr>
                            <w:b/>
                            <w:color w:val="0071BB"/>
                            <w:spacing w:val="-2"/>
                            <w:w w:val="135"/>
                            <w:sz w:val="20"/>
                            <w:u w:val="thick" w:color="0071BB"/>
                          </w:rPr>
                          <w:t>17952/23)</w:t>
                        </w:r>
                      </w:hyperlink>
                    </w:p>
                    <w:p w14:paraId="27D2384C" w14:textId="1634D78F" w:rsidR="00C8263F" w:rsidRDefault="00D03401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proofErr w:type="spellStart"/>
                      <w:r>
                        <w:rPr>
                          <w:color w:val="808080"/>
                          <w:w w:val="120"/>
                          <w:sz w:val="18"/>
                        </w:rPr>
                        <w:t>Skarga</w:t>
                      </w:r>
                      <w:proofErr w:type="spellEnd"/>
                      <w:r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w w:val="120"/>
                          <w:sz w:val="18"/>
                        </w:rPr>
                        <w:t>zakomunikowana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rządowi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francuskiemu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dniu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4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września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r w:rsidR="00000000">
                        <w:rPr>
                          <w:color w:val="808080"/>
                          <w:spacing w:val="-4"/>
                          <w:w w:val="120"/>
                          <w:sz w:val="18"/>
                        </w:rPr>
                        <w:t xml:space="preserve">2023 </w:t>
                      </w:r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r.</w:t>
                      </w:r>
                    </w:p>
                    <w:p w14:paraId="46C69167" w14:textId="77777777" w:rsidR="00C8263F" w:rsidRPr="000D5D2D" w:rsidRDefault="00C8263F">
                      <w:pPr>
                        <w:spacing w:before="121"/>
                        <w:ind w:left="28"/>
                        <w:rPr>
                          <w:b/>
                          <w:color w:val="000000"/>
                          <w:sz w:val="20"/>
                          <w:u w:val="thick"/>
                        </w:rPr>
                      </w:pPr>
                      <w:hyperlink r:id="rId39"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B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przeciwko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Francji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(nr 28026/23)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i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dwie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inne</w:t>
                        </w:r>
                        <w:proofErr w:type="spellEnd"/>
                        <w:r w:rsidRPr="000D5D2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 w:rsidRPr="000D5D2D">
                          <w:rPr>
                            <w:b/>
                            <w:color w:val="0071BB"/>
                            <w:spacing w:val="-2"/>
                            <w:w w:val="135"/>
                            <w:sz w:val="20"/>
                            <w:u w:val="thick" w:color="0071BB"/>
                          </w:rPr>
                          <w:t>skargi</w:t>
                        </w:r>
                        <w:proofErr w:type="spellEnd"/>
                      </w:hyperlink>
                    </w:p>
                    <w:p w14:paraId="4AC4F56F" w14:textId="15276F87" w:rsidR="00C8263F" w:rsidRDefault="00D03401">
                      <w:pPr>
                        <w:spacing w:before="56" w:line="210" w:lineRule="exact"/>
                        <w:ind w:left="28"/>
                        <w:rPr>
                          <w:color w:val="000000"/>
                          <w:sz w:val="18"/>
                        </w:rPr>
                      </w:pPr>
                      <w:proofErr w:type="spellStart"/>
                      <w:r>
                        <w:rPr>
                          <w:color w:val="808080"/>
                          <w:w w:val="120"/>
                          <w:sz w:val="18"/>
                        </w:rPr>
                        <w:t>Skargi</w:t>
                      </w:r>
                      <w:proofErr w:type="spellEnd"/>
                      <w:r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w w:val="120"/>
                          <w:sz w:val="18"/>
                        </w:rPr>
                        <w:t>zakomunikowane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rządowi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francuskiemu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dniu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6 </w:t>
                      </w:r>
                      <w:proofErr w:type="spellStart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września</w:t>
                      </w:r>
                      <w:proofErr w:type="spellEnd"/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r w:rsidR="00000000">
                        <w:rPr>
                          <w:color w:val="808080"/>
                          <w:spacing w:val="-4"/>
                          <w:w w:val="120"/>
                          <w:sz w:val="18"/>
                        </w:rPr>
                        <w:t xml:space="preserve">2023 </w:t>
                      </w:r>
                      <w:r w:rsidR="00000000">
                        <w:rPr>
                          <w:color w:val="808080"/>
                          <w:w w:val="120"/>
                          <w:sz w:val="18"/>
                        </w:rPr>
                        <w:t>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35FF9" w14:textId="77777777" w:rsidR="00C8263F" w:rsidRDefault="00000000">
      <w:pPr>
        <w:pStyle w:val="Nagwek1"/>
        <w:spacing w:before="256" w:after="62"/>
      </w:pPr>
      <w:proofErr w:type="spellStart"/>
      <w:r>
        <w:rPr>
          <w:color w:val="0071BB"/>
          <w:w w:val="120"/>
          <w:sz w:val="29"/>
        </w:rPr>
        <w:t>Wolność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spacing w:val="-2"/>
          <w:w w:val="120"/>
          <w:sz w:val="29"/>
        </w:rPr>
        <w:t>wypowiedzi</w:t>
      </w:r>
      <w:proofErr w:type="spellEnd"/>
    </w:p>
    <w:p w14:paraId="12F58656" w14:textId="77777777" w:rsidR="00C8263F" w:rsidRDefault="00000000">
      <w:pPr>
        <w:spacing w:line="28" w:lineRule="exact"/>
        <w:ind w:left="8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CBF270" wp14:editId="0920BAD6">
                <wp:extent cx="5768340" cy="18415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18415"/>
                          <a:chOff x="0" y="0"/>
                          <a:chExt cx="5768340" cy="184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68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15">
                                <a:moveTo>
                                  <a:pt x="5768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768340" y="18288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DF6BA" id="Group 15" o:spid="_x0000_s1026" style="width:454.2pt;height:1.45pt;mso-position-horizontal-relative:char;mso-position-vertical-relative:line" coordsize="5768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">
                <v:shape id="Graphic 16" o:spid="_x0000_s1027" style="position:absolute;width:57683;height:184;visibility:visible;mso-wrap-style:square;v-text-anchor:top" coordsize="5768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" path="m5768340,l,,,18288r5768340,l5768340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702F5187" w14:textId="77777777" w:rsidR="00C8263F" w:rsidRPr="000D5D2D" w:rsidRDefault="00C8263F">
      <w:pPr>
        <w:pStyle w:val="Nagwek2"/>
        <w:spacing w:before="134"/>
        <w:rPr>
          <w:u w:val="thick"/>
        </w:rPr>
      </w:pPr>
      <w:hyperlink r:id="rId40">
        <w:r w:rsidRPr="000D5D2D">
          <w:rPr>
            <w:color w:val="0071BB"/>
            <w:w w:val="135"/>
            <w:u w:val="thick" w:color="0071BB"/>
          </w:rPr>
          <w:t xml:space="preserve">Gawlik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0D5D2D">
          <w:rPr>
            <w:color w:val="0071BB"/>
            <w:spacing w:val="-2"/>
            <w:w w:val="135"/>
            <w:u w:val="thick" w:color="0071BB"/>
          </w:rPr>
          <w:t>Liechtensteinowi</w:t>
        </w:r>
        <w:proofErr w:type="spellEnd"/>
      </w:hyperlink>
    </w:p>
    <w:p w14:paraId="6257A266" w14:textId="77777777" w:rsidR="00C8263F" w:rsidRDefault="00000000">
      <w:pPr>
        <w:spacing w:before="56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16 </w:t>
      </w:r>
      <w:proofErr w:type="spellStart"/>
      <w:r>
        <w:rPr>
          <w:color w:val="808080"/>
          <w:w w:val="125"/>
          <w:sz w:val="18"/>
        </w:rPr>
        <w:t>lutego</w:t>
      </w:r>
      <w:proofErr w:type="spellEnd"/>
      <w:r>
        <w:rPr>
          <w:color w:val="808080"/>
          <w:w w:val="125"/>
          <w:sz w:val="18"/>
        </w:rPr>
        <w:t xml:space="preserve"> 2021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izby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56FE14B8" w14:textId="40DE0DC2" w:rsidR="00C8263F" w:rsidRDefault="00000000">
      <w:pPr>
        <w:pStyle w:val="Tekstpodstawowy"/>
        <w:spacing w:before="3"/>
        <w:ind w:right="730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ta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lekarza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wysunął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podejrzenie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szpitalu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miejsce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eutanazja</w:t>
      </w:r>
      <w:proofErr w:type="spellEnd"/>
      <w:r>
        <w:rPr>
          <w:w w:val="120"/>
        </w:rPr>
        <w:t>.</w:t>
      </w:r>
      <w:r w:rsidR="009F76CD">
        <w:rPr>
          <w:spacing w:val="40"/>
          <w:w w:val="120"/>
        </w:rPr>
        <w:t xml:space="preserve"> </w:t>
      </w:r>
      <w:proofErr w:type="spellStart"/>
      <w:r>
        <w:rPr>
          <w:w w:val="120"/>
        </w:rPr>
        <w:t>Czyniąc</w:t>
      </w:r>
      <w:proofErr w:type="spellEnd"/>
      <w:r>
        <w:rPr>
          <w:w w:val="120"/>
        </w:rPr>
        <w:t xml:space="preserve"> to, </w:t>
      </w:r>
      <w:proofErr w:type="spellStart"/>
      <w:r>
        <w:rPr>
          <w:w w:val="120"/>
        </w:rPr>
        <w:t>wyszedł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strukturę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skarg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szpitalnych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złożył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skargę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karną</w:t>
      </w:r>
      <w:proofErr w:type="spellEnd"/>
      <w:r w:rsidR="009F76CD">
        <w:rPr>
          <w:w w:val="120"/>
        </w:rPr>
        <w:t>.</w:t>
      </w:r>
      <w:r>
        <w:rPr>
          <w:w w:val="120"/>
        </w:rPr>
        <w:t xml:space="preserve"> </w:t>
      </w: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przyciągnęła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znaczną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uwagę</w:t>
      </w:r>
      <w:proofErr w:type="spellEnd"/>
      <w:r>
        <w:rPr>
          <w:w w:val="120"/>
        </w:rPr>
        <w:t xml:space="preserve"> </w:t>
      </w:r>
      <w:proofErr w:type="spellStart"/>
      <w:r w:rsidR="009F76CD">
        <w:rPr>
          <w:w w:val="120"/>
        </w:rPr>
        <w:t>mediów</w:t>
      </w:r>
      <w:proofErr w:type="spellEnd"/>
      <w:r w:rsidR="009F76CD">
        <w:rPr>
          <w:w w:val="120"/>
        </w:rPr>
        <w:t>.</w:t>
      </w:r>
      <w:r>
        <w:rPr>
          <w:w w:val="120"/>
        </w:rPr>
        <w:t xml:space="preserve">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zarzucił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zwolnienie</w:t>
      </w:r>
      <w:proofErr w:type="spellEnd"/>
      <w:r>
        <w:rPr>
          <w:w w:val="120"/>
        </w:rPr>
        <w:t xml:space="preserve"> go bez </w:t>
      </w:r>
      <w:proofErr w:type="spellStart"/>
      <w:r>
        <w:rPr>
          <w:w w:val="120"/>
        </w:rPr>
        <w:t>wypowiedzenia</w:t>
      </w:r>
      <w:proofErr w:type="spellEnd"/>
      <w:r>
        <w:rPr>
          <w:w w:val="120"/>
        </w:rPr>
        <w:t xml:space="preserve"> ze </w:t>
      </w:r>
      <w:proofErr w:type="spellStart"/>
      <w:r>
        <w:rPr>
          <w:w w:val="120"/>
        </w:rPr>
        <w:t>stanowiska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złożenie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zawiadomienia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popełnieniu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przestępstwa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naruszyło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>.</w:t>
      </w:r>
    </w:p>
    <w:p w14:paraId="6C6DC5BC" w14:textId="44B15610" w:rsidR="00C8263F" w:rsidRDefault="00000000" w:rsidP="000D5D2D">
      <w:pPr>
        <w:pStyle w:val="Tekstpodstawowy"/>
        <w:spacing w:before="4" w:line="238" w:lineRule="auto"/>
        <w:ind w:right="726"/>
      </w:pP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orzekł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b/>
          <w:color w:val="0071BB"/>
          <w:w w:val="125"/>
        </w:rPr>
        <w:t>nie</w:t>
      </w:r>
      <w:proofErr w:type="spellEnd"/>
      <w:r>
        <w:rPr>
          <w:b/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doszło</w:t>
      </w:r>
      <w:proofErr w:type="spellEnd"/>
      <w:r>
        <w:rPr>
          <w:color w:val="0071BB"/>
          <w:w w:val="125"/>
        </w:rPr>
        <w:t xml:space="preserve"> </w:t>
      </w:r>
      <w:r>
        <w:rPr>
          <w:b/>
          <w:color w:val="0071BB"/>
          <w:w w:val="125"/>
        </w:rPr>
        <w:t xml:space="preserve">do </w:t>
      </w:r>
      <w:proofErr w:type="spellStart"/>
      <w:r>
        <w:rPr>
          <w:b/>
          <w:color w:val="0071BB"/>
          <w:w w:val="125"/>
        </w:rPr>
        <w:t>naruszenia</w:t>
      </w:r>
      <w:proofErr w:type="spellEnd"/>
      <w:r>
        <w:rPr>
          <w:b/>
          <w:color w:val="0071BB"/>
          <w:w w:val="125"/>
        </w:rPr>
        <w:t xml:space="preserve"> </w:t>
      </w:r>
      <w:r w:rsidR="00BA563C">
        <w:rPr>
          <w:b/>
          <w:color w:val="0071BB"/>
          <w:w w:val="125"/>
        </w:rPr>
        <w:t xml:space="preserve">art. </w:t>
      </w:r>
      <w:r>
        <w:rPr>
          <w:b/>
          <w:color w:val="0071BB"/>
          <w:w w:val="125"/>
        </w:rPr>
        <w:t xml:space="preserve">10 </w:t>
      </w:r>
      <w:r>
        <w:rPr>
          <w:color w:val="0071BB"/>
          <w:w w:val="125"/>
        </w:rPr>
        <w:t>(</w:t>
      </w:r>
      <w:proofErr w:type="spellStart"/>
      <w:r>
        <w:rPr>
          <w:color w:val="0071BB"/>
          <w:w w:val="125"/>
        </w:rPr>
        <w:t>wolność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wyrażania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opinii</w:t>
      </w:r>
      <w:proofErr w:type="spellEnd"/>
      <w:r>
        <w:rPr>
          <w:color w:val="0071BB"/>
          <w:w w:val="125"/>
        </w:rPr>
        <w:t xml:space="preserve">)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stwierdzając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ingerencja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prawa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była</w:t>
      </w:r>
      <w:proofErr w:type="spellEnd"/>
      <w:r>
        <w:rPr>
          <w:color w:val="0071BB"/>
          <w:w w:val="125"/>
        </w:rPr>
        <w:t xml:space="preserve"> </w:t>
      </w:r>
      <w:proofErr w:type="spellStart"/>
      <w:r w:rsidR="00F0099F">
        <w:rPr>
          <w:color w:val="0071BB"/>
          <w:w w:val="125"/>
        </w:rPr>
        <w:t>proporcjonalna</w:t>
      </w:r>
      <w:proofErr w:type="spellEnd"/>
      <w:r w:rsidR="00F0099F">
        <w:rPr>
          <w:color w:val="0071BB"/>
          <w:w w:val="125"/>
        </w:rPr>
        <w:t>.</w:t>
      </w:r>
    </w:p>
    <w:p w14:paraId="4A47B6E8" w14:textId="68BA12DC" w:rsidR="00C8263F" w:rsidRDefault="00C8263F">
      <w:pPr>
        <w:pStyle w:val="Tekstpodstawowy"/>
        <w:spacing w:line="237" w:lineRule="auto"/>
        <w:sectPr w:rsidR="00C8263F">
          <w:pgSz w:w="11910" w:h="16840"/>
          <w:pgMar w:top="1460" w:right="708" w:bottom="680" w:left="566" w:header="730" w:footer="497" w:gutter="0"/>
          <w:cols w:space="708"/>
        </w:sectPr>
      </w:pPr>
    </w:p>
    <w:p w14:paraId="3C40B4A1" w14:textId="623F70E9" w:rsidR="00C8263F" w:rsidRDefault="00000000">
      <w:pPr>
        <w:pStyle w:val="Tekstpodstawowy"/>
        <w:spacing w:before="240"/>
        <w:ind w:right="732"/>
      </w:pPr>
      <w:proofErr w:type="spellStart"/>
      <w:r>
        <w:rPr>
          <w:color w:val="0071BB"/>
          <w:w w:val="120"/>
        </w:rPr>
        <w:lastRenderedPageBreak/>
        <w:t>Zauważając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działał</w:t>
      </w:r>
      <w:proofErr w:type="spellEnd"/>
      <w:r>
        <w:rPr>
          <w:color w:val="0071BB"/>
          <w:w w:val="120"/>
        </w:rPr>
        <w:t xml:space="preserve"> on z </w:t>
      </w:r>
      <w:proofErr w:type="spellStart"/>
      <w:r>
        <w:rPr>
          <w:color w:val="0071BB"/>
          <w:w w:val="120"/>
        </w:rPr>
        <w:t>niewłaściwych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pobudek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dopuścił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zaniedbania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weryfikując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informacji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zwolnienie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zwłaszcza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wpływ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reputację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szpitala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pracownika</w:t>
      </w:r>
      <w:proofErr w:type="spellEnd"/>
      <w:r>
        <w:rPr>
          <w:color w:val="0071BB"/>
          <w:w w:val="120"/>
        </w:rPr>
        <w:t>.</w:t>
      </w:r>
    </w:p>
    <w:p w14:paraId="195E4FDE" w14:textId="77777777" w:rsidR="00C8263F" w:rsidRPr="000D5D2D" w:rsidRDefault="00C8263F">
      <w:pPr>
        <w:pStyle w:val="Nagwek2"/>
        <w:ind w:left="873"/>
        <w:rPr>
          <w:u w:val="thick"/>
        </w:rPr>
      </w:pPr>
      <w:hyperlink r:id="rId41">
        <w:r w:rsidRPr="000D5D2D">
          <w:rPr>
            <w:color w:val="0071BB"/>
            <w:w w:val="135"/>
            <w:u w:val="thick" w:color="0071BB"/>
          </w:rPr>
          <w:t xml:space="preserve">Lings </w:t>
        </w:r>
        <w:proofErr w:type="spellStart"/>
        <w:r w:rsidRPr="000D5D2D">
          <w:rPr>
            <w:color w:val="0071BB"/>
            <w:w w:val="135"/>
            <w:u w:val="thick" w:color="0071BB"/>
          </w:rPr>
          <w:t>przeciwko</w:t>
        </w:r>
        <w:proofErr w:type="spellEnd"/>
        <w:r w:rsidRPr="000D5D2D">
          <w:rPr>
            <w:color w:val="0071BB"/>
            <w:w w:val="135"/>
            <w:u w:val="thick" w:color="0071BB"/>
          </w:rPr>
          <w:t xml:space="preserve"> </w:t>
        </w:r>
        <w:r w:rsidRPr="000D5D2D">
          <w:rPr>
            <w:color w:val="0071BB"/>
            <w:spacing w:val="-2"/>
            <w:w w:val="135"/>
            <w:u w:val="thick" w:color="0071BB"/>
          </w:rPr>
          <w:t>Danii</w:t>
        </w:r>
      </w:hyperlink>
    </w:p>
    <w:p w14:paraId="522AC726" w14:textId="36DB9753" w:rsidR="00C8263F" w:rsidRDefault="00000000">
      <w:pPr>
        <w:spacing w:before="56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12 </w:t>
      </w:r>
      <w:proofErr w:type="spellStart"/>
      <w:r>
        <w:rPr>
          <w:color w:val="808080"/>
          <w:w w:val="125"/>
          <w:sz w:val="18"/>
        </w:rPr>
        <w:t>kwietnia</w:t>
      </w:r>
      <w:proofErr w:type="spellEnd"/>
      <w:r>
        <w:rPr>
          <w:color w:val="808080"/>
          <w:w w:val="125"/>
          <w:sz w:val="18"/>
        </w:rPr>
        <w:t xml:space="preserve"> 2022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proofErr w:type="spellStart"/>
      <w:r w:rsidR="006270F8">
        <w:rPr>
          <w:color w:val="808080"/>
          <w:w w:val="125"/>
          <w:sz w:val="18"/>
        </w:rPr>
        <w:t>I</w:t>
      </w:r>
      <w:r>
        <w:rPr>
          <w:color w:val="808080"/>
          <w:w w:val="125"/>
          <w:sz w:val="18"/>
        </w:rPr>
        <w:t>zby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4E26CBEE" w14:textId="24EE3D8D" w:rsidR="00C8263F" w:rsidRDefault="00000000">
      <w:pPr>
        <w:pStyle w:val="Tekstpodstawowy"/>
        <w:spacing w:before="1"/>
        <w:ind w:right="728"/>
      </w:pP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lekarzem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założycielem</w:t>
      </w:r>
      <w:proofErr w:type="spellEnd"/>
      <w:r>
        <w:rPr>
          <w:w w:val="120"/>
        </w:rPr>
        <w:t xml:space="preserve"> </w:t>
      </w:r>
      <w:r w:rsidRPr="00D03401">
        <w:rPr>
          <w:i/>
          <w:iCs/>
          <w:w w:val="120"/>
        </w:rPr>
        <w:t xml:space="preserve">Physicians in </w:t>
      </w:r>
      <w:proofErr w:type="spellStart"/>
      <w:r w:rsidRPr="00D03401">
        <w:rPr>
          <w:i/>
          <w:iCs/>
          <w:w w:val="120"/>
        </w:rPr>
        <w:t>Favour</w:t>
      </w:r>
      <w:proofErr w:type="spellEnd"/>
      <w:r w:rsidRPr="00D03401">
        <w:rPr>
          <w:i/>
          <w:iCs/>
          <w:w w:val="120"/>
        </w:rPr>
        <w:t xml:space="preserve"> of Euthanasia</w:t>
      </w:r>
      <w:r w:rsidRPr="00D03401">
        <w:rPr>
          <w:w w:val="120"/>
        </w:rPr>
        <w:t xml:space="preserve"> </w:t>
      </w:r>
      <w:r>
        <w:rPr>
          <w:w w:val="120"/>
        </w:rPr>
        <w:t>(</w:t>
      </w:r>
      <w:proofErr w:type="spellStart"/>
      <w:r>
        <w:rPr>
          <w:i/>
          <w:w w:val="120"/>
        </w:rPr>
        <w:t>Læger</w:t>
      </w:r>
      <w:proofErr w:type="spellEnd"/>
      <w:r>
        <w:rPr>
          <w:i/>
          <w:w w:val="120"/>
        </w:rPr>
        <w:t xml:space="preserve"> for </w:t>
      </w:r>
      <w:proofErr w:type="spellStart"/>
      <w:r>
        <w:rPr>
          <w:i/>
          <w:w w:val="120"/>
        </w:rPr>
        <w:t>Aktiv</w:t>
      </w:r>
      <w:proofErr w:type="spellEnd"/>
      <w:r>
        <w:rPr>
          <w:i/>
          <w:w w:val="120"/>
        </w:rPr>
        <w:t xml:space="preserve"> </w:t>
      </w:r>
      <w:proofErr w:type="spellStart"/>
      <w:r>
        <w:rPr>
          <w:i/>
          <w:w w:val="120"/>
        </w:rPr>
        <w:t>Dødshjælp</w:t>
      </w:r>
      <w:proofErr w:type="spellEnd"/>
      <w:r>
        <w:rPr>
          <w:w w:val="120"/>
        </w:rPr>
        <w:t xml:space="preserve">), </w:t>
      </w:r>
      <w:proofErr w:type="spellStart"/>
      <w:r>
        <w:rPr>
          <w:w w:val="120"/>
        </w:rPr>
        <w:t>organizacji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prowadzącej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kampanię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rzecz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wspomaganego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skazania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dwa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zarzuty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wspomaganego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jeden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usiłowania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wspomaganego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jedynie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rozpowszechniał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informacje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temat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samobójstwa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ostateczna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decyzja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krajowego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wolności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wypowiedzi</w:t>
      </w:r>
      <w:proofErr w:type="spellEnd"/>
      <w:r>
        <w:rPr>
          <w:w w:val="120"/>
        </w:rPr>
        <w:t>.</w:t>
      </w:r>
    </w:p>
    <w:p w14:paraId="2390BF10" w14:textId="217EC08B" w:rsidR="00C8263F" w:rsidRDefault="00000000" w:rsidP="000D5D2D">
      <w:pPr>
        <w:pStyle w:val="Tekstpodstawowy"/>
        <w:ind w:right="728"/>
        <w:rPr>
          <w:sz w:val="16"/>
        </w:rPr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</w:t>
      </w:r>
      <w:r w:rsidR="00BA563C">
        <w:rPr>
          <w:b/>
          <w:color w:val="0071BB"/>
          <w:w w:val="120"/>
        </w:rPr>
        <w:t xml:space="preserve">art. </w:t>
      </w:r>
      <w:r>
        <w:rPr>
          <w:b/>
          <w:color w:val="0071BB"/>
          <w:w w:val="120"/>
        </w:rPr>
        <w:t xml:space="preserve">10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wolność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wyrażania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opinii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ogólnie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rzecz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powody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których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podjęły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taką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decyzję</w:t>
      </w:r>
      <w:proofErr w:type="spellEnd"/>
      <w:r>
        <w:rPr>
          <w:color w:val="0071BB"/>
          <w:w w:val="120"/>
        </w:rPr>
        <w:t xml:space="preserve"> - </w:t>
      </w:r>
      <w:proofErr w:type="spellStart"/>
      <w:r>
        <w:rPr>
          <w:color w:val="0071BB"/>
          <w:w w:val="120"/>
        </w:rPr>
        <w:t>ochrona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zdrowia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moralności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-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działały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ramach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szerokiego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zakresu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gramStart"/>
      <w:r>
        <w:rPr>
          <w:color w:val="0071BB"/>
          <w:w w:val="120"/>
        </w:rPr>
        <w:t>(</w:t>
      </w:r>
      <w:r w:rsidR="003F7BEC">
        <w:rPr>
          <w:color w:val="0071BB"/>
          <w:w w:val="120"/>
        </w:rPr>
        <w:t>,,</w:t>
      </w:r>
      <w:proofErr w:type="spellStart"/>
      <w:proofErr w:type="gramEnd"/>
      <w:r>
        <w:rPr>
          <w:color w:val="0071BB"/>
          <w:w w:val="120"/>
        </w:rPr>
        <w:t>marginesu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oceny</w:t>
      </w:r>
      <w:proofErr w:type="spellEnd"/>
      <w:r w:rsidR="003F7BEC">
        <w:rPr>
          <w:color w:val="0071BB"/>
          <w:w w:val="120"/>
        </w:rPr>
        <w:t>’’</w:t>
      </w:r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przyznanego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władzom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konkretnej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w</w:t>
      </w:r>
      <w:r w:rsidR="003F7BEC">
        <w:rPr>
          <w:color w:val="0071BB"/>
          <w:w w:val="120"/>
        </w:rPr>
        <w:t xml:space="preserve"> </w:t>
      </w:r>
      <w:proofErr w:type="spellStart"/>
      <w:r w:rsidR="003F7BEC"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wspomagane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nielegalne</w:t>
      </w:r>
      <w:proofErr w:type="spellEnd"/>
      <w:r>
        <w:rPr>
          <w:color w:val="0071BB"/>
          <w:w w:val="120"/>
        </w:rPr>
        <w:t xml:space="preserve"> w Danii od 1930 r., </w:t>
      </w:r>
      <w:proofErr w:type="gramStart"/>
      <w:r>
        <w:rPr>
          <w:color w:val="0071BB"/>
          <w:w w:val="120"/>
        </w:rPr>
        <w:t>a</w:t>
      </w:r>
      <w:proofErr w:type="gram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odpowiednie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przewidywało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konkretny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akt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pomocy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popełnieniu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musiał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mieć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miejsce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skazania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wezwany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ustalenia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kryminalizacja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wspomaganego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uzasadniona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jedynie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czy</w:t>
      </w:r>
      <w:proofErr w:type="spellEnd"/>
      <w:r>
        <w:rPr>
          <w:color w:val="0071BB"/>
          <w:w w:val="120"/>
        </w:rPr>
        <w:t xml:space="preserve"> </w:t>
      </w:r>
      <w:proofErr w:type="spellStart"/>
      <w:proofErr w:type="gram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r w:rsidR="006270F8">
        <w:rPr>
          <w:color w:val="0071BB"/>
          <w:w w:val="120"/>
        </w:rPr>
        <w:t>,,</w:t>
      </w:r>
      <w:proofErr w:type="spellStart"/>
      <w:r>
        <w:rPr>
          <w:color w:val="0071BB"/>
          <w:w w:val="120"/>
        </w:rPr>
        <w:t>konieczna</w:t>
      </w:r>
      <w:proofErr w:type="spellEnd"/>
      <w:proofErr w:type="gram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demokratycznym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społeczeństwie</w:t>
      </w:r>
      <w:proofErr w:type="spellEnd"/>
      <w:r w:rsidR="006270F8">
        <w:rPr>
          <w:color w:val="0071BB"/>
          <w:w w:val="120"/>
        </w:rPr>
        <w:t>’’</w:t>
      </w:r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względzie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chronić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bezbronnych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podkreślił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przewiduje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wspomaganego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samobójstwa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ostateczne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wnioski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duńskiego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Najwyższego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widząc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powodu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nimi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zgodzić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Pr="006270F8">
        <w:rPr>
          <w:color w:val="0071BB"/>
          <w:w w:val="120"/>
        </w:rPr>
        <w:t>porady</w:t>
      </w:r>
      <w:proofErr w:type="spellEnd"/>
      <w:r w:rsidRPr="006270F8">
        <w:rPr>
          <w:color w:val="0071BB"/>
          <w:w w:val="120"/>
        </w:rPr>
        <w:t xml:space="preserve"> </w:t>
      </w:r>
      <w:proofErr w:type="spellStart"/>
      <w:r w:rsidRPr="006270F8"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, </w:t>
      </w:r>
      <w:proofErr w:type="spellStart"/>
      <w:r w:rsidRPr="007A3896">
        <w:rPr>
          <w:color w:val="0071BB"/>
          <w:w w:val="120"/>
        </w:rPr>
        <w:t>choć</w:t>
      </w:r>
      <w:proofErr w:type="spellEnd"/>
      <w:r w:rsidRPr="007A3896">
        <w:rPr>
          <w:color w:val="0071BB"/>
          <w:w w:val="120"/>
        </w:rPr>
        <w:t xml:space="preserve"> </w:t>
      </w:r>
      <w:proofErr w:type="spellStart"/>
      <w:r w:rsidRPr="007A3896">
        <w:rPr>
          <w:color w:val="0071BB"/>
          <w:w w:val="120"/>
        </w:rPr>
        <w:t>oparte</w:t>
      </w:r>
      <w:proofErr w:type="spellEnd"/>
      <w:r w:rsidRPr="007A3896">
        <w:rPr>
          <w:color w:val="0071BB"/>
          <w:w w:val="120"/>
        </w:rPr>
        <w:t xml:space="preserve"> </w:t>
      </w:r>
      <w:proofErr w:type="spellStart"/>
      <w:r w:rsidRPr="007A3896">
        <w:rPr>
          <w:color w:val="0071BB"/>
          <w:w w:val="120"/>
        </w:rPr>
        <w:t>na</w:t>
      </w:r>
      <w:proofErr w:type="spellEnd"/>
      <w:r w:rsidRPr="007A3896">
        <w:rPr>
          <w:color w:val="0071BB"/>
          <w:w w:val="120"/>
        </w:rPr>
        <w:t xml:space="preserve"> </w:t>
      </w:r>
      <w:proofErr w:type="spellStart"/>
      <w:r w:rsidRPr="006270F8">
        <w:rPr>
          <w:color w:val="0071BB"/>
          <w:w w:val="120"/>
        </w:rPr>
        <w:t>jego</w:t>
      </w:r>
      <w:proofErr w:type="spellEnd"/>
      <w:r w:rsidRPr="006270F8">
        <w:rPr>
          <w:color w:val="0071BB"/>
          <w:w w:val="120"/>
        </w:rPr>
        <w:t xml:space="preserve"> </w:t>
      </w:r>
      <w:proofErr w:type="spellStart"/>
      <w:r w:rsidRPr="006270F8">
        <w:rPr>
          <w:color w:val="0071BB"/>
          <w:w w:val="120"/>
        </w:rPr>
        <w:t>przewodniku</w:t>
      </w:r>
      <w:proofErr w:type="spellEnd"/>
      <w:r w:rsidR="006270F8" w:rsidRPr="000D5D2D">
        <w:rPr>
          <w:color w:val="0071BB"/>
          <w:w w:val="120"/>
        </w:rPr>
        <w:t xml:space="preserve"> </w:t>
      </w:r>
      <w:proofErr w:type="spellStart"/>
      <w:r w:rsidR="006270F8" w:rsidRPr="000D5D2D">
        <w:rPr>
          <w:color w:val="0071BB"/>
          <w:w w:val="120"/>
        </w:rPr>
        <w:t>dotyczącym</w:t>
      </w:r>
      <w:proofErr w:type="spellEnd"/>
      <w:r w:rsidRPr="006270F8">
        <w:rPr>
          <w:color w:val="0071BB"/>
          <w:w w:val="120"/>
        </w:rPr>
        <w:t xml:space="preserve"> </w:t>
      </w:r>
      <w:proofErr w:type="spellStart"/>
      <w:r w:rsidRPr="006270F8">
        <w:rPr>
          <w:color w:val="0071BB"/>
          <w:w w:val="120"/>
        </w:rPr>
        <w:t>samobójstwa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popchnęły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jedną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samobójstwa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chociaż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publikacja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przewodnika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zgodna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opierała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konkretnych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poradach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udzielonych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osobom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ani </w:t>
      </w:r>
      <w:proofErr w:type="spellStart"/>
      <w:r>
        <w:rPr>
          <w:color w:val="0071BB"/>
          <w:w w:val="120"/>
        </w:rPr>
        <w:t>wyrok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skazujący</w:t>
      </w:r>
      <w:proofErr w:type="spellEnd"/>
      <w:r>
        <w:rPr>
          <w:color w:val="0071BB"/>
          <w:w w:val="120"/>
        </w:rPr>
        <w:t xml:space="preserve">, ani kara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tym</w:t>
      </w:r>
      <w:proofErr w:type="spellEnd"/>
      <w:r w:rsidR="008527BE">
        <w:rPr>
          <w:color w:val="0071BB"/>
          <w:w w:val="120"/>
        </w:rPr>
        <w:t xml:space="preserve"> </w:t>
      </w:r>
      <w:proofErr w:type="spellStart"/>
      <w:r w:rsidR="008527BE">
        <w:rPr>
          <w:color w:val="0071BB"/>
          <w:w w:val="120"/>
        </w:rPr>
        <w:t>przypadku</w:t>
      </w:r>
      <w:proofErr w:type="spellEnd"/>
      <w:r>
        <w:rPr>
          <w:color w:val="0071BB"/>
          <w:spacing w:val="40"/>
          <w:w w:val="120"/>
        </w:rPr>
        <w:t xml:space="preserve"> </w:t>
      </w:r>
      <w:proofErr w:type="spellStart"/>
      <w:r>
        <w:rPr>
          <w:color w:val="0071BB"/>
          <w:w w:val="120"/>
        </w:rPr>
        <w:t>nadmierne</w:t>
      </w:r>
      <w:proofErr w:type="spellEnd"/>
      <w:r>
        <w:rPr>
          <w:color w:val="0071BB"/>
          <w:w w:val="120"/>
        </w:rPr>
        <w:t>.</w:t>
      </w:r>
    </w:p>
    <w:p w14:paraId="02FE87D5" w14:textId="77777777" w:rsidR="00C8263F" w:rsidRDefault="00C8263F">
      <w:pPr>
        <w:pStyle w:val="Tekstpodstawowy"/>
        <w:spacing w:before="129"/>
        <w:ind w:left="0"/>
        <w:jc w:val="left"/>
      </w:pPr>
    </w:p>
    <w:p w14:paraId="79ADA0A3" w14:textId="77777777" w:rsidR="00C8263F" w:rsidRDefault="00000000">
      <w:pPr>
        <w:ind w:left="141" w:right="3"/>
        <w:jc w:val="center"/>
        <w:rPr>
          <w:b/>
          <w:sz w:val="20"/>
        </w:rPr>
      </w:pPr>
      <w:proofErr w:type="spellStart"/>
      <w:r>
        <w:rPr>
          <w:b/>
          <w:color w:val="808080"/>
          <w:spacing w:val="-2"/>
          <w:w w:val="130"/>
          <w:sz w:val="20"/>
        </w:rPr>
        <w:t>Kontakt</w:t>
      </w:r>
      <w:proofErr w:type="spellEnd"/>
      <w:r>
        <w:rPr>
          <w:b/>
          <w:color w:val="808080"/>
          <w:spacing w:val="-2"/>
          <w:w w:val="130"/>
          <w:sz w:val="20"/>
        </w:rPr>
        <w:t xml:space="preserve"> </w:t>
      </w:r>
      <w:proofErr w:type="spellStart"/>
      <w:r>
        <w:rPr>
          <w:b/>
          <w:color w:val="808080"/>
          <w:w w:val="125"/>
          <w:sz w:val="20"/>
        </w:rPr>
        <w:t>dla</w:t>
      </w:r>
      <w:proofErr w:type="spellEnd"/>
      <w:r>
        <w:rPr>
          <w:b/>
          <w:color w:val="808080"/>
          <w:w w:val="125"/>
          <w:sz w:val="20"/>
        </w:rPr>
        <w:t xml:space="preserve"> </w:t>
      </w:r>
      <w:proofErr w:type="spellStart"/>
      <w:r>
        <w:rPr>
          <w:b/>
          <w:color w:val="808080"/>
          <w:w w:val="125"/>
          <w:sz w:val="20"/>
        </w:rPr>
        <w:t>mediów</w:t>
      </w:r>
      <w:proofErr w:type="spellEnd"/>
      <w:r>
        <w:rPr>
          <w:b/>
          <w:color w:val="808080"/>
          <w:spacing w:val="-2"/>
          <w:w w:val="130"/>
          <w:sz w:val="20"/>
        </w:rPr>
        <w:t>:</w:t>
      </w:r>
    </w:p>
    <w:p w14:paraId="14F87825" w14:textId="77777777" w:rsidR="00C8263F" w:rsidRDefault="00000000">
      <w:pPr>
        <w:pStyle w:val="Tekstpodstawowy"/>
        <w:spacing w:before="1"/>
        <w:ind w:left="141"/>
        <w:jc w:val="center"/>
      </w:pPr>
      <w:r>
        <w:rPr>
          <w:color w:val="808080"/>
          <w:w w:val="130"/>
        </w:rPr>
        <w:t xml:space="preserve">Tel: +33 (0)3 90 21 42 </w:t>
      </w:r>
      <w:r>
        <w:rPr>
          <w:color w:val="808080"/>
          <w:spacing w:val="-5"/>
          <w:w w:val="130"/>
        </w:rPr>
        <w:t>08</w:t>
      </w:r>
    </w:p>
    <w:sectPr w:rsidR="00C8263F">
      <w:pgSz w:w="11910" w:h="16840"/>
      <w:pgMar w:top="1460" w:right="708" w:bottom="680" w:left="566" w:header="730" w:footer="4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5ECA" w14:textId="77777777" w:rsidR="00F3062B" w:rsidRDefault="00F3062B">
      <w:r>
        <w:separator/>
      </w:r>
    </w:p>
  </w:endnote>
  <w:endnote w:type="continuationSeparator" w:id="0">
    <w:p w14:paraId="7542BD57" w14:textId="77777777" w:rsidR="00F3062B" w:rsidRDefault="00F3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EB13" w14:textId="77777777" w:rsidR="00C8263F" w:rsidRDefault="00000000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AC11747" wp14:editId="7CA6AEE5">
              <wp:simplePos x="0" y="0"/>
              <wp:positionH relativeFrom="page">
                <wp:posOffset>3701796</wp:posOffset>
              </wp:positionH>
              <wp:positionV relativeFrom="page">
                <wp:posOffset>10237044</wp:posOffset>
              </wp:positionV>
              <wp:extent cx="169545" cy="17970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B5459" w14:textId="77777777" w:rsidR="00C8263F" w:rsidRDefault="00000000">
                          <w:pPr>
                            <w:pStyle w:val="Tekstpodstawowy"/>
                            <w:spacing w:before="3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  <w:w w:val="12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5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1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AC1174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291.5pt;margin-top:806.05pt;width:13.35pt;height:1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" filled="f" stroked="f">
              <v:textbox inset="0,0,0,0">
                <w:txbxContent>
                  <w:p w14:paraId="42BB5459" w14:textId="77777777" w:rsidR="00C8263F" w:rsidRDefault="00000000">
                    <w:pPr>
                      <w:pStyle w:val="Tekstpodstawowy"/>
                      <w:spacing w:before="30"/>
                      <w:ind w:left="60"/>
                      <w:jc w:val="left"/>
                    </w:pPr>
                    <w:r>
                      <w:rPr>
                        <w:spacing w:val="-10"/>
                        <w:w w:val="125"/>
                      </w:rPr>
                      <w:fldChar w:fldCharType="begin"/>
                    </w:r>
                    <w:r>
                      <w:rPr>
                        <w:spacing w:val="-10"/>
                        <w:w w:val="12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5"/>
                      </w:rPr>
                      <w:fldChar w:fldCharType="separate"/>
                    </w:r>
                    <w:r>
                      <w:rPr>
                        <w:spacing w:val="-10"/>
                        <w:w w:val="125"/>
                      </w:rPr>
                      <w:t>8</w:t>
                    </w:r>
                    <w:r>
                      <w:rPr>
                        <w:spacing w:val="-10"/>
                        <w:w w:val="1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F592" w14:textId="77777777" w:rsidR="00F3062B" w:rsidRDefault="00F3062B">
      <w:r>
        <w:separator/>
      </w:r>
    </w:p>
  </w:footnote>
  <w:footnote w:type="continuationSeparator" w:id="0">
    <w:p w14:paraId="4FD6988A" w14:textId="77777777" w:rsidR="00F3062B" w:rsidRDefault="00F3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A33B" w14:textId="4A3073DF" w:rsidR="00C8263F" w:rsidRDefault="00157ED7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863B03" wp14:editId="32063E65">
              <wp:simplePos x="0" y="0"/>
              <wp:positionH relativeFrom="page">
                <wp:posOffset>437990</wp:posOffset>
              </wp:positionH>
              <wp:positionV relativeFrom="page">
                <wp:posOffset>722299</wp:posOffset>
              </wp:positionV>
              <wp:extent cx="2727832" cy="187389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832" cy="1873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828AA" w14:textId="77777777" w:rsidR="00C8263F" w:rsidRDefault="00000000">
                          <w:pPr>
                            <w:pStyle w:val="Tekstpodstawowy"/>
                            <w:spacing w:before="30"/>
                            <w:ind w:left="20"/>
                            <w:jc w:val="left"/>
                          </w:pPr>
                          <w:proofErr w:type="spellStart"/>
                          <w:r>
                            <w:rPr>
                              <w:w w:val="120"/>
                            </w:rPr>
                            <w:t>Arkusz</w:t>
                          </w:r>
                          <w:proofErr w:type="spellEnd"/>
                          <w:r>
                            <w:rPr>
                              <w:w w:val="1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20"/>
                            </w:rPr>
                            <w:t>informacyjny</w:t>
                          </w:r>
                          <w:proofErr w:type="spellEnd"/>
                          <w:r>
                            <w:rPr>
                              <w:w w:val="120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w w:val="120"/>
                            </w:rPr>
                            <w:t>Koniec</w:t>
                          </w:r>
                          <w:proofErr w:type="spellEnd"/>
                          <w:r>
                            <w:rPr>
                              <w:w w:val="1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20"/>
                            </w:rPr>
                            <w:t>życia</w:t>
                          </w:r>
                          <w:proofErr w:type="spellEnd"/>
                          <w:r>
                            <w:rPr>
                              <w:w w:val="1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4"/>
                              <w:w w:val="120"/>
                            </w:rPr>
                            <w:t>a</w:t>
                          </w:r>
                          <w:proofErr w:type="gramEnd"/>
                          <w:r>
                            <w:rPr>
                              <w:spacing w:val="-4"/>
                              <w:w w:val="120"/>
                            </w:rPr>
                            <w:t xml:space="preserve"> EKPC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63B0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4.5pt;margin-top:56.85pt;width:214.8pt;height:14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" filled="f" stroked="f">
              <v:textbox inset="0,0,0,0">
                <w:txbxContent>
                  <w:p w14:paraId="188828AA" w14:textId="77777777" w:rsidR="00C8263F" w:rsidRDefault="00000000">
                    <w:pPr>
                      <w:pStyle w:val="Tekstpodstawowy"/>
                      <w:spacing w:before="30"/>
                      <w:ind w:left="20"/>
                      <w:jc w:val="left"/>
                    </w:pPr>
                    <w:proofErr w:type="spellStart"/>
                    <w:r>
                      <w:rPr>
                        <w:w w:val="120"/>
                      </w:rPr>
                      <w:t>Arkusz</w:t>
                    </w:r>
                    <w:proofErr w:type="spellEnd"/>
                    <w:r>
                      <w:rPr>
                        <w:w w:val="120"/>
                      </w:rPr>
                      <w:t xml:space="preserve"> </w:t>
                    </w:r>
                    <w:proofErr w:type="spellStart"/>
                    <w:r>
                      <w:rPr>
                        <w:w w:val="120"/>
                      </w:rPr>
                      <w:t>informacyjny</w:t>
                    </w:r>
                    <w:proofErr w:type="spellEnd"/>
                    <w:r>
                      <w:rPr>
                        <w:w w:val="120"/>
                      </w:rPr>
                      <w:t xml:space="preserve"> - </w:t>
                    </w:r>
                    <w:proofErr w:type="spellStart"/>
                    <w:r>
                      <w:rPr>
                        <w:w w:val="120"/>
                      </w:rPr>
                      <w:t>Koniec</w:t>
                    </w:r>
                    <w:proofErr w:type="spellEnd"/>
                    <w:r>
                      <w:rPr>
                        <w:w w:val="120"/>
                      </w:rPr>
                      <w:t xml:space="preserve"> </w:t>
                    </w:r>
                    <w:proofErr w:type="spellStart"/>
                    <w:r>
                      <w:rPr>
                        <w:w w:val="120"/>
                      </w:rPr>
                      <w:t>życia</w:t>
                    </w:r>
                    <w:proofErr w:type="spellEnd"/>
                    <w:r>
                      <w:rPr>
                        <w:w w:val="120"/>
                      </w:rPr>
                      <w:t xml:space="preserve"> </w:t>
                    </w:r>
                    <w:proofErr w:type="gramStart"/>
                    <w:r>
                      <w:rPr>
                        <w:spacing w:val="-4"/>
                        <w:w w:val="120"/>
                      </w:rPr>
                      <w:t>a</w:t>
                    </w:r>
                    <w:proofErr w:type="gramEnd"/>
                    <w:r>
                      <w:rPr>
                        <w:spacing w:val="-4"/>
                        <w:w w:val="120"/>
                      </w:rPr>
                      <w:t xml:space="preserve"> EKPC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3E6C573D" wp14:editId="5D5B93FA">
          <wp:simplePos x="0" y="0"/>
          <wp:positionH relativeFrom="page">
            <wp:posOffset>5683248</wp:posOffset>
          </wp:positionH>
          <wp:positionV relativeFrom="page">
            <wp:posOffset>463550</wp:posOffset>
          </wp:positionV>
          <wp:extent cx="1410969" cy="368299"/>
          <wp:effectExtent l="0" t="0" r="0" b="0"/>
          <wp:wrapNone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0969" cy="368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D48CF57" wp14:editId="5E2FBFFB">
              <wp:simplePos x="0" y="0"/>
              <wp:positionH relativeFrom="page">
                <wp:posOffset>465455</wp:posOffset>
              </wp:positionH>
              <wp:positionV relativeFrom="page">
                <wp:posOffset>934719</wp:posOffset>
              </wp:positionV>
              <wp:extent cx="6629400" cy="127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9400">
                            <a:moveTo>
                              <a:pt x="0" y="0"/>
                            </a:moveTo>
                            <a:lnTo>
                              <a:pt x="6629400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22EAF56" id="Graphic 9" o:spid="_x0000_s1026" style="position:absolute;margin-left:36.65pt;margin-top:73.6pt;width:52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" path="m,l6629400,e" filled="f" strokecolor="gray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3F"/>
    <w:rsid w:val="000D5D2D"/>
    <w:rsid w:val="00157ED7"/>
    <w:rsid w:val="001632C3"/>
    <w:rsid w:val="001929BD"/>
    <w:rsid w:val="001B3C1A"/>
    <w:rsid w:val="002753E2"/>
    <w:rsid w:val="002917DA"/>
    <w:rsid w:val="002C4701"/>
    <w:rsid w:val="003F7BEC"/>
    <w:rsid w:val="00424650"/>
    <w:rsid w:val="00443E0B"/>
    <w:rsid w:val="00476487"/>
    <w:rsid w:val="004B125B"/>
    <w:rsid w:val="004C1846"/>
    <w:rsid w:val="00514ECB"/>
    <w:rsid w:val="005163E2"/>
    <w:rsid w:val="0054258F"/>
    <w:rsid w:val="005670B9"/>
    <w:rsid w:val="006270F8"/>
    <w:rsid w:val="006639DF"/>
    <w:rsid w:val="007051D7"/>
    <w:rsid w:val="007A3896"/>
    <w:rsid w:val="0081103B"/>
    <w:rsid w:val="008527BE"/>
    <w:rsid w:val="0087209A"/>
    <w:rsid w:val="008D60B8"/>
    <w:rsid w:val="009B02D8"/>
    <w:rsid w:val="009B06D3"/>
    <w:rsid w:val="009C1277"/>
    <w:rsid w:val="009F76CD"/>
    <w:rsid w:val="00A1525B"/>
    <w:rsid w:val="00A563FB"/>
    <w:rsid w:val="00BA563C"/>
    <w:rsid w:val="00C2179B"/>
    <w:rsid w:val="00C2599F"/>
    <w:rsid w:val="00C7753D"/>
    <w:rsid w:val="00C8263F"/>
    <w:rsid w:val="00CA7B68"/>
    <w:rsid w:val="00D03401"/>
    <w:rsid w:val="00DB1F5C"/>
    <w:rsid w:val="00DB4A65"/>
    <w:rsid w:val="00DC36D0"/>
    <w:rsid w:val="00DF6C0B"/>
    <w:rsid w:val="00E21A0C"/>
    <w:rsid w:val="00EA2A26"/>
    <w:rsid w:val="00ED3A31"/>
    <w:rsid w:val="00EF00E4"/>
    <w:rsid w:val="00F0099F"/>
    <w:rsid w:val="00F15732"/>
    <w:rsid w:val="00F3062B"/>
    <w:rsid w:val="00F558EA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F65B"/>
  <w15:docId w15:val="{20CDF859-AAEC-4D8B-A802-DB279521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247"/>
      <w:ind w:left="874"/>
      <w:jc w:val="both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18"/>
      <w:ind w:left="874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73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874" w:right="728"/>
      <w:jc w:val="both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7051D7"/>
    <w:pPr>
      <w:widowControl/>
      <w:autoSpaceDE/>
      <w:autoSpaceDN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57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7ED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57E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E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doc.echr.coe.int/sites/eng-press/pages/search.aspx?i=003-3405698-3821885" TargetMode="External"/><Relationship Id="rId18" Type="http://schemas.openxmlformats.org/officeDocument/2006/relationships/hyperlink" Target="http://hudoc.echr.coe.int/sites/eng-press/pages/search.aspx?i=003-4355203-5224445" TargetMode="External"/><Relationship Id="rId26" Type="http://schemas.openxmlformats.org/officeDocument/2006/relationships/hyperlink" Target="https://hudoc.echr.coe.int/eng-press?i=003-7401248-10125292" TargetMode="External"/><Relationship Id="rId39" Type="http://schemas.openxmlformats.org/officeDocument/2006/relationships/hyperlink" Target="https://hudoc.echr.coe.int/eng?i=001-227790" TargetMode="External"/><Relationship Id="rId21" Type="http://schemas.openxmlformats.org/officeDocument/2006/relationships/hyperlink" Target="http://hudoc.echr.coe.int/sites/eng-press/pages/search.aspx?i=003-5099865-6285870" TargetMode="External"/><Relationship Id="rId34" Type="http://schemas.openxmlformats.org/officeDocument/2006/relationships/hyperlink" Target="https://hudoc.echr.coe.int/fre?i=002-14041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hudoc.echr.coe.int/sites/eng/pages/search.aspx?i=003-4025864-4696469" TargetMode="External"/><Relationship Id="rId20" Type="http://schemas.openxmlformats.org/officeDocument/2006/relationships/hyperlink" Target="http://hudoc.echr.coe.int/sites/eng-press/pages/search.aspx?i=003-4526973-5462607" TargetMode="External"/><Relationship Id="rId29" Type="http://schemas.openxmlformats.org/officeDocument/2006/relationships/hyperlink" Target="https://hudoc.echr.coe.int/eng-press?i=003-7453153-10211664" TargetMode="External"/><Relationship Id="rId41" Type="http://schemas.openxmlformats.org/officeDocument/2006/relationships/hyperlink" Target="https://hudoc.echr.coe.int/eng-press?i=003-7308614-996772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hudoc.echr.coe.int/sites/eng/pages/search.aspx?i=001-26447" TargetMode="External"/><Relationship Id="rId24" Type="http://schemas.openxmlformats.org/officeDocument/2006/relationships/hyperlink" Target="http://hudoc.echr.coe.int/eng?i=001-175359" TargetMode="External"/><Relationship Id="rId32" Type="http://schemas.openxmlformats.org/officeDocument/2006/relationships/hyperlink" Target="https://www.coe.int/en/web/bioethics/oviedo-convention" TargetMode="External"/><Relationship Id="rId37" Type="http://schemas.openxmlformats.org/officeDocument/2006/relationships/hyperlink" Target="https://hudoc.echr.coe.int/fre?i=002-14041" TargetMode="External"/><Relationship Id="rId40" Type="http://schemas.openxmlformats.org/officeDocument/2006/relationships/hyperlink" Target="http://hudoc.echr.coe.int/eng-press?i=003-6940271-933079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hudoc.echr.coe.int/eng?i=003-5099865-6285870" TargetMode="External"/><Relationship Id="rId28" Type="http://schemas.openxmlformats.org/officeDocument/2006/relationships/hyperlink" Target="http://hudoc.echr.coe.int/eng-press?i=003-5984825-7658817" TargetMode="External"/><Relationship Id="rId36" Type="http://schemas.openxmlformats.org/officeDocument/2006/relationships/hyperlink" Target="https://hudoc.echr.coe.int/eng?i=001-227790" TargetMode="External"/><Relationship Id="rId10" Type="http://schemas.openxmlformats.org/officeDocument/2006/relationships/hyperlink" Target="http://hudoc.echr.coe.int/sites/eng-press/pages/search.aspx?i=003-2597660-2816175" TargetMode="External"/><Relationship Id="rId19" Type="http://schemas.openxmlformats.org/officeDocument/2006/relationships/hyperlink" Target="http://hudoc.echr.coe.int/sites/eng-press/pages/search.aspx?i=003-4526973-5462607" TargetMode="External"/><Relationship Id="rId31" Type="http://schemas.openxmlformats.org/officeDocument/2006/relationships/hyperlink" Target="http://www.echr.coe.int/Documents/Convention_E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sites/eng/pages/search.aspx?i=001-22151" TargetMode="External"/><Relationship Id="rId14" Type="http://schemas.openxmlformats.org/officeDocument/2006/relationships/header" Target="header1.xml"/><Relationship Id="rId22" Type="http://schemas.openxmlformats.org/officeDocument/2006/relationships/hyperlink" Target="http://hudoc.echr.coe.int/sites/eng-press/pages/search.aspx?i=003-5133986-6337784" TargetMode="External"/><Relationship Id="rId27" Type="http://schemas.openxmlformats.org/officeDocument/2006/relationships/hyperlink" Target="https://hudoc.echr.coe.int/eng-press?i=003-7401248-10125292" TargetMode="External"/><Relationship Id="rId30" Type="http://schemas.openxmlformats.org/officeDocument/2006/relationships/hyperlink" Target="https://hudoc.echr.coe.int/fre-press?i=003-7972014-11117359" TargetMode="External"/><Relationship Id="rId35" Type="http://schemas.openxmlformats.org/officeDocument/2006/relationships/hyperlink" Target="https://hudoc.echr.coe.int/eng?i=001-227791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hudoc.echr.coe.int/sites/eng-press/pages/search.aspx?i=003-542432-544154" TargetMode="External"/><Relationship Id="rId17" Type="http://schemas.openxmlformats.org/officeDocument/2006/relationships/hyperlink" Target="http://hudoc.echr.coe.int/sites/eng-press/pages/search.aspx?i=003-4885757-5972370" TargetMode="External"/><Relationship Id="rId25" Type="http://schemas.openxmlformats.org/officeDocument/2006/relationships/hyperlink" Target="http://hudoc.echr.coe.int/eng-press?i=003-7003334-9439308" TargetMode="External"/><Relationship Id="rId33" Type="http://schemas.openxmlformats.org/officeDocument/2006/relationships/hyperlink" Target="https://www.coe.int/en/web/bioethics/oviedo-convention" TargetMode="External"/><Relationship Id="rId38" Type="http://schemas.openxmlformats.org/officeDocument/2006/relationships/hyperlink" Target="https://hudoc.echr.coe.int/eng?i=001-2277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378D-4E17-4064-A93E-D148A048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4669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FS_Euthanasia_ENG</vt:lpstr>
    </vt:vector>
  </TitlesOfParts>
  <Company>European Court of Human Right</Company>
  <LinksUpToDate>false</LinksUpToDate>
  <CharactersWithSpaces>32620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FS_Euthanasia_ENG</dc:title>
  <dc:subject>FS_Euthanasia_ENG</dc:subject>
  <dc:creator>Gadomska Natalia  (DWMPC)</dc:creator>
  <cp:keywords>, docId:720C60819AB4F3E769E70CB9009C7057</cp:keywords>
  <cp:lastModifiedBy>Szponar Paweł  (DWMPC)</cp:lastModifiedBy>
  <cp:revision>13</cp:revision>
  <dcterms:created xsi:type="dcterms:W3CDTF">2025-08-18T10:57:00Z</dcterms:created>
  <dcterms:modified xsi:type="dcterms:W3CDTF">2025-08-22T11:01:00Z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24 for Word</vt:lpwstr>
  </property>
  <property fmtid="{D5CDD505-2E9C-101B-9397-08002B2CF9AE}" pid="4" name="eDOCS AutoSave">
    <vt:lpwstr/>
  </property>
  <property fmtid="{D5CDD505-2E9C-101B-9397-08002B2CF9AE}" pid="5" name="LastSaved">
    <vt:filetime>2025-08-18T00:00:00Z</vt:filetime>
  </property>
  <property fmtid="{D5CDD505-2E9C-101B-9397-08002B2CF9AE}" pid="6" name="OrigTemp">
    <vt:lpwstr>NEW_ Press_Country_Files.dot</vt:lpwstr>
  </property>
  <property fmtid="{D5CDD505-2E9C-101B-9397-08002B2CF9AE}" pid="7" name="Producer">
    <vt:lpwstr>Adobe PDF Library 24.2.23</vt:lpwstr>
  </property>
  <property fmtid="{D5CDD505-2E9C-101B-9397-08002B2CF9AE}" pid="8" name="SourceModified">
    <vt:lpwstr>D:20240614081612</vt:lpwstr>
  </property>
</Properties>
</file>