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B5491" w14:textId="77777777" w:rsidR="00467C1B" w:rsidRPr="006D205A" w:rsidRDefault="00467C1B" w:rsidP="00467C1B">
      <w:pPr>
        <w:tabs>
          <w:tab w:val="left" w:pos="7621"/>
        </w:tabs>
        <w:jc w:val="right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bookmarkStart w:id="0" w:name="_GoBack"/>
      <w:bookmarkEnd w:id="0"/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Załącznik nr 2</w:t>
      </w:r>
    </w:p>
    <w:p w14:paraId="10681A9E" w14:textId="03B4A800" w:rsidR="00467C1B" w:rsidRPr="006D205A" w:rsidRDefault="00BE23BD" w:rsidP="00467C1B">
      <w:pPr>
        <w:spacing w:before="120" w:after="24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OPIS PROGRAMU</w:t>
      </w:r>
    </w:p>
    <w:p w14:paraId="04D1CE02" w14:textId="77777777" w:rsidR="00467C1B" w:rsidRPr="006D205A" w:rsidRDefault="00467C1B" w:rsidP="00467C1B">
      <w:pPr>
        <w:spacing w:before="120" w:after="24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Opis </w:t>
      </w:r>
      <w:r w:rsidRPr="006D205A">
        <w:rPr>
          <w:rFonts w:ascii="Arial" w:eastAsia="Times New Roman" w:hAnsi="Arial" w:cs="Arial"/>
          <w:b/>
          <w:bCs/>
          <w:i/>
          <w:color w:val="000000" w:themeColor="text1"/>
          <w:lang w:eastAsia="pl-PL"/>
        </w:rPr>
        <w:t>Programu kontroli jakości w diagnostyce ostrej białaczki u dzieci</w:t>
      </w: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br/>
        <w:t>na lata 2019-2021:</w:t>
      </w:r>
    </w:p>
    <w:p w14:paraId="7FD8D573" w14:textId="77777777" w:rsidR="00467C1B" w:rsidRPr="006D205A" w:rsidRDefault="00467C1B" w:rsidP="00467C1B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Cele ogólne Programu:</w:t>
      </w:r>
    </w:p>
    <w:p w14:paraId="3C819BDB" w14:textId="77777777" w:rsidR="00467C1B" w:rsidRPr="006D205A" w:rsidRDefault="00467C1B" w:rsidP="00467C1B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hAnsi="Arial" w:cs="Arial"/>
          <w:color w:val="000000" w:themeColor="text1"/>
          <w:lang w:eastAsia="pl-PL"/>
        </w:rPr>
        <w:t>Poprawa wyników leczenia dzieci z ostrą białaczką limfoblastyczną (ALL) i ostrą białaczką szpikową (AML).</w:t>
      </w:r>
    </w:p>
    <w:p w14:paraId="5344FCCB" w14:textId="77777777" w:rsidR="00467C1B" w:rsidRPr="006D205A" w:rsidRDefault="00467C1B" w:rsidP="00467C1B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Cele szczegółowe Programu:</w:t>
      </w:r>
    </w:p>
    <w:p w14:paraId="18A2E897" w14:textId="77777777" w:rsidR="00467C1B" w:rsidRPr="006D205A" w:rsidRDefault="00467C1B" w:rsidP="00467C1B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Arial" w:hAnsi="Arial" w:cs="Arial"/>
          <w:color w:val="000000" w:themeColor="text1"/>
          <w:lang w:eastAsia="pl-PL"/>
        </w:rPr>
      </w:pPr>
      <w:r w:rsidRPr="006D205A">
        <w:rPr>
          <w:rFonts w:ascii="Arial" w:hAnsi="Arial" w:cs="Arial"/>
          <w:color w:val="000000" w:themeColor="text1"/>
          <w:lang w:eastAsia="pl-PL"/>
        </w:rPr>
        <w:t>Zastosowanie bardziej intensywnego leczenia u dzieci z cechami rokującymi niekorzystnie.</w:t>
      </w:r>
    </w:p>
    <w:p w14:paraId="3CC1B176" w14:textId="77777777" w:rsidR="00467C1B" w:rsidRPr="006D205A" w:rsidRDefault="00467C1B" w:rsidP="00467C1B">
      <w:pPr>
        <w:pStyle w:val="Akapitzlist"/>
        <w:numPr>
          <w:ilvl w:val="0"/>
          <w:numId w:val="1"/>
        </w:numPr>
        <w:spacing w:before="120" w:after="0"/>
        <w:ind w:left="284" w:hanging="284"/>
        <w:jc w:val="both"/>
        <w:rPr>
          <w:rFonts w:ascii="Arial" w:hAnsi="Arial" w:cs="Arial"/>
          <w:color w:val="000000" w:themeColor="text1"/>
          <w:lang w:eastAsia="pl-PL"/>
        </w:rPr>
      </w:pPr>
      <w:r w:rsidRPr="006D205A">
        <w:rPr>
          <w:rFonts w:ascii="Arial" w:hAnsi="Arial" w:cs="Arial"/>
          <w:color w:val="000000" w:themeColor="text1"/>
          <w:lang w:eastAsia="pl-PL"/>
        </w:rPr>
        <w:t>Zredukowanie intensywności chemioterapii u pacjentów, u których z dużą wiarygodnością można wykluczyć obecność cech rokujących niekorzystnie.</w:t>
      </w:r>
    </w:p>
    <w:p w14:paraId="6DC1D614" w14:textId="77777777" w:rsidR="00467C1B" w:rsidRPr="006D205A" w:rsidRDefault="00467C1B" w:rsidP="00467C1B">
      <w:pPr>
        <w:pStyle w:val="Akapitzlist"/>
        <w:numPr>
          <w:ilvl w:val="0"/>
          <w:numId w:val="1"/>
        </w:numPr>
        <w:spacing w:before="120" w:after="0"/>
        <w:ind w:left="284" w:hanging="284"/>
        <w:jc w:val="both"/>
        <w:rPr>
          <w:rFonts w:ascii="Arial" w:hAnsi="Arial" w:cs="Arial"/>
          <w:color w:val="000000" w:themeColor="text1"/>
          <w:lang w:eastAsia="pl-PL"/>
        </w:rPr>
      </w:pPr>
      <w:r w:rsidRPr="006D205A">
        <w:rPr>
          <w:rFonts w:ascii="Arial" w:hAnsi="Arial" w:cs="Arial"/>
          <w:color w:val="000000" w:themeColor="text1"/>
          <w:lang w:eastAsia="pl-PL"/>
        </w:rPr>
        <w:t>Zmniejszenie toksyczności i późnych następstw leczenia oraz obniżenie kosztów leczenia poprzez dostosowanie intensywności leczenia do indywidualnej oceny pacjentów.</w:t>
      </w:r>
    </w:p>
    <w:p w14:paraId="403EB1C8" w14:textId="77777777" w:rsidR="00467C1B" w:rsidRPr="006D205A" w:rsidRDefault="00467C1B" w:rsidP="00467C1B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Opis Programu:</w:t>
      </w:r>
    </w:p>
    <w:p w14:paraId="40370A84" w14:textId="3BACC88C" w:rsidR="00467C1B" w:rsidRPr="006D205A" w:rsidRDefault="00467C1B" w:rsidP="00467C1B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W Polsce rozpoznaje się białaczkę u ok. 2</w:t>
      </w:r>
      <w:r w:rsidR="00742AE6"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6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0 dzieci rocznie, z czego w ok. 2</w:t>
      </w:r>
      <w:r w:rsidR="00742AE6"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10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przypadkach stwierdzana jest ostra białaczka limfoblastyczna (ALL) - najczęstszy nowotwór wieku dziecięcego, natomiast rozpoznanie ostrej białaczki szpikowej (AML) stawiane jest u ok. 50-60 dzieci rocznie.</w:t>
      </w:r>
    </w:p>
    <w:p w14:paraId="1A9B4106" w14:textId="243848F0" w:rsidR="00467C1B" w:rsidRPr="006D205A" w:rsidRDefault="00467C1B" w:rsidP="00467C1B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 ciągu ostatnich 20 lat kolejno wprowadzano w Polsce szereg bardzo udanych programów klinicznych leczenia ostrej białaczki limfoblastycznej u dzieci z ALL, które pochodziły z oryginalnego programu niemieckiej Pediatrycznej Grupy Onkologicznej (BFM). Dzięki kolejnym modyfikacjom tego programu, szansę na pełne wyleczenie w Polsce ma ponad 90% dzieci z ALL standardowego ryzyka i około 60% dzieci z ALL wysokiego ryzyka. Obecnie wszystkie dzieci w Polsce z rozpoznaniem ALL leczone są według protokołu ALL </w:t>
      </w:r>
      <w:r w:rsidR="00742AE6"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AIEOP-BFM 2017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. W ramach tego programu, dla stratyfikacji pacjentów do grup ryzyka i dostosowania intensywności leczenia wykorzystuje się ocenę rearanżacji genowych w komórkach białaczkowych, a dla oceny skuteczności leczenia wykorzystuje się badanie poziomu choroby resztkowej (ang. </w:t>
      </w:r>
      <w:r w:rsidRPr="006D205A">
        <w:rPr>
          <w:rFonts w:ascii="Arial" w:eastAsia="Times New Roman" w:hAnsi="Arial" w:cs="Arial"/>
          <w:bCs/>
          <w:i/>
          <w:color w:val="000000" w:themeColor="text1"/>
          <w:lang w:eastAsia="pl-PL"/>
        </w:rPr>
        <w:t>MRD -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Pr="006D205A">
        <w:rPr>
          <w:rFonts w:ascii="Arial" w:eastAsia="Times New Roman" w:hAnsi="Arial" w:cs="Arial"/>
          <w:bCs/>
          <w:i/>
          <w:color w:val="000000" w:themeColor="text1"/>
          <w:lang w:eastAsia="pl-PL"/>
        </w:rPr>
        <w:t>Minimal Residual Disease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) przy pomocy cytometrii przepływowej i technik molekularnych.</w:t>
      </w:r>
    </w:p>
    <w:p w14:paraId="511A3934" w14:textId="77777777" w:rsidR="00467C1B" w:rsidRPr="006D205A" w:rsidRDefault="00467C1B" w:rsidP="00467C1B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Do 1983 r. w naszym kraju stosowano różne sposoby leczenia AML i uzyskiwano mniej niż 10% wyleczeń. Wprowadzone później, kolejno modyfikowane programy terapeutyczne, oparte na doświadczeniach Grupy BFM pozwoliły na poprawę wyników – do prawie 50% wyleczeń. W celu uzyskania dalszej poprawy wyników terapii AML u dzieci, wprowadzono oryginalny program Grupy BFM: AML-BFM Interim 2004, uwzględniający bardziej precyzyjną stratyfikację do grup ryzyka, z wykorzystaniem badań cytogenetycznych i molekularnych. Dla oceny skuteczności leczenia wykorzystuje się czułe techniki molekularne w celu oznaczenia poziomu charakterystycznych dla danego typu AML molekularnych markerów. W ciągu ostatnich 10 lat liczne badania dowiodły, że detekcja nawet niewielkiej liczby komórek nowotworowych (MRD) znamiennie koreluje z wynikami terapii w wielu złośliwych chorobach krwi. W poszczególnych podtypach tych chorób, ocena MRD jest ważna dla podejmowania decyzji terapeutycznych.</w:t>
      </w:r>
    </w:p>
    <w:p w14:paraId="7611584E" w14:textId="77777777" w:rsidR="00467C1B" w:rsidRPr="006D205A" w:rsidRDefault="00467C1B" w:rsidP="00467C1B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Realizacja zadania ukierunkowana jest na kontrolę jakości w diagnostyce ostrej białaczki u dzieci. Jego celem jest poprawa wyników leczenia dzieci z ALL i AML, poprzez zastosowanie bardziej intensywnego leczenia u dzieci z cechami niekorzystnymi rokowniczo oraz przez zredukowanie intensywności chemioterapii u dzieci, u których z dużą wiarygodnością można wykluczyć obecność cech niekorzystnych rokowniczo. </w:t>
      </w:r>
    </w:p>
    <w:p w14:paraId="12758F11" w14:textId="77777777" w:rsidR="00467C1B" w:rsidRPr="006D205A" w:rsidRDefault="00467C1B" w:rsidP="00467C1B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lastRenderedPageBreak/>
        <w:t xml:space="preserve">Dla osiągnięcia założonych celów, konieczne jest wykorzystanie strategii postępowania opartej na ocenie MRD, oznaczanej równocześnie przy pomocy metody cytofluorometrycznej i technik molekularnych, co daje szansę na zmniejszenie toksyczności i redukcję kosztów leczenia białaczki u dzieci. Równocześnie, prowadzona będzie centralna weryfikacja wyników badań cytomorfologicznych krwi obwodowej i szpiku oraz badań cytogenetycznych komórek białaczkowych u każdego pacjenta. Wyniki będą omawiane na wspólnych posiedzeniach diagnostów ze wszystkich ośrodków wykonujących te badania. </w:t>
      </w:r>
    </w:p>
    <w:p w14:paraId="42FE33DA" w14:textId="77777777" w:rsidR="00467C1B" w:rsidRPr="006D205A" w:rsidRDefault="00467C1B" w:rsidP="00467C1B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Działania do realizacji:</w:t>
      </w:r>
    </w:p>
    <w:p w14:paraId="2D180046" w14:textId="77777777" w:rsidR="00467C1B" w:rsidRPr="006D205A" w:rsidRDefault="00467C1B" w:rsidP="00467C1B">
      <w:pPr>
        <w:tabs>
          <w:tab w:val="left" w:pos="142"/>
        </w:tabs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1. Prowadzenie centralnej weryfikacji badań cytomorfologicznych wszystkich pacjentów z rozpoznaną ostrą białaczką: badanie szpiku wykonywane obligatoryjnie dobie 15 i 33 oraz, w razie potrzeby, w dniu rozpoznania, lub w późniejszych terminach, oraz badanie krwi obwodowej w 8 dobie. </w:t>
      </w:r>
    </w:p>
    <w:p w14:paraId="0CCF3B40" w14:textId="77777777" w:rsidR="00467C1B" w:rsidRPr="006D205A" w:rsidRDefault="00467C1B" w:rsidP="00467C1B">
      <w:pPr>
        <w:tabs>
          <w:tab w:val="left" w:pos="142"/>
        </w:tabs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2. Przesyłanie preparatów do weryfikacji badań cytomorfologicznych pomiędzy ośrodkami zgłaszającymi i leczącymi pacjentów a ośrodkami weryfikującymi badania.</w:t>
      </w:r>
    </w:p>
    <w:p w14:paraId="0520B41C" w14:textId="77777777" w:rsidR="00467C1B" w:rsidRPr="006D205A" w:rsidRDefault="00467C1B" w:rsidP="00467C1B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3. Organizacja 3 sesji weryfikacyjnych dotyczących cytomorfologii, z udziałem przedstawicieli 16 polskich ośrodków diagnostycznych</w:t>
      </w:r>
      <w:r w:rsidRPr="006D205A">
        <w:rPr>
          <w:rStyle w:val="Odwoaniedokomentarza"/>
          <w:rFonts w:ascii="Arial" w:hAnsi="Arial" w:cs="Arial"/>
          <w:color w:val="000000" w:themeColor="text1"/>
          <w:sz w:val="22"/>
        </w:rPr>
        <w:t>,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w czasie których omawiane będą wyniki zweryfikowanych badań. Finansowaniu podlegać będą </w:t>
      </w:r>
      <w:r w:rsidRPr="006D205A">
        <w:rPr>
          <w:rFonts w:ascii="Arial" w:eastAsia="Times New Roman" w:hAnsi="Arial" w:cs="Arial"/>
          <w:bCs/>
          <w:color w:val="000000" w:themeColor="text1"/>
          <w:u w:val="single"/>
          <w:lang w:eastAsia="pl-PL"/>
        </w:rPr>
        <w:t>wyłącznie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następujące koszty: podróży uczestników najbardziej ekonomicznym środkiem transportu, noclegów uczestników, wynajmu sali, usługi gastronomicznej (cateringu), wynajmu sprzętu medycznego (np. mikroskopów), wydruku/zakupu materiałów konferencyjnych/szkoleniowych, prowadzenia wykładów.</w:t>
      </w:r>
    </w:p>
    <w:p w14:paraId="52AA4FF1" w14:textId="77777777" w:rsidR="00467C1B" w:rsidRPr="006D205A" w:rsidRDefault="00467C1B" w:rsidP="00467C1B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4. Prowadzenie centralnej weryfikacji badań cytogenetycznych metodą prążkową i/lub FISH. których wyniki omawiane będą na wspólnych posiedzeniach diagnostów ze wszystkich ośrodków wykonujących ww. badania.</w:t>
      </w:r>
    </w:p>
    <w:p w14:paraId="6AC9AC1C" w14:textId="77777777" w:rsidR="00467C1B" w:rsidRPr="006D205A" w:rsidRDefault="00467C1B" w:rsidP="00467C1B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5. Przesyłanie preparatów do weryfikacji badań cytogenetycznych pomiędzy ośrodkami zgłaszającymi i leczącymi pacjentów a ośrodkami weryfikującymi badania.</w:t>
      </w:r>
    </w:p>
    <w:p w14:paraId="55DCAD06" w14:textId="77777777" w:rsidR="00467C1B" w:rsidRPr="006D205A" w:rsidRDefault="00467C1B" w:rsidP="00467C1B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6. Organizacja 2 sesji weryfikacyjnych dotyczących cytogenetyki, z udziałem przedstawicieli 16 polskich ośrodków diagnostycznych, w czasie których omawiane będą wyniki zweryfikowanych badań. Finansowaniu podlegać będą </w:t>
      </w:r>
      <w:r w:rsidRPr="006D205A">
        <w:rPr>
          <w:rFonts w:ascii="Arial" w:eastAsia="Times New Roman" w:hAnsi="Arial" w:cs="Arial"/>
          <w:bCs/>
          <w:color w:val="000000" w:themeColor="text1"/>
          <w:u w:val="single"/>
          <w:lang w:eastAsia="pl-PL"/>
        </w:rPr>
        <w:t>wyłącznie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następujące koszty: podróży uczestników najbardziej ekonomicznym środkiem transportu, noclegów uczestników, wynajmu sali, usługi gastronomicznej (cateringu), wynajmu sprzętu medycznego (np. mikroskopów), wydruku/zakupu materiałów konferencyjnych/szkoleniowych,  prowadzenia wykładów.</w:t>
      </w:r>
    </w:p>
    <w:p w14:paraId="0DE6ACF4" w14:textId="77777777" w:rsidR="00467C1B" w:rsidRPr="006D205A" w:rsidRDefault="00467C1B" w:rsidP="00467C1B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7. Monitorowanie minimalnej choroby resztkowej metodą cytofluorometryczną (przy pomocy cytometrii przepływowej) u wszystkich pacjentów, w oparciu o próbki szpiku pobrane przy rozpoznaniu choroby (konieczność znalezienia markerów immunologicznych) oraz w dobie 15 i 33. Laboratorium wykonujące badanie dla wszystkich pacjentów z Polski musi posiadać europejski certyfikat jakości oceny choroby resztkowej.</w:t>
      </w:r>
    </w:p>
    <w:p w14:paraId="6585C416" w14:textId="772A5420" w:rsidR="00467C1B" w:rsidRPr="006D205A" w:rsidRDefault="00467C1B" w:rsidP="00467C1B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E535A">
        <w:rPr>
          <w:rFonts w:ascii="Arial" w:eastAsia="Times New Roman" w:hAnsi="Arial" w:cs="Arial"/>
          <w:bCs/>
          <w:color w:val="000000" w:themeColor="text1"/>
          <w:lang w:eastAsia="pl-PL"/>
        </w:rPr>
        <w:t>8. Monitorowanie minimalnej choroby resztkowej metodą molekularną</w:t>
      </w:r>
      <w:r w:rsidR="00CE535A" w:rsidRPr="00CE53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w ALL</w:t>
      </w:r>
      <w:r w:rsidRPr="00CE53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u każdego pacjenta z DNA komórek szpiku pobranych przy rozpoznaniu choroby (konieczność znalezienia markerów genetycznych)</w:t>
      </w:r>
      <w:r w:rsidR="00742AE6" w:rsidRPr="00CE53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w odpowiednich punktach czasowych zdefiniowanych programem leczenia AIEOP-BFM 2017 (od 1 do 7 punktów czasowych dla jednego pacjenta w przypadku leczenia pierwszej linii oraz od 1 do 4 punktów czasowych przy leczeniu wznowy choroby). </w:t>
      </w:r>
      <w:r w:rsidRPr="00CE535A">
        <w:rPr>
          <w:rFonts w:ascii="Arial" w:eastAsia="Times New Roman" w:hAnsi="Arial" w:cs="Arial"/>
          <w:bCs/>
          <w:color w:val="000000" w:themeColor="text1"/>
          <w:lang w:eastAsia="pl-PL"/>
        </w:rPr>
        <w:t>Laboratorium genetyki molekularnej wykonujące badania, musi przystąpić do europejskiego programu certyfikacji jakości oceny choroby resztkowej</w:t>
      </w:r>
      <w:r w:rsidR="00742AE6" w:rsidRPr="00CE53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EURO-MRD.</w:t>
      </w:r>
    </w:p>
    <w:p w14:paraId="57C069B7" w14:textId="3E6B2ED3" w:rsidR="00D940C2" w:rsidRPr="0028296F" w:rsidRDefault="00D940C2" w:rsidP="0028296F">
      <w:pPr>
        <w:jc w:val="both"/>
        <w:rPr>
          <w:rFonts w:ascii="Arial" w:eastAsia="Times New Roman" w:hAnsi="Arial" w:cs="Arial"/>
          <w:color w:val="FF0000"/>
          <w:lang w:eastAsia="pl-PL"/>
        </w:rPr>
      </w:pPr>
      <w:r w:rsidRPr="00DF6FBC">
        <w:rPr>
          <w:rFonts w:ascii="Arial" w:eastAsia="Times New Roman" w:hAnsi="Arial" w:cs="Arial"/>
          <w:bCs/>
          <w:color w:val="000000" w:themeColor="text1"/>
          <w:lang w:eastAsia="pl-PL"/>
        </w:rPr>
        <w:t>9. Prowadzenie diagnostyki molekularnej sekwencjonowania RNA metodą NGS oraz macierzy całogenomowych w diagnostyce podtypów białaczek w celu zastąpienia tą technologią wykonywanych obecnie badań cytogenetycznych (ALL i AML)</w:t>
      </w:r>
      <w:r w:rsidR="00DF6FBC" w:rsidRPr="00DF6FBC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. </w:t>
      </w:r>
      <w:r w:rsidR="00DF6FBC" w:rsidRPr="0028296F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Metoda sekwencjonowania RNA NGS ma dostarczyć informacji o obecności fuzji genowych oraz o obecności mutacji punktowych w genach zaangażowanych w karcynogenezę w celu wskazania potencjalnego celu terapeutycznego. Badania za pomocą macierzy całogenomowych powinny być wykonane metodą wysokiej rozdzielczości na poziomie detekcji zmian liczby kopii fragmentów genomu </w:t>
      </w:r>
      <w:r w:rsidR="00DF6FBC" w:rsidRPr="0028296F">
        <w:rPr>
          <w:rFonts w:ascii="Arial" w:eastAsia="Times New Roman" w:hAnsi="Arial" w:cs="Arial"/>
          <w:bCs/>
          <w:color w:val="000000" w:themeColor="text1"/>
          <w:lang w:eastAsia="pl-PL"/>
        </w:rPr>
        <w:lastRenderedPageBreak/>
        <w:t>wielkości 25-50kb, pokrywająca wszystkie znane geny wg OMIM i RefSeq i pozwalającą na detekcję nabytych disomii jednorodzicielskich (UPD).</w:t>
      </w:r>
    </w:p>
    <w:p w14:paraId="0BA476A3" w14:textId="77777777" w:rsidR="00467C1B" w:rsidRPr="006D205A" w:rsidRDefault="00467C1B" w:rsidP="00467C1B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Populacja badana:</w:t>
      </w:r>
    </w:p>
    <w:p w14:paraId="3F6806EF" w14:textId="77777777" w:rsidR="00467C1B" w:rsidRPr="006D205A" w:rsidRDefault="00467C1B" w:rsidP="00467C1B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Dzieci i młodzież do 18 r.ż., u których zdiagnozowano ostrą białaczkę. </w:t>
      </w:r>
    </w:p>
    <w:p w14:paraId="14DECFC0" w14:textId="77777777" w:rsidR="00523B62" w:rsidRPr="006D205A" w:rsidRDefault="00523B62" w:rsidP="00523B62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Ogólne warunki realizacji zadania:</w:t>
      </w:r>
    </w:p>
    <w:p w14:paraId="42D4B2D2" w14:textId="77777777" w:rsidR="00523B62" w:rsidRPr="006D205A" w:rsidRDefault="00E80393" w:rsidP="00E80393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- </w:t>
      </w:r>
      <w:r w:rsidR="00523B62"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Wykaz limitów kosztów, możliwych do rozliczania w ramach organizacji sesji weryfikacyjnych i sesji kliniczno-terapeutycznej:</w:t>
      </w:r>
    </w:p>
    <w:p w14:paraId="74DCF35C" w14:textId="77777777" w:rsidR="00523B62" w:rsidRPr="006D205A" w:rsidRDefault="00E80393" w:rsidP="00E80393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- </w:t>
      </w:r>
      <w:r w:rsidR="00523B62"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Koszty wynajęcia sal wykładowych (cena max. na osobę – 40 zł, jednak nie więcej niż 3 500 zł za dzień). W przypadku, gdy realizator zorganizuje spotkanie w swojej siedzibie, koszty wynajmu sali nie będą refundowane,</w:t>
      </w:r>
    </w:p>
    <w:p w14:paraId="5B70FECA" w14:textId="77777777" w:rsidR="00523B62" w:rsidRPr="006D205A" w:rsidRDefault="00E80393" w:rsidP="00E80393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- </w:t>
      </w:r>
      <w:r w:rsidR="00523B62"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Koszty wynagrodzenia wykładowców – max. 500 zł dla osoby posiadającej co najmniej stopień naukowy doktora oraz max. 300 zł dla pozostałych osób (za godzinę wykładową tj. min. 45 min.),</w:t>
      </w:r>
    </w:p>
    <w:p w14:paraId="18EB7AA7" w14:textId="77777777" w:rsidR="00523B62" w:rsidRPr="006D205A" w:rsidRDefault="00E80393" w:rsidP="00E80393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- </w:t>
      </w:r>
      <w:r w:rsidR="00523B62"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Koszty dojazdów (najbardziej ekonomicznym środkiem transportu):</w:t>
      </w:r>
    </w:p>
    <w:p w14:paraId="1CCD2865" w14:textId="77777777" w:rsidR="00523B62" w:rsidRPr="006D205A" w:rsidRDefault="00E80393" w:rsidP="00E80393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- </w:t>
      </w:r>
      <w:r w:rsidR="00523B62"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Pod pojęciem podróży najbardziej ekonomicznym środkiem transportu Zleceniodawca rozumie podróż za pośrednictwem PKP – 2 klasą, PKS lub miejskiego zakładu komunikacji. W przypadku braku możliwości wykorzystania powyższych środków transportu na trasie dojazdu na spotkanie, Zleceniobiorca może wykorzystać jako środek transportu samochód osobowy zgodnie z rozporządzeniem Ministra Pracy i Polityki Społecznej z dnia 29 stycznia 2013 r. w sprawie należności przysługujących pracownikowi zatrudnionemu w państwowej lub samorządowej jednostce sfery budżetowej z tytułu podróży służbowej (Dz. U. 2013 r. poz. 167). W przypadku konieczności wykorzystania innego, niż wymienione środka transportu, należy przedstawić stosowne uzasadnienie dlaczego konieczne jest jego wykorzystanie, wraz z analizą kosztów podróży pozostałymi środkami (PKP, PKS, MZK, samochód osobowy) w tym samym terminie. W przypadku, jeżeli koszty podróży środkiem transportu innym niż wskazane będzie wyższy, wówczas przysługuje rozliczenie kosztów podróży do wysokości kwoty najbardziej ekonomicznego z nich.</w:t>
      </w:r>
    </w:p>
    <w:p w14:paraId="0593685C" w14:textId="77777777" w:rsidR="00523B62" w:rsidRPr="006D205A" w:rsidRDefault="00E80393" w:rsidP="00E80393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- </w:t>
      </w:r>
      <w:r w:rsidR="00523B62"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Koszty usługi gastronomicznej (cateringu) - max. 35 zł za osobę na dzień,</w:t>
      </w:r>
    </w:p>
    <w:p w14:paraId="031757B5" w14:textId="77777777" w:rsidR="00523B62" w:rsidRPr="006D205A" w:rsidRDefault="00E80393" w:rsidP="00E80393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- </w:t>
      </w:r>
      <w:r w:rsidR="00523B62"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Koszty noclegów dla wykładowców i uczestników sesji – max. 220 zł za osobę za dzień</w:t>
      </w:r>
    </w:p>
    <w:p w14:paraId="318C7CC4" w14:textId="2334DEB8" w:rsidR="00523B62" w:rsidRPr="006D205A" w:rsidRDefault="00E80393" w:rsidP="00E80393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- </w:t>
      </w:r>
      <w:r w:rsidR="00523B62"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Koszty obsługi administracyjnej – max. 10% łącz</w:t>
      </w:r>
      <w:r w:rsidR="00B37F7C">
        <w:rPr>
          <w:rFonts w:ascii="Arial" w:eastAsia="Times New Roman" w:hAnsi="Arial" w:cs="Arial"/>
          <w:bCs/>
          <w:color w:val="000000" w:themeColor="text1"/>
          <w:lang w:eastAsia="pl-PL"/>
        </w:rPr>
        <w:t>nej kwoty środków wydatkowanych</w:t>
      </w:r>
      <w:r w:rsidR="00523B62"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na organizację sesji weryfikacyjnych,</w:t>
      </w:r>
    </w:p>
    <w:p w14:paraId="759B4604" w14:textId="77777777" w:rsidR="00523B62" w:rsidRPr="006D205A" w:rsidRDefault="00E80393" w:rsidP="00E80393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- </w:t>
      </w:r>
      <w:r w:rsidR="00523B62"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Nie podlegają refundacji koszty wynajmu sprzętu medycznego, w przypadku, gdy jest on własnością realizatora Programu.</w:t>
      </w:r>
    </w:p>
    <w:p w14:paraId="60D9FDFD" w14:textId="77777777" w:rsidR="00A62D4D" w:rsidRPr="006D205A" w:rsidRDefault="006866A7" w:rsidP="00E80393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sectPr w:rsidR="00A62D4D" w:rsidRPr="006D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40A5B0" w16cid:durableId="20A02C2A"/>
  <w16cid:commentId w16cid:paraId="172B45C3" w16cid:durableId="20A02DB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B38"/>
    <w:multiLevelType w:val="hybridMultilevel"/>
    <w:tmpl w:val="83D03C5E"/>
    <w:lvl w:ilvl="0" w:tplc="3A9AB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C5B99"/>
    <w:multiLevelType w:val="hybridMultilevel"/>
    <w:tmpl w:val="B2D08B14"/>
    <w:lvl w:ilvl="0" w:tplc="92CC1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F4"/>
    <w:rsid w:val="001435CE"/>
    <w:rsid w:val="002323D2"/>
    <w:rsid w:val="00246365"/>
    <w:rsid w:val="0028296F"/>
    <w:rsid w:val="00467C1B"/>
    <w:rsid w:val="004B5590"/>
    <w:rsid w:val="00523B62"/>
    <w:rsid w:val="005575F4"/>
    <w:rsid w:val="00557695"/>
    <w:rsid w:val="006866A7"/>
    <w:rsid w:val="006D205A"/>
    <w:rsid w:val="00742AE6"/>
    <w:rsid w:val="00A911C7"/>
    <w:rsid w:val="00AB766F"/>
    <w:rsid w:val="00B37F7C"/>
    <w:rsid w:val="00BE23BD"/>
    <w:rsid w:val="00CB6042"/>
    <w:rsid w:val="00CE535A"/>
    <w:rsid w:val="00D940C2"/>
    <w:rsid w:val="00DF6FBC"/>
    <w:rsid w:val="00E8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6359"/>
  <w15:chartTrackingRefBased/>
  <w15:docId w15:val="{D4EA7842-A656-4FCB-A5B8-48551DD2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C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7C1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rsid w:val="00467C1B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6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6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6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66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DF6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1367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2</cp:revision>
  <dcterms:created xsi:type="dcterms:W3CDTF">2019-06-07T12:20:00Z</dcterms:created>
  <dcterms:modified xsi:type="dcterms:W3CDTF">2019-06-07T12:20:00Z</dcterms:modified>
</cp:coreProperties>
</file>