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80321D"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80321D"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bookmarkStart w:id="4" w:name="_GoBack"/>
            <w:bookmarkEnd w:id="4"/>
          </w:p>
        </w:tc>
        <w:tc>
          <w:tcPr>
            <w:tcW w:w="1276" w:type="dxa"/>
            <w:gridSpan w:val="2"/>
          </w:tcPr>
          <w:p w:rsidR="0080321D" w:rsidRPr="00B65B8A" w:rsidRDefault="0080321D" w:rsidP="001B528C">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AD4" w:rsidRDefault="00E47AD4" w:rsidP="000C3879">
      <w:pPr>
        <w:spacing w:after="0" w:line="240" w:lineRule="auto"/>
      </w:pPr>
      <w:r>
        <w:separator/>
      </w:r>
    </w:p>
  </w:endnote>
  <w:endnote w:type="continuationSeparator" w:id="0">
    <w:p w:rsidR="00E47AD4" w:rsidRDefault="00E47AD4"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AD4" w:rsidRDefault="00E47AD4" w:rsidP="000C3879">
      <w:pPr>
        <w:spacing w:after="0" w:line="240" w:lineRule="auto"/>
      </w:pPr>
      <w:r>
        <w:separator/>
      </w:r>
    </w:p>
  </w:footnote>
  <w:footnote w:type="continuationSeparator" w:id="0">
    <w:p w:rsidR="00E47AD4" w:rsidRDefault="00E47AD4"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6"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5"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9"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1" w15:restartNumberingAfterBreak="0">
    <w:nsid w:val="69872014"/>
    <w:multiLevelType w:val="singleLevel"/>
    <w:tmpl w:val="04150011"/>
    <w:lvl w:ilvl="0">
      <w:start w:val="1"/>
      <w:numFmt w:val="decimal"/>
      <w:lvlText w:val="%1)"/>
      <w:lvlJc w:val="left"/>
      <w:pPr>
        <w:ind w:left="720" w:hanging="360"/>
      </w:pPr>
    </w:lvl>
  </w:abstractNum>
  <w:abstractNum w:abstractNumId="42"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6"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9"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1"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7"/>
  </w:num>
  <w:num w:numId="3">
    <w:abstractNumId w:val="19"/>
  </w:num>
  <w:num w:numId="4">
    <w:abstractNumId w:val="16"/>
  </w:num>
  <w:num w:numId="5">
    <w:abstractNumId w:val="7"/>
  </w:num>
  <w:num w:numId="6">
    <w:abstractNumId w:val="50"/>
  </w:num>
  <w:num w:numId="7">
    <w:abstractNumId w:val="21"/>
  </w:num>
  <w:num w:numId="8">
    <w:abstractNumId w:val="8"/>
  </w:num>
  <w:num w:numId="9">
    <w:abstractNumId w:val="11"/>
  </w:num>
  <w:num w:numId="10">
    <w:abstractNumId w:val="47"/>
  </w:num>
  <w:num w:numId="11">
    <w:abstractNumId w:val="29"/>
  </w:num>
  <w:num w:numId="12">
    <w:abstractNumId w:val="10"/>
  </w:num>
  <w:num w:numId="13">
    <w:abstractNumId w:val="5"/>
  </w:num>
  <w:num w:numId="14">
    <w:abstractNumId w:val="13"/>
  </w:num>
  <w:num w:numId="15">
    <w:abstractNumId w:val="30"/>
  </w:num>
  <w:num w:numId="16">
    <w:abstractNumId w:val="0"/>
  </w:num>
  <w:num w:numId="17">
    <w:abstractNumId w:val="18"/>
  </w:num>
  <w:num w:numId="18">
    <w:abstractNumId w:val="31"/>
  </w:num>
  <w:num w:numId="19">
    <w:abstractNumId w:val="51"/>
  </w:num>
  <w:num w:numId="20">
    <w:abstractNumId w:val="37"/>
  </w:num>
  <w:num w:numId="21">
    <w:abstractNumId w:val="35"/>
  </w:num>
  <w:num w:numId="22">
    <w:abstractNumId w:val="14"/>
  </w:num>
  <w:num w:numId="23">
    <w:abstractNumId w:val="20"/>
  </w:num>
  <w:num w:numId="24">
    <w:abstractNumId w:val="33"/>
  </w:num>
  <w:num w:numId="25">
    <w:abstractNumId w:val="42"/>
  </w:num>
  <w:num w:numId="26">
    <w:abstractNumId w:val="4"/>
  </w:num>
  <w:num w:numId="27">
    <w:abstractNumId w:val="49"/>
  </w:num>
  <w:num w:numId="28">
    <w:abstractNumId w:val="34"/>
  </w:num>
  <w:num w:numId="29">
    <w:abstractNumId w:val="40"/>
  </w:num>
  <w:num w:numId="30">
    <w:abstractNumId w:val="44"/>
  </w:num>
  <w:num w:numId="31">
    <w:abstractNumId w:val="28"/>
  </w:num>
  <w:num w:numId="32">
    <w:abstractNumId w:val="24"/>
  </w:num>
  <w:num w:numId="33">
    <w:abstractNumId w:val="9"/>
  </w:num>
  <w:num w:numId="34">
    <w:abstractNumId w:val="36"/>
  </w:num>
  <w:num w:numId="35">
    <w:abstractNumId w:val="48"/>
  </w:num>
  <w:num w:numId="36">
    <w:abstractNumId w:val="25"/>
  </w:num>
  <w:num w:numId="37">
    <w:abstractNumId w:val="46"/>
  </w:num>
  <w:num w:numId="38">
    <w:abstractNumId w:val="26"/>
  </w:num>
  <w:num w:numId="39">
    <w:abstractNumId w:val="23"/>
  </w:num>
  <w:num w:numId="40">
    <w:abstractNumId w:val="45"/>
  </w:num>
  <w:num w:numId="41">
    <w:abstractNumId w:val="38"/>
  </w:num>
  <w:num w:numId="42">
    <w:abstractNumId w:val="43"/>
  </w:num>
  <w:num w:numId="43">
    <w:abstractNumId w:val="12"/>
  </w:num>
  <w:num w:numId="44">
    <w:abstractNumId w:val="22"/>
  </w:num>
  <w:num w:numId="45">
    <w:abstractNumId w:val="15"/>
  </w:num>
  <w:num w:numId="46">
    <w:abstractNumId w:val="6"/>
  </w:num>
  <w:num w:numId="47">
    <w:abstractNumId w:val="52"/>
  </w:num>
  <w:num w:numId="48">
    <w:abstractNumId w:val="1"/>
  </w:num>
  <w:num w:numId="49">
    <w:abstractNumId w:val="17"/>
  </w:num>
  <w:num w:numId="50">
    <w:abstractNumId w:val="2"/>
  </w:num>
  <w:num w:numId="51">
    <w:abstractNumId w:val="3"/>
  </w:num>
  <w:num w:numId="52">
    <w:abstractNumId w:val="41"/>
  </w:num>
  <w:num w:numId="53">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32E5"/>
    <w:rsid w:val="001B493A"/>
    <w:rsid w:val="001B528C"/>
    <w:rsid w:val="001B6AED"/>
    <w:rsid w:val="001D0273"/>
    <w:rsid w:val="001D03FC"/>
    <w:rsid w:val="001D19A7"/>
    <w:rsid w:val="001D48EB"/>
    <w:rsid w:val="001E0A78"/>
    <w:rsid w:val="001F7A1C"/>
    <w:rsid w:val="00207C7C"/>
    <w:rsid w:val="00215C00"/>
    <w:rsid w:val="00233622"/>
    <w:rsid w:val="0023413B"/>
    <w:rsid w:val="00236E82"/>
    <w:rsid w:val="002454EF"/>
    <w:rsid w:val="00254767"/>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8121F"/>
    <w:rsid w:val="0038314D"/>
    <w:rsid w:val="003837CE"/>
    <w:rsid w:val="003859F5"/>
    <w:rsid w:val="00393602"/>
    <w:rsid w:val="0039672B"/>
    <w:rsid w:val="003B08DA"/>
    <w:rsid w:val="003B0B42"/>
    <w:rsid w:val="003E13A7"/>
    <w:rsid w:val="003F02C4"/>
    <w:rsid w:val="003F789C"/>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51EE7"/>
    <w:rsid w:val="00C53CCE"/>
    <w:rsid w:val="00C545FB"/>
    <w:rsid w:val="00C57448"/>
    <w:rsid w:val="00C635F4"/>
    <w:rsid w:val="00C65154"/>
    <w:rsid w:val="00C66496"/>
    <w:rsid w:val="00C71318"/>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2342"/>
    <w:rsid w:val="00D034C2"/>
    <w:rsid w:val="00D07925"/>
    <w:rsid w:val="00D10F47"/>
    <w:rsid w:val="00D11DB0"/>
    <w:rsid w:val="00D1244B"/>
    <w:rsid w:val="00D15967"/>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C7929"/>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6E9E"/>
    <w:rsid w:val="00ED7763"/>
    <w:rsid w:val="00EE05D9"/>
    <w:rsid w:val="00EE0EAB"/>
    <w:rsid w:val="00EE5C8A"/>
    <w:rsid w:val="00EE7DBF"/>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444AB8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5D83B-5A12-453F-8BCB-F7A11F4771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01F3732-D9B2-4B40-BB94-6A53A7B93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193</Pages>
  <Words>47868</Words>
  <Characters>287212</Characters>
  <Application>Microsoft Office Word</Application>
  <DocSecurity>0</DocSecurity>
  <Lines>2393</Lines>
  <Paragraphs>668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25</cp:revision>
  <dcterms:created xsi:type="dcterms:W3CDTF">2023-06-01T06:30:00Z</dcterms:created>
  <dcterms:modified xsi:type="dcterms:W3CDTF">2023-08-28T09:15:00Z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