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D4FF9" w14:textId="19756C6A" w:rsidR="00E94C9C" w:rsidRDefault="00E94C9C" w:rsidP="00E94C9C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4C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Projekt</w:t>
      </w:r>
    </w:p>
    <w:p w14:paraId="48CCE77D" w14:textId="77D97D19" w:rsidR="00E94C9C" w:rsidRDefault="00E94C9C" w:rsidP="00E94C9C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A12E5A" w14:textId="77777777" w:rsidR="00E94C9C" w:rsidRPr="00E94C9C" w:rsidRDefault="00E94C9C" w:rsidP="00E94C9C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8AC6B60" w14:textId="65530BEC" w:rsidR="00E14548" w:rsidRPr="00E14548" w:rsidRDefault="00E14548" w:rsidP="00D053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548">
        <w:rPr>
          <w:rFonts w:ascii="Times New Roman" w:hAnsi="Times New Roman" w:cs="Times New Roman"/>
          <w:b/>
          <w:bCs/>
          <w:sz w:val="24"/>
          <w:szCs w:val="24"/>
        </w:rPr>
        <w:t>ZARZĄDZENIE</w:t>
      </w:r>
    </w:p>
    <w:p w14:paraId="19A03019" w14:textId="77777777" w:rsidR="00E14548" w:rsidRPr="00E14548" w:rsidRDefault="00E14548" w:rsidP="00D053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548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 W BYDGOSZCZY</w:t>
      </w:r>
    </w:p>
    <w:p w14:paraId="3161E9FA" w14:textId="77777777" w:rsidR="00E14548" w:rsidRPr="00E14548" w:rsidRDefault="00E14548" w:rsidP="00D053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59ECD2" w14:textId="77777777" w:rsidR="00E14548" w:rsidRPr="00E14548" w:rsidRDefault="00E14548" w:rsidP="00D053F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548">
        <w:rPr>
          <w:rFonts w:ascii="Times New Roman" w:hAnsi="Times New Roman" w:cs="Times New Roman"/>
          <w:sz w:val="24"/>
          <w:szCs w:val="24"/>
        </w:rPr>
        <w:t>z dnia ……....................... r.</w:t>
      </w:r>
    </w:p>
    <w:p w14:paraId="58DEF553" w14:textId="4550C75C" w:rsidR="00E14548" w:rsidRPr="00E14548" w:rsidRDefault="00E14548" w:rsidP="00D053F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4548">
        <w:rPr>
          <w:rFonts w:ascii="Times New Roman" w:hAnsi="Times New Roman" w:cs="Times New Roman"/>
          <w:b/>
          <w:bCs/>
          <w:sz w:val="24"/>
          <w:szCs w:val="24"/>
        </w:rPr>
        <w:t xml:space="preserve">zmieniające zarządzenie w sprawie ustanowienia planu zadań ochronnych dla obszaru Natura 2000 </w:t>
      </w:r>
      <w:r w:rsidR="002A7740">
        <w:rPr>
          <w:rFonts w:ascii="Times New Roman" w:hAnsi="Times New Roman" w:cs="Times New Roman"/>
          <w:b/>
          <w:bCs/>
          <w:sz w:val="24"/>
          <w:szCs w:val="24"/>
        </w:rPr>
        <w:t>Włocławska</w:t>
      </w:r>
      <w:r w:rsidRPr="00E14548">
        <w:rPr>
          <w:rFonts w:ascii="Times New Roman" w:hAnsi="Times New Roman" w:cs="Times New Roman"/>
          <w:b/>
          <w:bCs/>
          <w:sz w:val="24"/>
          <w:szCs w:val="24"/>
        </w:rPr>
        <w:t xml:space="preserve"> Dolina Wisły PLH0400</w:t>
      </w:r>
      <w:r w:rsidR="002A7740">
        <w:rPr>
          <w:rFonts w:ascii="Times New Roman" w:hAnsi="Times New Roman" w:cs="Times New Roman"/>
          <w:b/>
          <w:bCs/>
          <w:sz w:val="24"/>
          <w:szCs w:val="24"/>
        </w:rPr>
        <w:t>39</w:t>
      </w:r>
    </w:p>
    <w:p w14:paraId="7C766477" w14:textId="77777777" w:rsidR="00E14548" w:rsidRPr="00E14548" w:rsidRDefault="00E14548" w:rsidP="00D053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199747" w14:textId="5E3A586F" w:rsidR="00E14548" w:rsidRPr="00E14548" w:rsidRDefault="00E14548" w:rsidP="00D05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48">
        <w:rPr>
          <w:rFonts w:ascii="Times New Roman" w:hAnsi="Times New Roman" w:cs="Times New Roman"/>
          <w:sz w:val="24"/>
          <w:szCs w:val="24"/>
        </w:rPr>
        <w:t>Na  podstawie  art. 28 ust. 5 ustawy  z dnia 16 kwietnia 2004 r. o ochronie  przyrody (</w:t>
      </w:r>
      <w:proofErr w:type="spellStart"/>
      <w:r w:rsidRPr="00E145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14548">
        <w:rPr>
          <w:rFonts w:ascii="Times New Roman" w:hAnsi="Times New Roman" w:cs="Times New Roman"/>
          <w:sz w:val="24"/>
          <w:szCs w:val="24"/>
        </w:rPr>
        <w:t xml:space="preserve">. Dz. U. </w:t>
      </w:r>
      <w:r w:rsidR="009352FF">
        <w:rPr>
          <w:rFonts w:ascii="Times New Roman" w:hAnsi="Times New Roman" w:cs="Times New Roman"/>
          <w:sz w:val="24"/>
          <w:szCs w:val="24"/>
        </w:rPr>
        <w:t xml:space="preserve">z </w:t>
      </w:r>
      <w:r w:rsidRPr="00E14548">
        <w:rPr>
          <w:rFonts w:ascii="Times New Roman" w:hAnsi="Times New Roman" w:cs="Times New Roman"/>
          <w:sz w:val="24"/>
          <w:szCs w:val="24"/>
        </w:rPr>
        <w:t>202</w:t>
      </w:r>
      <w:r w:rsidR="00954E2C">
        <w:rPr>
          <w:rFonts w:ascii="Times New Roman" w:hAnsi="Times New Roman" w:cs="Times New Roman"/>
          <w:sz w:val="24"/>
          <w:szCs w:val="24"/>
        </w:rPr>
        <w:t>2</w:t>
      </w:r>
      <w:r w:rsidRPr="00E14548">
        <w:rPr>
          <w:rFonts w:ascii="Times New Roman" w:hAnsi="Times New Roman" w:cs="Times New Roman"/>
          <w:sz w:val="24"/>
          <w:szCs w:val="24"/>
        </w:rPr>
        <w:t xml:space="preserve"> r., poz. </w:t>
      </w:r>
      <w:r w:rsidR="00954E2C">
        <w:rPr>
          <w:rFonts w:ascii="Times New Roman" w:hAnsi="Times New Roman" w:cs="Times New Roman"/>
          <w:sz w:val="24"/>
          <w:szCs w:val="24"/>
        </w:rPr>
        <w:t>916</w:t>
      </w:r>
      <w:r w:rsidRPr="00E14548">
        <w:rPr>
          <w:rFonts w:ascii="Times New Roman" w:hAnsi="Times New Roman" w:cs="Times New Roman"/>
          <w:sz w:val="24"/>
          <w:szCs w:val="24"/>
        </w:rPr>
        <w:t>) zarządza się, co następuje:</w:t>
      </w:r>
    </w:p>
    <w:p w14:paraId="2F09678E" w14:textId="36CDB60D" w:rsidR="002444C4" w:rsidRDefault="00E14548" w:rsidP="002444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548">
        <w:rPr>
          <w:rFonts w:ascii="Times New Roman" w:hAnsi="Times New Roman" w:cs="Times New Roman"/>
          <w:sz w:val="24"/>
          <w:szCs w:val="24"/>
        </w:rPr>
        <w:t xml:space="preserve">§ 1. W  zarządzeniu  </w:t>
      </w:r>
      <w:r>
        <w:rPr>
          <w:rFonts w:ascii="Times New Roman" w:hAnsi="Times New Roman" w:cs="Times New Roman"/>
          <w:sz w:val="24"/>
          <w:szCs w:val="24"/>
        </w:rPr>
        <w:t xml:space="preserve">Regionalnego Dyrektora Ochrony Środowiska w Bydgoszczy </w:t>
      </w:r>
      <w:r w:rsidRPr="00E14548">
        <w:rPr>
          <w:rFonts w:ascii="Times New Roman" w:hAnsi="Times New Roman" w:cs="Times New Roman"/>
          <w:sz w:val="24"/>
          <w:szCs w:val="24"/>
        </w:rPr>
        <w:t xml:space="preserve">z dnia </w:t>
      </w:r>
      <w:r w:rsidR="002A7740">
        <w:rPr>
          <w:rFonts w:ascii="Times New Roman" w:hAnsi="Times New Roman" w:cs="Times New Roman"/>
          <w:sz w:val="24"/>
          <w:szCs w:val="24"/>
        </w:rPr>
        <w:t>20 maja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2A7740">
        <w:rPr>
          <w:rFonts w:ascii="Times New Roman" w:hAnsi="Times New Roman" w:cs="Times New Roman"/>
          <w:sz w:val="24"/>
          <w:szCs w:val="24"/>
        </w:rPr>
        <w:t>20</w:t>
      </w:r>
      <w:r w:rsidRPr="00E14548">
        <w:rPr>
          <w:rFonts w:ascii="Times New Roman" w:hAnsi="Times New Roman" w:cs="Times New Roman"/>
          <w:sz w:val="24"/>
          <w:szCs w:val="24"/>
        </w:rPr>
        <w:t xml:space="preserve"> r.  w sprawie  ustanowienia  planu  zadań  ochronnych  dla  obszaru Natura 2000 </w:t>
      </w:r>
      <w:r w:rsidR="002A7740">
        <w:rPr>
          <w:rFonts w:ascii="Times New Roman" w:hAnsi="Times New Roman" w:cs="Times New Roman"/>
          <w:sz w:val="24"/>
          <w:szCs w:val="24"/>
        </w:rPr>
        <w:t>Włocławska</w:t>
      </w:r>
      <w:r>
        <w:rPr>
          <w:rFonts w:ascii="Times New Roman" w:hAnsi="Times New Roman" w:cs="Times New Roman"/>
          <w:sz w:val="24"/>
          <w:szCs w:val="24"/>
        </w:rPr>
        <w:t xml:space="preserve"> Dolina Wisły</w:t>
      </w:r>
      <w:r w:rsidRPr="00E14548">
        <w:rPr>
          <w:rFonts w:ascii="Times New Roman" w:hAnsi="Times New Roman" w:cs="Times New Roman"/>
          <w:sz w:val="24"/>
          <w:szCs w:val="24"/>
        </w:rPr>
        <w:t xml:space="preserve"> PLH0400</w:t>
      </w:r>
      <w:r w:rsidR="002A7740">
        <w:rPr>
          <w:rFonts w:ascii="Times New Roman" w:hAnsi="Times New Roman" w:cs="Times New Roman"/>
          <w:sz w:val="24"/>
          <w:szCs w:val="24"/>
        </w:rPr>
        <w:t>39</w:t>
      </w:r>
      <w:r w:rsidRPr="00E14548">
        <w:rPr>
          <w:rFonts w:ascii="Times New Roman" w:hAnsi="Times New Roman" w:cs="Times New Roman"/>
          <w:sz w:val="24"/>
          <w:szCs w:val="24"/>
        </w:rPr>
        <w:t xml:space="preserve"> </w:t>
      </w:r>
      <w:r w:rsidR="00DA0F8B" w:rsidRPr="00DA0F8B">
        <w:rPr>
          <w:rFonts w:ascii="Times New Roman" w:hAnsi="Times New Roman" w:cs="Times New Roman"/>
          <w:sz w:val="24"/>
          <w:szCs w:val="24"/>
        </w:rPr>
        <w:t>(Dz. Urz. Woj. Kuj-Pom.</w:t>
      </w:r>
      <w:r w:rsidR="002A7740">
        <w:rPr>
          <w:rFonts w:ascii="Times New Roman" w:hAnsi="Times New Roman" w:cs="Times New Roman"/>
          <w:sz w:val="24"/>
          <w:szCs w:val="24"/>
        </w:rPr>
        <w:t xml:space="preserve"> </w:t>
      </w:r>
      <w:r w:rsidR="00073D28" w:rsidRPr="00AB5DDB">
        <w:rPr>
          <w:rFonts w:ascii="Times New Roman" w:hAnsi="Times New Roman" w:cs="Times New Roman"/>
          <w:sz w:val="24"/>
          <w:szCs w:val="24"/>
        </w:rPr>
        <w:t>z</w:t>
      </w:r>
      <w:r w:rsidR="002A7740">
        <w:rPr>
          <w:rFonts w:ascii="Times New Roman" w:hAnsi="Times New Roman" w:cs="Times New Roman"/>
          <w:sz w:val="24"/>
          <w:szCs w:val="24"/>
        </w:rPr>
        <w:t xml:space="preserve"> 2020 r. </w:t>
      </w:r>
      <w:r w:rsidR="00DA0F8B" w:rsidRPr="00DA0F8B">
        <w:rPr>
          <w:rFonts w:ascii="Times New Roman" w:hAnsi="Times New Roman" w:cs="Times New Roman"/>
          <w:sz w:val="24"/>
          <w:szCs w:val="24"/>
        </w:rPr>
        <w:t xml:space="preserve">poz. </w:t>
      </w:r>
      <w:r w:rsidR="002A7740">
        <w:rPr>
          <w:rFonts w:ascii="Times New Roman" w:hAnsi="Times New Roman" w:cs="Times New Roman"/>
          <w:sz w:val="24"/>
          <w:szCs w:val="24"/>
        </w:rPr>
        <w:t>2698</w:t>
      </w:r>
      <w:r w:rsidR="009352FF">
        <w:rPr>
          <w:rFonts w:ascii="Times New Roman" w:hAnsi="Times New Roman" w:cs="Times New Roman"/>
          <w:sz w:val="24"/>
          <w:szCs w:val="24"/>
        </w:rPr>
        <w:t>)</w:t>
      </w:r>
      <w:r w:rsidR="002444C4">
        <w:rPr>
          <w:rFonts w:ascii="Times New Roman" w:hAnsi="Times New Roman" w:cs="Times New Roman"/>
          <w:sz w:val="24"/>
          <w:szCs w:val="24"/>
        </w:rPr>
        <w:t>:</w:t>
      </w:r>
    </w:p>
    <w:p w14:paraId="720EB8BB" w14:textId="3EA4690C" w:rsidR="002E51FE" w:rsidRPr="002444C4" w:rsidRDefault="00E14548" w:rsidP="002444C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C4">
        <w:rPr>
          <w:rFonts w:ascii="Times New Roman" w:hAnsi="Times New Roman" w:cs="Times New Roman"/>
          <w:sz w:val="24"/>
          <w:szCs w:val="24"/>
        </w:rPr>
        <w:t>załącznik nr 4 otrzymuje brzmienie określone w załączniku nr 1 do niniejszego zarządzenia</w:t>
      </w:r>
      <w:r w:rsidR="002444C4" w:rsidRPr="002444C4">
        <w:rPr>
          <w:rFonts w:ascii="Times New Roman" w:hAnsi="Times New Roman" w:cs="Times New Roman"/>
          <w:sz w:val="24"/>
          <w:szCs w:val="24"/>
        </w:rPr>
        <w:t>;</w:t>
      </w:r>
    </w:p>
    <w:p w14:paraId="08E4AFFC" w14:textId="5787AC18" w:rsidR="002444C4" w:rsidRPr="002444C4" w:rsidRDefault="002444C4" w:rsidP="002444C4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C4">
        <w:rPr>
          <w:rFonts w:ascii="Times New Roman" w:hAnsi="Times New Roman" w:cs="Times New Roman"/>
          <w:sz w:val="24"/>
          <w:szCs w:val="24"/>
        </w:rPr>
        <w:t xml:space="preserve">w załączniku nr 5 do zarządzenia w tabeli dodaje się </w:t>
      </w:r>
      <w:r w:rsidRPr="00DB485D">
        <w:rPr>
          <w:rFonts w:ascii="Times New Roman" w:hAnsi="Times New Roman" w:cs="Times New Roman"/>
          <w:sz w:val="24"/>
          <w:szCs w:val="24"/>
        </w:rPr>
        <w:t>wiersze 3a, 3b,</w:t>
      </w:r>
      <w:r w:rsidR="00DB485D" w:rsidRPr="00DB485D">
        <w:rPr>
          <w:rFonts w:ascii="Times New Roman" w:hAnsi="Times New Roman" w:cs="Times New Roman"/>
          <w:sz w:val="24"/>
          <w:szCs w:val="24"/>
        </w:rPr>
        <w:t xml:space="preserve"> 3c</w:t>
      </w:r>
      <w:r w:rsidRPr="00DB485D">
        <w:rPr>
          <w:rFonts w:ascii="Times New Roman" w:hAnsi="Times New Roman" w:cs="Times New Roman"/>
          <w:sz w:val="24"/>
          <w:szCs w:val="24"/>
        </w:rPr>
        <w:t xml:space="preserve"> oraz </w:t>
      </w:r>
      <w:r w:rsidR="00DB485D" w:rsidRPr="00DB485D">
        <w:rPr>
          <w:rFonts w:ascii="Times New Roman" w:hAnsi="Times New Roman" w:cs="Times New Roman"/>
          <w:sz w:val="24"/>
          <w:szCs w:val="24"/>
        </w:rPr>
        <w:t>15</w:t>
      </w:r>
      <w:r w:rsidRPr="00DB485D">
        <w:rPr>
          <w:rFonts w:ascii="Times New Roman" w:hAnsi="Times New Roman" w:cs="Times New Roman"/>
          <w:sz w:val="24"/>
          <w:szCs w:val="24"/>
        </w:rPr>
        <w:t>a</w:t>
      </w:r>
      <w:r w:rsidR="00DB485D" w:rsidRPr="00DB485D">
        <w:rPr>
          <w:rFonts w:ascii="Times New Roman" w:hAnsi="Times New Roman" w:cs="Times New Roman"/>
          <w:sz w:val="24"/>
          <w:szCs w:val="24"/>
        </w:rPr>
        <w:t xml:space="preserve"> i</w:t>
      </w:r>
      <w:r w:rsidR="00DB485D">
        <w:rPr>
          <w:rFonts w:ascii="Times New Roman" w:hAnsi="Times New Roman" w:cs="Times New Roman"/>
          <w:sz w:val="24"/>
          <w:szCs w:val="24"/>
        </w:rPr>
        <w:t xml:space="preserve"> 15b</w:t>
      </w:r>
      <w:r w:rsidRPr="002444C4">
        <w:rPr>
          <w:rFonts w:ascii="Times New Roman" w:hAnsi="Times New Roman" w:cs="Times New Roman"/>
          <w:sz w:val="24"/>
          <w:szCs w:val="24"/>
        </w:rPr>
        <w:t xml:space="preserve"> w brzmieniu określonym w załączniku nr 2 do niniejszego zarządzenia</w:t>
      </w:r>
      <w:r w:rsidR="00954E2C">
        <w:rPr>
          <w:rFonts w:ascii="Times New Roman" w:hAnsi="Times New Roman" w:cs="Times New Roman"/>
          <w:sz w:val="24"/>
          <w:szCs w:val="24"/>
        </w:rPr>
        <w:t>;</w:t>
      </w:r>
    </w:p>
    <w:p w14:paraId="266410AE" w14:textId="1E02300A" w:rsidR="00DD0D86" w:rsidRDefault="00E14548" w:rsidP="00D053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548">
        <w:rPr>
          <w:rFonts w:ascii="Times New Roman" w:hAnsi="Times New Roman" w:cs="Times New Roman"/>
          <w:sz w:val="24"/>
          <w:szCs w:val="24"/>
        </w:rPr>
        <w:t xml:space="preserve">§ </w:t>
      </w:r>
      <w:r w:rsidR="002444C4">
        <w:rPr>
          <w:rFonts w:ascii="Times New Roman" w:hAnsi="Times New Roman" w:cs="Times New Roman"/>
          <w:sz w:val="24"/>
          <w:szCs w:val="24"/>
        </w:rPr>
        <w:t>2</w:t>
      </w:r>
      <w:r w:rsidRPr="00E14548">
        <w:rPr>
          <w:rFonts w:ascii="Times New Roman" w:hAnsi="Times New Roman" w:cs="Times New Roman"/>
          <w:sz w:val="24"/>
          <w:szCs w:val="24"/>
        </w:rPr>
        <w:t>. Zarządzenie wchodzi w życie po upływie 14 dni od dnia ogłoszenia.</w:t>
      </w:r>
    </w:p>
    <w:p w14:paraId="2C14E31F" w14:textId="3859DD13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83004F" w14:textId="3EAFD1CF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10B661" w14:textId="6E31B2AD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A09867" w14:textId="43035D24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1910FB" w14:textId="23AD6466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F1503B" w14:textId="3D9FC399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1F8818" w14:textId="15B4CD73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3A6841" w14:textId="5FBE5749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2764E9" w14:textId="16570CDF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9592C4" w14:textId="192C352F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010698" w14:textId="5266C9BD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C562D4E" w14:textId="2114D46B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25C07F" w14:textId="3E56A7BF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6E1B89" w14:textId="242325BF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6BD518" w14:textId="0ADAE937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31A140" w14:textId="0A03C58E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BE9FFE" w14:textId="250CB116" w:rsidR="00E14548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52F4AA" w14:textId="5B7C1FB7" w:rsidR="00E14548" w:rsidRDefault="00E14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4548" w:rsidSect="00E14548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6FC07A69" w14:textId="77777777" w:rsidR="00C148AE" w:rsidRPr="00C148AE" w:rsidRDefault="00C148AE" w:rsidP="00C148AE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bookmarkStart w:id="0" w:name="_Hlk102549211"/>
      <w:r w:rsidRPr="00C148AE">
        <w:rPr>
          <w:rFonts w:ascii="Times New Roman" w:hAnsi="Times New Roman" w:cs="Times New Roman"/>
          <w:sz w:val="24"/>
          <w:szCs w:val="24"/>
        </w:rPr>
        <w:lastRenderedPageBreak/>
        <w:t xml:space="preserve">Załącznik Nr 1 do Zarządzenia </w:t>
      </w:r>
    </w:p>
    <w:p w14:paraId="46250B5A" w14:textId="77777777" w:rsidR="00C148AE" w:rsidRPr="00C148AE" w:rsidRDefault="00C148AE" w:rsidP="00C148AE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C148AE">
        <w:rPr>
          <w:rFonts w:ascii="Times New Roman" w:hAnsi="Times New Roman" w:cs="Times New Roman"/>
          <w:sz w:val="24"/>
          <w:szCs w:val="24"/>
        </w:rPr>
        <w:t xml:space="preserve">Regionalnego Dyrektora Ochrony Środowiska w Bydgoszczy </w:t>
      </w:r>
    </w:p>
    <w:p w14:paraId="16314341" w14:textId="04C1615B" w:rsidR="00C148AE" w:rsidRPr="00C148AE" w:rsidRDefault="00C148AE" w:rsidP="00C148AE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C148AE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………………………….. </w:t>
      </w:r>
      <w:r w:rsidRPr="00C148AE">
        <w:rPr>
          <w:rFonts w:ascii="Times New Roman" w:hAnsi="Times New Roman" w:cs="Times New Roman"/>
          <w:sz w:val="24"/>
          <w:szCs w:val="24"/>
        </w:rPr>
        <w:t>r.</w:t>
      </w:r>
    </w:p>
    <w:p w14:paraId="7AEDD9FE" w14:textId="77777777" w:rsidR="00C148AE" w:rsidRPr="00C148AE" w:rsidRDefault="00C148AE" w:rsidP="00C14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1D3E7" w14:textId="11D0ED1F" w:rsidR="00E14548" w:rsidRPr="00C148AE" w:rsidRDefault="00C148AE" w:rsidP="00C148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8AE">
        <w:rPr>
          <w:rFonts w:ascii="Times New Roman" w:hAnsi="Times New Roman" w:cs="Times New Roman"/>
          <w:b/>
          <w:bCs/>
          <w:sz w:val="24"/>
          <w:szCs w:val="24"/>
        </w:rPr>
        <w:t>Cele działań ochronnych</w:t>
      </w:r>
    </w:p>
    <w:bookmarkEnd w:id="0"/>
    <w:p w14:paraId="28EB010A" w14:textId="77777777" w:rsidR="00E14548" w:rsidRPr="00DD0D86" w:rsidRDefault="00E14548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810"/>
        <w:gridCol w:w="3790"/>
        <w:gridCol w:w="6406"/>
      </w:tblGrid>
      <w:tr w:rsidR="00C9687B" w:rsidRPr="00DD0D86" w14:paraId="22092F4F" w14:textId="71162B63" w:rsidTr="00C9687B">
        <w:trPr>
          <w:trHeight w:hRule="exact" w:val="898"/>
          <w:jc w:val="center"/>
        </w:trPr>
        <w:tc>
          <w:tcPr>
            <w:tcW w:w="353" w:type="pct"/>
            <w:shd w:val="clear" w:color="auto" w:fill="BFBFBF" w:themeFill="background1" w:themeFillShade="BF"/>
            <w:vAlign w:val="center"/>
          </w:tcPr>
          <w:p w14:paraId="1D6FF3E6" w14:textId="77777777" w:rsidR="00C9687B" w:rsidRPr="00DD0D86" w:rsidRDefault="00C9687B" w:rsidP="00C148AE">
            <w:pPr>
              <w:pStyle w:val="tekstwtabeli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D86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004" w:type="pct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6982DE97" w14:textId="77777777" w:rsidR="00C9687B" w:rsidRDefault="00C9687B" w:rsidP="00E04120">
            <w:pPr>
              <w:pStyle w:val="Inne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Siedlisko</w:t>
            </w:r>
          </w:p>
          <w:p w14:paraId="6AEC7B78" w14:textId="3A0B95E9" w:rsidR="00C9687B" w:rsidRPr="00DD0D86" w:rsidRDefault="00C9687B" w:rsidP="00E04120">
            <w:pPr>
              <w:pStyle w:val="Inne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przyrodnicze lub gatunek</w:t>
            </w:r>
          </w:p>
        </w:tc>
        <w:tc>
          <w:tcPr>
            <w:tcW w:w="1354" w:type="pct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D499E49" w14:textId="6A2CD623" w:rsidR="00C9687B" w:rsidRPr="00DD0D86" w:rsidRDefault="00C9687B" w:rsidP="00E04120">
            <w:pPr>
              <w:pStyle w:val="Inne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b/>
                <w:sz w:val="24"/>
                <w:szCs w:val="24"/>
              </w:rPr>
              <w:t>Parametr/wskaźnik stanu ochrony</w:t>
            </w:r>
            <w:r>
              <w:rPr>
                <w:rStyle w:val="Odwoanieprzypisukocowego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</w:p>
        </w:tc>
        <w:tc>
          <w:tcPr>
            <w:tcW w:w="2289" w:type="pct"/>
            <w:shd w:val="clear" w:color="auto" w:fill="BFBFBF" w:themeFill="background1" w:themeFillShade="BF"/>
            <w:tcMar>
              <w:left w:w="170" w:type="dxa"/>
              <w:right w:w="113" w:type="dxa"/>
            </w:tcMar>
            <w:vAlign w:val="center"/>
          </w:tcPr>
          <w:p w14:paraId="5C4A1B61" w14:textId="43B969CC" w:rsidR="00C9687B" w:rsidRPr="00DD0D86" w:rsidRDefault="00C9687B" w:rsidP="00E04120">
            <w:pPr>
              <w:pStyle w:val="Inne0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 ochrony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2"/>
            </w:r>
          </w:p>
        </w:tc>
      </w:tr>
      <w:tr w:rsidR="00C9687B" w:rsidRPr="00DD0D86" w14:paraId="1722B98D" w14:textId="2D068836" w:rsidTr="00C9687B">
        <w:trPr>
          <w:trHeight w:val="519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7080D04C" w14:textId="001923FF" w:rsidR="00C9687B" w:rsidRPr="00DD0D86" w:rsidRDefault="00F04EF0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8C3EE45" w14:textId="28E70B9E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47A">
              <w:rPr>
                <w:rFonts w:ascii="Times New Roman" w:hAnsi="Times New Roman" w:cs="Times New Roman"/>
                <w:sz w:val="24"/>
                <w:szCs w:val="24"/>
              </w:rPr>
              <w:t>6510 Niżowe i górskie świeże łąki użytkowane ekstensywnie (</w:t>
            </w:r>
            <w:proofErr w:type="spellStart"/>
            <w:r w:rsidRPr="000B2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Arrhenatherion</w:t>
            </w:r>
            <w:proofErr w:type="spellEnd"/>
            <w:r w:rsidRPr="000B2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elatioris</w:t>
            </w:r>
            <w:proofErr w:type="spellEnd"/>
            <w:r w:rsidRPr="000B2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F988DE1" w14:textId="6EEAEB1F" w:rsidR="00C9687B" w:rsidRPr="00DD0D86" w:rsidRDefault="00C9687B" w:rsidP="00E041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A87CF27" w14:textId="22BB6284" w:rsidR="00C9687B" w:rsidRPr="00DD0D86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Utrzymanie stabilnej powierzchni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co najmniej 77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ha siedliska</w:t>
            </w:r>
            <w:r w:rsidR="00E54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Weryfikacja </w:t>
            </w:r>
            <w:r w:rsidRPr="00EA5E84">
              <w:rPr>
                <w:rFonts w:ascii="Times New Roman" w:hAnsi="Times New Roman" w:cs="Times New Roman"/>
                <w:sz w:val="24"/>
                <w:szCs w:val="24"/>
              </w:rPr>
              <w:t xml:space="preserve">występowania siedliska przyrodniczego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4F514A">
              <w:rPr>
                <w:rFonts w:ascii="Times New Roman" w:hAnsi="Times New Roman" w:cs="Times New Roman"/>
                <w:sz w:val="24"/>
                <w:szCs w:val="24"/>
              </w:rPr>
              <w:t xml:space="preserve"> potencjalnych stanowiskach,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wskazanych</w:t>
            </w:r>
            <w:r w:rsidR="004F514A">
              <w:rPr>
                <w:rFonts w:ascii="Times New Roman" w:hAnsi="Times New Roman" w:cs="Times New Roman"/>
                <w:sz w:val="24"/>
                <w:szCs w:val="24"/>
              </w:rPr>
              <w:t xml:space="preserve"> w ramach wykonanego uzupełnienia stanu wiedzy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684691A0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142F91D2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FF9EFB0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26D414D" w14:textId="70F2FA7B" w:rsidR="00C9687B" w:rsidRDefault="00C9687B" w:rsidP="00BC5D8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Struktura przestrzenna płatów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46F054F" w14:textId="0255356C" w:rsidR="00C9687B" w:rsidRPr="00DD0D86" w:rsidRDefault="00E54B49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A067E3" w:rsidRPr="00A067E3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(U1) ze średnim stopniem fragmentacji płatów siedliska.</w:t>
            </w:r>
          </w:p>
        </w:tc>
      </w:tr>
      <w:tr w:rsidR="00C9687B" w:rsidRPr="00DD0D86" w14:paraId="5263EE9D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C5A6C2C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3F48E48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031FC5" w14:textId="27136996" w:rsidR="00C9687B" w:rsidRPr="00055DA7" w:rsidRDefault="00C9687B" w:rsidP="00BC5D8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charakterystyczne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AE6AA94" w14:textId="24E66C19" w:rsidR="00C9687B" w:rsidRPr="00DD0D86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Niepogorszenie wskaźnika z utrzymaniem oceny wskaźnika na poziomie (U</w:t>
            </w:r>
            <w:r w:rsidR="002505A1" w:rsidRPr="00AB5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) w obszarze </w:t>
            </w:r>
            <w:r w:rsidR="002505A1"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 w:rsidR="002505A1"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dwoma lub mniej gatunkami charakterystycznymi dla siedliska na </w:t>
            </w: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50% </w:t>
            </w:r>
            <w:r w:rsidR="002505A1" w:rsidRPr="00AB5DDB">
              <w:rPr>
                <w:rFonts w:ascii="Times New Roman" w:hAnsi="Times New Roman" w:cs="Times New Roman"/>
                <w:sz w:val="24"/>
                <w:szCs w:val="24"/>
              </w:rPr>
              <w:t>powierzchni siedliska</w:t>
            </w: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4DB8C65F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1F055DD2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ECFF42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E0942C5" w14:textId="1D2EA4EE" w:rsidR="00C9687B" w:rsidRPr="009A79A9" w:rsidRDefault="00C9687B" w:rsidP="00BC5D8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dominujące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4535776" w14:textId="42A69616" w:rsidR="00C9687B" w:rsidRPr="00DD0D86" w:rsidRDefault="00E54B49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A067E3" w:rsidRPr="00A067E3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6F484C">
              <w:rPr>
                <w:rFonts w:ascii="Times New Roman" w:hAnsi="Times New Roman" w:cs="Times New Roman"/>
                <w:sz w:val="24"/>
                <w:szCs w:val="24"/>
              </w:rPr>
              <w:t>(U1)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 z dominacją &gt;50% gatunków typowych dla łąk świeżych.</w:t>
            </w:r>
          </w:p>
        </w:tc>
      </w:tr>
      <w:tr w:rsidR="00C9687B" w:rsidRPr="00DD0D86" w14:paraId="6B724947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23E8F5F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50ED0A2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4669546" w14:textId="4BE139A0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Obce gatunki inwazyjne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96A0929" w14:textId="40A7BAB7" w:rsidR="00C9687B" w:rsidRDefault="00E54B49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A067E3" w:rsidRPr="00A067E3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) przy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94E4F" w14:textId="294439B3" w:rsidR="00C9687B" w:rsidRPr="00DD0D86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lub pojedyncz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osobnik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gatunków o niskim stopniu inwazyjności, tj.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nie zagrażające różnorodności biologicznej.</w:t>
            </w:r>
          </w:p>
        </w:tc>
      </w:tr>
      <w:tr w:rsidR="00C9687B" w:rsidRPr="00DD0D86" w14:paraId="4A0ABE67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7155F359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9658CFB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7DE1F2D" w14:textId="19375541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Gatunki ekspansywne roślin zielnych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5DBCC1E" w14:textId="475E565C" w:rsidR="00C9687B" w:rsidRDefault="00E54B49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A067E3" w:rsidRPr="00A067E3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V) przy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5EB858" w14:textId="545BD829" w:rsidR="00C9687B" w:rsidRPr="00DD0D86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gatunków silnie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ekspansywnych i łączn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ym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pokryci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gatunków ekspansywnych &lt;20%.</w:t>
            </w:r>
          </w:p>
        </w:tc>
      </w:tr>
      <w:tr w:rsidR="00C9687B" w:rsidRPr="00DD0D86" w14:paraId="3F2ACFEF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7C788172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0ADD43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D72E14" w14:textId="43FA89E9" w:rsidR="00C9687B" w:rsidRPr="00DD0D86" w:rsidRDefault="00C9687B" w:rsidP="00BC5D8C">
            <w:pPr>
              <w:spacing w:after="0" w:line="276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Ekspansja krzewów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i podrostu drzew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B21715F" w14:textId="3BFD67A8" w:rsidR="00C9687B" w:rsidRPr="00AB5DDB" w:rsidRDefault="00E54B49" w:rsidP="009A79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A067E3"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AB5DDB">
              <w:rPr>
                <w:rFonts w:ascii="Times New Roman" w:hAnsi="Times New Roman" w:cs="Times New Roman"/>
                <w:sz w:val="24"/>
                <w:szCs w:val="24"/>
              </w:rPr>
              <w:t>(FV) przy</w:t>
            </w:r>
          </w:p>
          <w:p w14:paraId="2F0F8DD5" w14:textId="0CCDE8B1" w:rsidR="00C9687B" w:rsidRPr="00DD0D86" w:rsidRDefault="00C9687B" w:rsidP="009A79A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łącznym pokryciu krzewów i podrostu drzew &lt;1%.</w:t>
            </w:r>
          </w:p>
        </w:tc>
      </w:tr>
      <w:tr w:rsidR="00C9687B" w:rsidRPr="00DD0D86" w14:paraId="0950E4B5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72B42B70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4F3510A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578AF19" w14:textId="695296BB" w:rsidR="00C9687B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dobrze zachowanych płatów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1E209FC" w14:textId="48B6ECFA" w:rsidR="00C9687B" w:rsidRPr="00DD0D86" w:rsidRDefault="0008226E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687B"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trzymanie oceny wskaźnika na poziomie (U1) w obszarze </w:t>
            </w:r>
            <w:r w:rsidR="00DA4C7B"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z płatami dobrze zachowanymi na </w:t>
            </w:r>
            <w:r w:rsidR="00C9687B" w:rsidRPr="00AB5DDB">
              <w:rPr>
                <w:rFonts w:ascii="Times New Roman" w:hAnsi="Times New Roman" w:cs="Times New Roman"/>
                <w:sz w:val="24"/>
                <w:szCs w:val="24"/>
              </w:rPr>
              <w:t>co najmniej 50%</w:t>
            </w:r>
            <w:r w:rsidR="00DA4C7B" w:rsidRPr="00AB5DDB">
              <w:rPr>
                <w:rFonts w:ascii="Times New Roman" w:hAnsi="Times New Roman" w:cs="Times New Roman"/>
                <w:sz w:val="24"/>
                <w:szCs w:val="24"/>
              </w:rPr>
              <w:t>-79%</w:t>
            </w:r>
            <w:r w:rsidR="00C9687B"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C7B" w:rsidRPr="00AB5DDB">
              <w:rPr>
                <w:rFonts w:ascii="Times New Roman" w:hAnsi="Times New Roman" w:cs="Times New Roman"/>
                <w:sz w:val="24"/>
                <w:szCs w:val="24"/>
              </w:rPr>
              <w:t>powierzchni siedliska</w:t>
            </w:r>
            <w:r w:rsidR="00C9687B" w:rsidRPr="00AB5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0A83DA33" w14:textId="32702A85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A351A69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242ECDC" w14:textId="77777777" w:rsidR="00C9687B" w:rsidRPr="00DD0D86" w:rsidRDefault="00C9687B" w:rsidP="00BC5D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C858F08" w14:textId="6A3BE121" w:rsidR="00C9687B" w:rsidRPr="00DD0D86" w:rsidRDefault="00C9687B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Wojłok (martwa materia organiczna)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ACD2150" w14:textId="182CBD36" w:rsidR="00C9687B" w:rsidRPr="00AB5DDB" w:rsidRDefault="00AB5DDB" w:rsidP="00BC5D8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F106BD"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wskaźnika na poziomie </w:t>
            </w:r>
            <w:r w:rsidR="00C9687B" w:rsidRPr="00AB5D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26E" w:rsidRPr="00AB5DDB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r w:rsidR="00C9687B" w:rsidRPr="00AB5D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226E"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 z warstwą nierozłożonej materii o grubości 2-5 cm</w:t>
            </w:r>
            <w:r w:rsidR="00C9687B"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9687B" w:rsidRPr="00DD0D86" w14:paraId="46DB23E4" w14:textId="137669EE" w:rsidTr="00C9687B">
        <w:trPr>
          <w:trHeight w:val="519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7F568BB9" w14:textId="49C5F3E2" w:rsidR="00C9687B" w:rsidRPr="00DD0D86" w:rsidRDefault="00F04EF0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3B3710" w14:textId="6B74D5D6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7C">
              <w:rPr>
                <w:rFonts w:ascii="Times New Roman" w:hAnsi="Times New Roman" w:cs="Times New Roman"/>
                <w:sz w:val="24"/>
                <w:szCs w:val="24"/>
              </w:rPr>
              <w:t>91E0 Łęgi wierzbowe, topolowe, olszowe i jesionowe (</w:t>
            </w:r>
            <w:proofErr w:type="spellStart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Salicetum</w:t>
            </w:r>
            <w:proofErr w:type="spellEnd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albo- </w:t>
            </w:r>
            <w:proofErr w:type="spellStart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fragilis</w:t>
            </w:r>
            <w:proofErr w:type="spellEnd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Populetum</w:t>
            </w:r>
            <w:proofErr w:type="spellEnd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albae</w:t>
            </w:r>
            <w:proofErr w:type="spellEnd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Alnenion</w:t>
            </w:r>
            <w:proofErr w:type="spellEnd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1E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glutinoso-incanae</w:t>
            </w:r>
            <w:proofErr w:type="spellEnd"/>
            <w:r w:rsidRPr="00901E7C">
              <w:rPr>
                <w:rFonts w:ascii="Times New Roman" w:hAnsi="Times New Roman" w:cs="Times New Roman"/>
                <w:sz w:val="24"/>
                <w:szCs w:val="24"/>
              </w:rPr>
              <w:t>) i olsy źródliskowe</w:t>
            </w: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8BC2839" w14:textId="5F089920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55FCA28" w14:textId="1731008A" w:rsidR="00C9687B" w:rsidRPr="00DD0D86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Utrzymanie stabilnej powierzchni co najmniej 2</w:t>
            </w:r>
            <w:r w:rsidR="00407F89" w:rsidRPr="00AB5D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0 ha siedliska z uwzględnieniem naturalnych procesów.</w:t>
            </w:r>
          </w:p>
        </w:tc>
      </w:tr>
      <w:tr w:rsidR="00C9687B" w:rsidRPr="00DD0D86" w14:paraId="2B63D004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18DA0868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F814E2D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EA110BB" w14:textId="3D30DEA8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Gatunki charakterystyczne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EB69F09" w14:textId="1B5A9C41" w:rsidR="00C9687B" w:rsidRDefault="007D72FF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F106BD"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) przy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0B9D7E" w14:textId="3B75BFFF" w:rsidR="00C9687B" w:rsidRPr="00DD0D86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ombinacj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florystyczn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typow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dla łęgu.</w:t>
            </w:r>
          </w:p>
        </w:tc>
      </w:tr>
      <w:tr w:rsidR="00C9687B" w:rsidRPr="00DD0D86" w14:paraId="052707F2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68071248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2553CD4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B0B87B4" w14:textId="799A62D9" w:rsidR="00C9687B" w:rsidRPr="00FC5769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Gatunki dominujące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461D371" w14:textId="3E98F774" w:rsidR="00C9687B" w:rsidRPr="00DD0D86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(U1) z dominacją gatunków typowych dla siedliska ze znaczącym udziałem w drzewostanie i runie gatunków obcych.</w:t>
            </w:r>
          </w:p>
        </w:tc>
      </w:tr>
      <w:tr w:rsidR="00C9687B" w:rsidRPr="00DD0D86" w14:paraId="05EE3401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55233F6F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4456E99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B0C54A" w14:textId="4FD8BF61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Gatunki obce geograficznie w drzewostanie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4A2D75F2" w14:textId="347B31B8" w:rsidR="00C9687B" w:rsidRDefault="00DE5183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</w:t>
            </w:r>
            <w:r w:rsidR="00C9687B" w:rsidRPr="0099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5">
              <w:rPr>
                <w:rFonts w:ascii="Times New Roman" w:hAnsi="Times New Roman" w:cs="Times New Roman"/>
                <w:sz w:val="24"/>
                <w:szCs w:val="24"/>
              </w:rPr>
              <w:t xml:space="preserve">oceny </w:t>
            </w:r>
            <w:r w:rsidR="00C9687B" w:rsidRPr="00996581">
              <w:rPr>
                <w:rFonts w:ascii="Times New Roman" w:hAnsi="Times New Roman" w:cs="Times New Roman"/>
                <w:sz w:val="24"/>
                <w:szCs w:val="24"/>
              </w:rPr>
              <w:t>wskaźnika</w:t>
            </w:r>
            <w:r w:rsidR="004F514A">
              <w:rPr>
                <w:rFonts w:ascii="Times New Roman" w:hAnsi="Times New Roman" w:cs="Times New Roman"/>
                <w:sz w:val="24"/>
                <w:szCs w:val="24"/>
              </w:rPr>
              <w:t xml:space="preserve"> na dotychczasowym poziomie</w:t>
            </w:r>
            <w:r w:rsidR="00A067E3">
              <w:rPr>
                <w:rFonts w:ascii="Times New Roman" w:hAnsi="Times New Roman" w:cs="Times New Roman"/>
                <w:sz w:val="24"/>
                <w:szCs w:val="24"/>
              </w:rPr>
              <w:t xml:space="preserve"> (U2)</w:t>
            </w:r>
            <w:r w:rsidR="004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 z zachowaniem dominujących gatunków typowych dla siedliska.</w:t>
            </w:r>
          </w:p>
          <w:p w14:paraId="04511303" w14:textId="0D618F3E" w:rsidR="00C9687B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 długoterminowy:</w:t>
            </w:r>
          </w:p>
          <w:p w14:paraId="3176CAFF" w14:textId="77777777" w:rsidR="00C9687B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Ustalenie i wprowadzenie możliwych do zastosowania działań ukierunkowanych na eliminację    odnawiającego się spontanicznie klonu jesionolistnego </w:t>
            </w:r>
            <w:proofErr w:type="spellStart"/>
            <w:r w:rsidRPr="00996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Acer</w:t>
            </w:r>
            <w:proofErr w:type="spellEnd"/>
            <w:r w:rsidRPr="00996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65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negundo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8D7C54" w14:textId="0FBD3AD7" w:rsidR="00C9687B" w:rsidRPr="001E0C7F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o</w:t>
            </w: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>cen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 xml:space="preserve"> wskaźnika na powierzchni płatów dotychczas nie objętych oceną.</w:t>
            </w:r>
          </w:p>
        </w:tc>
      </w:tr>
      <w:tr w:rsidR="00C9687B" w:rsidRPr="00DD0D86" w14:paraId="2FA16FD8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5315E94C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AA3E899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D1EDCD8" w14:textId="4729A9D9" w:rsidR="00C9687B" w:rsidRPr="00484D0D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Inwazyjne gatunki obce w podszycie i runie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F883312" w14:textId="556E6907" w:rsidR="00C9687B" w:rsidRDefault="00AB5DD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Utrzymanie oceny wskaźnika na poziomie (U1) czyli występowanie więcej niż jednego gatunku lub jeśli występuje jeden to licznie.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B3286A" w14:textId="319D0DD5" w:rsidR="00C9687B" w:rsidRPr="00DE5183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22C1D">
              <w:rPr>
                <w:rFonts w:ascii="Times New Roman" w:hAnsi="Times New Roman" w:cs="Times New Roman"/>
                <w:sz w:val="24"/>
                <w:szCs w:val="24"/>
              </w:rPr>
              <w:t xml:space="preserve">Ustalenie i wprowadzenie możliwych do zastosowania działań ukierunkowanych na eliminację    odnawiającego się </w:t>
            </w:r>
            <w:r w:rsidRPr="00422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spontanicznie klonu jesionolistnego </w:t>
            </w:r>
            <w:proofErr w:type="spellStart"/>
            <w:r w:rsidRPr="00422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Acer</w:t>
            </w:r>
            <w:proofErr w:type="spellEnd"/>
            <w:r w:rsidRPr="00422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22C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negundo</w:t>
            </w:r>
            <w:proofErr w:type="spellEnd"/>
            <w:r w:rsidRPr="00422C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Akceptacja nawłoci późnej </w:t>
            </w:r>
            <w:proofErr w:type="spellStart"/>
            <w:r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Solidago</w:t>
            </w:r>
            <w:proofErr w:type="spellEnd"/>
            <w:r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gigantea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runie</w:t>
            </w:r>
            <w:r w:rsidR="00DE5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0B2B34" w14:textId="3844102C" w:rsidR="00C9687B" w:rsidRPr="00484D0D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>Ocena wskaźnika na powierzchni płatów dotychczas nie objętych oceną.</w:t>
            </w:r>
          </w:p>
        </w:tc>
      </w:tr>
      <w:tr w:rsidR="00C9687B" w:rsidRPr="00DD0D86" w14:paraId="4302F565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1AB6798E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561EFD6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93AC7DF" w14:textId="0E6387AE" w:rsidR="00C9687B" w:rsidRPr="00542C3B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Rodzime gatunki ekspansywne roślin zielnych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B401C92" w14:textId="4F267B70" w:rsidR="00C9687B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542C3B">
              <w:rPr>
                <w:rFonts w:ascii="Times New Roman" w:hAnsi="Times New Roman" w:cs="Times New Roman"/>
                <w:sz w:val="24"/>
                <w:szCs w:val="24"/>
              </w:rPr>
              <w:t>(U1)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. Akceptacja obecności silnie ekspansywnych gatunków w runie, w tym pokrzywy zwyczajnej </w:t>
            </w:r>
            <w:proofErr w:type="spellStart"/>
            <w:r w:rsidR="00C9687B"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Utrica</w:t>
            </w:r>
            <w:proofErr w:type="spellEnd"/>
            <w:r w:rsidR="00C9687B"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9687B"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dioica</w:t>
            </w:r>
            <w:proofErr w:type="spellEnd"/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 i jeżyny popielicy </w:t>
            </w:r>
            <w:proofErr w:type="spellStart"/>
            <w:r w:rsidR="00C9687B"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Rubus</w:t>
            </w:r>
            <w:proofErr w:type="spellEnd"/>
            <w:r w:rsidR="00C9687B"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9687B" w:rsidRPr="00542C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caesitus</w:t>
            </w:r>
            <w:proofErr w:type="spellEnd"/>
            <w:r w:rsidR="00C9687B">
              <w:rPr>
                <w:rFonts w:ascii="Times New Roman" w:hAnsi="Times New Roman" w:cs="Times New Roman"/>
                <w:sz w:val="24"/>
                <w:szCs w:val="24"/>
              </w:rPr>
              <w:t>, nie ograniczających różnorodność runa.</w:t>
            </w:r>
          </w:p>
          <w:p w14:paraId="5F129BC3" w14:textId="79732302" w:rsidR="00C9687B" w:rsidRPr="00116003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>Ocena wskaźnika na powierzchni płatów dotychczas nie objętych oceną.</w:t>
            </w:r>
          </w:p>
        </w:tc>
      </w:tr>
      <w:tr w:rsidR="00C9687B" w:rsidRPr="00DD0D86" w14:paraId="6E498D6E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EF969B3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158C967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6333D70" w14:textId="486433F2" w:rsidR="00C9687B" w:rsidRPr="007968A3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Martwe drewno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(łączne zasoby)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6C8B8AE" w14:textId="14B62884" w:rsidR="00C9687B" w:rsidRPr="00DD0D86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54A">
              <w:rPr>
                <w:rFonts w:ascii="Times New Roman" w:hAnsi="Times New Roman" w:cs="Times New Roman"/>
                <w:sz w:val="24"/>
                <w:szCs w:val="24"/>
              </w:rPr>
              <w:t>Szczegółowe rozpoznanie zasobów i określenie celu po uzupełnieniu stanu wiedzy w tym zakresie.</w:t>
            </w:r>
          </w:p>
        </w:tc>
      </w:tr>
      <w:tr w:rsidR="00C9687B" w:rsidRPr="00DD0D86" w14:paraId="15746C42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54C6914D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C11BC0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B527A5A" w14:textId="2A6DCC15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7968A3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Martwe drewno leżące lub stojące o wymiarach  &gt; 3m długości i &gt; 50 cm grubości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62CB439" w14:textId="6307C8C0" w:rsidR="00C9687B" w:rsidRPr="00DD0D86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54A">
              <w:rPr>
                <w:rFonts w:ascii="Times New Roman" w:hAnsi="Times New Roman" w:cs="Times New Roman"/>
                <w:sz w:val="24"/>
                <w:szCs w:val="24"/>
              </w:rPr>
              <w:t>Szczegółowe rozpoznanie zasobów i określenie celu po uzupełnieniu stanu wiedzy w tym zakresie.</w:t>
            </w:r>
          </w:p>
        </w:tc>
      </w:tr>
      <w:tr w:rsidR="00C9687B" w:rsidRPr="00DD0D86" w14:paraId="06C2B1A9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5906E2B4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833F791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CAD7041" w14:textId="49663B97" w:rsidR="00C9687B" w:rsidRPr="008660DA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Naturalność koryta rzecznego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4530EF9A" w14:textId="21CEC003" w:rsidR="00C9687B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866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="00C9687B" w:rsidRPr="008660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4B8741D" w14:textId="12978A9F" w:rsidR="00C9687B" w:rsidRPr="0067554A" w:rsidRDefault="00A067E3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7E3">
              <w:rPr>
                <w:rFonts w:ascii="Times New Roman" w:hAnsi="Times New Roman" w:cs="Times New Roman"/>
                <w:sz w:val="24"/>
                <w:szCs w:val="24"/>
              </w:rPr>
              <w:t>Utrzymanie obecnej naturalności koryta rzeki Wisły w obszarze</w:t>
            </w:r>
            <w:r w:rsidR="00FB1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7223DA99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6C87D3FE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1DCB527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B1E78FF" w14:textId="3915B177" w:rsidR="00C9687B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Reżim wodny 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971C64C" w14:textId="251CFFF4" w:rsidR="00C9687B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C02C11">
              <w:rPr>
                <w:rFonts w:ascii="Times New Roman" w:hAnsi="Times New Roman" w:cs="Times New Roman"/>
                <w:sz w:val="24"/>
                <w:szCs w:val="24"/>
              </w:rPr>
              <w:t>(FV).</w:t>
            </w:r>
          </w:p>
          <w:p w14:paraId="5B14DB0D" w14:textId="6EAB597D" w:rsidR="00C9687B" w:rsidRPr="008660DA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Drzewostan podlega wpływowi wód powodziowych.</w:t>
            </w:r>
          </w:p>
        </w:tc>
      </w:tr>
      <w:tr w:rsidR="00C9687B" w:rsidRPr="00DD0D86" w14:paraId="35AF4E70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1983AE28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BBCF677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B482D70" w14:textId="794E90B5" w:rsidR="00C9687B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Wiek drzewostanu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7AE1294" w14:textId="6647AC22" w:rsidR="00C9687B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</w:t>
            </w: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>wskaźnika określonego aktualnie jako zły (U2)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A958E8" w14:textId="77777777" w:rsidR="00C9687B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A5A43">
              <w:rPr>
                <w:rFonts w:ascii="Times New Roman" w:hAnsi="Times New Roman" w:cs="Times New Roman"/>
                <w:sz w:val="24"/>
                <w:szCs w:val="24"/>
              </w:rPr>
              <w:t>opuszcza się udział w drzewostanach &lt; 20% drzew osiągających 100 lat oraz  &lt; 50% drzew starszych niż 50 lat.</w:t>
            </w:r>
          </w:p>
          <w:p w14:paraId="2B04056B" w14:textId="25E594A3" w:rsidR="00C9687B" w:rsidRPr="00C02C11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wskaźnika na powierzchni płatów dotychczas nie objętych oceną.</w:t>
            </w:r>
          </w:p>
        </w:tc>
      </w:tr>
      <w:tr w:rsidR="00C9687B" w:rsidRPr="00DD0D86" w14:paraId="0B7A14D5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590BA543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ECFE24B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82920BF" w14:textId="1D15DE43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Pionowa struktura roślinności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CDA46DB" w14:textId="352D0383" w:rsidR="00C9687B" w:rsidRPr="00E54B49" w:rsidRDefault="00E54B49" w:rsidP="00055BF5">
            <w:pPr>
              <w:spacing w:after="0"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54B49">
              <w:rPr>
                <w:rFonts w:ascii="Times New Roman" w:hAnsi="Times New Roman" w:cs="Times New Roman"/>
                <w:sz w:val="24"/>
                <w:szCs w:val="24"/>
              </w:rPr>
              <w:t>Utrzymanie naturalnej, zróżnicowanej, pionowej struktur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54B49">
              <w:rPr>
                <w:rFonts w:ascii="Times New Roman" w:hAnsi="Times New Roman" w:cs="Times New Roman"/>
                <w:sz w:val="24"/>
                <w:szCs w:val="24"/>
              </w:rPr>
              <w:t xml:space="preserve"> roślinności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oceną wskaźnika na poziomie (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B17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191671EA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49F74CCD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F4A2180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9F3FAD9" w14:textId="23CA69F1" w:rsidR="00C9687B" w:rsidRPr="007553DF" w:rsidRDefault="00C9687B" w:rsidP="00055BF5">
            <w:pPr>
              <w:spacing w:after="0" w:line="276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Naturalne odnowienia drzewostanu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FEB3E62" w14:textId="6EF29F35" w:rsidR="00C9687B" w:rsidRPr="00DD0D86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5D0D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r w:rsidR="00C9687B" w:rsidRPr="005D0D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 xml:space="preserve"> z obecnymi co najmniej pojedynczymi odnowieniami gatunków charakterystycznych dla siedliska.</w:t>
            </w:r>
          </w:p>
        </w:tc>
      </w:tr>
      <w:tr w:rsidR="00C9687B" w:rsidRPr="00DD0D86" w14:paraId="029861F7" w14:textId="128228A3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7A44880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47E118B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3E06E" w14:textId="57E9391A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eastAsia="TimesNewRomanPSMT" w:hAnsi="Times New Roman" w:cs="Times New Roman"/>
                <w:sz w:val="24"/>
                <w:szCs w:val="24"/>
                <w:lang w:val="x-none"/>
              </w:rPr>
              <w:t>Struktura pionowa i przestrzenna roślinności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F75BB1F" w14:textId="45130B97" w:rsidR="00C9687B" w:rsidRPr="00DD0D86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) przy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różnicowan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ej strukturze pionowej i przestrzennej roślinności</w:t>
            </w:r>
            <w:r w:rsidR="00C9687B"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12BBA0AB" w14:textId="72DB176F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AF30212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7A32F01" w14:textId="77777777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4F0843" w14:textId="659B5AFD" w:rsidR="00C9687B" w:rsidRPr="00DD0D86" w:rsidRDefault="00C9687B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Zniszczenia runa i gleby związane z pozyskaniem drewna</w:t>
            </w:r>
          </w:p>
        </w:tc>
        <w:tc>
          <w:tcPr>
            <w:tcW w:w="2289" w:type="pct"/>
            <w:shd w:val="clear" w:color="auto" w:fill="auto"/>
            <w:tcMar>
              <w:left w:w="170" w:type="dxa"/>
              <w:right w:w="113" w:type="dxa"/>
            </w:tcMar>
            <w:vAlign w:val="center"/>
          </w:tcPr>
          <w:p w14:paraId="417632A7" w14:textId="16432A98" w:rsidR="00C9687B" w:rsidRDefault="00F106BD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 w:rsidRPr="00F106BD">
              <w:rPr>
                <w:rFonts w:ascii="Times New Roman" w:hAnsi="Times New Roman" w:cs="Times New Roman"/>
                <w:sz w:val="24"/>
                <w:szCs w:val="24"/>
              </w:rPr>
              <w:t xml:space="preserve">oceny wskaźnika na poziomie </w:t>
            </w:r>
            <w:r w:rsidR="00C9687B" w:rsidRPr="005D0D60">
              <w:rPr>
                <w:rFonts w:ascii="Times New Roman" w:hAnsi="Times New Roman" w:cs="Times New Roman"/>
                <w:sz w:val="24"/>
                <w:szCs w:val="24"/>
              </w:rPr>
              <w:t>(FV)</w:t>
            </w:r>
            <w:r w:rsidR="00C96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183">
              <w:t xml:space="preserve"> </w:t>
            </w:r>
            <w:r w:rsidR="00DE5183" w:rsidRPr="00DE5183">
              <w:rPr>
                <w:rFonts w:ascii="Times New Roman" w:hAnsi="Times New Roman" w:cs="Times New Roman"/>
                <w:sz w:val="24"/>
                <w:szCs w:val="24"/>
              </w:rPr>
              <w:t>Brak zniszczenia runa i gleby związane z pozyskaniem drewna</w:t>
            </w:r>
            <w:r w:rsidR="00DE5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FCD672" w14:textId="20B8AC54" w:rsidR="00C9687B" w:rsidRPr="00DD0D86" w:rsidRDefault="00C9687B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EC5">
              <w:rPr>
                <w:rFonts w:ascii="Times New Roman" w:hAnsi="Times New Roman" w:cs="Times New Roman"/>
                <w:sz w:val="24"/>
                <w:szCs w:val="24"/>
              </w:rPr>
              <w:t>Ocena wskaźnika na powierzchni płatów dotychczas nie objętych oceną.</w:t>
            </w:r>
          </w:p>
        </w:tc>
      </w:tr>
      <w:tr w:rsidR="006720FF" w:rsidRPr="00DD0D86" w14:paraId="2A2D90E8" w14:textId="77777777" w:rsidTr="00C9687B">
        <w:trPr>
          <w:trHeight w:val="519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4359F362" w14:textId="47687DC2" w:rsidR="006720FF" w:rsidRPr="00DD0D86" w:rsidRDefault="00F04EF0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8CEF7CF" w14:textId="6A8B2617" w:rsidR="006720FF" w:rsidRPr="000B1C98" w:rsidRDefault="006720FF" w:rsidP="000B1C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9170 G</w:t>
            </w:r>
            <w:r w:rsidRPr="000B1C98">
              <w:rPr>
                <w:rFonts w:ascii="Times New Roman" w:hAnsi="Times New Roman" w:cs="Times New Roman"/>
                <w:sz w:val="24"/>
                <w:szCs w:val="24"/>
              </w:rPr>
              <w:t xml:space="preserve">rąd środkowoeuropejski i </w:t>
            </w:r>
            <w:proofErr w:type="spellStart"/>
            <w:r w:rsidRPr="000B1C98">
              <w:rPr>
                <w:rFonts w:ascii="Times New Roman" w:hAnsi="Times New Roman" w:cs="Times New Roman"/>
                <w:sz w:val="24"/>
                <w:szCs w:val="24"/>
              </w:rPr>
              <w:t>subkontynentalny</w:t>
            </w:r>
            <w:proofErr w:type="spellEnd"/>
          </w:p>
          <w:p w14:paraId="6CDAC2CD" w14:textId="27059731" w:rsidR="006720FF" w:rsidRPr="00DD0D86" w:rsidRDefault="006720FF" w:rsidP="000B1C9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C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(Galio-</w:t>
            </w:r>
            <w:proofErr w:type="spellStart"/>
            <w:r w:rsidRPr="000B1C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Carpinetum</w:t>
            </w:r>
            <w:proofErr w:type="spellEnd"/>
            <w:r w:rsidRPr="000B1C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0B1C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Tilio-Carpinetum</w:t>
            </w:r>
            <w:proofErr w:type="spellEnd"/>
            <w:r w:rsidRPr="000B1C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02843" w14:textId="2DE566F2" w:rsidR="006720FF" w:rsidRDefault="006720FF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5DB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2289" w:type="pct"/>
            <w:shd w:val="clear" w:color="auto" w:fill="auto"/>
            <w:tcMar>
              <w:left w:w="170" w:type="dxa"/>
              <w:right w:w="113" w:type="dxa"/>
            </w:tcMar>
            <w:vAlign w:val="center"/>
          </w:tcPr>
          <w:p w14:paraId="2CC55A7F" w14:textId="73017D98" w:rsidR="006720FF" w:rsidRDefault="006720FF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6DE">
              <w:rPr>
                <w:rFonts w:ascii="Times New Roman" w:hAnsi="Times New Roman" w:cs="Times New Roman"/>
                <w:sz w:val="24"/>
                <w:szCs w:val="24"/>
              </w:rPr>
              <w:t>Szczegółowe rozpoznanie zasobów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siedliska i jego powierzchni</w:t>
            </w:r>
            <w:r w:rsidRPr="006C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wraz z</w:t>
            </w:r>
            <w:r w:rsidRPr="006C06DE">
              <w:rPr>
                <w:rFonts w:ascii="Times New Roman" w:hAnsi="Times New Roman" w:cs="Times New Roman"/>
                <w:sz w:val="24"/>
                <w:szCs w:val="24"/>
              </w:rPr>
              <w:t xml:space="preserve"> określenie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C06DE">
              <w:rPr>
                <w:rFonts w:ascii="Times New Roman" w:hAnsi="Times New Roman" w:cs="Times New Roman"/>
                <w:sz w:val="24"/>
                <w:szCs w:val="24"/>
              </w:rPr>
              <w:t xml:space="preserve"> celu po uzupełnieniu stanu wiedzy w tym zakresie.</w:t>
            </w:r>
          </w:p>
        </w:tc>
      </w:tr>
      <w:tr w:rsidR="006720FF" w:rsidRPr="00DD0D86" w14:paraId="2687F4FF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57C4D46F" w14:textId="77777777" w:rsidR="006720FF" w:rsidRPr="00DD0D86" w:rsidRDefault="006720FF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5169512" w14:textId="77777777" w:rsidR="006720FF" w:rsidRPr="00DD0D86" w:rsidRDefault="006720FF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198D9" w14:textId="675C2151" w:rsidR="006720FF" w:rsidRDefault="006720FF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Specyficzna struktura i funkcja</w:t>
            </w:r>
          </w:p>
        </w:tc>
        <w:tc>
          <w:tcPr>
            <w:tcW w:w="2289" w:type="pct"/>
            <w:shd w:val="clear" w:color="auto" w:fill="auto"/>
            <w:tcMar>
              <w:left w:w="170" w:type="dxa"/>
              <w:right w:w="113" w:type="dxa"/>
            </w:tcMar>
            <w:vAlign w:val="center"/>
          </w:tcPr>
          <w:p w14:paraId="41319758" w14:textId="22E78EC5" w:rsidR="006720FF" w:rsidRDefault="006720FF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6DE">
              <w:rPr>
                <w:rFonts w:ascii="Times New Roman" w:hAnsi="Times New Roman" w:cs="Times New Roman"/>
                <w:sz w:val="24"/>
                <w:szCs w:val="24"/>
              </w:rPr>
              <w:t xml:space="preserve">Szczegółowe rozpoznanie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stanu zachowania siedliska, jego struktury i funkcji </w:t>
            </w:r>
            <w:r w:rsidRPr="006C06DE">
              <w:rPr>
                <w:rFonts w:ascii="Times New Roman" w:hAnsi="Times New Roman" w:cs="Times New Roman"/>
                <w:sz w:val="24"/>
                <w:szCs w:val="24"/>
              </w:rPr>
              <w:t>i określenie cel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6C06DE">
              <w:rPr>
                <w:rFonts w:ascii="Times New Roman" w:hAnsi="Times New Roman" w:cs="Times New Roman"/>
                <w:sz w:val="24"/>
                <w:szCs w:val="24"/>
              </w:rPr>
              <w:t xml:space="preserve"> po uzupełnieniu stanu wiedzy w tym zakresie.</w:t>
            </w:r>
          </w:p>
        </w:tc>
      </w:tr>
      <w:tr w:rsidR="00F33A25" w:rsidRPr="00DD0D86" w14:paraId="6533E654" w14:textId="77777777" w:rsidTr="00C9687B">
        <w:trPr>
          <w:trHeight w:val="519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7F2D406E" w14:textId="2B21D0ED" w:rsidR="00F33A25" w:rsidRPr="00DD0D86" w:rsidRDefault="00F04EF0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3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6B3A53C" w14:textId="4F85B099" w:rsidR="00F33A25" w:rsidRPr="00F33A25" w:rsidRDefault="00F33A25" w:rsidP="00F33A2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91I0 </w:t>
            </w:r>
            <w:r w:rsidRPr="00F33A25">
              <w:rPr>
                <w:rFonts w:ascii="Times New Roman" w:hAnsi="Times New Roman" w:cs="Times New Roman"/>
                <w:sz w:val="24"/>
                <w:szCs w:val="24"/>
              </w:rPr>
              <w:t>Ciep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F33A25">
              <w:rPr>
                <w:rFonts w:ascii="Times New Roman" w:hAnsi="Times New Roman" w:cs="Times New Roman"/>
                <w:sz w:val="24"/>
                <w:szCs w:val="24"/>
              </w:rPr>
              <w:t>olubne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F33A25">
              <w:rPr>
                <w:rFonts w:ascii="Times New Roman" w:hAnsi="Times New Roman" w:cs="Times New Roman"/>
                <w:sz w:val="24"/>
                <w:szCs w:val="24"/>
              </w:rPr>
              <w:t>browy</w:t>
            </w:r>
          </w:p>
          <w:p w14:paraId="060DB1D4" w14:textId="14D6D860" w:rsidR="00F33A25" w:rsidRPr="00F33A25" w:rsidRDefault="00F33A25" w:rsidP="00F33A2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33A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Quercetalia</w:t>
            </w:r>
            <w:proofErr w:type="spellEnd"/>
            <w:r w:rsidRPr="00F33A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33A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pubescenti-petraeae</w:t>
            </w:r>
            <w:proofErr w:type="spellEnd"/>
          </w:p>
        </w:tc>
        <w:tc>
          <w:tcPr>
            <w:tcW w:w="135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6BBADA" w14:textId="7D4F6037" w:rsidR="00F33A25" w:rsidRDefault="00F33A25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25">
              <w:rPr>
                <w:rFonts w:ascii="Times New Roman" w:hAnsi="Times New Roman" w:cs="Times New Roman"/>
                <w:sz w:val="24"/>
                <w:szCs w:val="24"/>
              </w:rPr>
              <w:t>Powierzchnia siedliska</w:t>
            </w:r>
          </w:p>
        </w:tc>
        <w:tc>
          <w:tcPr>
            <w:tcW w:w="2289" w:type="pct"/>
            <w:shd w:val="clear" w:color="auto" w:fill="auto"/>
            <w:tcMar>
              <w:left w:w="170" w:type="dxa"/>
              <w:right w:w="113" w:type="dxa"/>
            </w:tcMar>
            <w:vAlign w:val="center"/>
          </w:tcPr>
          <w:p w14:paraId="7DEC16CE" w14:textId="602F9BD8" w:rsidR="00F33A25" w:rsidRDefault="00F33A25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25">
              <w:rPr>
                <w:rFonts w:ascii="Times New Roman" w:hAnsi="Times New Roman" w:cs="Times New Roman"/>
                <w:sz w:val="24"/>
                <w:szCs w:val="24"/>
              </w:rPr>
              <w:t>Szczegółowe rozpoznanie zasobów siedliska i jego powierzchni wraz z określeniem celu po uzupełnieniu stanu wiedzy w tym zakresie.</w:t>
            </w:r>
          </w:p>
        </w:tc>
      </w:tr>
      <w:tr w:rsidR="00F33A25" w:rsidRPr="00DD0D86" w14:paraId="5EBD7382" w14:textId="77777777" w:rsidTr="00C9687B">
        <w:trPr>
          <w:trHeight w:val="519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3A82F09" w14:textId="77777777" w:rsidR="00F33A25" w:rsidRPr="00DD0D86" w:rsidRDefault="00F33A25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621145B" w14:textId="77777777" w:rsidR="00F33A25" w:rsidRPr="00DD0D86" w:rsidRDefault="00F33A25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6C7B8" w14:textId="6CFAC907" w:rsidR="00F33A25" w:rsidRDefault="00F33A25" w:rsidP="00055B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25">
              <w:rPr>
                <w:rFonts w:ascii="Times New Roman" w:hAnsi="Times New Roman" w:cs="Times New Roman"/>
                <w:sz w:val="24"/>
                <w:szCs w:val="24"/>
              </w:rPr>
              <w:t>Specyficzna struktura i funkcja</w:t>
            </w:r>
          </w:p>
        </w:tc>
        <w:tc>
          <w:tcPr>
            <w:tcW w:w="2289" w:type="pct"/>
            <w:shd w:val="clear" w:color="auto" w:fill="auto"/>
            <w:tcMar>
              <w:left w:w="170" w:type="dxa"/>
              <w:right w:w="113" w:type="dxa"/>
            </w:tcMar>
            <w:vAlign w:val="center"/>
          </w:tcPr>
          <w:p w14:paraId="6AF89D75" w14:textId="1B9387A6" w:rsidR="00F33A25" w:rsidRDefault="00F33A25" w:rsidP="00055BF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A25">
              <w:rPr>
                <w:rFonts w:ascii="Times New Roman" w:hAnsi="Times New Roman" w:cs="Times New Roman"/>
                <w:sz w:val="24"/>
                <w:szCs w:val="24"/>
              </w:rPr>
              <w:t>Szczegółowe rozpoznanie stanu zachowania siedliska, jego struktury i funkcji i określenie celów po uzupełnieniu stanu wiedzy w tym zakresie.</w:t>
            </w:r>
          </w:p>
        </w:tc>
      </w:tr>
      <w:tr w:rsidR="00C9687B" w:rsidRPr="00DD0D86" w14:paraId="0618FE95" w14:textId="6D807BCB" w:rsidTr="00C9687B">
        <w:trPr>
          <w:trHeight w:val="75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4283C2B0" w14:textId="306D6AD8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3D0B0DA" w14:textId="3F62B22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6D4">
              <w:rPr>
                <w:rFonts w:ascii="Times New Roman" w:hAnsi="Times New Roman" w:cs="Times New Roman"/>
                <w:sz w:val="24"/>
                <w:szCs w:val="24"/>
              </w:rPr>
              <w:t xml:space="preserve">1099 minóg rzeczny </w:t>
            </w:r>
            <w:proofErr w:type="spellStart"/>
            <w:r w:rsidRPr="00370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Lampetra</w:t>
            </w:r>
            <w:proofErr w:type="spellEnd"/>
            <w:r w:rsidRPr="00370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706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fluviatilis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1D9003" w14:textId="598A674D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12A7D62" w14:textId="0AE1E68B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Utrzymanie obecnego stanu populacji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</w:t>
            </w:r>
            <w:r w:rsidRPr="0099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996581">
              <w:rPr>
                <w:rFonts w:ascii="Times New Roman" w:hAnsi="Times New Roman" w:cs="Times New Roman"/>
                <w:sz w:val="24"/>
                <w:szCs w:val="24"/>
              </w:rPr>
              <w:t>zględn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996581">
              <w:rPr>
                <w:rFonts w:ascii="Times New Roman" w:hAnsi="Times New Roman" w:cs="Times New Roman"/>
                <w:sz w:val="24"/>
                <w:szCs w:val="24"/>
              </w:rPr>
              <w:t xml:space="preserve"> liczebnoś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996581">
              <w:rPr>
                <w:rFonts w:ascii="Times New Roman" w:hAnsi="Times New Roman" w:cs="Times New Roman"/>
                <w:sz w:val="24"/>
                <w:szCs w:val="24"/>
              </w:rPr>
              <w:t xml:space="preserve"> &lt;0,01 os./m</w:t>
            </w:r>
            <w:r w:rsidRPr="009965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96581">
              <w:rPr>
                <w:rFonts w:ascii="Times New Roman" w:hAnsi="Times New Roman" w:cs="Times New Roman"/>
                <w:sz w:val="24"/>
                <w:szCs w:val="24"/>
              </w:rPr>
              <w:t>, udział gatunku w zespole ryb i minogów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6581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C9687B" w:rsidRPr="00DD0D86" w14:paraId="25A491D5" w14:textId="04F334C1" w:rsidTr="00C9687B">
        <w:trPr>
          <w:trHeight w:val="75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7EB55DA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A4936C1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5C66A8D" w14:textId="6847271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88B7FE8" w14:textId="660EA31E" w:rsidR="00C9687B" w:rsidRDefault="00C9687B" w:rsidP="00A871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Utrzymanie siedlisk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gatunku </w:t>
            </w:r>
            <w:r w:rsidRPr="00136B7F">
              <w:rPr>
                <w:rFonts w:ascii="Times New Roman" w:hAnsi="Times New Roman" w:cs="Times New Roman"/>
                <w:sz w:val="24"/>
                <w:szCs w:val="24"/>
              </w:rPr>
              <w:t xml:space="preserve">na dotychczasowym poziomie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10811">
              <w:rPr>
                <w:rFonts w:ascii="Times New Roman" w:hAnsi="Times New Roman" w:cs="Times New Roman"/>
                <w:sz w:val="24"/>
                <w:szCs w:val="24"/>
              </w:rPr>
              <w:t>U2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przy wskaźniku jakość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hydromorfologiczna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na poziomie</w:t>
            </w:r>
            <w:r w:rsidR="00B10811">
              <w:rPr>
                <w:rFonts w:ascii="Times New Roman" w:hAnsi="Times New Roman" w:cs="Times New Roman"/>
                <w:sz w:val="24"/>
                <w:szCs w:val="24"/>
              </w:rPr>
              <w:t xml:space="preserve"> (U1)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81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081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jako wartość uśredniona z minimum 3 stanowisk badawczych (punktów monitoringowych)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F24DEE" w14:textId="499DF482" w:rsidR="00C9687B" w:rsidRPr="00DD0D86" w:rsidRDefault="00C9687B" w:rsidP="00A871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Cel podstawowy: </w:t>
            </w:r>
            <w:r w:rsidRPr="00A871D6">
              <w:rPr>
                <w:rFonts w:ascii="Times New Roman" w:hAnsi="Times New Roman" w:cs="Times New Roman"/>
                <w:sz w:val="24"/>
                <w:szCs w:val="24"/>
              </w:rPr>
              <w:t>zachowa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A871D6">
              <w:rPr>
                <w:rFonts w:ascii="Times New Roman" w:hAnsi="Times New Roman" w:cs="Times New Roman"/>
                <w:sz w:val="24"/>
                <w:szCs w:val="24"/>
              </w:rPr>
              <w:t xml:space="preserve"> drożnoś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A871D6">
              <w:rPr>
                <w:rFonts w:ascii="Times New Roman" w:hAnsi="Times New Roman" w:cs="Times New Roman"/>
                <w:sz w:val="24"/>
                <w:szCs w:val="24"/>
              </w:rPr>
              <w:t xml:space="preserve"> ekologiczn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A871D6">
              <w:rPr>
                <w:rFonts w:ascii="Times New Roman" w:hAnsi="Times New Roman" w:cs="Times New Roman"/>
                <w:sz w:val="24"/>
                <w:szCs w:val="24"/>
              </w:rPr>
              <w:t xml:space="preserve"> rzeki Wisły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obszarze w nie pogorszonym stanie</w:t>
            </w:r>
            <w:r w:rsidRPr="00A871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5E266868" w14:textId="69C2D6FC" w:rsidTr="00C9687B">
        <w:trPr>
          <w:trHeight w:val="61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01157124" w14:textId="1256CD84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EA22D46" w14:textId="19DF381C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DD9">
              <w:rPr>
                <w:rFonts w:ascii="Times New Roman" w:hAnsi="Times New Roman" w:cs="Times New Roman"/>
                <w:sz w:val="24"/>
                <w:szCs w:val="24"/>
              </w:rPr>
              <w:t xml:space="preserve">1106 łosoś atlantycki </w:t>
            </w:r>
            <w:proofErr w:type="spellStart"/>
            <w:r w:rsidRPr="00865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Salmo</w:t>
            </w:r>
            <w:proofErr w:type="spellEnd"/>
            <w:r w:rsidRPr="00865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65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salar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EAF9CF1" w14:textId="77CE247A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224859B" w14:textId="1756237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Utrzymanie obecnego stanu populacji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 w</w:t>
            </w:r>
            <w:r w:rsidRPr="004561F1">
              <w:rPr>
                <w:rFonts w:ascii="Times New Roman" w:hAnsi="Times New Roman" w:cs="Times New Roman"/>
                <w:sz w:val="24"/>
                <w:szCs w:val="24"/>
              </w:rPr>
              <w:t>zględn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4561F1">
              <w:rPr>
                <w:rFonts w:ascii="Times New Roman" w:hAnsi="Times New Roman" w:cs="Times New Roman"/>
                <w:sz w:val="24"/>
                <w:szCs w:val="24"/>
              </w:rPr>
              <w:t xml:space="preserve"> liczebnoś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4561F1">
              <w:rPr>
                <w:rFonts w:ascii="Times New Roman" w:hAnsi="Times New Roman" w:cs="Times New Roman"/>
                <w:sz w:val="24"/>
                <w:szCs w:val="24"/>
              </w:rPr>
              <w:t xml:space="preserve"> &lt;0,0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561F1">
              <w:rPr>
                <w:rFonts w:ascii="Times New Roman" w:hAnsi="Times New Roman" w:cs="Times New Roman"/>
                <w:sz w:val="24"/>
                <w:szCs w:val="24"/>
              </w:rPr>
              <w:t xml:space="preserve"> os./m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Pr="004561F1">
              <w:rPr>
                <w:rFonts w:ascii="Times New Roman" w:hAnsi="Times New Roman" w:cs="Times New Roman"/>
                <w:sz w:val="24"/>
                <w:szCs w:val="24"/>
              </w:rPr>
              <w:t>, udział gatunku w zespole ryb i minogów &lt;1%.</w:t>
            </w:r>
          </w:p>
        </w:tc>
      </w:tr>
      <w:tr w:rsidR="00C9687B" w:rsidRPr="00DD0D86" w14:paraId="73266795" w14:textId="0F624CFF" w:rsidTr="00C9687B">
        <w:trPr>
          <w:trHeight w:val="58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2803EE4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CF973E4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8DFBB1C" w14:textId="14BFCDF0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72B8D81" w14:textId="45B74773" w:rsidR="00C9687B" w:rsidRPr="00A7151B" w:rsidRDefault="00C9687B" w:rsidP="00A7151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Utrzymanie siedliska gatunku na dotychczasowym poziomie (</w:t>
            </w:r>
            <w:r w:rsidR="002E51FE">
              <w:rPr>
                <w:rFonts w:ascii="Times New Roman" w:hAnsi="Times New Roman" w:cs="Times New Roman"/>
                <w:sz w:val="24"/>
                <w:szCs w:val="24"/>
              </w:rPr>
              <w:t>U2</w:t>
            </w: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 wskaźniku </w:t>
            </w: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jakoś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hydromorfologiczn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na poziomie</w:t>
            </w:r>
            <w:r w:rsidR="002E51FE">
              <w:rPr>
                <w:rFonts w:ascii="Times New Roman" w:hAnsi="Times New Roman" w:cs="Times New Roman"/>
                <w:sz w:val="24"/>
                <w:szCs w:val="24"/>
              </w:rPr>
              <w:t xml:space="preserve"> (U1)</w:t>
            </w: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1FE" w:rsidRPr="002E51FE">
              <w:rPr>
                <w:rFonts w:ascii="Times New Roman" w:hAnsi="Times New Roman" w:cs="Times New Roman"/>
                <w:sz w:val="24"/>
                <w:szCs w:val="24"/>
              </w:rPr>
              <w:t>2,6-3,4</w:t>
            </w: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 xml:space="preserve"> jako wartość uśredniona z minimum 3 stanowisk badawczych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(punktów monitoringowych)</w:t>
            </w: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1A045F" w14:textId="52EABE08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1B">
              <w:rPr>
                <w:rFonts w:ascii="Times New Roman" w:hAnsi="Times New Roman" w:cs="Times New Roman"/>
                <w:sz w:val="24"/>
                <w:szCs w:val="24"/>
              </w:rPr>
              <w:t>Cel podstawowy: zachowanie drożności ekologicznej rzeki Wisły w obszarze w nie pogorszonym stanie.</w:t>
            </w:r>
          </w:p>
        </w:tc>
      </w:tr>
      <w:tr w:rsidR="00C9687B" w:rsidRPr="00DD0D86" w14:paraId="37751D60" w14:textId="77777777" w:rsidTr="00C9687B">
        <w:trPr>
          <w:trHeight w:val="70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38AC0359" w14:textId="360AF8E0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A094274" w14:textId="3E858F3D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A67">
              <w:rPr>
                <w:rFonts w:ascii="Times New Roman" w:hAnsi="Times New Roman" w:cs="Times New Roman"/>
                <w:sz w:val="24"/>
                <w:szCs w:val="24"/>
              </w:rPr>
              <w:t xml:space="preserve">6144 kiełb </w:t>
            </w:r>
            <w:proofErr w:type="spellStart"/>
            <w:r w:rsidRPr="00812A67">
              <w:rPr>
                <w:rFonts w:ascii="Times New Roman" w:hAnsi="Times New Roman" w:cs="Times New Roman"/>
                <w:sz w:val="24"/>
                <w:szCs w:val="24"/>
              </w:rPr>
              <w:t>białopłetwy</w:t>
            </w:r>
            <w:proofErr w:type="spellEnd"/>
            <w:r w:rsidRPr="00812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A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Gobio</w:t>
            </w:r>
            <w:proofErr w:type="spellEnd"/>
            <w:r w:rsidRPr="00812A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12A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albipinnatus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0471CCF" w14:textId="1C033EC5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1328DB50" w14:textId="1AF369A1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Utrzymanie obecnego stanu populacji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zględn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 liczebnoś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 &lt;0,00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 os./m², udział gatunku w zespole ryb i minogów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1%.</w:t>
            </w:r>
          </w:p>
        </w:tc>
      </w:tr>
      <w:tr w:rsidR="00C9687B" w:rsidRPr="00DD0D86" w14:paraId="169F46F7" w14:textId="77777777" w:rsidTr="00C9687B">
        <w:trPr>
          <w:trHeight w:val="70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719B21F8" w14:textId="77777777" w:rsidR="00C9687B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7731469" w14:textId="77777777" w:rsidR="00C9687B" w:rsidRPr="00C803B7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4E300F2" w14:textId="68686491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3A826F8" w14:textId="530DC27B" w:rsidR="00C9687B" w:rsidRPr="00DD0D86" w:rsidRDefault="00C9687B" w:rsidP="00F536C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Utrzymanie siedliska gatunku na dotychczasowym poziomie (</w:t>
            </w:r>
            <w:r w:rsidR="00F55D48">
              <w:rPr>
                <w:rFonts w:ascii="Times New Roman" w:hAnsi="Times New Roman" w:cs="Times New Roman"/>
                <w:sz w:val="24"/>
                <w:szCs w:val="24"/>
              </w:rPr>
              <w:t>U2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 wskaźniku 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jakość </w:t>
            </w:r>
            <w:proofErr w:type="spellStart"/>
            <w:r w:rsidRPr="00F536C6">
              <w:rPr>
                <w:rFonts w:ascii="Times New Roman" w:hAnsi="Times New Roman" w:cs="Times New Roman"/>
                <w:sz w:val="24"/>
                <w:szCs w:val="24"/>
              </w:rPr>
              <w:t>hydromorfologiczna</w:t>
            </w:r>
            <w:proofErr w:type="spellEnd"/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 na poziomie</w:t>
            </w:r>
            <w:r w:rsidR="00F55D48">
              <w:rPr>
                <w:rFonts w:ascii="Times New Roman" w:hAnsi="Times New Roman" w:cs="Times New Roman"/>
                <w:sz w:val="24"/>
                <w:szCs w:val="24"/>
              </w:rPr>
              <w:t xml:space="preserve"> (U1)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D48" w:rsidRPr="00F55D48">
              <w:rPr>
                <w:rFonts w:ascii="Times New Roman" w:hAnsi="Times New Roman" w:cs="Times New Roman"/>
                <w:sz w:val="24"/>
                <w:szCs w:val="24"/>
              </w:rPr>
              <w:t>2,6-3,4</w:t>
            </w:r>
            <w:r w:rsidRPr="00F536C6">
              <w:rPr>
                <w:rFonts w:ascii="Times New Roman" w:hAnsi="Times New Roman" w:cs="Times New Roman"/>
                <w:sz w:val="24"/>
                <w:szCs w:val="24"/>
              </w:rPr>
              <w:t xml:space="preserve"> jako wartość uśredniona z minimum 3 stanowisk badawczych.</w:t>
            </w:r>
          </w:p>
        </w:tc>
      </w:tr>
      <w:tr w:rsidR="00C9687B" w:rsidRPr="00DD0D86" w14:paraId="10F3EE70" w14:textId="1C7B8EB2" w:rsidTr="00C9687B">
        <w:trPr>
          <w:trHeight w:val="70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6E3B4C37" w14:textId="6E8E6664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3E7D396" w14:textId="5F292F4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087">
              <w:rPr>
                <w:rFonts w:ascii="Times New Roman" w:hAnsi="Times New Roman" w:cs="Times New Roman"/>
                <w:sz w:val="24"/>
                <w:szCs w:val="24"/>
              </w:rPr>
              <w:t xml:space="preserve">1130 </w:t>
            </w:r>
            <w:proofErr w:type="spellStart"/>
            <w:r w:rsidRPr="00B03087">
              <w:rPr>
                <w:rFonts w:ascii="Times New Roman" w:hAnsi="Times New Roman" w:cs="Times New Roman"/>
                <w:sz w:val="24"/>
                <w:szCs w:val="24"/>
              </w:rPr>
              <w:t>boleń</w:t>
            </w:r>
            <w:proofErr w:type="spellEnd"/>
            <w:r w:rsidRPr="00B03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Aspius</w:t>
            </w:r>
            <w:proofErr w:type="spellEnd"/>
            <w:r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aspius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FAD1A34" w14:textId="79EE256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4ED30858" w14:textId="2EAA7B8D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Utrzymanie obecnego stanu populacji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 względnej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liczebności &lt;0,003 os./m</w:t>
            </w:r>
            <w:r w:rsidRPr="00DD0D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, obecn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ej co najmniej </w:t>
            </w:r>
            <w:r w:rsidR="001B0021">
              <w:rPr>
                <w:rFonts w:ascii="Times New Roman" w:hAnsi="Times New Roman" w:cs="Times New Roman"/>
                <w:sz w:val="24"/>
                <w:szCs w:val="24"/>
              </w:rPr>
              <w:t>jednej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kategorii wiekowych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, udzia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gatunku w zespole ryb i minogów &lt;1%.</w:t>
            </w:r>
          </w:p>
        </w:tc>
      </w:tr>
      <w:tr w:rsidR="00C9687B" w:rsidRPr="00DD0D86" w14:paraId="647F12DA" w14:textId="59A07BEB" w:rsidTr="00C9687B">
        <w:trPr>
          <w:trHeight w:val="65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790F09B0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0F39E52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D0D9385" w14:textId="521A4A7D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47C430FB" w14:textId="4C10716D" w:rsidR="00C9687B" w:rsidRDefault="00C9687B" w:rsidP="003401E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Utrzymanie siedliska gatunku na dotychczasowym poziomie (U</w:t>
            </w:r>
            <w:r w:rsidR="001B0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) przy wskaźniku: jakość </w:t>
            </w:r>
            <w:proofErr w:type="spellStart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>hydromorfologiczna</w:t>
            </w:r>
            <w:proofErr w:type="spellEnd"/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 na poziomie</w:t>
            </w:r>
            <w:r w:rsidR="001B0021">
              <w:rPr>
                <w:rFonts w:ascii="Times New Roman" w:hAnsi="Times New Roman" w:cs="Times New Roman"/>
                <w:sz w:val="24"/>
                <w:szCs w:val="24"/>
              </w:rPr>
              <w:t xml:space="preserve"> (U1)</w:t>
            </w:r>
            <w:r w:rsidRPr="00496234">
              <w:rPr>
                <w:rFonts w:ascii="Times New Roman" w:hAnsi="Times New Roman" w:cs="Times New Roman"/>
                <w:sz w:val="24"/>
                <w:szCs w:val="24"/>
              </w:rPr>
              <w:t xml:space="preserve"> 2,6-3,4 jako wartość uśredniona z minimum 3 stanowisk badawczych.</w:t>
            </w:r>
          </w:p>
          <w:p w14:paraId="7CE12616" w14:textId="7504867C" w:rsidR="00C9687B" w:rsidRPr="00DD0D86" w:rsidRDefault="00C9687B" w:rsidP="003401E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EB">
              <w:rPr>
                <w:rFonts w:ascii="Times New Roman" w:hAnsi="Times New Roman" w:cs="Times New Roman"/>
                <w:sz w:val="24"/>
                <w:szCs w:val="24"/>
              </w:rPr>
              <w:t>Cel podstawowy: zachowanie drożności ekologicznej rzeki Wisły w obszarze w nie pogorszonym stanie.</w:t>
            </w:r>
          </w:p>
        </w:tc>
      </w:tr>
      <w:tr w:rsidR="00C9687B" w:rsidRPr="00DD0D86" w14:paraId="3EA6079F" w14:textId="77777777" w:rsidTr="00C9687B">
        <w:trPr>
          <w:trHeight w:val="65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53AD94A1" w14:textId="5C491E35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52BC1D9" w14:textId="0FAC8BAA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65">
              <w:rPr>
                <w:rFonts w:ascii="Times New Roman" w:hAnsi="Times New Roman" w:cs="Times New Roman"/>
                <w:sz w:val="24"/>
                <w:szCs w:val="24"/>
              </w:rPr>
              <w:t xml:space="preserve">1149 koza </w:t>
            </w:r>
            <w:proofErr w:type="spellStart"/>
            <w:r w:rsidRPr="005F4E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Cobitis</w:t>
            </w:r>
            <w:proofErr w:type="spellEnd"/>
            <w:r w:rsidRPr="005F4E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4E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taenia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AB8881C" w14:textId="34E4BF6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C03F958" w14:textId="5E43CE47" w:rsidR="00C9687B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Utrzymanie obecnego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stanu populacji </w:t>
            </w:r>
            <w:r w:rsidR="00963488">
              <w:rPr>
                <w:rFonts w:ascii="Times New Roman" w:hAnsi="Times New Roman" w:cs="Times New Roman"/>
                <w:sz w:val="24"/>
                <w:szCs w:val="24"/>
              </w:rPr>
              <w:t>(U1)</w:t>
            </w:r>
            <w:r w:rsidR="00963488"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przy:</w:t>
            </w:r>
          </w:p>
          <w:p w14:paraId="544A71B0" w14:textId="7A6D6C01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ocenie (FV) dla względnej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liczebność gatunku &gt;0,01 os./m</w:t>
            </w:r>
            <w:r w:rsidRPr="00DD0D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liczebności co najmniej 10 000 osobników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ocenie (FV) dla struktury wiekowej -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obecne wszystkie kategorie wiekowe (YOY+JUV&gt;50%),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ocenie (U1) dla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udział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gatunku w zespole ryb i minogów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poziomie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1-5%.</w:t>
            </w:r>
          </w:p>
        </w:tc>
      </w:tr>
      <w:tr w:rsidR="00C9687B" w:rsidRPr="00DD0D86" w14:paraId="500ADFF0" w14:textId="77777777" w:rsidTr="00C9687B">
        <w:trPr>
          <w:trHeight w:val="65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61109C69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54D5ADC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3A38749" w14:textId="2A67DA12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48DF946" w14:textId="77777777" w:rsidR="00C9687B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9E8">
              <w:rPr>
                <w:rFonts w:ascii="Times New Roman" w:hAnsi="Times New Roman" w:cs="Times New Roman"/>
                <w:sz w:val="24"/>
                <w:szCs w:val="24"/>
              </w:rPr>
              <w:t>Utrzymanie siedliska gatunku na dotychczasowym poziomie (U</w:t>
            </w:r>
            <w:r w:rsidR="00717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79E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 wskaźniku:</w:t>
            </w:r>
            <w:r w:rsidRPr="007379E8">
              <w:rPr>
                <w:rFonts w:ascii="Times New Roman" w:hAnsi="Times New Roman" w:cs="Times New Roman"/>
                <w:sz w:val="24"/>
                <w:szCs w:val="24"/>
              </w:rPr>
              <w:t xml:space="preserve"> jakoś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737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79E8">
              <w:rPr>
                <w:rFonts w:ascii="Times New Roman" w:hAnsi="Times New Roman" w:cs="Times New Roman"/>
                <w:sz w:val="24"/>
                <w:szCs w:val="24"/>
              </w:rPr>
              <w:t>hydromorfologiczn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poziomie</w:t>
            </w:r>
            <w:r w:rsidR="007174EB">
              <w:rPr>
                <w:rFonts w:ascii="Times New Roman" w:hAnsi="Times New Roman" w:cs="Times New Roman"/>
                <w:sz w:val="24"/>
                <w:szCs w:val="24"/>
              </w:rPr>
              <w:t xml:space="preserve"> (U1)</w:t>
            </w:r>
            <w:r w:rsidRPr="007379E8">
              <w:rPr>
                <w:rFonts w:ascii="Times New Roman" w:hAnsi="Times New Roman" w:cs="Times New Roman"/>
                <w:sz w:val="24"/>
                <w:szCs w:val="24"/>
              </w:rPr>
              <w:t xml:space="preserve"> 2,6-3,4 jako wartość uśredniona z minimum 3 stanowisk badawczych.</w:t>
            </w:r>
          </w:p>
          <w:p w14:paraId="0389BB70" w14:textId="339BF682" w:rsidR="004A1E1E" w:rsidRPr="00DD0D86" w:rsidRDefault="004A1E1E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E1E">
              <w:rPr>
                <w:rFonts w:ascii="Times New Roman" w:hAnsi="Times New Roman" w:cs="Times New Roman"/>
                <w:sz w:val="24"/>
                <w:szCs w:val="24"/>
              </w:rPr>
              <w:t>Dążenie do poprawy wskaźników: charakterystyka przepływu oraz charakter i modyfikacja brzegów, decydujących o obniżonej ocenie jakości morfologicznej rzeki.</w:t>
            </w:r>
          </w:p>
        </w:tc>
      </w:tr>
      <w:tr w:rsidR="00C9687B" w:rsidRPr="00DD0D86" w14:paraId="5DAF07A4" w14:textId="77777777" w:rsidTr="00C9687B">
        <w:trPr>
          <w:trHeight w:val="65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3FFF4AE2" w14:textId="5CEF5920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FE8978B" w14:textId="09C426DD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2">
              <w:rPr>
                <w:rFonts w:ascii="Times New Roman" w:hAnsi="Times New Roman" w:cs="Times New Roman"/>
                <w:sz w:val="24"/>
                <w:szCs w:val="24"/>
              </w:rPr>
              <w:t xml:space="preserve">5339 różanka </w:t>
            </w:r>
            <w:proofErr w:type="spellStart"/>
            <w:r w:rsidRPr="005F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Rhodeus</w:t>
            </w:r>
            <w:proofErr w:type="spellEnd"/>
            <w:r w:rsidRPr="005F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sericeus</w:t>
            </w:r>
            <w:proofErr w:type="spellEnd"/>
            <w:r w:rsidRPr="005F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amarus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0A885C" w14:textId="7ED09171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FCA85CE" w14:textId="647FE4D1" w:rsidR="00C9687B" w:rsidRPr="005F4602" w:rsidRDefault="00C9687B" w:rsidP="005F46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2">
              <w:rPr>
                <w:rFonts w:ascii="Times New Roman" w:hAnsi="Times New Roman" w:cs="Times New Roman"/>
                <w:sz w:val="24"/>
                <w:szCs w:val="24"/>
              </w:rPr>
              <w:t>Utrzymanie obecnego stanu populacji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Pr="005F4602">
              <w:rPr>
                <w:rFonts w:ascii="Times New Roman" w:hAnsi="Times New Roman" w:cs="Times New Roman"/>
                <w:sz w:val="24"/>
                <w:szCs w:val="24"/>
              </w:rPr>
              <w:t>) przy: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E1B99" w14:textId="5279DFC9" w:rsidR="00C9687B" w:rsidRPr="00DD0D86" w:rsidRDefault="00C9687B" w:rsidP="005F460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2">
              <w:rPr>
                <w:rFonts w:ascii="Times New Roman" w:hAnsi="Times New Roman" w:cs="Times New Roman"/>
                <w:sz w:val="24"/>
                <w:szCs w:val="24"/>
              </w:rPr>
              <w:t>ocenie (FV) dla względnej liczebność gatunku &gt;0,01 os./m2 (liczebności co najmniej 10 000 osobników); ocenie (FV) dla struktury wiekowej - obecne wszystkie kategorie wiekowe (YOY+JUV&gt;50%), ocenie (U1) dla udział gatunku w zespole ryb i minogów 1-5%.</w:t>
            </w:r>
          </w:p>
        </w:tc>
      </w:tr>
      <w:tr w:rsidR="00C9687B" w:rsidRPr="00DD0D86" w14:paraId="42305FEE" w14:textId="77777777" w:rsidTr="00C9687B">
        <w:trPr>
          <w:trHeight w:val="65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398A7154" w14:textId="77777777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F2A7F9B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C6E19D9" w14:textId="4C37B6DF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Stan siedliska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4287D163" w14:textId="77777777" w:rsidR="00C9687B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2">
              <w:rPr>
                <w:rFonts w:ascii="Times New Roman" w:hAnsi="Times New Roman" w:cs="Times New Roman"/>
                <w:sz w:val="24"/>
                <w:szCs w:val="24"/>
              </w:rPr>
              <w:t xml:space="preserve">Utrzymanie siedliska gatunku na dotychczasowym poziomie (U1) przy wskaźniku jakość </w:t>
            </w:r>
            <w:proofErr w:type="spellStart"/>
            <w:r w:rsidRPr="005F4602">
              <w:rPr>
                <w:rFonts w:ascii="Times New Roman" w:hAnsi="Times New Roman" w:cs="Times New Roman"/>
                <w:sz w:val="24"/>
                <w:szCs w:val="24"/>
              </w:rPr>
              <w:t>hydromorfologiczna</w:t>
            </w:r>
            <w:proofErr w:type="spellEnd"/>
            <w:r w:rsidRPr="005F4602">
              <w:rPr>
                <w:rFonts w:ascii="Times New Roman" w:hAnsi="Times New Roman" w:cs="Times New Roman"/>
                <w:sz w:val="24"/>
                <w:szCs w:val="24"/>
              </w:rPr>
              <w:t xml:space="preserve"> na poziomie 2,6-3,4 jako wartość uśredniona z minimum 3 stanowisk badawczych.</w:t>
            </w:r>
          </w:p>
          <w:p w14:paraId="56E2910B" w14:textId="75EA25D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265">
              <w:rPr>
                <w:rFonts w:ascii="Times New Roman" w:hAnsi="Times New Roman" w:cs="Times New Roman"/>
                <w:sz w:val="24"/>
                <w:szCs w:val="24"/>
              </w:rPr>
              <w:t>Dążenie do poprawy wskaźników: charakterystyka przepływu oraz charakter i modyfikacja brzegów, decydujących o obniżonej ocenie jakości morfologicznej rzeki.</w:t>
            </w:r>
          </w:p>
        </w:tc>
      </w:tr>
      <w:tr w:rsidR="00C9687B" w:rsidRPr="00DD0D86" w14:paraId="103B637F" w14:textId="77777777" w:rsidTr="00C9687B">
        <w:trPr>
          <w:trHeight w:val="159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4B9DA7CA" w14:textId="278CC085" w:rsidR="00C9687B" w:rsidRPr="00DD0D86" w:rsidRDefault="00C9687B" w:rsidP="00C148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A3AD29C" w14:textId="627D4E06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E76">
              <w:rPr>
                <w:rFonts w:ascii="Times New Roman" w:hAnsi="Times New Roman" w:cs="Times New Roman"/>
                <w:sz w:val="24"/>
                <w:szCs w:val="24"/>
              </w:rPr>
              <w:t xml:space="preserve">1337 bóbr europejski </w:t>
            </w:r>
            <w:proofErr w:type="spellStart"/>
            <w:r w:rsidRPr="00942E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Castor</w:t>
            </w:r>
            <w:proofErr w:type="spellEnd"/>
            <w:r w:rsidRPr="00942E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2E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DAEAFE5" w14:textId="136421EB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719EBC87" w14:textId="4FB2CB90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8E">
              <w:rPr>
                <w:rFonts w:ascii="Times New Roman" w:hAnsi="Times New Roman" w:cs="Times New Roman"/>
                <w:sz w:val="24"/>
                <w:szCs w:val="24"/>
              </w:rPr>
              <w:t>Utrzymanie populacji na poziomie co najmniej 25 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obszarze</w:t>
            </w:r>
            <w:r w:rsidRPr="009D2A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687B" w:rsidRPr="00DD0D86" w14:paraId="4B654FE0" w14:textId="77777777" w:rsidTr="00C9687B">
        <w:trPr>
          <w:trHeight w:val="157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26D22FCD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8809A85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8B4D25C" w14:textId="77E4D27A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Baza pokarmowa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BF6D86E" w14:textId="037519FA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5B2">
              <w:rPr>
                <w:rFonts w:ascii="Times New Roman" w:hAnsi="Times New Roman" w:cs="Times New Roman"/>
                <w:sz w:val="24"/>
                <w:szCs w:val="24"/>
              </w:rPr>
              <w:t>Utrzymanie bazy pokarmowej na dotychczasowym poziomie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FV</w:t>
            </w:r>
            <w:r w:rsidRPr="00AD35B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66">
              <w:rPr>
                <w:rFonts w:ascii="Times New Roman" w:hAnsi="Times New Roman" w:cs="Times New Roman"/>
                <w:sz w:val="24"/>
                <w:szCs w:val="24"/>
              </w:rPr>
              <w:t>Preferowane gatunki drzew i krzewów obecne na &gt;40% punktów monitoringowych, zadrzewienia pokrywają średnio &gt;40% linii brzegowej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687B" w:rsidRPr="00DD0D86" w14:paraId="0C9BBA73" w14:textId="77777777" w:rsidTr="00C9687B">
        <w:trPr>
          <w:trHeight w:val="157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3100EA3A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B268C9D" w14:textId="77777777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ED18D5" w14:textId="38DFAB31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Charakter </w:t>
            </w:r>
            <w:r w:rsidRPr="001D6DC9">
              <w:rPr>
                <w:rFonts w:ascii="Times New Roman" w:hAnsi="Times New Roman" w:cs="Times New Roman"/>
                <w:sz w:val="24"/>
                <w:szCs w:val="24"/>
              </w:rPr>
              <w:t xml:space="preserve">nadbrzeżnych </w:t>
            </w:r>
            <w:proofErr w:type="spellStart"/>
            <w:r w:rsidRPr="001D6DC9">
              <w:rPr>
                <w:rFonts w:ascii="Times New Roman" w:hAnsi="Times New Roman" w:cs="Times New Roman"/>
                <w:sz w:val="24"/>
                <w:szCs w:val="24"/>
              </w:rPr>
              <w:t>zadrzewień</w:t>
            </w:r>
            <w:proofErr w:type="spellEnd"/>
            <w:r w:rsidRPr="001D6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3CD93F2A" w14:textId="3CCA6874" w:rsidR="00C9687B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wskaźnika 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w obszarze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D46">
              <w:rPr>
                <w:rFonts w:ascii="Times New Roman" w:hAnsi="Times New Roman" w:cs="Times New Roman"/>
                <w:sz w:val="24"/>
                <w:szCs w:val="24"/>
              </w:rPr>
              <w:t xml:space="preserve">na dotychczasowym poziomie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(FV)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E8D42" w14:textId="29028DD0" w:rsidR="00C9687B" w:rsidRPr="00DD0D86" w:rsidRDefault="00C9687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0A2">
              <w:rPr>
                <w:rFonts w:ascii="Times New Roman" w:hAnsi="Times New Roman" w:cs="Times New Roman"/>
                <w:sz w:val="24"/>
                <w:szCs w:val="24"/>
              </w:rPr>
              <w:t>Dominują zadrzewienia ciągłe, lesistość &gt;30%, dostępność schronień &gt;50%.</w:t>
            </w:r>
          </w:p>
        </w:tc>
      </w:tr>
      <w:tr w:rsidR="00B415ED" w:rsidRPr="00DD0D86" w14:paraId="4E71EDB3" w14:textId="77777777" w:rsidTr="00C9687B">
        <w:trPr>
          <w:trHeight w:val="157"/>
          <w:jc w:val="center"/>
        </w:trPr>
        <w:tc>
          <w:tcPr>
            <w:tcW w:w="353" w:type="pct"/>
            <w:vMerge w:val="restart"/>
            <w:shd w:val="clear" w:color="auto" w:fill="FFFFFF"/>
            <w:vAlign w:val="center"/>
          </w:tcPr>
          <w:p w14:paraId="7A269805" w14:textId="03051FD3" w:rsidR="00B415ED" w:rsidRPr="00DD0D86" w:rsidRDefault="00B415ED" w:rsidP="00B415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04" w:type="pct"/>
            <w:vMerge w:val="restar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5A2FB04" w14:textId="2CA3F0C2" w:rsidR="00B415ED" w:rsidRPr="00DD0D86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E76">
              <w:rPr>
                <w:rFonts w:ascii="Times New Roman" w:hAnsi="Times New Roman" w:cs="Times New Roman"/>
                <w:sz w:val="24"/>
                <w:szCs w:val="24"/>
              </w:rPr>
              <w:t xml:space="preserve">1355 wydra </w:t>
            </w:r>
            <w:r w:rsidRPr="00942E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Lutra </w:t>
            </w:r>
            <w:proofErr w:type="spellStart"/>
            <w:r w:rsidRPr="00942E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lutra</w:t>
            </w:r>
            <w:proofErr w:type="spellEnd"/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84A464" w14:textId="40D20B7D" w:rsidR="00B415ED" w:rsidRPr="00DD0D86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5ED">
              <w:rPr>
                <w:rFonts w:ascii="Times New Roman" w:hAnsi="Times New Roman" w:cs="Times New Roman"/>
                <w:sz w:val="24"/>
                <w:szCs w:val="24"/>
              </w:rPr>
              <w:t>Stan populacji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3A3654D" w14:textId="0626A598" w:rsidR="00B415ED" w:rsidRPr="00DD0D86" w:rsidRDefault="00EE020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20B">
              <w:rPr>
                <w:rFonts w:ascii="Times New Roman" w:hAnsi="Times New Roman" w:cs="Times New Roman"/>
                <w:sz w:val="24"/>
                <w:szCs w:val="24"/>
              </w:rPr>
              <w:t>Utrzymanie populacji na poziomie co najmniej</w:t>
            </w:r>
            <w:r w:rsidR="00D34AD1">
              <w:rPr>
                <w:rFonts w:ascii="Times New Roman" w:hAnsi="Times New Roman" w:cs="Times New Roman"/>
                <w:sz w:val="24"/>
                <w:szCs w:val="24"/>
              </w:rPr>
              <w:t xml:space="preserve"> 50 osobników</w:t>
            </w:r>
            <w:r w:rsidRPr="00EE020B">
              <w:rPr>
                <w:rFonts w:ascii="Times New Roman" w:hAnsi="Times New Roman" w:cs="Times New Roman"/>
                <w:sz w:val="24"/>
                <w:szCs w:val="24"/>
              </w:rPr>
              <w:t xml:space="preserve"> w obszarze.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Uzupełnienie stanu wiedzy w zakresie </w:t>
            </w:r>
            <w:r w:rsidRPr="00EE020B">
              <w:rPr>
                <w:rFonts w:ascii="Times New Roman" w:hAnsi="Times New Roman" w:cs="Times New Roman"/>
                <w:sz w:val="24"/>
                <w:szCs w:val="24"/>
              </w:rPr>
              <w:t>stanu populacji i siedlisk gatunku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5ED" w:rsidRPr="00DD0D86" w14:paraId="191D8C68" w14:textId="77777777" w:rsidTr="00C9687B">
        <w:trPr>
          <w:trHeight w:val="157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3B8C4BF" w14:textId="77777777" w:rsidR="00B415ED" w:rsidRPr="00DD0D86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2608942" w14:textId="77777777" w:rsidR="00B415ED" w:rsidRPr="00DD0D86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C7E99D2" w14:textId="14FB89C6" w:rsidR="00B415ED" w:rsidRPr="00DD0D86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Baza pokarmowa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0FDFD5E6" w14:textId="61A92475" w:rsidR="00B415ED" w:rsidRPr="007432C4" w:rsidRDefault="00EE020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Utrzymanie bazy pokarmowej na dotychczasowym poziomie (FV</w:t>
            </w:r>
            <w:r w:rsidR="000E718F" w:rsidRPr="00AB5DDB">
              <w:rPr>
                <w:rFonts w:ascii="Times New Roman" w:hAnsi="Times New Roman" w:cs="Times New Roman"/>
                <w:sz w:val="24"/>
                <w:szCs w:val="24"/>
              </w:rPr>
              <w:t xml:space="preserve">) z oceną </w:t>
            </w:r>
            <w:r w:rsidR="007432C4" w:rsidRPr="00AB5DDB">
              <w:rPr>
                <w:rFonts w:ascii="Times New Roman" w:hAnsi="Times New Roman" w:cs="Times New Roman"/>
                <w:sz w:val="24"/>
                <w:szCs w:val="24"/>
              </w:rPr>
              <w:t>wskaźnika ˃0,80</w:t>
            </w: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5ED" w:rsidRPr="00DD0D86" w14:paraId="6FFBC6F1" w14:textId="77777777" w:rsidTr="00C9687B">
        <w:trPr>
          <w:trHeight w:val="157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1DA03FEF" w14:textId="77777777" w:rsidR="00B415ED" w:rsidRPr="00DD0D86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7C1789C" w14:textId="77777777" w:rsidR="00B415ED" w:rsidRPr="00DD0D86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43CC8C5" w14:textId="1F414E6C" w:rsidR="00B415ED" w:rsidRPr="00DD0D86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siedliska kluczowego dla gatunku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6AEF0E12" w14:textId="13615C12" w:rsidR="00B415ED" w:rsidRPr="007432C4" w:rsidRDefault="00EE020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Utrzymanie wskaźnika w obszarze na dotychczasowym poziomie (U1)</w:t>
            </w:r>
            <w:r w:rsidR="007432C4" w:rsidRPr="00AB5DDB">
              <w:t xml:space="preserve"> </w:t>
            </w:r>
            <w:r w:rsidR="007432C4" w:rsidRPr="00AB5DDB">
              <w:rPr>
                <w:rFonts w:ascii="Times New Roman" w:hAnsi="Times New Roman" w:cs="Times New Roman"/>
                <w:sz w:val="24"/>
                <w:szCs w:val="24"/>
              </w:rPr>
              <w:t>z oceną wskaźnika ˃0,50 – 0,65</w:t>
            </w: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5ED" w:rsidRPr="00DD0D86" w14:paraId="21AC6E3C" w14:textId="77777777" w:rsidTr="00C9687B">
        <w:trPr>
          <w:trHeight w:val="157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0E6102E5" w14:textId="77777777" w:rsidR="00B415ED" w:rsidRPr="00DD0D86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AB8D6CB" w14:textId="77777777" w:rsidR="00B415ED" w:rsidRPr="00DD0D86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150E26" w14:textId="6DA77DAE" w:rsidR="00B415ED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 strefy brzegowej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22CCB0EE" w14:textId="062D1C19" w:rsidR="00B415ED" w:rsidRPr="007432C4" w:rsidRDefault="00EE020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Utrzymanie wskaźnika w obszarze na dotychczasowym poziomie (U1)</w:t>
            </w:r>
            <w:r w:rsidR="007432C4" w:rsidRPr="00AB5DDB">
              <w:t xml:space="preserve"> </w:t>
            </w:r>
            <w:r w:rsidR="007432C4" w:rsidRPr="00AB5DDB">
              <w:rPr>
                <w:rFonts w:ascii="Times New Roman" w:hAnsi="Times New Roman" w:cs="Times New Roman"/>
                <w:sz w:val="24"/>
                <w:szCs w:val="24"/>
              </w:rPr>
              <w:t>z oceną wskaźnika ˃ 0,50 -0,85</w:t>
            </w: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5ED" w:rsidRPr="00DD0D86" w14:paraId="6069E0BD" w14:textId="77777777" w:rsidTr="00C9687B">
        <w:trPr>
          <w:trHeight w:val="157"/>
          <w:jc w:val="center"/>
        </w:trPr>
        <w:tc>
          <w:tcPr>
            <w:tcW w:w="353" w:type="pct"/>
            <w:vMerge/>
            <w:shd w:val="clear" w:color="auto" w:fill="FFFFFF"/>
            <w:vAlign w:val="center"/>
          </w:tcPr>
          <w:p w14:paraId="6F0DAA1E" w14:textId="77777777" w:rsidR="00B415ED" w:rsidRPr="00DD0D86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vMerge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A44352F" w14:textId="77777777" w:rsidR="00B415ED" w:rsidRPr="00DD0D86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5B948AF" w14:textId="32B4F2A6" w:rsidR="00B415ED" w:rsidRDefault="00B415ED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antropopresji</w:t>
            </w:r>
          </w:p>
        </w:tc>
        <w:tc>
          <w:tcPr>
            <w:tcW w:w="2289" w:type="pct"/>
            <w:shd w:val="clear" w:color="auto" w:fill="FFFFFF"/>
            <w:tcMar>
              <w:left w:w="170" w:type="dxa"/>
              <w:right w:w="113" w:type="dxa"/>
            </w:tcMar>
            <w:vAlign w:val="center"/>
          </w:tcPr>
          <w:p w14:paraId="502617BF" w14:textId="2FFAF28A" w:rsidR="00B415ED" w:rsidRPr="007432C4" w:rsidRDefault="00EE020B" w:rsidP="003279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Utrzymanie wskaźnika w obszarze na dotychczasowym poziomie (U1)</w:t>
            </w:r>
            <w:r w:rsidR="007432C4" w:rsidRPr="00AB5DDB">
              <w:t xml:space="preserve"> </w:t>
            </w:r>
            <w:r w:rsidR="007432C4" w:rsidRPr="00AB5DDB">
              <w:rPr>
                <w:rFonts w:ascii="Times New Roman" w:hAnsi="Times New Roman" w:cs="Times New Roman"/>
                <w:sz w:val="24"/>
                <w:szCs w:val="24"/>
              </w:rPr>
              <w:t>z oceną wskaźnika ˃0,50 – 0.70</w:t>
            </w:r>
            <w:r w:rsidRPr="00AB5D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B694F56" w14:textId="2FCB65D4" w:rsidR="00304699" w:rsidRDefault="00DD0D86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E4CB6" w14:textId="24A19BAA" w:rsidR="0019236E" w:rsidRDefault="0019236E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DD8F6A" w14:textId="5CD3BA5C" w:rsidR="0019236E" w:rsidRDefault="0019236E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A147FE" w14:textId="6353BCAE" w:rsidR="0019236E" w:rsidRDefault="0019236E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5111A6" w14:textId="49375F04" w:rsidR="0019236E" w:rsidRDefault="0019236E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44EFD9" w14:textId="2BB2380B" w:rsidR="007432C4" w:rsidRDefault="007432C4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1CBA29" w14:textId="77777777" w:rsidR="007432C4" w:rsidRDefault="007432C4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EE16B4" w14:textId="77777777" w:rsidR="00954E2C" w:rsidRDefault="00954E2C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A4D944" w14:textId="3A2FEE87" w:rsidR="00304699" w:rsidRDefault="00304699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CE1E10" w14:textId="36B64BD9" w:rsidR="0019236E" w:rsidRPr="00D366CB" w:rsidRDefault="0019236E" w:rsidP="0019236E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D366CB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2444C4">
        <w:rPr>
          <w:rFonts w:ascii="Times New Roman" w:hAnsi="Times New Roman" w:cs="Times New Roman"/>
          <w:sz w:val="24"/>
          <w:szCs w:val="24"/>
        </w:rPr>
        <w:t>2</w:t>
      </w:r>
      <w:r w:rsidRPr="00D366CB">
        <w:rPr>
          <w:rFonts w:ascii="Times New Roman" w:hAnsi="Times New Roman" w:cs="Times New Roman"/>
          <w:sz w:val="24"/>
          <w:szCs w:val="24"/>
        </w:rPr>
        <w:t xml:space="preserve"> do Zarządzenia </w:t>
      </w:r>
    </w:p>
    <w:p w14:paraId="466427C0" w14:textId="77777777" w:rsidR="0019236E" w:rsidRPr="00D366CB" w:rsidRDefault="0019236E" w:rsidP="0019236E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D366CB">
        <w:rPr>
          <w:rFonts w:ascii="Times New Roman" w:hAnsi="Times New Roman" w:cs="Times New Roman"/>
          <w:sz w:val="24"/>
          <w:szCs w:val="24"/>
        </w:rPr>
        <w:t xml:space="preserve">Regionalnego Dyrektora Ochrony Środowiska w Bydgoszczy </w:t>
      </w:r>
    </w:p>
    <w:p w14:paraId="0B55C5B9" w14:textId="77777777" w:rsidR="0019236E" w:rsidRPr="00D366CB" w:rsidRDefault="0019236E" w:rsidP="0019236E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D366CB">
        <w:rPr>
          <w:rFonts w:ascii="Times New Roman" w:hAnsi="Times New Roman" w:cs="Times New Roman"/>
          <w:sz w:val="24"/>
          <w:szCs w:val="24"/>
        </w:rPr>
        <w:t>z dnia ………………………….. r.</w:t>
      </w:r>
    </w:p>
    <w:p w14:paraId="748EFCEE" w14:textId="77777777" w:rsidR="0019236E" w:rsidRPr="00D366CB" w:rsidRDefault="0019236E" w:rsidP="0019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73BCD" w14:textId="77777777" w:rsidR="00234CFB" w:rsidRPr="00D366CB" w:rsidRDefault="00234CFB" w:rsidP="00234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6CB">
        <w:rPr>
          <w:rFonts w:ascii="Times New Roman" w:hAnsi="Times New Roman" w:cs="Times New Roman"/>
          <w:b/>
          <w:bCs/>
          <w:sz w:val="24"/>
          <w:szCs w:val="24"/>
        </w:rPr>
        <w:t xml:space="preserve">Działania ochronne ze wskazaniem podmiotów odpowiedzialnych za ich wykonanie </w:t>
      </w:r>
    </w:p>
    <w:p w14:paraId="2C8A358A" w14:textId="78B5A3ED" w:rsidR="0019236E" w:rsidRPr="00D366CB" w:rsidRDefault="00234CFB" w:rsidP="00234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6CB">
        <w:rPr>
          <w:rFonts w:ascii="Times New Roman" w:hAnsi="Times New Roman" w:cs="Times New Roman"/>
          <w:b/>
          <w:bCs/>
          <w:sz w:val="24"/>
          <w:szCs w:val="24"/>
        </w:rPr>
        <w:t>i obszarów ich wdrażania</w:t>
      </w:r>
    </w:p>
    <w:p w14:paraId="686743DA" w14:textId="06C56712" w:rsidR="0019236E" w:rsidRPr="0019236E" w:rsidRDefault="0019236E" w:rsidP="0019236E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1" w:name="_Hlk102549307"/>
    </w:p>
    <w:tbl>
      <w:tblPr>
        <w:tblW w:w="5000" w:type="pct"/>
        <w:tblLook w:val="0000" w:firstRow="0" w:lastRow="0" w:firstColumn="0" w:lastColumn="0" w:noHBand="0" w:noVBand="0"/>
      </w:tblPr>
      <w:tblGrid>
        <w:gridCol w:w="636"/>
        <w:gridCol w:w="2305"/>
        <w:gridCol w:w="4018"/>
        <w:gridCol w:w="3429"/>
        <w:gridCol w:w="3606"/>
      </w:tblGrid>
      <w:tr w:rsidR="00A4172B" w:rsidRPr="00D366CB" w14:paraId="422BC767" w14:textId="69C0B660" w:rsidTr="003940CC">
        <w:trPr>
          <w:trHeight w:val="647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1"/>
          <w:p w14:paraId="75D15D1A" w14:textId="436A6C99" w:rsidR="00A4172B" w:rsidRPr="00D366CB" w:rsidRDefault="00A4172B" w:rsidP="00D366CB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366CB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2F210" w14:textId="0BE54694" w:rsidR="00A4172B" w:rsidRPr="0019236E" w:rsidRDefault="00A4172B" w:rsidP="00D366CB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Przedmiot ochrony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D30EB" w14:textId="77777777" w:rsidR="00A4172B" w:rsidRPr="0019236E" w:rsidRDefault="00A4172B" w:rsidP="00D366CB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Działania ochronne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A90CB" w14:textId="77777777" w:rsidR="00A4172B" w:rsidRPr="0019236E" w:rsidRDefault="00A4172B" w:rsidP="00D366CB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Obszar wdrażania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8101" w14:textId="796D571C" w:rsidR="00A4172B" w:rsidRPr="0019236E" w:rsidRDefault="00A4172B" w:rsidP="00D366CB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Podmiot odpowiedzialny za wykonanie</w:t>
            </w:r>
          </w:p>
        </w:tc>
      </w:tr>
      <w:tr w:rsidR="00A4172B" w:rsidRPr="00D366CB" w14:paraId="6455927A" w14:textId="1D5ED989" w:rsidTr="00665F1F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0BE6" w14:textId="47FD9637" w:rsidR="00A4172B" w:rsidRPr="0019236E" w:rsidRDefault="00A4172B" w:rsidP="0019236E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Dotyczące ochrony czynnej siedlisk przyrodniczych, gatunków zwierząt oraz ich siedlisk oraz związane z utrzymaniem lub modyfikacją metod gospodarowania</w:t>
            </w:r>
            <w:r w:rsidRPr="00D366C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230887" w:rsidRPr="00D366CB" w14:paraId="41F744BE" w14:textId="60F15A0F" w:rsidTr="002B4DDC">
        <w:trPr>
          <w:trHeight w:val="498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</w:tcBorders>
          </w:tcPr>
          <w:p w14:paraId="7F201BEE" w14:textId="307D2E1F" w:rsidR="00230887" w:rsidRPr="00D366CB" w:rsidRDefault="00D86DB2" w:rsidP="0019236E">
            <w:pPr>
              <w:suppressAutoHyphens w:val="0"/>
              <w:snapToGrid w:val="0"/>
              <w:spacing w:before="120" w:after="12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3a.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</w:tcBorders>
          </w:tcPr>
          <w:p w14:paraId="280CA9CB" w14:textId="77777777" w:rsidR="00230887" w:rsidRPr="0019236E" w:rsidRDefault="00230887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1099 Minóg rzeczny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Lampetra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ar-SA"/>
              </w:rPr>
              <w:t>fluviatilis</w:t>
            </w:r>
            <w:proofErr w:type="spellEnd"/>
          </w:p>
          <w:p w14:paraId="08DA93BC" w14:textId="77777777" w:rsidR="00230887" w:rsidRPr="0019236E" w:rsidRDefault="00230887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6144</w:t>
            </w:r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it-IT" w:eastAsia="ar-SA"/>
              </w:rPr>
              <w:t>Kiełb</w:t>
            </w:r>
            <w:r w:rsidRPr="0019236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białopłetwy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Romanogobio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albipinnatus</w:t>
            </w:r>
            <w:proofErr w:type="spellEnd"/>
          </w:p>
          <w:p w14:paraId="4462559C" w14:textId="77777777" w:rsidR="00230887" w:rsidRPr="0019236E" w:rsidRDefault="00230887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1130</w:t>
            </w:r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it-IT" w:eastAsia="ar-SA"/>
              </w:rPr>
              <w:t>Boleń</w:t>
            </w:r>
            <w:r w:rsidRPr="0019236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Aspius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aspius</w:t>
            </w:r>
            <w:proofErr w:type="spellEnd"/>
          </w:p>
          <w:p w14:paraId="0B7B1200" w14:textId="77777777" w:rsidR="00230887" w:rsidRPr="0019236E" w:rsidRDefault="00230887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5339</w:t>
            </w:r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it-IT" w:eastAsia="ar-SA"/>
              </w:rPr>
              <w:t>Różanka</w:t>
            </w:r>
            <w:r w:rsidRPr="0019236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Rhodeus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sericeus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amarus</w:t>
            </w:r>
            <w:proofErr w:type="spellEnd"/>
          </w:p>
          <w:p w14:paraId="643D8C36" w14:textId="77777777" w:rsidR="00230887" w:rsidRPr="0019236E" w:rsidRDefault="00230887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1149</w:t>
            </w:r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it-IT" w:eastAsia="ar-SA"/>
              </w:rPr>
              <w:t>Koza</w:t>
            </w:r>
            <w:r w:rsidRPr="0019236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Cobitis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taenia</w:t>
            </w:r>
            <w:proofErr w:type="spellEnd"/>
          </w:p>
          <w:p w14:paraId="18AEB971" w14:textId="2838D673" w:rsidR="00230887" w:rsidRPr="0019236E" w:rsidRDefault="00230887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1106</w:t>
            </w:r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r w:rsidRPr="0019236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Łosoś </w:t>
            </w: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it-IT" w:eastAsia="ar-SA"/>
              </w:rPr>
              <w:t>atlantycki</w:t>
            </w:r>
            <w:r w:rsidRPr="0019236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Salmo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salar</w:t>
            </w:r>
            <w:proofErr w:type="spellEnd"/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8B92B3" w14:textId="767F5C4C" w:rsidR="00230887" w:rsidRDefault="00360A06" w:rsidP="00554830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60A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Dostosowanie gospodarowania wodami </w:t>
            </w:r>
            <w:r w:rsidR="00954E2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(</w:t>
            </w:r>
            <w:r w:rsidR="00554830" w:rsidRPr="00EF6E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 wyjątkiem działań</w:t>
            </w:r>
            <w:r w:rsidR="005548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o charakterze nagłym - awaryjnym </w:t>
            </w:r>
            <w:r w:rsidR="00554830" w:rsidRPr="00EF6E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związanych z</w:t>
            </w:r>
            <w:r w:rsidR="00954E2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554830" w:rsidRPr="00EF6E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zapewnieniem bezpieczeństwa i ochrony przed</w:t>
            </w:r>
            <w:r w:rsidR="005548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554830" w:rsidRPr="00EF6E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powodzią</w:t>
            </w:r>
            <w:r w:rsidR="00954E2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oraz </w:t>
            </w:r>
            <w:r w:rsidR="00554830" w:rsidRPr="00EF6E8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zaspakajaniem potrzeb użytkowników wód</w:t>
            </w:r>
            <w:r w:rsidR="00954E2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60A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na </w:t>
            </w:r>
            <w:r w:rsidR="005F27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Stopniu Wodnym</w:t>
            </w:r>
            <w:r w:rsidRPr="00360A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we Włocławku</w:t>
            </w:r>
            <w:r w:rsidR="00954E2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  <w:r w:rsidRPr="00360A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do biologii</w:t>
            </w:r>
            <w:r w:rsidR="00E6519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i potrzeb wynikających z ochrony</w:t>
            </w:r>
            <w:r w:rsidRPr="00360A0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ichtiofauny</w:t>
            </w:r>
            <w:r w:rsidR="00BA693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uwzględniając:</w:t>
            </w:r>
          </w:p>
          <w:p w14:paraId="546443D9" w14:textId="580522CC" w:rsidR="00BA693F" w:rsidRDefault="00BA693F" w:rsidP="0019236E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E576C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termin</w:t>
            </w:r>
            <w:r w:rsidR="00DB1A7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okres</w:t>
            </w:r>
            <w:r w:rsidR="00E6519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u</w:t>
            </w:r>
            <w:r w:rsidR="00DB1A7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rozrodu ryb, którego czas trwania przypada od początku marca do końca sierpnia</w:t>
            </w:r>
            <w:r w:rsidR="00E576C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14:paraId="17A8449C" w14:textId="3ECD3FEA" w:rsidR="00996FCC" w:rsidRDefault="00E576CD" w:rsidP="0019236E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E6519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potrzebę </w:t>
            </w:r>
            <w:r w:rsidR="00996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zapewnienia powolnego sposobu zmiany poziomu wody</w:t>
            </w:r>
            <w:r w:rsidR="00B635F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poniżej stopnia</w:t>
            </w:r>
            <w:r w:rsidR="00996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D8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 trakcie modyfikacji przepływów</w:t>
            </w:r>
            <w:r w:rsidR="00996F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zapewniającego możliwość </w:t>
            </w:r>
            <w:r w:rsidR="00D8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opuszczenia przez ryby i minogi strefy koryta narażonej na zmianę </w:t>
            </w:r>
            <w:r w:rsidR="00BC22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poziomu lustra wody (odsłonięcie dna), przyjmując za rekomendowaną maksymalną </w:t>
            </w:r>
            <w:r w:rsidR="00BC22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prędkość zmiany poziomu wody w rzece poniżej stopnia do 10 cm/h</w:t>
            </w:r>
            <w:r w:rsidR="00034F2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(wyeliminowanie gwałtownych zmian poziomu lustra)</w:t>
            </w:r>
            <w:r w:rsidR="00D86D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14:paraId="020CD941" w14:textId="0AA83100" w:rsidR="00E576CD" w:rsidRPr="0019236E" w:rsidRDefault="00D86DB2" w:rsidP="0019236E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BC22B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potrzebę zapewnienia </w:t>
            </w:r>
            <w:r w:rsidR="003F34F0" w:rsidRPr="003F34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przepływu nienaruszalnego</w:t>
            </w:r>
            <w:r w:rsidR="003F34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na poziomie </w:t>
            </w:r>
            <w:proofErr w:type="spellStart"/>
            <w:r w:rsidR="003F34F0" w:rsidRPr="003F34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Qn</w:t>
            </w:r>
            <w:proofErr w:type="spellEnd"/>
            <w:r w:rsidR="003F34F0" w:rsidRPr="003F34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= 350 m</w:t>
            </w:r>
            <w:r w:rsidR="003F34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³/s </w:t>
            </w:r>
            <w:r w:rsidR="003F34F0" w:rsidRPr="003F34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dla przekroju Włocławek</w:t>
            </w:r>
            <w:r w:rsidR="003F34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, eliminując </w:t>
            </w:r>
            <w:r w:rsidR="003F34F0" w:rsidRPr="003F34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całkowite  wstrzymywania przepływu</w:t>
            </w:r>
            <w:r w:rsidR="0055483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3D13D" w14:textId="0584CC66" w:rsidR="00230887" w:rsidRPr="0019236E" w:rsidRDefault="0056688A" w:rsidP="0019236E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Stopień Wodny we Włocławku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50099" w14:textId="77777777" w:rsidR="00230887" w:rsidRDefault="00360A06" w:rsidP="00665F1F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RZGW Warszawa</w:t>
            </w:r>
          </w:p>
          <w:p w14:paraId="2618D3AF" w14:textId="1472B646" w:rsidR="004A3870" w:rsidRPr="0019236E" w:rsidRDefault="004A3870" w:rsidP="00665F1F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PGW WP Zarząd Zlewni we Włocławku</w:t>
            </w:r>
          </w:p>
        </w:tc>
      </w:tr>
      <w:tr w:rsidR="004A3870" w:rsidRPr="00D366CB" w14:paraId="399C9CE1" w14:textId="77777777" w:rsidTr="002B4DDC">
        <w:trPr>
          <w:trHeight w:val="498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</w:tcBorders>
          </w:tcPr>
          <w:p w14:paraId="33249E10" w14:textId="6F1F6B42" w:rsidR="004A3870" w:rsidRDefault="004A3870" w:rsidP="0019236E">
            <w:pPr>
              <w:suppressAutoHyphens w:val="0"/>
              <w:snapToGrid w:val="0"/>
              <w:spacing w:before="120" w:after="12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3b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</w:tcBorders>
          </w:tcPr>
          <w:p w14:paraId="08803412" w14:textId="77777777" w:rsidR="004A3870" w:rsidRPr="004A3870" w:rsidRDefault="004A3870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1099 Minóg rzeczny </w:t>
            </w:r>
            <w:proofErr w:type="spellStart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Lampetra</w:t>
            </w:r>
            <w:proofErr w:type="spellEnd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fluviatilis</w:t>
            </w:r>
            <w:proofErr w:type="spellEnd"/>
          </w:p>
          <w:p w14:paraId="395A3DE1" w14:textId="77777777" w:rsidR="004A3870" w:rsidRPr="004A3870" w:rsidRDefault="004A3870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6144 Kiełb </w:t>
            </w:r>
            <w:proofErr w:type="spellStart"/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białopłe-twy</w:t>
            </w:r>
            <w:proofErr w:type="spellEnd"/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Romanogobio</w:t>
            </w:r>
            <w:proofErr w:type="spellEnd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albipinnatus</w:t>
            </w:r>
            <w:proofErr w:type="spellEnd"/>
          </w:p>
          <w:p w14:paraId="5604A213" w14:textId="77777777" w:rsidR="004A3870" w:rsidRPr="00CA28CD" w:rsidRDefault="004A3870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1130 </w:t>
            </w:r>
            <w:proofErr w:type="spellStart"/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Boleń</w:t>
            </w:r>
            <w:proofErr w:type="spellEnd"/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Aspius</w:t>
            </w:r>
            <w:proofErr w:type="spellEnd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aspius</w:t>
            </w:r>
            <w:proofErr w:type="spellEnd"/>
          </w:p>
          <w:p w14:paraId="0ACA9BBB" w14:textId="77777777" w:rsidR="004A3870" w:rsidRPr="00CA28CD" w:rsidRDefault="004A3870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5339 Różanka </w:t>
            </w:r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Rho-deus </w:t>
            </w:r>
            <w:proofErr w:type="spellStart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sericeus</w:t>
            </w:r>
            <w:proofErr w:type="spellEnd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ama</w:t>
            </w:r>
            <w:proofErr w:type="spellEnd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-rus</w:t>
            </w:r>
          </w:p>
          <w:p w14:paraId="19C50CD5" w14:textId="77777777" w:rsidR="004A3870" w:rsidRPr="00CA28CD" w:rsidRDefault="004A3870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1149 Koza </w:t>
            </w:r>
            <w:proofErr w:type="spellStart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Cobitis</w:t>
            </w:r>
            <w:proofErr w:type="spellEnd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taenia</w:t>
            </w:r>
            <w:proofErr w:type="spellEnd"/>
          </w:p>
          <w:p w14:paraId="1ED0AC53" w14:textId="378A0E30" w:rsidR="004A3870" w:rsidRPr="0019236E" w:rsidRDefault="004A3870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1106 Łosoś atlantycki </w:t>
            </w:r>
            <w:proofErr w:type="spellStart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Salmo</w:t>
            </w:r>
            <w:proofErr w:type="spellEnd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A28C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salar</w:t>
            </w:r>
            <w:proofErr w:type="spellEnd"/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F9DD4" w14:textId="015EF342" w:rsidR="004A3870" w:rsidRPr="00360A06" w:rsidRDefault="0075184B" w:rsidP="002B4DDC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 sytuacji podejmowania</w:t>
            </w:r>
            <w:r w:rsidR="00CA28C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F270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działań </w:t>
            </w:r>
            <w:r w:rsidR="000702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związanych ze zmianą parametrów</w:t>
            </w:r>
            <w:r w:rsid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lub właściwości</w:t>
            </w:r>
            <w:r w:rsidR="0007029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progu podpiętrzającego dolne stanowisko Stopnia Wodnego we Włocławku, np. polegających na zmianie poszycia progu,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należy dostosować przyjęte rozwiązania </w:t>
            </w:r>
            <w:r w:rsidR="00F270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do potrzeb związanych z migracją ryb i minogów, zapewniając </w:t>
            </w:r>
            <w:r w:rsidR="00D77F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niepogorszenie</w:t>
            </w:r>
            <w:r w:rsid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lub poprawę</w:t>
            </w:r>
            <w:r w:rsidR="00D77F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dotychczasowych warunków </w:t>
            </w:r>
            <w:r w:rsidR="00F270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migracji. 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6B844" w14:textId="1E20C33F" w:rsidR="004A3870" w:rsidRDefault="004A3870" w:rsidP="0019236E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Stopień Wodny we Włocławku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82152" w14:textId="77777777" w:rsidR="004A3870" w:rsidRPr="004A3870" w:rsidRDefault="004A3870" w:rsidP="004A3870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RZGW Warszawa</w:t>
            </w:r>
          </w:p>
          <w:p w14:paraId="73D7D1E8" w14:textId="42730940" w:rsidR="004A3870" w:rsidRDefault="004A3870" w:rsidP="004A3870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PGW WP Zarząd Zlewni we </w:t>
            </w:r>
            <w:proofErr w:type="spellStart"/>
            <w:r w:rsidRPr="004A387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Wło-cławku</w:t>
            </w:r>
            <w:proofErr w:type="spellEnd"/>
          </w:p>
        </w:tc>
      </w:tr>
      <w:tr w:rsidR="00E005A6" w:rsidRPr="00D366CB" w14:paraId="5D01A63A" w14:textId="77777777" w:rsidTr="005568F6">
        <w:trPr>
          <w:trHeight w:val="4535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</w:tcBorders>
          </w:tcPr>
          <w:p w14:paraId="3441A3A6" w14:textId="3E6BFC64" w:rsidR="00E005A6" w:rsidRDefault="00E005A6" w:rsidP="0019236E">
            <w:pPr>
              <w:suppressAutoHyphens w:val="0"/>
              <w:snapToGrid w:val="0"/>
              <w:spacing w:before="120" w:after="12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3c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</w:tcBorders>
          </w:tcPr>
          <w:p w14:paraId="6E8E835C" w14:textId="77777777" w:rsidR="00E005A6" w:rsidRPr="00E005A6" w:rsidRDefault="00E005A6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1149 koza </w:t>
            </w:r>
            <w:proofErr w:type="spellStart"/>
            <w:r w:rsidRPr="00E005A6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Cobitis</w:t>
            </w:r>
            <w:proofErr w:type="spellEnd"/>
            <w:r w:rsidRPr="00E005A6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005A6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taenia</w:t>
            </w:r>
            <w:proofErr w:type="spellEnd"/>
            <w:r w:rsidRPr="00E005A6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6C525981" w14:textId="77777777" w:rsidR="00E005A6" w:rsidRPr="00E005A6" w:rsidRDefault="00E005A6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7F173EF5" w14:textId="17FAD45A" w:rsidR="00E005A6" w:rsidRPr="00E005A6" w:rsidRDefault="00E005A6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5339  różanka  </w:t>
            </w:r>
            <w:proofErr w:type="spellStart"/>
            <w:r w:rsidRPr="00E005A6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Rhodeus</w:t>
            </w:r>
            <w:proofErr w:type="spellEnd"/>
            <w:r w:rsidRPr="00E005A6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005A6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amarus</w:t>
            </w:r>
            <w:proofErr w:type="spellEnd"/>
            <w:r w:rsidRPr="00E005A6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39D73B55" w14:textId="77777777" w:rsidR="00E005A6" w:rsidRPr="00E005A6" w:rsidRDefault="00E005A6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552FDD83" w14:textId="0CB13227" w:rsidR="00E005A6" w:rsidRPr="00E005A6" w:rsidRDefault="00E005A6" w:rsidP="002B4DDC">
            <w:pPr>
              <w:suppressAutoHyphens w:val="0"/>
              <w:snapToGri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1130 </w:t>
            </w:r>
            <w:proofErr w:type="spellStart"/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boleń</w:t>
            </w:r>
            <w:proofErr w:type="spellEnd"/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E005A6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Aspius</w:t>
            </w:r>
            <w:proofErr w:type="spellEnd"/>
            <w:r w:rsidRPr="00E005A6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005A6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aspius</w:t>
            </w:r>
            <w:proofErr w:type="spellEnd"/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02F6BF" w14:textId="696DB03D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Wykonanie  </w:t>
            </w:r>
            <w:bookmarkStart w:id="2" w:name="_Hlk104974644"/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ekspertyzy  dot. odtworzenia  połączeń  koryta  rzeki  ze starorzeczami  i  korytami  boczny</w:t>
            </w:r>
            <w:r w:rsidR="00DB485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mi</w:t>
            </w:r>
            <w:bookmarkEnd w:id="2"/>
            <w:r w:rsidR="007E7D4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której z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akres powinien </w:t>
            </w:r>
            <w:r w:rsidR="007E7D4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uwzględniać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:  </w:t>
            </w:r>
          </w:p>
          <w:p w14:paraId="51AFE456" w14:textId="5FF3A28F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1)  </w:t>
            </w:r>
            <w:r w:rsidR="00B52B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aktualną ocenę stanu zachowania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łączności  starorzeczy  z korytem rzeki</w:t>
            </w:r>
            <w:r w:rsidR="00B52B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wraz z danymi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GIS</w:t>
            </w:r>
            <w:r w:rsidR="00B52B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i podziałem starorzeczy 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na kategorie  (izolowane  –  niełączone przy  przepływach  </w:t>
            </w:r>
            <w:proofErr w:type="spellStart"/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Qmax</w:t>
            </w:r>
            <w:proofErr w:type="spellEnd"/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p10%, okazjonalnie połączone – łączone przy przepływach  wyższych  niż  SSQ, często  połączone  -  pozostające  w łączności  przy  SSQ  i  przepływach niższych,  trwale  połączone  – pozostające w łączności przy SNQ)</w:t>
            </w:r>
            <w:r w:rsidR="005568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</w:p>
          <w:p w14:paraId="63D7A16A" w14:textId="03554761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2) </w:t>
            </w:r>
            <w:r w:rsidR="00B52B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w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ytypowanie lokalizacji wdrożenia </w:t>
            </w:r>
          </w:p>
          <w:p w14:paraId="4D6D3C07" w14:textId="5B97B8BC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działań </w:t>
            </w:r>
            <w:r w:rsidR="005568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polegających na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odtworzeni</w:t>
            </w:r>
            <w:r w:rsidR="005568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u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połączeń starorzeczy z korytem rzeki w oparciu o  kryterium  maksymalizacji efektywności ekologicznej możliwych do  wdrożenia  działań</w:t>
            </w:r>
            <w:r w:rsidR="005568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z</w:t>
            </w:r>
            <w:r w:rsidR="005568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uwzględnieniem  innych uwarunkowań  umożliwiających realizację  działań  (m.in.  struktura własnościowa gruntów)</w:t>
            </w:r>
            <w:r w:rsidR="005568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14:paraId="72A4C87C" w14:textId="649692DA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3)  </w:t>
            </w:r>
            <w:r w:rsidR="00B52B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nalizę  stanu  ichtiofauny </w:t>
            </w:r>
          </w:p>
          <w:p w14:paraId="36AC2520" w14:textId="77777777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starorzeczy  wytypowanych  do </w:t>
            </w:r>
          </w:p>
          <w:p w14:paraId="0518FBA5" w14:textId="77777777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wdrożenia  działań  odtworzenia </w:t>
            </w:r>
          </w:p>
          <w:p w14:paraId="2A7A9334" w14:textId="46DCFEFB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połączeń z korytem rzeki</w:t>
            </w:r>
            <w:r w:rsidR="005568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</w:p>
          <w:p w14:paraId="3B6DF673" w14:textId="4F3B33B9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4)  </w:t>
            </w:r>
            <w:r w:rsidR="00B52B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nalizę  aktualnych  warunków </w:t>
            </w:r>
          </w:p>
          <w:p w14:paraId="04947B57" w14:textId="77777777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środowiskowych  starorzeczy </w:t>
            </w:r>
          </w:p>
          <w:p w14:paraId="4F4C58C0" w14:textId="77777777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wytypowanych  do  wdrożenia  działań </w:t>
            </w:r>
          </w:p>
          <w:p w14:paraId="3EF594AB" w14:textId="77777777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odtworzenia  połączeń  z  korytem  pod </w:t>
            </w:r>
          </w:p>
          <w:p w14:paraId="6E553292" w14:textId="77777777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kątem  warunków  siedliskowych  kozy </w:t>
            </w:r>
          </w:p>
          <w:p w14:paraId="5581EBB2" w14:textId="6278040F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 różanki</w:t>
            </w:r>
            <w:r w:rsidR="005568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14:paraId="743BF1CA" w14:textId="78A5AEA9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5)  </w:t>
            </w:r>
            <w:r w:rsidR="00B52BD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o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pracowanie  optymalnego  pod </w:t>
            </w:r>
          </w:p>
          <w:p w14:paraId="3AB7C254" w14:textId="77777777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kątem  efektów  ekologicznych  i </w:t>
            </w:r>
          </w:p>
          <w:p w14:paraId="36A6D261" w14:textId="77777777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kosztów  realizacyjnych  zakresu </w:t>
            </w:r>
          </w:p>
          <w:p w14:paraId="0BE0A9B6" w14:textId="1172765D" w:rsidR="00E005A6" w:rsidRPr="00E005A6" w:rsidRDefault="00E005A6" w:rsidP="00E12124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niezbędnych  działań odtworzeniowych</w:t>
            </w:r>
            <w:r w:rsidR="005568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14:paraId="44DB548D" w14:textId="2CE8D23E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6)  </w:t>
            </w:r>
            <w:r w:rsidR="00E121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rojekt  działań  </w:t>
            </w:r>
            <w:r w:rsidR="00E121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dla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r w:rsidR="00E121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wskazanych </w:t>
            </w:r>
          </w:p>
          <w:p w14:paraId="2D479039" w14:textId="2018A543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lokalizacj</w:t>
            </w:r>
            <w:r w:rsidR="00E121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i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 wraz  z  przedmiarem </w:t>
            </w:r>
          </w:p>
          <w:p w14:paraId="2D749CDF" w14:textId="77777777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robót  i  kosztorysem  inwestorskim </w:t>
            </w:r>
          </w:p>
          <w:p w14:paraId="6DB2D965" w14:textId="24D625D1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realizacji prac odtworzeniowych</w:t>
            </w:r>
            <w:r w:rsidR="005568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014AF55A" w14:textId="54EBFF79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7)  </w:t>
            </w:r>
            <w:r w:rsidR="00E121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</w:t>
            </w: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rognozę  efektu  ekologicznego </w:t>
            </w:r>
          </w:p>
          <w:p w14:paraId="33B32256" w14:textId="77777777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możliwego  do  osiągnięcia  przy </w:t>
            </w:r>
          </w:p>
          <w:p w14:paraId="7A391043" w14:textId="77777777" w:rsidR="00E005A6" w:rsidRP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realizacji  działań  w  konkretnych </w:t>
            </w:r>
          </w:p>
          <w:p w14:paraId="2851CC00" w14:textId="7A31C991" w:rsidR="00E005A6" w:rsidRDefault="00E005A6" w:rsidP="00E005A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005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planowanych lokalizacjach.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BD492" w14:textId="6D0ADDE7" w:rsidR="00E005A6" w:rsidRPr="004A3870" w:rsidRDefault="003940CC" w:rsidP="0019236E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940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W granicach obszaru Natura 2000 Włocławska Dolina Wisły PLH040039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6357D" w14:textId="550BEDAB" w:rsidR="003940CC" w:rsidRPr="003940CC" w:rsidRDefault="003940CC" w:rsidP="003940CC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940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Sprawujący nadzór nad obszarem </w:t>
            </w:r>
          </w:p>
          <w:p w14:paraId="11E6C433" w14:textId="7E6EAC36" w:rsidR="00E005A6" w:rsidRPr="004A3870" w:rsidRDefault="003940CC" w:rsidP="003940CC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940C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Natura 2000</w:t>
            </w:r>
          </w:p>
        </w:tc>
      </w:tr>
      <w:tr w:rsidR="007A565E" w:rsidRPr="00D366CB" w14:paraId="455AE71D" w14:textId="4D7865AD" w:rsidTr="00665F1F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7298" w14:textId="3E2C091A" w:rsidR="007A565E" w:rsidRPr="0019236E" w:rsidRDefault="007A565E" w:rsidP="0019236E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Dotyczące uzupełnienia stanu wiedzy o przedmiotach ochrony i uwarunkowaniach ich ochrony</w:t>
            </w:r>
          </w:p>
        </w:tc>
      </w:tr>
      <w:tr w:rsidR="007A565E" w:rsidRPr="00D366CB" w14:paraId="01114307" w14:textId="49F5F567" w:rsidTr="005568F6">
        <w:trPr>
          <w:trHeight w:val="36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B4083" w14:textId="4293DF20" w:rsidR="007A565E" w:rsidRPr="00D366CB" w:rsidRDefault="00DB485D" w:rsidP="005568F6">
            <w:pPr>
              <w:suppressAutoHyphens w:val="0"/>
              <w:snapToGrid w:val="0"/>
              <w:spacing w:before="120" w:after="12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15a.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EE2E1" w14:textId="77777777" w:rsidR="00DB485D" w:rsidRDefault="007A565E" w:rsidP="005568F6">
            <w:pPr>
              <w:suppressAutoHyphens w:val="0"/>
              <w:snapToGrid w:val="0"/>
              <w:spacing w:before="120" w:after="12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9170 Grąd </w:t>
            </w: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it-IT" w:eastAsia="ar-SA"/>
              </w:rPr>
              <w:t>środkowoeuropejski</w:t>
            </w: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i 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subkontynentalny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(</w:t>
            </w:r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Galio-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Carpinetum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Tilio-Carpinetum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  <w:p w14:paraId="7C477631" w14:textId="5FA015F7" w:rsidR="00DB485D" w:rsidRPr="0019236E" w:rsidRDefault="00DB485D" w:rsidP="005568F6">
            <w:pPr>
              <w:suppressAutoHyphens w:val="0"/>
              <w:snapToGrid w:val="0"/>
              <w:spacing w:before="120" w:after="12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485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91I0 Ciepłolubne dąbrowy </w:t>
            </w:r>
            <w:proofErr w:type="spellStart"/>
            <w:r w:rsidRPr="00DB485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Quercetalia</w:t>
            </w:r>
            <w:proofErr w:type="spellEnd"/>
            <w:r w:rsidRPr="00DB485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B485D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pubescenti-petraeae</w:t>
            </w:r>
            <w:proofErr w:type="spellEnd"/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E406B" w14:textId="56390AEE" w:rsidR="007A565E" w:rsidRPr="0019236E" w:rsidRDefault="007A565E" w:rsidP="005568F6">
            <w:pPr>
              <w:suppressAutoHyphens w:val="0"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NewRoman" w:hAnsi="Times New Roman" w:cs="Times New Roman"/>
                <w:kern w:val="1"/>
                <w:sz w:val="24"/>
                <w:szCs w:val="24"/>
                <w:lang w:eastAsia="ar-SA"/>
              </w:rPr>
              <w:t xml:space="preserve">Ocena stanu zachowania siedlisk wraz z </w:t>
            </w:r>
            <w:r w:rsidRPr="00F77D97">
              <w:rPr>
                <w:rFonts w:ascii="Times New Roman" w:eastAsia="TimesNewRoman" w:hAnsi="Times New Roman" w:cs="Times New Roman"/>
                <w:kern w:val="1"/>
                <w:sz w:val="24"/>
                <w:szCs w:val="24"/>
                <w:lang w:eastAsia="ar-SA"/>
              </w:rPr>
              <w:t>uszczegółowienie</w:t>
            </w:r>
            <w:r w:rsidR="00DB485D">
              <w:rPr>
                <w:rFonts w:ascii="Times New Roman" w:eastAsia="TimesNewRoman" w:hAnsi="Times New Roman" w:cs="Times New Roman"/>
                <w:kern w:val="1"/>
                <w:sz w:val="24"/>
                <w:szCs w:val="24"/>
                <w:lang w:eastAsia="ar-SA"/>
              </w:rPr>
              <w:t>m</w:t>
            </w:r>
            <w:r w:rsidRPr="00F77D97">
              <w:rPr>
                <w:rFonts w:ascii="Times New Roman" w:eastAsia="TimesNewRoman" w:hAnsi="Times New Roman" w:cs="Times New Roman"/>
                <w:kern w:val="1"/>
                <w:sz w:val="24"/>
                <w:szCs w:val="24"/>
                <w:lang w:eastAsia="ar-SA"/>
              </w:rPr>
              <w:t xml:space="preserve"> stanu wiedzy na temat występowania siedliska </w:t>
            </w:r>
            <w:r>
              <w:rPr>
                <w:rFonts w:ascii="Times New Roman" w:eastAsia="TimesNewRoman" w:hAnsi="Times New Roman" w:cs="Times New Roman"/>
                <w:kern w:val="1"/>
                <w:sz w:val="24"/>
                <w:szCs w:val="24"/>
                <w:lang w:eastAsia="ar-SA"/>
              </w:rPr>
              <w:t xml:space="preserve">i określeniem szczegółowych celów ochrony  </w:t>
            </w:r>
            <w:r w:rsidRPr="0019236E">
              <w:rPr>
                <w:rFonts w:ascii="Times New Roman" w:eastAsia="TimesNewRoman" w:hAnsi="Times New Roman" w:cs="Times New Roman"/>
                <w:kern w:val="1"/>
                <w:sz w:val="24"/>
                <w:szCs w:val="24"/>
                <w:lang w:eastAsia="ar-SA"/>
              </w:rPr>
              <w:t>zgodnie z obowiązującą metodyką PMŚ GIOŚ</w:t>
            </w:r>
            <w:r>
              <w:rPr>
                <w:rFonts w:ascii="Times New Roman" w:eastAsia="TimesNewRoman" w:hAnsi="Times New Roman" w:cs="Times New Roman"/>
                <w:kern w:val="1"/>
                <w:sz w:val="24"/>
                <w:szCs w:val="24"/>
                <w:lang w:eastAsia="ar-SA"/>
              </w:rPr>
              <w:t xml:space="preserve"> w obrębie płatów nie objętych </w:t>
            </w:r>
            <w:r w:rsidRPr="0019236E">
              <w:rPr>
                <w:rFonts w:ascii="Times New Roman" w:eastAsia="TimesNewRoman" w:hAnsi="Times New Roman" w:cs="Times New Roman"/>
                <w:kern w:val="1"/>
                <w:sz w:val="24"/>
                <w:szCs w:val="24"/>
                <w:lang w:eastAsia="ar-SA"/>
              </w:rPr>
              <w:t>Uzupełnienie</w:t>
            </w:r>
            <w:r>
              <w:rPr>
                <w:rFonts w:ascii="Times New Roman" w:eastAsia="TimesNewRoman" w:hAnsi="Times New Roman" w:cs="Times New Roman"/>
                <w:kern w:val="1"/>
                <w:sz w:val="24"/>
                <w:szCs w:val="24"/>
                <w:lang w:eastAsia="ar-SA"/>
              </w:rPr>
              <w:t>m Stanu Wiedzy.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231D44" w14:textId="7378DA14" w:rsidR="007A565E" w:rsidRPr="0019236E" w:rsidRDefault="003940CC" w:rsidP="005568F6">
            <w:pPr>
              <w:spacing w:before="120" w:after="12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940C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W granicach rezerwatu przyrody Kulin na terenie obszaru Natura 2000 Włocławska Dolina Wisły PLH040039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2DEC" w14:textId="535A94D1" w:rsidR="007A565E" w:rsidRDefault="007A565E" w:rsidP="005568F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75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Sprawujący nadzór nad obszarem </w:t>
            </w:r>
          </w:p>
          <w:p w14:paraId="7BD4557E" w14:textId="0340A5F4" w:rsidR="007A565E" w:rsidRPr="00DB7505" w:rsidRDefault="007A565E" w:rsidP="005568F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75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Natura 2000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4172B" w:rsidRPr="00D366CB" w14:paraId="608326C9" w14:textId="1BE0C441" w:rsidTr="005568F6">
        <w:trPr>
          <w:trHeight w:val="36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923CD" w14:textId="06F569A2" w:rsidR="00A4172B" w:rsidRPr="00D366CB" w:rsidRDefault="00DB485D" w:rsidP="005568F6">
            <w:pPr>
              <w:suppressAutoHyphens w:val="0"/>
              <w:snapToGrid w:val="0"/>
              <w:spacing w:before="120" w:after="12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15b.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51C7E" w14:textId="58C6C9D0" w:rsidR="00A4172B" w:rsidRPr="0019236E" w:rsidRDefault="00A4172B" w:rsidP="005568F6">
            <w:pPr>
              <w:suppressAutoHyphens w:val="0"/>
              <w:snapToGrid w:val="0"/>
              <w:spacing w:before="120" w:after="120" w:line="240" w:lineRule="auto"/>
              <w:ind w:left="142" w:hanging="1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91E0* Łęgi wierzbowe, topolowe, olszowe i jesionowe (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Salicetum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albo-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fragilis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Populetum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lastRenderedPageBreak/>
              <w:t>albae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Alnenion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9236E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ar-SA"/>
              </w:rPr>
              <w:t>glutinoso-incanae</w:t>
            </w:r>
            <w:proofErr w:type="spellEnd"/>
            <w:r w:rsidRPr="0019236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2C30D" w14:textId="44FC420A" w:rsidR="00A4172B" w:rsidRPr="0019236E" w:rsidRDefault="00A4172B" w:rsidP="005568F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77D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Ocena stanu zachowania siedliska wraz z uszczegółowienie stanu wiedzy na temat występowania siedliska i określeniem szczegółowych celów ochrony  zgodnie z obowiązującą metodyką </w:t>
            </w:r>
            <w:r w:rsidRPr="00F77D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PMŚ GIOŚ w obrębie płatów nie objętych Uzupełnieniem Stanu Wiedzy.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9ED49" w14:textId="7E533882" w:rsidR="00A4172B" w:rsidRPr="0019236E" w:rsidRDefault="003940CC" w:rsidP="005568F6">
            <w:pPr>
              <w:suppressAutoHyphens w:val="0"/>
              <w:spacing w:before="120"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940C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W granicach obszaru Natura 2000 Włocławska Dolina Wisły PLH040039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ED412A" w14:textId="00CCFEE0" w:rsidR="007A565E" w:rsidRDefault="00A4172B" w:rsidP="005568F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75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Sprawujący nadzór</w:t>
            </w:r>
            <w:r w:rsidR="005568F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B75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nad obszarem </w:t>
            </w:r>
          </w:p>
          <w:p w14:paraId="18D5A04C" w14:textId="6CD9F733" w:rsidR="00A4172B" w:rsidRPr="00DB7505" w:rsidRDefault="00A4172B" w:rsidP="005568F6">
            <w:pPr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B75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Natura 2000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5C949B00" w14:textId="77777777" w:rsidR="0019236E" w:rsidRPr="0019236E" w:rsidRDefault="0019236E" w:rsidP="0019236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2AD7C08" w14:textId="11E73979" w:rsidR="0019236E" w:rsidRDefault="0019236E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19236E" w:rsidSect="005E23F2">
          <w:endnotePr>
            <w:numFmt w:val="decimal"/>
          </w:endnotePr>
          <w:pgSz w:w="16838" w:h="11906" w:orient="landscape"/>
          <w:pgMar w:top="1417" w:right="1417" w:bottom="1417" w:left="1417" w:header="0" w:footer="0" w:gutter="0"/>
          <w:cols w:space="708"/>
          <w:formProt w:val="0"/>
          <w:docGrid w:linePitch="360" w:charSpace="4096"/>
        </w:sectPr>
      </w:pPr>
    </w:p>
    <w:p w14:paraId="6F8C4C60" w14:textId="77777777" w:rsidR="006060F6" w:rsidRPr="00356B3C" w:rsidRDefault="006060F6" w:rsidP="006060F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B3C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745AFC61" w14:textId="494C2D63" w:rsidR="006060F6" w:rsidRPr="006060F6" w:rsidRDefault="006060F6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0F8AB" w14:textId="1577B90B" w:rsidR="006060F6" w:rsidRPr="006060F6" w:rsidRDefault="006060F6" w:rsidP="006060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0F6">
        <w:rPr>
          <w:rFonts w:ascii="Times New Roman" w:hAnsi="Times New Roman" w:cs="Times New Roman"/>
          <w:sz w:val="24"/>
          <w:szCs w:val="24"/>
        </w:rPr>
        <w:t xml:space="preserve">Plan zadań ochronnych dla obszaru Natura 2000 </w:t>
      </w:r>
      <w:r w:rsidR="00F85CD4">
        <w:rPr>
          <w:rFonts w:ascii="Times New Roman" w:hAnsi="Times New Roman" w:cs="Times New Roman"/>
          <w:sz w:val="24"/>
          <w:szCs w:val="24"/>
        </w:rPr>
        <w:t>Włocławska</w:t>
      </w:r>
      <w:r>
        <w:rPr>
          <w:rFonts w:ascii="Times New Roman" w:hAnsi="Times New Roman" w:cs="Times New Roman"/>
          <w:sz w:val="24"/>
          <w:szCs w:val="24"/>
        </w:rPr>
        <w:t xml:space="preserve"> Dolina Wisły</w:t>
      </w:r>
      <w:r w:rsidRPr="006060F6">
        <w:rPr>
          <w:rFonts w:ascii="Times New Roman" w:hAnsi="Times New Roman" w:cs="Times New Roman"/>
          <w:sz w:val="24"/>
          <w:szCs w:val="24"/>
        </w:rPr>
        <w:t xml:space="preserve"> PLH0400</w:t>
      </w:r>
      <w:r w:rsidR="00F85CD4">
        <w:rPr>
          <w:rFonts w:ascii="Times New Roman" w:hAnsi="Times New Roman" w:cs="Times New Roman"/>
          <w:sz w:val="24"/>
          <w:szCs w:val="24"/>
        </w:rPr>
        <w:t>39</w:t>
      </w:r>
      <w:r w:rsidRPr="006060F6">
        <w:rPr>
          <w:rFonts w:ascii="Times New Roman" w:hAnsi="Times New Roman" w:cs="Times New Roman"/>
          <w:sz w:val="24"/>
          <w:szCs w:val="24"/>
        </w:rPr>
        <w:t xml:space="preserve"> został ustanowiony zarządzeniem </w:t>
      </w:r>
      <w:bookmarkStart w:id="3" w:name="_Hlk104792565"/>
      <w:r w:rsidRPr="006060F6">
        <w:rPr>
          <w:rFonts w:ascii="Times New Roman" w:hAnsi="Times New Roman" w:cs="Times New Roman"/>
          <w:sz w:val="24"/>
          <w:szCs w:val="24"/>
        </w:rPr>
        <w:t xml:space="preserve">Regionalnego Dyrektora Ochrony Środowiska w Bydgoszczy z dnia </w:t>
      </w:r>
      <w:r w:rsidR="008C78D4">
        <w:rPr>
          <w:rFonts w:ascii="Times New Roman" w:hAnsi="Times New Roman" w:cs="Times New Roman"/>
          <w:sz w:val="24"/>
          <w:szCs w:val="24"/>
        </w:rPr>
        <w:t>20 maja</w:t>
      </w:r>
      <w:r w:rsidRPr="006060F6">
        <w:rPr>
          <w:rFonts w:ascii="Times New Roman" w:hAnsi="Times New Roman" w:cs="Times New Roman"/>
          <w:sz w:val="24"/>
          <w:szCs w:val="24"/>
        </w:rPr>
        <w:t xml:space="preserve"> 20</w:t>
      </w:r>
      <w:r w:rsidR="008C78D4">
        <w:rPr>
          <w:rFonts w:ascii="Times New Roman" w:hAnsi="Times New Roman" w:cs="Times New Roman"/>
          <w:sz w:val="24"/>
          <w:szCs w:val="24"/>
        </w:rPr>
        <w:t>20</w:t>
      </w:r>
      <w:r w:rsidRPr="006060F6">
        <w:rPr>
          <w:rFonts w:ascii="Times New Roman" w:hAnsi="Times New Roman" w:cs="Times New Roman"/>
          <w:sz w:val="24"/>
          <w:szCs w:val="24"/>
        </w:rPr>
        <w:t xml:space="preserve"> r. w sprawie ustanowienia planu zadań ochronnych dla obszaru Natura 2000 </w:t>
      </w:r>
      <w:r w:rsidR="008C78D4">
        <w:rPr>
          <w:rFonts w:ascii="Times New Roman" w:hAnsi="Times New Roman" w:cs="Times New Roman"/>
          <w:sz w:val="24"/>
          <w:szCs w:val="24"/>
        </w:rPr>
        <w:t>Włocławska</w:t>
      </w:r>
      <w:r w:rsidRPr="006060F6">
        <w:rPr>
          <w:rFonts w:ascii="Times New Roman" w:hAnsi="Times New Roman" w:cs="Times New Roman"/>
          <w:sz w:val="24"/>
          <w:szCs w:val="24"/>
        </w:rPr>
        <w:t xml:space="preserve"> Dolina Wisły PLH0400</w:t>
      </w:r>
      <w:r w:rsidR="008C78D4">
        <w:rPr>
          <w:rFonts w:ascii="Times New Roman" w:hAnsi="Times New Roman" w:cs="Times New Roman"/>
          <w:sz w:val="24"/>
          <w:szCs w:val="24"/>
        </w:rPr>
        <w:t>39</w:t>
      </w:r>
      <w:r w:rsidRPr="006060F6">
        <w:rPr>
          <w:rFonts w:ascii="Times New Roman" w:hAnsi="Times New Roman" w:cs="Times New Roman"/>
          <w:sz w:val="24"/>
          <w:szCs w:val="24"/>
        </w:rPr>
        <w:t xml:space="preserve"> (Dz. Urz. Woj. Kuj-Pom. </w:t>
      </w:r>
      <w:r w:rsidR="005568F6">
        <w:rPr>
          <w:rFonts w:ascii="Times New Roman" w:hAnsi="Times New Roman" w:cs="Times New Roman"/>
          <w:sz w:val="24"/>
          <w:szCs w:val="24"/>
        </w:rPr>
        <w:t>z</w:t>
      </w:r>
      <w:r w:rsidR="008C78D4">
        <w:rPr>
          <w:rFonts w:ascii="Times New Roman" w:hAnsi="Times New Roman" w:cs="Times New Roman"/>
          <w:sz w:val="24"/>
          <w:szCs w:val="24"/>
        </w:rPr>
        <w:t xml:space="preserve"> 2020 r. </w:t>
      </w:r>
      <w:r w:rsidRPr="006060F6">
        <w:rPr>
          <w:rFonts w:ascii="Times New Roman" w:hAnsi="Times New Roman" w:cs="Times New Roman"/>
          <w:sz w:val="24"/>
          <w:szCs w:val="24"/>
        </w:rPr>
        <w:t xml:space="preserve">poz. </w:t>
      </w:r>
      <w:r w:rsidR="008C78D4">
        <w:rPr>
          <w:rFonts w:ascii="Times New Roman" w:hAnsi="Times New Roman" w:cs="Times New Roman"/>
          <w:sz w:val="24"/>
          <w:szCs w:val="24"/>
        </w:rPr>
        <w:t>2698</w:t>
      </w:r>
      <w:r w:rsidRPr="006060F6">
        <w:rPr>
          <w:rFonts w:ascii="Times New Roman" w:hAnsi="Times New Roman" w:cs="Times New Roman"/>
          <w:sz w:val="24"/>
          <w:szCs w:val="24"/>
        </w:rPr>
        <w:t>)</w:t>
      </w:r>
      <w:bookmarkEnd w:id="3"/>
      <w:r w:rsidRPr="006060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8BD96" w14:textId="7B6C555C" w:rsidR="0093138D" w:rsidRDefault="0093138D" w:rsidP="009313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38D">
        <w:rPr>
          <w:rFonts w:ascii="Times New Roman" w:hAnsi="Times New Roman" w:cs="Times New Roman"/>
          <w:sz w:val="24"/>
          <w:szCs w:val="24"/>
        </w:rPr>
        <w:t xml:space="preserve">Opracowanie szczegółowych celów ochrony dla przedmiotów ochrony obszaru Natura 2000 </w:t>
      </w:r>
      <w:r w:rsidR="0086008E">
        <w:rPr>
          <w:rFonts w:ascii="Times New Roman" w:hAnsi="Times New Roman" w:cs="Times New Roman"/>
          <w:sz w:val="24"/>
          <w:szCs w:val="24"/>
        </w:rPr>
        <w:t>Włocławska</w:t>
      </w:r>
      <w:r w:rsidRPr="0093138D">
        <w:rPr>
          <w:rFonts w:ascii="Times New Roman" w:hAnsi="Times New Roman" w:cs="Times New Roman"/>
          <w:sz w:val="24"/>
          <w:szCs w:val="24"/>
        </w:rPr>
        <w:t xml:space="preserve"> Dolina Wisły PLH0400</w:t>
      </w:r>
      <w:r w:rsidR="0086008E">
        <w:rPr>
          <w:rFonts w:ascii="Times New Roman" w:hAnsi="Times New Roman" w:cs="Times New Roman"/>
          <w:sz w:val="24"/>
          <w:szCs w:val="24"/>
        </w:rPr>
        <w:t>39</w:t>
      </w:r>
      <w:r w:rsidRPr="0093138D">
        <w:rPr>
          <w:rFonts w:ascii="Times New Roman" w:hAnsi="Times New Roman" w:cs="Times New Roman"/>
          <w:sz w:val="24"/>
          <w:szCs w:val="24"/>
        </w:rPr>
        <w:t xml:space="preserve"> wynika z konieczności zapewnienia warunków utrzymania i odtworzenia ich właściwego stanu ochrony. Cele te muszą być brane pod uwagę przez podmioty sprawujące nadzór nad obszarem Natura 2000, zarządzające gruntami w obszarze Natura 2000 oraz w trakcie prowadzenia ocen wpływu programów i przedsięwzięć na obszar Natura 2000. Cele powinny </w:t>
      </w:r>
      <w:r w:rsidRPr="003A03E8">
        <w:rPr>
          <w:rFonts w:ascii="Times New Roman" w:hAnsi="Times New Roman" w:cs="Times New Roman"/>
          <w:sz w:val="24"/>
          <w:szCs w:val="24"/>
        </w:rPr>
        <w:t>być szczegółowo</w:t>
      </w:r>
      <w:r w:rsidRPr="0093138D">
        <w:rPr>
          <w:rFonts w:ascii="Times New Roman" w:hAnsi="Times New Roman" w:cs="Times New Roman"/>
          <w:sz w:val="24"/>
          <w:szCs w:val="24"/>
        </w:rPr>
        <w:t xml:space="preserve"> określone, aby jednoznacznie oceniać wpływ prognozowanych i realizowanych działań na obszar Natura 2000.</w:t>
      </w:r>
      <w:r w:rsidR="006060F6">
        <w:rPr>
          <w:rFonts w:ascii="Times New Roman" w:hAnsi="Times New Roman" w:cs="Times New Roman"/>
          <w:sz w:val="24"/>
          <w:szCs w:val="24"/>
        </w:rPr>
        <w:tab/>
      </w:r>
    </w:p>
    <w:p w14:paraId="2B778336" w14:textId="329698EC" w:rsidR="0086008E" w:rsidRDefault="0086008E" w:rsidP="009313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295316">
        <w:rPr>
          <w:rFonts w:ascii="Times New Roman" w:hAnsi="Times New Roman" w:cs="Times New Roman"/>
          <w:sz w:val="24"/>
          <w:szCs w:val="24"/>
        </w:rPr>
        <w:t xml:space="preserve">ustalone szczegółowe cele ochrony </w:t>
      </w:r>
      <w:r w:rsidR="00295316" w:rsidRPr="00295316">
        <w:rPr>
          <w:rFonts w:ascii="Times New Roman" w:hAnsi="Times New Roman" w:cs="Times New Roman"/>
          <w:sz w:val="24"/>
          <w:szCs w:val="24"/>
        </w:rPr>
        <w:t>dla przedmiotów ochrony obszaru Natura 2000 Włocławska Dolina Wisły PLH040039</w:t>
      </w:r>
      <w:r w:rsidR="00295316">
        <w:rPr>
          <w:rFonts w:ascii="Times New Roman" w:hAnsi="Times New Roman" w:cs="Times New Roman"/>
          <w:sz w:val="24"/>
          <w:szCs w:val="24"/>
        </w:rPr>
        <w:t xml:space="preserve"> oraz wyniki zrealizowanych projektów dot. uzupełnienia stanu wiedzy</w:t>
      </w:r>
      <w:r w:rsidR="00DD5C08">
        <w:rPr>
          <w:rFonts w:ascii="Times New Roman" w:hAnsi="Times New Roman" w:cs="Times New Roman"/>
          <w:sz w:val="24"/>
          <w:szCs w:val="24"/>
        </w:rPr>
        <w:t xml:space="preserve"> </w:t>
      </w:r>
      <w:r w:rsidR="00295316">
        <w:rPr>
          <w:rFonts w:ascii="Times New Roman" w:hAnsi="Times New Roman" w:cs="Times New Roman"/>
          <w:sz w:val="24"/>
          <w:szCs w:val="24"/>
        </w:rPr>
        <w:t>i ekspertyzy pn. „Ustalenie zasad gospodarowania wodami na Stopniu Wodnym we Włocławku”</w:t>
      </w:r>
      <w:r w:rsidR="00266348">
        <w:rPr>
          <w:rFonts w:ascii="Times New Roman" w:hAnsi="Times New Roman" w:cs="Times New Roman"/>
          <w:sz w:val="24"/>
          <w:szCs w:val="24"/>
        </w:rPr>
        <w:t xml:space="preserve">, stanowią podstawę dla zmiany </w:t>
      </w:r>
      <w:r w:rsidR="00266348" w:rsidRPr="00266348">
        <w:rPr>
          <w:rFonts w:ascii="Times New Roman" w:hAnsi="Times New Roman" w:cs="Times New Roman"/>
          <w:sz w:val="24"/>
          <w:szCs w:val="24"/>
        </w:rPr>
        <w:t>załącznik</w:t>
      </w:r>
      <w:r w:rsidR="00266348">
        <w:rPr>
          <w:rFonts w:ascii="Times New Roman" w:hAnsi="Times New Roman" w:cs="Times New Roman"/>
          <w:sz w:val="24"/>
          <w:szCs w:val="24"/>
        </w:rPr>
        <w:t>a</w:t>
      </w:r>
      <w:r w:rsidR="00266348" w:rsidRPr="00266348">
        <w:rPr>
          <w:rFonts w:ascii="Times New Roman" w:hAnsi="Times New Roman" w:cs="Times New Roman"/>
          <w:sz w:val="24"/>
          <w:szCs w:val="24"/>
        </w:rPr>
        <w:t xml:space="preserve"> nr 5 do zarządzenia</w:t>
      </w:r>
      <w:r w:rsidR="00266348" w:rsidRPr="00266348">
        <w:t xml:space="preserve"> </w:t>
      </w:r>
      <w:r w:rsidR="00266348" w:rsidRPr="00266348">
        <w:rPr>
          <w:rFonts w:ascii="Times New Roman" w:hAnsi="Times New Roman" w:cs="Times New Roman"/>
          <w:sz w:val="24"/>
          <w:szCs w:val="24"/>
        </w:rPr>
        <w:t>Regionalnego Dyrektora Ochrony Środowiska w Bydgoszczy z dnia 20 maja 2020 r. w sprawie ustanowienia planu zadań ochronnych dla obszaru Natura 2000 Włocławska Dolina Wisły PLH040039 (Dz. Urz. Woj. Kuj-Pom. Z 2020 r. poz. 2698)</w:t>
      </w:r>
      <w:r w:rsidR="00266348">
        <w:rPr>
          <w:rFonts w:ascii="Times New Roman" w:hAnsi="Times New Roman" w:cs="Times New Roman"/>
          <w:sz w:val="24"/>
          <w:szCs w:val="24"/>
        </w:rPr>
        <w:t>.</w:t>
      </w:r>
    </w:p>
    <w:p w14:paraId="07CF033D" w14:textId="7AE9885F" w:rsidR="006060F6" w:rsidRDefault="006060F6" w:rsidP="009313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0F6">
        <w:rPr>
          <w:rFonts w:ascii="Times New Roman" w:hAnsi="Times New Roman" w:cs="Times New Roman"/>
          <w:sz w:val="24"/>
          <w:szCs w:val="24"/>
        </w:rPr>
        <w:t>Regionalny Dyrektor Ochrony Środowiska w Bydgoszczy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B3C">
        <w:rPr>
          <w:rFonts w:ascii="Times New Roman" w:hAnsi="Times New Roman" w:cs="Times New Roman"/>
          <w:sz w:val="24"/>
          <w:szCs w:val="24"/>
        </w:rPr>
        <w:t xml:space="preserve">(zwany dalej: RDOŚ w Bydgoszczy) </w:t>
      </w:r>
      <w:r>
        <w:rPr>
          <w:rFonts w:ascii="Times New Roman" w:hAnsi="Times New Roman" w:cs="Times New Roman"/>
          <w:sz w:val="24"/>
          <w:szCs w:val="24"/>
        </w:rPr>
        <w:t xml:space="preserve">zrealizował m.in. uzupełnienie stanu wiedzy </w:t>
      </w:r>
      <w:r w:rsidR="005B11BF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następujących przedmiot</w:t>
      </w:r>
      <w:r w:rsidR="005B11BF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ochrony:</w:t>
      </w:r>
    </w:p>
    <w:p w14:paraId="1BB1AB83" w14:textId="453CEBC5" w:rsidR="0078493D" w:rsidRDefault="0078493D" w:rsidP="00606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minóg rzeczny, łosoś atlantycki,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boleń</w:t>
      </w:r>
      <w:proofErr w:type="spellEnd"/>
      <w:r>
        <w:rPr>
          <w:rFonts w:ascii="Times New Roman" w:hAnsi="Times New Roman" w:cs="Times New Roman"/>
          <w:sz w:val="24"/>
          <w:szCs w:val="24"/>
        </w:rPr>
        <w:t>, koza</w:t>
      </w:r>
      <w:r w:rsidR="007D17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różanka</w:t>
      </w:r>
      <w:r w:rsidR="005B53E9">
        <w:rPr>
          <w:rFonts w:ascii="Times New Roman" w:hAnsi="Times New Roman" w:cs="Times New Roman"/>
          <w:sz w:val="24"/>
          <w:szCs w:val="24"/>
        </w:rPr>
        <w:t xml:space="preserve">, kiełb </w:t>
      </w:r>
      <w:proofErr w:type="spellStart"/>
      <w:r w:rsidR="005B53E9">
        <w:rPr>
          <w:rFonts w:ascii="Times New Roman" w:hAnsi="Times New Roman" w:cs="Times New Roman"/>
          <w:sz w:val="24"/>
          <w:szCs w:val="24"/>
        </w:rPr>
        <w:t>białopłetwy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opracowanie pn.: </w:t>
      </w:r>
      <w:r w:rsidR="008A21E0" w:rsidRPr="008A21E0">
        <w:rPr>
          <w:rFonts w:ascii="Times New Roman" w:hAnsi="Times New Roman" w:cs="Times New Roman"/>
          <w:sz w:val="24"/>
          <w:szCs w:val="24"/>
        </w:rPr>
        <w:t>„Uzupełnienie stanu wiedzy na obszarze Natura 2000 Włocławska Dolina Wisły PLH040039 – ryby i minogi</w:t>
      </w:r>
      <w:r w:rsidR="008A21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(Eco-</w:t>
      </w:r>
      <w:proofErr w:type="spellStart"/>
      <w:r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A21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5D5F796" w14:textId="00C16A36" w:rsidR="008A21E0" w:rsidRDefault="0078493D" w:rsidP="008A21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- 6510 niżowe i górskie świeże łąki użytkowane ekstensywnie</w:t>
      </w:r>
      <w:r w:rsidR="008A21E0">
        <w:rPr>
          <w:rFonts w:ascii="Times New Roman" w:hAnsi="Times New Roman" w:cs="Times New Roman"/>
          <w:sz w:val="24"/>
          <w:szCs w:val="24"/>
        </w:rPr>
        <w:t xml:space="preserve">; </w:t>
      </w:r>
      <w:r w:rsidR="008A21E0" w:rsidRPr="008A21E0">
        <w:rPr>
          <w:rFonts w:ascii="Times New Roman" w:hAnsi="Times New Roman" w:cs="Times New Roman"/>
          <w:sz w:val="24"/>
          <w:szCs w:val="24"/>
        </w:rPr>
        <w:t>9170 Grąd środkowoeuropejski</w:t>
      </w:r>
      <w:r w:rsidR="008A21E0">
        <w:rPr>
          <w:rFonts w:ascii="Times New Roman" w:hAnsi="Times New Roman" w:cs="Times New Roman"/>
          <w:sz w:val="24"/>
          <w:szCs w:val="24"/>
        </w:rPr>
        <w:t xml:space="preserve"> </w:t>
      </w:r>
      <w:r w:rsidR="008A21E0" w:rsidRPr="008A21E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8A21E0" w:rsidRPr="008A21E0">
        <w:rPr>
          <w:rFonts w:ascii="Times New Roman" w:hAnsi="Times New Roman" w:cs="Times New Roman"/>
          <w:sz w:val="24"/>
          <w:szCs w:val="24"/>
        </w:rPr>
        <w:t>subkontynentalny</w:t>
      </w:r>
      <w:proofErr w:type="spellEnd"/>
      <w:r w:rsidR="008A21E0">
        <w:rPr>
          <w:rFonts w:ascii="Times New Roman" w:hAnsi="Times New Roman" w:cs="Times New Roman"/>
          <w:sz w:val="24"/>
          <w:szCs w:val="24"/>
        </w:rPr>
        <w:t xml:space="preserve">; 91E0 </w:t>
      </w:r>
      <w:r w:rsidR="008A21E0" w:rsidRPr="005B11BF">
        <w:rPr>
          <w:rFonts w:ascii="Times New Roman" w:hAnsi="Times New Roman" w:cs="Times New Roman"/>
          <w:sz w:val="24"/>
          <w:szCs w:val="24"/>
        </w:rPr>
        <w:t>Łęgi wierzbowe, topolowe, olszowe i jesionowe</w:t>
      </w:r>
      <w:r w:rsidR="008A21E0">
        <w:rPr>
          <w:rFonts w:ascii="Times New Roman" w:hAnsi="Times New Roman" w:cs="Times New Roman"/>
          <w:sz w:val="24"/>
          <w:szCs w:val="24"/>
        </w:rPr>
        <w:t xml:space="preserve">; </w:t>
      </w:r>
      <w:r w:rsidR="008A21E0" w:rsidRPr="005B11BF">
        <w:rPr>
          <w:rFonts w:ascii="Times New Roman" w:hAnsi="Times New Roman" w:cs="Times New Roman"/>
          <w:sz w:val="24"/>
          <w:szCs w:val="24"/>
        </w:rPr>
        <w:t xml:space="preserve"> </w:t>
      </w:r>
      <w:r w:rsidR="008A21E0" w:rsidRPr="008A21E0">
        <w:rPr>
          <w:rFonts w:ascii="Times New Roman" w:hAnsi="Times New Roman" w:cs="Times New Roman"/>
          <w:sz w:val="24"/>
          <w:szCs w:val="24"/>
        </w:rPr>
        <w:t>91I0 Ciepłolubne dąbrowy</w:t>
      </w:r>
      <w:r w:rsidR="00DD5C08">
        <w:rPr>
          <w:rFonts w:ascii="Times New Roman" w:hAnsi="Times New Roman" w:cs="Times New Roman"/>
          <w:sz w:val="24"/>
          <w:szCs w:val="24"/>
        </w:rPr>
        <w:t xml:space="preserve">, – opracowanie pn.: </w:t>
      </w:r>
      <w:r w:rsidR="00DD5C08" w:rsidRPr="00DD5C08">
        <w:rPr>
          <w:rFonts w:ascii="Times New Roman" w:hAnsi="Times New Roman" w:cs="Times New Roman"/>
          <w:sz w:val="24"/>
          <w:szCs w:val="24"/>
        </w:rPr>
        <w:t xml:space="preserve">„Uzupełnienie stanu wiedzy </w:t>
      </w:r>
      <w:r w:rsidR="00DD5C08">
        <w:rPr>
          <w:rFonts w:ascii="Times New Roman" w:hAnsi="Times New Roman" w:cs="Times New Roman"/>
          <w:sz w:val="24"/>
          <w:szCs w:val="24"/>
        </w:rPr>
        <w:t>dla</w:t>
      </w:r>
      <w:r w:rsidR="00DD5C08" w:rsidRPr="00DD5C08">
        <w:rPr>
          <w:rFonts w:ascii="Times New Roman" w:hAnsi="Times New Roman" w:cs="Times New Roman"/>
          <w:sz w:val="24"/>
          <w:szCs w:val="24"/>
        </w:rPr>
        <w:t xml:space="preserve"> obszar</w:t>
      </w:r>
      <w:r w:rsidR="00DD5C08">
        <w:rPr>
          <w:rFonts w:ascii="Times New Roman" w:hAnsi="Times New Roman" w:cs="Times New Roman"/>
          <w:sz w:val="24"/>
          <w:szCs w:val="24"/>
        </w:rPr>
        <w:t>u</w:t>
      </w:r>
      <w:r w:rsidR="00DD5C08" w:rsidRPr="00DD5C08">
        <w:rPr>
          <w:rFonts w:ascii="Times New Roman" w:hAnsi="Times New Roman" w:cs="Times New Roman"/>
          <w:sz w:val="24"/>
          <w:szCs w:val="24"/>
        </w:rPr>
        <w:t xml:space="preserve"> Natura 2000 Włocławska Dolina Wisły PLH040039 – </w:t>
      </w:r>
      <w:r w:rsidR="00DD5C08">
        <w:rPr>
          <w:rFonts w:ascii="Times New Roman" w:hAnsi="Times New Roman" w:cs="Times New Roman"/>
          <w:sz w:val="24"/>
          <w:szCs w:val="24"/>
        </w:rPr>
        <w:t xml:space="preserve">siedliska </w:t>
      </w:r>
      <w:r w:rsidR="00DD5C08" w:rsidRPr="00DD5C08">
        <w:rPr>
          <w:rFonts w:ascii="Times New Roman" w:hAnsi="Times New Roman" w:cs="Times New Roman"/>
          <w:sz w:val="24"/>
          <w:szCs w:val="24"/>
        </w:rPr>
        <w:t>(Eco-</w:t>
      </w:r>
      <w:proofErr w:type="spellStart"/>
      <w:r w:rsidR="00DD5C08" w:rsidRPr="00DD5C08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="00DD5C08" w:rsidRPr="00DD5C08">
        <w:rPr>
          <w:rFonts w:ascii="Times New Roman" w:hAnsi="Times New Roman" w:cs="Times New Roman"/>
          <w:sz w:val="24"/>
          <w:szCs w:val="24"/>
        </w:rPr>
        <w:t xml:space="preserve"> 202</w:t>
      </w:r>
      <w:r w:rsidR="00DD5C08">
        <w:rPr>
          <w:rFonts w:ascii="Times New Roman" w:hAnsi="Times New Roman" w:cs="Times New Roman"/>
          <w:sz w:val="24"/>
          <w:szCs w:val="24"/>
        </w:rPr>
        <w:t>1</w:t>
      </w:r>
      <w:r w:rsidR="00DD5C08" w:rsidRPr="00DD5C08">
        <w:rPr>
          <w:rFonts w:ascii="Times New Roman" w:hAnsi="Times New Roman" w:cs="Times New Roman"/>
          <w:sz w:val="24"/>
          <w:szCs w:val="24"/>
        </w:rPr>
        <w:t>)</w:t>
      </w:r>
      <w:r w:rsidR="00DD5C08">
        <w:rPr>
          <w:rFonts w:ascii="Times New Roman" w:hAnsi="Times New Roman" w:cs="Times New Roman"/>
          <w:sz w:val="24"/>
          <w:szCs w:val="24"/>
        </w:rPr>
        <w:t>.</w:t>
      </w:r>
    </w:p>
    <w:p w14:paraId="6D7645E9" w14:textId="058B2B45" w:rsidR="006060F6" w:rsidRPr="006060F6" w:rsidRDefault="00DD5C08" w:rsidP="005568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Pr="00DD5C08">
        <w:rPr>
          <w:rFonts w:ascii="Times New Roman" w:hAnsi="Times New Roman" w:cs="Times New Roman"/>
          <w:sz w:val="24"/>
          <w:szCs w:val="24"/>
        </w:rPr>
        <w:t xml:space="preserve">Regionalny Dyrektor Ochrony Środowiska w Bydgoszczy </w:t>
      </w:r>
      <w:r>
        <w:rPr>
          <w:rFonts w:ascii="Times New Roman" w:hAnsi="Times New Roman" w:cs="Times New Roman"/>
          <w:sz w:val="24"/>
          <w:szCs w:val="24"/>
        </w:rPr>
        <w:t xml:space="preserve">w roku 2020 wykonał ekspertyzę </w:t>
      </w:r>
      <w:r w:rsidRPr="00DD5C08">
        <w:rPr>
          <w:rFonts w:ascii="Times New Roman" w:hAnsi="Times New Roman" w:cs="Times New Roman"/>
          <w:sz w:val="24"/>
          <w:szCs w:val="24"/>
        </w:rPr>
        <w:t>pn. „Ustalenie zasad gospodarowania wodami na Stopniu Wodnym we Włocławku”</w:t>
      </w:r>
      <w:r w:rsidR="0083309B">
        <w:rPr>
          <w:rFonts w:ascii="Times New Roman" w:hAnsi="Times New Roman" w:cs="Times New Roman"/>
          <w:sz w:val="24"/>
          <w:szCs w:val="24"/>
        </w:rPr>
        <w:t xml:space="preserve"> (Pracownia Badań i Analiz Przyrodniczych Dr</w:t>
      </w:r>
      <w:r w:rsidR="00667484">
        <w:rPr>
          <w:rFonts w:ascii="Times New Roman" w:hAnsi="Times New Roman" w:cs="Times New Roman"/>
          <w:sz w:val="24"/>
          <w:szCs w:val="24"/>
        </w:rPr>
        <w:t xml:space="preserve"> Dariusz </w:t>
      </w:r>
      <w:proofErr w:type="spellStart"/>
      <w:r w:rsidR="00667484">
        <w:rPr>
          <w:rFonts w:ascii="Times New Roman" w:hAnsi="Times New Roman" w:cs="Times New Roman"/>
          <w:sz w:val="24"/>
          <w:szCs w:val="24"/>
        </w:rPr>
        <w:t>Płąchocki</w:t>
      </w:r>
      <w:proofErr w:type="spellEnd"/>
      <w:r w:rsidR="00667484">
        <w:rPr>
          <w:rFonts w:ascii="Times New Roman" w:hAnsi="Times New Roman" w:cs="Times New Roman"/>
          <w:sz w:val="24"/>
          <w:szCs w:val="24"/>
        </w:rPr>
        <w:t xml:space="preserve"> 2020)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832473" w14:textId="0471F1F4" w:rsidR="00356B3C" w:rsidRDefault="006060F6" w:rsidP="00356B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0F6">
        <w:rPr>
          <w:rFonts w:ascii="Times New Roman" w:hAnsi="Times New Roman" w:cs="Times New Roman"/>
          <w:sz w:val="24"/>
          <w:szCs w:val="24"/>
        </w:rPr>
        <w:t>W związku z powyższym zdecydowano o uszczegółowieniu uprzednio określon</w:t>
      </w:r>
      <w:r w:rsidR="00356B3C">
        <w:rPr>
          <w:rFonts w:ascii="Times New Roman" w:hAnsi="Times New Roman" w:cs="Times New Roman"/>
          <w:sz w:val="24"/>
          <w:szCs w:val="24"/>
        </w:rPr>
        <w:t>ych</w:t>
      </w:r>
      <w:r w:rsidRPr="006060F6">
        <w:rPr>
          <w:rFonts w:ascii="Times New Roman" w:hAnsi="Times New Roman" w:cs="Times New Roman"/>
          <w:sz w:val="24"/>
          <w:szCs w:val="24"/>
        </w:rPr>
        <w:t xml:space="preserve"> cel</w:t>
      </w:r>
      <w:r w:rsidR="00356B3C">
        <w:rPr>
          <w:rFonts w:ascii="Times New Roman" w:hAnsi="Times New Roman" w:cs="Times New Roman"/>
          <w:sz w:val="24"/>
          <w:szCs w:val="24"/>
        </w:rPr>
        <w:t>ów</w:t>
      </w:r>
      <w:r w:rsidRPr="006060F6">
        <w:rPr>
          <w:rFonts w:ascii="Times New Roman" w:hAnsi="Times New Roman" w:cs="Times New Roman"/>
          <w:sz w:val="24"/>
          <w:szCs w:val="24"/>
        </w:rPr>
        <w:t xml:space="preserve"> działań ochronnych </w:t>
      </w:r>
      <w:r w:rsidR="00356B3C">
        <w:rPr>
          <w:rFonts w:ascii="Times New Roman" w:hAnsi="Times New Roman" w:cs="Times New Roman"/>
          <w:sz w:val="24"/>
          <w:szCs w:val="24"/>
        </w:rPr>
        <w:t xml:space="preserve">uwzględniając wyniki przeprowadzonych badań, o których mowa powyżej. Cele te w przypadku </w:t>
      </w:r>
      <w:r w:rsidR="0083309B">
        <w:rPr>
          <w:rFonts w:ascii="Times New Roman" w:hAnsi="Times New Roman" w:cs="Times New Roman"/>
          <w:sz w:val="24"/>
          <w:szCs w:val="24"/>
        </w:rPr>
        <w:t>10</w:t>
      </w:r>
      <w:r w:rsidR="00356B3C">
        <w:rPr>
          <w:rFonts w:ascii="Times New Roman" w:hAnsi="Times New Roman" w:cs="Times New Roman"/>
          <w:sz w:val="24"/>
          <w:szCs w:val="24"/>
        </w:rPr>
        <w:t xml:space="preserve"> z ogólnej liczby 1</w:t>
      </w:r>
      <w:r w:rsidR="0083309B">
        <w:rPr>
          <w:rFonts w:ascii="Times New Roman" w:hAnsi="Times New Roman" w:cs="Times New Roman"/>
          <w:sz w:val="24"/>
          <w:szCs w:val="24"/>
        </w:rPr>
        <w:t>2</w:t>
      </w:r>
      <w:r w:rsidR="00356B3C">
        <w:rPr>
          <w:rFonts w:ascii="Times New Roman" w:hAnsi="Times New Roman" w:cs="Times New Roman"/>
          <w:sz w:val="24"/>
          <w:szCs w:val="24"/>
        </w:rPr>
        <w:t xml:space="preserve"> przedmiotów ochrony dotyczyły uzupełnienia stanu wiedzy, co po jego zrealizowaniu wymagało przeprowadzenia zmiany.</w:t>
      </w:r>
    </w:p>
    <w:p w14:paraId="0A3EE44B" w14:textId="4B850222" w:rsidR="0083309B" w:rsidRDefault="00B5004A" w:rsidP="00356B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823F87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dwóch przedmiotów ochrony, tj.: łososia i minoga rzecznego,</w:t>
      </w:r>
      <w:r w:rsidR="00C42222">
        <w:rPr>
          <w:rFonts w:ascii="Times New Roman" w:hAnsi="Times New Roman" w:cs="Times New Roman"/>
          <w:sz w:val="24"/>
          <w:szCs w:val="24"/>
        </w:rPr>
        <w:t xml:space="preserve"> populacji migrujących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3CE">
        <w:rPr>
          <w:rFonts w:ascii="Times New Roman" w:hAnsi="Times New Roman" w:cs="Times New Roman"/>
          <w:sz w:val="24"/>
          <w:szCs w:val="24"/>
        </w:rPr>
        <w:t xml:space="preserve">w obszarze </w:t>
      </w:r>
      <w:r w:rsidR="0083309B">
        <w:rPr>
          <w:rFonts w:ascii="Times New Roman" w:hAnsi="Times New Roman" w:cs="Times New Roman"/>
          <w:sz w:val="24"/>
          <w:szCs w:val="24"/>
        </w:rPr>
        <w:t>Włocławska</w:t>
      </w:r>
      <w:r w:rsidR="000543CE">
        <w:rPr>
          <w:rFonts w:ascii="Times New Roman" w:hAnsi="Times New Roman" w:cs="Times New Roman"/>
          <w:sz w:val="24"/>
          <w:szCs w:val="24"/>
        </w:rPr>
        <w:t xml:space="preserve"> Dolina Wisły</w:t>
      </w:r>
      <w:r w:rsidR="0083309B" w:rsidRPr="0083309B">
        <w:t xml:space="preserve"> </w:t>
      </w:r>
      <w:r w:rsidR="0083309B" w:rsidRPr="0083309B">
        <w:rPr>
          <w:rFonts w:ascii="Times New Roman" w:hAnsi="Times New Roman" w:cs="Times New Roman"/>
          <w:sz w:val="24"/>
          <w:szCs w:val="24"/>
        </w:rPr>
        <w:t>PLH040039</w:t>
      </w:r>
      <w:r w:rsidR="00823F87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823F87" w:rsidRPr="00823F87">
        <w:rPr>
          <w:rFonts w:ascii="Times New Roman" w:hAnsi="Times New Roman" w:cs="Times New Roman"/>
          <w:sz w:val="24"/>
          <w:szCs w:val="24"/>
        </w:rPr>
        <w:t>opracowani</w:t>
      </w:r>
      <w:r w:rsidR="00823F87">
        <w:rPr>
          <w:rFonts w:ascii="Times New Roman" w:hAnsi="Times New Roman" w:cs="Times New Roman"/>
          <w:sz w:val="24"/>
          <w:szCs w:val="24"/>
        </w:rPr>
        <w:t>a</w:t>
      </w:r>
      <w:r w:rsidR="00823F87" w:rsidRPr="00823F87">
        <w:rPr>
          <w:rFonts w:ascii="Times New Roman" w:hAnsi="Times New Roman" w:cs="Times New Roman"/>
          <w:sz w:val="24"/>
          <w:szCs w:val="24"/>
        </w:rPr>
        <w:t xml:space="preserve"> pn.: </w:t>
      </w:r>
      <w:r w:rsidR="0083309B" w:rsidRPr="0083309B">
        <w:rPr>
          <w:rFonts w:ascii="Times New Roman" w:hAnsi="Times New Roman" w:cs="Times New Roman"/>
          <w:sz w:val="24"/>
          <w:szCs w:val="24"/>
        </w:rPr>
        <w:t>„Uzupełnienie stanu wiedzy na obszarze Natura 2000 Włocławska Dolina Wisły PLH040039 – ryby i minogi (Eco-</w:t>
      </w:r>
      <w:proofErr w:type="spellStart"/>
      <w:r w:rsidR="0083309B" w:rsidRPr="0083309B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="0083309B" w:rsidRPr="0083309B">
        <w:rPr>
          <w:rFonts w:ascii="Times New Roman" w:hAnsi="Times New Roman" w:cs="Times New Roman"/>
          <w:sz w:val="24"/>
          <w:szCs w:val="24"/>
        </w:rPr>
        <w:t xml:space="preserve"> 2022) </w:t>
      </w:r>
      <w:r w:rsidR="0083309B">
        <w:rPr>
          <w:rFonts w:ascii="Times New Roman" w:hAnsi="Times New Roman" w:cs="Times New Roman"/>
          <w:sz w:val="24"/>
          <w:szCs w:val="24"/>
        </w:rPr>
        <w:t>oraz danych źródłowych (opracowań, badań i ekspertyz):</w:t>
      </w:r>
    </w:p>
    <w:p w14:paraId="6651F396" w14:textId="70FAB6AD" w:rsidR="0083309B" w:rsidRDefault="0083309B" w:rsidP="00356B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41782" w14:textId="77777777" w:rsidR="0083309B" w:rsidRDefault="0083309B" w:rsidP="008330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9601F" w14:textId="77777777" w:rsidR="0083309B" w:rsidRDefault="0083309B" w:rsidP="008330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23F87" w:rsidRPr="00823F87">
        <w:rPr>
          <w:rFonts w:ascii="Times New Roman" w:hAnsi="Times New Roman" w:cs="Times New Roman"/>
          <w:sz w:val="24"/>
          <w:szCs w:val="24"/>
        </w:rPr>
        <w:t>„Uzupełnienie stanu wiedzy w zakresie występowania i stanu ochrony gatunków ryb i minogów będących przedmiotami ochrony w obszarach Natura 2000: Nieszawska Dolina Wisły PLH040012, Dybowska Dolina Wisły PLH040011, Solecka Dolina Wisły PLH040003” (Eco-</w:t>
      </w:r>
      <w:proofErr w:type="spellStart"/>
      <w:r w:rsidR="00823F87" w:rsidRPr="00823F87">
        <w:rPr>
          <w:rFonts w:ascii="Times New Roman" w:hAnsi="Times New Roman" w:cs="Times New Roman"/>
          <w:sz w:val="24"/>
          <w:szCs w:val="24"/>
        </w:rPr>
        <w:t>Analyse</w:t>
      </w:r>
      <w:proofErr w:type="spellEnd"/>
      <w:r w:rsidR="00823F87" w:rsidRPr="00823F87">
        <w:rPr>
          <w:rFonts w:ascii="Times New Roman" w:hAnsi="Times New Roman" w:cs="Times New Roman"/>
          <w:sz w:val="24"/>
          <w:szCs w:val="24"/>
        </w:rPr>
        <w:t xml:space="preserve"> 2020)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07017E" w14:textId="1FECB559" w:rsidR="00B5004A" w:rsidRDefault="0083309B" w:rsidP="008330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83309B">
        <w:rPr>
          <w:rFonts w:ascii="Times New Roman" w:hAnsi="Times New Roman" w:cs="Times New Roman"/>
          <w:sz w:val="24"/>
          <w:szCs w:val="24"/>
        </w:rPr>
        <w:t>„Ustalenie zasad gospodarowania wodami na Stopniu Wodnym we Włocławku”</w:t>
      </w:r>
      <w:r w:rsidR="00667484">
        <w:rPr>
          <w:rFonts w:ascii="Times New Roman" w:hAnsi="Times New Roman" w:cs="Times New Roman"/>
          <w:sz w:val="24"/>
          <w:szCs w:val="24"/>
        </w:rPr>
        <w:t xml:space="preserve"> </w:t>
      </w:r>
      <w:r w:rsidR="00667484" w:rsidRPr="00667484">
        <w:rPr>
          <w:rFonts w:ascii="Times New Roman" w:hAnsi="Times New Roman" w:cs="Times New Roman"/>
          <w:sz w:val="24"/>
          <w:szCs w:val="24"/>
        </w:rPr>
        <w:t xml:space="preserve">(Pracownia Badań i Analiz Przyrodniczych Dr Dariusz </w:t>
      </w:r>
      <w:proofErr w:type="spellStart"/>
      <w:r w:rsidR="00667484" w:rsidRPr="00667484">
        <w:rPr>
          <w:rFonts w:ascii="Times New Roman" w:hAnsi="Times New Roman" w:cs="Times New Roman"/>
          <w:sz w:val="24"/>
          <w:szCs w:val="24"/>
        </w:rPr>
        <w:t>Płąchocki</w:t>
      </w:r>
      <w:proofErr w:type="spellEnd"/>
      <w:r w:rsidR="00667484" w:rsidRPr="00667484">
        <w:rPr>
          <w:rFonts w:ascii="Times New Roman" w:hAnsi="Times New Roman" w:cs="Times New Roman"/>
          <w:sz w:val="24"/>
          <w:szCs w:val="24"/>
        </w:rPr>
        <w:t xml:space="preserve"> 2020)</w:t>
      </w:r>
      <w:r w:rsidR="00667484">
        <w:rPr>
          <w:rFonts w:ascii="Times New Roman" w:hAnsi="Times New Roman" w:cs="Times New Roman"/>
          <w:sz w:val="24"/>
          <w:szCs w:val="24"/>
        </w:rPr>
        <w:t>;</w:t>
      </w:r>
    </w:p>
    <w:p w14:paraId="0B38EFE1" w14:textId="77777777" w:rsidR="00823F87" w:rsidRPr="00823F87" w:rsidRDefault="00823F87" w:rsidP="00823F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F87">
        <w:rPr>
          <w:rFonts w:ascii="Times New Roman" w:hAnsi="Times New Roman" w:cs="Times New Roman"/>
          <w:sz w:val="24"/>
          <w:szCs w:val="24"/>
        </w:rPr>
        <w:t>„Raport z oceną wyników badań migracji ryb przez przepławkę na SW Włocławek przed przebudową” Instytut Rybactwa Śródlądowego (2014);</w:t>
      </w:r>
    </w:p>
    <w:p w14:paraId="22574748" w14:textId="2EBFD561" w:rsidR="00823F87" w:rsidRPr="00823F87" w:rsidRDefault="00823F87" w:rsidP="00823F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F87">
        <w:rPr>
          <w:rFonts w:ascii="Times New Roman" w:hAnsi="Times New Roman" w:cs="Times New Roman"/>
          <w:sz w:val="24"/>
          <w:szCs w:val="24"/>
        </w:rPr>
        <w:t>„Ichtiofauna systemu rzeki Drw</w:t>
      </w:r>
      <w:r w:rsidR="00667484">
        <w:rPr>
          <w:rFonts w:ascii="Times New Roman" w:hAnsi="Times New Roman" w:cs="Times New Roman"/>
          <w:sz w:val="24"/>
          <w:szCs w:val="24"/>
        </w:rPr>
        <w:t>ę</w:t>
      </w:r>
      <w:r w:rsidRPr="00823F87">
        <w:rPr>
          <w:rFonts w:ascii="Times New Roman" w:hAnsi="Times New Roman" w:cs="Times New Roman"/>
          <w:sz w:val="24"/>
          <w:szCs w:val="24"/>
        </w:rPr>
        <w:t>cy” (Rocz. Nauk. PZW) (2019, tom 32, 5-56);</w:t>
      </w:r>
    </w:p>
    <w:p w14:paraId="09566602" w14:textId="3A9FFDA3" w:rsidR="00823F87" w:rsidRPr="00823F87" w:rsidRDefault="00823F87" w:rsidP="00823F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F87">
        <w:rPr>
          <w:rFonts w:ascii="Times New Roman" w:hAnsi="Times New Roman" w:cs="Times New Roman"/>
          <w:sz w:val="24"/>
          <w:szCs w:val="24"/>
        </w:rPr>
        <w:t xml:space="preserve">„Monitoring migracji ryb przez </w:t>
      </w:r>
      <w:proofErr w:type="spellStart"/>
      <w:r w:rsidRPr="00823F87">
        <w:rPr>
          <w:rFonts w:ascii="Times New Roman" w:hAnsi="Times New Roman" w:cs="Times New Roman"/>
          <w:sz w:val="24"/>
          <w:szCs w:val="24"/>
        </w:rPr>
        <w:t>przepłąwkę</w:t>
      </w:r>
      <w:proofErr w:type="spellEnd"/>
      <w:r w:rsidRPr="00823F87">
        <w:rPr>
          <w:rFonts w:ascii="Times New Roman" w:hAnsi="Times New Roman" w:cs="Times New Roman"/>
          <w:sz w:val="24"/>
          <w:szCs w:val="24"/>
        </w:rPr>
        <w:t xml:space="preserve"> na Stopniu Wodnym we Włocławku” (2017 – 2019).</w:t>
      </w:r>
    </w:p>
    <w:p w14:paraId="7960F10E" w14:textId="77777777" w:rsidR="001603AD" w:rsidRDefault="00823F87" w:rsidP="00160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F87">
        <w:rPr>
          <w:rFonts w:ascii="Times New Roman" w:hAnsi="Times New Roman" w:cs="Times New Roman"/>
          <w:sz w:val="24"/>
          <w:szCs w:val="24"/>
        </w:rPr>
        <w:t>Ichtiofauna systemu rzeki Drwęcy” (Rocz. Nauk. PZW) (2019, tom 32, 5-56).</w:t>
      </w:r>
    </w:p>
    <w:p w14:paraId="7949E505" w14:textId="77777777" w:rsidR="001603AD" w:rsidRDefault="001603AD" w:rsidP="00160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F87" w:rsidRPr="00823F87">
        <w:rPr>
          <w:rFonts w:ascii="Times New Roman" w:hAnsi="Times New Roman" w:cs="Times New Roman"/>
          <w:sz w:val="24"/>
          <w:szCs w:val="24"/>
        </w:rPr>
        <w:t>„Ichtiofauna dorzecza Wdy” (Rocz. Nauk. PZW) (2003, tom 16, 33-64);</w:t>
      </w:r>
    </w:p>
    <w:p w14:paraId="47B9F890" w14:textId="77777777" w:rsidR="001603AD" w:rsidRDefault="001603AD" w:rsidP="00160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F87" w:rsidRPr="00823F87">
        <w:rPr>
          <w:rFonts w:ascii="Times New Roman" w:hAnsi="Times New Roman" w:cs="Times New Roman"/>
          <w:sz w:val="24"/>
          <w:szCs w:val="24"/>
        </w:rPr>
        <w:t>„Ichtiofauna małych dopływów Dolnej Wisły część I – między Włocławkiem a Świeciem” (Rocz. Nauk. PZW) (2013, tom 26, 99-115);</w:t>
      </w:r>
    </w:p>
    <w:p w14:paraId="3AE4C50C" w14:textId="3951C8D7" w:rsidR="00051171" w:rsidRDefault="001603AD" w:rsidP="001603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F87" w:rsidRPr="00823F87">
        <w:rPr>
          <w:rFonts w:ascii="Times New Roman" w:hAnsi="Times New Roman" w:cs="Times New Roman"/>
          <w:sz w:val="24"/>
          <w:szCs w:val="24"/>
        </w:rPr>
        <w:t xml:space="preserve">„Ichtiofauna przyujściowych odcinków dopływów dolnej Wisły” (Chrońmy Przyr. </w:t>
      </w:r>
      <w:proofErr w:type="spellStart"/>
      <w:r w:rsidR="00823F87" w:rsidRPr="00823F87">
        <w:rPr>
          <w:rFonts w:ascii="Times New Roman" w:hAnsi="Times New Roman" w:cs="Times New Roman"/>
          <w:sz w:val="24"/>
          <w:szCs w:val="24"/>
        </w:rPr>
        <w:t>Ojcz</w:t>
      </w:r>
      <w:proofErr w:type="spellEnd"/>
      <w:r w:rsidR="00823F87" w:rsidRPr="00823F87">
        <w:rPr>
          <w:rFonts w:ascii="Times New Roman" w:hAnsi="Times New Roman" w:cs="Times New Roman"/>
          <w:sz w:val="24"/>
          <w:szCs w:val="24"/>
        </w:rPr>
        <w:t>.) (2016);</w:t>
      </w:r>
    </w:p>
    <w:p w14:paraId="61711F77" w14:textId="3F9E1F23" w:rsidR="00516E80" w:rsidRDefault="001603AD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potwierdzono znaczenie obszaru </w:t>
      </w:r>
      <w:r w:rsidR="00C52721">
        <w:rPr>
          <w:rFonts w:ascii="Times New Roman" w:hAnsi="Times New Roman" w:cs="Times New Roman"/>
          <w:sz w:val="24"/>
          <w:szCs w:val="24"/>
        </w:rPr>
        <w:t xml:space="preserve">Natura 2000 </w:t>
      </w:r>
      <w:r w:rsidR="00667484" w:rsidRPr="003A03E8">
        <w:rPr>
          <w:rFonts w:ascii="Times New Roman" w:hAnsi="Times New Roman" w:cs="Times New Roman"/>
          <w:sz w:val="24"/>
          <w:szCs w:val="24"/>
        </w:rPr>
        <w:t>Włocławska</w:t>
      </w:r>
      <w:r w:rsidR="00C52721" w:rsidRPr="003A03E8">
        <w:rPr>
          <w:rFonts w:ascii="Times New Roman" w:hAnsi="Times New Roman" w:cs="Times New Roman"/>
          <w:sz w:val="24"/>
          <w:szCs w:val="24"/>
        </w:rPr>
        <w:t xml:space="preserve"> Dolina Wisły</w:t>
      </w:r>
      <w:r w:rsidR="00EF0070" w:rsidRPr="003A03E8">
        <w:rPr>
          <w:rFonts w:ascii="Times New Roman" w:hAnsi="Times New Roman" w:cs="Times New Roman"/>
          <w:sz w:val="24"/>
          <w:szCs w:val="24"/>
        </w:rPr>
        <w:t xml:space="preserve"> PLH040039</w:t>
      </w:r>
      <w:r w:rsidR="00C52721">
        <w:rPr>
          <w:rFonts w:ascii="Times New Roman" w:hAnsi="Times New Roman" w:cs="Times New Roman"/>
          <w:sz w:val="24"/>
          <w:szCs w:val="24"/>
        </w:rPr>
        <w:t xml:space="preserve"> oraz całego odcinka dolnej Wisły dla zachowania populacji migrujących wskazanych gatunków.</w:t>
      </w:r>
    </w:p>
    <w:p w14:paraId="3CEF8A40" w14:textId="1AD6D837" w:rsidR="0093138D" w:rsidRDefault="0093138D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38D">
        <w:rPr>
          <w:rFonts w:ascii="Times New Roman" w:hAnsi="Times New Roman" w:cs="Times New Roman"/>
          <w:sz w:val="24"/>
          <w:szCs w:val="24"/>
        </w:rPr>
        <w:t>Określając cele wybrano wskaźniki i parametry ocenione przez ekspertów i jednocześnie odpowiadające wskaźnikom/parametrom w obowiązujących metodykach oceny stanu siedlisk i gatunków.  Formułując szczegółowe cele brano pod uwagę również realną możliwość poprawy stanu tych wskaźników, a w przypadku braku takiej możliwości za cel obrano pozostawienie wskaźników oceny stanu siedliska w stanie niepogorszonym. Wykaz wskaźników których poprawa nie jest możliwa:</w:t>
      </w:r>
    </w:p>
    <w:p w14:paraId="3F317E36" w14:textId="77777777" w:rsidR="007E0585" w:rsidRDefault="007E0585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3"/>
        <w:gridCol w:w="2056"/>
        <w:gridCol w:w="4503"/>
      </w:tblGrid>
      <w:tr w:rsidR="007E0585" w:rsidRPr="0052442C" w14:paraId="1AE502AD" w14:textId="77777777" w:rsidTr="00604B59">
        <w:trPr>
          <w:trHeight w:val="454"/>
        </w:trPr>
        <w:tc>
          <w:tcPr>
            <w:tcW w:w="2503" w:type="dxa"/>
            <w:vAlign w:val="center"/>
          </w:tcPr>
          <w:p w14:paraId="59801BAE" w14:textId="19845866" w:rsidR="007E0585" w:rsidRPr="0052442C" w:rsidRDefault="007E0585" w:rsidP="00604B59">
            <w:pPr>
              <w:autoSpaceDN w:val="0"/>
              <w:spacing w:after="0"/>
              <w:jc w:val="center"/>
              <w:rPr>
                <w:rFonts w:ascii="Times New Roman" w:eastAsiaTheme="minorEastAsia" w:hAnsi="Times New Roman"/>
                <w:kern w:val="1"/>
                <w:sz w:val="24"/>
                <w:szCs w:val="24"/>
                <w:lang w:eastAsia="ar-SA"/>
              </w:rPr>
            </w:pPr>
            <w:r w:rsidRPr="0052442C">
              <w:rPr>
                <w:rFonts w:ascii="Times New Roman" w:eastAsiaTheme="minorEastAsia" w:hAnsi="Times New Roman"/>
                <w:kern w:val="1"/>
                <w:sz w:val="24"/>
                <w:szCs w:val="24"/>
                <w:lang w:eastAsia="ar-SA"/>
              </w:rPr>
              <w:t>Siedlisko</w:t>
            </w:r>
            <w:r w:rsidR="00D3718A">
              <w:rPr>
                <w:rFonts w:ascii="Times New Roman" w:eastAsiaTheme="minorEastAsia" w:hAnsi="Times New Roman"/>
                <w:kern w:val="1"/>
                <w:sz w:val="24"/>
                <w:szCs w:val="24"/>
                <w:lang w:eastAsia="ar-SA"/>
              </w:rPr>
              <w:t>/gatunek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D9CC" w14:textId="77777777" w:rsidR="007E0585" w:rsidRPr="0052442C" w:rsidRDefault="007E0585" w:rsidP="00604B59">
            <w:pPr>
              <w:autoSpaceDN w:val="0"/>
              <w:spacing w:after="0"/>
              <w:jc w:val="center"/>
              <w:rPr>
                <w:rFonts w:ascii="Times New Roman" w:eastAsia="Verdana" w:hAnsi="Times New Roman"/>
                <w:bCs/>
                <w:sz w:val="24"/>
                <w:szCs w:val="24"/>
                <w:lang w:eastAsia="pl-PL"/>
              </w:rPr>
            </w:pPr>
            <w:r w:rsidRPr="0052442C">
              <w:rPr>
                <w:rFonts w:ascii="Times New Roman" w:eastAsia="Verdana" w:hAnsi="Times New Roman"/>
                <w:bCs/>
                <w:sz w:val="24"/>
                <w:szCs w:val="24"/>
                <w:lang w:eastAsia="pl-PL"/>
              </w:rPr>
              <w:t>Parametr/wskaźnik</w:t>
            </w:r>
          </w:p>
        </w:tc>
        <w:tc>
          <w:tcPr>
            <w:tcW w:w="4503" w:type="dxa"/>
            <w:shd w:val="clear" w:color="auto" w:fill="auto"/>
            <w:vAlign w:val="center"/>
          </w:tcPr>
          <w:p w14:paraId="425A3D0D" w14:textId="77777777" w:rsidR="007E0585" w:rsidRPr="0052442C" w:rsidRDefault="007E0585" w:rsidP="00604B59">
            <w:pPr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2442C">
              <w:rPr>
                <w:rFonts w:ascii="Times New Roman" w:hAnsi="Times New Roman"/>
                <w:iCs/>
                <w:sz w:val="24"/>
                <w:szCs w:val="24"/>
              </w:rPr>
              <w:t>Uzasadnienie</w:t>
            </w:r>
          </w:p>
        </w:tc>
      </w:tr>
      <w:tr w:rsidR="007E0585" w:rsidRPr="0052442C" w14:paraId="2BFC99B4" w14:textId="77777777" w:rsidTr="00604B59">
        <w:tc>
          <w:tcPr>
            <w:tcW w:w="2503" w:type="dxa"/>
          </w:tcPr>
          <w:p w14:paraId="544328B9" w14:textId="6450FAA8" w:rsidR="007E0585" w:rsidRPr="0052442C" w:rsidRDefault="00EC4FEA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47A">
              <w:rPr>
                <w:rFonts w:ascii="Times New Roman" w:hAnsi="Times New Roman" w:cs="Times New Roman"/>
                <w:sz w:val="24"/>
                <w:szCs w:val="24"/>
              </w:rPr>
              <w:t>6510 Niżowe i górskie świeże łąki użytkowane ekstensywnie (</w:t>
            </w:r>
            <w:proofErr w:type="spellStart"/>
            <w:r w:rsidRPr="000B2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Arrhenatherion</w:t>
            </w:r>
            <w:proofErr w:type="spellEnd"/>
            <w:r w:rsidRPr="000B2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4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elatioris</w:t>
            </w:r>
            <w:proofErr w:type="spellEnd"/>
            <w:r w:rsidRPr="000B2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6" w:type="dxa"/>
          </w:tcPr>
          <w:p w14:paraId="6D7BAB31" w14:textId="77777777" w:rsidR="00EC4FEA" w:rsidRDefault="00EC4FEA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Struktura przestrzenna płatów U1</w:t>
            </w:r>
          </w:p>
          <w:p w14:paraId="2F7E2816" w14:textId="5F8E8600" w:rsidR="007E0585" w:rsidRPr="0052442C" w:rsidRDefault="007E0585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52442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Gatunki charakterystyczne U</w:t>
            </w:r>
            <w:r w:rsidR="00C84B4F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  <w:p w14:paraId="6F71E093" w14:textId="77777777" w:rsidR="007E0585" w:rsidRDefault="007E0585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52442C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Gatunki dominujące U</w:t>
            </w:r>
            <w:r w:rsidR="00EC4FE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  <w:p w14:paraId="10DD550A" w14:textId="77777777" w:rsidR="00EC4FEA" w:rsidRDefault="00EC4FEA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  <w:t>Udział dobrze zachowanych płatów siedliska U1</w:t>
            </w:r>
          </w:p>
          <w:p w14:paraId="15D49688" w14:textId="3FC9AA0A" w:rsidR="00C84B4F" w:rsidRPr="0052442C" w:rsidRDefault="00C84B4F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  <w:lang w:eastAsia="ar-SA"/>
              </w:rPr>
              <w:t>Wojłok U1</w:t>
            </w:r>
          </w:p>
        </w:tc>
        <w:tc>
          <w:tcPr>
            <w:tcW w:w="4503" w:type="dxa"/>
          </w:tcPr>
          <w:p w14:paraId="4103FA7B" w14:textId="3142BE23" w:rsidR="009277A5" w:rsidRDefault="009277A5" w:rsidP="00604B59">
            <w:pPr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W obszarze występują głównie </w:t>
            </w:r>
            <w:r w:rsidRPr="009277A5">
              <w:rPr>
                <w:rFonts w:ascii="Times New Roman" w:hAnsi="Times New Roman"/>
                <w:iCs/>
                <w:sz w:val="24"/>
                <w:szCs w:val="24"/>
              </w:rPr>
              <w:t>stosunkowo ubogi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 w:rsidRPr="009277A5">
              <w:rPr>
                <w:rFonts w:ascii="Times New Roman" w:hAnsi="Times New Roman"/>
                <w:iCs/>
                <w:sz w:val="24"/>
                <w:szCs w:val="24"/>
              </w:rPr>
              <w:t xml:space="preserve"> gatunkowo łąki świeże, wielokośne</w:t>
            </w:r>
            <w:r w:rsidR="008A5963">
              <w:rPr>
                <w:rFonts w:ascii="Times New Roman" w:hAnsi="Times New Roman"/>
                <w:iCs/>
                <w:sz w:val="24"/>
                <w:szCs w:val="24"/>
              </w:rPr>
              <w:t xml:space="preserve"> (intensywnie użytkowane łąki kośne)</w:t>
            </w:r>
            <w:r w:rsidRPr="009277A5">
              <w:rPr>
                <w:rFonts w:ascii="Times New Roman" w:hAnsi="Times New Roman"/>
                <w:iCs/>
                <w:sz w:val="24"/>
                <w:szCs w:val="24"/>
              </w:rPr>
              <w:t xml:space="preserve"> w podtypie z wyczyńcem łąkowym</w:t>
            </w:r>
            <w:r w:rsidR="008A5963">
              <w:rPr>
                <w:rFonts w:ascii="Times New Roman" w:hAnsi="Times New Roman"/>
                <w:iCs/>
                <w:sz w:val="24"/>
                <w:szCs w:val="24"/>
              </w:rPr>
              <w:t>, charakterystyczne dla regionu. Łąki cechuje niski udział gatunków charakterystycznych oraz średni stopień fragmentacji.</w:t>
            </w:r>
          </w:p>
          <w:p w14:paraId="6187A61D" w14:textId="3B299CBF" w:rsidR="007E0585" w:rsidRPr="00F50441" w:rsidRDefault="007E0585" w:rsidP="00604B59">
            <w:pPr>
              <w:autoSpaceDN w:val="0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2442C">
              <w:rPr>
                <w:rFonts w:ascii="Times New Roman" w:hAnsi="Times New Roman"/>
                <w:iCs/>
                <w:sz w:val="24"/>
                <w:szCs w:val="24"/>
              </w:rPr>
              <w:t>Stan siedliska typowy dla obszaru</w:t>
            </w:r>
            <w:r w:rsidR="008A5963">
              <w:rPr>
                <w:rFonts w:ascii="Times New Roman" w:hAnsi="Times New Roman"/>
                <w:iCs/>
                <w:sz w:val="24"/>
                <w:szCs w:val="24"/>
              </w:rPr>
              <w:t xml:space="preserve"> i regionu</w:t>
            </w:r>
            <w:r w:rsidRPr="0052442C">
              <w:rPr>
                <w:rFonts w:ascii="Times New Roman" w:hAnsi="Times New Roman"/>
                <w:iCs/>
                <w:sz w:val="24"/>
                <w:szCs w:val="24"/>
              </w:rPr>
              <w:t>. Możliwe że w przypadku przywrócenia</w:t>
            </w:r>
            <w:r w:rsidR="00F50441">
              <w:rPr>
                <w:rFonts w:ascii="Times New Roman" w:hAnsi="Times New Roman"/>
                <w:iCs/>
                <w:sz w:val="24"/>
                <w:szCs w:val="24"/>
              </w:rPr>
              <w:t xml:space="preserve"> ekstensywnego</w:t>
            </w:r>
            <w:r w:rsidRPr="0052442C">
              <w:rPr>
                <w:rFonts w:ascii="Times New Roman" w:hAnsi="Times New Roman"/>
                <w:iCs/>
                <w:sz w:val="24"/>
                <w:szCs w:val="24"/>
              </w:rPr>
              <w:t xml:space="preserve"> użytkowania kośnego na części płatów dojdzie do wzrostu udziału gatunków charakterystycznych, lecz nie przewiduje się poprawy wskaźnika w okresie obowiązywania planu zadań ochronnych. </w:t>
            </w:r>
          </w:p>
        </w:tc>
      </w:tr>
      <w:tr w:rsidR="007E0585" w:rsidRPr="0052442C" w14:paraId="18F5FC3E" w14:textId="77777777" w:rsidTr="00604B59">
        <w:tc>
          <w:tcPr>
            <w:tcW w:w="2503" w:type="dxa"/>
          </w:tcPr>
          <w:p w14:paraId="14A148D6" w14:textId="77777777" w:rsidR="007E0585" w:rsidRPr="00C6151D" w:rsidRDefault="007E0585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 w:rsidRPr="00C6151D">
              <w:rPr>
                <w:rFonts w:ascii="Times New Roman" w:hAnsi="Times New Roman"/>
                <w:sz w:val="24"/>
                <w:szCs w:val="24"/>
              </w:rPr>
              <w:t xml:space="preserve">91E0 - Łęgi wierzbowe, topolowe, olszowe i </w:t>
            </w:r>
            <w:r w:rsidRPr="00C6151D">
              <w:rPr>
                <w:rFonts w:ascii="Times New Roman" w:hAnsi="Times New Roman"/>
                <w:sz w:val="24"/>
                <w:szCs w:val="24"/>
              </w:rPr>
              <w:lastRenderedPageBreak/>
              <w:t>jesionowe (</w:t>
            </w:r>
            <w:proofErr w:type="spellStart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Salicetum</w:t>
            </w:r>
            <w:proofErr w:type="spellEnd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albo-</w:t>
            </w:r>
            <w:proofErr w:type="spellStart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fragilis</w:t>
            </w:r>
            <w:proofErr w:type="spellEnd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Populetum</w:t>
            </w:r>
            <w:proofErr w:type="spellEnd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albae</w:t>
            </w:r>
            <w:proofErr w:type="spellEnd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Alnenion</w:t>
            </w:r>
            <w:proofErr w:type="spellEnd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glutinoso-incanae</w:t>
            </w:r>
            <w:proofErr w:type="spellEnd"/>
            <w:r w:rsidRPr="00C6151D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C6151D">
              <w:rPr>
                <w:rFonts w:ascii="Times New Roman" w:hAnsi="Times New Roman"/>
                <w:sz w:val="24"/>
                <w:szCs w:val="24"/>
              </w:rPr>
              <w:t xml:space="preserve"> olsy źródliskowe)*</w:t>
            </w:r>
          </w:p>
        </w:tc>
        <w:tc>
          <w:tcPr>
            <w:tcW w:w="2056" w:type="dxa"/>
          </w:tcPr>
          <w:p w14:paraId="0A74074C" w14:textId="466F14BE" w:rsidR="007E0585" w:rsidRDefault="007E0585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C6151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Gatunki dominujące U1</w:t>
            </w:r>
          </w:p>
          <w:p w14:paraId="0E55BB74" w14:textId="0A050DB0" w:rsidR="00F50441" w:rsidRPr="00C6151D" w:rsidRDefault="00F50441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Gatunki obce geograficznie  w drzewostanie U2</w:t>
            </w:r>
          </w:p>
          <w:p w14:paraId="0F57DFB4" w14:textId="77777777" w:rsidR="007E0585" w:rsidRDefault="007E0585" w:rsidP="00604B59">
            <w:pPr>
              <w:autoSpaceDN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6151D">
              <w:rPr>
                <w:rFonts w:ascii="Times New Roman" w:hAnsi="Times New Roman"/>
                <w:bCs/>
                <w:sz w:val="24"/>
                <w:szCs w:val="24"/>
              </w:rPr>
              <w:t>Inwazyjne gatunki obce w runie i podszycie U1</w:t>
            </w:r>
          </w:p>
          <w:p w14:paraId="66272F17" w14:textId="77777777" w:rsidR="00F50441" w:rsidRDefault="00F50441" w:rsidP="00604B59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Rodzime gatunki ekspansywne roślin zielnych U1</w:t>
            </w:r>
          </w:p>
          <w:p w14:paraId="05BBB6D2" w14:textId="08468317" w:rsidR="00F50441" w:rsidRDefault="00F50441" w:rsidP="00604B59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Wiek drzewostanu U2</w:t>
            </w:r>
          </w:p>
          <w:p w14:paraId="141FB4E4" w14:textId="599601D4" w:rsidR="00F50441" w:rsidRDefault="00F50441" w:rsidP="00604B59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Naturalne</w:t>
            </w:r>
            <w:r w:rsidR="00462340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odnowienia drzewostanu U1</w:t>
            </w:r>
          </w:p>
          <w:p w14:paraId="2048A203" w14:textId="03C05CFB" w:rsidR="00F50441" w:rsidRPr="00F50441" w:rsidRDefault="00F50441" w:rsidP="00604B59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4503" w:type="dxa"/>
          </w:tcPr>
          <w:p w14:paraId="1D7C17CC" w14:textId="4CAAFBE3" w:rsidR="007E0585" w:rsidRPr="00C6151D" w:rsidRDefault="007E0585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 w:rsidRPr="00C6151D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lastRenderedPageBreak/>
              <w:t xml:space="preserve">Zaburzony skład gatunkowy, </w:t>
            </w:r>
            <w:r w:rsidR="00F50441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wynika z rozpowszechnienia gatunków </w:t>
            </w:r>
            <w:r w:rsidR="00F50441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lastRenderedPageBreak/>
              <w:t>ekspansywnyc</w:t>
            </w:r>
            <w:r w:rsidR="00462340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h</w:t>
            </w:r>
            <w:r w:rsidR="00F50441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i inwazyjnych </w:t>
            </w:r>
            <w:r w:rsidR="003B1A90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w drzewostanie, podszycie i runie, w tym klonu jesionolistnego</w:t>
            </w:r>
            <w:r w:rsidR="00462340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,</w:t>
            </w:r>
            <w:r w:rsidR="003B1A90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nawłoci późnej</w:t>
            </w:r>
            <w:r w:rsidR="00462340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, jeżyny i pokrzywy</w:t>
            </w:r>
            <w:r w:rsidRPr="00C6151D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.</w:t>
            </w:r>
            <w:r w:rsidR="003604A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W szczególności ek</w:t>
            </w:r>
            <w:r w:rsidR="00971EEF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s</w:t>
            </w:r>
            <w:r w:rsidR="003604A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pansja klonu jesionolistnego i jego naturalne odnowienia przyczyniają się do zaburzenia drzewostanów</w:t>
            </w:r>
            <w:r w:rsidR="00971EEF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, podszytu i runa, a skutkiem jest</w:t>
            </w:r>
            <w:r w:rsidR="003604A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obniżeni</w:t>
            </w:r>
            <w:r w:rsidR="00971EEF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e</w:t>
            </w:r>
            <w:r w:rsidR="003604A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wartości poszczególnych wskaźników</w:t>
            </w:r>
            <w:r w:rsidR="00971EEF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siedliska</w:t>
            </w:r>
            <w:r w:rsidR="003604A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. </w:t>
            </w:r>
            <w:r w:rsidRPr="00C6151D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</w:t>
            </w:r>
          </w:p>
          <w:p w14:paraId="1AA72ED1" w14:textId="77777777" w:rsidR="0010080C" w:rsidRDefault="003604A5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E</w:t>
            </w:r>
            <w:r w:rsidR="007E0585" w:rsidRPr="00C6151D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limin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acja klonu jesionolistnego z drzewostanów łęgów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na obecnym etapie wydaje się 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działanie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m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nie 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racjonaln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ym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biorąc pod uwagę</w:t>
            </w:r>
            <w:r w:rsidR="0010080C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:</w:t>
            </w:r>
          </w:p>
          <w:p w14:paraId="4DC08281" w14:textId="77777777" w:rsidR="0010080C" w:rsidRDefault="0010080C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-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szerokie rozpowszechnienie 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gatunku 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w 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całym </w:t>
            </w:r>
            <w:r w:rsidR="007E0585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regionie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, również poza granicami obszaru Natura 2000 Nieszawska Dolina Wisły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;</w:t>
            </w:r>
          </w:p>
          <w:p w14:paraId="19C7AC52" w14:textId="77777777" w:rsidR="0010080C" w:rsidRDefault="0010080C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- wysokie koszty wykonania działania;</w:t>
            </w:r>
          </w:p>
          <w:p w14:paraId="3CA9A442" w14:textId="41A845C2" w:rsidR="007E0585" w:rsidRPr="00C6151D" w:rsidRDefault="0010080C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>- długi czas konieczny do prowadzenia powtórzeń działania.</w:t>
            </w:r>
            <w:r w:rsidR="009A2F37"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  <w:t xml:space="preserve"> </w:t>
            </w:r>
          </w:p>
          <w:p w14:paraId="102FE878" w14:textId="4E93089F" w:rsidR="007E0585" w:rsidRPr="00C6151D" w:rsidRDefault="007E0585" w:rsidP="00604B59">
            <w:pPr>
              <w:autoSpaceDN w:val="0"/>
              <w:spacing w:after="0"/>
              <w:jc w:val="both"/>
              <w:rPr>
                <w:rFonts w:ascii="Times New Roman" w:eastAsia="DejaVu Sans" w:hAnsi="Times New Roman"/>
                <w:kern w:val="3"/>
                <w:sz w:val="24"/>
                <w:szCs w:val="24"/>
                <w:lang w:eastAsia="pl-PL"/>
              </w:rPr>
            </w:pPr>
            <w:r w:rsidRPr="00C6151D">
              <w:rPr>
                <w:rFonts w:ascii="Times New Roman" w:hAnsi="Times New Roman"/>
                <w:iCs/>
                <w:sz w:val="24"/>
                <w:szCs w:val="24"/>
              </w:rPr>
              <w:t xml:space="preserve">Planuje się wykonanie dodatkowej ekspertyzy w celu szczegółowej oceny stanu </w:t>
            </w:r>
            <w:r w:rsidR="0010080C">
              <w:rPr>
                <w:rFonts w:ascii="Times New Roman" w:hAnsi="Times New Roman"/>
                <w:iCs/>
                <w:sz w:val="24"/>
                <w:szCs w:val="24"/>
              </w:rPr>
              <w:t xml:space="preserve">poszczególnych wskaźników jak również ustalenie lokalizacji i zakresu dla podjęcia działania ukierunkowanego na eliminację klonu jesionolistnego na reprezentatywnych płatach. </w:t>
            </w:r>
          </w:p>
        </w:tc>
      </w:tr>
      <w:tr w:rsidR="007E0585" w:rsidRPr="0052442C" w14:paraId="582B90CC" w14:textId="77777777" w:rsidTr="00604B59">
        <w:tc>
          <w:tcPr>
            <w:tcW w:w="2503" w:type="dxa"/>
          </w:tcPr>
          <w:p w14:paraId="5111EDA8" w14:textId="77777777" w:rsidR="007E0585" w:rsidRDefault="00971EEF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1099 Minóg rzeczny </w:t>
            </w:r>
            <w:r w:rsidRPr="00971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1EEF">
              <w:rPr>
                <w:rFonts w:ascii="Times New Roman" w:hAnsi="Times New Roman"/>
                <w:i/>
                <w:iCs/>
                <w:sz w:val="24"/>
                <w:szCs w:val="24"/>
              </w:rPr>
              <w:t>Lampetra</w:t>
            </w:r>
            <w:proofErr w:type="spellEnd"/>
            <w:r w:rsidRPr="00971EE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1EEF">
              <w:rPr>
                <w:rFonts w:ascii="Times New Roman" w:hAnsi="Times New Roman"/>
                <w:i/>
                <w:iCs/>
                <w:sz w:val="24"/>
                <w:szCs w:val="24"/>
              </w:rPr>
              <w:t>fluviatilis</w:t>
            </w:r>
            <w:proofErr w:type="spellEnd"/>
          </w:p>
          <w:p w14:paraId="75F7EDA1" w14:textId="2C44149C" w:rsidR="00971EEF" w:rsidRDefault="00971EEF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1106 Łosoś atlantycki </w:t>
            </w:r>
            <w:proofErr w:type="spellStart"/>
            <w:r w:rsidR="001F6CE3" w:rsidRPr="00865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Salmo</w:t>
            </w:r>
            <w:proofErr w:type="spellEnd"/>
            <w:r w:rsidR="001F6CE3" w:rsidRPr="00865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1F6CE3" w:rsidRPr="00865D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salar</w:t>
            </w:r>
            <w:proofErr w:type="spellEnd"/>
          </w:p>
          <w:p w14:paraId="7B032260" w14:textId="6A0B1F0F" w:rsidR="0034391E" w:rsidRPr="00971EEF" w:rsidRDefault="0034391E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3922067C" w14:textId="77777777" w:rsidR="007E0585" w:rsidRDefault="00971EEF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 populacji U2</w:t>
            </w:r>
          </w:p>
          <w:p w14:paraId="424ABAD4" w14:textId="6CD17FA0" w:rsidR="006E7915" w:rsidRPr="0052442C" w:rsidRDefault="006E7915" w:rsidP="00604B59">
            <w:pPr>
              <w:autoSpaceDN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6E7915">
              <w:rPr>
                <w:rFonts w:ascii="Times New Roman" w:hAnsi="Times New Roman"/>
                <w:bCs/>
                <w:sz w:val="24"/>
                <w:szCs w:val="24"/>
              </w:rPr>
              <w:t>tan siedliska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U2</w:t>
            </w:r>
          </w:p>
        </w:tc>
        <w:tc>
          <w:tcPr>
            <w:tcW w:w="4503" w:type="dxa"/>
          </w:tcPr>
          <w:p w14:paraId="580FA5F5" w14:textId="3C1A13F6" w:rsidR="00717478" w:rsidRDefault="00717478" w:rsidP="00717478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Rozpatrywany odcinek Wisły stanowi fragment szlaku migracyjnego gatunk</w:t>
            </w:r>
            <w:r w:rsidR="00B157DA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ów</w:t>
            </w: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. Znaczenie dolnej Wisły jako szlaku migracji jest bardzo duże  w  kontekście  potencjalnej  odbudowy  populacji  gatunk</w:t>
            </w:r>
            <w:r w:rsidR="00B157DA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ów</w:t>
            </w: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 w  przyszłości. </w:t>
            </w:r>
          </w:p>
          <w:p w14:paraId="7E810AA5" w14:textId="77777777" w:rsidR="008177A3" w:rsidRDefault="00717478" w:rsidP="00717478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W przypadku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badanego</w:t>
            </w: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odcinka Wisły nie ma możliwości zastosowania i wdrożenia znanych metod badawczych kluczowych oceny wielkości populacji migrując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ych</w:t>
            </w:r>
            <w:r w:rsidRPr="00717478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.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Jednocześnie zgodnie z wynikami przeprowadzonego uzupełnienia stanu wiedzy w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przypadku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przedmiotowego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odcinka Wisły nie ma możliwości zastosowania i wdrożenia znanych metod badawczych kluczowych oceny wielkości populacji migrującej.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Ponadto sama o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cena wielkości populacji migrując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ych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Wisłą wydaje się zagadnieniem ważnym, jednak 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lastRenderedPageBreak/>
              <w:t>nie do końca istotnym w kontekście zaplanowania ochrony warunków migracji minoga rzecznego</w:t>
            </w:r>
            <w:r w:rsid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i łososia atlantyckiego</w:t>
            </w:r>
            <w:r w:rsidR="00DA0493"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w ramach analizowanego obszaru. </w:t>
            </w:r>
          </w:p>
          <w:p w14:paraId="19C93CBB" w14:textId="76144D67" w:rsidR="007E0585" w:rsidRPr="0052442C" w:rsidRDefault="00406E5A" w:rsidP="00717478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W związku z funkcjonowaniem progu podpiętrzającego Stopień Wodny we Włocławku </w:t>
            </w:r>
            <w:r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klucz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owym celem jest</w:t>
            </w:r>
            <w:r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zapewnieni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e</w:t>
            </w:r>
            <w:r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co najmniej dotychczasowych </w:t>
            </w:r>
            <w:r w:rsidRPr="00DA049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warunków 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dla migracji ryb. W przypadku pogorszenia warunków migracji ryb na progu podpiętrzającym wskutek np. remontu lub naprawy urządzenia, celem będzie poprawa warunków drożności progu podpiętrzającego np. przez wykonanie przepławki</w:t>
            </w:r>
            <w:r w:rsidRPr="00B157DA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.</w:t>
            </w:r>
          </w:p>
        </w:tc>
      </w:tr>
      <w:tr w:rsidR="0034391E" w:rsidRPr="0052442C" w14:paraId="2C72D658" w14:textId="77777777" w:rsidTr="00604B59">
        <w:tc>
          <w:tcPr>
            <w:tcW w:w="2503" w:type="dxa"/>
          </w:tcPr>
          <w:p w14:paraId="47B37145" w14:textId="59B1C6D3" w:rsidR="001F6CE3" w:rsidRDefault="001F6CE3" w:rsidP="001F6CE3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6144 Kiełb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białopłetwy</w:t>
            </w:r>
            <w:proofErr w:type="spellEnd"/>
            <w:r w:rsidR="00743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999" w:rsidRPr="00812A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Gobio</w:t>
            </w:r>
            <w:proofErr w:type="spellEnd"/>
            <w:r w:rsidR="00743999" w:rsidRPr="00812A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43999" w:rsidRPr="00812A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albipinnatus</w:t>
            </w:r>
            <w:proofErr w:type="spellEnd"/>
          </w:p>
          <w:p w14:paraId="376A374D" w14:textId="061C9D79" w:rsidR="0034391E" w:rsidRDefault="001F6CE3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Boleń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43999"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Aspius</w:t>
            </w:r>
            <w:proofErr w:type="spellEnd"/>
            <w:r w:rsidR="00743999"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43999" w:rsidRPr="00B030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aspius</w:t>
            </w:r>
            <w:proofErr w:type="spellEnd"/>
          </w:p>
        </w:tc>
        <w:tc>
          <w:tcPr>
            <w:tcW w:w="2056" w:type="dxa"/>
          </w:tcPr>
          <w:p w14:paraId="00D85BF8" w14:textId="401A7900" w:rsidR="0034391E" w:rsidRDefault="00743999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99">
              <w:rPr>
                <w:rFonts w:ascii="Times New Roman" w:hAnsi="Times New Roman"/>
                <w:sz w:val="24"/>
                <w:szCs w:val="24"/>
              </w:rPr>
              <w:t>Stan populacji U2</w:t>
            </w:r>
            <w:r w:rsidR="002C7D43">
              <w:t xml:space="preserve"> </w:t>
            </w:r>
            <w:r w:rsidR="002C7D43" w:rsidRPr="002C7D43">
              <w:rPr>
                <w:rFonts w:ascii="Times New Roman" w:hAnsi="Times New Roman"/>
                <w:sz w:val="24"/>
                <w:szCs w:val="24"/>
              </w:rPr>
              <w:t>Stan siedliska U</w:t>
            </w:r>
            <w:r w:rsidR="002C7D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3" w:type="dxa"/>
          </w:tcPr>
          <w:p w14:paraId="074CE827" w14:textId="126B8966" w:rsidR="0034391E" w:rsidRPr="0052442C" w:rsidRDefault="0011087F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Zgodnie z wynikami uzupełnienia stanu wiedzy e</w:t>
            </w:r>
            <w:r w:rsidR="00741964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wentualna poprawa stanu populacji 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wskazanych gatunków wymaga podjęcia działań z zakresu poprawy warunków mikrosiedlisk, w tym przywrócenie połączeń starorzeczy z korytem rzeki, co niemożliwe jest w okresie obowiązywania obecnego planu zadań ochronnych. Ponadto</w:t>
            </w:r>
            <w:r w:rsidR="003C2181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podstawowym celem dla populacji kiełbia </w:t>
            </w:r>
            <w:proofErr w:type="spellStart"/>
            <w:r w:rsidR="003C2181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białopłetwego</w:t>
            </w:r>
            <w:proofErr w:type="spellEnd"/>
            <w:r w:rsidR="003C2181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oraz bolenia pozostaje 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</w:t>
            </w:r>
            <w:r w:rsidR="003C2181" w:rsidRPr="003C2181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zachowanie drożności ekologicznej rzeki Wisły w obszarze w nie pogorszonym stanie</w:t>
            </w:r>
            <w:r w:rsidR="002C7D4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, a w przypadku </w:t>
            </w:r>
            <w:r w:rsidR="002C7D43" w:rsidRPr="002C7D4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pogorszeni</w:t>
            </w:r>
            <w:r w:rsidR="002C7D4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a</w:t>
            </w:r>
            <w:r w:rsidR="002C7D43" w:rsidRPr="002C7D43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warunków migracji ryb na progu podpiętrzającym wskutek np. remontu lub naprawy urządzenia, celem będzie poprawa warunków drożności progu podpiętrzającego np. przez wykonanie przepławki.</w:t>
            </w:r>
          </w:p>
        </w:tc>
      </w:tr>
      <w:tr w:rsidR="00743999" w:rsidRPr="0052442C" w14:paraId="00BCE491" w14:textId="77777777" w:rsidTr="00604B59">
        <w:tc>
          <w:tcPr>
            <w:tcW w:w="2503" w:type="dxa"/>
          </w:tcPr>
          <w:p w14:paraId="3677CD2D" w14:textId="3319D07A" w:rsidR="00743999" w:rsidRPr="006477FC" w:rsidRDefault="00743999" w:rsidP="00743999">
            <w:pPr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 Koza</w:t>
            </w:r>
            <w:r w:rsidR="006477FC">
              <w:t xml:space="preserve"> </w:t>
            </w:r>
            <w:proofErr w:type="spellStart"/>
            <w:r w:rsidR="006477FC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>Cobitis</w:t>
            </w:r>
            <w:proofErr w:type="spellEnd"/>
            <w:r w:rsidR="006477FC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477FC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>taenia</w:t>
            </w:r>
            <w:proofErr w:type="spellEnd"/>
          </w:p>
          <w:p w14:paraId="6BAF71E7" w14:textId="197968A3" w:rsidR="00743999" w:rsidRDefault="00743999" w:rsidP="0074399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5339 Różanka</w:t>
            </w:r>
            <w:r w:rsidR="00BD13B6">
              <w:t xml:space="preserve"> </w:t>
            </w:r>
            <w:proofErr w:type="spellStart"/>
            <w:r w:rsidR="00BD13B6" w:rsidRPr="00BD13B6">
              <w:rPr>
                <w:rFonts w:ascii="Times New Roman" w:hAnsi="Times New Roman"/>
                <w:i/>
                <w:iCs/>
                <w:sz w:val="24"/>
                <w:szCs w:val="24"/>
              </w:rPr>
              <w:t>Rhodeus</w:t>
            </w:r>
            <w:proofErr w:type="spellEnd"/>
            <w:r w:rsidR="00BD13B6" w:rsidRPr="00BD13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D13B6" w:rsidRPr="00BD13B6">
              <w:rPr>
                <w:rFonts w:ascii="Times New Roman" w:hAnsi="Times New Roman"/>
                <w:i/>
                <w:iCs/>
                <w:sz w:val="24"/>
                <w:szCs w:val="24"/>
              </w:rPr>
              <w:t>sericeus</w:t>
            </w:r>
            <w:proofErr w:type="spellEnd"/>
          </w:p>
        </w:tc>
        <w:tc>
          <w:tcPr>
            <w:tcW w:w="2056" w:type="dxa"/>
          </w:tcPr>
          <w:p w14:paraId="44B1A8A6" w14:textId="4A00172E" w:rsidR="00743999" w:rsidRDefault="00FE1FDD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 siedliska U1</w:t>
            </w:r>
          </w:p>
        </w:tc>
        <w:tc>
          <w:tcPr>
            <w:tcW w:w="4503" w:type="dxa"/>
          </w:tcPr>
          <w:p w14:paraId="241E2455" w14:textId="77777777" w:rsidR="006477FC" w:rsidRDefault="00FE1FDD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 w:rsidRP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Zgodnie z wynikami uzupełnienia stanu wiedzy ewentualna poprawa stanu siedliska dla gatunk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ów</w:t>
            </w:r>
            <w:r w:rsidRP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wymaga</w:t>
            </w:r>
            <w:r w:rsidR="006477FC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:</w:t>
            </w:r>
          </w:p>
          <w:p w14:paraId="55377421" w14:textId="77777777" w:rsidR="006477FC" w:rsidRDefault="006477FC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-</w:t>
            </w:r>
            <w:r w:rsidR="00FE1FDD" w:rsidRP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</w:t>
            </w:r>
            <w:r w:rsid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poprawy wskaźników </w:t>
            </w:r>
            <w:r w:rsidR="00FE1FDD" w:rsidRPr="00FE1FDD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charakterystyka przepływu oraz charakter i modyfikacja brzegów, decydujących o obniżonej ocenie jakości morfologicznej rzeki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;</w:t>
            </w:r>
          </w:p>
          <w:p w14:paraId="5C7A0F25" w14:textId="4DA8E899" w:rsidR="006477FC" w:rsidRDefault="006477FC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- </w:t>
            </w:r>
            <w:r w:rsidRPr="006477FC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warunków mikrosiedlisk, w tym przywrócenie połączeń starorzeczy z korytem rzeki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;</w:t>
            </w:r>
          </w:p>
          <w:p w14:paraId="6E9FBA59" w14:textId="51A3F5CD" w:rsidR="00743999" w:rsidRPr="0052442C" w:rsidRDefault="00FE1FDD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co niemożliwe jest do osiągnięcia w okresie obowiązywania </w:t>
            </w:r>
            <w:r w:rsidR="006477FC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obecnego planu zadań ochronnych.</w:t>
            </w:r>
          </w:p>
        </w:tc>
      </w:tr>
      <w:tr w:rsidR="006477FC" w:rsidRPr="0052442C" w14:paraId="37BDFC80" w14:textId="77777777" w:rsidTr="00604B59">
        <w:tc>
          <w:tcPr>
            <w:tcW w:w="2503" w:type="dxa"/>
          </w:tcPr>
          <w:p w14:paraId="33762BDF" w14:textId="12DD3C68" w:rsidR="00BD13B6" w:rsidRPr="006477FC" w:rsidRDefault="006477FC" w:rsidP="00BD13B6">
            <w:pPr>
              <w:autoSpaceDN w:val="0"/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477FC">
              <w:rPr>
                <w:rFonts w:ascii="Times New Roman" w:hAnsi="Times New Roman"/>
                <w:sz w:val="24"/>
                <w:szCs w:val="24"/>
              </w:rPr>
              <w:lastRenderedPageBreak/>
              <w:t>1149 Koza</w:t>
            </w:r>
            <w:r w:rsidR="00BD13B6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D13B6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>Cobitis</w:t>
            </w:r>
            <w:proofErr w:type="spellEnd"/>
            <w:r w:rsidR="00BD13B6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D13B6" w:rsidRPr="006477FC">
              <w:rPr>
                <w:rFonts w:ascii="Times New Roman" w:hAnsi="Times New Roman"/>
                <w:i/>
                <w:iCs/>
                <w:sz w:val="24"/>
                <w:szCs w:val="24"/>
              </w:rPr>
              <w:t>taenia</w:t>
            </w:r>
            <w:proofErr w:type="spellEnd"/>
          </w:p>
          <w:p w14:paraId="1C3A1206" w14:textId="577DDEE8" w:rsidR="006477FC" w:rsidRDefault="006477FC" w:rsidP="0074399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AD225E6" w14:textId="483A4979" w:rsidR="006477FC" w:rsidRDefault="006477FC" w:rsidP="00604B59">
            <w:pPr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 populacji U1</w:t>
            </w:r>
          </w:p>
        </w:tc>
        <w:tc>
          <w:tcPr>
            <w:tcW w:w="4503" w:type="dxa"/>
          </w:tcPr>
          <w:p w14:paraId="6B04F1D2" w14:textId="2DA9F64A" w:rsidR="006477FC" w:rsidRPr="00FE1FDD" w:rsidRDefault="006477FC" w:rsidP="00604B59">
            <w:pPr>
              <w:autoSpaceDN w:val="0"/>
              <w:spacing w:after="0"/>
              <w:jc w:val="both"/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</w:pPr>
            <w:r w:rsidRPr="006477FC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Zgodnie z wynikami uzupełnienia stanu wiedzy ewentualna poprawa stanu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populacji gatunku może nastąpić wyłącznie wskutek poprawy stanu siedliska, </w:t>
            </w:r>
            <w:r w:rsidRPr="006477FC"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>co niemożliwe jest w okresie obowiązywania obecnego planu zadań ochronnych.</w:t>
            </w:r>
            <w:r>
              <w:rPr>
                <w:rFonts w:ascii="Times New Roman" w:eastAsia="Times New Roman" w:hAnsi="Times New Roman"/>
                <w:kern w:val="4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4F44190" w14:textId="7983F6B1" w:rsidR="0093138D" w:rsidRDefault="0093138D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2B5B23" w14:textId="767F6218" w:rsidR="00D548A6" w:rsidRDefault="005278B0" w:rsidP="006F2953">
      <w:pPr>
        <w:autoSpaceDN w:val="0"/>
        <w:spacing w:after="0"/>
        <w:ind w:firstLine="708"/>
        <w:jc w:val="both"/>
        <w:rPr>
          <w:rFonts w:ascii="Times New Roman" w:eastAsia="Times New Roman" w:hAnsi="Times New Roman"/>
          <w:kern w:val="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Na podstawie wyników</w:t>
      </w:r>
      <w:r w:rsidR="00D548A6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zrealizowan</w:t>
      </w:r>
      <w:r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ych</w:t>
      </w:r>
      <w:r w:rsidR="00D548A6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opracowa</w:t>
      </w:r>
      <w:r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ń</w:t>
      </w:r>
      <w:r w:rsidR="00D548A6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przez Regionalną Dyrekcję Ochrony Środowiska w Bydgoszczy</w:t>
      </w:r>
      <w:r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, w tym</w:t>
      </w:r>
      <w:r w:rsidR="00D548A6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:</w:t>
      </w:r>
    </w:p>
    <w:p w14:paraId="09BE9A5E" w14:textId="78673B45" w:rsidR="00D548A6" w:rsidRDefault="00D548A6" w:rsidP="006F2953">
      <w:pPr>
        <w:autoSpaceDN w:val="0"/>
        <w:spacing w:after="0"/>
        <w:ind w:firstLine="708"/>
        <w:jc w:val="both"/>
        <w:rPr>
          <w:rFonts w:ascii="Times New Roman" w:eastAsia="Times New Roman" w:hAnsi="Times New Roman"/>
          <w:kern w:val="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- </w:t>
      </w:r>
      <w:r w:rsidRPr="00D548A6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„Uzupełnienie stanu wiedzy w zakresie występowania i stanu ochrony gatunków ryb i minogów będących przedmiotami ochrony w obszarach Natura 2000: Nieszawska Dolina Wisły PLH040012, Dybowska Dolina Wisły PLH040011, Solecka Dolina Wisły PLH040003” (Eco-</w:t>
      </w:r>
      <w:proofErr w:type="spellStart"/>
      <w:r w:rsidRPr="00D548A6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Analyse</w:t>
      </w:r>
      <w:proofErr w:type="spellEnd"/>
      <w:r w:rsidRPr="00D548A6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2020)</w:t>
      </w:r>
      <w:r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;</w:t>
      </w:r>
    </w:p>
    <w:p w14:paraId="2B59C585" w14:textId="3977BEC7" w:rsidR="00D548A6" w:rsidRDefault="00D548A6" w:rsidP="006F2953">
      <w:pPr>
        <w:autoSpaceDN w:val="0"/>
        <w:spacing w:after="0"/>
        <w:ind w:firstLine="708"/>
        <w:jc w:val="both"/>
        <w:rPr>
          <w:rFonts w:ascii="Times New Roman" w:eastAsia="Times New Roman" w:hAnsi="Times New Roman"/>
          <w:kern w:val="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- </w:t>
      </w:r>
      <w:r w:rsidRPr="00D548A6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„Ustalenie zasad gospodarowania wodami na Stopniu Wodnym we Włocławku”</w:t>
      </w:r>
      <w:r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;</w:t>
      </w:r>
    </w:p>
    <w:p w14:paraId="247A889F" w14:textId="6AEC47B3" w:rsidR="00694F14" w:rsidRPr="00694F14" w:rsidRDefault="00D548A6" w:rsidP="00694F14">
      <w:pPr>
        <w:autoSpaceDN w:val="0"/>
        <w:spacing w:after="0"/>
        <w:jc w:val="both"/>
        <w:rPr>
          <w:rFonts w:ascii="Times New Roman" w:eastAsia="Times New Roman" w:hAnsi="Times New Roman"/>
          <w:kern w:val="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oraz </w:t>
      </w:r>
      <w:r w:rsidR="00B11ECA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ekspertyzy przyrodniczej</w:t>
      </w:r>
      <w:r w:rsidR="005278B0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,</w:t>
      </w:r>
      <w:r w:rsidR="00B11ECA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przygotowanej dla realizacji zadania </w:t>
      </w:r>
      <w:r w:rsidR="00942938" w:rsidRPr="00942938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pn. „Naprawa progu podpiętrzającego dolne stanowisko Stopnia Wodnego we Włocławku – Etap I”, realizowanego na przełomie lat 2021 – 2022</w:t>
      </w:r>
      <w:r w:rsidR="00942938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</w:t>
      </w:r>
      <w:r w:rsidR="00B11ECA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i obserwacji </w:t>
      </w:r>
      <w:r w:rsidR="00942938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nadzoru przyrodniczego </w:t>
      </w:r>
      <w:r w:rsidR="00B11ECA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prowadzonych na etapie</w:t>
      </w:r>
      <w:r w:rsidR="005278B0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wykonywanego zadania ustalono, że </w:t>
      </w:r>
      <w:r w:rsidR="00B11ECA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</w:t>
      </w:r>
      <w:r w:rsid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podejmowane </w:t>
      </w:r>
      <w:r w:rsidR="005278B0" w:rsidRPr="005278B0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modyfikacj</w:t>
      </w:r>
      <w:r w:rsidR="005278B0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e</w:t>
      </w:r>
      <w:r w:rsidR="005278B0" w:rsidRPr="005278B0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przepływu wody oraz czasowe wstrzymani</w:t>
      </w:r>
      <w:r w:rsid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a</w:t>
      </w:r>
      <w:r w:rsidR="005278B0" w:rsidRPr="005278B0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przepływu wody na Stopniu Wodnym we Włocławku</w:t>
      </w:r>
      <w:r w:rsid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są przyczyną</w:t>
      </w:r>
      <w:r w:rsidR="00772644" w:rsidRP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</w:t>
      </w:r>
      <w:r w:rsid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zagrożenia</w:t>
      </w:r>
      <w:r w:rsidR="00772644" w:rsidRP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śmiertelności</w:t>
      </w:r>
      <w:r w:rsid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w obszarach odsłoniętych stref brzegowych, w szczególności względem różanki i kozy i możliwości </w:t>
      </w:r>
      <w:r w:rsidR="00772644" w:rsidRP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pogorszeni</w:t>
      </w:r>
      <w:r w:rsid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a</w:t>
      </w:r>
      <w:r w:rsidR="00772644" w:rsidRP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stanu zachowania populacji</w:t>
      </w:r>
      <w:r w:rsid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tych gatunków. Celem ograniczenia ryzyka </w:t>
      </w:r>
      <w:r w:rsidR="00772644" w:rsidRP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pogorszeni</w:t>
      </w:r>
      <w:r w:rsid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a</w:t>
      </w:r>
      <w:r w:rsidR="00772644" w:rsidRP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stanu zachowania populacji</w:t>
      </w:r>
      <w:r w:rsidR="0077264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gatunków ryb wrażliwych na </w:t>
      </w:r>
      <w:r w:rsidR="0068763C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zmiany warunków siedliskowych wskutek obniżania lustra wody poniżej Stopnia Wodnego we Włocławku, prowadzonych w ramach funkcjonowania obiektu, zaistniała konieczność przyjęcia </w:t>
      </w:r>
      <w:r w:rsidR="00694F1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działań </w:t>
      </w:r>
      <w:r w:rsidR="00694F14" w:rsidRPr="00694F1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ochrony czynnej</w:t>
      </w:r>
      <w:r w:rsidR="00694F1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, których zakres obejmuje d</w:t>
      </w:r>
      <w:r w:rsidR="00694F14" w:rsidRPr="00694F1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ostosowanie gospodarowania wodami z wyjątkiem działań o charakterze nagłym </w:t>
      </w:r>
      <w:r w:rsidR="00694F1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i</w:t>
      </w:r>
      <w:r w:rsidR="00694F14" w:rsidRPr="00694F1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 awaryjnym związanych z:</w:t>
      </w:r>
    </w:p>
    <w:p w14:paraId="0BD7F563" w14:textId="77777777" w:rsidR="00694F14" w:rsidRPr="00694F14" w:rsidRDefault="00694F14" w:rsidP="00694F14">
      <w:pPr>
        <w:autoSpaceDN w:val="0"/>
        <w:spacing w:after="0"/>
        <w:jc w:val="both"/>
        <w:rPr>
          <w:rFonts w:ascii="Times New Roman" w:eastAsia="Times New Roman" w:hAnsi="Times New Roman"/>
          <w:kern w:val="4"/>
          <w:sz w:val="24"/>
          <w:szCs w:val="24"/>
          <w:lang w:eastAsia="pl-PL"/>
        </w:rPr>
      </w:pPr>
      <w:r w:rsidRPr="00694F1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-zapewnieniem bezpieczeństwa i ochrony przed powodzią,</w:t>
      </w:r>
    </w:p>
    <w:p w14:paraId="76ED7E39" w14:textId="64F3A122" w:rsidR="00694F14" w:rsidRPr="00694F14" w:rsidRDefault="00694F14" w:rsidP="00694F14">
      <w:pPr>
        <w:autoSpaceDN w:val="0"/>
        <w:spacing w:after="0"/>
        <w:jc w:val="both"/>
        <w:rPr>
          <w:rFonts w:ascii="Times New Roman" w:eastAsia="Times New Roman" w:hAnsi="Times New Roman"/>
          <w:kern w:val="4"/>
          <w:sz w:val="24"/>
          <w:szCs w:val="24"/>
          <w:lang w:eastAsia="pl-PL"/>
        </w:rPr>
      </w:pPr>
      <w:r w:rsidRPr="00694F1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-zaspakajaniem potrzeb użytkowników wód</w:t>
      </w:r>
      <w:r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,</w:t>
      </w:r>
    </w:p>
    <w:p w14:paraId="41DEA1B9" w14:textId="05879E3C" w:rsidR="00D548A6" w:rsidRDefault="00694F14" w:rsidP="00694F14">
      <w:pPr>
        <w:autoSpaceDN w:val="0"/>
        <w:spacing w:after="0"/>
        <w:jc w:val="both"/>
        <w:rPr>
          <w:rFonts w:ascii="Times New Roman" w:eastAsia="Times New Roman" w:hAnsi="Times New Roman"/>
          <w:kern w:val="4"/>
          <w:sz w:val="24"/>
          <w:szCs w:val="24"/>
          <w:lang w:eastAsia="pl-PL"/>
        </w:rPr>
      </w:pPr>
      <w:r w:rsidRPr="00694F1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na Stopniu Wodnym we Włocławku do biologii i potrzeb wynikających z ochrony ichtiofauny</w:t>
      </w:r>
      <w:r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.</w:t>
      </w:r>
    </w:p>
    <w:p w14:paraId="206ABB3F" w14:textId="704A446A" w:rsidR="0093138D" w:rsidRPr="006777D1" w:rsidRDefault="00694F14" w:rsidP="005568F6">
      <w:pPr>
        <w:autoSpaceDN w:val="0"/>
        <w:spacing w:after="0"/>
        <w:ind w:firstLine="708"/>
        <w:jc w:val="both"/>
        <w:rPr>
          <w:rFonts w:ascii="Times New Roman" w:eastAsia="Times New Roman" w:hAnsi="Times New Roman"/>
          <w:kern w:val="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Ponadto </w:t>
      </w:r>
      <w:r w:rsidR="00D13F73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 xml:space="preserve">zachodzące naturalne i antropogeniczne zjawiska w zakresie osuszania dna doliny rzeki Wisły wymagają podjęcia działania polegającego na wykonaniu </w:t>
      </w:r>
      <w:r w:rsidRPr="00694F14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ekspertyzy  dot. odtworzenia  połączeń  koryta  rzeki  ze starorzeczami  i  korytami  bocznymi</w:t>
      </w:r>
      <w:r w:rsidR="00D13F73">
        <w:rPr>
          <w:rFonts w:ascii="Times New Roman" w:eastAsia="Times New Roman" w:hAnsi="Times New Roman"/>
          <w:kern w:val="4"/>
          <w:sz w:val="24"/>
          <w:szCs w:val="24"/>
          <w:lang w:eastAsia="pl-PL"/>
        </w:rPr>
        <w:t>, celem poprawy warunków siedliskowych w szczególności różanki i kozy.</w:t>
      </w:r>
    </w:p>
    <w:p w14:paraId="4B85C7BE" w14:textId="3A5B73AA" w:rsidR="006060F6" w:rsidRPr="006060F6" w:rsidRDefault="006060F6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0F6">
        <w:rPr>
          <w:rFonts w:ascii="Times New Roman" w:hAnsi="Times New Roman" w:cs="Times New Roman"/>
          <w:sz w:val="24"/>
          <w:szCs w:val="24"/>
        </w:rPr>
        <w:t>W związku z powyższym udział społeczeństwa oraz możliwość zgłaszania uwag i wniosków do przedmiotowego zarządzenia obejmuje zmiany we wskazanym powyżej zakresie.</w:t>
      </w:r>
    </w:p>
    <w:p w14:paraId="6A89708B" w14:textId="01DD8829" w:rsidR="00516E80" w:rsidRDefault="00516E80" w:rsidP="00516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E80">
        <w:rPr>
          <w:rFonts w:ascii="Times New Roman" w:hAnsi="Times New Roman" w:cs="Times New Roman"/>
          <w:sz w:val="24"/>
          <w:szCs w:val="24"/>
        </w:rPr>
        <w:t>Obwieszczeniem z dnia</w:t>
      </w:r>
      <w:r w:rsidR="000A1A0B">
        <w:rPr>
          <w:rFonts w:ascii="Times New Roman" w:hAnsi="Times New Roman" w:cs="Times New Roman"/>
          <w:sz w:val="24"/>
          <w:szCs w:val="24"/>
        </w:rPr>
        <w:t xml:space="preserve"> </w:t>
      </w:r>
      <w:r w:rsidR="006777D1">
        <w:rPr>
          <w:rFonts w:ascii="Times New Roman" w:hAnsi="Times New Roman" w:cs="Times New Roman"/>
          <w:sz w:val="24"/>
          <w:szCs w:val="24"/>
        </w:rPr>
        <w:t>…..</w:t>
      </w:r>
      <w:r w:rsidRPr="00516E8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 xml:space="preserve"> r., znak: WOP.6320</w:t>
      </w:r>
      <w:r w:rsidR="000A1A0B">
        <w:rPr>
          <w:rFonts w:ascii="Times New Roman" w:hAnsi="Times New Roman" w:cs="Times New Roman"/>
          <w:sz w:val="24"/>
          <w:szCs w:val="24"/>
        </w:rPr>
        <w:t>.</w:t>
      </w:r>
      <w:r w:rsidR="006777D1">
        <w:rPr>
          <w:rFonts w:ascii="Times New Roman" w:hAnsi="Times New Roman" w:cs="Times New Roman"/>
          <w:sz w:val="24"/>
          <w:szCs w:val="24"/>
        </w:rPr>
        <w:t>12</w:t>
      </w:r>
      <w:r w:rsidR="000A1A0B">
        <w:rPr>
          <w:rFonts w:ascii="Times New Roman" w:hAnsi="Times New Roman" w:cs="Times New Roman"/>
          <w:sz w:val="24"/>
          <w:szCs w:val="24"/>
        </w:rPr>
        <w:t xml:space="preserve">.2022.SD </w:t>
      </w:r>
      <w:r w:rsidRPr="00516E80">
        <w:rPr>
          <w:rFonts w:ascii="Times New Roman" w:hAnsi="Times New Roman" w:cs="Times New Roman"/>
          <w:sz w:val="24"/>
          <w:szCs w:val="24"/>
        </w:rPr>
        <w:t xml:space="preserve">Regionalny Dyrektor Ochrony Środowiska w Bydgoszczy poinformował o przystąpieniu do opracowywania projektu zmiany planu zadań ochronnych dla obszaru Natura 2000 oraz o możliwości złożenia uwag i wniosków do projektu zmiany planu zadań ochronnych dla obszaru Natura 2000. Obwieszczenie zostało zamieszczone w Biuletynie Informacji Publicznej Regionalnej Dyrekcji Ochrony Środowiska w Bydgoszczy w dniu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516E8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 xml:space="preserve"> r. oraz wywieszone na tablicy ogłoszeń w siedzibie tut. Urzędu w okresie od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516E8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 xml:space="preserve"> r. do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516E8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132F007" w14:textId="0AD6B925" w:rsidR="00516E80" w:rsidRPr="00516E80" w:rsidRDefault="00516E80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E80">
        <w:rPr>
          <w:rFonts w:ascii="Times New Roman" w:hAnsi="Times New Roman" w:cs="Times New Roman"/>
          <w:sz w:val="24"/>
          <w:szCs w:val="24"/>
        </w:rPr>
        <w:t xml:space="preserve">Ponadto dnia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516E8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 xml:space="preserve"> r. zamieszczone ogłoszenie w prasie o zasięgu na powiaty: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516E80">
        <w:rPr>
          <w:rFonts w:ascii="Times New Roman" w:hAnsi="Times New Roman" w:cs="Times New Roman"/>
          <w:sz w:val="24"/>
          <w:szCs w:val="24"/>
        </w:rPr>
        <w:t xml:space="preserve">, na terenie których położony jest ww. obszar Natura 2000, a także dnia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516E8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 xml:space="preserve"> r. zamieszczono stosowną informację w aktualnościach na stronie internetowej tut. Urzędu.</w:t>
      </w:r>
    </w:p>
    <w:p w14:paraId="6A2EF8DC" w14:textId="62FF5CD1" w:rsidR="00516E80" w:rsidRPr="00516E80" w:rsidRDefault="00516E80" w:rsidP="00516E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E8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Z</w:t>
      </w:r>
      <w:r w:rsidRPr="00516E80">
        <w:rPr>
          <w:rFonts w:ascii="Times New Roman" w:hAnsi="Times New Roman" w:cs="Times New Roman"/>
          <w:sz w:val="24"/>
          <w:szCs w:val="24"/>
        </w:rPr>
        <w:t xml:space="preserve">godnie z art. 21 ust. 2 pkt 24 lit. a ustawy z dnia 3 października 2008 r. o udostępnianiu informacji o środowisku i jego ochronie, udziale społeczeństwa w ochronie środowiska oraz o ocenach oddziaływania na środowisko (Dz. U. z 2021 r. poz. 247 ze zm.) projekt planu zadań ochronnych zamieszczono w publicznie dostępnym wykazie danych ekoportal.gov.pl (pod numerem karty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516E80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6E80">
        <w:rPr>
          <w:rFonts w:ascii="Times New Roman" w:hAnsi="Times New Roman" w:cs="Times New Roman"/>
          <w:sz w:val="24"/>
          <w:szCs w:val="24"/>
        </w:rPr>
        <w:t>).</w:t>
      </w:r>
    </w:p>
    <w:p w14:paraId="2D4D46E6" w14:textId="41B70321" w:rsidR="00516E80" w:rsidRDefault="00516E80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E80">
        <w:rPr>
          <w:rFonts w:ascii="Times New Roman" w:hAnsi="Times New Roman" w:cs="Times New Roman"/>
          <w:sz w:val="24"/>
          <w:szCs w:val="24"/>
        </w:rPr>
        <w:t>W ten sposób zapewniono możliwość udziału społeczeństwa na zasadach i w trybie określonym w ustawie o udostępnianiu informacji o środowisku i jego ochronie, udziale społeczeństwa w ochronie środowiska oraz o ocenach oddziaływania na środowisko, w postępowaniu, którego przedmiotem jest sporządzenie zmiany planu zadań ochronnych dla ww. obszaru Natura 2000.</w:t>
      </w:r>
      <w:r w:rsidR="006060F6" w:rsidRPr="006060F6">
        <w:rPr>
          <w:rFonts w:ascii="Times New Roman" w:hAnsi="Times New Roman" w:cs="Times New Roman"/>
          <w:sz w:val="24"/>
          <w:szCs w:val="24"/>
        </w:rPr>
        <w:tab/>
      </w:r>
    </w:p>
    <w:p w14:paraId="55D54397" w14:textId="2D3E08D5" w:rsidR="00516E80" w:rsidRDefault="00516E80" w:rsidP="00516E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0F6">
        <w:rPr>
          <w:rFonts w:ascii="Times New Roman" w:hAnsi="Times New Roman" w:cs="Times New Roman"/>
          <w:sz w:val="24"/>
          <w:szCs w:val="24"/>
        </w:rPr>
        <w:t>Projekt przedmiotowego zarządzenia, zgodnie z art. 59 ust. 2 ustawy z dnia 23 stycznia 2009 r. o wojewodzie i administracji rządowej w województwie (Dz. U. z 2019 r. poz. 1464 ze zm.), został uzgodniony z Wojewodą Kujawsko-Pomorskim ……</w:t>
      </w:r>
    </w:p>
    <w:p w14:paraId="45345483" w14:textId="6DD85E86" w:rsidR="006060F6" w:rsidRDefault="006060F6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29C2A1" w14:textId="631C753A" w:rsidR="00304699" w:rsidRDefault="00304699" w:rsidP="00E04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304699" w:rsidSect="006060F6">
      <w:endnotePr>
        <w:numFmt w:val="decimal"/>
      </w:endnotePr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C47F3" w14:textId="77777777" w:rsidR="008477F7" w:rsidRDefault="008477F7" w:rsidP="009938F0">
      <w:pPr>
        <w:spacing w:after="0" w:line="240" w:lineRule="auto"/>
      </w:pPr>
      <w:r>
        <w:separator/>
      </w:r>
    </w:p>
  </w:endnote>
  <w:endnote w:type="continuationSeparator" w:id="0">
    <w:p w14:paraId="77ACB41B" w14:textId="77777777" w:rsidR="008477F7" w:rsidRDefault="008477F7" w:rsidP="009938F0">
      <w:pPr>
        <w:spacing w:after="0" w:line="240" w:lineRule="auto"/>
      </w:pPr>
      <w:r>
        <w:continuationSeparator/>
      </w:r>
    </w:p>
  </w:endnote>
  <w:endnote w:id="1">
    <w:p w14:paraId="551FFC51" w14:textId="160EA061" w:rsidR="00C9687B" w:rsidRPr="00304699" w:rsidRDefault="00C9687B">
      <w:pPr>
        <w:pStyle w:val="Tekstprzypisukocowego"/>
        <w:rPr>
          <w:rFonts w:ascii="Times New Roman" w:hAnsi="Times New Roman"/>
        </w:rPr>
      </w:pPr>
      <w:r w:rsidRPr="00304699">
        <w:rPr>
          <w:rStyle w:val="Odwoanieprzypisukocowego"/>
          <w:rFonts w:ascii="Times New Roman" w:hAnsi="Times New Roman"/>
        </w:rPr>
        <w:endnoteRef/>
      </w:r>
      <w:r w:rsidRPr="00304699">
        <w:rPr>
          <w:rFonts w:ascii="Times New Roman" w:hAnsi="Times New Roman"/>
        </w:rPr>
        <w:t xml:space="preserve"> Parametry/wskaźniki stanu ochrony, zostały oparte na podstawie wskaźników stanu zachowania zawartych w metodyce monitoringu, o którym mowa w art. 112 ust. 2 ustawy o ochronie przyrody, a także  raportów, o których mowa w art. 38 tej. ustawy.</w:t>
      </w:r>
    </w:p>
  </w:endnote>
  <w:endnote w:id="2">
    <w:p w14:paraId="450AAA3C" w14:textId="45318A0D" w:rsidR="00C9687B" w:rsidRPr="00304699" w:rsidRDefault="00C9687B">
      <w:pPr>
        <w:pStyle w:val="Tekstprzypisukocowego"/>
        <w:rPr>
          <w:rFonts w:ascii="Times New Roman" w:hAnsi="Times New Roman"/>
        </w:rPr>
      </w:pPr>
      <w:r w:rsidRPr="00304699">
        <w:rPr>
          <w:rStyle w:val="Odwoanieprzypisukocowego"/>
          <w:rFonts w:ascii="Times New Roman" w:hAnsi="Times New Roman"/>
        </w:rPr>
        <w:endnoteRef/>
      </w:r>
      <w:r w:rsidRPr="00304699">
        <w:rPr>
          <w:rFonts w:ascii="Times New Roman" w:hAnsi="Times New Roman"/>
        </w:rPr>
        <w:t xml:space="preserve"> Cel ochrony uwzględnia najnowsze z dostępnych oceny stanu zachowania dla poszczególnych wskaźników, które posłużyły do określenia Przedmiotów celu ochrony.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A203" w14:textId="77777777" w:rsidR="008477F7" w:rsidRDefault="008477F7" w:rsidP="009938F0">
      <w:pPr>
        <w:spacing w:after="0" w:line="240" w:lineRule="auto"/>
      </w:pPr>
      <w:r>
        <w:separator/>
      </w:r>
    </w:p>
  </w:footnote>
  <w:footnote w:type="continuationSeparator" w:id="0">
    <w:p w14:paraId="5B591D6B" w14:textId="77777777" w:rsidR="008477F7" w:rsidRDefault="008477F7" w:rsidP="0099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A08"/>
    <w:multiLevelType w:val="multilevel"/>
    <w:tmpl w:val="44CE05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A7CE5"/>
    <w:multiLevelType w:val="multilevel"/>
    <w:tmpl w:val="7F6CCD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FE4173"/>
    <w:multiLevelType w:val="hybridMultilevel"/>
    <w:tmpl w:val="2D129062"/>
    <w:lvl w:ilvl="0" w:tplc="E34C8C98">
      <w:start w:val="4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4F24"/>
    <w:multiLevelType w:val="multilevel"/>
    <w:tmpl w:val="C30A0B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7A0C53"/>
    <w:multiLevelType w:val="multilevel"/>
    <w:tmpl w:val="E132EF80"/>
    <w:lvl w:ilvl="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C6311"/>
    <w:multiLevelType w:val="multilevel"/>
    <w:tmpl w:val="9CECA5A4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42729"/>
    <w:multiLevelType w:val="multilevel"/>
    <w:tmpl w:val="FD068572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CA7082"/>
    <w:multiLevelType w:val="hybridMultilevel"/>
    <w:tmpl w:val="A8B6BB8E"/>
    <w:lvl w:ilvl="0" w:tplc="FF2C065A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1E3E88"/>
    <w:multiLevelType w:val="multilevel"/>
    <w:tmpl w:val="63CE3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535A9C"/>
    <w:multiLevelType w:val="hybridMultilevel"/>
    <w:tmpl w:val="75DA8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23C3"/>
    <w:multiLevelType w:val="multilevel"/>
    <w:tmpl w:val="578E6BB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42348"/>
    <w:multiLevelType w:val="multilevel"/>
    <w:tmpl w:val="8EC47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F4678"/>
    <w:multiLevelType w:val="multilevel"/>
    <w:tmpl w:val="796E0A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5D13E1"/>
    <w:multiLevelType w:val="multilevel"/>
    <w:tmpl w:val="7FEAA1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353CE2"/>
    <w:multiLevelType w:val="hybridMultilevel"/>
    <w:tmpl w:val="E64479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A472D"/>
    <w:multiLevelType w:val="multilevel"/>
    <w:tmpl w:val="748ED8F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0D1474"/>
    <w:multiLevelType w:val="hybridMultilevel"/>
    <w:tmpl w:val="7188C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36945"/>
    <w:multiLevelType w:val="multilevel"/>
    <w:tmpl w:val="7AF22CA8"/>
    <w:lvl w:ilvl="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682F74"/>
    <w:multiLevelType w:val="hybridMultilevel"/>
    <w:tmpl w:val="6E66B2DA"/>
    <w:lvl w:ilvl="0" w:tplc="272AF0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A550A3"/>
    <w:multiLevelType w:val="multilevel"/>
    <w:tmpl w:val="9788B55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3435D2"/>
    <w:multiLevelType w:val="multilevel"/>
    <w:tmpl w:val="DAE89168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316B45"/>
    <w:multiLevelType w:val="hybridMultilevel"/>
    <w:tmpl w:val="906277EA"/>
    <w:lvl w:ilvl="0" w:tplc="1B92153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429FE"/>
    <w:multiLevelType w:val="multilevel"/>
    <w:tmpl w:val="63FADCA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7F6073"/>
    <w:multiLevelType w:val="hybridMultilevel"/>
    <w:tmpl w:val="54E8B4A4"/>
    <w:lvl w:ilvl="0" w:tplc="E996AB3A">
      <w:start w:val="113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33C65"/>
    <w:multiLevelType w:val="multilevel"/>
    <w:tmpl w:val="7AF22CA8"/>
    <w:lvl w:ilvl="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556F25"/>
    <w:multiLevelType w:val="multilevel"/>
    <w:tmpl w:val="403817BE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3F60FF"/>
    <w:multiLevelType w:val="multilevel"/>
    <w:tmpl w:val="E4CE7068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9A6B1B"/>
    <w:multiLevelType w:val="hybridMultilevel"/>
    <w:tmpl w:val="1A7A1086"/>
    <w:lvl w:ilvl="0" w:tplc="53CAE0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41BD4"/>
    <w:multiLevelType w:val="multilevel"/>
    <w:tmpl w:val="937EE2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B57F4B"/>
    <w:multiLevelType w:val="multilevel"/>
    <w:tmpl w:val="4E86FA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96F6D04"/>
    <w:multiLevelType w:val="multilevel"/>
    <w:tmpl w:val="17B008D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E55C71"/>
    <w:multiLevelType w:val="multilevel"/>
    <w:tmpl w:val="440287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05712E"/>
    <w:multiLevelType w:val="multilevel"/>
    <w:tmpl w:val="745EC866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C714C4"/>
    <w:multiLevelType w:val="multilevel"/>
    <w:tmpl w:val="923ECB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0B4A21"/>
    <w:multiLevelType w:val="multilevel"/>
    <w:tmpl w:val="3BC8E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0884114">
    <w:abstractNumId w:val="29"/>
  </w:num>
  <w:num w:numId="2" w16cid:durableId="1393121078">
    <w:abstractNumId w:val="34"/>
  </w:num>
  <w:num w:numId="3" w16cid:durableId="1560096363">
    <w:abstractNumId w:val="33"/>
  </w:num>
  <w:num w:numId="4" w16cid:durableId="1521968744">
    <w:abstractNumId w:val="11"/>
  </w:num>
  <w:num w:numId="5" w16cid:durableId="254290268">
    <w:abstractNumId w:val="6"/>
  </w:num>
  <w:num w:numId="6" w16cid:durableId="412364386">
    <w:abstractNumId w:val="32"/>
  </w:num>
  <w:num w:numId="7" w16cid:durableId="1556355852">
    <w:abstractNumId w:val="22"/>
  </w:num>
  <w:num w:numId="8" w16cid:durableId="857541487">
    <w:abstractNumId w:val="26"/>
  </w:num>
  <w:num w:numId="9" w16cid:durableId="1012607869">
    <w:abstractNumId w:val="25"/>
  </w:num>
  <w:num w:numId="10" w16cid:durableId="2081906194">
    <w:abstractNumId w:val="3"/>
  </w:num>
  <w:num w:numId="11" w16cid:durableId="192883591">
    <w:abstractNumId w:val="31"/>
  </w:num>
  <w:num w:numId="12" w16cid:durableId="1203328144">
    <w:abstractNumId w:val="5"/>
  </w:num>
  <w:num w:numId="13" w16cid:durableId="1836069146">
    <w:abstractNumId w:val="30"/>
  </w:num>
  <w:num w:numId="14" w16cid:durableId="1799451272">
    <w:abstractNumId w:val="20"/>
  </w:num>
  <w:num w:numId="15" w16cid:durableId="2064674378">
    <w:abstractNumId w:val="28"/>
  </w:num>
  <w:num w:numId="16" w16cid:durableId="1944653865">
    <w:abstractNumId w:val="15"/>
  </w:num>
  <w:num w:numId="17" w16cid:durableId="812061313">
    <w:abstractNumId w:val="12"/>
  </w:num>
  <w:num w:numId="18" w16cid:durableId="74478467">
    <w:abstractNumId w:val="8"/>
  </w:num>
  <w:num w:numId="19" w16cid:durableId="1877501952">
    <w:abstractNumId w:val="0"/>
  </w:num>
  <w:num w:numId="20" w16cid:durableId="2137408136">
    <w:abstractNumId w:val="13"/>
  </w:num>
  <w:num w:numId="21" w16cid:durableId="265307527">
    <w:abstractNumId w:val="4"/>
  </w:num>
  <w:num w:numId="22" w16cid:durableId="1816334359">
    <w:abstractNumId w:val="24"/>
  </w:num>
  <w:num w:numId="23" w16cid:durableId="99683490">
    <w:abstractNumId w:val="1"/>
  </w:num>
  <w:num w:numId="24" w16cid:durableId="1556164382">
    <w:abstractNumId w:val="10"/>
  </w:num>
  <w:num w:numId="25" w16cid:durableId="927538851">
    <w:abstractNumId w:val="19"/>
  </w:num>
  <w:num w:numId="26" w16cid:durableId="26640377">
    <w:abstractNumId w:val="7"/>
  </w:num>
  <w:num w:numId="27" w16cid:durableId="1074087635">
    <w:abstractNumId w:val="2"/>
  </w:num>
  <w:num w:numId="28" w16cid:durableId="548996893">
    <w:abstractNumId w:val="17"/>
  </w:num>
  <w:num w:numId="29" w16cid:durableId="686255663">
    <w:abstractNumId w:val="21"/>
  </w:num>
  <w:num w:numId="30" w16cid:durableId="1463693816">
    <w:abstractNumId w:val="23"/>
  </w:num>
  <w:num w:numId="31" w16cid:durableId="695619306">
    <w:abstractNumId w:val="9"/>
  </w:num>
  <w:num w:numId="32" w16cid:durableId="1992326445">
    <w:abstractNumId w:val="16"/>
  </w:num>
  <w:num w:numId="33" w16cid:durableId="2113240512">
    <w:abstractNumId w:val="27"/>
  </w:num>
  <w:num w:numId="34" w16cid:durableId="387145532">
    <w:abstractNumId w:val="14"/>
  </w:num>
  <w:num w:numId="35" w16cid:durableId="7538638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F2"/>
    <w:rsid w:val="00001774"/>
    <w:rsid w:val="000038E9"/>
    <w:rsid w:val="00004EE4"/>
    <w:rsid w:val="00021144"/>
    <w:rsid w:val="000270EF"/>
    <w:rsid w:val="000309C2"/>
    <w:rsid w:val="00034F2C"/>
    <w:rsid w:val="00036B1A"/>
    <w:rsid w:val="0004060E"/>
    <w:rsid w:val="00051171"/>
    <w:rsid w:val="00052E56"/>
    <w:rsid w:val="000543CE"/>
    <w:rsid w:val="00055080"/>
    <w:rsid w:val="00055BF5"/>
    <w:rsid w:val="00055DA7"/>
    <w:rsid w:val="000560A4"/>
    <w:rsid w:val="0007029E"/>
    <w:rsid w:val="00071216"/>
    <w:rsid w:val="00072C6E"/>
    <w:rsid w:val="00073D28"/>
    <w:rsid w:val="0008226E"/>
    <w:rsid w:val="00090262"/>
    <w:rsid w:val="00090588"/>
    <w:rsid w:val="000A1A0B"/>
    <w:rsid w:val="000A207F"/>
    <w:rsid w:val="000A374D"/>
    <w:rsid w:val="000B1C98"/>
    <w:rsid w:val="000B247A"/>
    <w:rsid w:val="000C27D4"/>
    <w:rsid w:val="000C32C5"/>
    <w:rsid w:val="000C3F7C"/>
    <w:rsid w:val="000C4B37"/>
    <w:rsid w:val="000C66B2"/>
    <w:rsid w:val="000D0492"/>
    <w:rsid w:val="000D2098"/>
    <w:rsid w:val="000D32CE"/>
    <w:rsid w:val="000D3F35"/>
    <w:rsid w:val="000D4BD8"/>
    <w:rsid w:val="000D52B9"/>
    <w:rsid w:val="000E4CF0"/>
    <w:rsid w:val="000E5D74"/>
    <w:rsid w:val="000E718F"/>
    <w:rsid w:val="000F2A7D"/>
    <w:rsid w:val="000F7222"/>
    <w:rsid w:val="0010080C"/>
    <w:rsid w:val="001026B1"/>
    <w:rsid w:val="001049F0"/>
    <w:rsid w:val="00107E6A"/>
    <w:rsid w:val="0011087F"/>
    <w:rsid w:val="00116003"/>
    <w:rsid w:val="00121717"/>
    <w:rsid w:val="0012519D"/>
    <w:rsid w:val="0012526E"/>
    <w:rsid w:val="00130BAC"/>
    <w:rsid w:val="00134402"/>
    <w:rsid w:val="00134424"/>
    <w:rsid w:val="00136B7F"/>
    <w:rsid w:val="00143386"/>
    <w:rsid w:val="00146341"/>
    <w:rsid w:val="001474CE"/>
    <w:rsid w:val="0015339F"/>
    <w:rsid w:val="00153864"/>
    <w:rsid w:val="00157537"/>
    <w:rsid w:val="001603AD"/>
    <w:rsid w:val="001621D8"/>
    <w:rsid w:val="00167269"/>
    <w:rsid w:val="00170827"/>
    <w:rsid w:val="0017128A"/>
    <w:rsid w:val="00183C67"/>
    <w:rsid w:val="001841A9"/>
    <w:rsid w:val="00184265"/>
    <w:rsid w:val="00185236"/>
    <w:rsid w:val="0019236E"/>
    <w:rsid w:val="001923C7"/>
    <w:rsid w:val="00194697"/>
    <w:rsid w:val="00195CB6"/>
    <w:rsid w:val="001962E0"/>
    <w:rsid w:val="001A3C14"/>
    <w:rsid w:val="001B0021"/>
    <w:rsid w:val="001B1162"/>
    <w:rsid w:val="001B152E"/>
    <w:rsid w:val="001B4B7E"/>
    <w:rsid w:val="001B6C49"/>
    <w:rsid w:val="001B7C7B"/>
    <w:rsid w:val="001C2EB4"/>
    <w:rsid w:val="001C52C8"/>
    <w:rsid w:val="001C5BD8"/>
    <w:rsid w:val="001D0B12"/>
    <w:rsid w:val="001D3920"/>
    <w:rsid w:val="001D46AB"/>
    <w:rsid w:val="001D6DC9"/>
    <w:rsid w:val="001E0C7F"/>
    <w:rsid w:val="001E0FB3"/>
    <w:rsid w:val="001E36B4"/>
    <w:rsid w:val="001E6B33"/>
    <w:rsid w:val="001F1B7B"/>
    <w:rsid w:val="001F6183"/>
    <w:rsid w:val="001F6CE3"/>
    <w:rsid w:val="00203DE9"/>
    <w:rsid w:val="00207E25"/>
    <w:rsid w:val="00214D7E"/>
    <w:rsid w:val="00217117"/>
    <w:rsid w:val="002220F3"/>
    <w:rsid w:val="00230887"/>
    <w:rsid w:val="002334F0"/>
    <w:rsid w:val="00234CFB"/>
    <w:rsid w:val="0024083B"/>
    <w:rsid w:val="00242424"/>
    <w:rsid w:val="002444C4"/>
    <w:rsid w:val="00244B9B"/>
    <w:rsid w:val="002505A1"/>
    <w:rsid w:val="00252AA9"/>
    <w:rsid w:val="00266348"/>
    <w:rsid w:val="002704A2"/>
    <w:rsid w:val="002745B8"/>
    <w:rsid w:val="00275D88"/>
    <w:rsid w:val="00283E52"/>
    <w:rsid w:val="002873CB"/>
    <w:rsid w:val="00290B84"/>
    <w:rsid w:val="002933F9"/>
    <w:rsid w:val="00295316"/>
    <w:rsid w:val="00295930"/>
    <w:rsid w:val="00296313"/>
    <w:rsid w:val="002967AE"/>
    <w:rsid w:val="00296BAC"/>
    <w:rsid w:val="002A3689"/>
    <w:rsid w:val="002A7740"/>
    <w:rsid w:val="002B4DDC"/>
    <w:rsid w:val="002B563A"/>
    <w:rsid w:val="002C199E"/>
    <w:rsid w:val="002C3867"/>
    <w:rsid w:val="002C7D43"/>
    <w:rsid w:val="002D1A28"/>
    <w:rsid w:val="002E1DD1"/>
    <w:rsid w:val="002E3035"/>
    <w:rsid w:val="002E4744"/>
    <w:rsid w:val="002E51FE"/>
    <w:rsid w:val="002F00D6"/>
    <w:rsid w:val="002F3D35"/>
    <w:rsid w:val="002F715F"/>
    <w:rsid w:val="00301BD5"/>
    <w:rsid w:val="003035B9"/>
    <w:rsid w:val="00304699"/>
    <w:rsid w:val="00307729"/>
    <w:rsid w:val="00311DEE"/>
    <w:rsid w:val="003147F4"/>
    <w:rsid w:val="00315487"/>
    <w:rsid w:val="00322F23"/>
    <w:rsid w:val="00327918"/>
    <w:rsid w:val="003311CB"/>
    <w:rsid w:val="003337A4"/>
    <w:rsid w:val="003401EB"/>
    <w:rsid w:val="00342731"/>
    <w:rsid w:val="0034391E"/>
    <w:rsid w:val="003462D9"/>
    <w:rsid w:val="00352823"/>
    <w:rsid w:val="003546EC"/>
    <w:rsid w:val="00356B3C"/>
    <w:rsid w:val="00356F37"/>
    <w:rsid w:val="00357A75"/>
    <w:rsid w:val="003604A5"/>
    <w:rsid w:val="00360834"/>
    <w:rsid w:val="00360A06"/>
    <w:rsid w:val="00360CEB"/>
    <w:rsid w:val="00366634"/>
    <w:rsid w:val="003706D4"/>
    <w:rsid w:val="00371A1B"/>
    <w:rsid w:val="00380407"/>
    <w:rsid w:val="003844E3"/>
    <w:rsid w:val="00386FCC"/>
    <w:rsid w:val="00387C5B"/>
    <w:rsid w:val="00391713"/>
    <w:rsid w:val="003940CC"/>
    <w:rsid w:val="003976CF"/>
    <w:rsid w:val="003A03E8"/>
    <w:rsid w:val="003A1223"/>
    <w:rsid w:val="003B158F"/>
    <w:rsid w:val="003B1A90"/>
    <w:rsid w:val="003B35BF"/>
    <w:rsid w:val="003B5E9B"/>
    <w:rsid w:val="003C0DFC"/>
    <w:rsid w:val="003C2181"/>
    <w:rsid w:val="003D1411"/>
    <w:rsid w:val="003D19E4"/>
    <w:rsid w:val="003E4BE9"/>
    <w:rsid w:val="003E68F7"/>
    <w:rsid w:val="003F0BE2"/>
    <w:rsid w:val="003F1871"/>
    <w:rsid w:val="003F34F0"/>
    <w:rsid w:val="003F362B"/>
    <w:rsid w:val="003F46CF"/>
    <w:rsid w:val="00406E5A"/>
    <w:rsid w:val="00407C48"/>
    <w:rsid w:val="00407F89"/>
    <w:rsid w:val="00414B9F"/>
    <w:rsid w:val="00416258"/>
    <w:rsid w:val="0042088E"/>
    <w:rsid w:val="00422C1D"/>
    <w:rsid w:val="00430C62"/>
    <w:rsid w:val="004312D8"/>
    <w:rsid w:val="004408C1"/>
    <w:rsid w:val="00444E1C"/>
    <w:rsid w:val="00454821"/>
    <w:rsid w:val="00454C44"/>
    <w:rsid w:val="004561F1"/>
    <w:rsid w:val="00457D0F"/>
    <w:rsid w:val="00460D49"/>
    <w:rsid w:val="00462340"/>
    <w:rsid w:val="0047480C"/>
    <w:rsid w:val="0047495F"/>
    <w:rsid w:val="0048451D"/>
    <w:rsid w:val="00484D0D"/>
    <w:rsid w:val="004855BE"/>
    <w:rsid w:val="004874D1"/>
    <w:rsid w:val="00493B5D"/>
    <w:rsid w:val="00495918"/>
    <w:rsid w:val="00496234"/>
    <w:rsid w:val="004A1549"/>
    <w:rsid w:val="004A1E1E"/>
    <w:rsid w:val="004A248F"/>
    <w:rsid w:val="004A2D86"/>
    <w:rsid w:val="004A3870"/>
    <w:rsid w:val="004A7B39"/>
    <w:rsid w:val="004B2005"/>
    <w:rsid w:val="004B79E0"/>
    <w:rsid w:val="004B7DA7"/>
    <w:rsid w:val="004C248F"/>
    <w:rsid w:val="004C599D"/>
    <w:rsid w:val="004D1B1B"/>
    <w:rsid w:val="004D44B4"/>
    <w:rsid w:val="004E1566"/>
    <w:rsid w:val="004E4C0F"/>
    <w:rsid w:val="004F41C9"/>
    <w:rsid w:val="004F4F1D"/>
    <w:rsid w:val="004F514A"/>
    <w:rsid w:val="005121EB"/>
    <w:rsid w:val="005127E5"/>
    <w:rsid w:val="00515EC5"/>
    <w:rsid w:val="005166D3"/>
    <w:rsid w:val="00516E80"/>
    <w:rsid w:val="00520F95"/>
    <w:rsid w:val="00525CBF"/>
    <w:rsid w:val="00525EF8"/>
    <w:rsid w:val="005278B0"/>
    <w:rsid w:val="00527FC8"/>
    <w:rsid w:val="005358E9"/>
    <w:rsid w:val="00542C3B"/>
    <w:rsid w:val="0054400A"/>
    <w:rsid w:val="0054494D"/>
    <w:rsid w:val="00547E3A"/>
    <w:rsid w:val="00554830"/>
    <w:rsid w:val="005568F6"/>
    <w:rsid w:val="0056688A"/>
    <w:rsid w:val="005705FB"/>
    <w:rsid w:val="00572AB3"/>
    <w:rsid w:val="00576FE6"/>
    <w:rsid w:val="005773FA"/>
    <w:rsid w:val="0058508F"/>
    <w:rsid w:val="0059018B"/>
    <w:rsid w:val="00593AA4"/>
    <w:rsid w:val="00594D15"/>
    <w:rsid w:val="00597D04"/>
    <w:rsid w:val="005B11BF"/>
    <w:rsid w:val="005B24B1"/>
    <w:rsid w:val="005B2C26"/>
    <w:rsid w:val="005B53E9"/>
    <w:rsid w:val="005B5906"/>
    <w:rsid w:val="005C206A"/>
    <w:rsid w:val="005C62A8"/>
    <w:rsid w:val="005C63A4"/>
    <w:rsid w:val="005D0D60"/>
    <w:rsid w:val="005D322B"/>
    <w:rsid w:val="005E10A0"/>
    <w:rsid w:val="005E23F2"/>
    <w:rsid w:val="005F27ED"/>
    <w:rsid w:val="005F4602"/>
    <w:rsid w:val="005F4AEE"/>
    <w:rsid w:val="005F4E65"/>
    <w:rsid w:val="006059B4"/>
    <w:rsid w:val="006060F6"/>
    <w:rsid w:val="006073F4"/>
    <w:rsid w:val="006137B3"/>
    <w:rsid w:val="006157DF"/>
    <w:rsid w:val="00620A6B"/>
    <w:rsid w:val="00620D7C"/>
    <w:rsid w:val="0062284F"/>
    <w:rsid w:val="00624B03"/>
    <w:rsid w:val="00630E9A"/>
    <w:rsid w:val="00636A2F"/>
    <w:rsid w:val="00640818"/>
    <w:rsid w:val="0064439A"/>
    <w:rsid w:val="006477FC"/>
    <w:rsid w:val="00650B61"/>
    <w:rsid w:val="006514BD"/>
    <w:rsid w:val="006526EA"/>
    <w:rsid w:val="0066379A"/>
    <w:rsid w:val="00665F1F"/>
    <w:rsid w:val="00667484"/>
    <w:rsid w:val="006720FF"/>
    <w:rsid w:val="0067554A"/>
    <w:rsid w:val="006777D1"/>
    <w:rsid w:val="00680604"/>
    <w:rsid w:val="00681038"/>
    <w:rsid w:val="0068188F"/>
    <w:rsid w:val="0068763C"/>
    <w:rsid w:val="00694F14"/>
    <w:rsid w:val="00697172"/>
    <w:rsid w:val="006A3BBD"/>
    <w:rsid w:val="006A71A5"/>
    <w:rsid w:val="006B2B99"/>
    <w:rsid w:val="006C0308"/>
    <w:rsid w:val="006C06DE"/>
    <w:rsid w:val="006C10C7"/>
    <w:rsid w:val="006D3D46"/>
    <w:rsid w:val="006E7915"/>
    <w:rsid w:val="006F2953"/>
    <w:rsid w:val="006F484C"/>
    <w:rsid w:val="006F497D"/>
    <w:rsid w:val="00700048"/>
    <w:rsid w:val="007060B0"/>
    <w:rsid w:val="00707777"/>
    <w:rsid w:val="00710634"/>
    <w:rsid w:val="00717478"/>
    <w:rsid w:val="007174EB"/>
    <w:rsid w:val="00732BB9"/>
    <w:rsid w:val="00733BE4"/>
    <w:rsid w:val="0073432E"/>
    <w:rsid w:val="00734999"/>
    <w:rsid w:val="007379E8"/>
    <w:rsid w:val="00737E0A"/>
    <w:rsid w:val="007418E1"/>
    <w:rsid w:val="00741964"/>
    <w:rsid w:val="007432C4"/>
    <w:rsid w:val="00743999"/>
    <w:rsid w:val="00744D15"/>
    <w:rsid w:val="007457D5"/>
    <w:rsid w:val="0075184B"/>
    <w:rsid w:val="00754A59"/>
    <w:rsid w:val="00754D3D"/>
    <w:rsid w:val="007553DF"/>
    <w:rsid w:val="00770ADA"/>
    <w:rsid w:val="00771C2E"/>
    <w:rsid w:val="00772644"/>
    <w:rsid w:val="00774665"/>
    <w:rsid w:val="007817C5"/>
    <w:rsid w:val="007829B8"/>
    <w:rsid w:val="00783196"/>
    <w:rsid w:val="0078493D"/>
    <w:rsid w:val="00794B85"/>
    <w:rsid w:val="007968A3"/>
    <w:rsid w:val="007A0E96"/>
    <w:rsid w:val="007A565E"/>
    <w:rsid w:val="007A6289"/>
    <w:rsid w:val="007B4AE6"/>
    <w:rsid w:val="007C2ACF"/>
    <w:rsid w:val="007C2D54"/>
    <w:rsid w:val="007C5177"/>
    <w:rsid w:val="007D17D6"/>
    <w:rsid w:val="007D4B1F"/>
    <w:rsid w:val="007D72FF"/>
    <w:rsid w:val="007E0585"/>
    <w:rsid w:val="007E0BE2"/>
    <w:rsid w:val="007E7D4E"/>
    <w:rsid w:val="007F2561"/>
    <w:rsid w:val="00801FBC"/>
    <w:rsid w:val="00804F52"/>
    <w:rsid w:val="00810908"/>
    <w:rsid w:val="00812A67"/>
    <w:rsid w:val="008177A3"/>
    <w:rsid w:val="00820174"/>
    <w:rsid w:val="00821A36"/>
    <w:rsid w:val="00823F87"/>
    <w:rsid w:val="00832874"/>
    <w:rsid w:val="0083309B"/>
    <w:rsid w:val="008335C7"/>
    <w:rsid w:val="008347F3"/>
    <w:rsid w:val="00840C43"/>
    <w:rsid w:val="0084315E"/>
    <w:rsid w:val="00844D85"/>
    <w:rsid w:val="00846128"/>
    <w:rsid w:val="008477F7"/>
    <w:rsid w:val="0086008E"/>
    <w:rsid w:val="008649FB"/>
    <w:rsid w:val="00865DD9"/>
    <w:rsid w:val="008660DA"/>
    <w:rsid w:val="0086766D"/>
    <w:rsid w:val="00871389"/>
    <w:rsid w:val="00881C86"/>
    <w:rsid w:val="00890516"/>
    <w:rsid w:val="00890B4D"/>
    <w:rsid w:val="008930A1"/>
    <w:rsid w:val="0089477C"/>
    <w:rsid w:val="008A21E0"/>
    <w:rsid w:val="008A5963"/>
    <w:rsid w:val="008A5A43"/>
    <w:rsid w:val="008A6E32"/>
    <w:rsid w:val="008A7BA3"/>
    <w:rsid w:val="008B3B8E"/>
    <w:rsid w:val="008C55D9"/>
    <w:rsid w:val="008C73A1"/>
    <w:rsid w:val="008C78D4"/>
    <w:rsid w:val="008C7D76"/>
    <w:rsid w:val="008D0D53"/>
    <w:rsid w:val="008D2823"/>
    <w:rsid w:val="008D5B72"/>
    <w:rsid w:val="008D6AB6"/>
    <w:rsid w:val="008E1491"/>
    <w:rsid w:val="008E404D"/>
    <w:rsid w:val="008E4DA3"/>
    <w:rsid w:val="008E5138"/>
    <w:rsid w:val="008F6BD4"/>
    <w:rsid w:val="008F7BF4"/>
    <w:rsid w:val="00901E7C"/>
    <w:rsid w:val="00903D36"/>
    <w:rsid w:val="009043CF"/>
    <w:rsid w:val="00905F47"/>
    <w:rsid w:val="00914FA4"/>
    <w:rsid w:val="009277A5"/>
    <w:rsid w:val="0093032C"/>
    <w:rsid w:val="0093138D"/>
    <w:rsid w:val="00933800"/>
    <w:rsid w:val="009340F9"/>
    <w:rsid w:val="009352FF"/>
    <w:rsid w:val="0093668C"/>
    <w:rsid w:val="00942938"/>
    <w:rsid w:val="00942E76"/>
    <w:rsid w:val="00950823"/>
    <w:rsid w:val="00954E2C"/>
    <w:rsid w:val="00963488"/>
    <w:rsid w:val="00964B9B"/>
    <w:rsid w:val="00971EEF"/>
    <w:rsid w:val="00973632"/>
    <w:rsid w:val="00975393"/>
    <w:rsid w:val="00977855"/>
    <w:rsid w:val="00981016"/>
    <w:rsid w:val="009938F0"/>
    <w:rsid w:val="00996581"/>
    <w:rsid w:val="00996FCC"/>
    <w:rsid w:val="009A2F37"/>
    <w:rsid w:val="009A37CC"/>
    <w:rsid w:val="009A79A9"/>
    <w:rsid w:val="009B19AD"/>
    <w:rsid w:val="009B7630"/>
    <w:rsid w:val="009C1630"/>
    <w:rsid w:val="009C2D28"/>
    <w:rsid w:val="009C34C5"/>
    <w:rsid w:val="009C37CB"/>
    <w:rsid w:val="009C6E77"/>
    <w:rsid w:val="009D162A"/>
    <w:rsid w:val="009D2A8E"/>
    <w:rsid w:val="009D3091"/>
    <w:rsid w:val="009E0A2E"/>
    <w:rsid w:val="009E5AE9"/>
    <w:rsid w:val="009F07E8"/>
    <w:rsid w:val="009F7303"/>
    <w:rsid w:val="00A0117F"/>
    <w:rsid w:val="00A0249A"/>
    <w:rsid w:val="00A058D2"/>
    <w:rsid w:val="00A067E3"/>
    <w:rsid w:val="00A10F36"/>
    <w:rsid w:val="00A14CD1"/>
    <w:rsid w:val="00A1536B"/>
    <w:rsid w:val="00A17D82"/>
    <w:rsid w:val="00A31F3B"/>
    <w:rsid w:val="00A3495A"/>
    <w:rsid w:val="00A4172B"/>
    <w:rsid w:val="00A42747"/>
    <w:rsid w:val="00A42798"/>
    <w:rsid w:val="00A43161"/>
    <w:rsid w:val="00A55E1D"/>
    <w:rsid w:val="00A574AE"/>
    <w:rsid w:val="00A57BB4"/>
    <w:rsid w:val="00A618DB"/>
    <w:rsid w:val="00A628C1"/>
    <w:rsid w:val="00A670A2"/>
    <w:rsid w:val="00A67446"/>
    <w:rsid w:val="00A7151B"/>
    <w:rsid w:val="00A741F6"/>
    <w:rsid w:val="00A7585C"/>
    <w:rsid w:val="00A76895"/>
    <w:rsid w:val="00A82A40"/>
    <w:rsid w:val="00A8665E"/>
    <w:rsid w:val="00A86F81"/>
    <w:rsid w:val="00A8701F"/>
    <w:rsid w:val="00A871D6"/>
    <w:rsid w:val="00A87E95"/>
    <w:rsid w:val="00A92741"/>
    <w:rsid w:val="00AA0E90"/>
    <w:rsid w:val="00AA1EAF"/>
    <w:rsid w:val="00AA484C"/>
    <w:rsid w:val="00AB22A8"/>
    <w:rsid w:val="00AB25D9"/>
    <w:rsid w:val="00AB2D65"/>
    <w:rsid w:val="00AB3F28"/>
    <w:rsid w:val="00AB5DDB"/>
    <w:rsid w:val="00AC29F5"/>
    <w:rsid w:val="00AC611A"/>
    <w:rsid w:val="00AD004E"/>
    <w:rsid w:val="00AD35B2"/>
    <w:rsid w:val="00AD4B36"/>
    <w:rsid w:val="00AD699A"/>
    <w:rsid w:val="00AE3A6D"/>
    <w:rsid w:val="00AF0358"/>
    <w:rsid w:val="00AF1C58"/>
    <w:rsid w:val="00AF578A"/>
    <w:rsid w:val="00AF793A"/>
    <w:rsid w:val="00B0077F"/>
    <w:rsid w:val="00B01988"/>
    <w:rsid w:val="00B03087"/>
    <w:rsid w:val="00B10811"/>
    <w:rsid w:val="00B10EDF"/>
    <w:rsid w:val="00B11ECA"/>
    <w:rsid w:val="00B13665"/>
    <w:rsid w:val="00B157DA"/>
    <w:rsid w:val="00B16BBC"/>
    <w:rsid w:val="00B23835"/>
    <w:rsid w:val="00B36641"/>
    <w:rsid w:val="00B407CD"/>
    <w:rsid w:val="00B415ED"/>
    <w:rsid w:val="00B44823"/>
    <w:rsid w:val="00B477A5"/>
    <w:rsid w:val="00B5004A"/>
    <w:rsid w:val="00B52BD3"/>
    <w:rsid w:val="00B559FF"/>
    <w:rsid w:val="00B57A3E"/>
    <w:rsid w:val="00B60AE7"/>
    <w:rsid w:val="00B61B88"/>
    <w:rsid w:val="00B62EF2"/>
    <w:rsid w:val="00B63007"/>
    <w:rsid w:val="00B635F8"/>
    <w:rsid w:val="00B63EFA"/>
    <w:rsid w:val="00B715E3"/>
    <w:rsid w:val="00B754FE"/>
    <w:rsid w:val="00B76F5A"/>
    <w:rsid w:val="00B904E3"/>
    <w:rsid w:val="00B94DEA"/>
    <w:rsid w:val="00BA693F"/>
    <w:rsid w:val="00BA759B"/>
    <w:rsid w:val="00BB5729"/>
    <w:rsid w:val="00BB6FF1"/>
    <w:rsid w:val="00BC22B2"/>
    <w:rsid w:val="00BC2B61"/>
    <w:rsid w:val="00BC5044"/>
    <w:rsid w:val="00BC5BA9"/>
    <w:rsid w:val="00BC5D8C"/>
    <w:rsid w:val="00BC6B0C"/>
    <w:rsid w:val="00BC7411"/>
    <w:rsid w:val="00BC779A"/>
    <w:rsid w:val="00BD13B6"/>
    <w:rsid w:val="00BE1514"/>
    <w:rsid w:val="00BE3A1D"/>
    <w:rsid w:val="00C0049B"/>
    <w:rsid w:val="00C01DF2"/>
    <w:rsid w:val="00C02165"/>
    <w:rsid w:val="00C02C11"/>
    <w:rsid w:val="00C03E39"/>
    <w:rsid w:val="00C06DAF"/>
    <w:rsid w:val="00C112CB"/>
    <w:rsid w:val="00C12211"/>
    <w:rsid w:val="00C133D0"/>
    <w:rsid w:val="00C13694"/>
    <w:rsid w:val="00C1389D"/>
    <w:rsid w:val="00C146D1"/>
    <w:rsid w:val="00C148AE"/>
    <w:rsid w:val="00C15352"/>
    <w:rsid w:val="00C1725A"/>
    <w:rsid w:val="00C20EE3"/>
    <w:rsid w:val="00C24939"/>
    <w:rsid w:val="00C31046"/>
    <w:rsid w:val="00C31B96"/>
    <w:rsid w:val="00C35C9B"/>
    <w:rsid w:val="00C42222"/>
    <w:rsid w:val="00C52721"/>
    <w:rsid w:val="00C529C9"/>
    <w:rsid w:val="00C53693"/>
    <w:rsid w:val="00C55235"/>
    <w:rsid w:val="00C55539"/>
    <w:rsid w:val="00C6308E"/>
    <w:rsid w:val="00C64C66"/>
    <w:rsid w:val="00C803B7"/>
    <w:rsid w:val="00C80A1B"/>
    <w:rsid w:val="00C829C5"/>
    <w:rsid w:val="00C83FAB"/>
    <w:rsid w:val="00C845E2"/>
    <w:rsid w:val="00C84B4F"/>
    <w:rsid w:val="00C956B5"/>
    <w:rsid w:val="00C9687B"/>
    <w:rsid w:val="00CA28CD"/>
    <w:rsid w:val="00CB20AA"/>
    <w:rsid w:val="00CB2487"/>
    <w:rsid w:val="00CB4AF3"/>
    <w:rsid w:val="00CB5D47"/>
    <w:rsid w:val="00CC3590"/>
    <w:rsid w:val="00CD2946"/>
    <w:rsid w:val="00CD50B8"/>
    <w:rsid w:val="00CE0FE1"/>
    <w:rsid w:val="00CE54F9"/>
    <w:rsid w:val="00CF02C4"/>
    <w:rsid w:val="00CF13B8"/>
    <w:rsid w:val="00CF3654"/>
    <w:rsid w:val="00D053F8"/>
    <w:rsid w:val="00D061BC"/>
    <w:rsid w:val="00D069A2"/>
    <w:rsid w:val="00D07995"/>
    <w:rsid w:val="00D131D3"/>
    <w:rsid w:val="00D13F73"/>
    <w:rsid w:val="00D1652F"/>
    <w:rsid w:val="00D17C4E"/>
    <w:rsid w:val="00D303D2"/>
    <w:rsid w:val="00D34AD1"/>
    <w:rsid w:val="00D34E29"/>
    <w:rsid w:val="00D355F3"/>
    <w:rsid w:val="00D366CB"/>
    <w:rsid w:val="00D3718A"/>
    <w:rsid w:val="00D41813"/>
    <w:rsid w:val="00D45C8D"/>
    <w:rsid w:val="00D46417"/>
    <w:rsid w:val="00D46A84"/>
    <w:rsid w:val="00D50149"/>
    <w:rsid w:val="00D548A6"/>
    <w:rsid w:val="00D555F7"/>
    <w:rsid w:val="00D60CDC"/>
    <w:rsid w:val="00D60D98"/>
    <w:rsid w:val="00D64FAA"/>
    <w:rsid w:val="00D66729"/>
    <w:rsid w:val="00D6740A"/>
    <w:rsid w:val="00D67F35"/>
    <w:rsid w:val="00D77F6E"/>
    <w:rsid w:val="00D81F88"/>
    <w:rsid w:val="00D83418"/>
    <w:rsid w:val="00D868A1"/>
    <w:rsid w:val="00D86C16"/>
    <w:rsid w:val="00D86DB2"/>
    <w:rsid w:val="00D91BB0"/>
    <w:rsid w:val="00D94D83"/>
    <w:rsid w:val="00D96375"/>
    <w:rsid w:val="00DA0493"/>
    <w:rsid w:val="00DA0B6D"/>
    <w:rsid w:val="00DA0F8B"/>
    <w:rsid w:val="00DA2702"/>
    <w:rsid w:val="00DA4C7B"/>
    <w:rsid w:val="00DA6A70"/>
    <w:rsid w:val="00DA6AD0"/>
    <w:rsid w:val="00DB1A72"/>
    <w:rsid w:val="00DB485D"/>
    <w:rsid w:val="00DB7505"/>
    <w:rsid w:val="00DC0319"/>
    <w:rsid w:val="00DD089E"/>
    <w:rsid w:val="00DD0D86"/>
    <w:rsid w:val="00DD251E"/>
    <w:rsid w:val="00DD2D0E"/>
    <w:rsid w:val="00DD2D83"/>
    <w:rsid w:val="00DD4F87"/>
    <w:rsid w:val="00DD5C08"/>
    <w:rsid w:val="00DD6721"/>
    <w:rsid w:val="00DD6E8E"/>
    <w:rsid w:val="00DE1F13"/>
    <w:rsid w:val="00DE33E9"/>
    <w:rsid w:val="00DE3774"/>
    <w:rsid w:val="00DE5183"/>
    <w:rsid w:val="00DF49DF"/>
    <w:rsid w:val="00DF5DD1"/>
    <w:rsid w:val="00DF7797"/>
    <w:rsid w:val="00E005A6"/>
    <w:rsid w:val="00E00F5E"/>
    <w:rsid w:val="00E04120"/>
    <w:rsid w:val="00E06206"/>
    <w:rsid w:val="00E12124"/>
    <w:rsid w:val="00E13F3A"/>
    <w:rsid w:val="00E14548"/>
    <w:rsid w:val="00E1760B"/>
    <w:rsid w:val="00E25386"/>
    <w:rsid w:val="00E2743A"/>
    <w:rsid w:val="00E30E45"/>
    <w:rsid w:val="00E365C7"/>
    <w:rsid w:val="00E37016"/>
    <w:rsid w:val="00E52425"/>
    <w:rsid w:val="00E53957"/>
    <w:rsid w:val="00E54B49"/>
    <w:rsid w:val="00E555DC"/>
    <w:rsid w:val="00E55C25"/>
    <w:rsid w:val="00E57040"/>
    <w:rsid w:val="00E576CD"/>
    <w:rsid w:val="00E63DFC"/>
    <w:rsid w:val="00E6519B"/>
    <w:rsid w:val="00E663D2"/>
    <w:rsid w:val="00E74E6E"/>
    <w:rsid w:val="00E756D0"/>
    <w:rsid w:val="00E75B70"/>
    <w:rsid w:val="00E81CBD"/>
    <w:rsid w:val="00E830F8"/>
    <w:rsid w:val="00E84F8B"/>
    <w:rsid w:val="00E925DE"/>
    <w:rsid w:val="00E92D19"/>
    <w:rsid w:val="00E94C9C"/>
    <w:rsid w:val="00EA2D82"/>
    <w:rsid w:val="00EA3A01"/>
    <w:rsid w:val="00EA44D9"/>
    <w:rsid w:val="00EA5E84"/>
    <w:rsid w:val="00EB6A9B"/>
    <w:rsid w:val="00EC0DCF"/>
    <w:rsid w:val="00EC4FEA"/>
    <w:rsid w:val="00EC554B"/>
    <w:rsid w:val="00ED381C"/>
    <w:rsid w:val="00ED49A1"/>
    <w:rsid w:val="00EE020B"/>
    <w:rsid w:val="00EE1E26"/>
    <w:rsid w:val="00EE2FBC"/>
    <w:rsid w:val="00EE4CEB"/>
    <w:rsid w:val="00EE4E71"/>
    <w:rsid w:val="00EF0070"/>
    <w:rsid w:val="00EF061B"/>
    <w:rsid w:val="00EF0CBE"/>
    <w:rsid w:val="00EF44CE"/>
    <w:rsid w:val="00EF60A3"/>
    <w:rsid w:val="00EF6E8B"/>
    <w:rsid w:val="00EF7879"/>
    <w:rsid w:val="00EF79BD"/>
    <w:rsid w:val="00F00108"/>
    <w:rsid w:val="00F047E9"/>
    <w:rsid w:val="00F04EF0"/>
    <w:rsid w:val="00F05046"/>
    <w:rsid w:val="00F106BD"/>
    <w:rsid w:val="00F1289D"/>
    <w:rsid w:val="00F15905"/>
    <w:rsid w:val="00F15D2B"/>
    <w:rsid w:val="00F17C80"/>
    <w:rsid w:val="00F17D05"/>
    <w:rsid w:val="00F252BD"/>
    <w:rsid w:val="00F25D0F"/>
    <w:rsid w:val="00F2705B"/>
    <w:rsid w:val="00F33A25"/>
    <w:rsid w:val="00F34EC0"/>
    <w:rsid w:val="00F362A7"/>
    <w:rsid w:val="00F46AEC"/>
    <w:rsid w:val="00F502D2"/>
    <w:rsid w:val="00F50441"/>
    <w:rsid w:val="00F536C6"/>
    <w:rsid w:val="00F55D48"/>
    <w:rsid w:val="00F634FA"/>
    <w:rsid w:val="00F677A2"/>
    <w:rsid w:val="00F7228A"/>
    <w:rsid w:val="00F77D97"/>
    <w:rsid w:val="00F81643"/>
    <w:rsid w:val="00F845DB"/>
    <w:rsid w:val="00F85CD4"/>
    <w:rsid w:val="00F87E22"/>
    <w:rsid w:val="00F92096"/>
    <w:rsid w:val="00F95D20"/>
    <w:rsid w:val="00F96F5E"/>
    <w:rsid w:val="00FA0EDC"/>
    <w:rsid w:val="00FA25A2"/>
    <w:rsid w:val="00FB17FC"/>
    <w:rsid w:val="00FC567B"/>
    <w:rsid w:val="00FC5769"/>
    <w:rsid w:val="00FD5180"/>
    <w:rsid w:val="00FD51FA"/>
    <w:rsid w:val="00FE0ADB"/>
    <w:rsid w:val="00FE1FDD"/>
    <w:rsid w:val="00FE4495"/>
    <w:rsid w:val="00FE4ADA"/>
    <w:rsid w:val="00FE5DC7"/>
    <w:rsid w:val="00FF0BEC"/>
    <w:rsid w:val="00FF332B"/>
    <w:rsid w:val="00FF5E7B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57A6"/>
  <w15:docId w15:val="{811157E2-5025-4233-8BCC-E963C224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36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5E23F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E23F2"/>
    <w:pPr>
      <w:spacing w:after="140" w:line="276" w:lineRule="auto"/>
    </w:pPr>
  </w:style>
  <w:style w:type="paragraph" w:styleId="Lista">
    <w:name w:val="List"/>
    <w:basedOn w:val="Tekstpodstawowy"/>
    <w:rsid w:val="005E23F2"/>
    <w:rPr>
      <w:rFonts w:cs="Arial"/>
    </w:rPr>
  </w:style>
  <w:style w:type="paragraph" w:customStyle="1" w:styleId="Legenda1">
    <w:name w:val="Legenda1"/>
    <w:basedOn w:val="Normalny"/>
    <w:qFormat/>
    <w:rsid w:val="005E23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E23F2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423A5D"/>
    <w:pPr>
      <w:ind w:left="720"/>
      <w:contextualSpacing/>
    </w:pPr>
  </w:style>
  <w:style w:type="table" w:styleId="Tabela-Siatka">
    <w:name w:val="Table Grid"/>
    <w:basedOn w:val="Standardowy"/>
    <w:uiPriority w:val="59"/>
    <w:rsid w:val="0088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7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nhideWhenUsed/>
    <w:qFormat/>
    <w:rsid w:val="00C1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25A"/>
    <w:rPr>
      <w:rFonts w:ascii="Tahoma" w:hAnsi="Tahoma" w:cs="Tahoma"/>
      <w:sz w:val="16"/>
      <w:szCs w:val="16"/>
    </w:rPr>
  </w:style>
  <w:style w:type="paragraph" w:customStyle="1" w:styleId="tekstwtabeli">
    <w:name w:val="tekst w tabeli"/>
    <w:basedOn w:val="Normalny"/>
    <w:uiPriority w:val="99"/>
    <w:qFormat/>
    <w:rsid w:val="0059018B"/>
    <w:pPr>
      <w:suppressAutoHyphens w:val="0"/>
      <w:spacing w:after="0" w:line="240" w:lineRule="auto"/>
    </w:pPr>
    <w:rPr>
      <w:rFonts w:ascii="Calibri" w:eastAsia="Times New Roman" w:hAnsi="Calibri" w:cs="Times New Roman"/>
      <w:sz w:val="18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1289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8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8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38F0"/>
    <w:rPr>
      <w:vertAlign w:val="superscript"/>
    </w:rPr>
  </w:style>
  <w:style w:type="character" w:customStyle="1" w:styleId="Inne">
    <w:name w:val="Inne_"/>
    <w:basedOn w:val="Domylnaczcionkaakapitu"/>
    <w:link w:val="Inne0"/>
    <w:rsid w:val="002967A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Inne0">
    <w:name w:val="Inne"/>
    <w:basedOn w:val="Normalny"/>
    <w:link w:val="Inne"/>
    <w:rsid w:val="002967AE"/>
    <w:pPr>
      <w:widowControl w:val="0"/>
      <w:shd w:val="clear" w:color="auto" w:fill="FFFFFF"/>
      <w:suppressAutoHyphens w:val="0"/>
      <w:spacing w:after="0" w:line="262" w:lineRule="auto"/>
    </w:pPr>
    <w:rPr>
      <w:rFonts w:ascii="Verdana" w:eastAsia="Verdana" w:hAnsi="Verdana" w:cs="Verdana"/>
      <w:sz w:val="19"/>
      <w:szCs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7A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7AE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7A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1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548"/>
  </w:style>
  <w:style w:type="paragraph" w:styleId="Poprawka">
    <w:name w:val="Revision"/>
    <w:hidden/>
    <w:uiPriority w:val="99"/>
    <w:semiHidden/>
    <w:rsid w:val="00A10F36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0FDC5-186D-4348-8586-5207A61D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4365</Words>
  <Characters>26196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charkiewicz</dc:creator>
  <cp:lastModifiedBy>Sebastian Dąbrowski</cp:lastModifiedBy>
  <cp:revision>2</cp:revision>
  <cp:lastPrinted>2022-05-25T11:48:00Z</cp:lastPrinted>
  <dcterms:created xsi:type="dcterms:W3CDTF">2022-08-04T09:25:00Z</dcterms:created>
  <dcterms:modified xsi:type="dcterms:W3CDTF">2022-08-04T09:25:00Z</dcterms:modified>
  <dc:language>pl-PL</dc:language>
</cp:coreProperties>
</file>