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7C185" w14:textId="77777777" w:rsidR="00E27E28" w:rsidRPr="005D6E45" w:rsidRDefault="0080610E" w:rsidP="00A00E8C">
      <w:pPr>
        <w:autoSpaceDE w:val="0"/>
        <w:autoSpaceDN w:val="0"/>
        <w:adjustRightInd w:val="0"/>
        <w:spacing w:line="276" w:lineRule="auto"/>
        <w:rPr>
          <w:sz w:val="22"/>
          <w:szCs w:val="22"/>
        </w:rPr>
      </w:pPr>
      <w:r w:rsidRPr="005D6E45">
        <w:rPr>
          <w:sz w:val="22"/>
          <w:szCs w:val="22"/>
        </w:rPr>
        <w:t>Załącznik B.36.</w:t>
      </w:r>
    </w:p>
    <w:p w14:paraId="6EF7F63D" w14:textId="77777777" w:rsidR="0080610E" w:rsidRPr="005D6E45" w:rsidRDefault="0080610E" w:rsidP="00A00E8C">
      <w:pPr>
        <w:autoSpaceDE w:val="0"/>
        <w:autoSpaceDN w:val="0"/>
        <w:adjustRightInd w:val="0"/>
        <w:spacing w:line="276" w:lineRule="auto"/>
        <w:rPr>
          <w:sz w:val="22"/>
          <w:szCs w:val="22"/>
        </w:rPr>
      </w:pPr>
    </w:p>
    <w:p w14:paraId="39AE63CB" w14:textId="67236A79" w:rsidR="00381E7A" w:rsidRPr="005D6E45" w:rsidRDefault="0080610E" w:rsidP="00A00E8C">
      <w:pPr>
        <w:spacing w:after="240" w:line="276" w:lineRule="auto"/>
        <w:jc w:val="both"/>
        <w:rPr>
          <w:sz w:val="28"/>
          <w:szCs w:val="28"/>
        </w:rPr>
      </w:pPr>
      <w:r w:rsidRPr="005D6E45">
        <w:rPr>
          <w:b/>
          <w:sz w:val="28"/>
          <w:szCs w:val="28"/>
        </w:rPr>
        <w:t xml:space="preserve">LECZENIE </w:t>
      </w:r>
      <w:r w:rsidR="003C2EE3">
        <w:rPr>
          <w:b/>
          <w:sz w:val="28"/>
          <w:szCs w:val="28"/>
        </w:rPr>
        <w:t>CIĘŻKIEJ, AKTYWNEJ POSTACI</w:t>
      </w:r>
      <w:r w:rsidR="00233274" w:rsidRPr="005D6E45">
        <w:rPr>
          <w:b/>
          <w:sz w:val="28"/>
          <w:szCs w:val="28"/>
        </w:rPr>
        <w:t xml:space="preserve"> ZESZTYWNIAJĄCEGO ZAPALENIA STAWÓW KRĘGOSŁUPA (ZZSK)  (ICD-10  M 45)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gridCol w:w="4253"/>
        <w:gridCol w:w="4903"/>
      </w:tblGrid>
      <w:tr w:rsidR="002D2DB9" w:rsidRPr="005D6E45" w14:paraId="4A44AD60" w14:textId="77777777" w:rsidTr="00233274">
        <w:tc>
          <w:tcPr>
            <w:tcW w:w="5000" w:type="pct"/>
            <w:gridSpan w:val="3"/>
            <w:vAlign w:val="center"/>
          </w:tcPr>
          <w:p w14:paraId="7237304B" w14:textId="77777777" w:rsidR="002D2DB9" w:rsidRPr="005D6E45" w:rsidRDefault="002D2DB9" w:rsidP="00A00E8C">
            <w:pPr>
              <w:spacing w:line="276" w:lineRule="auto"/>
              <w:jc w:val="center"/>
              <w:rPr>
                <w:b/>
                <w:sz w:val="20"/>
                <w:szCs w:val="20"/>
              </w:rPr>
            </w:pPr>
            <w:r w:rsidRPr="005D6E45">
              <w:rPr>
                <w:b/>
                <w:sz w:val="20"/>
                <w:szCs w:val="20"/>
              </w:rPr>
              <w:t>ZAKRES ŚWIADCZENIA GWARANTOWANEGO</w:t>
            </w:r>
          </w:p>
        </w:tc>
      </w:tr>
      <w:tr w:rsidR="002D2DB9" w:rsidRPr="005D6E45" w14:paraId="1406F7A0" w14:textId="77777777" w:rsidTr="005B056B">
        <w:tc>
          <w:tcPr>
            <w:tcW w:w="2025" w:type="pct"/>
            <w:vAlign w:val="center"/>
          </w:tcPr>
          <w:p w14:paraId="47BC06BA" w14:textId="77777777" w:rsidR="002D2DB9" w:rsidRPr="005D6E45" w:rsidRDefault="002D2DB9" w:rsidP="00A00E8C">
            <w:pPr>
              <w:spacing w:line="276" w:lineRule="auto"/>
              <w:jc w:val="center"/>
              <w:rPr>
                <w:b/>
                <w:sz w:val="20"/>
                <w:szCs w:val="20"/>
              </w:rPr>
            </w:pPr>
            <w:r w:rsidRPr="005D6E45">
              <w:rPr>
                <w:b/>
                <w:sz w:val="20"/>
                <w:szCs w:val="20"/>
              </w:rPr>
              <w:t>ŚWIADCZENIOBIORCY</w:t>
            </w:r>
          </w:p>
        </w:tc>
        <w:tc>
          <w:tcPr>
            <w:tcW w:w="1382" w:type="pct"/>
            <w:vAlign w:val="center"/>
          </w:tcPr>
          <w:p w14:paraId="135AF905" w14:textId="77777777" w:rsidR="002D2DB9" w:rsidRPr="005D6E45" w:rsidRDefault="002D2DB9" w:rsidP="00A00E8C">
            <w:pPr>
              <w:spacing w:line="276" w:lineRule="auto"/>
              <w:jc w:val="center"/>
              <w:rPr>
                <w:b/>
                <w:sz w:val="20"/>
                <w:szCs w:val="20"/>
              </w:rPr>
            </w:pPr>
            <w:r w:rsidRPr="005D6E45">
              <w:rPr>
                <w:b/>
                <w:sz w:val="20"/>
                <w:szCs w:val="20"/>
              </w:rPr>
              <w:t xml:space="preserve">SCHEMAT DAWKOWANIA LEKÓW </w:t>
            </w:r>
            <w:r w:rsidRPr="005D6E45">
              <w:rPr>
                <w:b/>
                <w:sz w:val="20"/>
                <w:szCs w:val="20"/>
              </w:rPr>
              <w:br/>
              <w:t>W PROGRAMIE</w:t>
            </w:r>
          </w:p>
        </w:tc>
        <w:tc>
          <w:tcPr>
            <w:tcW w:w="1593" w:type="pct"/>
            <w:tcBorders>
              <w:right w:val="single" w:sz="4" w:space="0" w:color="auto"/>
            </w:tcBorders>
            <w:vAlign w:val="center"/>
          </w:tcPr>
          <w:p w14:paraId="240FFA6D" w14:textId="77777777" w:rsidR="002D2DB9" w:rsidRPr="005D6E45" w:rsidRDefault="002D2DB9" w:rsidP="00A00E8C">
            <w:pPr>
              <w:spacing w:line="276" w:lineRule="auto"/>
              <w:jc w:val="center"/>
              <w:rPr>
                <w:b/>
                <w:sz w:val="20"/>
                <w:szCs w:val="20"/>
              </w:rPr>
            </w:pPr>
            <w:r w:rsidRPr="005D6E45">
              <w:rPr>
                <w:b/>
                <w:sz w:val="20"/>
                <w:szCs w:val="20"/>
              </w:rPr>
              <w:t>BADANIA DIAGNOSTYCZNE WYKONYWANE W RAMACH PROGRAMU</w:t>
            </w:r>
          </w:p>
        </w:tc>
      </w:tr>
      <w:tr w:rsidR="002D2DB9" w:rsidRPr="00F23105" w14:paraId="3744245D" w14:textId="77777777" w:rsidTr="005B056B">
        <w:tc>
          <w:tcPr>
            <w:tcW w:w="2025" w:type="pct"/>
          </w:tcPr>
          <w:p w14:paraId="6A56684C" w14:textId="77777777" w:rsidR="00357B59" w:rsidRPr="00F23105" w:rsidRDefault="002D2DB9" w:rsidP="005B056B">
            <w:pPr>
              <w:pStyle w:val="Tekstpodstawowywcity"/>
              <w:numPr>
                <w:ilvl w:val="0"/>
                <w:numId w:val="16"/>
              </w:numPr>
              <w:spacing w:after="0" w:line="276" w:lineRule="auto"/>
              <w:ind w:left="357" w:hanging="357"/>
              <w:rPr>
                <w:bCs/>
                <w:iCs/>
                <w:sz w:val="20"/>
                <w:szCs w:val="20"/>
              </w:rPr>
            </w:pPr>
            <w:r w:rsidRPr="00F23105">
              <w:rPr>
                <w:b/>
                <w:sz w:val="20"/>
                <w:szCs w:val="20"/>
              </w:rPr>
              <w:t>Kryteria kwalifikacji:</w:t>
            </w:r>
            <w:r w:rsidRPr="00F23105">
              <w:rPr>
                <w:bCs/>
                <w:iCs/>
                <w:sz w:val="20"/>
                <w:szCs w:val="20"/>
              </w:rPr>
              <w:t xml:space="preserve"> </w:t>
            </w:r>
          </w:p>
          <w:p w14:paraId="0FEC2E23" w14:textId="6C2A349E" w:rsidR="002D2DB9" w:rsidRPr="00F23105" w:rsidRDefault="002D2DB9" w:rsidP="005B056B">
            <w:pPr>
              <w:pStyle w:val="Default"/>
              <w:numPr>
                <w:ilvl w:val="0"/>
                <w:numId w:val="2"/>
              </w:numPr>
              <w:spacing w:line="276" w:lineRule="auto"/>
              <w:ind w:left="357" w:hanging="357"/>
              <w:rPr>
                <w:rFonts w:ascii="Times New Roman" w:hAnsi="Times New Roman" w:cs="Times New Roman"/>
                <w:color w:val="auto"/>
                <w:sz w:val="20"/>
                <w:szCs w:val="20"/>
              </w:rPr>
            </w:pPr>
            <w:r w:rsidRPr="00F23105">
              <w:rPr>
                <w:rFonts w:ascii="Times New Roman" w:hAnsi="Times New Roman" w:cs="Times New Roman"/>
                <w:color w:val="auto"/>
                <w:sz w:val="20"/>
                <w:szCs w:val="20"/>
              </w:rPr>
              <w:t>P</w:t>
            </w:r>
            <w:r w:rsidR="00570D8B" w:rsidRPr="00F23105">
              <w:rPr>
                <w:rFonts w:ascii="Times New Roman" w:hAnsi="Times New Roman" w:cs="Times New Roman"/>
                <w:color w:val="auto"/>
                <w:sz w:val="20"/>
                <w:szCs w:val="20"/>
              </w:rPr>
              <w:t xml:space="preserve">odczas pierwszej kwalifikacji do programu oraz gdy jest to wskazane w opisie programu, udział pacjenta w programie wymaga uzyskania akceptacji za pośrednictwem aplikacji SMPT przez Zespół Koordynacyjny do Spraw Leczenia Biologicznego w Chorobach Reumatycznych, powoływany przez Prezesa Narodowego Funduszu Zdrowia. Do czasu aktualizacji aplikacji SMPT, dopuszcza się udział pacjenta w programie na podstawie </w:t>
            </w:r>
            <w:r w:rsidR="002C4025" w:rsidRPr="00F23105">
              <w:rPr>
                <w:rFonts w:ascii="Times New Roman" w:hAnsi="Times New Roman" w:cs="Times New Roman"/>
                <w:color w:val="auto"/>
                <w:sz w:val="20"/>
                <w:szCs w:val="20"/>
              </w:rPr>
              <w:t>akceptacji Zespołu</w:t>
            </w:r>
            <w:r w:rsidR="00570D8B" w:rsidRPr="00F23105">
              <w:rPr>
                <w:rFonts w:ascii="Times New Roman" w:hAnsi="Times New Roman" w:cs="Times New Roman"/>
                <w:color w:val="auto"/>
                <w:sz w:val="20"/>
                <w:szCs w:val="20"/>
              </w:rPr>
              <w:t xml:space="preserve"> Koordynacyjnego do Spraw Leczenia Biologicznego w Chorobach Reumatycznych, uzyskanej w inny sposób niż za pośrednictwem aplikacji SMPT.</w:t>
            </w:r>
            <w:r w:rsidR="00A771F5" w:rsidRPr="00F23105">
              <w:rPr>
                <w:rFonts w:ascii="Times New Roman" w:hAnsi="Times New Roman" w:cs="Times New Roman"/>
                <w:color w:val="auto"/>
                <w:sz w:val="20"/>
                <w:szCs w:val="20"/>
              </w:rPr>
              <w:t xml:space="preserve"> Ponadto, gdy jest to zaznacz</w:t>
            </w:r>
            <w:bookmarkStart w:id="0" w:name="_GoBack"/>
            <w:bookmarkEnd w:id="0"/>
            <w:r w:rsidR="00A771F5" w:rsidRPr="00F23105">
              <w:rPr>
                <w:rFonts w:ascii="Times New Roman" w:hAnsi="Times New Roman" w:cs="Times New Roman"/>
                <w:color w:val="auto"/>
                <w:sz w:val="20"/>
                <w:szCs w:val="20"/>
              </w:rPr>
              <w:t>one w opisie programu, udział pacjenta może wymagać uzyskania indywidualnej zgody Zespołu, o którym mowa powyżej.</w:t>
            </w:r>
          </w:p>
          <w:p w14:paraId="72B2B839" w14:textId="77777777" w:rsidR="00935879" w:rsidRPr="00F23105" w:rsidRDefault="002D2DB9" w:rsidP="005B056B">
            <w:pPr>
              <w:pStyle w:val="Akapitzlist"/>
              <w:numPr>
                <w:ilvl w:val="0"/>
                <w:numId w:val="2"/>
              </w:numPr>
              <w:spacing w:line="276" w:lineRule="auto"/>
              <w:ind w:left="357" w:hanging="357"/>
              <w:rPr>
                <w:bCs/>
                <w:iCs/>
                <w:sz w:val="20"/>
                <w:szCs w:val="20"/>
              </w:rPr>
            </w:pPr>
            <w:r w:rsidRPr="00F23105">
              <w:rPr>
                <w:bCs/>
                <w:iCs/>
                <w:sz w:val="20"/>
                <w:szCs w:val="20"/>
              </w:rPr>
              <w:t xml:space="preserve">Do programu </w:t>
            </w:r>
            <w:r w:rsidR="00935879" w:rsidRPr="00F23105">
              <w:rPr>
                <w:bCs/>
                <w:iCs/>
                <w:sz w:val="20"/>
                <w:szCs w:val="20"/>
              </w:rPr>
              <w:t>kwalifikuje się pacjentów</w:t>
            </w:r>
            <w:r w:rsidR="0062641D" w:rsidRPr="00F23105">
              <w:rPr>
                <w:bCs/>
                <w:iCs/>
                <w:sz w:val="20"/>
                <w:szCs w:val="20"/>
              </w:rPr>
              <w:t xml:space="preserve"> spełniających wszystkie poniższe kryteria:</w:t>
            </w:r>
            <w:r w:rsidR="00935879" w:rsidRPr="00F23105">
              <w:rPr>
                <w:bCs/>
                <w:iCs/>
                <w:sz w:val="20"/>
                <w:szCs w:val="20"/>
              </w:rPr>
              <w:t xml:space="preserve"> </w:t>
            </w:r>
          </w:p>
          <w:p w14:paraId="4D5255CC" w14:textId="77777777" w:rsidR="002D2DB9" w:rsidRPr="00F23105" w:rsidRDefault="0062641D" w:rsidP="005B056B">
            <w:pPr>
              <w:pStyle w:val="Akapitzlist"/>
              <w:numPr>
                <w:ilvl w:val="0"/>
                <w:numId w:val="3"/>
              </w:numPr>
              <w:spacing w:line="276" w:lineRule="auto"/>
              <w:rPr>
                <w:bCs/>
                <w:iCs/>
                <w:sz w:val="20"/>
                <w:szCs w:val="20"/>
              </w:rPr>
            </w:pPr>
            <w:r w:rsidRPr="00F23105">
              <w:rPr>
                <w:bCs/>
                <w:iCs/>
                <w:sz w:val="20"/>
                <w:szCs w:val="20"/>
              </w:rPr>
              <w:t xml:space="preserve">z </w:t>
            </w:r>
            <w:r w:rsidR="002D2DB9" w:rsidRPr="00F23105">
              <w:rPr>
                <w:bCs/>
                <w:iCs/>
                <w:sz w:val="20"/>
                <w:szCs w:val="20"/>
              </w:rPr>
              <w:t>rozpoznaniem ZZSK ustalonym na podstawie zmodyfikowanych kryteriów nowojorskich</w:t>
            </w:r>
            <w:r w:rsidR="00A771F5" w:rsidRPr="00F23105">
              <w:rPr>
                <w:bCs/>
                <w:iCs/>
                <w:sz w:val="20"/>
                <w:szCs w:val="20"/>
              </w:rPr>
              <w:t xml:space="preserve"> z uwzględnieniem sacroilitis w badaniu RTG</w:t>
            </w:r>
            <w:r w:rsidR="00724618" w:rsidRPr="00F23105">
              <w:rPr>
                <w:bCs/>
                <w:iCs/>
                <w:sz w:val="20"/>
                <w:szCs w:val="20"/>
              </w:rPr>
              <w:t>,</w:t>
            </w:r>
          </w:p>
          <w:p w14:paraId="6AB24CF2" w14:textId="77777777" w:rsidR="00896E73" w:rsidRPr="00F23105" w:rsidRDefault="0062641D" w:rsidP="005B056B">
            <w:pPr>
              <w:pStyle w:val="Akapitzlist"/>
              <w:numPr>
                <w:ilvl w:val="0"/>
                <w:numId w:val="3"/>
              </w:numPr>
              <w:spacing w:line="276" w:lineRule="auto"/>
              <w:rPr>
                <w:bCs/>
                <w:iCs/>
                <w:sz w:val="20"/>
                <w:szCs w:val="20"/>
              </w:rPr>
            </w:pPr>
            <w:r w:rsidRPr="00F23105">
              <w:rPr>
                <w:bCs/>
                <w:iCs/>
                <w:sz w:val="20"/>
                <w:szCs w:val="20"/>
              </w:rPr>
              <w:t xml:space="preserve">z </w:t>
            </w:r>
            <w:r w:rsidR="002D2DB9" w:rsidRPr="00F23105">
              <w:rPr>
                <w:bCs/>
                <w:iCs/>
                <w:sz w:val="20"/>
                <w:szCs w:val="20"/>
              </w:rPr>
              <w:t>aktywną i ciężką postacią choroby, udokumentowan</w:t>
            </w:r>
            <w:r w:rsidR="00D7063B" w:rsidRPr="00F23105">
              <w:rPr>
                <w:bCs/>
                <w:iCs/>
                <w:sz w:val="20"/>
                <w:szCs w:val="20"/>
              </w:rPr>
              <w:t>ą</w:t>
            </w:r>
            <w:r w:rsidR="002D2DB9" w:rsidRPr="00F23105">
              <w:rPr>
                <w:bCs/>
                <w:iCs/>
                <w:sz w:val="20"/>
                <w:szCs w:val="20"/>
              </w:rPr>
              <w:t xml:space="preserve"> </w:t>
            </w:r>
            <w:r w:rsidR="00D7063B" w:rsidRPr="00F23105">
              <w:rPr>
                <w:bCs/>
                <w:iCs/>
                <w:sz w:val="20"/>
                <w:szCs w:val="20"/>
              </w:rPr>
              <w:t xml:space="preserve">podczas dwóch wizyt lekarskich </w:t>
            </w:r>
            <w:r w:rsidR="002D2DB9" w:rsidRPr="00F23105">
              <w:rPr>
                <w:bCs/>
                <w:iCs/>
                <w:sz w:val="20"/>
                <w:szCs w:val="20"/>
              </w:rPr>
              <w:t xml:space="preserve">w odstępie </w:t>
            </w:r>
            <w:r w:rsidR="002312A7" w:rsidRPr="00F23105">
              <w:rPr>
                <w:bCs/>
                <w:iCs/>
                <w:sz w:val="20"/>
                <w:szCs w:val="20"/>
              </w:rPr>
              <w:t>przynajmniej 4</w:t>
            </w:r>
            <w:r w:rsidR="002D2DB9" w:rsidRPr="00F23105">
              <w:rPr>
                <w:bCs/>
                <w:iCs/>
                <w:sz w:val="20"/>
                <w:szCs w:val="20"/>
              </w:rPr>
              <w:t xml:space="preserve"> tygodni, przy braku zmian leczenia w tym okresie, </w:t>
            </w:r>
          </w:p>
          <w:p w14:paraId="553ED7F3" w14:textId="2E978A47" w:rsidR="002D2DB9" w:rsidRPr="00F23105" w:rsidRDefault="00896E73" w:rsidP="005B056B">
            <w:pPr>
              <w:pStyle w:val="Akapitzlist"/>
              <w:numPr>
                <w:ilvl w:val="0"/>
                <w:numId w:val="3"/>
              </w:numPr>
              <w:spacing w:line="276" w:lineRule="auto"/>
              <w:rPr>
                <w:bCs/>
                <w:iCs/>
                <w:sz w:val="20"/>
                <w:szCs w:val="20"/>
              </w:rPr>
            </w:pPr>
            <w:r w:rsidRPr="00F23105">
              <w:rPr>
                <w:bCs/>
                <w:iCs/>
                <w:sz w:val="20"/>
                <w:szCs w:val="20"/>
              </w:rPr>
              <w:t>z</w:t>
            </w:r>
            <w:r w:rsidR="002D2DB9" w:rsidRPr="00F23105">
              <w:rPr>
                <w:bCs/>
                <w:iCs/>
                <w:sz w:val="20"/>
                <w:szCs w:val="20"/>
              </w:rPr>
              <w:t xml:space="preserve"> niezadowalającą odpowied</w:t>
            </w:r>
            <w:r w:rsidRPr="00F23105">
              <w:rPr>
                <w:bCs/>
                <w:iCs/>
                <w:sz w:val="20"/>
                <w:szCs w:val="20"/>
              </w:rPr>
              <w:t>zią</w:t>
            </w:r>
            <w:r w:rsidR="002D2DB9" w:rsidRPr="00F23105">
              <w:rPr>
                <w:bCs/>
                <w:iCs/>
                <w:sz w:val="20"/>
                <w:szCs w:val="20"/>
              </w:rPr>
              <w:t xml:space="preserve"> na co najmniej dwa </w:t>
            </w:r>
            <w:r w:rsidRPr="00F23105">
              <w:rPr>
                <w:bCs/>
                <w:iCs/>
                <w:sz w:val="20"/>
                <w:szCs w:val="20"/>
              </w:rPr>
              <w:t xml:space="preserve">niesteroidowe </w:t>
            </w:r>
            <w:r w:rsidR="002D2DB9" w:rsidRPr="00F23105">
              <w:rPr>
                <w:bCs/>
                <w:iCs/>
                <w:sz w:val="20"/>
                <w:szCs w:val="20"/>
              </w:rPr>
              <w:t>leki przeciwzapalne</w:t>
            </w:r>
            <w:r w:rsidRPr="00F23105">
              <w:rPr>
                <w:bCs/>
                <w:iCs/>
                <w:sz w:val="20"/>
                <w:szCs w:val="20"/>
              </w:rPr>
              <w:t xml:space="preserve">, z których każdy zastosowany był w maksymalnej rekomendowanej lub tolerowanej przez </w:t>
            </w:r>
            <w:r w:rsidRPr="00F23105">
              <w:rPr>
                <w:bCs/>
                <w:iCs/>
                <w:sz w:val="20"/>
                <w:szCs w:val="20"/>
              </w:rPr>
              <w:lastRenderedPageBreak/>
              <w:t>chorego dawce</w:t>
            </w:r>
            <w:r w:rsidR="002D2DB9" w:rsidRPr="00F23105">
              <w:rPr>
                <w:bCs/>
                <w:iCs/>
                <w:sz w:val="20"/>
                <w:szCs w:val="20"/>
              </w:rPr>
              <w:t xml:space="preserve"> przez co najmniej </w:t>
            </w:r>
            <w:r w:rsidR="002312A7" w:rsidRPr="00F23105">
              <w:rPr>
                <w:bCs/>
                <w:iCs/>
                <w:sz w:val="20"/>
                <w:szCs w:val="20"/>
              </w:rPr>
              <w:t xml:space="preserve">4 tygodnie </w:t>
            </w:r>
            <w:r w:rsidRPr="00F23105">
              <w:rPr>
                <w:bCs/>
                <w:iCs/>
                <w:sz w:val="20"/>
                <w:szCs w:val="20"/>
              </w:rPr>
              <w:t>w monoterapii.</w:t>
            </w:r>
            <w:r w:rsidR="00112A71" w:rsidRPr="00F23105">
              <w:rPr>
                <w:bCs/>
                <w:iCs/>
                <w:sz w:val="20"/>
                <w:szCs w:val="20"/>
              </w:rPr>
              <w:t xml:space="preserve"> </w:t>
            </w:r>
            <w:r w:rsidR="00F44B3F" w:rsidRPr="00F23105">
              <w:rPr>
                <w:bCs/>
                <w:iCs/>
                <w:sz w:val="20"/>
                <w:szCs w:val="20"/>
              </w:rPr>
              <w:t>Niezadowalająca odpowiedź na leczenie oznacza utrzymywanie się aktywnej i ciężkiej postaci choroby pomimo zastosowanego leczenia.</w:t>
            </w:r>
          </w:p>
          <w:p w14:paraId="66EF5EAA" w14:textId="77777777" w:rsidR="002D2DB9" w:rsidRPr="00F23105" w:rsidRDefault="002D2DB9" w:rsidP="005B056B">
            <w:pPr>
              <w:pStyle w:val="Akapitzlist"/>
              <w:numPr>
                <w:ilvl w:val="0"/>
                <w:numId w:val="2"/>
              </w:numPr>
              <w:spacing w:line="276" w:lineRule="auto"/>
              <w:ind w:left="357" w:hanging="357"/>
              <w:rPr>
                <w:bCs/>
                <w:iCs/>
                <w:sz w:val="20"/>
                <w:szCs w:val="20"/>
              </w:rPr>
            </w:pPr>
            <w:r w:rsidRPr="00F23105">
              <w:rPr>
                <w:bCs/>
                <w:iCs/>
                <w:sz w:val="20"/>
                <w:szCs w:val="20"/>
              </w:rPr>
              <w:t>Aktywną</w:t>
            </w:r>
            <w:r w:rsidR="00F44B3F" w:rsidRPr="00F23105">
              <w:rPr>
                <w:bCs/>
                <w:iCs/>
                <w:sz w:val="20"/>
                <w:szCs w:val="20"/>
              </w:rPr>
              <w:t xml:space="preserve"> i ciężką</w:t>
            </w:r>
            <w:r w:rsidRPr="00F23105">
              <w:rPr>
                <w:bCs/>
                <w:iCs/>
                <w:sz w:val="20"/>
                <w:szCs w:val="20"/>
              </w:rPr>
              <w:t xml:space="preserve"> postać choroby </w:t>
            </w:r>
            <w:r w:rsidR="00FB74BE" w:rsidRPr="00F23105">
              <w:rPr>
                <w:bCs/>
                <w:iCs/>
                <w:sz w:val="20"/>
                <w:szCs w:val="20"/>
              </w:rPr>
              <w:t>definiuje się jako</w:t>
            </w:r>
            <w:r w:rsidRPr="00F23105">
              <w:rPr>
                <w:bCs/>
                <w:iCs/>
                <w:sz w:val="20"/>
                <w:szCs w:val="20"/>
              </w:rPr>
              <w:t xml:space="preserve"> spełni</w:t>
            </w:r>
            <w:r w:rsidR="00FB74BE" w:rsidRPr="00F23105">
              <w:rPr>
                <w:bCs/>
                <w:iCs/>
                <w:sz w:val="20"/>
                <w:szCs w:val="20"/>
              </w:rPr>
              <w:t>e</w:t>
            </w:r>
            <w:r w:rsidRPr="00F23105">
              <w:rPr>
                <w:bCs/>
                <w:iCs/>
                <w:sz w:val="20"/>
                <w:szCs w:val="20"/>
              </w:rPr>
              <w:t>n</w:t>
            </w:r>
            <w:r w:rsidR="00FB74BE" w:rsidRPr="00F23105">
              <w:rPr>
                <w:bCs/>
                <w:iCs/>
                <w:sz w:val="20"/>
                <w:szCs w:val="20"/>
              </w:rPr>
              <w:t xml:space="preserve">ie wszystkich </w:t>
            </w:r>
            <w:r w:rsidR="00896E73" w:rsidRPr="00F23105">
              <w:rPr>
                <w:bCs/>
                <w:iCs/>
                <w:sz w:val="20"/>
                <w:szCs w:val="20"/>
              </w:rPr>
              <w:t>wymienionych</w:t>
            </w:r>
            <w:r w:rsidR="00FB74BE" w:rsidRPr="00F23105">
              <w:rPr>
                <w:bCs/>
                <w:iCs/>
                <w:sz w:val="20"/>
                <w:szCs w:val="20"/>
              </w:rPr>
              <w:t xml:space="preserve"> </w:t>
            </w:r>
            <w:r w:rsidR="00896E73" w:rsidRPr="00F23105">
              <w:rPr>
                <w:bCs/>
                <w:iCs/>
                <w:sz w:val="20"/>
                <w:szCs w:val="20"/>
              </w:rPr>
              <w:t>niżej</w:t>
            </w:r>
            <w:r w:rsidRPr="00F23105">
              <w:rPr>
                <w:bCs/>
                <w:iCs/>
                <w:sz w:val="20"/>
                <w:szCs w:val="20"/>
              </w:rPr>
              <w:t xml:space="preserve"> kryteri</w:t>
            </w:r>
            <w:r w:rsidR="00FB74BE" w:rsidRPr="00F23105">
              <w:rPr>
                <w:bCs/>
                <w:iCs/>
                <w:sz w:val="20"/>
                <w:szCs w:val="20"/>
              </w:rPr>
              <w:t>ów</w:t>
            </w:r>
            <w:r w:rsidRPr="00F23105">
              <w:rPr>
                <w:bCs/>
                <w:iCs/>
                <w:sz w:val="20"/>
                <w:szCs w:val="20"/>
              </w:rPr>
              <w:t xml:space="preserve">: </w:t>
            </w:r>
          </w:p>
          <w:p w14:paraId="080F945A" w14:textId="77777777" w:rsidR="002D2DB9" w:rsidRPr="00F23105" w:rsidRDefault="002D2DB9" w:rsidP="005B056B">
            <w:pPr>
              <w:numPr>
                <w:ilvl w:val="0"/>
                <w:numId w:val="4"/>
              </w:numPr>
              <w:spacing w:line="276" w:lineRule="auto"/>
              <w:rPr>
                <w:sz w:val="20"/>
                <w:szCs w:val="20"/>
              </w:rPr>
            </w:pPr>
            <w:r w:rsidRPr="00F23105">
              <w:rPr>
                <w:sz w:val="20"/>
                <w:szCs w:val="20"/>
              </w:rPr>
              <w:t>wartość BAS</w:t>
            </w:r>
            <w:r w:rsidR="00896E73" w:rsidRPr="00F23105">
              <w:rPr>
                <w:sz w:val="20"/>
                <w:szCs w:val="20"/>
              </w:rPr>
              <w:t>DAI</w:t>
            </w:r>
            <w:r w:rsidR="00F44B3F" w:rsidRPr="00F23105">
              <w:rPr>
                <w:sz w:val="20"/>
                <w:szCs w:val="20"/>
              </w:rPr>
              <w:t xml:space="preserve"> ≥ 4 lub wartość ASDAS ≥ 2,1</w:t>
            </w:r>
            <w:r w:rsidR="00896E73" w:rsidRPr="00F23105">
              <w:rPr>
                <w:sz w:val="20"/>
                <w:szCs w:val="20"/>
              </w:rPr>
              <w:t>,</w:t>
            </w:r>
            <w:r w:rsidRPr="00F23105">
              <w:rPr>
                <w:sz w:val="20"/>
                <w:szCs w:val="20"/>
              </w:rPr>
              <w:t xml:space="preserve"> </w:t>
            </w:r>
            <w:r w:rsidR="00896E73" w:rsidRPr="00F23105">
              <w:rPr>
                <w:sz w:val="20"/>
                <w:szCs w:val="20"/>
              </w:rPr>
              <w:t>określona w dwukrotnych pomi</w:t>
            </w:r>
            <w:r w:rsidR="00944181" w:rsidRPr="00F23105">
              <w:rPr>
                <w:sz w:val="20"/>
                <w:szCs w:val="20"/>
              </w:rPr>
              <w:t>arach w odstępie przynajmniej 4</w:t>
            </w:r>
            <w:r w:rsidR="00896E73" w:rsidRPr="00F23105">
              <w:rPr>
                <w:sz w:val="20"/>
                <w:szCs w:val="20"/>
              </w:rPr>
              <w:t xml:space="preserve"> tygodni</w:t>
            </w:r>
            <w:r w:rsidR="00F44B3F" w:rsidRPr="00F23105">
              <w:rPr>
                <w:sz w:val="20"/>
                <w:szCs w:val="20"/>
              </w:rPr>
              <w:t>,</w:t>
            </w:r>
          </w:p>
          <w:p w14:paraId="58BAE615" w14:textId="77777777" w:rsidR="002D2DB9" w:rsidRPr="00F23105" w:rsidRDefault="002D2DB9" w:rsidP="005B056B">
            <w:pPr>
              <w:numPr>
                <w:ilvl w:val="0"/>
                <w:numId w:val="4"/>
              </w:numPr>
              <w:spacing w:line="276" w:lineRule="auto"/>
              <w:rPr>
                <w:sz w:val="20"/>
                <w:szCs w:val="20"/>
              </w:rPr>
            </w:pPr>
            <w:r w:rsidRPr="00F23105">
              <w:rPr>
                <w:sz w:val="20"/>
                <w:szCs w:val="20"/>
              </w:rPr>
              <w:t>ból kręgosłupa</w:t>
            </w:r>
            <w:r w:rsidR="00F44B3F" w:rsidRPr="00F23105">
              <w:rPr>
                <w:sz w:val="20"/>
                <w:szCs w:val="20"/>
              </w:rPr>
              <w:t xml:space="preserve"> ≥ 4</w:t>
            </w:r>
            <w:r w:rsidRPr="00F23105">
              <w:rPr>
                <w:sz w:val="20"/>
                <w:szCs w:val="20"/>
              </w:rPr>
              <w:t xml:space="preserve"> na wizualnej skali </w:t>
            </w:r>
            <w:r w:rsidR="00BE3F64" w:rsidRPr="00F23105">
              <w:rPr>
                <w:sz w:val="20"/>
                <w:szCs w:val="20"/>
              </w:rPr>
              <w:t xml:space="preserve">od 0 do </w:t>
            </w:r>
            <w:r w:rsidRPr="00F23105">
              <w:rPr>
                <w:sz w:val="20"/>
                <w:szCs w:val="20"/>
              </w:rPr>
              <w:t>10 cm</w:t>
            </w:r>
            <w:r w:rsidR="00F44B3F" w:rsidRPr="00F23105">
              <w:rPr>
                <w:sz w:val="20"/>
                <w:szCs w:val="20"/>
              </w:rPr>
              <w:t>, określony</w:t>
            </w:r>
            <w:r w:rsidR="00BE3F64" w:rsidRPr="00F23105">
              <w:rPr>
                <w:sz w:val="20"/>
                <w:szCs w:val="20"/>
              </w:rPr>
              <w:t xml:space="preserve"> w dwukrotnych pomi</w:t>
            </w:r>
            <w:r w:rsidR="00944181" w:rsidRPr="00F23105">
              <w:rPr>
                <w:sz w:val="20"/>
                <w:szCs w:val="20"/>
              </w:rPr>
              <w:t>arach w odstępie przynajmniej 4</w:t>
            </w:r>
            <w:r w:rsidR="00BE3F64" w:rsidRPr="00F23105">
              <w:rPr>
                <w:sz w:val="20"/>
                <w:szCs w:val="20"/>
              </w:rPr>
              <w:t xml:space="preserve"> tygodni</w:t>
            </w:r>
            <w:r w:rsidR="00F44B3F" w:rsidRPr="00F23105">
              <w:rPr>
                <w:sz w:val="20"/>
                <w:szCs w:val="20"/>
              </w:rPr>
              <w:t>,</w:t>
            </w:r>
          </w:p>
          <w:p w14:paraId="1519A5F9" w14:textId="0A3A8411" w:rsidR="00944181" w:rsidRPr="00F23105" w:rsidRDefault="002D2DB9" w:rsidP="005B056B">
            <w:pPr>
              <w:numPr>
                <w:ilvl w:val="0"/>
                <w:numId w:val="4"/>
              </w:numPr>
              <w:spacing w:line="276" w:lineRule="auto"/>
              <w:rPr>
                <w:sz w:val="20"/>
                <w:szCs w:val="20"/>
              </w:rPr>
            </w:pPr>
            <w:r w:rsidRPr="00F23105">
              <w:rPr>
                <w:sz w:val="20"/>
                <w:szCs w:val="20"/>
              </w:rPr>
              <w:t>ogólna ocena stanu choroby (aktywności, ciężkości i dalszej prognozy choroby oraz aktywności zawodowej),</w:t>
            </w:r>
            <w:r w:rsidR="00BE3F64" w:rsidRPr="00F23105">
              <w:rPr>
                <w:sz w:val="20"/>
                <w:szCs w:val="20"/>
              </w:rPr>
              <w:t xml:space="preserve"> dokonana przez lekarza prowadzącego oraz </w:t>
            </w:r>
            <w:r w:rsidR="00780215" w:rsidRPr="00F23105">
              <w:rPr>
                <w:sz w:val="20"/>
                <w:szCs w:val="20"/>
              </w:rPr>
              <w:t>drugieg</w:t>
            </w:r>
            <w:r w:rsidR="00BE3F64" w:rsidRPr="00F23105">
              <w:rPr>
                <w:sz w:val="20"/>
                <w:szCs w:val="20"/>
              </w:rPr>
              <w:t>o lekarza – eksperta,</w:t>
            </w:r>
            <w:r w:rsidR="00F44B3F" w:rsidRPr="00F23105">
              <w:rPr>
                <w:sz w:val="20"/>
                <w:szCs w:val="20"/>
              </w:rPr>
              <w:t xml:space="preserve"> specjalistę reumatologa,</w:t>
            </w:r>
            <w:r w:rsidR="00BE3F64" w:rsidRPr="00F23105">
              <w:rPr>
                <w:sz w:val="20"/>
                <w:szCs w:val="20"/>
              </w:rPr>
              <w:t xml:space="preserve"> doświadczonego w leczeniu chorób z kręgu spondyloartropatii zapalnych </w:t>
            </w:r>
            <w:r w:rsidR="00F44B3F" w:rsidRPr="00F23105">
              <w:rPr>
                <w:sz w:val="20"/>
                <w:szCs w:val="20"/>
              </w:rPr>
              <w:t>lekami biologicznymi</w:t>
            </w:r>
            <w:r w:rsidR="00BE3F64" w:rsidRPr="00F23105">
              <w:rPr>
                <w:sz w:val="20"/>
                <w:szCs w:val="20"/>
              </w:rPr>
              <w:t xml:space="preserve"> - więcej</w:t>
            </w:r>
            <w:r w:rsidRPr="00F23105">
              <w:rPr>
                <w:sz w:val="20"/>
                <w:szCs w:val="20"/>
              </w:rPr>
              <w:t xml:space="preserve"> niż </w:t>
            </w:r>
            <w:smartTag w:uri="urn:schemas-microsoft-com:office:smarttags" w:element="metricconverter">
              <w:smartTagPr>
                <w:attr w:name="ProductID" w:val="5 cm"/>
              </w:smartTagPr>
              <w:r w:rsidRPr="00F23105">
                <w:rPr>
                  <w:sz w:val="20"/>
                  <w:szCs w:val="20"/>
                </w:rPr>
                <w:t>5 cm</w:t>
              </w:r>
            </w:smartTag>
            <w:r w:rsidRPr="00F23105">
              <w:rPr>
                <w:sz w:val="20"/>
                <w:szCs w:val="20"/>
              </w:rPr>
              <w:t xml:space="preserve"> na skali od 0 do 10 cm</w:t>
            </w:r>
            <w:r w:rsidR="00693AFA" w:rsidRPr="00F23105">
              <w:rPr>
                <w:sz w:val="20"/>
                <w:szCs w:val="20"/>
              </w:rPr>
              <w:t>.</w:t>
            </w:r>
            <w:r w:rsidRPr="00F23105">
              <w:rPr>
                <w:sz w:val="20"/>
                <w:szCs w:val="20"/>
              </w:rPr>
              <w:t xml:space="preserve"> </w:t>
            </w:r>
          </w:p>
          <w:p w14:paraId="1400FBFB" w14:textId="77777777" w:rsidR="00944181" w:rsidRPr="00F23105" w:rsidRDefault="00944181" w:rsidP="005B056B">
            <w:pPr>
              <w:pStyle w:val="Akapitzlist"/>
              <w:numPr>
                <w:ilvl w:val="0"/>
                <w:numId w:val="2"/>
              </w:numPr>
              <w:spacing w:line="276" w:lineRule="auto"/>
              <w:ind w:left="426"/>
              <w:rPr>
                <w:sz w:val="20"/>
                <w:szCs w:val="20"/>
              </w:rPr>
            </w:pPr>
            <w:r w:rsidRPr="00F23105">
              <w:rPr>
                <w:sz w:val="20"/>
                <w:szCs w:val="20"/>
              </w:rPr>
              <w:t xml:space="preserve">W przypadkach, w których pacjentowi grozi kalectwo lub zagrożone jest jego życie, decyzją Zespołu Koordynacyjnego do Spraw Leczenia Biologicznego w Chorobach Reumatycznych, pacjent może być zakwalifikowany do leczenia biologicznego </w:t>
            </w:r>
            <w:r w:rsidR="00B57549" w:rsidRPr="00F23105">
              <w:rPr>
                <w:sz w:val="20"/>
                <w:szCs w:val="20"/>
              </w:rPr>
              <w:t>w przypadku niespełnienia części kryteriów opisanych w programie, jeśli leczenie jest zgodne z aktualnie obowiązującymi rekomendacjami oraz wiedzą medyczną.</w:t>
            </w:r>
          </w:p>
          <w:p w14:paraId="04CF7A58" w14:textId="77777777" w:rsidR="00C930BC" w:rsidRPr="00F23105" w:rsidRDefault="00C930BC" w:rsidP="005B056B">
            <w:pPr>
              <w:pStyle w:val="Akapitzlist"/>
              <w:numPr>
                <w:ilvl w:val="0"/>
                <w:numId w:val="2"/>
              </w:numPr>
              <w:spacing w:line="276" w:lineRule="auto"/>
              <w:ind w:left="426"/>
              <w:rPr>
                <w:sz w:val="20"/>
                <w:szCs w:val="20"/>
              </w:rPr>
            </w:pPr>
            <w:r w:rsidRPr="00F23105">
              <w:rPr>
                <w:sz w:val="20"/>
                <w:szCs w:val="20"/>
              </w:rPr>
              <w:t>W przypadku kobiet wymagana jest zgoda na świadomą kontrolę urodzeń</w:t>
            </w:r>
            <w:r w:rsidR="00511BC7" w:rsidRPr="00F23105">
              <w:rPr>
                <w:sz w:val="20"/>
                <w:szCs w:val="20"/>
              </w:rPr>
              <w:t>, zgodnie z Charakterystyką Produktu Leczniczego, którym odbywa się leczenie biologiczne.</w:t>
            </w:r>
          </w:p>
          <w:p w14:paraId="26953140" w14:textId="77777777" w:rsidR="00E9042A" w:rsidRPr="00F23105" w:rsidRDefault="00E9042A" w:rsidP="005B056B">
            <w:pPr>
              <w:spacing w:line="276" w:lineRule="auto"/>
              <w:rPr>
                <w:sz w:val="20"/>
                <w:szCs w:val="20"/>
              </w:rPr>
            </w:pPr>
          </w:p>
          <w:p w14:paraId="448F2F54" w14:textId="77777777" w:rsidR="00E9042A" w:rsidRPr="00F23105" w:rsidRDefault="00935879" w:rsidP="005B056B">
            <w:pPr>
              <w:pStyle w:val="Akapitzlist"/>
              <w:numPr>
                <w:ilvl w:val="0"/>
                <w:numId w:val="16"/>
              </w:numPr>
              <w:spacing w:line="276" w:lineRule="auto"/>
              <w:ind w:left="357" w:hanging="357"/>
              <w:rPr>
                <w:b/>
                <w:sz w:val="20"/>
                <w:szCs w:val="20"/>
              </w:rPr>
            </w:pPr>
            <w:r w:rsidRPr="00F23105">
              <w:rPr>
                <w:b/>
                <w:sz w:val="20"/>
                <w:szCs w:val="20"/>
              </w:rPr>
              <w:t xml:space="preserve">Kryteria stanowiące przeciwwskazania do </w:t>
            </w:r>
            <w:r w:rsidR="0052760F" w:rsidRPr="00F23105">
              <w:rPr>
                <w:b/>
                <w:sz w:val="20"/>
                <w:szCs w:val="20"/>
              </w:rPr>
              <w:t xml:space="preserve">udziału w </w:t>
            </w:r>
            <w:r w:rsidRPr="00F23105">
              <w:rPr>
                <w:b/>
                <w:sz w:val="20"/>
                <w:szCs w:val="20"/>
              </w:rPr>
              <w:t>program</w:t>
            </w:r>
            <w:r w:rsidR="0052760F" w:rsidRPr="00F23105">
              <w:rPr>
                <w:b/>
                <w:sz w:val="20"/>
                <w:szCs w:val="20"/>
              </w:rPr>
              <w:t>ie</w:t>
            </w:r>
            <w:r w:rsidRPr="00F23105">
              <w:rPr>
                <w:b/>
                <w:sz w:val="20"/>
                <w:szCs w:val="20"/>
              </w:rPr>
              <w:t>:</w:t>
            </w:r>
          </w:p>
          <w:p w14:paraId="44178381" w14:textId="56A54277" w:rsidR="0052760F" w:rsidRPr="00F23105" w:rsidRDefault="00B57549" w:rsidP="005B056B">
            <w:pPr>
              <w:spacing w:line="276" w:lineRule="auto"/>
              <w:rPr>
                <w:sz w:val="20"/>
                <w:szCs w:val="20"/>
              </w:rPr>
            </w:pPr>
            <w:r w:rsidRPr="00F23105">
              <w:rPr>
                <w:sz w:val="20"/>
                <w:szCs w:val="20"/>
              </w:rPr>
              <w:t>Przeciwwskazania do udziału w programie wynikają z przeciwwskazań do stosowania określonych w Charakterystykach Produktów Leczniczych poszczególnych substancji czynnych ujętych w programie lekowym</w:t>
            </w:r>
            <w:r w:rsidR="00552AF3" w:rsidRPr="00F23105">
              <w:rPr>
                <w:sz w:val="20"/>
                <w:szCs w:val="20"/>
              </w:rPr>
              <w:t>, z uwzględnieniem rekomendacji EULAR/ASAS</w:t>
            </w:r>
            <w:r w:rsidRPr="00F23105">
              <w:rPr>
                <w:sz w:val="20"/>
                <w:szCs w:val="20"/>
              </w:rPr>
              <w:t>.</w:t>
            </w:r>
          </w:p>
          <w:p w14:paraId="551CCB79" w14:textId="77777777" w:rsidR="00B57549" w:rsidRPr="00F23105" w:rsidRDefault="00B57549" w:rsidP="005B056B">
            <w:pPr>
              <w:spacing w:line="276" w:lineRule="auto"/>
              <w:rPr>
                <w:sz w:val="20"/>
                <w:szCs w:val="20"/>
              </w:rPr>
            </w:pPr>
          </w:p>
          <w:p w14:paraId="4CB6B21B" w14:textId="77777777" w:rsidR="00F2113E" w:rsidRPr="00F23105" w:rsidRDefault="00F2113E" w:rsidP="005B056B">
            <w:pPr>
              <w:pStyle w:val="Akapitzlist"/>
              <w:numPr>
                <w:ilvl w:val="0"/>
                <w:numId w:val="16"/>
              </w:numPr>
              <w:spacing w:line="276" w:lineRule="auto"/>
              <w:ind w:left="357" w:hanging="357"/>
              <w:rPr>
                <w:b/>
                <w:sz w:val="20"/>
                <w:szCs w:val="20"/>
              </w:rPr>
            </w:pPr>
            <w:r w:rsidRPr="00F23105">
              <w:rPr>
                <w:b/>
                <w:sz w:val="20"/>
                <w:szCs w:val="20"/>
              </w:rPr>
              <w:lastRenderedPageBreak/>
              <w:t>Adekwatna odpowiedź na leczenie:</w:t>
            </w:r>
          </w:p>
          <w:p w14:paraId="17DB84C9" w14:textId="38862402" w:rsidR="00F2113E" w:rsidRPr="00F23105" w:rsidRDefault="007910E6" w:rsidP="005B056B">
            <w:pPr>
              <w:pStyle w:val="Akapitzlist"/>
              <w:numPr>
                <w:ilvl w:val="0"/>
                <w:numId w:val="21"/>
              </w:numPr>
              <w:spacing w:line="276" w:lineRule="auto"/>
              <w:ind w:left="426"/>
              <w:rPr>
                <w:sz w:val="20"/>
                <w:szCs w:val="20"/>
              </w:rPr>
            </w:pPr>
            <w:r w:rsidRPr="00F23105">
              <w:rPr>
                <w:sz w:val="20"/>
                <w:szCs w:val="20"/>
              </w:rPr>
              <w:t xml:space="preserve">po 3 miesiącach (± 14 dni) terapii </w:t>
            </w:r>
            <w:r w:rsidR="00794A90">
              <w:rPr>
                <w:sz w:val="20"/>
                <w:szCs w:val="20"/>
              </w:rPr>
              <w:t xml:space="preserve">inhibitorem TNF alfa lub po 4 miesiącach </w:t>
            </w:r>
            <w:r w:rsidR="00794A90" w:rsidRPr="00F23105">
              <w:rPr>
                <w:sz w:val="20"/>
                <w:szCs w:val="20"/>
              </w:rPr>
              <w:t xml:space="preserve">(± 14 dni) </w:t>
            </w:r>
            <w:r w:rsidR="00794A90">
              <w:rPr>
                <w:sz w:val="20"/>
                <w:szCs w:val="20"/>
              </w:rPr>
              <w:t xml:space="preserve">terapii sekukinumabem </w:t>
            </w:r>
            <w:r w:rsidR="00F2113E" w:rsidRPr="00F23105">
              <w:rPr>
                <w:sz w:val="20"/>
                <w:szCs w:val="20"/>
              </w:rPr>
              <w:t>zmniejszenie wartości BASDAI ≥ 50% lub ≥ 2 jednostki albo zmniejszenie wartości ASDAS o 50% lub ≥ 1,1 jednostki</w:t>
            </w:r>
            <w:r w:rsidR="00095204" w:rsidRPr="00F23105">
              <w:rPr>
                <w:sz w:val="20"/>
                <w:szCs w:val="20"/>
              </w:rPr>
              <w:t xml:space="preserve"> </w:t>
            </w:r>
            <w:r w:rsidR="00F2113E" w:rsidRPr="00F23105">
              <w:rPr>
                <w:sz w:val="20"/>
                <w:szCs w:val="20"/>
              </w:rPr>
              <w:t>w stosunku do wartości sprzed leczenia;</w:t>
            </w:r>
          </w:p>
          <w:p w14:paraId="5B81D7BA" w14:textId="43402B98" w:rsidR="00F2113E" w:rsidRPr="00F23105" w:rsidRDefault="00EC543C" w:rsidP="005B056B">
            <w:pPr>
              <w:pStyle w:val="Akapitzlist"/>
              <w:numPr>
                <w:ilvl w:val="0"/>
                <w:numId w:val="21"/>
              </w:numPr>
              <w:spacing w:line="276" w:lineRule="auto"/>
              <w:ind w:left="426"/>
              <w:rPr>
                <w:sz w:val="20"/>
                <w:szCs w:val="20"/>
              </w:rPr>
            </w:pPr>
            <w:r w:rsidRPr="00F23105">
              <w:rPr>
                <w:sz w:val="20"/>
                <w:szCs w:val="20"/>
              </w:rPr>
              <w:t xml:space="preserve">po 6 miesiącach (± 28 dni) terapii </w:t>
            </w:r>
            <w:r w:rsidR="0040145E">
              <w:rPr>
                <w:sz w:val="20"/>
                <w:szCs w:val="20"/>
              </w:rPr>
              <w:t>inhibitorem TNF alfa lub po 7</w:t>
            </w:r>
            <w:r w:rsidR="00C34670">
              <w:rPr>
                <w:sz w:val="20"/>
                <w:szCs w:val="20"/>
              </w:rPr>
              <w:t xml:space="preserve"> miesiącach </w:t>
            </w:r>
            <w:r w:rsidR="00C34670" w:rsidRPr="00F23105">
              <w:rPr>
                <w:sz w:val="20"/>
                <w:szCs w:val="20"/>
              </w:rPr>
              <w:t xml:space="preserve">(± 28 dni) </w:t>
            </w:r>
            <w:r w:rsidR="00C34670">
              <w:rPr>
                <w:sz w:val="20"/>
                <w:szCs w:val="20"/>
              </w:rPr>
              <w:t xml:space="preserve">terapii sekukinumabem </w:t>
            </w:r>
            <w:r w:rsidR="00F2113E" w:rsidRPr="00F23105">
              <w:rPr>
                <w:sz w:val="20"/>
                <w:szCs w:val="20"/>
              </w:rPr>
              <w:t xml:space="preserve">uzyskanie </w:t>
            </w:r>
            <w:r w:rsidRPr="00F23105">
              <w:rPr>
                <w:sz w:val="20"/>
                <w:szCs w:val="20"/>
              </w:rPr>
              <w:t xml:space="preserve">niskiej aktywności choroby mierzonej </w:t>
            </w:r>
            <w:r w:rsidR="00F2113E" w:rsidRPr="00F23105">
              <w:rPr>
                <w:sz w:val="20"/>
                <w:szCs w:val="20"/>
              </w:rPr>
              <w:t>wartości</w:t>
            </w:r>
            <w:r w:rsidRPr="00F23105">
              <w:rPr>
                <w:sz w:val="20"/>
                <w:szCs w:val="20"/>
              </w:rPr>
              <w:t>ą</w:t>
            </w:r>
            <w:r w:rsidR="00F2113E" w:rsidRPr="00F23105">
              <w:rPr>
                <w:sz w:val="20"/>
                <w:szCs w:val="20"/>
              </w:rPr>
              <w:t xml:space="preserve"> BASDAI &lt; 3 albo ASDAS &lt; 1,3.</w:t>
            </w:r>
          </w:p>
          <w:p w14:paraId="1F3DEA11" w14:textId="77777777" w:rsidR="00095204" w:rsidRPr="00F23105" w:rsidRDefault="00095204" w:rsidP="005B056B">
            <w:pPr>
              <w:spacing w:line="276" w:lineRule="auto"/>
              <w:rPr>
                <w:sz w:val="20"/>
                <w:szCs w:val="20"/>
              </w:rPr>
            </w:pPr>
          </w:p>
          <w:p w14:paraId="25494C71" w14:textId="77777777" w:rsidR="00095204" w:rsidRPr="00F23105" w:rsidRDefault="00095204" w:rsidP="005B056B">
            <w:pPr>
              <w:pStyle w:val="Nagwek4"/>
              <w:numPr>
                <w:ilvl w:val="0"/>
                <w:numId w:val="16"/>
              </w:numPr>
              <w:spacing w:before="0" w:after="0" w:line="276" w:lineRule="auto"/>
              <w:ind w:left="357" w:hanging="357"/>
              <w:rPr>
                <w:iCs/>
                <w:sz w:val="20"/>
                <w:szCs w:val="20"/>
              </w:rPr>
            </w:pPr>
            <w:r w:rsidRPr="00F23105">
              <w:rPr>
                <w:iCs/>
                <w:sz w:val="20"/>
                <w:szCs w:val="20"/>
              </w:rPr>
              <w:t>Kryteria i warunki zamiany terapii na inną:</w:t>
            </w:r>
          </w:p>
          <w:p w14:paraId="080662B8" w14:textId="77777777" w:rsidR="00095204" w:rsidRPr="00F23105" w:rsidRDefault="00095204" w:rsidP="005B056B">
            <w:pPr>
              <w:pStyle w:val="Akapitzlist"/>
              <w:numPr>
                <w:ilvl w:val="0"/>
                <w:numId w:val="9"/>
              </w:numPr>
              <w:suppressAutoHyphens/>
              <w:spacing w:line="276" w:lineRule="auto"/>
              <w:ind w:left="357" w:hanging="357"/>
              <w:rPr>
                <w:sz w:val="20"/>
                <w:szCs w:val="20"/>
              </w:rPr>
            </w:pPr>
            <w:r w:rsidRPr="00F23105">
              <w:rPr>
                <w:sz w:val="20"/>
                <w:szCs w:val="20"/>
              </w:rPr>
              <w:t>Zmiana terapii na leczenie inną, wymienioną w programie substancją czynną, możliwa jest tylko w następujących sytuacjach:</w:t>
            </w:r>
          </w:p>
          <w:p w14:paraId="7805F43F" w14:textId="77777777" w:rsidR="00095204" w:rsidRPr="00F23105" w:rsidRDefault="00095204" w:rsidP="005B056B">
            <w:pPr>
              <w:pStyle w:val="Default"/>
              <w:numPr>
                <w:ilvl w:val="0"/>
                <w:numId w:val="10"/>
              </w:numPr>
              <w:spacing w:line="276" w:lineRule="auto"/>
              <w:rPr>
                <w:rFonts w:ascii="Times New Roman" w:hAnsi="Times New Roman" w:cs="Times New Roman"/>
                <w:color w:val="auto"/>
                <w:sz w:val="20"/>
                <w:szCs w:val="20"/>
              </w:rPr>
            </w:pPr>
            <w:r w:rsidRPr="00F23105">
              <w:rPr>
                <w:rFonts w:ascii="Times New Roman" w:hAnsi="Times New Roman" w:cs="Times New Roman"/>
                <w:color w:val="auto"/>
                <w:sz w:val="20"/>
                <w:szCs w:val="20"/>
              </w:rPr>
              <w:t>w</w:t>
            </w:r>
            <w:r w:rsidR="00F05D33" w:rsidRPr="00F23105">
              <w:rPr>
                <w:rFonts w:ascii="Times New Roman" w:hAnsi="Times New Roman" w:cs="Times New Roman"/>
                <w:color w:val="auto"/>
                <w:sz w:val="20"/>
                <w:szCs w:val="20"/>
              </w:rPr>
              <w:t>ystąpienie</w:t>
            </w:r>
            <w:r w:rsidRPr="00F23105">
              <w:rPr>
                <w:rFonts w:ascii="Times New Roman" w:hAnsi="Times New Roman" w:cs="Times New Roman"/>
                <w:color w:val="auto"/>
                <w:sz w:val="20"/>
                <w:szCs w:val="20"/>
              </w:rPr>
              <w:t xml:space="preserve"> ciężkiej reakcji uczuleniowej na substancję czynną lub pomocniczą lub</w:t>
            </w:r>
          </w:p>
          <w:p w14:paraId="17781910" w14:textId="77777777" w:rsidR="00095204" w:rsidRPr="00F23105" w:rsidRDefault="00F05D33" w:rsidP="005B056B">
            <w:pPr>
              <w:pStyle w:val="Default"/>
              <w:numPr>
                <w:ilvl w:val="0"/>
                <w:numId w:val="10"/>
              </w:numPr>
              <w:spacing w:line="276" w:lineRule="auto"/>
              <w:rPr>
                <w:rFonts w:ascii="Times New Roman" w:hAnsi="Times New Roman" w:cs="Times New Roman"/>
                <w:color w:val="auto"/>
                <w:sz w:val="20"/>
                <w:szCs w:val="20"/>
              </w:rPr>
            </w:pPr>
            <w:r w:rsidRPr="00F23105">
              <w:rPr>
                <w:rFonts w:ascii="Times New Roman" w:hAnsi="Times New Roman" w:cs="Times New Roman"/>
                <w:color w:val="auto"/>
                <w:sz w:val="20"/>
                <w:szCs w:val="20"/>
              </w:rPr>
              <w:t>wystąpienie</w:t>
            </w:r>
            <w:r w:rsidR="00095204" w:rsidRPr="00F23105">
              <w:rPr>
                <w:rFonts w:ascii="Times New Roman" w:hAnsi="Times New Roman" w:cs="Times New Roman"/>
                <w:color w:val="auto"/>
                <w:sz w:val="20"/>
                <w:szCs w:val="20"/>
              </w:rPr>
              <w:t xml:space="preserve"> ciężkich działań niepożądanych </w:t>
            </w:r>
            <w:r w:rsidRPr="00F23105">
              <w:rPr>
                <w:rFonts w:ascii="Times New Roman" w:hAnsi="Times New Roman" w:cs="Times New Roman"/>
                <w:color w:val="auto"/>
                <w:sz w:val="20"/>
                <w:szCs w:val="20"/>
              </w:rPr>
              <w:t>uniemożliwiających kontynuowanie terapii, które nie ustępują mimo dostosowywania dawki leku zgodnie z ChPL lub</w:t>
            </w:r>
          </w:p>
          <w:p w14:paraId="6E6C0323" w14:textId="0EE8D647" w:rsidR="00095204" w:rsidRPr="00F23105" w:rsidRDefault="00095204" w:rsidP="005B056B">
            <w:pPr>
              <w:pStyle w:val="Default"/>
              <w:numPr>
                <w:ilvl w:val="0"/>
                <w:numId w:val="10"/>
              </w:numPr>
              <w:spacing w:line="276" w:lineRule="auto"/>
              <w:rPr>
                <w:rFonts w:ascii="Times New Roman" w:hAnsi="Times New Roman" w:cs="Times New Roman"/>
                <w:color w:val="auto"/>
                <w:sz w:val="20"/>
                <w:szCs w:val="20"/>
              </w:rPr>
            </w:pPr>
            <w:r w:rsidRPr="00F23105">
              <w:rPr>
                <w:rFonts w:ascii="Times New Roman" w:hAnsi="Times New Roman" w:cs="Times New Roman"/>
                <w:color w:val="auto"/>
                <w:sz w:val="20"/>
                <w:szCs w:val="20"/>
              </w:rPr>
              <w:t>brak</w:t>
            </w:r>
            <w:r w:rsidR="00F05D33" w:rsidRPr="00F23105">
              <w:rPr>
                <w:rFonts w:ascii="Times New Roman" w:hAnsi="Times New Roman" w:cs="Times New Roman"/>
                <w:color w:val="auto"/>
                <w:sz w:val="20"/>
                <w:szCs w:val="20"/>
              </w:rPr>
              <w:t xml:space="preserve"> </w:t>
            </w:r>
            <w:r w:rsidR="000917C6" w:rsidRPr="00F23105">
              <w:rPr>
                <w:rFonts w:ascii="Times New Roman" w:hAnsi="Times New Roman" w:cs="Times New Roman"/>
                <w:color w:val="auto"/>
                <w:sz w:val="20"/>
                <w:szCs w:val="20"/>
              </w:rPr>
              <w:t>uzyskania</w:t>
            </w:r>
            <w:r w:rsidRPr="00F23105">
              <w:rPr>
                <w:rFonts w:ascii="Times New Roman" w:hAnsi="Times New Roman" w:cs="Times New Roman"/>
                <w:color w:val="auto"/>
                <w:sz w:val="20"/>
                <w:szCs w:val="20"/>
              </w:rPr>
              <w:t xml:space="preserve"> adekwatnej odpowiedzi na </w:t>
            </w:r>
            <w:r w:rsidR="007504B2" w:rsidRPr="00654AD2">
              <w:rPr>
                <w:rFonts w:ascii="Times New Roman" w:hAnsi="Times New Roman" w:cs="Times New Roman"/>
                <w:color w:val="auto"/>
                <w:sz w:val="20"/>
                <w:szCs w:val="20"/>
              </w:rPr>
              <w:t xml:space="preserve">zastosowaną substancję czynną </w:t>
            </w:r>
            <w:r w:rsidR="00451BAE" w:rsidRPr="00F23105">
              <w:rPr>
                <w:rFonts w:ascii="Times New Roman" w:hAnsi="Times New Roman" w:cs="Times New Roman"/>
                <w:color w:val="auto"/>
                <w:sz w:val="20"/>
                <w:szCs w:val="20"/>
              </w:rPr>
              <w:t>zgodnie z pkt 3</w:t>
            </w:r>
            <w:r w:rsidRPr="00F23105">
              <w:rPr>
                <w:rFonts w:ascii="Times New Roman" w:hAnsi="Times New Roman" w:cs="Times New Roman"/>
                <w:color w:val="auto"/>
                <w:sz w:val="20"/>
                <w:szCs w:val="20"/>
              </w:rPr>
              <w:t xml:space="preserve"> lub utrata adekwatnej odpowiedzi stwierdzona w trakcie dwóch kolejnych wizyt monitorujących.</w:t>
            </w:r>
          </w:p>
          <w:p w14:paraId="4F8C1DD9" w14:textId="04507D65" w:rsidR="00095204" w:rsidRPr="00F23105" w:rsidRDefault="00451BAE" w:rsidP="005B056B">
            <w:pPr>
              <w:pStyle w:val="Akapitzlist"/>
              <w:numPr>
                <w:ilvl w:val="0"/>
                <w:numId w:val="9"/>
              </w:numPr>
              <w:spacing w:line="276" w:lineRule="auto"/>
              <w:ind w:left="357" w:hanging="357"/>
              <w:rPr>
                <w:sz w:val="20"/>
                <w:szCs w:val="20"/>
              </w:rPr>
            </w:pPr>
            <w:r w:rsidRPr="00F23105">
              <w:rPr>
                <w:sz w:val="20"/>
                <w:szCs w:val="20"/>
              </w:rPr>
              <w:t>W ramach programów lekowych</w:t>
            </w:r>
            <w:r w:rsidR="00095204" w:rsidRPr="00F23105">
              <w:rPr>
                <w:sz w:val="20"/>
                <w:szCs w:val="20"/>
              </w:rPr>
              <w:t xml:space="preserve"> dotyczących </w:t>
            </w:r>
            <w:r w:rsidRPr="00F23105">
              <w:rPr>
                <w:sz w:val="20"/>
                <w:szCs w:val="20"/>
              </w:rPr>
              <w:t>leczenia</w:t>
            </w:r>
            <w:r w:rsidR="00095204" w:rsidRPr="00F23105">
              <w:rPr>
                <w:sz w:val="20"/>
                <w:szCs w:val="20"/>
              </w:rPr>
              <w:t xml:space="preserve"> ZZSK nie jest możli</w:t>
            </w:r>
            <w:r w:rsidR="002E2EB0">
              <w:rPr>
                <w:sz w:val="20"/>
                <w:szCs w:val="20"/>
              </w:rPr>
              <w:t xml:space="preserve">we zastosowanie więcej niż czterech leków biologicznych, w tym nie więcej niż dwóch inhibitorów TNF alfa </w:t>
            </w:r>
            <w:r w:rsidR="00095204" w:rsidRPr="00F23105">
              <w:rPr>
                <w:sz w:val="20"/>
                <w:szCs w:val="20"/>
              </w:rPr>
              <w:t xml:space="preserve">w przypadku ich nieskuteczności oraz </w:t>
            </w:r>
            <w:r w:rsidR="002E2EB0">
              <w:rPr>
                <w:sz w:val="20"/>
                <w:szCs w:val="20"/>
              </w:rPr>
              <w:t xml:space="preserve">nie </w:t>
            </w:r>
            <w:r w:rsidR="00095204" w:rsidRPr="00F23105">
              <w:rPr>
                <w:sz w:val="20"/>
                <w:szCs w:val="20"/>
              </w:rPr>
              <w:t xml:space="preserve">więcej niż trzech inhibitorów TNF alfa, jeśli przyczyną odstawienia </w:t>
            </w:r>
            <w:r w:rsidRPr="00F23105">
              <w:rPr>
                <w:sz w:val="20"/>
                <w:szCs w:val="20"/>
              </w:rPr>
              <w:t>przynajmniej jednego z nich była</w:t>
            </w:r>
            <w:r w:rsidR="00095204" w:rsidRPr="00F23105">
              <w:rPr>
                <w:sz w:val="20"/>
                <w:szCs w:val="20"/>
              </w:rPr>
              <w:t xml:space="preserve"> nietolerancja lub działania niepożądane.</w:t>
            </w:r>
          </w:p>
          <w:p w14:paraId="795FDC24" w14:textId="3312B42E" w:rsidR="0034540B" w:rsidRPr="00F23105" w:rsidRDefault="0034540B" w:rsidP="005B056B">
            <w:pPr>
              <w:pStyle w:val="Akapitzlist"/>
              <w:numPr>
                <w:ilvl w:val="0"/>
                <w:numId w:val="9"/>
              </w:numPr>
              <w:spacing w:line="276" w:lineRule="auto"/>
              <w:ind w:left="357" w:hanging="357"/>
              <w:rPr>
                <w:sz w:val="20"/>
                <w:szCs w:val="20"/>
              </w:rPr>
            </w:pPr>
            <w:r w:rsidRPr="00F23105">
              <w:rPr>
                <w:sz w:val="20"/>
                <w:szCs w:val="20"/>
              </w:rPr>
              <w:t xml:space="preserve">W ramach programu nie dopuszcza się możliwości ponownej kwalifikacji do terapii substancją czynną, </w:t>
            </w:r>
            <w:r w:rsidR="00FE659F" w:rsidRPr="00F23105">
              <w:rPr>
                <w:sz w:val="20"/>
                <w:szCs w:val="20"/>
              </w:rPr>
              <w:t>którą pacjent był leczony w prze</w:t>
            </w:r>
            <w:r w:rsidRPr="00F23105">
              <w:rPr>
                <w:sz w:val="20"/>
                <w:szCs w:val="20"/>
              </w:rPr>
              <w:t>szłości nieskutecznie.</w:t>
            </w:r>
          </w:p>
          <w:p w14:paraId="51E68412" w14:textId="7435F726" w:rsidR="00BA64DC" w:rsidRPr="00F23105" w:rsidRDefault="00BA64DC" w:rsidP="005B056B">
            <w:pPr>
              <w:pStyle w:val="Akapitzlist"/>
              <w:numPr>
                <w:ilvl w:val="0"/>
                <w:numId w:val="9"/>
              </w:numPr>
              <w:spacing w:line="276" w:lineRule="auto"/>
              <w:ind w:left="357" w:hanging="357"/>
              <w:rPr>
                <w:sz w:val="20"/>
                <w:szCs w:val="20"/>
              </w:rPr>
            </w:pPr>
            <w:r w:rsidRPr="00F23105">
              <w:rPr>
                <w:sz w:val="20"/>
                <w:szCs w:val="20"/>
              </w:rPr>
              <w:lastRenderedPageBreak/>
              <w:t>Kwalifikacja pacjenta do drugiego leku i kolejnych w ramach programu lekowego nie wymaga zgody Zespołu Koordynacyjnego, jeśli jest zgodna z opisem.</w:t>
            </w:r>
          </w:p>
          <w:p w14:paraId="3F1F5E31" w14:textId="77777777" w:rsidR="00451BAE" w:rsidRPr="00F23105" w:rsidRDefault="00451BAE" w:rsidP="005B056B">
            <w:pPr>
              <w:spacing w:line="276" w:lineRule="auto"/>
              <w:rPr>
                <w:sz w:val="20"/>
                <w:szCs w:val="20"/>
              </w:rPr>
            </w:pPr>
          </w:p>
          <w:p w14:paraId="678FD87F" w14:textId="77777777" w:rsidR="00451BAE" w:rsidRPr="00F23105" w:rsidRDefault="00451BAE" w:rsidP="005B056B">
            <w:pPr>
              <w:pStyle w:val="Akapitzlist"/>
              <w:numPr>
                <w:ilvl w:val="0"/>
                <w:numId w:val="16"/>
              </w:numPr>
              <w:spacing w:line="276" w:lineRule="auto"/>
              <w:ind w:left="357" w:hanging="357"/>
              <w:rPr>
                <w:b/>
                <w:sz w:val="20"/>
                <w:szCs w:val="20"/>
              </w:rPr>
            </w:pPr>
            <w:r w:rsidRPr="00F23105">
              <w:rPr>
                <w:b/>
                <w:sz w:val="20"/>
                <w:szCs w:val="20"/>
              </w:rPr>
              <w:t>Kryteria wyłączenia z programu:</w:t>
            </w:r>
          </w:p>
          <w:p w14:paraId="1471613F" w14:textId="79F13A74" w:rsidR="00451BAE" w:rsidRPr="00F23105" w:rsidRDefault="00451BAE" w:rsidP="005B056B">
            <w:pPr>
              <w:pStyle w:val="Akapitzlist"/>
              <w:numPr>
                <w:ilvl w:val="0"/>
                <w:numId w:val="18"/>
              </w:numPr>
              <w:spacing w:line="276" w:lineRule="auto"/>
              <w:ind w:left="357" w:hanging="357"/>
              <w:rPr>
                <w:sz w:val="20"/>
                <w:szCs w:val="20"/>
              </w:rPr>
            </w:pPr>
            <w:r w:rsidRPr="00F23105">
              <w:rPr>
                <w:sz w:val="20"/>
                <w:szCs w:val="20"/>
              </w:rPr>
              <w:t>brak uzyskania adekwatnej odpowiedzi na leczenie zgodnie z pkt 3;</w:t>
            </w:r>
          </w:p>
          <w:p w14:paraId="74B0D9C1" w14:textId="704A4A2A" w:rsidR="00317AA2" w:rsidRPr="00F23105" w:rsidRDefault="00AD1E43" w:rsidP="005B056B">
            <w:pPr>
              <w:pStyle w:val="Akapitzlist"/>
              <w:numPr>
                <w:ilvl w:val="0"/>
                <w:numId w:val="18"/>
              </w:numPr>
              <w:spacing w:line="276" w:lineRule="auto"/>
              <w:ind w:left="357" w:hanging="357"/>
              <w:rPr>
                <w:sz w:val="20"/>
                <w:szCs w:val="20"/>
              </w:rPr>
            </w:pPr>
            <w:r w:rsidRPr="00F23105">
              <w:rPr>
                <w:sz w:val="20"/>
                <w:szCs w:val="20"/>
              </w:rPr>
              <w:t>utrata</w:t>
            </w:r>
            <w:r w:rsidR="00317AA2" w:rsidRPr="00F23105">
              <w:rPr>
                <w:sz w:val="20"/>
                <w:szCs w:val="20"/>
              </w:rPr>
              <w:t xml:space="preserve"> adekwatnej od</w:t>
            </w:r>
            <w:r w:rsidRPr="00F23105">
              <w:rPr>
                <w:sz w:val="20"/>
                <w:szCs w:val="20"/>
              </w:rPr>
              <w:t>powiedzi na leczenie stwierdzona</w:t>
            </w:r>
            <w:r w:rsidR="00317AA2" w:rsidRPr="00F23105">
              <w:rPr>
                <w:sz w:val="20"/>
                <w:szCs w:val="20"/>
              </w:rPr>
              <w:t xml:space="preserve"> w trakcie dwóch kolejnych wizyt </w:t>
            </w:r>
            <w:r w:rsidRPr="00F23105">
              <w:rPr>
                <w:sz w:val="20"/>
                <w:szCs w:val="20"/>
              </w:rPr>
              <w:t>monitorujących</w:t>
            </w:r>
            <w:r w:rsidR="00317AA2" w:rsidRPr="00F23105">
              <w:rPr>
                <w:sz w:val="20"/>
                <w:szCs w:val="20"/>
              </w:rPr>
              <w:t>;</w:t>
            </w:r>
          </w:p>
          <w:p w14:paraId="5CAC70F2" w14:textId="01E3A253" w:rsidR="00451BAE" w:rsidRPr="00F23105" w:rsidRDefault="003C5568" w:rsidP="005B056B">
            <w:pPr>
              <w:pStyle w:val="Akapitzlist"/>
              <w:numPr>
                <w:ilvl w:val="0"/>
                <w:numId w:val="18"/>
              </w:numPr>
              <w:spacing w:line="276" w:lineRule="auto"/>
              <w:ind w:left="357" w:hanging="357"/>
              <w:rPr>
                <w:sz w:val="20"/>
                <w:szCs w:val="20"/>
              </w:rPr>
            </w:pPr>
            <w:r w:rsidRPr="00F23105">
              <w:rPr>
                <w:sz w:val="20"/>
                <w:szCs w:val="20"/>
              </w:rPr>
              <w:t>utrzymywanie si</w:t>
            </w:r>
            <w:r w:rsidR="001C0A5D" w:rsidRPr="00F23105">
              <w:rPr>
                <w:sz w:val="20"/>
                <w:szCs w:val="20"/>
              </w:rPr>
              <w:t>ę przez okres 12-15 miesięcy niski</w:t>
            </w:r>
            <w:r w:rsidRPr="00F23105">
              <w:rPr>
                <w:sz w:val="20"/>
                <w:szCs w:val="20"/>
              </w:rPr>
              <w:t>ej aktywności choroby wyrażonej wartością BASDAI &lt; 3 lub ASDAS &lt; 1,3;</w:t>
            </w:r>
          </w:p>
          <w:p w14:paraId="649C9F15" w14:textId="100BC034" w:rsidR="00451BAE" w:rsidRPr="00F23105" w:rsidRDefault="00451BAE" w:rsidP="005B056B">
            <w:pPr>
              <w:pStyle w:val="Akapitzlist"/>
              <w:numPr>
                <w:ilvl w:val="0"/>
                <w:numId w:val="18"/>
              </w:numPr>
              <w:spacing w:line="276" w:lineRule="auto"/>
              <w:ind w:left="357" w:hanging="357"/>
              <w:rPr>
                <w:sz w:val="20"/>
                <w:szCs w:val="20"/>
              </w:rPr>
            </w:pPr>
            <w:r w:rsidRPr="00F23105">
              <w:rPr>
                <w:sz w:val="20"/>
                <w:szCs w:val="20"/>
              </w:rPr>
              <w:t>wystąpienie działań niepożądanych, które w opinii lekarza prowadzącego oraz zgodnie z Charakterystyką Produktu Leczniczego, którym prowadzona jest terapia, są przeciwwskazaniami do leczenia daną substancją czynną</w:t>
            </w:r>
            <w:r w:rsidR="003C5568" w:rsidRPr="00F23105">
              <w:rPr>
                <w:sz w:val="20"/>
                <w:szCs w:val="20"/>
              </w:rPr>
              <w:t>.</w:t>
            </w:r>
          </w:p>
          <w:p w14:paraId="4D61ECFE" w14:textId="77777777" w:rsidR="00F2113E" w:rsidRPr="00F23105" w:rsidRDefault="00F2113E" w:rsidP="005B056B">
            <w:pPr>
              <w:pStyle w:val="Akapitzlist"/>
              <w:spacing w:line="276" w:lineRule="auto"/>
              <w:ind w:left="426"/>
              <w:rPr>
                <w:sz w:val="20"/>
                <w:szCs w:val="20"/>
              </w:rPr>
            </w:pPr>
          </w:p>
          <w:p w14:paraId="40CD99F9" w14:textId="77777777" w:rsidR="00FB74BE" w:rsidRPr="00F23105" w:rsidRDefault="00B57549" w:rsidP="005B056B">
            <w:pPr>
              <w:pStyle w:val="Akapitzlist"/>
              <w:numPr>
                <w:ilvl w:val="0"/>
                <w:numId w:val="16"/>
              </w:numPr>
              <w:spacing w:line="276" w:lineRule="auto"/>
              <w:ind w:left="357" w:hanging="357"/>
              <w:rPr>
                <w:b/>
                <w:sz w:val="20"/>
                <w:szCs w:val="20"/>
              </w:rPr>
            </w:pPr>
            <w:r w:rsidRPr="00F23105">
              <w:rPr>
                <w:b/>
                <w:sz w:val="20"/>
                <w:szCs w:val="20"/>
              </w:rPr>
              <w:t>Czas leczenia</w:t>
            </w:r>
            <w:r w:rsidR="0052760F" w:rsidRPr="00F23105">
              <w:rPr>
                <w:b/>
                <w:sz w:val="20"/>
                <w:szCs w:val="20"/>
              </w:rPr>
              <w:t xml:space="preserve"> w programie:</w:t>
            </w:r>
          </w:p>
          <w:p w14:paraId="2A98CD29" w14:textId="77777777" w:rsidR="00693AFA" w:rsidRPr="00F23105" w:rsidRDefault="00B57549" w:rsidP="005B056B">
            <w:pPr>
              <w:pStyle w:val="Akapitzlist"/>
              <w:numPr>
                <w:ilvl w:val="0"/>
                <w:numId w:val="20"/>
              </w:numPr>
              <w:spacing w:line="276" w:lineRule="auto"/>
              <w:ind w:left="426"/>
              <w:rPr>
                <w:sz w:val="20"/>
                <w:szCs w:val="20"/>
              </w:rPr>
            </w:pPr>
            <w:r w:rsidRPr="00F23105">
              <w:rPr>
                <w:sz w:val="20"/>
                <w:szCs w:val="20"/>
              </w:rPr>
              <w:t>Kryteria kwalifikacji i wyłączenia z programu określają czas leczenia w programie.</w:t>
            </w:r>
          </w:p>
          <w:p w14:paraId="4303605B" w14:textId="200E01C0" w:rsidR="00B57549" w:rsidRPr="00F23105" w:rsidRDefault="00B57549" w:rsidP="005B056B">
            <w:pPr>
              <w:pStyle w:val="Akapitzlist"/>
              <w:numPr>
                <w:ilvl w:val="0"/>
                <w:numId w:val="20"/>
              </w:numPr>
              <w:spacing w:line="276" w:lineRule="auto"/>
              <w:ind w:left="426"/>
              <w:rPr>
                <w:sz w:val="20"/>
                <w:szCs w:val="20"/>
              </w:rPr>
            </w:pPr>
            <w:r w:rsidRPr="00F23105">
              <w:rPr>
                <w:sz w:val="20"/>
                <w:szCs w:val="20"/>
              </w:rPr>
              <w:t>Czas leczenia daną substancją czynną w ramach programu</w:t>
            </w:r>
            <w:r w:rsidR="00BB5401" w:rsidRPr="00F23105">
              <w:rPr>
                <w:sz w:val="20"/>
                <w:szCs w:val="20"/>
              </w:rPr>
              <w:t xml:space="preserve"> przy pierwszym podawaniu leku biologicznego</w:t>
            </w:r>
            <w:r w:rsidRPr="00F23105">
              <w:rPr>
                <w:sz w:val="20"/>
                <w:szCs w:val="20"/>
              </w:rPr>
              <w:t xml:space="preserve"> nie może być dłuższy niż 18 miesięcy</w:t>
            </w:r>
            <w:r w:rsidR="001E4E5E" w:rsidRPr="00F23105">
              <w:rPr>
                <w:sz w:val="20"/>
                <w:szCs w:val="20"/>
              </w:rPr>
              <w:t xml:space="preserve">, z zastrzeżeniem </w:t>
            </w:r>
            <w:r w:rsidR="00546FE3" w:rsidRPr="00F23105">
              <w:rPr>
                <w:sz w:val="20"/>
                <w:szCs w:val="20"/>
              </w:rPr>
              <w:t>pkt 7</w:t>
            </w:r>
            <w:r w:rsidR="001E4E5E" w:rsidRPr="00F23105">
              <w:rPr>
                <w:sz w:val="20"/>
                <w:szCs w:val="20"/>
              </w:rPr>
              <w:t xml:space="preserve"> niniejszego programu.</w:t>
            </w:r>
          </w:p>
          <w:p w14:paraId="73946151" w14:textId="77777777" w:rsidR="001E4E5E" w:rsidRPr="00F23105" w:rsidRDefault="00200E27" w:rsidP="005B056B">
            <w:pPr>
              <w:pStyle w:val="Akapitzlist"/>
              <w:numPr>
                <w:ilvl w:val="0"/>
                <w:numId w:val="20"/>
              </w:numPr>
              <w:spacing w:line="276" w:lineRule="auto"/>
              <w:ind w:left="426"/>
              <w:rPr>
                <w:sz w:val="20"/>
                <w:szCs w:val="20"/>
              </w:rPr>
            </w:pPr>
            <w:r w:rsidRPr="00F23105">
              <w:rPr>
                <w:sz w:val="20"/>
                <w:szCs w:val="20"/>
              </w:rPr>
              <w:t>W przypadku czaso</w:t>
            </w:r>
            <w:r w:rsidR="001E4E5E" w:rsidRPr="00F23105">
              <w:rPr>
                <w:sz w:val="20"/>
                <w:szCs w:val="20"/>
              </w:rPr>
              <w:t>wej przerwy w leczeniu daną substancją czynną dłuższej niż miesiąc z przyczyn uzasadnionych klinicznie</w:t>
            </w:r>
            <w:r w:rsidRPr="00F23105">
              <w:rPr>
                <w:sz w:val="20"/>
                <w:szCs w:val="20"/>
              </w:rPr>
              <w:t>, czas leczenia i schemat monitorowania ulega wydłużeniu o okres przerwy w podawaniu leku.</w:t>
            </w:r>
          </w:p>
          <w:p w14:paraId="14DE4368" w14:textId="5322F8E8" w:rsidR="00546FE3" w:rsidRPr="00F23105" w:rsidRDefault="00546FE3" w:rsidP="005B056B">
            <w:pPr>
              <w:pStyle w:val="Akapitzlist"/>
              <w:numPr>
                <w:ilvl w:val="0"/>
                <w:numId w:val="20"/>
              </w:numPr>
              <w:spacing w:line="276" w:lineRule="auto"/>
              <w:ind w:left="426"/>
              <w:rPr>
                <w:sz w:val="20"/>
                <w:szCs w:val="20"/>
              </w:rPr>
            </w:pPr>
            <w:r w:rsidRPr="00F23105">
              <w:rPr>
                <w:sz w:val="20"/>
                <w:szCs w:val="20"/>
              </w:rPr>
              <w:t>Jeśli u chorego zaprzestano podaw</w:t>
            </w:r>
            <w:r w:rsidR="001C0A5D" w:rsidRPr="00F23105">
              <w:rPr>
                <w:sz w:val="20"/>
                <w:szCs w:val="20"/>
              </w:rPr>
              <w:t>ania leku z powodu uzyskania niski</w:t>
            </w:r>
            <w:r w:rsidRPr="00F23105">
              <w:rPr>
                <w:sz w:val="20"/>
                <w:szCs w:val="20"/>
              </w:rPr>
              <w:t xml:space="preserve">ej aktywności choroby i doszło u niego do nawrotu aktywnej choroby </w:t>
            </w:r>
            <w:r w:rsidR="00BF2C33" w:rsidRPr="00F23105">
              <w:rPr>
                <w:sz w:val="20"/>
                <w:szCs w:val="20"/>
              </w:rPr>
              <w:t>w okresie poniżej 12 tygodni, wtedy decyzja o długości leczenia, dawkowaniu i częstości podawania leku biologicznego po n</w:t>
            </w:r>
            <w:r w:rsidR="001C0A5D" w:rsidRPr="00F23105">
              <w:rPr>
                <w:sz w:val="20"/>
                <w:szCs w:val="20"/>
              </w:rPr>
              <w:t>awrocie i ponownym uzyskaniu niski</w:t>
            </w:r>
            <w:r w:rsidR="00BF2C33" w:rsidRPr="00F23105">
              <w:rPr>
                <w:sz w:val="20"/>
                <w:szCs w:val="20"/>
              </w:rPr>
              <w:t>ej aktywności choroby, należy do lekarza prowadzącego.</w:t>
            </w:r>
          </w:p>
          <w:p w14:paraId="2D80FEB1" w14:textId="5EF67AF6" w:rsidR="00BF2C33" w:rsidRPr="00F23105" w:rsidRDefault="00BF2C33" w:rsidP="005B056B">
            <w:pPr>
              <w:pStyle w:val="Akapitzlist"/>
              <w:numPr>
                <w:ilvl w:val="0"/>
                <w:numId w:val="20"/>
              </w:numPr>
              <w:spacing w:line="276" w:lineRule="auto"/>
              <w:ind w:left="426"/>
              <w:rPr>
                <w:sz w:val="20"/>
                <w:szCs w:val="20"/>
              </w:rPr>
            </w:pPr>
            <w:r w:rsidRPr="00F23105">
              <w:rPr>
                <w:sz w:val="20"/>
                <w:szCs w:val="20"/>
              </w:rPr>
              <w:t xml:space="preserve">Lekarz prowadzący może zwrócić się do Zespołu Koordynacyjnego do Spraw Leczenia Biologicznego w Chorobach Reumatycznych o </w:t>
            </w:r>
            <w:r w:rsidRPr="00F23105">
              <w:rPr>
                <w:sz w:val="20"/>
                <w:szCs w:val="20"/>
              </w:rPr>
              <w:lastRenderedPageBreak/>
              <w:t xml:space="preserve">wyrażenie zgody na kontynuację leczenia daną substancją czynną w uzasadnionych sytuacjach klinicznych w przypadku </w:t>
            </w:r>
            <w:r w:rsidR="001C0A5D" w:rsidRPr="00F23105">
              <w:rPr>
                <w:sz w:val="20"/>
                <w:szCs w:val="20"/>
              </w:rPr>
              <w:t>nieuzyskania przez chorego niski</w:t>
            </w:r>
            <w:r w:rsidRPr="00F23105">
              <w:rPr>
                <w:sz w:val="20"/>
                <w:szCs w:val="20"/>
              </w:rPr>
              <w:t>ej aktywności choroby zgodnie z pkt 3 ppkt 2, szczególnie u pacjentów z wyjściową bardzo dużą aktywnością choroby i/lub występowaniem czynników złej prognozy.</w:t>
            </w:r>
            <w:r w:rsidR="00932DC9" w:rsidRPr="00F23105">
              <w:rPr>
                <w:sz w:val="20"/>
                <w:szCs w:val="20"/>
              </w:rPr>
              <w:t xml:space="preserve"> Bez zgody Zespołu Koordynacyjnego dalsze leczenie daną substancją czynną w przypadku braku uzyskania niskiej aktywności choroby po 6 miesiącach terapii </w:t>
            </w:r>
            <w:r w:rsidR="00D32DB5">
              <w:rPr>
                <w:sz w:val="20"/>
                <w:szCs w:val="20"/>
              </w:rPr>
              <w:t xml:space="preserve">inhibitorem TNF alfa lub 7 miesiącach terapii sekukinumabem </w:t>
            </w:r>
            <w:r w:rsidR="00932DC9" w:rsidRPr="00F23105">
              <w:rPr>
                <w:sz w:val="20"/>
                <w:szCs w:val="20"/>
              </w:rPr>
              <w:t>nie jest możliwe.</w:t>
            </w:r>
          </w:p>
          <w:p w14:paraId="126B655F" w14:textId="52F44BB0" w:rsidR="00722A5B" w:rsidRPr="00F23105" w:rsidRDefault="00722A5B" w:rsidP="005B056B">
            <w:pPr>
              <w:pStyle w:val="Akapitzlist"/>
              <w:numPr>
                <w:ilvl w:val="0"/>
                <w:numId w:val="20"/>
              </w:numPr>
              <w:spacing w:line="276" w:lineRule="auto"/>
              <w:ind w:left="426"/>
              <w:rPr>
                <w:sz w:val="20"/>
                <w:szCs w:val="20"/>
              </w:rPr>
            </w:pPr>
            <w:r w:rsidRPr="00F23105">
              <w:rPr>
                <w:sz w:val="20"/>
                <w:szCs w:val="20"/>
              </w:rPr>
              <w:t xml:space="preserve">Pacjenci z sacroilitis stwierdzonym na podstawie badania rezonansu magnetycznego (MR) bez zmian radiograficznych, u których nadal aktywne zmiany zapalne obecne są tylko w badaniu MR, którzy zostali zakwalifikowani do programu lekowego B.36. w przeszłości, mogą kontynuować terapię daną substancją czynną tak długo, jak leczenie jest skuteczne i dobrze tolerowane.  </w:t>
            </w:r>
          </w:p>
          <w:p w14:paraId="1E664D99" w14:textId="77777777" w:rsidR="0052760F" w:rsidRPr="00F23105" w:rsidRDefault="0052760F" w:rsidP="005B056B">
            <w:pPr>
              <w:spacing w:line="276" w:lineRule="auto"/>
              <w:rPr>
                <w:b/>
                <w:sz w:val="20"/>
                <w:szCs w:val="20"/>
              </w:rPr>
            </w:pPr>
          </w:p>
          <w:p w14:paraId="55BBB315" w14:textId="77777777" w:rsidR="0052760F" w:rsidRPr="00F23105" w:rsidRDefault="002D2DB9" w:rsidP="005B056B">
            <w:pPr>
              <w:pStyle w:val="Akapitzlist"/>
              <w:numPr>
                <w:ilvl w:val="0"/>
                <w:numId w:val="16"/>
              </w:numPr>
              <w:spacing w:line="276" w:lineRule="auto"/>
              <w:ind w:left="357" w:hanging="357"/>
              <w:rPr>
                <w:b/>
                <w:sz w:val="20"/>
                <w:szCs w:val="20"/>
              </w:rPr>
            </w:pPr>
            <w:r w:rsidRPr="00F23105">
              <w:rPr>
                <w:b/>
                <w:sz w:val="20"/>
                <w:szCs w:val="20"/>
              </w:rPr>
              <w:t>Kryteria ponowne</w:t>
            </w:r>
            <w:r w:rsidR="00200E27" w:rsidRPr="00F23105">
              <w:rPr>
                <w:b/>
                <w:sz w:val="20"/>
                <w:szCs w:val="20"/>
              </w:rPr>
              <w:t>go włączenia do programu:</w:t>
            </w:r>
          </w:p>
          <w:p w14:paraId="1CD217EE" w14:textId="3D2888BB" w:rsidR="00E9042A" w:rsidRPr="00F23105" w:rsidRDefault="00925AF7" w:rsidP="005B056B">
            <w:pPr>
              <w:pStyle w:val="Akapitzlist"/>
              <w:numPr>
                <w:ilvl w:val="0"/>
                <w:numId w:val="6"/>
              </w:numPr>
              <w:spacing w:line="276" w:lineRule="auto"/>
              <w:ind w:left="357" w:hanging="357"/>
              <w:rPr>
                <w:sz w:val="20"/>
                <w:szCs w:val="20"/>
              </w:rPr>
            </w:pPr>
            <w:r w:rsidRPr="00F23105">
              <w:rPr>
                <w:sz w:val="20"/>
                <w:szCs w:val="20"/>
              </w:rPr>
              <w:t>Pacjent, u którego zaprzestano podawania substancji czynnej leku biologicznego zastosowanej</w:t>
            </w:r>
            <w:r w:rsidR="008D6C49" w:rsidRPr="00F23105">
              <w:rPr>
                <w:sz w:val="20"/>
                <w:szCs w:val="20"/>
              </w:rPr>
              <w:t xml:space="preserve"> zgodnie z </w:t>
            </w:r>
            <w:r w:rsidRPr="00F23105">
              <w:rPr>
                <w:sz w:val="20"/>
                <w:szCs w:val="20"/>
              </w:rPr>
              <w:t xml:space="preserve"> zapisami</w:t>
            </w:r>
            <w:r w:rsidR="001C0A5D" w:rsidRPr="00F23105">
              <w:rPr>
                <w:sz w:val="20"/>
                <w:szCs w:val="20"/>
              </w:rPr>
              <w:t xml:space="preserve"> programu z powodu uzyskania niski</w:t>
            </w:r>
            <w:r w:rsidR="008D6C49" w:rsidRPr="00F23105">
              <w:rPr>
                <w:sz w:val="20"/>
                <w:szCs w:val="20"/>
              </w:rPr>
              <w:t>ej aktywności choroby i u którego w trakcie badania kontrolnego stwierdzono nawrót aktywnej choroby zgodny z kryteriami udziału w progra</w:t>
            </w:r>
            <w:r w:rsidR="00585AA5" w:rsidRPr="00F23105">
              <w:rPr>
                <w:sz w:val="20"/>
                <w:szCs w:val="20"/>
              </w:rPr>
              <w:t>mie, jest włączany do leczenia</w:t>
            </w:r>
            <w:r w:rsidR="008D6C49" w:rsidRPr="00F23105">
              <w:rPr>
                <w:sz w:val="20"/>
                <w:szCs w:val="20"/>
              </w:rPr>
              <w:t xml:space="preserve"> w ramach programu bez kwalifikacji.</w:t>
            </w:r>
          </w:p>
          <w:p w14:paraId="2144FC0D" w14:textId="7471FBED" w:rsidR="00A06021" w:rsidRPr="00F23105" w:rsidRDefault="002D2DB9" w:rsidP="005B056B">
            <w:pPr>
              <w:pStyle w:val="Akapitzlist"/>
              <w:numPr>
                <w:ilvl w:val="0"/>
                <w:numId w:val="6"/>
              </w:numPr>
              <w:spacing w:line="276" w:lineRule="auto"/>
              <w:ind w:left="357" w:hanging="357"/>
              <w:rPr>
                <w:sz w:val="20"/>
                <w:szCs w:val="20"/>
              </w:rPr>
            </w:pPr>
            <w:r w:rsidRPr="00F23105">
              <w:rPr>
                <w:sz w:val="20"/>
                <w:szCs w:val="20"/>
              </w:rPr>
              <w:t xml:space="preserve">Pacjent jest włączany do ponownego leczenia </w:t>
            </w:r>
            <w:r w:rsidR="004B227E" w:rsidRPr="00F23105">
              <w:rPr>
                <w:sz w:val="20"/>
                <w:szCs w:val="20"/>
              </w:rPr>
              <w:t>substancj</w:t>
            </w:r>
            <w:r w:rsidR="004A6B17" w:rsidRPr="00F23105">
              <w:rPr>
                <w:sz w:val="20"/>
                <w:szCs w:val="20"/>
              </w:rPr>
              <w:t>ą czynną</w:t>
            </w:r>
            <w:r w:rsidR="004B227E" w:rsidRPr="00F23105">
              <w:rPr>
                <w:sz w:val="20"/>
                <w:szCs w:val="20"/>
              </w:rPr>
              <w:t>,</w:t>
            </w:r>
            <w:r w:rsidRPr="00F23105">
              <w:rPr>
                <w:sz w:val="20"/>
                <w:szCs w:val="20"/>
              </w:rPr>
              <w:t xml:space="preserve"> które</w:t>
            </w:r>
            <w:r w:rsidR="004B227E" w:rsidRPr="00F23105">
              <w:rPr>
                <w:sz w:val="20"/>
                <w:szCs w:val="20"/>
              </w:rPr>
              <w:t>j</w:t>
            </w:r>
            <w:r w:rsidRPr="00F23105">
              <w:rPr>
                <w:sz w:val="20"/>
                <w:szCs w:val="20"/>
              </w:rPr>
              <w:t xml:space="preserve"> zastosowanie wywołało </w:t>
            </w:r>
            <w:r w:rsidR="001C0A5D" w:rsidRPr="00F23105">
              <w:rPr>
                <w:sz w:val="20"/>
                <w:szCs w:val="20"/>
              </w:rPr>
              <w:t>nisk</w:t>
            </w:r>
            <w:r w:rsidR="001A773D" w:rsidRPr="00F23105">
              <w:rPr>
                <w:sz w:val="20"/>
                <w:szCs w:val="20"/>
              </w:rPr>
              <w:t>ą aktywność choroby.</w:t>
            </w:r>
          </w:p>
          <w:p w14:paraId="7404283D" w14:textId="6E86520B" w:rsidR="003B191F" w:rsidRPr="00F23105" w:rsidRDefault="003B191F" w:rsidP="005B056B">
            <w:pPr>
              <w:pStyle w:val="Akapitzlist"/>
              <w:numPr>
                <w:ilvl w:val="0"/>
                <w:numId w:val="6"/>
              </w:numPr>
              <w:spacing w:line="276" w:lineRule="auto"/>
              <w:ind w:left="357" w:hanging="357"/>
              <w:rPr>
                <w:sz w:val="20"/>
                <w:szCs w:val="20"/>
              </w:rPr>
            </w:pPr>
            <w:r w:rsidRPr="00F23105">
              <w:rPr>
                <w:sz w:val="20"/>
                <w:szCs w:val="20"/>
              </w:rPr>
              <w:t xml:space="preserve">Do programu może być ponownie włączony pacjent, u którego zaprzestano podawania substancji czynnej wymienionej w programie i zastosowanej zgodnie z jego treścią z powodu wystąpienia działań niepożądanych, które ustąpiły po odstawieniu leku bądź zastosowanym leczeniu i w opinii lekarza prowadzącego powrót do terapii tą samą substancją czynną nie stanowi ryzyka dla pacjenta.  </w:t>
            </w:r>
          </w:p>
        </w:tc>
        <w:tc>
          <w:tcPr>
            <w:tcW w:w="1382" w:type="pct"/>
          </w:tcPr>
          <w:p w14:paraId="5E88B3DB" w14:textId="77777777" w:rsidR="00357B59" w:rsidRPr="00F23105" w:rsidRDefault="00357B59" w:rsidP="00A00E8C">
            <w:pPr>
              <w:pStyle w:val="Akapitzlist"/>
              <w:numPr>
                <w:ilvl w:val="1"/>
                <w:numId w:val="8"/>
              </w:numPr>
              <w:spacing w:line="276" w:lineRule="auto"/>
              <w:ind w:left="317"/>
              <w:rPr>
                <w:b/>
                <w:sz w:val="20"/>
                <w:szCs w:val="20"/>
              </w:rPr>
            </w:pPr>
            <w:r w:rsidRPr="00F23105">
              <w:rPr>
                <w:b/>
                <w:sz w:val="20"/>
                <w:szCs w:val="20"/>
              </w:rPr>
              <w:lastRenderedPageBreak/>
              <w:t>Dawkowanie:</w:t>
            </w:r>
          </w:p>
          <w:p w14:paraId="3D68B09A" w14:textId="10983763" w:rsidR="00223442" w:rsidRPr="00F23105" w:rsidRDefault="00D53648" w:rsidP="00A00E8C">
            <w:pPr>
              <w:spacing w:line="276" w:lineRule="auto"/>
              <w:rPr>
                <w:sz w:val="20"/>
                <w:szCs w:val="20"/>
              </w:rPr>
            </w:pPr>
            <w:r w:rsidRPr="00F23105">
              <w:rPr>
                <w:sz w:val="20"/>
                <w:szCs w:val="20"/>
              </w:rPr>
              <w:t xml:space="preserve">Adalimumab, </w:t>
            </w:r>
            <w:r w:rsidR="00025A11" w:rsidRPr="00F23105">
              <w:rPr>
                <w:sz w:val="20"/>
                <w:szCs w:val="20"/>
              </w:rPr>
              <w:t xml:space="preserve">certolizumab pegol, </w:t>
            </w:r>
            <w:r w:rsidRPr="00F23105">
              <w:rPr>
                <w:sz w:val="20"/>
                <w:szCs w:val="20"/>
              </w:rPr>
              <w:t>etanercept, golimumab</w:t>
            </w:r>
            <w:r w:rsidR="000D4C29">
              <w:rPr>
                <w:sz w:val="20"/>
                <w:szCs w:val="20"/>
              </w:rPr>
              <w:t xml:space="preserve">, </w:t>
            </w:r>
            <w:r w:rsidRPr="00F23105">
              <w:rPr>
                <w:sz w:val="20"/>
                <w:szCs w:val="20"/>
              </w:rPr>
              <w:t>infliksymab</w:t>
            </w:r>
            <w:r w:rsidR="000D4C29">
              <w:rPr>
                <w:sz w:val="20"/>
                <w:szCs w:val="20"/>
              </w:rPr>
              <w:t xml:space="preserve"> i sekukinumab</w:t>
            </w:r>
            <w:r w:rsidRPr="00F23105">
              <w:rPr>
                <w:sz w:val="20"/>
                <w:szCs w:val="20"/>
              </w:rPr>
              <w:t xml:space="preserve"> należy podawać zgodnie z dawkowaniem określonym w aktualnej Charakterystyce Produktu Leczniczego z uwzględnieniem rekomendacji EULAR/A</w:t>
            </w:r>
            <w:r w:rsidR="00F44B3F" w:rsidRPr="00F23105">
              <w:rPr>
                <w:sz w:val="20"/>
                <w:szCs w:val="20"/>
              </w:rPr>
              <w:t>SAS</w:t>
            </w:r>
            <w:r w:rsidRPr="00F23105">
              <w:rPr>
                <w:sz w:val="20"/>
                <w:szCs w:val="20"/>
              </w:rPr>
              <w:t>.</w:t>
            </w:r>
          </w:p>
          <w:p w14:paraId="744BC7D4" w14:textId="77777777" w:rsidR="00517BF5" w:rsidRPr="00F23105" w:rsidRDefault="00517BF5" w:rsidP="00A00E8C">
            <w:pPr>
              <w:pStyle w:val="Default"/>
              <w:spacing w:line="276" w:lineRule="auto"/>
              <w:ind w:left="357"/>
              <w:rPr>
                <w:rFonts w:ascii="Times New Roman" w:hAnsi="Times New Roman" w:cs="Times New Roman"/>
                <w:color w:val="auto"/>
                <w:sz w:val="20"/>
                <w:szCs w:val="20"/>
              </w:rPr>
            </w:pPr>
          </w:p>
        </w:tc>
        <w:tc>
          <w:tcPr>
            <w:tcW w:w="1593" w:type="pct"/>
            <w:tcBorders>
              <w:right w:val="single" w:sz="4" w:space="0" w:color="auto"/>
            </w:tcBorders>
          </w:tcPr>
          <w:p w14:paraId="1A3DFF96" w14:textId="77777777" w:rsidR="000E24D8" w:rsidRPr="00F23105" w:rsidRDefault="002D2DB9" w:rsidP="00A00E8C">
            <w:pPr>
              <w:pStyle w:val="Akapitzlist"/>
              <w:numPr>
                <w:ilvl w:val="0"/>
                <w:numId w:val="11"/>
              </w:numPr>
              <w:spacing w:line="276" w:lineRule="auto"/>
              <w:ind w:left="357" w:hanging="357"/>
              <w:rPr>
                <w:b/>
                <w:sz w:val="20"/>
                <w:szCs w:val="20"/>
              </w:rPr>
            </w:pPr>
            <w:r w:rsidRPr="00F23105">
              <w:rPr>
                <w:b/>
                <w:sz w:val="20"/>
                <w:szCs w:val="20"/>
              </w:rPr>
              <w:t>Badania przy kwalifikacji</w:t>
            </w:r>
            <w:r w:rsidR="00357B59" w:rsidRPr="00F23105">
              <w:rPr>
                <w:b/>
                <w:sz w:val="20"/>
                <w:szCs w:val="20"/>
              </w:rPr>
              <w:t>:</w:t>
            </w:r>
          </w:p>
          <w:p w14:paraId="5782E2CD"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sz w:val="20"/>
                <w:szCs w:val="20"/>
              </w:rPr>
              <w:t xml:space="preserve">oznaczenie </w:t>
            </w:r>
            <w:r w:rsidRPr="00F23105">
              <w:rPr>
                <w:bCs/>
                <w:iCs/>
                <w:sz w:val="20"/>
                <w:szCs w:val="20"/>
              </w:rPr>
              <w:t>antygenu HLA B27 kiedykolwiek w przeszłości;</w:t>
            </w:r>
          </w:p>
          <w:p w14:paraId="5343ACFC"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morfologia krwi;</w:t>
            </w:r>
          </w:p>
          <w:p w14:paraId="66502992" w14:textId="77777777" w:rsidR="002D2DB9" w:rsidRPr="00F23105" w:rsidRDefault="00357B59" w:rsidP="00A00E8C">
            <w:pPr>
              <w:pStyle w:val="Akapitzlist"/>
              <w:numPr>
                <w:ilvl w:val="0"/>
                <w:numId w:val="1"/>
              </w:numPr>
              <w:spacing w:line="276" w:lineRule="auto"/>
              <w:ind w:left="357" w:hanging="357"/>
              <w:rPr>
                <w:bCs/>
                <w:iCs/>
                <w:sz w:val="20"/>
                <w:szCs w:val="20"/>
              </w:rPr>
            </w:pPr>
            <w:r w:rsidRPr="00F23105">
              <w:rPr>
                <w:bCs/>
                <w:iCs/>
                <w:sz w:val="20"/>
                <w:szCs w:val="20"/>
              </w:rPr>
              <w:t>p</w:t>
            </w:r>
            <w:r w:rsidR="002D2DB9" w:rsidRPr="00F23105">
              <w:rPr>
                <w:bCs/>
                <w:iCs/>
                <w:sz w:val="20"/>
                <w:szCs w:val="20"/>
              </w:rPr>
              <w:t>łytki krwi (PLT);</w:t>
            </w:r>
          </w:p>
          <w:p w14:paraId="2C57A0B4"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odczyn Biernackiego (OB);</w:t>
            </w:r>
          </w:p>
          <w:p w14:paraId="38BCEAFD"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aminotransferaza asparaginianowa (AspAT);</w:t>
            </w:r>
          </w:p>
          <w:p w14:paraId="428FBE55"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aminotransferaza alaninowa (AlAT);</w:t>
            </w:r>
          </w:p>
          <w:p w14:paraId="1F85953A"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stężenie kreatyniny w surowicy;</w:t>
            </w:r>
          </w:p>
          <w:p w14:paraId="62BA9D72" w14:textId="3C839EB4" w:rsidR="002D2DB9" w:rsidRPr="00F23105" w:rsidRDefault="0041734A" w:rsidP="00A00E8C">
            <w:pPr>
              <w:pStyle w:val="Akapitzlist"/>
              <w:numPr>
                <w:ilvl w:val="0"/>
                <w:numId w:val="1"/>
              </w:numPr>
              <w:spacing w:line="276" w:lineRule="auto"/>
              <w:ind w:left="357" w:hanging="357"/>
              <w:rPr>
                <w:bCs/>
                <w:iCs/>
                <w:sz w:val="20"/>
                <w:szCs w:val="20"/>
              </w:rPr>
            </w:pPr>
            <w:r w:rsidRPr="00F23105">
              <w:rPr>
                <w:bCs/>
                <w:iCs/>
                <w:sz w:val="20"/>
                <w:szCs w:val="20"/>
              </w:rPr>
              <w:t>stężenie białka</w:t>
            </w:r>
            <w:r w:rsidR="002D2DB9" w:rsidRPr="00F23105">
              <w:rPr>
                <w:bCs/>
                <w:iCs/>
                <w:sz w:val="20"/>
                <w:szCs w:val="20"/>
              </w:rPr>
              <w:t xml:space="preserve"> C-reaktywne</w:t>
            </w:r>
            <w:r w:rsidRPr="00F23105">
              <w:rPr>
                <w:bCs/>
                <w:iCs/>
                <w:sz w:val="20"/>
                <w:szCs w:val="20"/>
              </w:rPr>
              <w:t>go (CRP)</w:t>
            </w:r>
            <w:r w:rsidR="002D2DB9" w:rsidRPr="00F23105">
              <w:rPr>
                <w:bCs/>
                <w:iCs/>
                <w:sz w:val="20"/>
                <w:szCs w:val="20"/>
              </w:rPr>
              <w:t>;</w:t>
            </w:r>
          </w:p>
          <w:p w14:paraId="2C371447" w14:textId="2B09C098"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badanie ogólne moczu</w:t>
            </w:r>
            <w:r w:rsidR="00BA2EEA" w:rsidRPr="00F23105">
              <w:rPr>
                <w:bCs/>
                <w:iCs/>
                <w:sz w:val="20"/>
                <w:szCs w:val="20"/>
              </w:rPr>
              <w:t xml:space="preserve"> (do decyzji lekarza)</w:t>
            </w:r>
            <w:r w:rsidRPr="00F23105">
              <w:rPr>
                <w:bCs/>
                <w:iCs/>
                <w:sz w:val="20"/>
                <w:szCs w:val="20"/>
              </w:rPr>
              <w:t>;</w:t>
            </w:r>
          </w:p>
          <w:p w14:paraId="5811B6EB"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 xml:space="preserve">próba tuberkulinowa lub </w:t>
            </w:r>
            <w:r w:rsidR="000C68BD" w:rsidRPr="00F23105">
              <w:rPr>
                <w:bCs/>
                <w:iCs/>
                <w:sz w:val="20"/>
                <w:szCs w:val="20"/>
              </w:rPr>
              <w:t xml:space="preserve">test </w:t>
            </w:r>
            <w:r w:rsidRPr="00F23105">
              <w:rPr>
                <w:bCs/>
                <w:iCs/>
                <w:sz w:val="20"/>
                <w:szCs w:val="20"/>
              </w:rPr>
              <w:t>Quantiferon;</w:t>
            </w:r>
          </w:p>
          <w:p w14:paraId="3AA32805"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obecność antygenu HBs;</w:t>
            </w:r>
          </w:p>
          <w:p w14:paraId="204308B5" w14:textId="206C23F4"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 xml:space="preserve">przeciwciała </w:t>
            </w:r>
            <w:r w:rsidR="0041734A" w:rsidRPr="00F23105">
              <w:rPr>
                <w:bCs/>
                <w:iCs/>
                <w:sz w:val="20"/>
                <w:szCs w:val="20"/>
              </w:rPr>
              <w:t>anty-</w:t>
            </w:r>
            <w:r w:rsidRPr="00F23105">
              <w:rPr>
                <w:bCs/>
                <w:iCs/>
                <w:sz w:val="20"/>
                <w:szCs w:val="20"/>
              </w:rPr>
              <w:t>HCV;</w:t>
            </w:r>
          </w:p>
          <w:p w14:paraId="46B1C6C5"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obecność antygenu wirusa HIV (HIV Ag/Ab Com</w:t>
            </w:r>
            <w:r w:rsidR="00853068" w:rsidRPr="00F23105">
              <w:rPr>
                <w:bCs/>
                <w:iCs/>
                <w:sz w:val="20"/>
                <w:szCs w:val="20"/>
              </w:rPr>
              <w:t>bo);</w:t>
            </w:r>
          </w:p>
          <w:p w14:paraId="2D234431" w14:textId="77777777" w:rsidR="002D2DB9" w:rsidRPr="00F23105" w:rsidRDefault="00E03D9A" w:rsidP="00A00E8C">
            <w:pPr>
              <w:pStyle w:val="Akapitzlist"/>
              <w:numPr>
                <w:ilvl w:val="0"/>
                <w:numId w:val="1"/>
              </w:numPr>
              <w:spacing w:line="276" w:lineRule="auto"/>
              <w:ind w:left="357" w:hanging="357"/>
              <w:rPr>
                <w:bCs/>
                <w:iCs/>
                <w:sz w:val="20"/>
                <w:szCs w:val="20"/>
              </w:rPr>
            </w:pPr>
            <w:r w:rsidRPr="00F23105">
              <w:rPr>
                <w:bCs/>
                <w:iCs/>
                <w:sz w:val="20"/>
                <w:szCs w:val="20"/>
              </w:rPr>
              <w:t>RTG</w:t>
            </w:r>
            <w:r w:rsidR="002D2DB9" w:rsidRPr="00F23105">
              <w:rPr>
                <w:bCs/>
                <w:iCs/>
                <w:sz w:val="20"/>
                <w:szCs w:val="20"/>
              </w:rPr>
              <w:t xml:space="preserve"> kla</w:t>
            </w:r>
            <w:r w:rsidR="00D53648" w:rsidRPr="00F23105">
              <w:rPr>
                <w:bCs/>
                <w:iCs/>
                <w:sz w:val="20"/>
                <w:szCs w:val="20"/>
              </w:rPr>
              <w:t xml:space="preserve">tki piersiowej </w:t>
            </w:r>
            <w:r w:rsidR="00BF4D98" w:rsidRPr="00F23105">
              <w:rPr>
                <w:bCs/>
                <w:iCs/>
                <w:sz w:val="20"/>
                <w:szCs w:val="20"/>
              </w:rPr>
              <w:t xml:space="preserve">z opisem </w:t>
            </w:r>
            <w:r w:rsidR="00D53648" w:rsidRPr="00F23105">
              <w:rPr>
                <w:bCs/>
                <w:iCs/>
                <w:sz w:val="20"/>
                <w:szCs w:val="20"/>
              </w:rPr>
              <w:t>(maksymalnie do 6</w:t>
            </w:r>
            <w:r w:rsidR="002D2DB9" w:rsidRPr="00F23105">
              <w:rPr>
                <w:bCs/>
                <w:iCs/>
                <w:sz w:val="20"/>
                <w:szCs w:val="20"/>
              </w:rPr>
              <w:t xml:space="preserve"> miesięcy przed kwalifikacją);</w:t>
            </w:r>
          </w:p>
          <w:p w14:paraId="3CFBD05C" w14:textId="7777777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 xml:space="preserve">EKG z opisem; </w:t>
            </w:r>
          </w:p>
          <w:p w14:paraId="23753AFB" w14:textId="7CD2B357" w:rsidR="002D2DB9" w:rsidRPr="00F23105" w:rsidRDefault="002D2DB9" w:rsidP="00A00E8C">
            <w:pPr>
              <w:pStyle w:val="Akapitzlist"/>
              <w:numPr>
                <w:ilvl w:val="0"/>
                <w:numId w:val="1"/>
              </w:numPr>
              <w:spacing w:line="276" w:lineRule="auto"/>
              <w:ind w:left="357" w:hanging="357"/>
              <w:rPr>
                <w:bCs/>
                <w:iCs/>
                <w:sz w:val="20"/>
                <w:szCs w:val="20"/>
              </w:rPr>
            </w:pPr>
            <w:r w:rsidRPr="00F23105">
              <w:rPr>
                <w:bCs/>
                <w:iCs/>
                <w:sz w:val="20"/>
                <w:szCs w:val="20"/>
              </w:rPr>
              <w:t xml:space="preserve">badanie </w:t>
            </w:r>
            <w:r w:rsidR="0041734A" w:rsidRPr="00F23105">
              <w:rPr>
                <w:bCs/>
                <w:iCs/>
                <w:sz w:val="20"/>
                <w:szCs w:val="20"/>
              </w:rPr>
              <w:t xml:space="preserve">obrazowe </w:t>
            </w:r>
            <w:r w:rsidR="00D53648" w:rsidRPr="00F23105">
              <w:rPr>
                <w:bCs/>
                <w:iCs/>
                <w:sz w:val="20"/>
                <w:szCs w:val="20"/>
              </w:rPr>
              <w:t xml:space="preserve">RTG </w:t>
            </w:r>
            <w:r w:rsidRPr="00F23105">
              <w:rPr>
                <w:bCs/>
                <w:iCs/>
                <w:sz w:val="20"/>
                <w:szCs w:val="20"/>
              </w:rPr>
              <w:t>stawów krzyżowo-biodrowych, które potw</w:t>
            </w:r>
            <w:r w:rsidR="00D53648" w:rsidRPr="00F23105">
              <w:rPr>
                <w:bCs/>
                <w:iCs/>
                <w:sz w:val="20"/>
                <w:szCs w:val="20"/>
              </w:rPr>
              <w:t xml:space="preserve">ierdza </w:t>
            </w:r>
            <w:r w:rsidR="0041734A" w:rsidRPr="00F23105">
              <w:rPr>
                <w:bCs/>
                <w:iCs/>
                <w:sz w:val="20"/>
                <w:szCs w:val="20"/>
              </w:rPr>
              <w:t>obecność</w:t>
            </w:r>
            <w:r w:rsidR="00D53648" w:rsidRPr="00F23105">
              <w:rPr>
                <w:bCs/>
                <w:iCs/>
                <w:sz w:val="20"/>
                <w:szCs w:val="20"/>
              </w:rPr>
              <w:t xml:space="preserve"> sacroilitis</w:t>
            </w:r>
            <w:r w:rsidR="0041734A" w:rsidRPr="00F23105">
              <w:rPr>
                <w:bCs/>
                <w:iCs/>
                <w:sz w:val="20"/>
                <w:szCs w:val="20"/>
              </w:rPr>
              <w:t xml:space="preserve"> umożliwiające rozpoznanie ZZSK na podstawie zmodyfikowanych kryteriów nowojorskich</w:t>
            </w:r>
            <w:r w:rsidR="00D53648" w:rsidRPr="00F23105">
              <w:rPr>
                <w:bCs/>
                <w:iCs/>
                <w:sz w:val="20"/>
                <w:szCs w:val="20"/>
              </w:rPr>
              <w:t>.</w:t>
            </w:r>
          </w:p>
          <w:p w14:paraId="636475B0" w14:textId="77777777" w:rsidR="002D2DB9" w:rsidRPr="00F23105" w:rsidRDefault="002D2DB9" w:rsidP="00A00E8C">
            <w:pPr>
              <w:spacing w:line="276" w:lineRule="auto"/>
              <w:ind w:left="180"/>
              <w:rPr>
                <w:bCs/>
                <w:iCs/>
                <w:sz w:val="20"/>
                <w:szCs w:val="20"/>
              </w:rPr>
            </w:pPr>
          </w:p>
          <w:p w14:paraId="2003DE38" w14:textId="77777777" w:rsidR="000E24D8" w:rsidRPr="00F23105" w:rsidRDefault="002D2DB9" w:rsidP="00A00E8C">
            <w:pPr>
              <w:pStyle w:val="Akapitzlist"/>
              <w:numPr>
                <w:ilvl w:val="0"/>
                <w:numId w:val="11"/>
              </w:numPr>
              <w:spacing w:line="276" w:lineRule="auto"/>
              <w:ind w:left="357" w:hanging="357"/>
              <w:rPr>
                <w:b/>
                <w:sz w:val="20"/>
                <w:szCs w:val="20"/>
              </w:rPr>
            </w:pPr>
            <w:r w:rsidRPr="00F23105">
              <w:rPr>
                <w:b/>
                <w:sz w:val="20"/>
                <w:szCs w:val="20"/>
              </w:rPr>
              <w:lastRenderedPageBreak/>
              <w:t>Monitorowanie leczenia</w:t>
            </w:r>
            <w:r w:rsidR="00D53648" w:rsidRPr="00F23105">
              <w:rPr>
                <w:b/>
                <w:sz w:val="20"/>
                <w:szCs w:val="20"/>
              </w:rPr>
              <w:t>:</w:t>
            </w:r>
          </w:p>
          <w:p w14:paraId="216DEF46" w14:textId="77777777" w:rsidR="005A3822" w:rsidRPr="00361801" w:rsidRDefault="005A3822" w:rsidP="005A3822">
            <w:pPr>
              <w:numPr>
                <w:ilvl w:val="0"/>
                <w:numId w:val="19"/>
              </w:numPr>
              <w:spacing w:line="276" w:lineRule="auto"/>
              <w:ind w:left="317"/>
              <w:contextualSpacing/>
              <w:rPr>
                <w:sz w:val="20"/>
                <w:szCs w:val="20"/>
              </w:rPr>
            </w:pPr>
            <w:r w:rsidRPr="00361801">
              <w:rPr>
                <w:sz w:val="20"/>
                <w:szCs w:val="20"/>
              </w:rPr>
              <w:t>Monitorowanie terapii inhibitorem TNF alfa - po 90 dniach (± 14 dni) i 180 dniach (± 28 dni) od pierwszego podania substancji czynnej należy wykonać:</w:t>
            </w:r>
          </w:p>
          <w:p w14:paraId="11810E66" w14:textId="77777777" w:rsidR="005A3822" w:rsidRPr="00361801" w:rsidRDefault="005A3822" w:rsidP="005A3822">
            <w:pPr>
              <w:numPr>
                <w:ilvl w:val="0"/>
                <w:numId w:val="22"/>
              </w:numPr>
              <w:spacing w:line="276" w:lineRule="auto"/>
              <w:contextualSpacing/>
              <w:rPr>
                <w:sz w:val="20"/>
                <w:szCs w:val="20"/>
              </w:rPr>
            </w:pPr>
            <w:r w:rsidRPr="00361801">
              <w:rPr>
                <w:sz w:val="20"/>
                <w:szCs w:val="20"/>
              </w:rPr>
              <w:t>morfologię krwi;</w:t>
            </w:r>
          </w:p>
          <w:p w14:paraId="1F121ADA" w14:textId="77777777" w:rsidR="005A3822" w:rsidRPr="00361801" w:rsidRDefault="005A3822" w:rsidP="005A3822">
            <w:pPr>
              <w:numPr>
                <w:ilvl w:val="0"/>
                <w:numId w:val="22"/>
              </w:numPr>
              <w:spacing w:line="276" w:lineRule="auto"/>
              <w:contextualSpacing/>
              <w:rPr>
                <w:sz w:val="20"/>
                <w:szCs w:val="20"/>
              </w:rPr>
            </w:pPr>
            <w:r w:rsidRPr="00361801">
              <w:rPr>
                <w:sz w:val="20"/>
                <w:szCs w:val="20"/>
              </w:rPr>
              <w:t>odczyn Biernackiego (OB);</w:t>
            </w:r>
          </w:p>
          <w:p w14:paraId="149CCEBA" w14:textId="77777777" w:rsidR="005A3822" w:rsidRPr="00361801" w:rsidRDefault="005A3822" w:rsidP="005A3822">
            <w:pPr>
              <w:numPr>
                <w:ilvl w:val="0"/>
                <w:numId w:val="22"/>
              </w:numPr>
              <w:spacing w:line="276" w:lineRule="auto"/>
              <w:contextualSpacing/>
              <w:rPr>
                <w:sz w:val="20"/>
                <w:szCs w:val="20"/>
              </w:rPr>
            </w:pPr>
            <w:r w:rsidRPr="00361801">
              <w:rPr>
                <w:sz w:val="20"/>
                <w:szCs w:val="20"/>
              </w:rPr>
              <w:t>stężenie białka C-reaktywnego (CRP);</w:t>
            </w:r>
          </w:p>
          <w:p w14:paraId="5EB36B84" w14:textId="77777777" w:rsidR="005A3822" w:rsidRPr="00361801" w:rsidRDefault="005A3822" w:rsidP="005A3822">
            <w:pPr>
              <w:numPr>
                <w:ilvl w:val="0"/>
                <w:numId w:val="22"/>
              </w:numPr>
              <w:spacing w:line="276" w:lineRule="auto"/>
              <w:contextualSpacing/>
              <w:rPr>
                <w:sz w:val="20"/>
                <w:szCs w:val="20"/>
              </w:rPr>
            </w:pPr>
            <w:r w:rsidRPr="00361801">
              <w:rPr>
                <w:sz w:val="20"/>
                <w:szCs w:val="20"/>
              </w:rPr>
              <w:t>stężenie kreatyniny w surowicy;</w:t>
            </w:r>
          </w:p>
          <w:p w14:paraId="24309EC4" w14:textId="77777777" w:rsidR="005A3822" w:rsidRPr="00361801" w:rsidRDefault="005A3822" w:rsidP="005A3822">
            <w:pPr>
              <w:numPr>
                <w:ilvl w:val="0"/>
                <w:numId w:val="22"/>
              </w:numPr>
              <w:spacing w:line="276" w:lineRule="auto"/>
              <w:contextualSpacing/>
              <w:rPr>
                <w:sz w:val="20"/>
                <w:szCs w:val="20"/>
              </w:rPr>
            </w:pPr>
            <w:r w:rsidRPr="00361801">
              <w:rPr>
                <w:sz w:val="20"/>
                <w:szCs w:val="20"/>
              </w:rPr>
              <w:t>AspAT i AlAT</w:t>
            </w:r>
          </w:p>
          <w:p w14:paraId="784789AF" w14:textId="77777777" w:rsidR="005A3822" w:rsidRPr="00361801" w:rsidRDefault="005A3822" w:rsidP="005A3822">
            <w:pPr>
              <w:ind w:left="317"/>
              <w:rPr>
                <w:sz w:val="20"/>
                <w:szCs w:val="20"/>
              </w:rPr>
            </w:pPr>
            <w:r w:rsidRPr="00361801">
              <w:rPr>
                <w:sz w:val="20"/>
                <w:szCs w:val="20"/>
              </w:rPr>
              <w:t>oraz dokonać oceny skuteczności zastosowanej terapii.</w:t>
            </w:r>
          </w:p>
          <w:p w14:paraId="6B79FF86" w14:textId="77777777" w:rsidR="005A3822" w:rsidRPr="00361801" w:rsidRDefault="005A3822" w:rsidP="005A3822">
            <w:pPr>
              <w:ind w:left="317"/>
              <w:rPr>
                <w:sz w:val="20"/>
                <w:szCs w:val="20"/>
              </w:rPr>
            </w:pPr>
            <w:r w:rsidRPr="00361801">
              <w:rPr>
                <w:sz w:val="20"/>
                <w:szCs w:val="20"/>
              </w:rPr>
              <w:t>Jeżeli terapia jest kontynuowana powyższe powtarzać po każdych kolejnych 180 dniach (± 28 dni).</w:t>
            </w:r>
          </w:p>
          <w:p w14:paraId="424CA8BF" w14:textId="77777777" w:rsidR="005A3822" w:rsidRPr="00361801" w:rsidRDefault="005A3822" w:rsidP="005A3822">
            <w:pPr>
              <w:numPr>
                <w:ilvl w:val="0"/>
                <w:numId w:val="19"/>
              </w:numPr>
              <w:spacing w:line="276" w:lineRule="auto"/>
              <w:ind w:left="317"/>
              <w:contextualSpacing/>
              <w:rPr>
                <w:sz w:val="20"/>
                <w:szCs w:val="20"/>
              </w:rPr>
            </w:pPr>
            <w:r w:rsidRPr="00361801">
              <w:rPr>
                <w:sz w:val="20"/>
                <w:szCs w:val="20"/>
              </w:rPr>
              <w:t>Monitorowanie terapii sekukinumabem - po 120 dniach (± 14 dni) i 210 dniach (± 28 dni) od pierwszego podania substancji czynnej należy wykonać:</w:t>
            </w:r>
          </w:p>
          <w:p w14:paraId="11F284FA" w14:textId="77777777" w:rsidR="005A3822" w:rsidRPr="00361801" w:rsidRDefault="005A3822" w:rsidP="005A3822">
            <w:pPr>
              <w:numPr>
                <w:ilvl w:val="0"/>
                <w:numId w:val="23"/>
              </w:numPr>
              <w:spacing w:line="276" w:lineRule="auto"/>
              <w:contextualSpacing/>
              <w:rPr>
                <w:sz w:val="20"/>
                <w:szCs w:val="20"/>
              </w:rPr>
            </w:pPr>
            <w:r w:rsidRPr="00361801">
              <w:rPr>
                <w:sz w:val="20"/>
                <w:szCs w:val="20"/>
              </w:rPr>
              <w:t>morfologię krwi;</w:t>
            </w:r>
          </w:p>
          <w:p w14:paraId="1FE41947" w14:textId="77777777" w:rsidR="005A3822" w:rsidRPr="00361801" w:rsidRDefault="005A3822" w:rsidP="005A3822">
            <w:pPr>
              <w:numPr>
                <w:ilvl w:val="0"/>
                <w:numId w:val="23"/>
              </w:numPr>
              <w:spacing w:line="276" w:lineRule="auto"/>
              <w:contextualSpacing/>
              <w:rPr>
                <w:sz w:val="20"/>
                <w:szCs w:val="20"/>
              </w:rPr>
            </w:pPr>
            <w:r w:rsidRPr="00361801">
              <w:rPr>
                <w:sz w:val="20"/>
                <w:szCs w:val="20"/>
              </w:rPr>
              <w:t>odczyn Biernackiego (OB);</w:t>
            </w:r>
          </w:p>
          <w:p w14:paraId="0CAA83F3" w14:textId="77777777" w:rsidR="005A3822" w:rsidRPr="00361801" w:rsidRDefault="005A3822" w:rsidP="005A3822">
            <w:pPr>
              <w:numPr>
                <w:ilvl w:val="0"/>
                <w:numId w:val="23"/>
              </w:numPr>
              <w:spacing w:line="276" w:lineRule="auto"/>
              <w:contextualSpacing/>
              <w:rPr>
                <w:sz w:val="20"/>
                <w:szCs w:val="20"/>
              </w:rPr>
            </w:pPr>
            <w:r w:rsidRPr="00361801">
              <w:rPr>
                <w:sz w:val="20"/>
                <w:szCs w:val="20"/>
              </w:rPr>
              <w:t>stężenie białka C-reaktywnego (CRP);</w:t>
            </w:r>
          </w:p>
          <w:p w14:paraId="0494BBE0" w14:textId="77777777" w:rsidR="005A3822" w:rsidRPr="00361801" w:rsidRDefault="005A3822" w:rsidP="005A3822">
            <w:pPr>
              <w:numPr>
                <w:ilvl w:val="0"/>
                <w:numId w:val="23"/>
              </w:numPr>
              <w:spacing w:line="276" w:lineRule="auto"/>
              <w:contextualSpacing/>
              <w:rPr>
                <w:sz w:val="20"/>
                <w:szCs w:val="20"/>
              </w:rPr>
            </w:pPr>
            <w:r w:rsidRPr="00361801">
              <w:rPr>
                <w:sz w:val="20"/>
                <w:szCs w:val="20"/>
              </w:rPr>
              <w:t>stężenie kreatyniny w surowicy;</w:t>
            </w:r>
          </w:p>
          <w:p w14:paraId="58F8357F" w14:textId="77777777" w:rsidR="005A3822" w:rsidRPr="00361801" w:rsidRDefault="005A3822" w:rsidP="005A3822">
            <w:pPr>
              <w:numPr>
                <w:ilvl w:val="0"/>
                <w:numId w:val="23"/>
              </w:numPr>
              <w:spacing w:line="276" w:lineRule="auto"/>
              <w:contextualSpacing/>
              <w:rPr>
                <w:sz w:val="20"/>
                <w:szCs w:val="20"/>
              </w:rPr>
            </w:pPr>
            <w:r w:rsidRPr="00361801">
              <w:rPr>
                <w:sz w:val="20"/>
                <w:szCs w:val="20"/>
              </w:rPr>
              <w:t>AspAT i AlAT</w:t>
            </w:r>
          </w:p>
          <w:p w14:paraId="45294106" w14:textId="77777777" w:rsidR="005A3822" w:rsidRPr="00361801" w:rsidRDefault="005A3822" w:rsidP="005A3822">
            <w:pPr>
              <w:ind w:left="317"/>
              <w:rPr>
                <w:sz w:val="20"/>
                <w:szCs w:val="20"/>
              </w:rPr>
            </w:pPr>
            <w:r w:rsidRPr="00361801">
              <w:rPr>
                <w:sz w:val="20"/>
                <w:szCs w:val="20"/>
              </w:rPr>
              <w:t>oraz dokonać oceny skuteczności zastosowanej terapii.</w:t>
            </w:r>
          </w:p>
          <w:p w14:paraId="5AB04EA2" w14:textId="77777777" w:rsidR="005A3822" w:rsidRPr="00361801" w:rsidRDefault="005A3822" w:rsidP="005A3822">
            <w:pPr>
              <w:ind w:left="317"/>
              <w:rPr>
                <w:bCs/>
                <w:iCs/>
                <w:sz w:val="20"/>
                <w:szCs w:val="20"/>
              </w:rPr>
            </w:pPr>
            <w:r w:rsidRPr="00361801">
              <w:rPr>
                <w:sz w:val="20"/>
                <w:szCs w:val="20"/>
              </w:rPr>
              <w:t>Jeżeli terapia jest kontynuowana powyższe powtarzać po każdych kolejnych 180 dniach (± 28 dni).</w:t>
            </w:r>
          </w:p>
          <w:p w14:paraId="41D479B1" w14:textId="77777777" w:rsidR="002D2DB9" w:rsidRPr="00F23105" w:rsidRDefault="002D2DB9" w:rsidP="00A00E8C">
            <w:pPr>
              <w:spacing w:line="276" w:lineRule="auto"/>
              <w:rPr>
                <w:sz w:val="20"/>
                <w:szCs w:val="20"/>
              </w:rPr>
            </w:pPr>
          </w:p>
          <w:p w14:paraId="0F4D507F" w14:textId="77777777" w:rsidR="00CE6154" w:rsidRPr="00F23105" w:rsidRDefault="00200B4E" w:rsidP="005000A9">
            <w:pPr>
              <w:pStyle w:val="Akapitzlist"/>
              <w:numPr>
                <w:ilvl w:val="0"/>
                <w:numId w:val="11"/>
              </w:numPr>
              <w:spacing w:line="276" w:lineRule="auto"/>
              <w:ind w:left="357" w:hanging="357"/>
              <w:rPr>
                <w:b/>
                <w:sz w:val="20"/>
                <w:szCs w:val="20"/>
              </w:rPr>
            </w:pPr>
            <w:r w:rsidRPr="00F23105">
              <w:rPr>
                <w:b/>
                <w:bCs/>
                <w:sz w:val="20"/>
                <w:szCs w:val="20"/>
              </w:rPr>
              <w:t>Monitorowanie</w:t>
            </w:r>
            <w:r w:rsidRPr="00F23105">
              <w:rPr>
                <w:rFonts w:eastAsia="Calibri"/>
                <w:b/>
                <w:sz w:val="20"/>
                <w:szCs w:val="20"/>
              </w:rPr>
              <w:t xml:space="preserve"> programu</w:t>
            </w:r>
            <w:r w:rsidR="00BC1172" w:rsidRPr="00F23105">
              <w:rPr>
                <w:rFonts w:eastAsia="Calibri"/>
                <w:b/>
                <w:sz w:val="20"/>
                <w:szCs w:val="20"/>
              </w:rPr>
              <w:t>:</w:t>
            </w:r>
          </w:p>
          <w:p w14:paraId="2415DFC5" w14:textId="77777777" w:rsidR="00200B4E" w:rsidRPr="00F23105" w:rsidRDefault="00200B4E" w:rsidP="00A00E8C">
            <w:pPr>
              <w:pStyle w:val="Akapitzlist"/>
              <w:numPr>
                <w:ilvl w:val="0"/>
                <w:numId w:val="13"/>
              </w:numPr>
              <w:autoSpaceDE w:val="0"/>
              <w:autoSpaceDN w:val="0"/>
              <w:adjustRightInd w:val="0"/>
              <w:spacing w:line="276" w:lineRule="auto"/>
              <w:ind w:left="357" w:hanging="357"/>
              <w:rPr>
                <w:sz w:val="20"/>
                <w:szCs w:val="20"/>
              </w:rPr>
            </w:pPr>
            <w:r w:rsidRPr="00F23105">
              <w:rPr>
                <w:sz w:val="20"/>
                <w:szCs w:val="20"/>
              </w:rPr>
              <w:t>gromadzenie w dokumentacji medycznej pacjenta danych dotyczących monitorowania leczenia i każdorazowe ich przedstawianie na żądanie kontrolerów  Narodowego Funduszu Zdrowia;</w:t>
            </w:r>
          </w:p>
          <w:p w14:paraId="763654EA" w14:textId="77777777" w:rsidR="00200B4E" w:rsidRPr="00F23105" w:rsidRDefault="004B22A1" w:rsidP="00A00E8C">
            <w:pPr>
              <w:pStyle w:val="Akapitzlist"/>
              <w:numPr>
                <w:ilvl w:val="0"/>
                <w:numId w:val="13"/>
              </w:numPr>
              <w:autoSpaceDE w:val="0"/>
              <w:autoSpaceDN w:val="0"/>
              <w:adjustRightInd w:val="0"/>
              <w:spacing w:line="276" w:lineRule="auto"/>
              <w:ind w:left="357" w:hanging="357"/>
              <w:rPr>
                <w:sz w:val="20"/>
                <w:szCs w:val="20"/>
              </w:rPr>
            </w:pPr>
            <w:r w:rsidRPr="00F23105">
              <w:rPr>
                <w:sz w:val="20"/>
                <w:szCs w:val="20"/>
              </w:rPr>
              <w:lastRenderedPageBreak/>
              <w:t>uzupełnia</w:t>
            </w:r>
            <w:r w:rsidR="00200B4E" w:rsidRPr="00F23105">
              <w:rPr>
                <w:sz w:val="20"/>
                <w:szCs w:val="20"/>
              </w:rPr>
              <w:t>nie danych zawartych w rejestrze (SMPT) dostępnym za pomocą aplikacji internetowej udostępnionej przez OW NFZ, z częstotliwością zgodną z opisem programu oraz na zakończenie leczenia;</w:t>
            </w:r>
          </w:p>
          <w:p w14:paraId="1D6498BC" w14:textId="77777777" w:rsidR="00200B4E" w:rsidRPr="00F23105" w:rsidRDefault="00200B4E" w:rsidP="00A00E8C">
            <w:pPr>
              <w:pStyle w:val="Akapitzlist"/>
              <w:numPr>
                <w:ilvl w:val="0"/>
                <w:numId w:val="13"/>
              </w:numPr>
              <w:spacing w:line="276" w:lineRule="auto"/>
              <w:ind w:left="357" w:hanging="357"/>
              <w:rPr>
                <w:sz w:val="20"/>
                <w:szCs w:val="20"/>
              </w:rPr>
            </w:pPr>
            <w:r w:rsidRPr="00F23105">
              <w:rPr>
                <w:sz w:val="20"/>
                <w:szCs w:val="20"/>
              </w:rPr>
              <w:t>przekazywanie informacji sprawozdawczo-rozliczeniowych do NFZ: informacje przekazuje się do NFZ w formie papierowej lub w formie elektronicznej, zgodnie z wymaganiami opublikowanymi przez Narodowy Fundusz Zdrowia.</w:t>
            </w:r>
          </w:p>
        </w:tc>
      </w:tr>
    </w:tbl>
    <w:p w14:paraId="4C33C2E0" w14:textId="71A4206F" w:rsidR="00DA6460" w:rsidRPr="00F23105" w:rsidRDefault="00DA6460" w:rsidP="00A00E8C">
      <w:pPr>
        <w:pStyle w:val="Nagwek1"/>
        <w:spacing w:line="276" w:lineRule="auto"/>
        <w:rPr>
          <w:sz w:val="20"/>
          <w:szCs w:val="20"/>
        </w:rPr>
      </w:pPr>
    </w:p>
    <w:sectPr w:rsidR="00DA6460" w:rsidRPr="00F23105" w:rsidSect="00BC6251">
      <w:footerReference w:type="even" r:id="rId8"/>
      <w:footerReference w:type="default" r:id="rId9"/>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B3671" w14:textId="77777777" w:rsidR="005066F7" w:rsidRDefault="005066F7">
      <w:r>
        <w:separator/>
      </w:r>
    </w:p>
  </w:endnote>
  <w:endnote w:type="continuationSeparator" w:id="0">
    <w:p w14:paraId="337448B1" w14:textId="77777777" w:rsidR="005066F7" w:rsidRDefault="0050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KBKDC+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DF9C" w14:textId="77777777" w:rsidR="00955D58" w:rsidRDefault="00955D58" w:rsidP="000553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5030EC" w14:textId="77777777" w:rsidR="00955D58" w:rsidRDefault="00955D58" w:rsidP="0005539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6121A" w14:textId="77777777" w:rsidR="00955D58" w:rsidRDefault="00955D58" w:rsidP="0005539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4436C" w14:textId="77777777" w:rsidR="005066F7" w:rsidRDefault="005066F7">
      <w:r>
        <w:separator/>
      </w:r>
    </w:p>
  </w:footnote>
  <w:footnote w:type="continuationSeparator" w:id="0">
    <w:p w14:paraId="378A3497" w14:textId="77777777" w:rsidR="005066F7" w:rsidRDefault="00506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6A3E2958"/>
    <w:name w:val="WW8Num15"/>
    <w:lvl w:ilvl="0">
      <w:start w:val="6"/>
      <w:numFmt w:val="decimal"/>
      <w:lvlText w:val="%1."/>
      <w:lvlJc w:val="left"/>
      <w:pPr>
        <w:tabs>
          <w:tab w:val="num" w:pos="720"/>
        </w:tabs>
      </w:pPr>
      <w:rPr>
        <w:rFonts w:cs="Times New Roman"/>
      </w:rPr>
    </w:lvl>
    <w:lvl w:ilvl="1">
      <w:start w:val="1"/>
      <w:numFmt w:val="decimal"/>
      <w:lvlText w:val="%2."/>
      <w:lvlJc w:val="left"/>
      <w:pPr>
        <w:tabs>
          <w:tab w:val="num" w:pos="360"/>
        </w:tabs>
        <w:ind w:left="207" w:hanging="207"/>
      </w:pPr>
      <w:rPr>
        <w:rFonts w:hint="default"/>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 w15:restartNumberingAfterBreak="0">
    <w:nsid w:val="059F5A86"/>
    <w:multiLevelType w:val="hybridMultilevel"/>
    <w:tmpl w:val="A954A73A"/>
    <w:lvl w:ilvl="0" w:tplc="04150017">
      <w:start w:val="1"/>
      <w:numFmt w:val="lowerLetter"/>
      <w:lvlText w:val="%1)"/>
      <w:lvlJc w:val="left"/>
      <w:pPr>
        <w:ind w:left="720" w:hanging="360"/>
      </w:pPr>
    </w:lvl>
    <w:lvl w:ilvl="1" w:tplc="D010AA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4B438A"/>
    <w:multiLevelType w:val="hybridMultilevel"/>
    <w:tmpl w:val="1DAA66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8D2B99"/>
    <w:multiLevelType w:val="hybridMultilevel"/>
    <w:tmpl w:val="642EBAB2"/>
    <w:lvl w:ilvl="0" w:tplc="CDA60DA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306B7"/>
    <w:multiLevelType w:val="hybridMultilevel"/>
    <w:tmpl w:val="B52E5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0E5D48"/>
    <w:multiLevelType w:val="hybridMultilevel"/>
    <w:tmpl w:val="D44272CA"/>
    <w:lvl w:ilvl="0" w:tplc="04150011">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6" w15:restartNumberingAfterBreak="0">
    <w:nsid w:val="272207A1"/>
    <w:multiLevelType w:val="hybridMultilevel"/>
    <w:tmpl w:val="C0BC7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B52A46"/>
    <w:multiLevelType w:val="hybridMultilevel"/>
    <w:tmpl w:val="16CAC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F52819"/>
    <w:multiLevelType w:val="hybridMultilevel"/>
    <w:tmpl w:val="C860B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7717F"/>
    <w:multiLevelType w:val="hybridMultilevel"/>
    <w:tmpl w:val="CC102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FF267F"/>
    <w:multiLevelType w:val="hybridMultilevel"/>
    <w:tmpl w:val="34282A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727449"/>
    <w:multiLevelType w:val="hybridMultilevel"/>
    <w:tmpl w:val="3084C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1512AE"/>
    <w:multiLevelType w:val="hybridMultilevel"/>
    <w:tmpl w:val="909639F0"/>
    <w:lvl w:ilvl="0" w:tplc="E970EB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5F5222"/>
    <w:multiLevelType w:val="hybridMultilevel"/>
    <w:tmpl w:val="51C8C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93299A"/>
    <w:multiLevelType w:val="hybridMultilevel"/>
    <w:tmpl w:val="628AB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A71E77"/>
    <w:multiLevelType w:val="hybridMultilevel"/>
    <w:tmpl w:val="09C2D8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9822DD"/>
    <w:multiLevelType w:val="hybridMultilevel"/>
    <w:tmpl w:val="7C78A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791BBB"/>
    <w:multiLevelType w:val="hybridMultilevel"/>
    <w:tmpl w:val="CFE03D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EE1B91"/>
    <w:multiLevelType w:val="hybridMultilevel"/>
    <w:tmpl w:val="7728C9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CE048A"/>
    <w:multiLevelType w:val="hybridMultilevel"/>
    <w:tmpl w:val="4F3C3D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E62FBD"/>
    <w:multiLevelType w:val="hybridMultilevel"/>
    <w:tmpl w:val="47A64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33186E"/>
    <w:multiLevelType w:val="hybridMultilevel"/>
    <w:tmpl w:val="C58288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A5447A"/>
    <w:multiLevelType w:val="hybridMultilevel"/>
    <w:tmpl w:val="7B9A5DD6"/>
    <w:lvl w:ilvl="0" w:tplc="04150017">
      <w:start w:val="1"/>
      <w:numFmt w:val="lowerLetter"/>
      <w:lvlText w:val="%1)"/>
      <w:lvlJc w:val="left"/>
      <w:pPr>
        <w:ind w:left="717" w:hanging="360"/>
      </w:pPr>
      <w:rPr>
        <w:rFonts w:hint="default"/>
        <w:sz w:val="20"/>
        <w:szCs w:val="20"/>
      </w:rPr>
    </w:lvl>
    <w:lvl w:ilvl="1" w:tplc="04150003" w:tentative="1">
      <w:start w:val="1"/>
      <w:numFmt w:val="bullet"/>
      <w:lvlText w:val="o"/>
      <w:lvlJc w:val="left"/>
      <w:pPr>
        <w:ind w:left="1437" w:hanging="360"/>
      </w:pPr>
      <w:rPr>
        <w:rFonts w:ascii="Courier New" w:hAnsi="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3" w15:restartNumberingAfterBreak="0">
    <w:nsid w:val="7F2578F9"/>
    <w:multiLevelType w:val="hybridMultilevel"/>
    <w:tmpl w:val="F17CE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6"/>
  </w:num>
  <w:num w:numId="3">
    <w:abstractNumId w:val="15"/>
  </w:num>
  <w:num w:numId="4">
    <w:abstractNumId w:val="22"/>
  </w:num>
  <w:num w:numId="5">
    <w:abstractNumId w:val="6"/>
  </w:num>
  <w:num w:numId="6">
    <w:abstractNumId w:val="11"/>
  </w:num>
  <w:num w:numId="7">
    <w:abstractNumId w:val="20"/>
  </w:num>
  <w:num w:numId="8">
    <w:abstractNumId w:val="1"/>
  </w:num>
  <w:num w:numId="9">
    <w:abstractNumId w:val="8"/>
  </w:num>
  <w:num w:numId="10">
    <w:abstractNumId w:val="9"/>
  </w:num>
  <w:num w:numId="11">
    <w:abstractNumId w:val="4"/>
  </w:num>
  <w:num w:numId="12">
    <w:abstractNumId w:val="12"/>
  </w:num>
  <w:num w:numId="13">
    <w:abstractNumId w:val="21"/>
  </w:num>
  <w:num w:numId="14">
    <w:abstractNumId w:val="18"/>
  </w:num>
  <w:num w:numId="15">
    <w:abstractNumId w:val="7"/>
  </w:num>
  <w:num w:numId="16">
    <w:abstractNumId w:val="3"/>
  </w:num>
  <w:num w:numId="17">
    <w:abstractNumId w:val="23"/>
  </w:num>
  <w:num w:numId="18">
    <w:abstractNumId w:val="13"/>
  </w:num>
  <w:num w:numId="19">
    <w:abstractNumId w:val="10"/>
  </w:num>
  <w:num w:numId="20">
    <w:abstractNumId w:val="14"/>
  </w:num>
  <w:num w:numId="21">
    <w:abstractNumId w:val="2"/>
  </w:num>
  <w:num w:numId="22">
    <w:abstractNumId w:val="19"/>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85"/>
    <w:rsid w:val="000031A1"/>
    <w:rsid w:val="00007EA9"/>
    <w:rsid w:val="000104B4"/>
    <w:rsid w:val="00010B86"/>
    <w:rsid w:val="0001534C"/>
    <w:rsid w:val="00022E15"/>
    <w:rsid w:val="00024FF2"/>
    <w:rsid w:val="00025A11"/>
    <w:rsid w:val="00030BC8"/>
    <w:rsid w:val="0003497C"/>
    <w:rsid w:val="00040282"/>
    <w:rsid w:val="0004258C"/>
    <w:rsid w:val="00043BF0"/>
    <w:rsid w:val="00044047"/>
    <w:rsid w:val="00047B44"/>
    <w:rsid w:val="0005087D"/>
    <w:rsid w:val="00051E21"/>
    <w:rsid w:val="0005416C"/>
    <w:rsid w:val="00054394"/>
    <w:rsid w:val="00055390"/>
    <w:rsid w:val="000813CE"/>
    <w:rsid w:val="00085C72"/>
    <w:rsid w:val="000917C6"/>
    <w:rsid w:val="00092D7C"/>
    <w:rsid w:val="000940CC"/>
    <w:rsid w:val="0009510E"/>
    <w:rsid w:val="00095204"/>
    <w:rsid w:val="000A1E78"/>
    <w:rsid w:val="000A2058"/>
    <w:rsid w:val="000A7F28"/>
    <w:rsid w:val="000B3083"/>
    <w:rsid w:val="000B38AB"/>
    <w:rsid w:val="000B427E"/>
    <w:rsid w:val="000C1331"/>
    <w:rsid w:val="000C5AB7"/>
    <w:rsid w:val="000C68BD"/>
    <w:rsid w:val="000C74E7"/>
    <w:rsid w:val="000D06FF"/>
    <w:rsid w:val="000D2C72"/>
    <w:rsid w:val="000D4BD9"/>
    <w:rsid w:val="000D4C29"/>
    <w:rsid w:val="000D5AAA"/>
    <w:rsid w:val="000E159F"/>
    <w:rsid w:val="000E24D8"/>
    <w:rsid w:val="000E72E7"/>
    <w:rsid w:val="000F5CAC"/>
    <w:rsid w:val="00100909"/>
    <w:rsid w:val="00102D74"/>
    <w:rsid w:val="00103EBE"/>
    <w:rsid w:val="001052CF"/>
    <w:rsid w:val="00112767"/>
    <w:rsid w:val="00112A71"/>
    <w:rsid w:val="00114469"/>
    <w:rsid w:val="00134743"/>
    <w:rsid w:val="00135112"/>
    <w:rsid w:val="00144077"/>
    <w:rsid w:val="001478F8"/>
    <w:rsid w:val="00147929"/>
    <w:rsid w:val="00156FA1"/>
    <w:rsid w:val="00157300"/>
    <w:rsid w:val="00162155"/>
    <w:rsid w:val="001639FA"/>
    <w:rsid w:val="00173A82"/>
    <w:rsid w:val="001741CC"/>
    <w:rsid w:val="001768F6"/>
    <w:rsid w:val="001825BF"/>
    <w:rsid w:val="001834E1"/>
    <w:rsid w:val="00184138"/>
    <w:rsid w:val="00185946"/>
    <w:rsid w:val="0018646C"/>
    <w:rsid w:val="00186588"/>
    <w:rsid w:val="0019144B"/>
    <w:rsid w:val="001939CD"/>
    <w:rsid w:val="00196A59"/>
    <w:rsid w:val="001972BB"/>
    <w:rsid w:val="001A0393"/>
    <w:rsid w:val="001A23E2"/>
    <w:rsid w:val="001A60A2"/>
    <w:rsid w:val="001A6723"/>
    <w:rsid w:val="001A6775"/>
    <w:rsid w:val="001A773D"/>
    <w:rsid w:val="001B6022"/>
    <w:rsid w:val="001C0A5D"/>
    <w:rsid w:val="001C2172"/>
    <w:rsid w:val="001C6803"/>
    <w:rsid w:val="001C6C55"/>
    <w:rsid w:val="001C7345"/>
    <w:rsid w:val="001C7FDE"/>
    <w:rsid w:val="001D6020"/>
    <w:rsid w:val="001D7E78"/>
    <w:rsid w:val="001E0159"/>
    <w:rsid w:val="001E4E5E"/>
    <w:rsid w:val="001E7D17"/>
    <w:rsid w:val="001E7FE6"/>
    <w:rsid w:val="001F71CA"/>
    <w:rsid w:val="00200B4E"/>
    <w:rsid w:val="00200E27"/>
    <w:rsid w:val="00201646"/>
    <w:rsid w:val="0020421B"/>
    <w:rsid w:val="00207B0D"/>
    <w:rsid w:val="00207F0C"/>
    <w:rsid w:val="00207F1C"/>
    <w:rsid w:val="00212DE8"/>
    <w:rsid w:val="00214448"/>
    <w:rsid w:val="0022331E"/>
    <w:rsid w:val="00223442"/>
    <w:rsid w:val="002246E8"/>
    <w:rsid w:val="00227205"/>
    <w:rsid w:val="002312A7"/>
    <w:rsid w:val="00231535"/>
    <w:rsid w:val="00233150"/>
    <w:rsid w:val="00233274"/>
    <w:rsid w:val="00234119"/>
    <w:rsid w:val="00234AA0"/>
    <w:rsid w:val="00235AA2"/>
    <w:rsid w:val="002364F8"/>
    <w:rsid w:val="00246C28"/>
    <w:rsid w:val="002473EC"/>
    <w:rsid w:val="00250E3D"/>
    <w:rsid w:val="0025377C"/>
    <w:rsid w:val="002552FB"/>
    <w:rsid w:val="0025789D"/>
    <w:rsid w:val="00262150"/>
    <w:rsid w:val="002775BE"/>
    <w:rsid w:val="00283BFB"/>
    <w:rsid w:val="00287D44"/>
    <w:rsid w:val="002900C3"/>
    <w:rsid w:val="00294D32"/>
    <w:rsid w:val="0029688F"/>
    <w:rsid w:val="002A292F"/>
    <w:rsid w:val="002A704F"/>
    <w:rsid w:val="002B5DB8"/>
    <w:rsid w:val="002B76F8"/>
    <w:rsid w:val="002B783D"/>
    <w:rsid w:val="002C3577"/>
    <w:rsid w:val="002C4025"/>
    <w:rsid w:val="002C517B"/>
    <w:rsid w:val="002D2DB9"/>
    <w:rsid w:val="002D324B"/>
    <w:rsid w:val="002D56CB"/>
    <w:rsid w:val="002D5ABE"/>
    <w:rsid w:val="002D684D"/>
    <w:rsid w:val="002D7B95"/>
    <w:rsid w:val="002E2EB0"/>
    <w:rsid w:val="002F1720"/>
    <w:rsid w:val="002F44D1"/>
    <w:rsid w:val="002F5173"/>
    <w:rsid w:val="00302170"/>
    <w:rsid w:val="00307E6D"/>
    <w:rsid w:val="00317AA2"/>
    <w:rsid w:val="00321685"/>
    <w:rsid w:val="00322A63"/>
    <w:rsid w:val="00322E95"/>
    <w:rsid w:val="00325D5F"/>
    <w:rsid w:val="003271F6"/>
    <w:rsid w:val="00335646"/>
    <w:rsid w:val="0034540B"/>
    <w:rsid w:val="003466A8"/>
    <w:rsid w:val="003506BE"/>
    <w:rsid w:val="00354329"/>
    <w:rsid w:val="00354358"/>
    <w:rsid w:val="003571A9"/>
    <w:rsid w:val="00357B59"/>
    <w:rsid w:val="00363701"/>
    <w:rsid w:val="003642CA"/>
    <w:rsid w:val="00364D4F"/>
    <w:rsid w:val="00364F41"/>
    <w:rsid w:val="00365BEC"/>
    <w:rsid w:val="00381E7A"/>
    <w:rsid w:val="0038392B"/>
    <w:rsid w:val="003A3543"/>
    <w:rsid w:val="003A3B13"/>
    <w:rsid w:val="003A4256"/>
    <w:rsid w:val="003A4F3E"/>
    <w:rsid w:val="003A574C"/>
    <w:rsid w:val="003B191F"/>
    <w:rsid w:val="003B373B"/>
    <w:rsid w:val="003B5DB4"/>
    <w:rsid w:val="003C2EE3"/>
    <w:rsid w:val="003C5568"/>
    <w:rsid w:val="003C564B"/>
    <w:rsid w:val="003D012D"/>
    <w:rsid w:val="003D06DA"/>
    <w:rsid w:val="003D4D6B"/>
    <w:rsid w:val="003D4FC6"/>
    <w:rsid w:val="003E3F18"/>
    <w:rsid w:val="003E799D"/>
    <w:rsid w:val="003F4A53"/>
    <w:rsid w:val="003F6B1E"/>
    <w:rsid w:val="00401304"/>
    <w:rsid w:val="0040145E"/>
    <w:rsid w:val="00411FB5"/>
    <w:rsid w:val="004171DE"/>
    <w:rsid w:val="0041734A"/>
    <w:rsid w:val="00426602"/>
    <w:rsid w:val="00433078"/>
    <w:rsid w:val="00434F0B"/>
    <w:rsid w:val="004427DE"/>
    <w:rsid w:val="00451BAE"/>
    <w:rsid w:val="0045691D"/>
    <w:rsid w:val="00461EC2"/>
    <w:rsid w:val="004620C1"/>
    <w:rsid w:val="004623DA"/>
    <w:rsid w:val="0046480D"/>
    <w:rsid w:val="00471DBD"/>
    <w:rsid w:val="00472B65"/>
    <w:rsid w:val="004737F6"/>
    <w:rsid w:val="00477666"/>
    <w:rsid w:val="00484A17"/>
    <w:rsid w:val="00486CE0"/>
    <w:rsid w:val="004918EA"/>
    <w:rsid w:val="004955CA"/>
    <w:rsid w:val="00495AAF"/>
    <w:rsid w:val="00496559"/>
    <w:rsid w:val="00496EE0"/>
    <w:rsid w:val="004A1CBD"/>
    <w:rsid w:val="004A5704"/>
    <w:rsid w:val="004A678D"/>
    <w:rsid w:val="004A6B17"/>
    <w:rsid w:val="004B227E"/>
    <w:rsid w:val="004B22A1"/>
    <w:rsid w:val="004B3EAA"/>
    <w:rsid w:val="004B7E5C"/>
    <w:rsid w:val="004D1919"/>
    <w:rsid w:val="004D63AD"/>
    <w:rsid w:val="004D64E2"/>
    <w:rsid w:val="004E2661"/>
    <w:rsid w:val="004E4DB2"/>
    <w:rsid w:val="004E71F8"/>
    <w:rsid w:val="004F0887"/>
    <w:rsid w:val="004F0B2B"/>
    <w:rsid w:val="004F0EBA"/>
    <w:rsid w:val="004F2B35"/>
    <w:rsid w:val="004F4ED2"/>
    <w:rsid w:val="004F5017"/>
    <w:rsid w:val="004F6B04"/>
    <w:rsid w:val="005000A9"/>
    <w:rsid w:val="00500D07"/>
    <w:rsid w:val="005027B3"/>
    <w:rsid w:val="00502895"/>
    <w:rsid w:val="00504F71"/>
    <w:rsid w:val="005055AE"/>
    <w:rsid w:val="00505767"/>
    <w:rsid w:val="005066F7"/>
    <w:rsid w:val="00507EB7"/>
    <w:rsid w:val="00511BC7"/>
    <w:rsid w:val="00512C2C"/>
    <w:rsid w:val="00517BF5"/>
    <w:rsid w:val="005254A5"/>
    <w:rsid w:val="00525F1D"/>
    <w:rsid w:val="0052760F"/>
    <w:rsid w:val="0053271B"/>
    <w:rsid w:val="00535545"/>
    <w:rsid w:val="00535E7C"/>
    <w:rsid w:val="00541009"/>
    <w:rsid w:val="005437CD"/>
    <w:rsid w:val="00546DA5"/>
    <w:rsid w:val="00546FE3"/>
    <w:rsid w:val="005503DA"/>
    <w:rsid w:val="005513E1"/>
    <w:rsid w:val="00552AF3"/>
    <w:rsid w:val="00555236"/>
    <w:rsid w:val="00563BAD"/>
    <w:rsid w:val="00570D8B"/>
    <w:rsid w:val="00582FD5"/>
    <w:rsid w:val="005858BD"/>
    <w:rsid w:val="00585AA5"/>
    <w:rsid w:val="00587BEB"/>
    <w:rsid w:val="00596933"/>
    <w:rsid w:val="00597694"/>
    <w:rsid w:val="005A051F"/>
    <w:rsid w:val="005A3822"/>
    <w:rsid w:val="005A662D"/>
    <w:rsid w:val="005A6B98"/>
    <w:rsid w:val="005B056B"/>
    <w:rsid w:val="005B1361"/>
    <w:rsid w:val="005B3B74"/>
    <w:rsid w:val="005B3D6E"/>
    <w:rsid w:val="005C41F2"/>
    <w:rsid w:val="005D18F7"/>
    <w:rsid w:val="005D2779"/>
    <w:rsid w:val="005D449E"/>
    <w:rsid w:val="005D6E45"/>
    <w:rsid w:val="005E43F8"/>
    <w:rsid w:val="005E7E09"/>
    <w:rsid w:val="005F2421"/>
    <w:rsid w:val="005F6A92"/>
    <w:rsid w:val="00601D8E"/>
    <w:rsid w:val="00603937"/>
    <w:rsid w:val="006041F9"/>
    <w:rsid w:val="0060486F"/>
    <w:rsid w:val="006055A2"/>
    <w:rsid w:val="0061136C"/>
    <w:rsid w:val="00617D50"/>
    <w:rsid w:val="00620344"/>
    <w:rsid w:val="00623747"/>
    <w:rsid w:val="0062641D"/>
    <w:rsid w:val="006311DA"/>
    <w:rsid w:val="006327C4"/>
    <w:rsid w:val="0063790B"/>
    <w:rsid w:val="006411AE"/>
    <w:rsid w:val="00643F92"/>
    <w:rsid w:val="0064722B"/>
    <w:rsid w:val="00647F42"/>
    <w:rsid w:val="0065025C"/>
    <w:rsid w:val="00652D5A"/>
    <w:rsid w:val="006535EE"/>
    <w:rsid w:val="00656BDC"/>
    <w:rsid w:val="00662D8B"/>
    <w:rsid w:val="00665494"/>
    <w:rsid w:val="00672E5F"/>
    <w:rsid w:val="00675015"/>
    <w:rsid w:val="006836B5"/>
    <w:rsid w:val="006927A3"/>
    <w:rsid w:val="006930F6"/>
    <w:rsid w:val="00693AFA"/>
    <w:rsid w:val="00695BE7"/>
    <w:rsid w:val="00695C02"/>
    <w:rsid w:val="006966E7"/>
    <w:rsid w:val="006A0826"/>
    <w:rsid w:val="006A0EFE"/>
    <w:rsid w:val="006A1B16"/>
    <w:rsid w:val="006A32C0"/>
    <w:rsid w:val="006A3AB3"/>
    <w:rsid w:val="006A47E2"/>
    <w:rsid w:val="006A4A8D"/>
    <w:rsid w:val="006B0517"/>
    <w:rsid w:val="006C17D3"/>
    <w:rsid w:val="006D10EB"/>
    <w:rsid w:val="006D4619"/>
    <w:rsid w:val="006D608C"/>
    <w:rsid w:val="006D68D1"/>
    <w:rsid w:val="006D758A"/>
    <w:rsid w:val="006E156D"/>
    <w:rsid w:val="006E2873"/>
    <w:rsid w:val="006E55B8"/>
    <w:rsid w:val="006F63B8"/>
    <w:rsid w:val="007054BF"/>
    <w:rsid w:val="007060E2"/>
    <w:rsid w:val="00706CE3"/>
    <w:rsid w:val="00707CC8"/>
    <w:rsid w:val="00710490"/>
    <w:rsid w:val="00711AAB"/>
    <w:rsid w:val="00714E6F"/>
    <w:rsid w:val="0071586F"/>
    <w:rsid w:val="00720814"/>
    <w:rsid w:val="00720E78"/>
    <w:rsid w:val="00721CC9"/>
    <w:rsid w:val="00722A5B"/>
    <w:rsid w:val="007238CD"/>
    <w:rsid w:val="00724618"/>
    <w:rsid w:val="00725057"/>
    <w:rsid w:val="007258BF"/>
    <w:rsid w:val="00726B6F"/>
    <w:rsid w:val="007270A8"/>
    <w:rsid w:val="00727A4E"/>
    <w:rsid w:val="00734C68"/>
    <w:rsid w:val="007360ED"/>
    <w:rsid w:val="00740407"/>
    <w:rsid w:val="00742072"/>
    <w:rsid w:val="007425E8"/>
    <w:rsid w:val="00742F56"/>
    <w:rsid w:val="00743C14"/>
    <w:rsid w:val="007504B2"/>
    <w:rsid w:val="007639DB"/>
    <w:rsid w:val="0076585D"/>
    <w:rsid w:val="00773447"/>
    <w:rsid w:val="00773E52"/>
    <w:rsid w:val="00774930"/>
    <w:rsid w:val="00780215"/>
    <w:rsid w:val="007875E2"/>
    <w:rsid w:val="007877A5"/>
    <w:rsid w:val="007902A3"/>
    <w:rsid w:val="007910E6"/>
    <w:rsid w:val="007924BB"/>
    <w:rsid w:val="00793368"/>
    <w:rsid w:val="00793658"/>
    <w:rsid w:val="00794A90"/>
    <w:rsid w:val="00797532"/>
    <w:rsid w:val="007A216A"/>
    <w:rsid w:val="007A40C3"/>
    <w:rsid w:val="007A4F46"/>
    <w:rsid w:val="007B0D62"/>
    <w:rsid w:val="007B14E1"/>
    <w:rsid w:val="007B1E7E"/>
    <w:rsid w:val="007B3FF4"/>
    <w:rsid w:val="007C0C63"/>
    <w:rsid w:val="007C32E1"/>
    <w:rsid w:val="007C33F4"/>
    <w:rsid w:val="007C344D"/>
    <w:rsid w:val="007D03CE"/>
    <w:rsid w:val="007D17FF"/>
    <w:rsid w:val="007D188D"/>
    <w:rsid w:val="007D7FEF"/>
    <w:rsid w:val="007E348D"/>
    <w:rsid w:val="007E48CB"/>
    <w:rsid w:val="007E7DB7"/>
    <w:rsid w:val="007F0ABB"/>
    <w:rsid w:val="007F4D58"/>
    <w:rsid w:val="007F516F"/>
    <w:rsid w:val="007F7B92"/>
    <w:rsid w:val="0080341E"/>
    <w:rsid w:val="00804D50"/>
    <w:rsid w:val="0080610E"/>
    <w:rsid w:val="00814BAD"/>
    <w:rsid w:val="00814BDF"/>
    <w:rsid w:val="0082686E"/>
    <w:rsid w:val="0083261E"/>
    <w:rsid w:val="0083304B"/>
    <w:rsid w:val="00833B13"/>
    <w:rsid w:val="00842C27"/>
    <w:rsid w:val="008433F3"/>
    <w:rsid w:val="008455C1"/>
    <w:rsid w:val="00847618"/>
    <w:rsid w:val="00853068"/>
    <w:rsid w:val="0085353E"/>
    <w:rsid w:val="00856E2B"/>
    <w:rsid w:val="00860DD4"/>
    <w:rsid w:val="0086104C"/>
    <w:rsid w:val="00866335"/>
    <w:rsid w:val="008718A5"/>
    <w:rsid w:val="0087403E"/>
    <w:rsid w:val="0087644B"/>
    <w:rsid w:val="00876EDD"/>
    <w:rsid w:val="00880506"/>
    <w:rsid w:val="008828E9"/>
    <w:rsid w:val="0088292F"/>
    <w:rsid w:val="00882964"/>
    <w:rsid w:val="00884493"/>
    <w:rsid w:val="00893103"/>
    <w:rsid w:val="0089626E"/>
    <w:rsid w:val="00896E73"/>
    <w:rsid w:val="00897108"/>
    <w:rsid w:val="008B1443"/>
    <w:rsid w:val="008B480B"/>
    <w:rsid w:val="008B665D"/>
    <w:rsid w:val="008B6BA1"/>
    <w:rsid w:val="008B774A"/>
    <w:rsid w:val="008C0E39"/>
    <w:rsid w:val="008C1223"/>
    <w:rsid w:val="008C2372"/>
    <w:rsid w:val="008C271F"/>
    <w:rsid w:val="008C3962"/>
    <w:rsid w:val="008D46CE"/>
    <w:rsid w:val="008D6C49"/>
    <w:rsid w:val="008E1E6D"/>
    <w:rsid w:val="008E5590"/>
    <w:rsid w:val="008F053F"/>
    <w:rsid w:val="008F0633"/>
    <w:rsid w:val="008F4B1D"/>
    <w:rsid w:val="00902DC4"/>
    <w:rsid w:val="00907670"/>
    <w:rsid w:val="0091059C"/>
    <w:rsid w:val="009119B2"/>
    <w:rsid w:val="00914B68"/>
    <w:rsid w:val="00915A77"/>
    <w:rsid w:val="009214A0"/>
    <w:rsid w:val="0092196F"/>
    <w:rsid w:val="00924A0D"/>
    <w:rsid w:val="00925AF7"/>
    <w:rsid w:val="00930F5F"/>
    <w:rsid w:val="00932DC9"/>
    <w:rsid w:val="00935879"/>
    <w:rsid w:val="00937610"/>
    <w:rsid w:val="00944181"/>
    <w:rsid w:val="00952BFF"/>
    <w:rsid w:val="009530A8"/>
    <w:rsid w:val="00955D58"/>
    <w:rsid w:val="00957A7A"/>
    <w:rsid w:val="00965DA0"/>
    <w:rsid w:val="0097463F"/>
    <w:rsid w:val="009826DA"/>
    <w:rsid w:val="0098414C"/>
    <w:rsid w:val="0098491B"/>
    <w:rsid w:val="00986908"/>
    <w:rsid w:val="00986D68"/>
    <w:rsid w:val="0098742F"/>
    <w:rsid w:val="00991F41"/>
    <w:rsid w:val="0099215F"/>
    <w:rsid w:val="00996C62"/>
    <w:rsid w:val="00997ED7"/>
    <w:rsid w:val="009A035E"/>
    <w:rsid w:val="009A0E1B"/>
    <w:rsid w:val="009A1949"/>
    <w:rsid w:val="009A4BC1"/>
    <w:rsid w:val="009B2D04"/>
    <w:rsid w:val="009B4319"/>
    <w:rsid w:val="009D132B"/>
    <w:rsid w:val="009D6810"/>
    <w:rsid w:val="009E3A03"/>
    <w:rsid w:val="009E5BAD"/>
    <w:rsid w:val="009E7719"/>
    <w:rsid w:val="009F4B23"/>
    <w:rsid w:val="00A00E8C"/>
    <w:rsid w:val="00A02887"/>
    <w:rsid w:val="00A04329"/>
    <w:rsid w:val="00A06021"/>
    <w:rsid w:val="00A166B1"/>
    <w:rsid w:val="00A17C85"/>
    <w:rsid w:val="00A2712C"/>
    <w:rsid w:val="00A32E02"/>
    <w:rsid w:val="00A36713"/>
    <w:rsid w:val="00A376C1"/>
    <w:rsid w:val="00A45D29"/>
    <w:rsid w:val="00A552A8"/>
    <w:rsid w:val="00A56492"/>
    <w:rsid w:val="00A62574"/>
    <w:rsid w:val="00A74452"/>
    <w:rsid w:val="00A75062"/>
    <w:rsid w:val="00A771F5"/>
    <w:rsid w:val="00AA0971"/>
    <w:rsid w:val="00AA4C6E"/>
    <w:rsid w:val="00AA7D5D"/>
    <w:rsid w:val="00AC49B0"/>
    <w:rsid w:val="00AD1E43"/>
    <w:rsid w:val="00AD20B9"/>
    <w:rsid w:val="00AD4F8E"/>
    <w:rsid w:val="00AD6F6F"/>
    <w:rsid w:val="00AD75B0"/>
    <w:rsid w:val="00AE5E55"/>
    <w:rsid w:val="00AE72D1"/>
    <w:rsid w:val="00AF06E3"/>
    <w:rsid w:val="00AF0A2C"/>
    <w:rsid w:val="00AF3A48"/>
    <w:rsid w:val="00B0089A"/>
    <w:rsid w:val="00B010EB"/>
    <w:rsid w:val="00B02A41"/>
    <w:rsid w:val="00B03F3A"/>
    <w:rsid w:val="00B25BB8"/>
    <w:rsid w:val="00B25FAA"/>
    <w:rsid w:val="00B325B5"/>
    <w:rsid w:val="00B32FDC"/>
    <w:rsid w:val="00B43533"/>
    <w:rsid w:val="00B45581"/>
    <w:rsid w:val="00B511B6"/>
    <w:rsid w:val="00B57549"/>
    <w:rsid w:val="00B614FE"/>
    <w:rsid w:val="00B6293F"/>
    <w:rsid w:val="00B65815"/>
    <w:rsid w:val="00B75E2A"/>
    <w:rsid w:val="00B7618D"/>
    <w:rsid w:val="00B76ED2"/>
    <w:rsid w:val="00B77A4B"/>
    <w:rsid w:val="00B8140C"/>
    <w:rsid w:val="00B81E1C"/>
    <w:rsid w:val="00BA2EEA"/>
    <w:rsid w:val="00BA3495"/>
    <w:rsid w:val="00BA64DC"/>
    <w:rsid w:val="00BA73F2"/>
    <w:rsid w:val="00BB0553"/>
    <w:rsid w:val="00BB08CE"/>
    <w:rsid w:val="00BB18CF"/>
    <w:rsid w:val="00BB1AC3"/>
    <w:rsid w:val="00BB5401"/>
    <w:rsid w:val="00BB6239"/>
    <w:rsid w:val="00BC1172"/>
    <w:rsid w:val="00BC6251"/>
    <w:rsid w:val="00BC6C3F"/>
    <w:rsid w:val="00BD493D"/>
    <w:rsid w:val="00BE177C"/>
    <w:rsid w:val="00BE1CE1"/>
    <w:rsid w:val="00BE2828"/>
    <w:rsid w:val="00BE3F64"/>
    <w:rsid w:val="00BE5C96"/>
    <w:rsid w:val="00BE6431"/>
    <w:rsid w:val="00BF1893"/>
    <w:rsid w:val="00BF2C33"/>
    <w:rsid w:val="00BF4BB0"/>
    <w:rsid w:val="00BF4D98"/>
    <w:rsid w:val="00BF6886"/>
    <w:rsid w:val="00C0041D"/>
    <w:rsid w:val="00C00DFE"/>
    <w:rsid w:val="00C04C82"/>
    <w:rsid w:val="00C06FF3"/>
    <w:rsid w:val="00C1089C"/>
    <w:rsid w:val="00C21B79"/>
    <w:rsid w:val="00C2602F"/>
    <w:rsid w:val="00C317F8"/>
    <w:rsid w:val="00C32637"/>
    <w:rsid w:val="00C34670"/>
    <w:rsid w:val="00C4078A"/>
    <w:rsid w:val="00C42214"/>
    <w:rsid w:val="00C42B6B"/>
    <w:rsid w:val="00C43A75"/>
    <w:rsid w:val="00C44E5F"/>
    <w:rsid w:val="00C456F5"/>
    <w:rsid w:val="00C50309"/>
    <w:rsid w:val="00C52D4E"/>
    <w:rsid w:val="00C61B39"/>
    <w:rsid w:val="00C6776B"/>
    <w:rsid w:val="00C73F63"/>
    <w:rsid w:val="00C777EC"/>
    <w:rsid w:val="00C8069C"/>
    <w:rsid w:val="00C848BA"/>
    <w:rsid w:val="00C8696E"/>
    <w:rsid w:val="00C930BC"/>
    <w:rsid w:val="00CA02A4"/>
    <w:rsid w:val="00CA491B"/>
    <w:rsid w:val="00CA6819"/>
    <w:rsid w:val="00CA6E1E"/>
    <w:rsid w:val="00CA73CF"/>
    <w:rsid w:val="00CB63BA"/>
    <w:rsid w:val="00CB71FE"/>
    <w:rsid w:val="00CC217E"/>
    <w:rsid w:val="00CD191C"/>
    <w:rsid w:val="00CD2D32"/>
    <w:rsid w:val="00CD7479"/>
    <w:rsid w:val="00CD7C5C"/>
    <w:rsid w:val="00CE6154"/>
    <w:rsid w:val="00CF1E00"/>
    <w:rsid w:val="00CF3270"/>
    <w:rsid w:val="00D01A91"/>
    <w:rsid w:val="00D0203D"/>
    <w:rsid w:val="00D0466B"/>
    <w:rsid w:val="00D063B0"/>
    <w:rsid w:val="00D07EA1"/>
    <w:rsid w:val="00D10F41"/>
    <w:rsid w:val="00D11A7E"/>
    <w:rsid w:val="00D133DA"/>
    <w:rsid w:val="00D1417B"/>
    <w:rsid w:val="00D2256D"/>
    <w:rsid w:val="00D252AB"/>
    <w:rsid w:val="00D325F5"/>
    <w:rsid w:val="00D32DB5"/>
    <w:rsid w:val="00D339A9"/>
    <w:rsid w:val="00D34DAD"/>
    <w:rsid w:val="00D3616D"/>
    <w:rsid w:val="00D362E3"/>
    <w:rsid w:val="00D3686B"/>
    <w:rsid w:val="00D40FD4"/>
    <w:rsid w:val="00D43596"/>
    <w:rsid w:val="00D43F94"/>
    <w:rsid w:val="00D44000"/>
    <w:rsid w:val="00D460EB"/>
    <w:rsid w:val="00D47376"/>
    <w:rsid w:val="00D533C2"/>
    <w:rsid w:val="00D53648"/>
    <w:rsid w:val="00D61157"/>
    <w:rsid w:val="00D616C4"/>
    <w:rsid w:val="00D61F42"/>
    <w:rsid w:val="00D67B17"/>
    <w:rsid w:val="00D7063B"/>
    <w:rsid w:val="00D81D76"/>
    <w:rsid w:val="00D84925"/>
    <w:rsid w:val="00D866E4"/>
    <w:rsid w:val="00D94D6D"/>
    <w:rsid w:val="00D95A34"/>
    <w:rsid w:val="00D96759"/>
    <w:rsid w:val="00D96D90"/>
    <w:rsid w:val="00DA6460"/>
    <w:rsid w:val="00DB02E6"/>
    <w:rsid w:val="00DB0549"/>
    <w:rsid w:val="00DB42EF"/>
    <w:rsid w:val="00DD1697"/>
    <w:rsid w:val="00DD4C73"/>
    <w:rsid w:val="00DD69F8"/>
    <w:rsid w:val="00DD76D6"/>
    <w:rsid w:val="00DE15DF"/>
    <w:rsid w:val="00DF667B"/>
    <w:rsid w:val="00DF6704"/>
    <w:rsid w:val="00E01494"/>
    <w:rsid w:val="00E03D9A"/>
    <w:rsid w:val="00E06B72"/>
    <w:rsid w:val="00E14D5C"/>
    <w:rsid w:val="00E160BB"/>
    <w:rsid w:val="00E20251"/>
    <w:rsid w:val="00E2057A"/>
    <w:rsid w:val="00E2280E"/>
    <w:rsid w:val="00E23D39"/>
    <w:rsid w:val="00E23F01"/>
    <w:rsid w:val="00E253F9"/>
    <w:rsid w:val="00E26A23"/>
    <w:rsid w:val="00E27E28"/>
    <w:rsid w:val="00E30F9C"/>
    <w:rsid w:val="00E323F9"/>
    <w:rsid w:val="00E33003"/>
    <w:rsid w:val="00E334E9"/>
    <w:rsid w:val="00E426A0"/>
    <w:rsid w:val="00E439F4"/>
    <w:rsid w:val="00E478A1"/>
    <w:rsid w:val="00E47E97"/>
    <w:rsid w:val="00E55C53"/>
    <w:rsid w:val="00E66476"/>
    <w:rsid w:val="00E708DA"/>
    <w:rsid w:val="00E71557"/>
    <w:rsid w:val="00E71586"/>
    <w:rsid w:val="00E73A3F"/>
    <w:rsid w:val="00E764F5"/>
    <w:rsid w:val="00E8246D"/>
    <w:rsid w:val="00E84E6D"/>
    <w:rsid w:val="00E85661"/>
    <w:rsid w:val="00E9042A"/>
    <w:rsid w:val="00E92BFE"/>
    <w:rsid w:val="00E969DF"/>
    <w:rsid w:val="00EA027E"/>
    <w:rsid w:val="00EA12CA"/>
    <w:rsid w:val="00EB1C31"/>
    <w:rsid w:val="00EB3889"/>
    <w:rsid w:val="00EB474A"/>
    <w:rsid w:val="00EB6DDE"/>
    <w:rsid w:val="00EC2A14"/>
    <w:rsid w:val="00EC3B3E"/>
    <w:rsid w:val="00EC52A1"/>
    <w:rsid w:val="00EC543C"/>
    <w:rsid w:val="00EC6F67"/>
    <w:rsid w:val="00EE2729"/>
    <w:rsid w:val="00EE3014"/>
    <w:rsid w:val="00EE6B16"/>
    <w:rsid w:val="00EE7843"/>
    <w:rsid w:val="00EF16B0"/>
    <w:rsid w:val="00EF2DF8"/>
    <w:rsid w:val="00EF7A39"/>
    <w:rsid w:val="00F00988"/>
    <w:rsid w:val="00F04973"/>
    <w:rsid w:val="00F05D33"/>
    <w:rsid w:val="00F11FF3"/>
    <w:rsid w:val="00F1238C"/>
    <w:rsid w:val="00F16FC7"/>
    <w:rsid w:val="00F2113E"/>
    <w:rsid w:val="00F217C7"/>
    <w:rsid w:val="00F21DC1"/>
    <w:rsid w:val="00F23105"/>
    <w:rsid w:val="00F24F55"/>
    <w:rsid w:val="00F32435"/>
    <w:rsid w:val="00F32D8B"/>
    <w:rsid w:val="00F42474"/>
    <w:rsid w:val="00F44179"/>
    <w:rsid w:val="00F4438F"/>
    <w:rsid w:val="00F44B3F"/>
    <w:rsid w:val="00F502E1"/>
    <w:rsid w:val="00F600C1"/>
    <w:rsid w:val="00F6052E"/>
    <w:rsid w:val="00F61367"/>
    <w:rsid w:val="00F63367"/>
    <w:rsid w:val="00F66B43"/>
    <w:rsid w:val="00F74599"/>
    <w:rsid w:val="00F76BDD"/>
    <w:rsid w:val="00F85E1C"/>
    <w:rsid w:val="00F9142F"/>
    <w:rsid w:val="00F91A41"/>
    <w:rsid w:val="00F936FE"/>
    <w:rsid w:val="00F946DF"/>
    <w:rsid w:val="00F947FE"/>
    <w:rsid w:val="00FA0B03"/>
    <w:rsid w:val="00FA62C2"/>
    <w:rsid w:val="00FB01DC"/>
    <w:rsid w:val="00FB3598"/>
    <w:rsid w:val="00FB40C2"/>
    <w:rsid w:val="00FB51C7"/>
    <w:rsid w:val="00FB74BE"/>
    <w:rsid w:val="00FD3068"/>
    <w:rsid w:val="00FE659F"/>
    <w:rsid w:val="00FE67F0"/>
    <w:rsid w:val="00FF40DA"/>
    <w:rsid w:val="00FF489B"/>
    <w:rsid w:val="00FF4AFD"/>
    <w:rsid w:val="00FF6A2B"/>
    <w:rsid w:val="00FF6E86"/>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AD2CC95"/>
  <w15:docId w15:val="{38635428-6D80-4E62-A3A8-67EA8977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685"/>
    <w:rPr>
      <w:sz w:val="24"/>
      <w:szCs w:val="24"/>
    </w:rPr>
  </w:style>
  <w:style w:type="paragraph" w:styleId="Nagwek1">
    <w:name w:val="heading 1"/>
    <w:basedOn w:val="Normalny"/>
    <w:next w:val="Normalny"/>
    <w:link w:val="Nagwek1Znak"/>
    <w:qFormat/>
    <w:rsid w:val="00321685"/>
    <w:pPr>
      <w:keepNext/>
      <w:outlineLvl w:val="0"/>
    </w:pPr>
    <w:rPr>
      <w:b/>
      <w:bCs/>
      <w:sz w:val="28"/>
    </w:rPr>
  </w:style>
  <w:style w:type="paragraph" w:styleId="Nagwek4">
    <w:name w:val="heading 4"/>
    <w:basedOn w:val="Normalny"/>
    <w:next w:val="Normalny"/>
    <w:link w:val="Nagwek4Znak"/>
    <w:qFormat/>
    <w:rsid w:val="00662D8B"/>
    <w:pPr>
      <w:keepNext/>
      <w:spacing w:before="240" w:after="60"/>
      <w:outlineLvl w:val="3"/>
    </w:pPr>
    <w:rPr>
      <w:b/>
      <w:bCs/>
      <w:sz w:val="28"/>
      <w:szCs w:val="28"/>
    </w:rPr>
  </w:style>
  <w:style w:type="paragraph" w:styleId="Nagwek6">
    <w:name w:val="heading 6"/>
    <w:basedOn w:val="Normalny"/>
    <w:next w:val="Normalny"/>
    <w:qFormat/>
    <w:rsid w:val="00662D8B"/>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rsid w:val="00321685"/>
    <w:rPr>
      <w:vertAlign w:val="superscript"/>
    </w:rPr>
  </w:style>
  <w:style w:type="paragraph" w:customStyle="1" w:styleId="Default">
    <w:name w:val="Default"/>
    <w:rsid w:val="00321685"/>
    <w:pPr>
      <w:widowControl w:val="0"/>
      <w:autoSpaceDE w:val="0"/>
      <w:autoSpaceDN w:val="0"/>
      <w:adjustRightInd w:val="0"/>
    </w:pPr>
    <w:rPr>
      <w:rFonts w:ascii="CKBKDC+Arial" w:hAnsi="CKBKDC+Arial" w:cs="CKBKDC+Arial"/>
      <w:color w:val="000000"/>
      <w:sz w:val="24"/>
      <w:szCs w:val="24"/>
    </w:rPr>
  </w:style>
  <w:style w:type="paragraph" w:customStyle="1" w:styleId="Akapitzlist1">
    <w:name w:val="Akapit z listą1"/>
    <w:basedOn w:val="Normalny"/>
    <w:rsid w:val="00321685"/>
    <w:pPr>
      <w:widowControl w:val="0"/>
      <w:autoSpaceDE w:val="0"/>
      <w:autoSpaceDN w:val="0"/>
      <w:adjustRightInd w:val="0"/>
      <w:ind w:left="720"/>
      <w:contextualSpacing/>
    </w:pPr>
    <w:rPr>
      <w:sz w:val="20"/>
      <w:szCs w:val="20"/>
    </w:rPr>
  </w:style>
  <w:style w:type="character" w:customStyle="1" w:styleId="Nagwek1Znak">
    <w:name w:val="Nagłówek 1 Znak"/>
    <w:link w:val="Nagwek1"/>
    <w:locked/>
    <w:rsid w:val="00321685"/>
    <w:rPr>
      <w:b/>
      <w:bCs/>
      <w:sz w:val="28"/>
      <w:szCs w:val="24"/>
      <w:lang w:val="pl-PL" w:eastAsia="pl-PL" w:bidi="ar-SA"/>
    </w:rPr>
  </w:style>
  <w:style w:type="character" w:styleId="Odwoaniedokomentarza">
    <w:name w:val="annotation reference"/>
    <w:semiHidden/>
    <w:rsid w:val="00321685"/>
    <w:rPr>
      <w:sz w:val="16"/>
      <w:szCs w:val="16"/>
    </w:rPr>
  </w:style>
  <w:style w:type="paragraph" w:styleId="Stopka">
    <w:name w:val="footer"/>
    <w:basedOn w:val="Normalny"/>
    <w:rsid w:val="00321685"/>
    <w:pPr>
      <w:tabs>
        <w:tab w:val="center" w:pos="4536"/>
        <w:tab w:val="right" w:pos="9072"/>
      </w:tabs>
    </w:pPr>
  </w:style>
  <w:style w:type="character" w:styleId="Numerstrony">
    <w:name w:val="page number"/>
    <w:basedOn w:val="Domylnaczcionkaakapitu"/>
    <w:rsid w:val="00321685"/>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662D8B"/>
    <w:pPr>
      <w:spacing w:line="360" w:lineRule="auto"/>
      <w:jc w:val="both"/>
    </w:p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link w:val="Tekstpodstawowy"/>
    <w:rsid w:val="00662D8B"/>
    <w:rPr>
      <w:sz w:val="24"/>
      <w:szCs w:val="24"/>
      <w:lang w:val="pl-PL" w:eastAsia="pl-PL" w:bidi="ar-SA"/>
    </w:rPr>
  </w:style>
  <w:style w:type="paragraph" w:styleId="Tekstkomentarza">
    <w:name w:val="annotation text"/>
    <w:basedOn w:val="Normalny"/>
    <w:link w:val="TekstkomentarzaZnak"/>
    <w:rsid w:val="00662D8B"/>
    <w:pPr>
      <w:suppressAutoHyphens/>
    </w:pPr>
    <w:rPr>
      <w:rFonts w:eastAsia="Calibri"/>
      <w:sz w:val="20"/>
      <w:szCs w:val="20"/>
      <w:lang w:eastAsia="ar-SA"/>
    </w:rPr>
  </w:style>
  <w:style w:type="character" w:customStyle="1" w:styleId="TekstkomentarzaZnak">
    <w:name w:val="Tekst komentarza Znak"/>
    <w:link w:val="Tekstkomentarza"/>
    <w:locked/>
    <w:rsid w:val="00662D8B"/>
    <w:rPr>
      <w:rFonts w:eastAsia="Calibri"/>
      <w:lang w:val="pl-PL" w:eastAsia="ar-SA" w:bidi="ar-SA"/>
    </w:rPr>
  </w:style>
  <w:style w:type="paragraph" w:styleId="Tekstpodstawowywcity">
    <w:name w:val="Body Text Indent"/>
    <w:basedOn w:val="Normalny"/>
    <w:rsid w:val="00662D8B"/>
    <w:pPr>
      <w:spacing w:after="120"/>
      <w:ind w:left="283"/>
    </w:pPr>
  </w:style>
  <w:style w:type="character" w:customStyle="1" w:styleId="BodyTextIndentChar">
    <w:name w:val="Body Text Indent Char"/>
    <w:locked/>
    <w:rsid w:val="00662D8B"/>
    <w:rPr>
      <w:rFonts w:eastAsia="Times New Roman" w:cs="Times New Roman"/>
      <w:sz w:val="22"/>
      <w:szCs w:val="22"/>
    </w:rPr>
  </w:style>
  <w:style w:type="character" w:customStyle="1" w:styleId="FooterChar">
    <w:name w:val="Footer Char"/>
    <w:locked/>
    <w:rsid w:val="00662D8B"/>
    <w:rPr>
      <w:sz w:val="24"/>
      <w:szCs w:val="24"/>
      <w:lang w:val="pl-PL" w:eastAsia="pl-PL" w:bidi="ar-SA"/>
    </w:rPr>
  </w:style>
  <w:style w:type="paragraph" w:customStyle="1" w:styleId="Akapitzlist2">
    <w:name w:val="Akapit z listą2"/>
    <w:basedOn w:val="Normalny"/>
    <w:rsid w:val="00662D8B"/>
    <w:pPr>
      <w:ind w:left="720"/>
      <w:contextualSpacing/>
    </w:pPr>
    <w:rPr>
      <w:rFonts w:eastAsia="Calibri"/>
    </w:rPr>
  </w:style>
  <w:style w:type="paragraph" w:styleId="NormalnyWeb">
    <w:name w:val="Normal (Web)"/>
    <w:basedOn w:val="Normalny"/>
    <w:semiHidden/>
    <w:rsid w:val="00662D8B"/>
    <w:pPr>
      <w:spacing w:before="100" w:beforeAutospacing="1" w:after="100" w:afterAutospacing="1" w:line="240" w:lineRule="atLeast"/>
    </w:pPr>
    <w:rPr>
      <w:rFonts w:ascii="Arial" w:eastAsia="Calibri" w:hAnsi="Arial" w:cs="Arial"/>
      <w:color w:val="333333"/>
      <w:sz w:val="18"/>
      <w:szCs w:val="18"/>
    </w:rPr>
  </w:style>
  <w:style w:type="paragraph" w:styleId="Tekstdymka">
    <w:name w:val="Balloon Text"/>
    <w:basedOn w:val="Normalny"/>
    <w:semiHidden/>
    <w:rsid w:val="007D7FEF"/>
    <w:rPr>
      <w:rFonts w:ascii="Tahoma" w:hAnsi="Tahoma" w:cs="Tahoma"/>
      <w:sz w:val="16"/>
      <w:szCs w:val="16"/>
    </w:rPr>
  </w:style>
  <w:style w:type="paragraph" w:styleId="Tematkomentarza">
    <w:name w:val="annotation subject"/>
    <w:basedOn w:val="Tekstkomentarza"/>
    <w:next w:val="Tekstkomentarza"/>
    <w:semiHidden/>
    <w:rsid w:val="00162155"/>
    <w:pPr>
      <w:suppressAutoHyphens w:val="0"/>
    </w:pPr>
    <w:rPr>
      <w:rFonts w:eastAsia="Times New Roman"/>
      <w:b/>
      <w:bCs/>
      <w:lang w:eastAsia="pl-PL"/>
    </w:rPr>
  </w:style>
  <w:style w:type="character" w:styleId="Hipercze">
    <w:name w:val="Hyperlink"/>
    <w:rsid w:val="00354329"/>
    <w:rPr>
      <w:color w:val="0000FF"/>
      <w:u w:val="single"/>
    </w:rPr>
  </w:style>
  <w:style w:type="paragraph" w:styleId="Nagwek">
    <w:name w:val="header"/>
    <w:basedOn w:val="Normalny"/>
    <w:rsid w:val="001C7FDE"/>
    <w:pPr>
      <w:tabs>
        <w:tab w:val="center" w:pos="4536"/>
        <w:tab w:val="right" w:pos="9072"/>
      </w:tabs>
    </w:pPr>
  </w:style>
  <w:style w:type="paragraph" w:styleId="Akapitzlist">
    <w:name w:val="List Paragraph"/>
    <w:basedOn w:val="Normalny"/>
    <w:uiPriority w:val="34"/>
    <w:qFormat/>
    <w:rsid w:val="00357B59"/>
    <w:pPr>
      <w:ind w:left="720"/>
      <w:contextualSpacing/>
    </w:pPr>
  </w:style>
  <w:style w:type="character" w:customStyle="1" w:styleId="Nagwek4Znak">
    <w:name w:val="Nagłówek 4 Znak"/>
    <w:basedOn w:val="Domylnaczcionkaakapitu"/>
    <w:link w:val="Nagwek4"/>
    <w:rsid w:val="004A570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2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FB2FD-BB43-493B-8EDE-FE66E77B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1528</Words>
  <Characters>9173</Characters>
  <Application>Microsoft Office Word</Application>
  <DocSecurity>0</DocSecurity>
  <Lines>76</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Plebanek, Maciej</dc:creator>
  <cp:lastModifiedBy>Królak-Buzakowska Joanna</cp:lastModifiedBy>
  <cp:revision>3</cp:revision>
  <cp:lastPrinted>2016-12-19T17:57:00Z</cp:lastPrinted>
  <dcterms:created xsi:type="dcterms:W3CDTF">2018-08-16T22:11:00Z</dcterms:created>
  <dcterms:modified xsi:type="dcterms:W3CDTF">2018-10-04T12:03:00Z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Ref">
    <vt:lpwstr>https://api.informationprotection.azure.com/api/f35a6974-607f-47d4-82d7-ff31d7dc53a5</vt:lpwstr>
  </property>
  <property fmtid="{D5CDD505-2E9C-101B-9397-08002B2CF9AE}" pid="5" name="MSIP_Label_4929bff8-5b33-42aa-95d2-28f72e792cb0_Owner">
    <vt:lpwstr>KARAWMI1@novartis.net</vt:lpwstr>
  </property>
  <property fmtid="{D5CDD505-2E9C-101B-9397-08002B2CF9AE}" pid="6" name="MSIP_Label_4929bff8-5b33-42aa-95d2-28f72e792cb0_SetDate">
    <vt:lpwstr>2018-08-10T17:30:53.2145554+02:00</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