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6EBC" w14:textId="77777777" w:rsidR="000B20A1" w:rsidRDefault="000B20A1" w:rsidP="000B20A1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 xml:space="preserve">Załącznik nr 2.4.2. do SWZ </w:t>
      </w:r>
    </w:p>
    <w:p w14:paraId="67FF0D11" w14:textId="77777777" w:rsidR="000B20A1" w:rsidRDefault="000B20A1" w:rsidP="000B20A1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EA53F3C" w14:textId="77777777" w:rsidR="000B20A1" w:rsidRPr="00B70C3B" w:rsidRDefault="000B20A1" w:rsidP="000B20A1">
      <w:pPr>
        <w:suppressAutoHyphens w:val="0"/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477B683" w14:textId="77777777" w:rsidR="000B20A1" w:rsidRPr="00B70C3B" w:rsidRDefault="000B20A1" w:rsidP="000B20A1">
      <w:pPr>
        <w:suppressAutoHyphens w:val="0"/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FA1B7FF" w14:textId="77777777" w:rsidR="000B20A1" w:rsidRPr="00B70C3B" w:rsidRDefault="000B20A1" w:rsidP="000B20A1">
      <w:pPr>
        <w:suppressAutoHyphens w:val="0"/>
        <w:spacing w:before="120"/>
        <w:jc w:val="center"/>
        <w:rPr>
          <w:rFonts w:ascii="Cambria" w:hAnsi="Cambria"/>
          <w:b/>
          <w:sz w:val="22"/>
          <w:szCs w:val="22"/>
          <w:lang w:eastAsia="pl-PL"/>
        </w:rPr>
      </w:pPr>
      <w:r w:rsidRPr="00B70C3B">
        <w:rPr>
          <w:rFonts w:ascii="Cambria" w:hAnsi="Cambria" w:cs="Arial"/>
          <w:b/>
          <w:sz w:val="22"/>
          <w:szCs w:val="22"/>
        </w:rPr>
        <w:t xml:space="preserve">Zestawienie pozycji nieudostępnionych do odnowień </w:t>
      </w:r>
      <w:r>
        <w:rPr>
          <w:rFonts w:ascii="Cambria" w:hAnsi="Cambria" w:cs="Arial"/>
          <w:b/>
          <w:sz w:val="22"/>
          <w:szCs w:val="22"/>
        </w:rPr>
        <w:br/>
      </w:r>
      <w:r w:rsidRPr="00B70C3B">
        <w:rPr>
          <w:rFonts w:ascii="Cambria" w:hAnsi="Cambria" w:cs="Arial"/>
          <w:b/>
          <w:sz w:val="22"/>
          <w:szCs w:val="22"/>
        </w:rPr>
        <w:t>wykonywanych przy pomoc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B70C3B">
        <w:rPr>
          <w:rFonts w:ascii="Cambria" w:hAnsi="Cambria" w:cs="Arial"/>
          <w:b/>
          <w:sz w:val="22"/>
          <w:szCs w:val="22"/>
        </w:rPr>
        <w:t>sadzarki</w:t>
      </w:r>
    </w:p>
    <w:p w14:paraId="5A1CADDE" w14:textId="4CEBA0BD" w:rsidR="000B20A1" w:rsidRDefault="000B20A1" w:rsidP="000B20A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6823F51" w14:textId="77777777" w:rsidR="000B20A1" w:rsidRPr="00E27842" w:rsidRDefault="000B20A1" w:rsidP="000B20A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1946FDA2" w14:textId="77777777" w:rsidR="000B20A1" w:rsidRPr="00E27842" w:rsidRDefault="000B20A1" w:rsidP="000B20A1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6D7F193B" w14:textId="17A7EA71" w:rsidR="00B743B9" w:rsidRPr="000B20A1" w:rsidRDefault="000B20A1" w:rsidP="000B20A1">
      <w:pPr>
        <w:jc w:val="both"/>
        <w:rPr>
          <w:sz w:val="22"/>
          <w:szCs w:val="22"/>
        </w:rPr>
      </w:pPr>
      <w:r w:rsidRPr="000B20A1">
        <w:rPr>
          <w:sz w:val="22"/>
          <w:szCs w:val="22"/>
        </w:rPr>
        <w:t xml:space="preserve">Nadleśnictwo Kamienna Góra nie posiada pozycji nieudostępnionych do odnowień wykonywanych przy pomocy sadzarki. </w:t>
      </w:r>
    </w:p>
    <w:sectPr w:rsidR="00B743B9" w:rsidRPr="000B2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A1"/>
    <w:rsid w:val="000B20A1"/>
    <w:rsid w:val="00B7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3F61"/>
  <w15:chartTrackingRefBased/>
  <w15:docId w15:val="{49C0C4C2-C00D-4DDC-B93E-3114DD5A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0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Andrzejewska-Pasiut</dc:creator>
  <cp:keywords/>
  <dc:description/>
  <cp:lastModifiedBy>Anna Andrzejewska-Pasiut</cp:lastModifiedBy>
  <cp:revision>1</cp:revision>
  <dcterms:created xsi:type="dcterms:W3CDTF">2022-10-14T09:14:00Z</dcterms:created>
  <dcterms:modified xsi:type="dcterms:W3CDTF">2022-10-14T09:16:00Z</dcterms:modified>
</cp:coreProperties>
</file>