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69E" w:rsidRDefault="00D674BD" w:rsidP="006E20A7">
      <w:pPr>
        <w:tabs>
          <w:tab w:val="center" w:pos="4536"/>
        </w:tabs>
        <w:jc w:val="right"/>
        <w:rPr>
          <w:rFonts w:ascii="Calibri" w:hAnsi="Calibri" w:cs="Calibri"/>
        </w:rPr>
      </w:pPr>
      <w:r>
        <w:rPr>
          <w:noProof/>
        </w:rPr>
        <mc:AlternateContent>
          <mc:Choice Requires="wps">
            <w:drawing>
              <wp:anchor distT="45720" distB="45720" distL="114300" distR="114300" simplePos="0" relativeHeight="251658240" behindDoc="1" locked="0" layoutInCell="1" allowOverlap="1">
                <wp:simplePos x="0" y="0"/>
                <wp:positionH relativeFrom="margin">
                  <wp:align>left</wp:align>
                </wp:positionH>
                <wp:positionV relativeFrom="paragraph">
                  <wp:posOffset>7620</wp:posOffset>
                </wp:positionV>
                <wp:extent cx="1962150" cy="68580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685800"/>
                        </a:xfrm>
                        <a:prstGeom prst="rect">
                          <a:avLst/>
                        </a:prstGeom>
                        <a:solidFill>
                          <a:srgbClr val="FFFFFF"/>
                        </a:solidFill>
                        <a:ln w="9525">
                          <a:noFill/>
                          <a:miter lim="800000"/>
                          <a:headEnd/>
                          <a:tailEnd/>
                        </a:ln>
                      </wps:spPr>
                      <wps:txbx>
                        <w:txbxContent>
                          <w:p w:rsidR="00AB3BE4" w:rsidRDefault="00D674BD" w:rsidP="00AB3BE4">
                            <w:pPr>
                              <w:spacing w:line="276" w:lineRule="auto"/>
                              <w:jc w:val="center"/>
                            </w:pPr>
                            <w:r>
                              <w:rPr>
                                <w:noProof/>
                              </w:rPr>
                              <w:drawing>
                                <wp:inline distT="0" distB="0" distL="0" distR="0">
                                  <wp:extent cx="374669" cy="368319"/>
                                  <wp:effectExtent l="0" t="0" r="6350" b="0"/>
                                  <wp:docPr id="7848149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ło.png"/>
                                          <pic:cNvPicPr/>
                                        </pic:nvPicPr>
                                        <pic:blipFill>
                                          <a:blip r:embed="rId7">
                                            <a:extLst>
                                              <a:ext uri="{28A0092B-C50C-407E-A947-70E740481C1C}">
                                                <a14:useLocalDpi xmlns:a14="http://schemas.microsoft.com/office/drawing/2010/main" val="0"/>
                                              </a:ext>
                                            </a:extLst>
                                          </a:blip>
                                          <a:stretch>
                                            <a:fillRect/>
                                          </a:stretch>
                                        </pic:blipFill>
                                        <pic:spPr>
                                          <a:xfrm>
                                            <a:off x="0" y="0"/>
                                            <a:ext cx="374669" cy="368319"/>
                                          </a:xfrm>
                                          <a:prstGeom prst="rect">
                                            <a:avLst/>
                                          </a:prstGeom>
                                        </pic:spPr>
                                      </pic:pic>
                                    </a:graphicData>
                                  </a:graphic>
                                </wp:inline>
                              </w:drawing>
                            </w:r>
                          </w:p>
                          <w:p w:rsidR="00AB3BE4" w:rsidRPr="00EB0165" w:rsidRDefault="00D674BD" w:rsidP="00AB3BE4">
                            <w:pPr>
                              <w:jc w:val="center"/>
                              <w:rPr>
                                <w:rFonts w:ascii="Calibri" w:hAnsi="Calibri" w:cs="Calibri"/>
                                <w:b/>
                              </w:rPr>
                            </w:pPr>
                            <w:r w:rsidRPr="00EB0165">
                              <w:rPr>
                                <w:rFonts w:ascii="Calibri" w:hAnsi="Calibri" w:cs="Calibri"/>
                                <w:b/>
                              </w:rPr>
                              <w:t>WOJEWODA MAZOWIECKI</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0;margin-top:.6pt;width:154.5pt;height:5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" stroked="f">
                <v:textbox>
                  <w:txbxContent>
                    <w:p w:rsidR="00AB3BE4" w:rsidRDefault="00D674BD" w:rsidP="00AB3BE4">
                      <w:pPr>
                        <w:spacing w:line="276" w:lineRule="auto"/>
                        <w:jc w:val="center"/>
                      </w:pPr>
                      <w:r>
                        <w:rPr>
                          <w:noProof/>
                        </w:rPr>
                        <w:drawing>
                          <wp:inline distT="0" distB="0" distL="0" distR="0">
                            <wp:extent cx="374669" cy="368319"/>
                            <wp:effectExtent l="0" t="0" r="6350" b="0"/>
                            <wp:docPr id="7848149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ło.png"/>
                                    <pic:cNvPicPr/>
                                  </pic:nvPicPr>
                                  <pic:blipFill>
                                    <a:blip r:embed="rId7">
                                      <a:extLst>
                                        <a:ext uri="{28A0092B-C50C-407E-A947-70E740481C1C}">
                                          <a14:useLocalDpi xmlns:a14="http://schemas.microsoft.com/office/drawing/2010/main" val="0"/>
                                        </a:ext>
                                      </a:extLst>
                                    </a:blip>
                                    <a:stretch>
                                      <a:fillRect/>
                                    </a:stretch>
                                  </pic:blipFill>
                                  <pic:spPr>
                                    <a:xfrm>
                                      <a:off x="0" y="0"/>
                                      <a:ext cx="374669" cy="368319"/>
                                    </a:xfrm>
                                    <a:prstGeom prst="rect">
                                      <a:avLst/>
                                    </a:prstGeom>
                                  </pic:spPr>
                                </pic:pic>
                              </a:graphicData>
                            </a:graphic>
                          </wp:inline>
                        </w:drawing>
                      </w:r>
                    </w:p>
                    <w:p w:rsidR="00AB3BE4" w:rsidRPr="00EB0165" w:rsidRDefault="00D674BD" w:rsidP="00AB3BE4">
                      <w:pPr>
                        <w:jc w:val="center"/>
                        <w:rPr>
                          <w:rFonts w:ascii="Calibri" w:hAnsi="Calibri" w:cs="Calibri"/>
                          <w:b/>
                        </w:rPr>
                      </w:pPr>
                      <w:r w:rsidRPr="00EB0165">
                        <w:rPr>
                          <w:rFonts w:ascii="Calibri" w:hAnsi="Calibri" w:cs="Calibri"/>
                          <w:b/>
                        </w:rPr>
                        <w:t>WOJEWODA MAZOWIECKI</w:t>
                      </w:r>
                    </w:p>
                  </w:txbxContent>
                </v:textbox>
                <w10:wrap anchorx="margin"/>
              </v:shape>
            </w:pict>
          </mc:Fallback>
        </mc:AlternateContent>
      </w:r>
      <w:r w:rsidRPr="0036010D">
        <w:rPr>
          <w:rFonts w:ascii="Calibri" w:hAnsi="Calibri" w:cs="Calibri"/>
        </w:rPr>
        <w:t>Warszawa,</w:t>
      </w:r>
      <w:r>
        <w:rPr>
          <w:rFonts w:ascii="Calibri" w:hAnsi="Calibri" w:cs="Calibri"/>
        </w:rPr>
        <w:t xml:space="preserve"> </w:t>
      </w:r>
      <w:bookmarkStart w:id="0" w:name="ezdDataPodpisu"/>
      <w:r>
        <w:rPr>
          <w:rFonts w:ascii="Calibri" w:hAnsi="Calibri" w:cs="Calibri"/>
        </w:rPr>
        <w:t>28 lutego 2022 r.</w:t>
      </w:r>
      <w:bookmarkEnd w:id="0"/>
    </w:p>
    <w:p w:rsidR="004824F3" w:rsidRPr="00787FA2" w:rsidRDefault="00D674BD" w:rsidP="00691727">
      <w:pPr>
        <w:spacing w:before="840"/>
        <w:ind w:right="6660"/>
        <w:jc w:val="center"/>
        <w:rPr>
          <w:rFonts w:ascii="Calibri" w:hAnsi="Calibri" w:cs="Calibri"/>
          <w:bCs/>
        </w:rPr>
      </w:pPr>
      <w:bookmarkStart w:id="1" w:name="ezdSprawaZnak"/>
      <w:r>
        <w:rPr>
          <w:rFonts w:ascii="Calibri" w:hAnsi="Calibri" w:cs="Calibri"/>
          <w:bCs/>
        </w:rPr>
        <w:t xml:space="preserve">        </w:t>
      </w:r>
      <w:bookmarkStart w:id="2" w:name="_GoBack"/>
      <w:r w:rsidRPr="00787FA2">
        <w:rPr>
          <w:rFonts w:ascii="Calibri" w:hAnsi="Calibri" w:cs="Calibri"/>
          <w:bCs/>
        </w:rPr>
        <w:t>WNP-S.4131.6.2022</w:t>
      </w:r>
      <w:bookmarkEnd w:id="1"/>
    </w:p>
    <w:bookmarkEnd w:id="2"/>
    <w:p w:rsidR="00D20A24" w:rsidRDefault="00D674BD" w:rsidP="00D20A24">
      <w:pPr>
        <w:shd w:val="clear" w:color="auto" w:fill="FFFFFF"/>
        <w:tabs>
          <w:tab w:val="left" w:pos="6420"/>
        </w:tabs>
        <w:spacing w:line="360" w:lineRule="auto"/>
        <w:ind w:left="4678" w:right="849"/>
        <w:rPr>
          <w:rFonts w:ascii="Calibri" w:hAnsi="Calibri"/>
          <w:b/>
          <w:bCs/>
          <w:color w:val="000000"/>
          <w:spacing w:val="-13"/>
          <w:sz w:val="28"/>
          <w:szCs w:val="28"/>
        </w:rPr>
      </w:pPr>
    </w:p>
    <w:p w:rsidR="00D20A24" w:rsidRDefault="00D674BD" w:rsidP="00D20A24">
      <w:pPr>
        <w:shd w:val="clear" w:color="auto" w:fill="FFFFFF"/>
        <w:tabs>
          <w:tab w:val="left" w:pos="6420"/>
        </w:tabs>
        <w:spacing w:line="360" w:lineRule="auto"/>
        <w:ind w:left="4678" w:right="849"/>
        <w:rPr>
          <w:rFonts w:ascii="Calibri" w:hAnsi="Calibri"/>
          <w:b/>
          <w:bCs/>
          <w:color w:val="000000"/>
          <w:spacing w:val="-13"/>
          <w:sz w:val="28"/>
          <w:szCs w:val="28"/>
        </w:rPr>
      </w:pPr>
      <w:r>
        <w:rPr>
          <w:rFonts w:ascii="Calibri" w:hAnsi="Calibri"/>
          <w:b/>
          <w:bCs/>
          <w:color w:val="000000"/>
          <w:spacing w:val="-13"/>
          <w:sz w:val="28"/>
          <w:szCs w:val="28"/>
        </w:rPr>
        <w:t>Rada  Gminy Kotuń</w:t>
      </w:r>
    </w:p>
    <w:p w:rsidR="00D20A24" w:rsidRDefault="00D674BD" w:rsidP="00D20A24">
      <w:pPr>
        <w:shd w:val="clear" w:color="auto" w:fill="FFFFFF"/>
        <w:tabs>
          <w:tab w:val="left" w:pos="6420"/>
        </w:tabs>
        <w:spacing w:line="360" w:lineRule="auto"/>
        <w:ind w:left="4678" w:right="851"/>
        <w:rPr>
          <w:rFonts w:ascii="Calibri" w:hAnsi="Calibri"/>
          <w:bCs/>
          <w:color w:val="000000"/>
          <w:spacing w:val="-13"/>
          <w:sz w:val="28"/>
          <w:szCs w:val="28"/>
        </w:rPr>
      </w:pPr>
      <w:r w:rsidRPr="00DC5680">
        <w:rPr>
          <w:rFonts w:ascii="Calibri" w:hAnsi="Calibri"/>
          <w:bCs/>
          <w:color w:val="000000"/>
          <w:spacing w:val="-13"/>
          <w:sz w:val="28"/>
          <w:szCs w:val="28"/>
        </w:rPr>
        <w:t xml:space="preserve">ul. Siedlecka 56c </w:t>
      </w:r>
    </w:p>
    <w:p w:rsidR="00D20A24" w:rsidRDefault="00D674BD" w:rsidP="00D20A24">
      <w:pPr>
        <w:shd w:val="clear" w:color="auto" w:fill="FFFFFF"/>
        <w:tabs>
          <w:tab w:val="left" w:pos="6420"/>
        </w:tabs>
        <w:spacing w:line="360" w:lineRule="auto"/>
        <w:ind w:left="4678" w:right="851"/>
        <w:rPr>
          <w:rFonts w:ascii="Calibri" w:hAnsi="Calibri"/>
          <w:bCs/>
          <w:i/>
          <w:color w:val="000000"/>
          <w:spacing w:val="-13"/>
          <w:szCs w:val="28"/>
        </w:rPr>
      </w:pPr>
      <w:r>
        <w:rPr>
          <w:rFonts w:ascii="Calibri" w:hAnsi="Calibri"/>
          <w:bCs/>
          <w:color w:val="000000"/>
          <w:spacing w:val="-13"/>
          <w:sz w:val="28"/>
          <w:szCs w:val="28"/>
        </w:rPr>
        <w:t>0</w:t>
      </w:r>
      <w:r w:rsidRPr="00DC5680">
        <w:rPr>
          <w:rFonts w:ascii="Calibri" w:hAnsi="Calibri"/>
          <w:bCs/>
          <w:color w:val="000000"/>
          <w:spacing w:val="-13"/>
          <w:sz w:val="28"/>
          <w:szCs w:val="28"/>
        </w:rPr>
        <w:t>8-130 Kotuń</w:t>
      </w:r>
      <w:r>
        <w:rPr>
          <w:rFonts w:ascii="Calibri" w:hAnsi="Calibri"/>
          <w:bCs/>
          <w:i/>
          <w:color w:val="000000"/>
          <w:spacing w:val="-13"/>
          <w:szCs w:val="28"/>
        </w:rPr>
        <w:t xml:space="preserve">                              </w:t>
      </w:r>
    </w:p>
    <w:p w:rsidR="00D20A24" w:rsidRDefault="00D674BD" w:rsidP="00D20A24">
      <w:pPr>
        <w:suppressAutoHyphens/>
        <w:spacing w:line="276" w:lineRule="auto"/>
        <w:jc w:val="center"/>
        <w:rPr>
          <w:rFonts w:ascii="Calibri" w:hAnsi="Calibri" w:cs="Calibri"/>
          <w:b/>
          <w:caps/>
          <w:lang w:eastAsia="ar-SA"/>
        </w:rPr>
      </w:pPr>
    </w:p>
    <w:p w:rsidR="00D20A24" w:rsidRDefault="00D674BD" w:rsidP="00D20A24">
      <w:pPr>
        <w:suppressAutoHyphens/>
        <w:spacing w:line="276" w:lineRule="auto"/>
        <w:jc w:val="center"/>
        <w:rPr>
          <w:rFonts w:ascii="Calibri" w:hAnsi="Calibri" w:cs="Calibri"/>
          <w:b/>
          <w:caps/>
          <w:lang w:eastAsia="ar-SA"/>
        </w:rPr>
      </w:pPr>
    </w:p>
    <w:p w:rsidR="00D20A24" w:rsidRPr="00F25043" w:rsidRDefault="00D674BD" w:rsidP="00D20A24">
      <w:pPr>
        <w:suppressAutoHyphens/>
        <w:spacing w:line="276" w:lineRule="auto"/>
        <w:jc w:val="center"/>
        <w:rPr>
          <w:rFonts w:ascii="Calibri" w:hAnsi="Calibri" w:cs="Calibri"/>
          <w:caps/>
          <w:lang w:eastAsia="ar-SA"/>
        </w:rPr>
      </w:pPr>
      <w:r w:rsidRPr="00F25043">
        <w:rPr>
          <w:rFonts w:ascii="Calibri" w:hAnsi="Calibri" w:cs="Calibri"/>
          <w:b/>
          <w:caps/>
          <w:lang w:eastAsia="ar-SA"/>
        </w:rPr>
        <w:t>Rozstrzygnięcie nadzorcze</w:t>
      </w:r>
    </w:p>
    <w:p w:rsidR="00D20A24" w:rsidRPr="00F25043" w:rsidRDefault="00D674BD" w:rsidP="00D20A24">
      <w:pPr>
        <w:suppressAutoHyphens/>
        <w:spacing w:line="276" w:lineRule="auto"/>
        <w:ind w:firstLine="709"/>
        <w:jc w:val="both"/>
        <w:rPr>
          <w:rFonts w:ascii="Calibri" w:hAnsi="Calibri" w:cs="Calibri"/>
          <w:lang w:eastAsia="ar-SA"/>
        </w:rPr>
      </w:pPr>
    </w:p>
    <w:p w:rsidR="00D20A24" w:rsidRPr="00F25043" w:rsidRDefault="00D674BD" w:rsidP="00D20A24">
      <w:pPr>
        <w:suppressAutoHyphens/>
        <w:spacing w:line="276" w:lineRule="auto"/>
        <w:ind w:firstLine="709"/>
        <w:jc w:val="both"/>
        <w:rPr>
          <w:rFonts w:ascii="Calibri" w:hAnsi="Calibri" w:cs="Calibri"/>
          <w:lang w:eastAsia="ar-SA"/>
        </w:rPr>
      </w:pPr>
      <w:r w:rsidRPr="00F25043">
        <w:rPr>
          <w:rFonts w:ascii="Calibri" w:hAnsi="Calibri" w:cs="Calibri"/>
          <w:lang w:eastAsia="ar-SA"/>
        </w:rPr>
        <w:t xml:space="preserve">Na podstawie art. 91 ust. 1 ustawy z dnia 8 marca 1990 r. </w:t>
      </w:r>
      <w:r w:rsidRPr="00F25043">
        <w:rPr>
          <w:rFonts w:ascii="Calibri" w:hAnsi="Calibri" w:cs="Calibri"/>
          <w:i/>
          <w:lang w:eastAsia="ar-SA"/>
        </w:rPr>
        <w:t xml:space="preserve">o </w:t>
      </w:r>
      <w:r w:rsidRPr="00F25043">
        <w:rPr>
          <w:rFonts w:ascii="Calibri" w:hAnsi="Calibri" w:cs="Calibri"/>
          <w:i/>
          <w:lang w:eastAsia="ar-SA"/>
        </w:rPr>
        <w:t>samorządzie gminnym</w:t>
      </w:r>
      <w:r w:rsidRPr="00F25043">
        <w:rPr>
          <w:rFonts w:ascii="Calibri" w:hAnsi="Calibri" w:cs="Calibri"/>
          <w:lang w:eastAsia="ar-SA"/>
        </w:rPr>
        <w:t xml:space="preserve"> </w:t>
      </w:r>
      <w:r w:rsidRPr="00F25043">
        <w:rPr>
          <w:rFonts w:ascii="Calibri" w:hAnsi="Calibri" w:cs="Calibri"/>
        </w:rPr>
        <w:t xml:space="preserve">(Dz. U. z 2021 r., poz. 1372 z </w:t>
      </w:r>
      <w:proofErr w:type="spellStart"/>
      <w:r w:rsidRPr="00F25043">
        <w:rPr>
          <w:rFonts w:ascii="Calibri" w:hAnsi="Calibri" w:cs="Calibri"/>
        </w:rPr>
        <w:t>późn</w:t>
      </w:r>
      <w:proofErr w:type="spellEnd"/>
      <w:r w:rsidRPr="00F25043">
        <w:rPr>
          <w:rFonts w:ascii="Calibri" w:hAnsi="Calibri" w:cs="Calibri"/>
        </w:rPr>
        <w:t>. zm.)</w:t>
      </w:r>
    </w:p>
    <w:p w:rsidR="00D20A24" w:rsidRPr="00F25043" w:rsidRDefault="00D674BD" w:rsidP="00D20A24">
      <w:pPr>
        <w:suppressAutoHyphens/>
        <w:spacing w:line="276" w:lineRule="auto"/>
        <w:ind w:firstLine="709"/>
        <w:jc w:val="both"/>
        <w:rPr>
          <w:rFonts w:ascii="Calibri" w:hAnsi="Calibri" w:cs="Calibri"/>
          <w:lang w:eastAsia="ar-SA"/>
        </w:rPr>
      </w:pPr>
    </w:p>
    <w:p w:rsidR="00D20A24" w:rsidRPr="00F25043" w:rsidRDefault="00D674BD" w:rsidP="00D20A24">
      <w:pPr>
        <w:suppressAutoHyphens/>
        <w:spacing w:line="276" w:lineRule="auto"/>
        <w:jc w:val="center"/>
        <w:rPr>
          <w:rFonts w:ascii="Calibri" w:hAnsi="Calibri" w:cs="Calibri"/>
          <w:lang w:eastAsia="ar-SA"/>
        </w:rPr>
      </w:pPr>
      <w:r w:rsidRPr="00F25043">
        <w:rPr>
          <w:rFonts w:ascii="Calibri" w:hAnsi="Calibri" w:cs="Calibri"/>
          <w:b/>
          <w:lang w:eastAsia="ar-SA"/>
        </w:rPr>
        <w:t>stwierdzam nieważność</w:t>
      </w:r>
    </w:p>
    <w:p w:rsidR="00D20A24" w:rsidRPr="00F25043" w:rsidRDefault="00D674BD" w:rsidP="00D20A24">
      <w:pPr>
        <w:suppressAutoHyphens/>
        <w:spacing w:line="276" w:lineRule="auto"/>
        <w:jc w:val="both"/>
        <w:rPr>
          <w:rFonts w:ascii="Calibri" w:hAnsi="Calibri" w:cs="Calibri"/>
          <w:lang w:eastAsia="ar-SA"/>
        </w:rPr>
      </w:pPr>
    </w:p>
    <w:p w:rsidR="00D20A24" w:rsidRPr="00F25043" w:rsidRDefault="00D674BD" w:rsidP="00D20A24">
      <w:pPr>
        <w:spacing w:before="120" w:after="120" w:line="276" w:lineRule="auto"/>
        <w:ind w:firstLine="709"/>
        <w:jc w:val="both"/>
        <w:rPr>
          <w:rFonts w:ascii="Calibri" w:hAnsi="Calibri" w:cs="Calibri"/>
          <w:b/>
          <w:color w:val="000000"/>
          <w:spacing w:val="-2"/>
        </w:rPr>
      </w:pPr>
      <w:r w:rsidRPr="00F25043">
        <w:rPr>
          <w:rFonts w:ascii="Calibri" w:hAnsi="Calibri" w:cs="Calibri"/>
          <w:color w:val="000000"/>
          <w:spacing w:val="-2"/>
        </w:rPr>
        <w:t xml:space="preserve">uchwały Nr XXXVIII/253/2022 Rady Gminy Kotuń z dnia 28 stycznia 2022 r. </w:t>
      </w:r>
      <w:r w:rsidRPr="00F25043">
        <w:rPr>
          <w:rFonts w:ascii="Calibri" w:hAnsi="Calibri" w:cs="Calibri"/>
          <w:color w:val="000000"/>
          <w:spacing w:val="-2"/>
        </w:rPr>
        <w:br/>
      </w:r>
      <w:r w:rsidRPr="00F25043">
        <w:rPr>
          <w:rFonts w:ascii="Calibri" w:hAnsi="Calibri" w:cs="Calibri"/>
          <w:i/>
          <w:color w:val="000000"/>
          <w:spacing w:val="-2"/>
        </w:rPr>
        <w:t>w sprawie</w:t>
      </w:r>
      <w:r w:rsidRPr="00F25043">
        <w:rPr>
          <w:rFonts w:ascii="Calibri" w:hAnsi="Calibri" w:cs="Calibri"/>
          <w:color w:val="000000"/>
          <w:spacing w:val="-2"/>
        </w:rPr>
        <w:t xml:space="preserve"> </w:t>
      </w:r>
      <w:r w:rsidRPr="00F25043">
        <w:rPr>
          <w:rFonts w:ascii="Calibri" w:hAnsi="Calibri" w:cs="Calibri"/>
          <w:i/>
          <w:color w:val="000000"/>
          <w:spacing w:val="-2"/>
        </w:rPr>
        <w:t xml:space="preserve">ustalenia wysokości diet dla radnych Rady Gminy Kotuń. </w:t>
      </w:r>
    </w:p>
    <w:p w:rsidR="00D20A24" w:rsidRPr="00F25043" w:rsidRDefault="00D674BD" w:rsidP="00D20A24">
      <w:pPr>
        <w:suppressAutoHyphens/>
        <w:spacing w:line="276" w:lineRule="auto"/>
        <w:jc w:val="center"/>
        <w:rPr>
          <w:rFonts w:ascii="Calibri" w:hAnsi="Calibri" w:cs="Calibri"/>
          <w:spacing w:val="-1"/>
          <w:lang w:eastAsia="ar-SA"/>
        </w:rPr>
      </w:pPr>
      <w:r w:rsidRPr="00F25043">
        <w:rPr>
          <w:rFonts w:ascii="Calibri" w:hAnsi="Calibri" w:cs="Calibri"/>
          <w:b/>
          <w:lang w:eastAsia="ar-SA"/>
        </w:rPr>
        <w:t>Uzasadnienie</w:t>
      </w:r>
    </w:p>
    <w:p w:rsidR="00D20A24" w:rsidRPr="00F25043" w:rsidRDefault="00D674BD" w:rsidP="00D20A24">
      <w:pPr>
        <w:suppressAutoHyphens/>
        <w:spacing w:line="276" w:lineRule="auto"/>
        <w:ind w:firstLine="709"/>
        <w:jc w:val="both"/>
        <w:rPr>
          <w:rFonts w:ascii="Calibri" w:hAnsi="Calibri" w:cs="Calibri"/>
          <w:spacing w:val="-1"/>
          <w:lang w:eastAsia="ar-SA"/>
        </w:rPr>
      </w:pPr>
      <w:r w:rsidRPr="00F25043">
        <w:rPr>
          <w:rFonts w:ascii="Calibri" w:hAnsi="Calibri" w:cs="Calibri"/>
          <w:spacing w:val="-1"/>
          <w:lang w:eastAsia="ar-SA"/>
        </w:rPr>
        <w:t xml:space="preserve">Rada Gminy Kotuń w dniu 28 stycznia 2022 r. podjęła uchwałę nr XXXVIII/253/2022 </w:t>
      </w:r>
      <w:r w:rsidRPr="00F25043">
        <w:rPr>
          <w:rFonts w:ascii="Calibri" w:hAnsi="Calibri" w:cs="Calibri"/>
          <w:i/>
          <w:spacing w:val="-1"/>
          <w:lang w:eastAsia="ar-SA"/>
        </w:rPr>
        <w:t xml:space="preserve">w sprawie ustalenia wysokości diet dla radnych Rady Gminy Kotuń, zwaną dalej uchwałą. </w:t>
      </w:r>
    </w:p>
    <w:p w:rsidR="00D20A24" w:rsidRPr="00F25043" w:rsidRDefault="00D674BD" w:rsidP="00D20A24">
      <w:pPr>
        <w:suppressAutoHyphens/>
        <w:spacing w:line="276" w:lineRule="auto"/>
        <w:ind w:firstLine="709"/>
        <w:jc w:val="both"/>
        <w:rPr>
          <w:rFonts w:ascii="Calibri" w:hAnsi="Calibri" w:cs="Calibri"/>
          <w:spacing w:val="-1"/>
          <w:lang w:eastAsia="ar-SA"/>
        </w:rPr>
      </w:pPr>
      <w:r w:rsidRPr="00F25043">
        <w:rPr>
          <w:rFonts w:ascii="Calibri" w:hAnsi="Calibri" w:cs="Calibri"/>
          <w:spacing w:val="-1"/>
          <w:lang w:eastAsia="ar-SA"/>
        </w:rPr>
        <w:t xml:space="preserve">Uchwała została doręczona organowi nadzoru w dniu 4 lutego 2022 r. </w:t>
      </w:r>
    </w:p>
    <w:p w:rsidR="00D20A24" w:rsidRPr="00F25043" w:rsidRDefault="00D674BD" w:rsidP="00D20A24">
      <w:pPr>
        <w:suppressAutoHyphens/>
        <w:spacing w:line="276" w:lineRule="auto"/>
        <w:ind w:firstLine="709"/>
        <w:jc w:val="both"/>
        <w:rPr>
          <w:rFonts w:ascii="Calibri" w:hAnsi="Calibri" w:cs="Calibri"/>
          <w:lang w:eastAsia="ar-SA"/>
        </w:rPr>
      </w:pPr>
      <w:r w:rsidRPr="00F25043">
        <w:rPr>
          <w:rFonts w:ascii="Calibri" w:hAnsi="Calibri" w:cs="Calibri"/>
          <w:spacing w:val="-1"/>
          <w:lang w:eastAsia="ar-SA"/>
        </w:rPr>
        <w:t>W dniu 21 lutego 2022</w:t>
      </w:r>
      <w:r w:rsidRPr="00F25043">
        <w:rPr>
          <w:rFonts w:ascii="Calibri" w:hAnsi="Calibri" w:cs="Calibri"/>
          <w:spacing w:val="-1"/>
          <w:lang w:eastAsia="ar-SA"/>
        </w:rPr>
        <w:t xml:space="preserve"> r. organ nadzoru wszczął postępowanie </w:t>
      </w:r>
      <w:r w:rsidRPr="00F25043">
        <w:rPr>
          <w:rFonts w:ascii="Calibri" w:hAnsi="Calibri" w:cs="Calibri"/>
          <w:lang w:eastAsia="ar-SA"/>
        </w:rPr>
        <w:t>nadzorcze w stosunku do przedmiotowej uchwały. Po zawiadomieniu Rady Gminy o wszczęciu postępowania, do organu nadzoru nie wpłynęła uchwała zmieniająca ani uchylająca kwestionowaną uchwałę.</w:t>
      </w:r>
    </w:p>
    <w:p w:rsidR="00D20A24" w:rsidRPr="00F25043" w:rsidRDefault="00D674BD" w:rsidP="00D20A24">
      <w:pPr>
        <w:spacing w:line="276" w:lineRule="auto"/>
        <w:rPr>
          <w:rFonts w:ascii="Calibri" w:hAnsi="Calibri" w:cs="Calibri"/>
          <w:lang w:eastAsia="ar-SA"/>
        </w:rPr>
      </w:pPr>
    </w:p>
    <w:p w:rsidR="00D20A24" w:rsidRPr="00F25043" w:rsidRDefault="00D674BD" w:rsidP="00D20A24">
      <w:pPr>
        <w:spacing w:line="276" w:lineRule="auto"/>
        <w:rPr>
          <w:rFonts w:ascii="Calibri" w:hAnsi="Calibri" w:cs="Calibri"/>
        </w:rPr>
      </w:pPr>
      <w:r w:rsidRPr="00F25043">
        <w:rPr>
          <w:rFonts w:ascii="Calibri" w:hAnsi="Calibri" w:cs="Calibri"/>
        </w:rPr>
        <w:t xml:space="preserve">W § 1, 2 i w § 4  uchwały </w:t>
      </w:r>
      <w:r w:rsidRPr="00F25043">
        <w:rPr>
          <w:rFonts w:ascii="Calibri" w:hAnsi="Calibri" w:cs="Calibri"/>
        </w:rPr>
        <w:t xml:space="preserve">Rada Gminy Kotuń postanowiła: </w:t>
      </w:r>
    </w:p>
    <w:p w:rsidR="00D20A24" w:rsidRPr="00F25043" w:rsidRDefault="00D674BD" w:rsidP="00D20A24">
      <w:pPr>
        <w:spacing w:line="276" w:lineRule="auto"/>
        <w:rPr>
          <w:rFonts w:ascii="Calibri" w:hAnsi="Calibri" w:cs="Calibri"/>
        </w:rPr>
      </w:pPr>
      <w:r w:rsidRPr="00F25043">
        <w:rPr>
          <w:rFonts w:ascii="Calibri" w:hAnsi="Calibri" w:cs="Calibri"/>
        </w:rPr>
        <w:t xml:space="preserve">             „§ 1 Ustala się wysokość i zasady obliczania i wypłat diet dla radnych Rady Gminy Kotuń  za udział w pracach rady i jej komisjach . </w:t>
      </w:r>
    </w:p>
    <w:p w:rsidR="00D20A24" w:rsidRPr="00F25043" w:rsidRDefault="00D674BD" w:rsidP="00D20A24">
      <w:pPr>
        <w:spacing w:line="276" w:lineRule="auto"/>
        <w:ind w:left="709"/>
        <w:jc w:val="both"/>
        <w:rPr>
          <w:rFonts w:ascii="Calibri" w:hAnsi="Calibri" w:cs="Calibri"/>
          <w:i/>
        </w:rPr>
      </w:pPr>
      <w:r w:rsidRPr="00F25043">
        <w:rPr>
          <w:rFonts w:ascii="Calibri" w:hAnsi="Calibri" w:cs="Calibri"/>
          <w:i/>
        </w:rPr>
        <w:t>„§ 2.1 Ustala się dietę w stosunku miesięcznym, zwaną dalej dietą w wysokościac</w:t>
      </w:r>
      <w:r w:rsidRPr="00F25043">
        <w:rPr>
          <w:rFonts w:ascii="Calibri" w:hAnsi="Calibri" w:cs="Calibri"/>
          <w:i/>
        </w:rPr>
        <w:t>h określonych procentowo od 2,4 krotności kwoty bazowej kreślonej w ustawie budżetowej dla osób zajmujących kierownicze stanowiska państwowe na podstawie przepisów ustawy z dnia 23 grudnia 1999 r. o kształtowaniu wynagrodzeń w sferze budżetowej oraz zmiani</w:t>
      </w:r>
      <w:r w:rsidRPr="00F25043">
        <w:rPr>
          <w:rFonts w:ascii="Calibri" w:hAnsi="Calibri" w:cs="Calibri"/>
          <w:i/>
        </w:rPr>
        <w:t>e niektórych innych ustaw ( Dz. U. z 2020 r. , poz. 1658) dla:</w:t>
      </w:r>
    </w:p>
    <w:p w:rsidR="00D20A24" w:rsidRPr="00F25043" w:rsidRDefault="00D674BD" w:rsidP="00D20A24">
      <w:pPr>
        <w:spacing w:line="276" w:lineRule="auto"/>
        <w:ind w:left="709"/>
        <w:rPr>
          <w:rFonts w:ascii="Calibri" w:hAnsi="Calibri" w:cs="Calibri"/>
          <w:i/>
        </w:rPr>
      </w:pPr>
      <w:r w:rsidRPr="00F25043">
        <w:rPr>
          <w:rFonts w:ascii="Calibri" w:hAnsi="Calibri" w:cs="Calibri"/>
          <w:i/>
        </w:rPr>
        <w:t>1) przewodniczącego Rady w wysokości - 50 %</w:t>
      </w:r>
    </w:p>
    <w:p w:rsidR="00D20A24" w:rsidRPr="00F25043" w:rsidRDefault="00D674BD" w:rsidP="00D20A24">
      <w:pPr>
        <w:spacing w:line="276" w:lineRule="auto"/>
        <w:ind w:left="709"/>
        <w:rPr>
          <w:rFonts w:ascii="Calibri" w:hAnsi="Calibri" w:cs="Calibri"/>
          <w:i/>
        </w:rPr>
      </w:pPr>
      <w:r w:rsidRPr="00F25043">
        <w:rPr>
          <w:rFonts w:ascii="Calibri" w:hAnsi="Calibri" w:cs="Calibri"/>
          <w:i/>
        </w:rPr>
        <w:t xml:space="preserve">2) wiceprzewodniczącego rady w wysokości </w:t>
      </w:r>
      <w:r>
        <w:rPr>
          <w:rFonts w:ascii="Calibri" w:hAnsi="Calibri" w:cs="Calibri"/>
          <w:i/>
        </w:rPr>
        <w:t>-</w:t>
      </w:r>
      <w:r w:rsidRPr="00F25043">
        <w:rPr>
          <w:rFonts w:ascii="Calibri" w:hAnsi="Calibri" w:cs="Calibri"/>
          <w:i/>
        </w:rPr>
        <w:t xml:space="preserve"> 40 %</w:t>
      </w:r>
    </w:p>
    <w:p w:rsidR="00D20A24" w:rsidRPr="00F25043" w:rsidRDefault="00D674BD" w:rsidP="00D20A24">
      <w:pPr>
        <w:spacing w:line="276" w:lineRule="auto"/>
        <w:ind w:left="709"/>
        <w:rPr>
          <w:rFonts w:ascii="Calibri" w:hAnsi="Calibri" w:cs="Calibri"/>
          <w:i/>
        </w:rPr>
      </w:pPr>
      <w:r w:rsidRPr="00F25043">
        <w:rPr>
          <w:rFonts w:ascii="Calibri" w:hAnsi="Calibri" w:cs="Calibri"/>
          <w:i/>
        </w:rPr>
        <w:t xml:space="preserve">3) przewodniczących komisji stałych Rady w wysokości  </w:t>
      </w:r>
      <w:r>
        <w:rPr>
          <w:rFonts w:ascii="Calibri" w:hAnsi="Calibri" w:cs="Calibri"/>
          <w:i/>
        </w:rPr>
        <w:t>-</w:t>
      </w:r>
      <w:r w:rsidRPr="00F25043">
        <w:rPr>
          <w:rFonts w:ascii="Calibri" w:hAnsi="Calibri" w:cs="Calibri"/>
          <w:i/>
        </w:rPr>
        <w:t xml:space="preserve"> 40 %</w:t>
      </w:r>
    </w:p>
    <w:p w:rsidR="00D20A24" w:rsidRPr="00F25043" w:rsidRDefault="00D674BD" w:rsidP="00D20A24">
      <w:pPr>
        <w:spacing w:line="276" w:lineRule="auto"/>
        <w:ind w:left="709"/>
        <w:rPr>
          <w:rFonts w:ascii="Calibri" w:hAnsi="Calibri" w:cs="Calibri"/>
          <w:i/>
        </w:rPr>
      </w:pPr>
      <w:r w:rsidRPr="00F25043">
        <w:rPr>
          <w:rFonts w:ascii="Calibri" w:hAnsi="Calibri" w:cs="Calibri"/>
          <w:i/>
        </w:rPr>
        <w:lastRenderedPageBreak/>
        <w:t xml:space="preserve">3) wiceprzewodniczących komisji stałych Rady w wysokości </w:t>
      </w:r>
      <w:r>
        <w:rPr>
          <w:rFonts w:ascii="Calibri" w:hAnsi="Calibri" w:cs="Calibri"/>
          <w:i/>
        </w:rPr>
        <w:t>-</w:t>
      </w:r>
      <w:r w:rsidRPr="00F25043">
        <w:rPr>
          <w:rFonts w:ascii="Calibri" w:hAnsi="Calibri" w:cs="Calibri"/>
          <w:i/>
        </w:rPr>
        <w:t xml:space="preserve"> 37 % </w:t>
      </w:r>
    </w:p>
    <w:p w:rsidR="00D20A24" w:rsidRPr="00F25043" w:rsidRDefault="00D674BD" w:rsidP="00D20A24">
      <w:pPr>
        <w:spacing w:line="276" w:lineRule="auto"/>
        <w:ind w:left="709"/>
        <w:rPr>
          <w:rFonts w:ascii="Calibri" w:hAnsi="Calibri" w:cs="Calibri"/>
          <w:i/>
        </w:rPr>
      </w:pPr>
      <w:r w:rsidRPr="00F25043">
        <w:rPr>
          <w:rFonts w:ascii="Calibri" w:hAnsi="Calibri" w:cs="Calibri"/>
          <w:i/>
        </w:rPr>
        <w:t>4) pozostałych radnych w wysokości – 35 %</w:t>
      </w:r>
    </w:p>
    <w:p w:rsidR="00D20A24" w:rsidRPr="00F25043" w:rsidRDefault="00D674BD" w:rsidP="00D20A24">
      <w:pPr>
        <w:spacing w:line="276" w:lineRule="auto"/>
        <w:ind w:left="709"/>
        <w:rPr>
          <w:rFonts w:ascii="Calibri" w:hAnsi="Calibri" w:cs="Calibri"/>
          <w:i/>
        </w:rPr>
      </w:pPr>
      <w:r w:rsidRPr="00F25043">
        <w:rPr>
          <w:rFonts w:ascii="Calibri" w:hAnsi="Calibri" w:cs="Calibri"/>
          <w:i/>
        </w:rPr>
        <w:t xml:space="preserve">2. Wysokość diety zaokrągla się do pełnych złotych. </w:t>
      </w:r>
    </w:p>
    <w:p w:rsidR="00D20A24" w:rsidRPr="00F25043" w:rsidRDefault="00D674BD" w:rsidP="00D20A24">
      <w:pPr>
        <w:spacing w:line="276" w:lineRule="auto"/>
        <w:ind w:left="709"/>
        <w:rPr>
          <w:rFonts w:ascii="Calibri" w:hAnsi="Calibri" w:cs="Calibri"/>
          <w:i/>
        </w:rPr>
      </w:pPr>
    </w:p>
    <w:p w:rsidR="00D20A24" w:rsidRPr="00F25043" w:rsidRDefault="00D674BD" w:rsidP="00D20A24">
      <w:pPr>
        <w:suppressAutoHyphens/>
        <w:spacing w:line="276" w:lineRule="auto"/>
        <w:ind w:left="709"/>
        <w:jc w:val="both"/>
        <w:rPr>
          <w:rFonts w:ascii="Calibri" w:hAnsi="Calibri" w:cs="Calibri"/>
          <w:i/>
          <w:iCs/>
          <w:lang w:eastAsia="ar-SA"/>
        </w:rPr>
      </w:pPr>
      <w:r w:rsidRPr="00F25043">
        <w:rPr>
          <w:rFonts w:ascii="Calibri" w:hAnsi="Calibri" w:cs="Calibri"/>
          <w:i/>
          <w:iCs/>
          <w:lang w:eastAsia="ar-SA"/>
        </w:rPr>
        <w:t xml:space="preserve"> § 4. 1. Wysokość miesięcznej diety, o której mowa w § 2 ulega obniżeniu o 100,00 zł za każdą nieusprawiedliwioną nieobecność radnego na sesji Rady Gminy oraz na posiedzeniu komisji stałej której jest członkiem.</w:t>
      </w:r>
    </w:p>
    <w:p w:rsidR="00D20A24" w:rsidRPr="00F25043" w:rsidRDefault="00D674BD" w:rsidP="00D20A24">
      <w:pPr>
        <w:suppressAutoHyphens/>
        <w:spacing w:line="276" w:lineRule="auto"/>
        <w:ind w:left="709"/>
        <w:jc w:val="both"/>
        <w:rPr>
          <w:rFonts w:ascii="Calibri" w:hAnsi="Calibri" w:cs="Calibri"/>
          <w:i/>
          <w:iCs/>
          <w:lang w:eastAsia="ar-SA"/>
        </w:rPr>
      </w:pPr>
      <w:r w:rsidRPr="00F25043">
        <w:rPr>
          <w:rFonts w:ascii="Calibri" w:hAnsi="Calibri" w:cs="Calibri"/>
          <w:i/>
          <w:iCs/>
          <w:lang w:eastAsia="ar-SA"/>
        </w:rPr>
        <w:t xml:space="preserve">   2. Jeżeli radny wykonywał inne obowiązki </w:t>
      </w:r>
      <w:r w:rsidRPr="00F25043">
        <w:rPr>
          <w:rFonts w:ascii="Calibri" w:hAnsi="Calibri" w:cs="Calibri"/>
          <w:i/>
          <w:iCs/>
          <w:lang w:eastAsia="ar-SA"/>
        </w:rPr>
        <w:t>związane z pełnieniem funkcji radnego, które uniemożliwiły mu obecność na posiedzeniu rady lub komisji stałej oraz jeżeli radny złoży na ręce przewodniczącego pisemne usprawiedliwienie swojej nieobecności spowodowanej chorobą lub inną niezależną od niego p</w:t>
      </w:r>
      <w:r w:rsidRPr="00F25043">
        <w:rPr>
          <w:rFonts w:ascii="Calibri" w:hAnsi="Calibri" w:cs="Calibri"/>
          <w:i/>
          <w:iCs/>
          <w:lang w:eastAsia="ar-SA"/>
        </w:rPr>
        <w:t xml:space="preserve">rzyczyną, dieta nie ulega obniżeniu.  </w:t>
      </w:r>
    </w:p>
    <w:p w:rsidR="00D20A24" w:rsidRPr="00F25043" w:rsidRDefault="00D674BD" w:rsidP="00D20A24">
      <w:pPr>
        <w:suppressAutoHyphens/>
        <w:spacing w:line="276" w:lineRule="auto"/>
        <w:ind w:left="709"/>
        <w:jc w:val="both"/>
        <w:rPr>
          <w:rFonts w:ascii="Calibri" w:hAnsi="Calibri" w:cs="Calibri"/>
          <w:i/>
          <w:iCs/>
          <w:lang w:eastAsia="ar-SA"/>
        </w:rPr>
      </w:pPr>
      <w:r w:rsidRPr="00F25043">
        <w:rPr>
          <w:rFonts w:ascii="Calibri" w:hAnsi="Calibri" w:cs="Calibri"/>
          <w:i/>
          <w:iCs/>
          <w:lang w:eastAsia="ar-SA"/>
        </w:rPr>
        <w:t xml:space="preserve"> 3. W razie zbiegu posiedzeń w jednym dniu wysokość diety, o której mowa w § 2 ulega obniżeniu o 100,00 zł bez względu na to, w ilu posiedzeniach komisji stałej w danym dniu nie uczestniczył radny, której jest członki</w:t>
      </w:r>
      <w:r w:rsidRPr="00F25043">
        <w:rPr>
          <w:rFonts w:ascii="Calibri" w:hAnsi="Calibri" w:cs="Calibri"/>
          <w:i/>
          <w:iCs/>
          <w:lang w:eastAsia="ar-SA"/>
        </w:rPr>
        <w:t xml:space="preserve">em.   </w:t>
      </w:r>
    </w:p>
    <w:p w:rsidR="00D20A24" w:rsidRPr="00F25043" w:rsidRDefault="00D674BD" w:rsidP="00D20A24">
      <w:pPr>
        <w:suppressAutoHyphens/>
        <w:spacing w:line="276" w:lineRule="auto"/>
        <w:ind w:left="709"/>
        <w:jc w:val="both"/>
        <w:rPr>
          <w:rFonts w:ascii="Calibri" w:hAnsi="Calibri" w:cs="Calibri"/>
          <w:i/>
          <w:iCs/>
          <w:lang w:eastAsia="ar-SA"/>
        </w:rPr>
      </w:pPr>
      <w:r w:rsidRPr="00F25043">
        <w:rPr>
          <w:rFonts w:ascii="Calibri" w:hAnsi="Calibri" w:cs="Calibri"/>
          <w:i/>
          <w:iCs/>
          <w:lang w:eastAsia="ar-SA"/>
        </w:rPr>
        <w:t xml:space="preserve"> 4. W przypadku zmiany w trakcie miesiąca kalendarzowego funkcji pełnionej przez radnego, od której uzależniona jest wypłata diety, lub jej wysokość, wymiar diety za dany miesiąc ustala się proporcjonalnie, przyjmując za miesiąc 30 dni. </w:t>
      </w:r>
      <w:r w:rsidRPr="00F25043">
        <w:rPr>
          <w:rFonts w:ascii="Calibri" w:hAnsi="Calibri" w:cs="Calibri"/>
          <w:iCs/>
          <w:lang w:eastAsia="ar-SA"/>
        </w:rPr>
        <w:t>”</w:t>
      </w:r>
    </w:p>
    <w:p w:rsidR="00D20A24" w:rsidRPr="00F25043" w:rsidRDefault="00D674BD" w:rsidP="00D20A24">
      <w:pPr>
        <w:spacing w:line="276" w:lineRule="auto"/>
        <w:rPr>
          <w:rFonts w:ascii="Calibri" w:hAnsi="Calibri" w:cs="Calibri"/>
        </w:rPr>
      </w:pPr>
    </w:p>
    <w:p w:rsidR="00D20A24" w:rsidRPr="00F25043" w:rsidRDefault="00D674BD" w:rsidP="00D20A24">
      <w:pPr>
        <w:tabs>
          <w:tab w:val="left" w:pos="426"/>
          <w:tab w:val="left" w:pos="1276"/>
        </w:tabs>
        <w:suppressAutoHyphens/>
        <w:spacing w:line="276" w:lineRule="auto"/>
        <w:jc w:val="both"/>
        <w:rPr>
          <w:rFonts w:ascii="Calibri" w:hAnsi="Calibri" w:cs="Calibri"/>
          <w:lang w:eastAsia="ar-SA"/>
        </w:rPr>
      </w:pPr>
      <w:r w:rsidRPr="00F25043">
        <w:rPr>
          <w:rFonts w:ascii="Calibri" w:hAnsi="Calibri" w:cs="Calibri"/>
          <w:lang w:eastAsia="ar-SA"/>
        </w:rPr>
        <w:tab/>
        <w:t>W ocenie</w:t>
      </w:r>
      <w:r w:rsidRPr="00F25043">
        <w:rPr>
          <w:rFonts w:ascii="Calibri" w:hAnsi="Calibri" w:cs="Calibri"/>
          <w:lang w:eastAsia="ar-SA"/>
        </w:rPr>
        <w:t xml:space="preserve"> organu nadzoru regulacje zawarte w uchwale są sprzeczne z przepisami art. 25 ust.4 ustawy </w:t>
      </w:r>
      <w:r w:rsidRPr="00F25043">
        <w:rPr>
          <w:rFonts w:ascii="Calibri" w:hAnsi="Calibri" w:cs="Calibri"/>
          <w:i/>
          <w:lang w:eastAsia="ar-SA"/>
        </w:rPr>
        <w:t>o samorządzie gminnym</w:t>
      </w:r>
      <w:r w:rsidRPr="00F25043">
        <w:rPr>
          <w:rFonts w:ascii="Calibri" w:hAnsi="Calibri" w:cs="Calibri"/>
          <w:lang w:eastAsia="ar-SA"/>
        </w:rPr>
        <w:t xml:space="preserve"> w wyniku ustalenia diety radnych w formie miesięcznego ryczałtu, wskutek czego traci ona charakter rekompensacyjny, a przyjmuje charakter stałe</w:t>
      </w:r>
      <w:r w:rsidRPr="00F25043">
        <w:rPr>
          <w:rFonts w:ascii="Calibri" w:hAnsi="Calibri" w:cs="Calibri"/>
          <w:lang w:eastAsia="ar-SA"/>
        </w:rPr>
        <w:t xml:space="preserve">go, miesięcznego wynagrodzenia niezależnego od kosztów związanych </w:t>
      </w:r>
      <w:r>
        <w:rPr>
          <w:rFonts w:ascii="Calibri" w:hAnsi="Calibri" w:cs="Calibri"/>
          <w:lang w:eastAsia="ar-SA"/>
        </w:rPr>
        <w:br/>
      </w:r>
      <w:r w:rsidRPr="00F25043">
        <w:rPr>
          <w:rFonts w:ascii="Calibri" w:hAnsi="Calibri" w:cs="Calibri"/>
          <w:lang w:eastAsia="ar-SA"/>
        </w:rPr>
        <w:t>z pełnieniem funkcji.</w:t>
      </w:r>
    </w:p>
    <w:p w:rsidR="00D20A24" w:rsidRPr="00F25043" w:rsidRDefault="00D674BD" w:rsidP="00D20A24">
      <w:pPr>
        <w:tabs>
          <w:tab w:val="left" w:pos="426"/>
          <w:tab w:val="left" w:pos="1276"/>
        </w:tabs>
        <w:suppressAutoHyphens/>
        <w:spacing w:line="276" w:lineRule="auto"/>
        <w:jc w:val="both"/>
        <w:rPr>
          <w:rFonts w:ascii="Calibri" w:hAnsi="Calibri" w:cs="Calibri"/>
          <w:lang w:eastAsia="ar-SA"/>
        </w:rPr>
      </w:pPr>
      <w:r w:rsidRPr="00F25043">
        <w:rPr>
          <w:rFonts w:ascii="Calibri" w:hAnsi="Calibri" w:cs="Calibri"/>
          <w:lang w:eastAsia="ar-SA"/>
        </w:rPr>
        <w:tab/>
        <w:t xml:space="preserve">Zgodnie z brzmieniem  przepisu </w:t>
      </w:r>
      <w:r w:rsidRPr="00F25043">
        <w:rPr>
          <w:rFonts w:ascii="Calibri" w:hAnsi="Calibri" w:cs="Calibri"/>
          <w:i/>
          <w:lang w:eastAsia="ar-SA"/>
        </w:rPr>
        <w:t xml:space="preserve"> </w:t>
      </w:r>
      <w:r w:rsidRPr="00F25043">
        <w:rPr>
          <w:rFonts w:ascii="Calibri" w:hAnsi="Calibri" w:cs="Calibri"/>
          <w:lang w:eastAsia="ar-SA"/>
        </w:rPr>
        <w:t xml:space="preserve"> art. 25 radnemu przysługują diety oraz zwrot kosztów podróży służbowych na zasadach ustalonych przez radę gminy (ust. 4), a rada gmin</w:t>
      </w:r>
      <w:r w:rsidRPr="00F25043">
        <w:rPr>
          <w:rFonts w:ascii="Calibri" w:hAnsi="Calibri" w:cs="Calibri"/>
          <w:lang w:eastAsia="ar-SA"/>
        </w:rPr>
        <w:t xml:space="preserve">y przy ustalaniu wysokości diet radnych bierze pod uwagę funkcje pełnione przez radnego (ust. 8). </w:t>
      </w:r>
    </w:p>
    <w:p w:rsidR="00D20A24" w:rsidRPr="00F25043" w:rsidRDefault="00D674BD" w:rsidP="00D20A24">
      <w:pPr>
        <w:tabs>
          <w:tab w:val="left" w:pos="426"/>
          <w:tab w:val="left" w:pos="1276"/>
        </w:tabs>
        <w:suppressAutoHyphens/>
        <w:spacing w:line="276" w:lineRule="auto"/>
        <w:jc w:val="both"/>
        <w:rPr>
          <w:rFonts w:ascii="Calibri" w:hAnsi="Calibri" w:cs="Calibri"/>
          <w:lang w:eastAsia="ar-SA"/>
        </w:rPr>
      </w:pPr>
      <w:r w:rsidRPr="00F25043">
        <w:rPr>
          <w:rFonts w:ascii="Calibri" w:hAnsi="Calibri" w:cs="Calibri"/>
          <w:lang w:eastAsia="ar-SA"/>
        </w:rPr>
        <w:tab/>
        <w:t xml:space="preserve">Zarówno w doktrynie prawa, jak i orzecznictwie sądów administracyjnych przyjęto, </w:t>
      </w:r>
      <w:r>
        <w:rPr>
          <w:rFonts w:ascii="Calibri" w:hAnsi="Calibri" w:cs="Calibri"/>
          <w:lang w:eastAsia="ar-SA"/>
        </w:rPr>
        <w:br/>
      </w:r>
      <w:r w:rsidRPr="00F25043">
        <w:rPr>
          <w:rFonts w:ascii="Calibri" w:hAnsi="Calibri" w:cs="Calibri"/>
          <w:lang w:eastAsia="ar-SA"/>
        </w:rPr>
        <w:t xml:space="preserve">że dieta radnego, o której mowa w wyżej przytoczonych przepisach, stanowi </w:t>
      </w:r>
      <w:r w:rsidRPr="00F25043">
        <w:rPr>
          <w:rFonts w:ascii="Calibri" w:hAnsi="Calibri" w:cs="Calibri"/>
          <w:lang w:eastAsia="ar-SA"/>
        </w:rPr>
        <w:t>jedynie rekompensatę utraconych przez radnego korzyści i nie posiada charakteru świadczenia pracowniczego. W wyroku Wojewódzkiego Sądu Administracyjnego w Opolu z dnia 7 listopada 2013 r. (sygn. akt II SA/</w:t>
      </w:r>
      <w:proofErr w:type="spellStart"/>
      <w:r w:rsidRPr="00F25043">
        <w:rPr>
          <w:rFonts w:ascii="Calibri" w:hAnsi="Calibri" w:cs="Calibri"/>
          <w:lang w:eastAsia="ar-SA"/>
        </w:rPr>
        <w:t>Op</w:t>
      </w:r>
      <w:proofErr w:type="spellEnd"/>
      <w:r w:rsidRPr="00F25043">
        <w:rPr>
          <w:rFonts w:ascii="Calibri" w:hAnsi="Calibri" w:cs="Calibri"/>
          <w:lang w:eastAsia="ar-SA"/>
        </w:rPr>
        <w:t xml:space="preserve"> 316/13, </w:t>
      </w:r>
      <w:r w:rsidRPr="00F25043">
        <w:rPr>
          <w:rFonts w:ascii="Calibri" w:hAnsi="Calibri" w:cs="Calibri"/>
          <w:i/>
          <w:lang w:eastAsia="ar-SA"/>
        </w:rPr>
        <w:t>źródło:</w:t>
      </w:r>
      <w:r w:rsidRPr="00F25043">
        <w:rPr>
          <w:rFonts w:ascii="Calibri" w:hAnsi="Calibri" w:cs="Calibri"/>
          <w:lang w:eastAsia="ar-SA"/>
        </w:rPr>
        <w:t xml:space="preserve"> orzeczenia.nsa.gov.pl) stwierdzo</w:t>
      </w:r>
      <w:r w:rsidRPr="00F25043">
        <w:rPr>
          <w:rFonts w:ascii="Calibri" w:hAnsi="Calibri" w:cs="Calibri"/>
          <w:lang w:eastAsia="ar-SA"/>
        </w:rPr>
        <w:t xml:space="preserve">no, że użyte przez ustawodawcę określenie „dieta” należy rozumieć jako zwrot kosztów związanych z pełnieniem funkcji radnego. Istota diety sprowadza się do wyrównania wydatków i strat spowodowanych pełnieniem wskazanej funkcji. Osoba pełniąca daną funkcję </w:t>
      </w:r>
      <w:r w:rsidRPr="00F25043">
        <w:rPr>
          <w:rFonts w:ascii="Calibri" w:hAnsi="Calibri" w:cs="Calibri"/>
          <w:lang w:eastAsia="ar-SA"/>
        </w:rPr>
        <w:t xml:space="preserve">zachowuje prawo do zwrotu kosztów i wydatków (strat) poniesionych w związku ze sprawowaniem funkcji, a nie jedynie </w:t>
      </w:r>
      <w:r>
        <w:rPr>
          <w:rFonts w:ascii="Calibri" w:hAnsi="Calibri" w:cs="Calibri"/>
          <w:lang w:eastAsia="ar-SA"/>
        </w:rPr>
        <w:br/>
      </w:r>
      <w:r w:rsidRPr="00F25043">
        <w:rPr>
          <w:rFonts w:ascii="Calibri" w:hAnsi="Calibri" w:cs="Calibri"/>
          <w:lang w:eastAsia="ar-SA"/>
        </w:rPr>
        <w:t>z powodu uzyskania danej funkcji. Dieta powinna być zatem ściśle powiązana z aktywnością radnych w pracach rady i zależna od rzeczywistego w</w:t>
      </w:r>
      <w:r w:rsidRPr="00F25043">
        <w:rPr>
          <w:rFonts w:ascii="Calibri" w:hAnsi="Calibri" w:cs="Calibri"/>
          <w:lang w:eastAsia="ar-SA"/>
        </w:rPr>
        <w:t xml:space="preserve">ykonywania obowiązków związanych </w:t>
      </w:r>
      <w:r>
        <w:rPr>
          <w:rFonts w:ascii="Calibri" w:hAnsi="Calibri" w:cs="Calibri"/>
          <w:lang w:eastAsia="ar-SA"/>
        </w:rPr>
        <w:br/>
      </w:r>
      <w:r w:rsidRPr="00F25043">
        <w:rPr>
          <w:rFonts w:ascii="Calibri" w:hAnsi="Calibri" w:cs="Calibri"/>
          <w:lang w:eastAsia="ar-SA"/>
        </w:rPr>
        <w:t xml:space="preserve">z pełnioną funkcją (por. również wyroki Wojewódzkiego Sądu Administracyjnego w Opolu: </w:t>
      </w:r>
      <w:r>
        <w:rPr>
          <w:rFonts w:ascii="Calibri" w:hAnsi="Calibri" w:cs="Calibri"/>
          <w:lang w:eastAsia="ar-SA"/>
        </w:rPr>
        <w:br/>
      </w:r>
      <w:r w:rsidRPr="00F25043">
        <w:rPr>
          <w:rFonts w:ascii="Calibri" w:hAnsi="Calibri" w:cs="Calibri"/>
          <w:lang w:eastAsia="ar-SA"/>
        </w:rPr>
        <w:t>z dnia 9 lipca 2015 r., sygn. II SA/</w:t>
      </w:r>
      <w:proofErr w:type="spellStart"/>
      <w:r w:rsidRPr="00F25043">
        <w:rPr>
          <w:rFonts w:ascii="Calibri" w:hAnsi="Calibri" w:cs="Calibri"/>
          <w:lang w:eastAsia="ar-SA"/>
        </w:rPr>
        <w:t>Op</w:t>
      </w:r>
      <w:proofErr w:type="spellEnd"/>
      <w:r w:rsidRPr="00F25043">
        <w:rPr>
          <w:rFonts w:ascii="Calibri" w:hAnsi="Calibri" w:cs="Calibri"/>
          <w:lang w:eastAsia="ar-SA"/>
        </w:rPr>
        <w:t xml:space="preserve"> 161/15, z dnia 21 lipca 2015 r., sygn. II SA/</w:t>
      </w:r>
      <w:proofErr w:type="spellStart"/>
      <w:r w:rsidRPr="00F25043">
        <w:rPr>
          <w:rFonts w:ascii="Calibri" w:hAnsi="Calibri" w:cs="Calibri"/>
          <w:lang w:eastAsia="ar-SA"/>
        </w:rPr>
        <w:t>Op</w:t>
      </w:r>
      <w:proofErr w:type="spellEnd"/>
      <w:r w:rsidRPr="00F25043">
        <w:rPr>
          <w:rFonts w:ascii="Calibri" w:hAnsi="Calibri" w:cs="Calibri"/>
          <w:lang w:eastAsia="ar-SA"/>
        </w:rPr>
        <w:t xml:space="preserve"> 177/15, </w:t>
      </w:r>
      <w:r>
        <w:rPr>
          <w:rFonts w:ascii="Calibri" w:hAnsi="Calibri" w:cs="Calibri"/>
          <w:lang w:eastAsia="ar-SA"/>
        </w:rPr>
        <w:br/>
      </w:r>
      <w:r w:rsidRPr="00F25043">
        <w:rPr>
          <w:rFonts w:ascii="Calibri" w:hAnsi="Calibri" w:cs="Calibri"/>
          <w:lang w:eastAsia="ar-SA"/>
        </w:rPr>
        <w:t>z dnia 4 sierpnia 2015 r., sygn. II SA/</w:t>
      </w:r>
      <w:proofErr w:type="spellStart"/>
      <w:r w:rsidRPr="00F25043">
        <w:rPr>
          <w:rFonts w:ascii="Calibri" w:hAnsi="Calibri" w:cs="Calibri"/>
          <w:lang w:eastAsia="ar-SA"/>
        </w:rPr>
        <w:t>Op</w:t>
      </w:r>
      <w:proofErr w:type="spellEnd"/>
      <w:r w:rsidRPr="00F25043">
        <w:rPr>
          <w:rFonts w:ascii="Calibri" w:hAnsi="Calibri" w:cs="Calibri"/>
          <w:lang w:eastAsia="ar-SA"/>
        </w:rPr>
        <w:t xml:space="preserve"> 252/15, </w:t>
      </w:r>
      <w:r w:rsidRPr="00F25043">
        <w:rPr>
          <w:rFonts w:ascii="Calibri" w:hAnsi="Calibri" w:cs="Calibri"/>
          <w:i/>
          <w:lang w:eastAsia="ar-SA"/>
        </w:rPr>
        <w:t>źródło:</w:t>
      </w:r>
      <w:r w:rsidRPr="00F25043">
        <w:rPr>
          <w:rFonts w:ascii="Calibri" w:hAnsi="Calibri" w:cs="Calibri"/>
          <w:lang w:eastAsia="ar-SA"/>
        </w:rPr>
        <w:t xml:space="preserve"> orzeczenia.nsa.gov.pl).</w:t>
      </w:r>
    </w:p>
    <w:p w:rsidR="00D20A24" w:rsidRPr="00F25043" w:rsidRDefault="00D674BD" w:rsidP="00D20A24">
      <w:pPr>
        <w:tabs>
          <w:tab w:val="left" w:pos="426"/>
          <w:tab w:val="left" w:pos="1276"/>
        </w:tabs>
        <w:suppressAutoHyphens/>
        <w:spacing w:line="276" w:lineRule="auto"/>
        <w:jc w:val="both"/>
        <w:rPr>
          <w:rFonts w:ascii="Calibri" w:hAnsi="Calibri" w:cs="Calibri"/>
          <w:lang w:eastAsia="ar-SA"/>
        </w:rPr>
      </w:pPr>
      <w:r w:rsidRPr="00F25043">
        <w:rPr>
          <w:rFonts w:ascii="Calibri" w:hAnsi="Calibri" w:cs="Calibri"/>
          <w:lang w:eastAsia="ar-SA"/>
        </w:rPr>
        <w:lastRenderedPageBreak/>
        <w:tab/>
        <w:t>Podkreśla się również, że dopuszczalność wprowadzenia diety o charakterze ryczałtowym nie może prowadzić do sytuacji powstania stałego miesięcznego wynagrodzenia niezależneg</w:t>
      </w:r>
      <w:r w:rsidRPr="00F25043">
        <w:rPr>
          <w:rFonts w:ascii="Calibri" w:hAnsi="Calibri" w:cs="Calibri"/>
          <w:lang w:eastAsia="ar-SA"/>
        </w:rPr>
        <w:t xml:space="preserve">o od udziału w pracach organów gminy (patrz: </w:t>
      </w:r>
      <w:r w:rsidRPr="00F25043">
        <w:rPr>
          <w:rFonts w:ascii="Calibri" w:hAnsi="Calibri" w:cs="Calibri"/>
          <w:i/>
          <w:lang w:eastAsia="ar-SA"/>
        </w:rPr>
        <w:t>Ustawa o samorządzie gminnym. Komentarz,</w:t>
      </w:r>
      <w:r w:rsidRPr="00F25043">
        <w:rPr>
          <w:rFonts w:ascii="Calibri" w:hAnsi="Calibri" w:cs="Calibri"/>
          <w:lang w:eastAsia="ar-SA"/>
        </w:rPr>
        <w:t xml:space="preserve"> pod red. B. Dolnickiego, WKP 2018). W wyroku z dnia 26 czerwca 2014 r. Naczelny Sąd Administracyjny orzekł co następuje: „w sytuacji, gdy ustalenie świadczenia następuje </w:t>
      </w:r>
      <w:r>
        <w:rPr>
          <w:rFonts w:ascii="Calibri" w:hAnsi="Calibri" w:cs="Calibri"/>
          <w:lang w:eastAsia="ar-SA"/>
        </w:rPr>
        <w:br/>
      </w:r>
      <w:r w:rsidRPr="00F25043">
        <w:rPr>
          <w:rFonts w:ascii="Calibri" w:hAnsi="Calibri" w:cs="Calibri"/>
          <w:lang w:eastAsia="ar-SA"/>
        </w:rPr>
        <w:t>w formie ryczałtu, brak przewidzianych potrąceń diety za przypadki nieobecności przewodniczącego na posiedzeniach, czy innych obowiązkowych czynnościach, sprawia, że nie mamy już do czynienia ze świadczeniem wyrównawczym (kompensacyjnym)”</w:t>
      </w:r>
      <w:r w:rsidRPr="00F25043">
        <w:rPr>
          <w:rFonts w:ascii="Calibri" w:hAnsi="Calibri" w:cs="Calibri"/>
          <w:i/>
          <w:lang w:eastAsia="ar-SA"/>
        </w:rPr>
        <w:t xml:space="preserve"> </w:t>
      </w:r>
      <w:r w:rsidRPr="00F25043">
        <w:rPr>
          <w:rFonts w:ascii="Calibri" w:hAnsi="Calibri" w:cs="Calibri"/>
          <w:lang w:eastAsia="ar-SA"/>
        </w:rPr>
        <w:t>(sygn. akt II OS</w:t>
      </w:r>
      <w:r w:rsidRPr="00F25043">
        <w:rPr>
          <w:rFonts w:ascii="Calibri" w:hAnsi="Calibri" w:cs="Calibri"/>
          <w:lang w:eastAsia="ar-SA"/>
        </w:rPr>
        <w:t xml:space="preserve">K 406/14, </w:t>
      </w:r>
      <w:r w:rsidRPr="00F25043">
        <w:rPr>
          <w:rFonts w:ascii="Calibri" w:hAnsi="Calibri" w:cs="Calibri"/>
          <w:i/>
          <w:lang w:eastAsia="ar-SA"/>
        </w:rPr>
        <w:t>źródło:</w:t>
      </w:r>
      <w:r w:rsidRPr="00F25043">
        <w:rPr>
          <w:rFonts w:ascii="Calibri" w:hAnsi="Calibri" w:cs="Calibri"/>
          <w:lang w:eastAsia="ar-SA"/>
        </w:rPr>
        <w:t xml:space="preserve"> orzeczenia.nsa.gov.pl)</w:t>
      </w:r>
      <w:r w:rsidRPr="00F25043">
        <w:rPr>
          <w:rFonts w:ascii="Calibri" w:hAnsi="Calibri" w:cs="Calibri"/>
          <w:i/>
          <w:lang w:eastAsia="ar-SA"/>
        </w:rPr>
        <w:t>.</w:t>
      </w:r>
    </w:p>
    <w:p w:rsidR="00D20A24" w:rsidRPr="00F25043" w:rsidRDefault="00D674BD" w:rsidP="00D20A24">
      <w:pPr>
        <w:tabs>
          <w:tab w:val="left" w:pos="426"/>
          <w:tab w:val="left" w:pos="1276"/>
        </w:tabs>
        <w:suppressAutoHyphens/>
        <w:spacing w:line="276" w:lineRule="auto"/>
        <w:jc w:val="both"/>
        <w:rPr>
          <w:rFonts w:ascii="Calibri" w:hAnsi="Calibri" w:cs="Calibri"/>
          <w:lang w:eastAsia="ar-SA"/>
        </w:rPr>
      </w:pPr>
      <w:r w:rsidRPr="00F25043">
        <w:rPr>
          <w:rFonts w:ascii="Calibri" w:hAnsi="Calibri" w:cs="Calibri"/>
          <w:lang w:eastAsia="ar-SA"/>
        </w:rPr>
        <w:tab/>
      </w:r>
    </w:p>
    <w:p w:rsidR="00D20A24" w:rsidRPr="00F25043" w:rsidRDefault="00D674BD" w:rsidP="00D20A24">
      <w:pPr>
        <w:tabs>
          <w:tab w:val="left" w:pos="426"/>
          <w:tab w:val="left" w:pos="1276"/>
        </w:tabs>
        <w:suppressAutoHyphens/>
        <w:spacing w:line="276" w:lineRule="auto"/>
        <w:jc w:val="both"/>
        <w:rPr>
          <w:rFonts w:ascii="Calibri" w:hAnsi="Calibri" w:cs="Calibri"/>
          <w:lang w:eastAsia="ar-SA"/>
        </w:rPr>
      </w:pPr>
      <w:r w:rsidRPr="00F25043">
        <w:rPr>
          <w:rFonts w:ascii="Calibri" w:hAnsi="Calibri" w:cs="Calibri"/>
          <w:lang w:eastAsia="ar-SA"/>
        </w:rPr>
        <w:tab/>
        <w:t xml:space="preserve">Wprawdzie  w § 4 ust. 1 i 3 uchwały,  Rada Gminy Kotuń wskazała przypadki potrąceń w stosunku do ustalonej w § 2 miesięcznej wysokości diety, nie zmienia to jednak faktu, </w:t>
      </w:r>
      <w:r>
        <w:rPr>
          <w:rFonts w:ascii="Calibri" w:hAnsi="Calibri" w:cs="Calibri"/>
          <w:lang w:eastAsia="ar-SA"/>
        </w:rPr>
        <w:br/>
      </w:r>
      <w:r w:rsidRPr="00F25043">
        <w:rPr>
          <w:rFonts w:ascii="Calibri" w:hAnsi="Calibri" w:cs="Calibri"/>
          <w:lang w:eastAsia="ar-SA"/>
        </w:rPr>
        <w:t>że wypłata nadal będzie miała formę ryc</w:t>
      </w:r>
      <w:r w:rsidRPr="00F25043">
        <w:rPr>
          <w:rFonts w:ascii="Calibri" w:hAnsi="Calibri" w:cs="Calibri"/>
          <w:lang w:eastAsia="ar-SA"/>
        </w:rPr>
        <w:t xml:space="preserve">załtu miesięcznego, niezależnie od faktycznej obecności radnych na sesji bądź na posiedzeniu komisji. Świadczy o tym obniżanie kwotowe wysokości diety za każdą </w:t>
      </w:r>
      <w:r w:rsidRPr="00F25043">
        <w:rPr>
          <w:rFonts w:ascii="Calibri" w:hAnsi="Calibri" w:cs="Calibri"/>
          <w:b/>
          <w:lang w:eastAsia="ar-SA"/>
        </w:rPr>
        <w:t xml:space="preserve">nieusprawiedliwioną nieobecność ( 100 zł) </w:t>
      </w:r>
      <w:r w:rsidRPr="00F25043">
        <w:rPr>
          <w:rFonts w:ascii="Calibri" w:hAnsi="Calibri" w:cs="Calibri"/>
          <w:lang w:eastAsia="ar-SA"/>
        </w:rPr>
        <w:t>na posiedzeniu rady lub komisji</w:t>
      </w:r>
      <w:r w:rsidRPr="00F25043">
        <w:rPr>
          <w:rFonts w:ascii="Calibri" w:hAnsi="Calibri" w:cs="Calibri"/>
          <w:i/>
          <w:lang w:eastAsia="ar-SA"/>
        </w:rPr>
        <w:t>.</w:t>
      </w:r>
      <w:r w:rsidRPr="00F25043">
        <w:rPr>
          <w:rFonts w:ascii="Calibri" w:hAnsi="Calibri" w:cs="Calibri"/>
        </w:rPr>
        <w:t xml:space="preserve"> </w:t>
      </w:r>
      <w:r w:rsidRPr="00F25043">
        <w:rPr>
          <w:rFonts w:ascii="Calibri" w:hAnsi="Calibri" w:cs="Calibri"/>
          <w:lang w:eastAsia="ar-SA"/>
        </w:rPr>
        <w:t>Oznacza to bowiem, że</w:t>
      </w:r>
      <w:r w:rsidRPr="00F25043">
        <w:rPr>
          <w:rFonts w:ascii="Calibri" w:hAnsi="Calibri" w:cs="Calibri"/>
          <w:lang w:eastAsia="ar-SA"/>
        </w:rPr>
        <w:t xml:space="preserve"> w przypadku, gdyby sesje i posiedzenia komisji się odbywały, to i tak jakaś część diety</w:t>
      </w:r>
      <w:r>
        <w:rPr>
          <w:rFonts w:ascii="Calibri" w:hAnsi="Calibri" w:cs="Calibri"/>
          <w:lang w:eastAsia="ar-SA"/>
        </w:rPr>
        <w:t xml:space="preserve"> </w:t>
      </w:r>
      <w:r w:rsidRPr="00F25043">
        <w:rPr>
          <w:rFonts w:ascii="Calibri" w:hAnsi="Calibri" w:cs="Calibri"/>
          <w:lang w:eastAsia="ar-SA"/>
        </w:rPr>
        <w:t>po potrąceniach, mimo nie wykonywania czynności przez radnych, będzie wypłacana. Zapisy te powodują, że dieta traci charakter rekompensaty, a zbliża się do formy wynag</w:t>
      </w:r>
      <w:r w:rsidRPr="00F25043">
        <w:rPr>
          <w:rFonts w:ascii="Calibri" w:hAnsi="Calibri" w:cs="Calibri"/>
          <w:lang w:eastAsia="ar-SA"/>
        </w:rPr>
        <w:t>rodzenia za pracę,</w:t>
      </w:r>
      <w:r w:rsidRPr="00F25043">
        <w:rPr>
          <w:rFonts w:ascii="Calibri" w:hAnsi="Calibri" w:cs="Calibri"/>
        </w:rPr>
        <w:t xml:space="preserve"> </w:t>
      </w:r>
      <w:r w:rsidRPr="00F25043">
        <w:rPr>
          <w:rFonts w:ascii="Calibri" w:hAnsi="Calibri" w:cs="Calibri"/>
          <w:lang w:eastAsia="ar-SA"/>
        </w:rPr>
        <w:t>co w świetle opisanej powyżej argumentacji prawnej stanowi istotne naruszenie art. 25 ust. 4 ustawy o samorządzie gminnym</w:t>
      </w:r>
    </w:p>
    <w:p w:rsidR="00D20A24" w:rsidRPr="00F25043" w:rsidRDefault="00D674BD" w:rsidP="00D20A24">
      <w:pPr>
        <w:suppressAutoHyphens/>
        <w:spacing w:line="276" w:lineRule="auto"/>
        <w:ind w:firstLine="709"/>
        <w:jc w:val="both"/>
        <w:rPr>
          <w:rFonts w:ascii="Calibri" w:hAnsi="Calibri" w:cs="Calibri"/>
          <w:lang w:eastAsia="ar-SA"/>
        </w:rPr>
      </w:pPr>
    </w:p>
    <w:p w:rsidR="00D20A24" w:rsidRPr="00F25043" w:rsidRDefault="00D674BD" w:rsidP="00D20A24">
      <w:pPr>
        <w:suppressAutoHyphens/>
        <w:spacing w:line="276" w:lineRule="auto"/>
        <w:ind w:firstLine="709"/>
        <w:jc w:val="both"/>
        <w:rPr>
          <w:rFonts w:ascii="Calibri" w:hAnsi="Calibri" w:cs="Calibri"/>
          <w:lang w:eastAsia="ar-SA"/>
        </w:rPr>
      </w:pPr>
      <w:r w:rsidRPr="00F25043">
        <w:rPr>
          <w:rFonts w:ascii="Calibri" w:hAnsi="Calibri" w:cs="Calibri"/>
          <w:lang w:eastAsia="ar-SA"/>
        </w:rPr>
        <w:t>Dodać też należy, że sformułowania zawarte w § 4 ust. 1 i 3 uchwały, wprowadzające obniżenia kwoty bazowej z tytuł</w:t>
      </w:r>
      <w:r w:rsidRPr="00F25043">
        <w:rPr>
          <w:rFonts w:ascii="Calibri" w:hAnsi="Calibri" w:cs="Calibri"/>
          <w:lang w:eastAsia="ar-SA"/>
        </w:rPr>
        <w:t xml:space="preserve">u każdej </w:t>
      </w:r>
      <w:r w:rsidRPr="00F25043">
        <w:rPr>
          <w:rFonts w:ascii="Calibri" w:hAnsi="Calibri" w:cs="Calibri"/>
          <w:b/>
          <w:lang w:eastAsia="ar-SA"/>
        </w:rPr>
        <w:t xml:space="preserve">nieobecności </w:t>
      </w:r>
      <w:r w:rsidRPr="00F25043">
        <w:rPr>
          <w:rFonts w:ascii="Calibri" w:hAnsi="Calibri" w:cs="Calibri"/>
          <w:lang w:eastAsia="ar-SA"/>
        </w:rPr>
        <w:t xml:space="preserve">radnego na sesji i komisji spowodują, </w:t>
      </w:r>
      <w:r>
        <w:rPr>
          <w:rFonts w:ascii="Calibri" w:hAnsi="Calibri" w:cs="Calibri"/>
          <w:lang w:eastAsia="ar-SA"/>
        </w:rPr>
        <w:br/>
      </w:r>
      <w:r w:rsidRPr="00F25043">
        <w:rPr>
          <w:rFonts w:ascii="Calibri" w:hAnsi="Calibri" w:cs="Calibri"/>
          <w:lang w:eastAsia="ar-SA"/>
        </w:rPr>
        <w:t xml:space="preserve">że w przypadku braku w danym miesiącu posiedzenia komisji lub sesji rady, dieta będzie wypłacona w wysokości ustalonej przez radę w § 2 uchwały. </w:t>
      </w:r>
    </w:p>
    <w:p w:rsidR="00D20A24" w:rsidRPr="00F25043" w:rsidRDefault="00D674BD" w:rsidP="00D20A24">
      <w:pPr>
        <w:suppressAutoHyphens/>
        <w:spacing w:line="276" w:lineRule="auto"/>
        <w:ind w:firstLine="709"/>
        <w:jc w:val="both"/>
        <w:rPr>
          <w:rFonts w:ascii="Calibri" w:hAnsi="Calibri" w:cs="Calibri"/>
          <w:lang w:eastAsia="ar-SA"/>
        </w:rPr>
      </w:pPr>
    </w:p>
    <w:p w:rsidR="00D20A24" w:rsidRPr="00F25043" w:rsidRDefault="00D674BD" w:rsidP="00D20A24">
      <w:pPr>
        <w:suppressAutoHyphens/>
        <w:spacing w:line="276" w:lineRule="auto"/>
        <w:ind w:firstLine="709"/>
        <w:jc w:val="both"/>
        <w:rPr>
          <w:rFonts w:ascii="Calibri" w:hAnsi="Calibri" w:cs="Calibri"/>
          <w:lang w:eastAsia="ar-SA"/>
        </w:rPr>
      </w:pPr>
      <w:r w:rsidRPr="00F25043">
        <w:rPr>
          <w:rFonts w:ascii="Calibri" w:hAnsi="Calibri" w:cs="Calibri"/>
          <w:lang w:eastAsia="ar-SA"/>
        </w:rPr>
        <w:t>Warto wskazać również, iż nie ma znaczenia czy n</w:t>
      </w:r>
      <w:r w:rsidRPr="00F25043">
        <w:rPr>
          <w:rFonts w:ascii="Calibri" w:hAnsi="Calibri" w:cs="Calibri"/>
          <w:lang w:eastAsia="ar-SA"/>
        </w:rPr>
        <w:t>ieobecność radnego na sesji jest usprawiedliwiona czy nie. Jako, że dieta ma charakter rekompensaty, to w przypadku nieobecności radnego na sesji lub posiedzeniu komisji, dieta mu nie przysługuje niezależnie od tego czy ta nieobecność jest usprawiedliwiona</w:t>
      </w:r>
      <w:r w:rsidRPr="00F25043">
        <w:rPr>
          <w:rFonts w:ascii="Calibri" w:hAnsi="Calibri" w:cs="Calibri"/>
          <w:lang w:eastAsia="ar-SA"/>
        </w:rPr>
        <w:t xml:space="preserve"> czy nie. Wyjątek tu może stanowić jedynie jeżeli nieobecność radnego spowodowana jest koniecznością wykonywania innych obowiązków związanych z funkcją radnego. W związku z tym zapisy w uchwale dotyczące nieusprawiedliwionej nieobecności jak również uniemo</w:t>
      </w:r>
      <w:r w:rsidRPr="00F25043">
        <w:rPr>
          <w:rFonts w:ascii="Calibri" w:hAnsi="Calibri" w:cs="Calibri"/>
          <w:lang w:eastAsia="ar-SA"/>
        </w:rPr>
        <w:t xml:space="preserve">żliwiające obniżenie radnemu diety </w:t>
      </w:r>
      <w:r>
        <w:rPr>
          <w:rFonts w:ascii="Calibri" w:hAnsi="Calibri" w:cs="Calibri"/>
          <w:lang w:eastAsia="ar-SA"/>
        </w:rPr>
        <w:br/>
      </w:r>
      <w:r w:rsidRPr="00F25043">
        <w:rPr>
          <w:rFonts w:ascii="Calibri" w:hAnsi="Calibri" w:cs="Calibri"/>
          <w:lang w:eastAsia="ar-SA"/>
        </w:rPr>
        <w:t xml:space="preserve">w przypadku gdy usprawiedliwi swoją nieobecność ( § 4 ust. 2 ) istotnie naruszają art. 25 ustawy o samorządzie gminnym.  </w:t>
      </w:r>
    </w:p>
    <w:p w:rsidR="00D20A24" w:rsidRPr="00F25043" w:rsidRDefault="00D674BD" w:rsidP="00D20A24">
      <w:pPr>
        <w:suppressAutoHyphens/>
        <w:spacing w:line="276" w:lineRule="auto"/>
        <w:ind w:firstLine="709"/>
        <w:jc w:val="both"/>
        <w:rPr>
          <w:rFonts w:ascii="Calibri" w:hAnsi="Calibri" w:cs="Calibri"/>
          <w:lang w:eastAsia="ar-SA"/>
        </w:rPr>
      </w:pPr>
    </w:p>
    <w:p w:rsidR="00D20A24" w:rsidRPr="00F25043" w:rsidRDefault="00D674BD" w:rsidP="00D20A24">
      <w:pPr>
        <w:suppressAutoHyphens/>
        <w:spacing w:line="276" w:lineRule="auto"/>
        <w:ind w:firstLine="709"/>
        <w:jc w:val="both"/>
        <w:rPr>
          <w:rFonts w:ascii="Calibri" w:hAnsi="Calibri" w:cs="Calibri"/>
          <w:lang w:eastAsia="ar-SA"/>
        </w:rPr>
      </w:pPr>
      <w:r w:rsidRPr="00F25043">
        <w:rPr>
          <w:rFonts w:ascii="Calibri" w:hAnsi="Calibri" w:cs="Calibri"/>
          <w:lang w:eastAsia="ar-SA"/>
        </w:rPr>
        <w:t>W ocenie organu nadzoru w uchwale podjętej na podstawie delegacji zawartej w art. 25 ust.4 ustawy</w:t>
      </w:r>
      <w:r w:rsidRPr="00F25043">
        <w:rPr>
          <w:rFonts w:ascii="Calibri" w:hAnsi="Calibri" w:cs="Calibri"/>
          <w:lang w:eastAsia="ar-SA"/>
        </w:rPr>
        <w:t xml:space="preserve"> o samorządzie gminnym dieta winna zostać określona jako konkretna kwota za udział</w:t>
      </w:r>
      <w:r>
        <w:rPr>
          <w:rFonts w:ascii="Calibri" w:hAnsi="Calibri" w:cs="Calibri"/>
          <w:lang w:eastAsia="ar-SA"/>
        </w:rPr>
        <w:t xml:space="preserve"> </w:t>
      </w:r>
      <w:r w:rsidRPr="00F25043">
        <w:rPr>
          <w:rFonts w:ascii="Calibri" w:hAnsi="Calibri" w:cs="Calibri"/>
          <w:lang w:eastAsia="ar-SA"/>
        </w:rPr>
        <w:t>w każdym odbytym posiedzeniu rady czy też komisji, przy czym dieta nie może przekroczyć limitu określonego w ustawie i rozporządzeniu, o którym mowa w art. 25 ust.6 ustawy o</w:t>
      </w:r>
      <w:r w:rsidRPr="00F25043">
        <w:rPr>
          <w:rFonts w:ascii="Calibri" w:hAnsi="Calibri" w:cs="Calibri"/>
          <w:lang w:eastAsia="ar-SA"/>
        </w:rPr>
        <w:t xml:space="preserve"> samorządzie gminnym, ewentualnie w ustalonej kwocie, która ulegałaby </w:t>
      </w:r>
      <w:r w:rsidRPr="00F25043">
        <w:rPr>
          <w:rFonts w:ascii="Calibri" w:hAnsi="Calibri" w:cs="Calibri"/>
          <w:lang w:eastAsia="ar-SA"/>
        </w:rPr>
        <w:lastRenderedPageBreak/>
        <w:t>proporcjonalnemu obniżeniu</w:t>
      </w:r>
      <w:r>
        <w:rPr>
          <w:rFonts w:ascii="Calibri" w:hAnsi="Calibri" w:cs="Calibri"/>
          <w:lang w:eastAsia="ar-SA"/>
        </w:rPr>
        <w:t xml:space="preserve"> </w:t>
      </w:r>
      <w:r w:rsidRPr="00F25043">
        <w:rPr>
          <w:rFonts w:ascii="Calibri" w:hAnsi="Calibri" w:cs="Calibri"/>
          <w:lang w:eastAsia="ar-SA"/>
        </w:rPr>
        <w:t>z uwzględnieniem wszystkich dni w miesiącu kalendarzowym za każdy dzień niewykonywania funkcji określonej w uchwale (tj. brak aktywności radnego czy też brak d</w:t>
      </w:r>
      <w:r w:rsidRPr="00F25043">
        <w:rPr>
          <w:rFonts w:ascii="Calibri" w:hAnsi="Calibri" w:cs="Calibri"/>
          <w:lang w:eastAsia="ar-SA"/>
        </w:rPr>
        <w:t>ziałania rady czy komisji jako takiej).</w:t>
      </w:r>
    </w:p>
    <w:p w:rsidR="00D20A24" w:rsidRPr="00F25043" w:rsidRDefault="00D674BD" w:rsidP="00D20A24">
      <w:pPr>
        <w:suppressAutoHyphens/>
        <w:spacing w:line="276" w:lineRule="auto"/>
        <w:jc w:val="both"/>
        <w:rPr>
          <w:rFonts w:ascii="Calibri" w:hAnsi="Calibri" w:cs="Calibri"/>
          <w:lang w:eastAsia="ar-SA"/>
        </w:rPr>
      </w:pPr>
    </w:p>
    <w:p w:rsidR="00D20A24" w:rsidRPr="00F25043" w:rsidRDefault="00D674BD" w:rsidP="00D20A24">
      <w:pPr>
        <w:suppressAutoHyphens/>
        <w:spacing w:line="276" w:lineRule="auto"/>
        <w:ind w:firstLine="709"/>
        <w:jc w:val="both"/>
        <w:rPr>
          <w:rFonts w:ascii="Calibri" w:hAnsi="Calibri" w:cs="Calibri"/>
          <w:lang w:eastAsia="ar-SA"/>
        </w:rPr>
      </w:pPr>
      <w:r w:rsidRPr="00F25043">
        <w:rPr>
          <w:rFonts w:ascii="Calibri" w:hAnsi="Calibri" w:cs="Calibri"/>
          <w:lang w:eastAsia="ar-SA"/>
        </w:rPr>
        <w:t>Stanowisko organu nadzoru znajduje oparcie w wyrokach sądów administracyjnych zapadłych w następstwie rozpoznania skarg Wojewody Mazowieckiego na uchwały w sprawie zasad ustalania diet dla radnych (zob. wyroki WSA w</w:t>
      </w:r>
      <w:r w:rsidRPr="00F25043">
        <w:rPr>
          <w:rFonts w:ascii="Calibri" w:hAnsi="Calibri" w:cs="Calibri"/>
          <w:lang w:eastAsia="ar-SA"/>
        </w:rPr>
        <w:t xml:space="preserve"> Warszawie z dnia 23 października 2019</w:t>
      </w:r>
      <w:r>
        <w:rPr>
          <w:rFonts w:ascii="Calibri" w:hAnsi="Calibri" w:cs="Calibri"/>
          <w:lang w:eastAsia="ar-SA"/>
        </w:rPr>
        <w:t> </w:t>
      </w:r>
      <w:r w:rsidRPr="00F25043">
        <w:rPr>
          <w:rFonts w:ascii="Calibri" w:hAnsi="Calibri" w:cs="Calibri"/>
          <w:lang w:eastAsia="ar-SA"/>
        </w:rPr>
        <w:t>r. sygn. akt II SA/</w:t>
      </w:r>
      <w:proofErr w:type="spellStart"/>
      <w:r w:rsidRPr="00F25043">
        <w:rPr>
          <w:rFonts w:ascii="Calibri" w:hAnsi="Calibri" w:cs="Calibri"/>
          <w:lang w:eastAsia="ar-SA"/>
        </w:rPr>
        <w:t>Wa</w:t>
      </w:r>
      <w:proofErr w:type="spellEnd"/>
      <w:r w:rsidRPr="00F25043">
        <w:rPr>
          <w:rFonts w:ascii="Calibri" w:hAnsi="Calibri" w:cs="Calibri"/>
          <w:lang w:eastAsia="ar-SA"/>
        </w:rPr>
        <w:t xml:space="preserve"> 978/19, z dnia 24 października 2019 r. sygn. akt II SA/</w:t>
      </w:r>
      <w:proofErr w:type="spellStart"/>
      <w:r w:rsidRPr="00F25043">
        <w:rPr>
          <w:rFonts w:ascii="Calibri" w:hAnsi="Calibri" w:cs="Calibri"/>
          <w:lang w:eastAsia="ar-SA"/>
        </w:rPr>
        <w:t>Wa</w:t>
      </w:r>
      <w:proofErr w:type="spellEnd"/>
      <w:r w:rsidRPr="00F25043">
        <w:rPr>
          <w:rFonts w:ascii="Calibri" w:hAnsi="Calibri" w:cs="Calibri"/>
          <w:lang w:eastAsia="ar-SA"/>
        </w:rPr>
        <w:t xml:space="preserve"> 921/19 i z dnia 29 listopada 2019 r. sygn. akt II SA/</w:t>
      </w:r>
      <w:proofErr w:type="spellStart"/>
      <w:r w:rsidRPr="00F25043">
        <w:rPr>
          <w:rFonts w:ascii="Calibri" w:hAnsi="Calibri" w:cs="Calibri"/>
          <w:lang w:eastAsia="ar-SA"/>
        </w:rPr>
        <w:t>Wa</w:t>
      </w:r>
      <w:proofErr w:type="spellEnd"/>
      <w:r w:rsidRPr="00F25043">
        <w:rPr>
          <w:rFonts w:ascii="Calibri" w:hAnsi="Calibri" w:cs="Calibri"/>
          <w:lang w:eastAsia="ar-SA"/>
        </w:rPr>
        <w:t xml:space="preserve"> 1259/19, z dnia 21 lipca 2020r, sygn. akt II SA/</w:t>
      </w:r>
      <w:proofErr w:type="spellStart"/>
      <w:r w:rsidRPr="00F25043">
        <w:rPr>
          <w:rFonts w:ascii="Calibri" w:hAnsi="Calibri" w:cs="Calibri"/>
          <w:lang w:eastAsia="ar-SA"/>
        </w:rPr>
        <w:t>Wa</w:t>
      </w:r>
      <w:proofErr w:type="spellEnd"/>
      <w:r w:rsidRPr="00F25043">
        <w:rPr>
          <w:rFonts w:ascii="Calibri" w:hAnsi="Calibri" w:cs="Calibri"/>
          <w:lang w:eastAsia="ar-SA"/>
        </w:rPr>
        <w:t xml:space="preserve"> 915/20, z dnia 25 września 202</w:t>
      </w:r>
      <w:r w:rsidRPr="00F25043">
        <w:rPr>
          <w:rFonts w:ascii="Calibri" w:hAnsi="Calibri" w:cs="Calibri"/>
          <w:lang w:eastAsia="ar-SA"/>
        </w:rPr>
        <w:t>0 r. sygn. akt II SA/</w:t>
      </w:r>
      <w:proofErr w:type="spellStart"/>
      <w:r w:rsidRPr="00F25043">
        <w:rPr>
          <w:rFonts w:ascii="Calibri" w:hAnsi="Calibri" w:cs="Calibri"/>
          <w:lang w:eastAsia="ar-SA"/>
        </w:rPr>
        <w:t>Wa</w:t>
      </w:r>
      <w:proofErr w:type="spellEnd"/>
      <w:r w:rsidRPr="00F25043">
        <w:rPr>
          <w:rFonts w:ascii="Calibri" w:hAnsi="Calibri" w:cs="Calibri"/>
          <w:lang w:eastAsia="ar-SA"/>
        </w:rPr>
        <w:t xml:space="preserve"> 1396/20 oraz NSA, sygn. akt: III OSK 3602/21  ). </w:t>
      </w:r>
    </w:p>
    <w:p w:rsidR="00D20A24" w:rsidRPr="00F25043" w:rsidRDefault="00D674BD" w:rsidP="00D20A24">
      <w:pPr>
        <w:tabs>
          <w:tab w:val="left" w:pos="426"/>
          <w:tab w:val="left" w:pos="1276"/>
        </w:tabs>
        <w:suppressAutoHyphens/>
        <w:spacing w:line="276" w:lineRule="auto"/>
        <w:ind w:firstLine="426"/>
        <w:jc w:val="both"/>
        <w:rPr>
          <w:rFonts w:ascii="Calibri" w:hAnsi="Calibri" w:cs="Calibri"/>
          <w:lang w:eastAsia="ar-SA"/>
        </w:rPr>
      </w:pPr>
      <w:r w:rsidRPr="00F25043">
        <w:rPr>
          <w:rFonts w:ascii="Calibri" w:hAnsi="Calibri" w:cs="Calibri"/>
          <w:lang w:eastAsia="ar-SA"/>
        </w:rPr>
        <w:t xml:space="preserve">    Biorąc pod uwagę opisane powyżej okoliczności faktyczne i prawne Wojewoda Mazowiecki stwierdza, że przedmiotowa uchwała Rady Gminy Kotuń</w:t>
      </w:r>
      <w:r w:rsidRPr="00F25043">
        <w:rPr>
          <w:rFonts w:ascii="Calibri" w:eastAsia="Lucida Sans Unicode" w:hAnsi="Calibri" w:cs="Calibri"/>
          <w:lang w:eastAsia="ar-SA"/>
        </w:rPr>
        <w:t xml:space="preserve"> istotnie narusza prawo </w:t>
      </w:r>
      <w:r>
        <w:rPr>
          <w:rFonts w:ascii="Calibri" w:eastAsia="Lucida Sans Unicode" w:hAnsi="Calibri" w:cs="Calibri"/>
          <w:lang w:eastAsia="ar-SA"/>
        </w:rPr>
        <w:br/>
      </w:r>
      <w:r w:rsidRPr="00F25043">
        <w:rPr>
          <w:rFonts w:ascii="Calibri" w:eastAsia="Lucida Sans Unicode" w:hAnsi="Calibri" w:cs="Calibri"/>
          <w:lang w:eastAsia="ar-SA"/>
        </w:rPr>
        <w:t>i jako sprzeczna</w:t>
      </w:r>
      <w:r>
        <w:rPr>
          <w:rFonts w:ascii="Calibri" w:eastAsia="Lucida Sans Unicode" w:hAnsi="Calibri" w:cs="Calibri"/>
          <w:lang w:eastAsia="ar-SA"/>
        </w:rPr>
        <w:t xml:space="preserve"> z prawem jest nieważna.</w:t>
      </w:r>
      <w:r w:rsidRPr="00F25043">
        <w:rPr>
          <w:rFonts w:ascii="Calibri" w:eastAsia="Lucida Sans Unicode" w:hAnsi="Calibri" w:cs="Calibri"/>
          <w:lang w:eastAsia="ar-SA"/>
        </w:rPr>
        <w:t xml:space="preserve"> </w:t>
      </w:r>
    </w:p>
    <w:p w:rsidR="00D20A24" w:rsidRPr="00F25043" w:rsidRDefault="00D674BD" w:rsidP="00D20A24">
      <w:pPr>
        <w:pStyle w:val="NormalnyWeb"/>
        <w:spacing w:line="276" w:lineRule="auto"/>
        <w:ind w:firstLine="709"/>
        <w:jc w:val="both"/>
        <w:rPr>
          <w:rFonts w:ascii="Calibri" w:hAnsi="Calibri" w:cs="Calibri"/>
          <w:b/>
          <w:bCs/>
        </w:rPr>
      </w:pPr>
      <w:r w:rsidRPr="00F25043">
        <w:rPr>
          <w:rFonts w:ascii="Calibri" w:hAnsi="Calibri" w:cs="Calibri"/>
          <w:b/>
          <w:bCs/>
        </w:rPr>
        <w:t xml:space="preserve">Jako, że eliminacja jedynie ww. zapisów z przedmiotowej uchwały, jeszcze bardziej zbliżałaby ustalone na jej podstawie diety do stałego wynagrodzenia miesięcznego, </w:t>
      </w:r>
      <w:r>
        <w:rPr>
          <w:rFonts w:ascii="Calibri" w:hAnsi="Calibri" w:cs="Calibri"/>
          <w:b/>
          <w:bCs/>
        </w:rPr>
        <w:br/>
      </w:r>
      <w:r w:rsidRPr="00F25043">
        <w:rPr>
          <w:rFonts w:ascii="Calibri" w:hAnsi="Calibri" w:cs="Calibri"/>
          <w:b/>
          <w:bCs/>
        </w:rPr>
        <w:t>a nie rekompensaty, gdyż pozbawiłaby Radę możliwości dokonywania,</w:t>
      </w:r>
      <w:r w:rsidRPr="00F25043">
        <w:rPr>
          <w:rFonts w:ascii="Calibri" w:hAnsi="Calibri" w:cs="Calibri"/>
          <w:b/>
          <w:bCs/>
        </w:rPr>
        <w:t xml:space="preserve"> w ogóle jakichkolwiek potrąceń od przyznanej miesięcznej diety, to konieczne jest stwierdzenie nieważności całej uchwały.  </w:t>
      </w:r>
    </w:p>
    <w:p w:rsidR="00D20A24" w:rsidRPr="00F25043" w:rsidRDefault="00D674BD" w:rsidP="00D20A24">
      <w:pPr>
        <w:suppressAutoHyphens/>
        <w:spacing w:line="276" w:lineRule="auto"/>
        <w:ind w:firstLine="709"/>
        <w:jc w:val="both"/>
        <w:rPr>
          <w:rFonts w:ascii="Calibri" w:hAnsi="Calibri" w:cs="Calibri"/>
          <w:lang w:eastAsia="ar-SA"/>
        </w:rPr>
      </w:pPr>
    </w:p>
    <w:p w:rsidR="00D20A24" w:rsidRPr="00F25043" w:rsidRDefault="00D674BD" w:rsidP="00D20A24">
      <w:pPr>
        <w:suppressAutoHyphens/>
        <w:spacing w:line="276" w:lineRule="auto"/>
        <w:ind w:firstLine="709"/>
        <w:jc w:val="both"/>
        <w:rPr>
          <w:rFonts w:ascii="Calibri" w:hAnsi="Calibri" w:cs="Calibri"/>
          <w:lang w:eastAsia="ar-SA"/>
        </w:rPr>
      </w:pPr>
      <w:r w:rsidRPr="00F25043">
        <w:rPr>
          <w:rFonts w:ascii="Calibri" w:hAnsi="Calibri" w:cs="Calibri"/>
          <w:lang w:eastAsia="ar-SA"/>
        </w:rPr>
        <w:t xml:space="preserve">Na niniejsze rozstrzygnięcie nadzorcze Gminie  przysługuje skarga do Wojewódzkiego Sądu Administracyjnego w Warszawie, w terminie </w:t>
      </w:r>
      <w:r w:rsidRPr="00F25043">
        <w:rPr>
          <w:rFonts w:ascii="Calibri" w:hAnsi="Calibri" w:cs="Calibri"/>
          <w:lang w:eastAsia="ar-SA"/>
        </w:rPr>
        <w:t>30 dni od dnia doręczenia, którą należy wnieść za pośrednictwem Wojewody Mazowieckiego.</w:t>
      </w:r>
    </w:p>
    <w:p w:rsidR="00D20A24" w:rsidRPr="00F25043" w:rsidRDefault="00D674BD" w:rsidP="00D20A24">
      <w:pPr>
        <w:spacing w:line="276" w:lineRule="auto"/>
        <w:ind w:firstLine="709"/>
        <w:jc w:val="both"/>
        <w:rPr>
          <w:rFonts w:ascii="Calibri" w:hAnsi="Calibri" w:cs="Calibri"/>
        </w:rPr>
      </w:pPr>
    </w:p>
    <w:p w:rsidR="00D20A24" w:rsidRDefault="00D674BD" w:rsidP="00D20A24">
      <w:pPr>
        <w:spacing w:line="276" w:lineRule="auto"/>
        <w:ind w:firstLine="709"/>
        <w:jc w:val="both"/>
        <w:rPr>
          <w:rFonts w:ascii="Calibri" w:hAnsi="Calibri" w:cs="Calibri"/>
        </w:rPr>
      </w:pPr>
      <w:r w:rsidRPr="00F25043">
        <w:rPr>
          <w:rFonts w:ascii="Calibri" w:hAnsi="Calibri" w:cs="Calibri"/>
        </w:rPr>
        <w:t xml:space="preserve">Informuję, że rozstrzygnięcie nadzorcze, z dniem jego doręczenia, wstrzymuje wykonanie uchwały w </w:t>
      </w:r>
      <w:r w:rsidRPr="00F25043">
        <w:rPr>
          <w:rFonts w:ascii="Calibri" w:hAnsi="Calibri" w:cs="Calibri"/>
          <w:lang w:eastAsia="ar-SA"/>
        </w:rPr>
        <w:t>zakresie objętym stwierdzeniem nieważności</w:t>
      </w:r>
      <w:r w:rsidRPr="00F25043">
        <w:rPr>
          <w:rFonts w:ascii="Calibri" w:hAnsi="Calibri" w:cs="Calibri"/>
        </w:rPr>
        <w:t>, z mocy prawa.</w:t>
      </w:r>
    </w:p>
    <w:p w:rsidR="00661145" w:rsidRDefault="00D674BD" w:rsidP="00D20A24">
      <w:pPr>
        <w:spacing w:line="276" w:lineRule="auto"/>
        <w:ind w:firstLine="709"/>
        <w:jc w:val="both"/>
        <w:rPr>
          <w:rFonts w:ascii="Calibri" w:hAnsi="Calibri" w:cs="Calibri"/>
        </w:rPr>
      </w:pPr>
    </w:p>
    <w:p w:rsidR="00661145" w:rsidRDefault="00D674BD" w:rsidP="00D20A24">
      <w:pPr>
        <w:spacing w:line="276" w:lineRule="auto"/>
        <w:ind w:firstLine="709"/>
        <w:jc w:val="both"/>
        <w:rPr>
          <w:rFonts w:ascii="Calibri" w:hAnsi="Calibri" w:cs="Calibri"/>
        </w:rPr>
      </w:pPr>
    </w:p>
    <w:p w:rsidR="00661145" w:rsidRPr="00F25043" w:rsidRDefault="00D674BD" w:rsidP="00D20A24">
      <w:pPr>
        <w:spacing w:line="276" w:lineRule="auto"/>
        <w:ind w:firstLine="709"/>
        <w:jc w:val="both"/>
        <w:rPr>
          <w:rFonts w:ascii="Calibri" w:hAnsi="Calibri" w:cs="Calibri"/>
        </w:rPr>
      </w:pPr>
    </w:p>
    <w:p w:rsidR="004330A8" w:rsidRPr="00787FA2" w:rsidRDefault="00D674BD" w:rsidP="004330A8">
      <w:pPr>
        <w:spacing w:before="120" w:line="276" w:lineRule="auto"/>
        <w:ind w:left="3402"/>
        <w:jc w:val="center"/>
        <w:rPr>
          <w:rFonts w:ascii="Calibri" w:hAnsi="Calibri" w:cs="Calibri"/>
          <w:i/>
          <w:iCs/>
        </w:rPr>
      </w:pPr>
      <w:bookmarkStart w:id="3" w:name="ezdPracownikNazwa"/>
      <w:r w:rsidRPr="00787FA2">
        <w:rPr>
          <w:rFonts w:ascii="Calibri" w:hAnsi="Calibri" w:cs="Calibri"/>
          <w:i/>
          <w:iCs/>
        </w:rPr>
        <w:t>Konstanty</w:t>
      </w:r>
      <w:r w:rsidRPr="00787FA2">
        <w:rPr>
          <w:rFonts w:ascii="Calibri" w:hAnsi="Calibri" w:cs="Calibri"/>
          <w:i/>
          <w:iCs/>
        </w:rPr>
        <w:t xml:space="preserve"> Radziwiłł</w:t>
      </w:r>
      <w:bookmarkEnd w:id="3"/>
    </w:p>
    <w:p w:rsidR="004330A8" w:rsidRDefault="00D674BD" w:rsidP="004330A8">
      <w:pPr>
        <w:spacing w:before="120" w:line="276" w:lineRule="auto"/>
        <w:ind w:left="3402"/>
        <w:jc w:val="center"/>
        <w:rPr>
          <w:rFonts w:ascii="Calibri" w:hAnsi="Calibri" w:cs="Calibri"/>
        </w:rPr>
      </w:pPr>
      <w:bookmarkStart w:id="4" w:name="ezdPracownikStanowisko"/>
      <w:r>
        <w:rPr>
          <w:rFonts w:ascii="Calibri" w:hAnsi="Calibri" w:cs="Calibri"/>
        </w:rPr>
        <w:t>Wojewoda Mazowiecki</w:t>
      </w:r>
      <w:bookmarkEnd w:id="4"/>
    </w:p>
    <w:p w:rsidR="00691727" w:rsidRDefault="00D674BD" w:rsidP="004330A8">
      <w:pPr>
        <w:spacing w:before="120" w:line="276" w:lineRule="auto"/>
        <w:ind w:left="3402"/>
        <w:jc w:val="center"/>
        <w:rPr>
          <w:rFonts w:ascii="Calibri" w:hAnsi="Calibri" w:cs="Calibri"/>
          <w:sz w:val="22"/>
          <w:szCs w:val="22"/>
        </w:rPr>
      </w:pPr>
      <w:r>
        <w:rPr>
          <w:rFonts w:ascii="Calibri" w:hAnsi="Calibri" w:cs="Calibri"/>
        </w:rPr>
        <w:t>/podpisano bezpiecznym podpisem elektronicznym</w:t>
      </w:r>
    </w:p>
    <w:p w:rsidR="004824F3" w:rsidRPr="00504F2F" w:rsidRDefault="00D674BD" w:rsidP="00691727">
      <w:pPr>
        <w:spacing w:line="276" w:lineRule="auto"/>
        <w:ind w:left="3402"/>
        <w:jc w:val="center"/>
        <w:rPr>
          <w:rFonts w:ascii="Calibri" w:hAnsi="Calibri" w:cs="Calibri"/>
        </w:rPr>
      </w:pPr>
      <w:r>
        <w:rPr>
          <w:rFonts w:ascii="Calibri" w:hAnsi="Calibri" w:cs="Calibri"/>
        </w:rPr>
        <w:t>weryfikowanym ważnym kwalifikowanym certyfikatem/</w:t>
      </w:r>
    </w:p>
    <w:sectPr w:rsidR="004824F3" w:rsidRPr="00504F2F" w:rsidSect="006E20A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4BD" w:rsidRDefault="00D674BD">
      <w:r>
        <w:separator/>
      </w:r>
    </w:p>
  </w:endnote>
  <w:endnote w:type="continuationSeparator" w:id="0">
    <w:p w:rsidR="00D674BD" w:rsidRDefault="00D6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8411217"/>
      <w:docPartObj>
        <w:docPartGallery w:val="Page Numbers (Bottom of Page)"/>
        <w:docPartUnique/>
      </w:docPartObj>
    </w:sdtPr>
    <w:sdtEndPr/>
    <w:sdtContent>
      <w:p w:rsidR="00661145" w:rsidRDefault="00D674BD">
        <w:pPr>
          <w:pStyle w:val="Stopka"/>
          <w:jc w:val="right"/>
        </w:pPr>
        <w:r>
          <w:fldChar w:fldCharType="begin"/>
        </w:r>
        <w:r>
          <w:instrText>PAGE   \* MERGEFORMAT</w:instrText>
        </w:r>
        <w:r>
          <w:fldChar w:fldCharType="separate"/>
        </w:r>
        <w:r>
          <w:rPr>
            <w:noProof/>
          </w:rPr>
          <w:t>1</w:t>
        </w:r>
        <w:r>
          <w:fldChar w:fldCharType="end"/>
        </w:r>
      </w:p>
    </w:sdtContent>
  </w:sdt>
  <w:p w:rsidR="00661145" w:rsidRDefault="00D674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4BD" w:rsidRDefault="00D674BD">
      <w:r>
        <w:separator/>
      </w:r>
    </w:p>
  </w:footnote>
  <w:footnote w:type="continuationSeparator" w:id="0">
    <w:p w:rsidR="00D674BD" w:rsidRDefault="00D67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F4"/>
    <w:rsid w:val="00256CF4"/>
    <w:rsid w:val="00D674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A5E332-4587-4B2F-91DE-94426679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D757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rsid w:val="00691727"/>
    <w:rPr>
      <w:rFonts w:ascii="Segoe UI" w:hAnsi="Segoe UI" w:cs="Segoe UI"/>
      <w:sz w:val="18"/>
      <w:szCs w:val="18"/>
    </w:rPr>
  </w:style>
  <w:style w:type="character" w:customStyle="1" w:styleId="TekstdymkaZnak">
    <w:name w:val="Tekst dymka Znak"/>
    <w:basedOn w:val="Domylnaczcionkaakapitu"/>
    <w:link w:val="Tekstdymka"/>
    <w:rsid w:val="00691727"/>
    <w:rPr>
      <w:rFonts w:ascii="Segoe UI" w:hAnsi="Segoe UI" w:cs="Segoe UI"/>
      <w:sz w:val="18"/>
      <w:szCs w:val="18"/>
    </w:rPr>
  </w:style>
  <w:style w:type="paragraph" w:styleId="NormalnyWeb">
    <w:name w:val="Normal (Web)"/>
    <w:basedOn w:val="Normalny"/>
    <w:uiPriority w:val="99"/>
    <w:rsid w:val="00D20A24"/>
    <w:pPr>
      <w:spacing w:before="150"/>
    </w:pPr>
    <w:rPr>
      <w:rFonts w:ascii="Arial" w:hAnsi="Arial" w:cs="Arial"/>
      <w:color w:val="000000"/>
    </w:rPr>
  </w:style>
  <w:style w:type="paragraph" w:styleId="Nagwek">
    <w:name w:val="header"/>
    <w:basedOn w:val="Normalny"/>
    <w:link w:val="NagwekZnak"/>
    <w:rsid w:val="00661145"/>
    <w:pPr>
      <w:tabs>
        <w:tab w:val="center" w:pos="4536"/>
        <w:tab w:val="right" w:pos="9072"/>
      </w:tabs>
    </w:pPr>
  </w:style>
  <w:style w:type="character" w:customStyle="1" w:styleId="NagwekZnak">
    <w:name w:val="Nagłówek Znak"/>
    <w:basedOn w:val="Domylnaczcionkaakapitu"/>
    <w:link w:val="Nagwek"/>
    <w:rsid w:val="00661145"/>
    <w:rPr>
      <w:sz w:val="24"/>
      <w:szCs w:val="24"/>
    </w:rPr>
  </w:style>
  <w:style w:type="paragraph" w:styleId="Stopka">
    <w:name w:val="footer"/>
    <w:basedOn w:val="Normalny"/>
    <w:link w:val="StopkaZnak"/>
    <w:uiPriority w:val="99"/>
    <w:rsid w:val="00661145"/>
    <w:pPr>
      <w:tabs>
        <w:tab w:val="center" w:pos="4536"/>
        <w:tab w:val="right" w:pos="9072"/>
      </w:tabs>
    </w:pPr>
  </w:style>
  <w:style w:type="character" w:customStyle="1" w:styleId="StopkaZnak">
    <w:name w:val="Stopka Znak"/>
    <w:basedOn w:val="Domylnaczcionkaakapitu"/>
    <w:link w:val="Stopka"/>
    <w:uiPriority w:val="99"/>
    <w:rsid w:val="006611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949AE-FF9F-4BF1-BE9B-1CE441FC6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8256</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Wojewoda - pismo zewn. podpis elektroniczny</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Wojewoda - pismo zewn. podpis elektroniczny</dc:title>
  <dc:creator>kkili</dc:creator>
  <cp:lastModifiedBy>Beata Darnowska</cp:lastModifiedBy>
  <cp:revision>2</cp:revision>
  <cp:lastPrinted>2021-11-19T14:18:00Z</cp:lastPrinted>
  <dcterms:created xsi:type="dcterms:W3CDTF">2022-02-28T13:50:00Z</dcterms:created>
  <dcterms:modified xsi:type="dcterms:W3CDTF">2022-02-28T13:50:00Z</dcterms:modified>
</cp:coreProperties>
</file>