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39FB" w14:textId="77777777" w:rsidR="00CF16C3" w:rsidRDefault="00CF16C3"/>
    <w:p w14:paraId="508C461E" w14:textId="77777777" w:rsidR="004C1D3D" w:rsidRDefault="004C1D3D"/>
    <w:p w14:paraId="0A1240F3" w14:textId="7F3107A8" w:rsidR="004C1D3D" w:rsidRDefault="004C1D3D" w:rsidP="004C1D3D">
      <w:pPr>
        <w:jc w:val="center"/>
      </w:pPr>
      <w:r>
        <w:t>Opis przedmiotu zamówienia</w:t>
      </w:r>
    </w:p>
    <w:p w14:paraId="6D1A72A5" w14:textId="77777777" w:rsidR="004C1D3D" w:rsidRDefault="004C1D3D" w:rsidP="004C1D3D">
      <w:pPr>
        <w:jc w:val="center"/>
      </w:pPr>
    </w:p>
    <w:p w14:paraId="4D8D2591" w14:textId="2C90F57A" w:rsidR="004C1D3D" w:rsidRDefault="004C1D3D" w:rsidP="004C1D3D">
      <w:pPr>
        <w:jc w:val="center"/>
      </w:pPr>
      <w:r>
        <w:t xml:space="preserve">Wsparcie w zakresie audytu dostępności </w:t>
      </w:r>
      <w:r w:rsidR="004021E9">
        <w:t xml:space="preserve">cyfrowej </w:t>
      </w:r>
      <w:r>
        <w:t>systemów teleinformatycznych Ministerstwa Rozwoju i Technologii</w:t>
      </w:r>
    </w:p>
    <w:p w14:paraId="6267B02A" w14:textId="77777777" w:rsidR="0052734F" w:rsidRDefault="0052734F" w:rsidP="004C1D3D">
      <w:pPr>
        <w:jc w:val="center"/>
      </w:pPr>
    </w:p>
    <w:p w14:paraId="6BE16EF6" w14:textId="77777777" w:rsidR="0052734F" w:rsidRDefault="0052734F" w:rsidP="004C1D3D">
      <w:pPr>
        <w:jc w:val="center"/>
      </w:pPr>
    </w:p>
    <w:p w14:paraId="17CA73C9" w14:textId="77777777" w:rsidR="0052734F" w:rsidRDefault="0052734F" w:rsidP="004C1D3D">
      <w:pPr>
        <w:jc w:val="center"/>
      </w:pPr>
    </w:p>
    <w:p w14:paraId="4872FAC3" w14:textId="77777777" w:rsidR="0052734F" w:rsidRDefault="0052734F" w:rsidP="004C1D3D">
      <w:pPr>
        <w:jc w:val="center"/>
      </w:pPr>
    </w:p>
    <w:p w14:paraId="04E50283" w14:textId="77777777" w:rsidR="0052734F" w:rsidRDefault="0052734F" w:rsidP="004C1D3D">
      <w:pPr>
        <w:jc w:val="center"/>
      </w:pPr>
    </w:p>
    <w:p w14:paraId="2D0AB5F3" w14:textId="77777777" w:rsidR="0052734F" w:rsidRDefault="0052734F" w:rsidP="004C1D3D">
      <w:pPr>
        <w:jc w:val="center"/>
      </w:pPr>
    </w:p>
    <w:p w14:paraId="1A0CF91C" w14:textId="77777777" w:rsidR="0052734F" w:rsidRDefault="0052734F" w:rsidP="004C1D3D">
      <w:pPr>
        <w:jc w:val="center"/>
      </w:pPr>
    </w:p>
    <w:p w14:paraId="4464C048" w14:textId="77777777" w:rsidR="0052734F" w:rsidRDefault="0052734F" w:rsidP="004C1D3D">
      <w:pPr>
        <w:jc w:val="center"/>
      </w:pPr>
    </w:p>
    <w:p w14:paraId="4BCFE88C" w14:textId="77777777" w:rsidR="0052734F" w:rsidRDefault="0052734F" w:rsidP="004C1D3D">
      <w:pPr>
        <w:jc w:val="center"/>
      </w:pPr>
    </w:p>
    <w:p w14:paraId="18E78B45" w14:textId="77777777" w:rsidR="0052734F" w:rsidRDefault="0052734F" w:rsidP="004C1D3D">
      <w:pPr>
        <w:jc w:val="center"/>
      </w:pPr>
    </w:p>
    <w:p w14:paraId="1524E29E" w14:textId="77777777" w:rsidR="0052734F" w:rsidRDefault="0052734F" w:rsidP="004C1D3D">
      <w:pPr>
        <w:jc w:val="center"/>
      </w:pPr>
    </w:p>
    <w:p w14:paraId="5390F139" w14:textId="77777777" w:rsidR="0052734F" w:rsidRDefault="0052734F" w:rsidP="004C1D3D">
      <w:pPr>
        <w:jc w:val="center"/>
      </w:pPr>
    </w:p>
    <w:p w14:paraId="0DCF6A25" w14:textId="77777777" w:rsidR="0052734F" w:rsidRDefault="0052734F" w:rsidP="004C1D3D">
      <w:pPr>
        <w:jc w:val="center"/>
      </w:pPr>
    </w:p>
    <w:p w14:paraId="36517B56" w14:textId="77777777" w:rsidR="0052734F" w:rsidRDefault="0052734F" w:rsidP="004C1D3D">
      <w:pPr>
        <w:jc w:val="center"/>
      </w:pPr>
    </w:p>
    <w:p w14:paraId="55F5CDAF" w14:textId="77777777" w:rsidR="0052734F" w:rsidRDefault="0052734F" w:rsidP="004C1D3D">
      <w:pPr>
        <w:jc w:val="center"/>
      </w:pPr>
    </w:p>
    <w:p w14:paraId="2DED9664" w14:textId="77777777" w:rsidR="0052734F" w:rsidRDefault="0052734F" w:rsidP="004C1D3D">
      <w:pPr>
        <w:jc w:val="center"/>
      </w:pPr>
    </w:p>
    <w:p w14:paraId="7251BFEF" w14:textId="77777777" w:rsidR="0052734F" w:rsidRDefault="0052734F" w:rsidP="004C1D3D">
      <w:pPr>
        <w:jc w:val="center"/>
      </w:pPr>
    </w:p>
    <w:p w14:paraId="583B3FB4" w14:textId="77777777" w:rsidR="0052734F" w:rsidRDefault="0052734F" w:rsidP="004C1D3D">
      <w:pPr>
        <w:jc w:val="center"/>
      </w:pPr>
    </w:p>
    <w:p w14:paraId="670665AE" w14:textId="77777777" w:rsidR="0052734F" w:rsidRDefault="0052734F" w:rsidP="004C1D3D">
      <w:pPr>
        <w:jc w:val="center"/>
      </w:pPr>
    </w:p>
    <w:p w14:paraId="3B9D34DB" w14:textId="77777777" w:rsidR="0052734F" w:rsidRDefault="0052734F" w:rsidP="004C1D3D">
      <w:pPr>
        <w:jc w:val="center"/>
      </w:pPr>
    </w:p>
    <w:p w14:paraId="691E2DCC" w14:textId="77777777" w:rsidR="0052734F" w:rsidRDefault="0052734F" w:rsidP="004C1D3D">
      <w:pPr>
        <w:jc w:val="center"/>
      </w:pPr>
    </w:p>
    <w:p w14:paraId="5261064E" w14:textId="77777777" w:rsidR="0052734F" w:rsidRDefault="0052734F" w:rsidP="004C1D3D">
      <w:pPr>
        <w:jc w:val="center"/>
      </w:pPr>
    </w:p>
    <w:p w14:paraId="635FCDA3" w14:textId="77777777" w:rsidR="0052734F" w:rsidRDefault="0052734F" w:rsidP="004C1D3D">
      <w:pPr>
        <w:jc w:val="center"/>
      </w:pPr>
    </w:p>
    <w:p w14:paraId="3427A596" w14:textId="77777777" w:rsidR="0052734F" w:rsidRDefault="0052734F" w:rsidP="004C1D3D">
      <w:pPr>
        <w:jc w:val="center"/>
      </w:pPr>
    </w:p>
    <w:p w14:paraId="069833BB" w14:textId="1ABC74FC" w:rsidR="0052734F" w:rsidRDefault="0052734F" w:rsidP="0052734F">
      <w:pPr>
        <w:pStyle w:val="Akapitzlist"/>
        <w:numPr>
          <w:ilvl w:val="0"/>
          <w:numId w:val="1"/>
        </w:numPr>
      </w:pPr>
      <w:r>
        <w:lastRenderedPageBreak/>
        <w:t>Wstęp</w:t>
      </w:r>
    </w:p>
    <w:p w14:paraId="5D8CA8CD" w14:textId="7E70A480" w:rsidR="0052734F" w:rsidRDefault="000F7E26" w:rsidP="0052734F">
      <w:r>
        <w:t>Przedmiotem zamówienia jest wykonanie usługi audytu dostępności</w:t>
      </w:r>
      <w:r w:rsidR="004021E9">
        <w:t xml:space="preserve"> cyfrowej</w:t>
      </w:r>
      <w:r>
        <w:t xml:space="preserve"> wskazanych przez Zamawiającego stron/serwisów. Zamówienie będzie realizowane w ramach zadań, przy czym część zadań będzie zlecana w trybie doraźnym jako opcja.</w:t>
      </w:r>
    </w:p>
    <w:p w14:paraId="4989B3E1" w14:textId="55BDF8C4" w:rsidR="000F7E26" w:rsidRDefault="000F7E26" w:rsidP="0052734F">
      <w:r>
        <w:t>Badaniu podlegać będą systemy udostępniane lub modernizowane w ramach projektu „Elektronizacja umów o pracę oraz usprawnienie usług cyfrowych dla przedsiębiorców”, realizowanego w latach 2024-2027 i współfinansowanego ze środków programu Fundusze Europejskiej na Rozwój Cyfrowy 2021-2027.</w:t>
      </w:r>
    </w:p>
    <w:p w14:paraId="58D89C22" w14:textId="2967A72C" w:rsidR="000F7E26" w:rsidRDefault="000F7E26" w:rsidP="0052734F">
      <w:r>
        <w:t xml:space="preserve">Ponadto, badaniu podlegać mogą inne wskazane przez Zamawiającego systemy (w ramach prawa opcji), w szczególności systemu Platformy Internetowej Polityki Zakupowej Państwa i jego nowe moduły funkcjonalne. </w:t>
      </w:r>
    </w:p>
    <w:p w14:paraId="1FF4BF4E" w14:textId="201BD62A" w:rsidR="0052734F" w:rsidRDefault="0052734F" w:rsidP="0052734F">
      <w:pPr>
        <w:pStyle w:val="Akapitzlist"/>
        <w:numPr>
          <w:ilvl w:val="0"/>
          <w:numId w:val="1"/>
        </w:numPr>
      </w:pPr>
      <w:r>
        <w:t>Cel i zakres zamówienia</w:t>
      </w:r>
    </w:p>
    <w:p w14:paraId="0B5BD74D" w14:textId="6E2EB110" w:rsidR="0052734F" w:rsidRDefault="0052734F" w:rsidP="0052734F">
      <w:r>
        <w:t xml:space="preserve">Przedmiot zamówienia </w:t>
      </w:r>
      <w:r w:rsidR="00280CD4">
        <w:t>składa się z pięciu zadań, obejmujących zakresem przeprowadzenie badań dostępności cyfrowej wskazanych systemów/serwisów w wersji webowej zarówno z przeglądarki komputerowej jak i z przeglądarki w urządzeniach mobilnych.</w:t>
      </w:r>
    </w:p>
    <w:p w14:paraId="5B552BF3" w14:textId="77777777" w:rsidR="00280CD4" w:rsidRDefault="00280CD4" w:rsidP="0052734F">
      <w:r>
        <w:t>a) badanie dostępności Systemu Technicznego Jednolitego Portalu Cyfrowego</w:t>
      </w:r>
    </w:p>
    <w:p w14:paraId="4E0DB104" w14:textId="4F211F13" w:rsidR="00280CD4" w:rsidRDefault="00280CD4" w:rsidP="0052734F">
      <w:r>
        <w:t>b) badanie dostępności systemu Biznes.gov.pl w zakresie modułu umów – funkcjonalności podstawowe</w:t>
      </w:r>
    </w:p>
    <w:p w14:paraId="2FD0AE6E" w14:textId="555966E7" w:rsidR="0052734F" w:rsidRDefault="00280CD4" w:rsidP="0052734F">
      <w:r>
        <w:t>c) badanie dostępności systemu Biznes.gov.pl w zakresie modułu umów – funkcjonalności rozszerzone</w:t>
      </w:r>
    </w:p>
    <w:p w14:paraId="269F3D7C" w14:textId="5EE12045" w:rsidR="00280CD4" w:rsidRDefault="00280CD4" w:rsidP="0052734F">
      <w:r>
        <w:t>d) badanie dostępności zmodernizowanego modułu Zaplecza systemu Biznes.gov.pl</w:t>
      </w:r>
    </w:p>
    <w:p w14:paraId="7ACA1BA9" w14:textId="67113DD0" w:rsidR="00280CD4" w:rsidRDefault="00280CD4" w:rsidP="0052734F">
      <w:r>
        <w:t>e) realizacja badania dostępności systemu Biznes.gov.pl (w pozostałym zakresie) lub systemu Platformy Internetowej Polityki Zakupowej Państwa – prawo opcji.</w:t>
      </w:r>
    </w:p>
    <w:p w14:paraId="55FD65C0" w14:textId="66BB8A48" w:rsidR="00280CD4" w:rsidRDefault="00280CD4" w:rsidP="0052734F">
      <w:r>
        <w:t xml:space="preserve">Realizacja każdego z zadań </w:t>
      </w:r>
      <w:r w:rsidR="005A7A4C">
        <w:t>(</w:t>
      </w:r>
      <w:r>
        <w:t xml:space="preserve">lub części zadania </w:t>
      </w:r>
      <w:r w:rsidR="005A7A4C">
        <w:t xml:space="preserve">- </w:t>
      </w:r>
      <w:r>
        <w:t>dot. pkt. e)) musi nastąpić w terminie nie dłuższym niż 21 dni kalendarzowych od dnia jego zlecenia.</w:t>
      </w:r>
    </w:p>
    <w:p w14:paraId="73C086B4" w14:textId="6D9F7E20" w:rsidR="0052734F" w:rsidRDefault="00280CD4" w:rsidP="0052734F">
      <w:r>
        <w:t xml:space="preserve">Każde zadanie (lub jego część – dot. pkt e)) zakończy się sporządzeniem raportu wraz z zaleceniami – w terminie do 10 dni kalendarzowych od dnia zakończenia realizacji danego zadania lub jego części. </w:t>
      </w:r>
    </w:p>
    <w:p w14:paraId="062AB6DE" w14:textId="25BCB546" w:rsidR="00766991" w:rsidRDefault="00766991" w:rsidP="0052734F">
      <w:r>
        <w:t xml:space="preserve">Orientacyjny harmonogram realizacji poszczególnych zadań znajduje się w rozdz. </w:t>
      </w:r>
      <w:r w:rsidR="000F7E26">
        <w:t>7</w:t>
      </w:r>
      <w:r>
        <w:t>. Harmonogram, jak i kolejność realizowanych zadań, mogą ulec zmianie.</w:t>
      </w:r>
    </w:p>
    <w:p w14:paraId="4AB98AC0" w14:textId="21DFF2C2" w:rsidR="0052734F" w:rsidRDefault="0001149F" w:rsidP="0052734F">
      <w:r>
        <w:t>Zasoby przeznaczone</w:t>
      </w:r>
      <w:r w:rsidR="0052734F">
        <w:t xml:space="preserve"> na realizację zadania II (jako prawo opcji), Zamawiający może wykorzystać w okresie </w:t>
      </w:r>
      <w:r w:rsidR="00280CD4">
        <w:t>24</w:t>
      </w:r>
      <w:r w:rsidR="0052734F">
        <w:t xml:space="preserve"> miesięcy od dnia podpisania Umowy.</w:t>
      </w:r>
    </w:p>
    <w:p w14:paraId="4B0CC8A2" w14:textId="44F0FB6D" w:rsidR="0052734F" w:rsidRDefault="0052734F" w:rsidP="0052734F">
      <w:r>
        <w:t>W celu przeprowadzenia audytu Wykonawca powinien współpracować zarówno z Zamawiającym, jak i z</w:t>
      </w:r>
      <w:r w:rsidR="00280CD4">
        <w:t xml:space="preserve"> podmiotami odpowiedzialnymi za utrzymanie</w:t>
      </w:r>
      <w:r>
        <w:t xml:space="preserve"> system</w:t>
      </w:r>
      <w:r w:rsidR="00280CD4">
        <w:t>ów</w:t>
      </w:r>
      <w:r>
        <w:t>.</w:t>
      </w:r>
    </w:p>
    <w:p w14:paraId="4378CD05" w14:textId="4479C35F" w:rsidR="0052734F" w:rsidRDefault="0052734F" w:rsidP="0052734F">
      <w:r>
        <w:t>Kod CPV: 72413000-8 Usługi w zakresie projektowania stron WWW</w:t>
      </w:r>
    </w:p>
    <w:p w14:paraId="1E256E9D" w14:textId="77777777" w:rsidR="0052734F" w:rsidRDefault="0052734F" w:rsidP="0052734F"/>
    <w:p w14:paraId="1381570B" w14:textId="72A2C294" w:rsidR="0052734F" w:rsidRDefault="0052734F" w:rsidP="0052734F">
      <w:pPr>
        <w:pStyle w:val="Akapitzlist"/>
        <w:numPr>
          <w:ilvl w:val="0"/>
          <w:numId w:val="1"/>
        </w:numPr>
      </w:pPr>
      <w:r>
        <w:lastRenderedPageBreak/>
        <w:t>Opis procesu zlecania prac</w:t>
      </w:r>
    </w:p>
    <w:p w14:paraId="7F4C6A20" w14:textId="59847541" w:rsidR="0052734F" w:rsidRDefault="00766991" w:rsidP="0052734F">
      <w:r>
        <w:t>Poniższa tabela zawiera maksymalne liczby</w:t>
      </w:r>
      <w:r w:rsidR="0052734F" w:rsidRPr="0052734F">
        <w:t xml:space="preserve"> podstron </w:t>
      </w:r>
      <w:r>
        <w:t>badanych w ramach danego zadania:</w:t>
      </w:r>
    </w:p>
    <w:tbl>
      <w:tblPr>
        <w:tblStyle w:val="Tabela-Siatka"/>
        <w:tblW w:w="0" w:type="auto"/>
        <w:tblLook w:val="04A0" w:firstRow="1" w:lastRow="0" w:firstColumn="1" w:lastColumn="0" w:noHBand="0" w:noVBand="1"/>
      </w:tblPr>
      <w:tblGrid>
        <w:gridCol w:w="5056"/>
        <w:gridCol w:w="4006"/>
      </w:tblGrid>
      <w:tr w:rsidR="00766991" w:rsidRPr="00766991" w14:paraId="73DF8388" w14:textId="732AB01A" w:rsidTr="00766991">
        <w:tc>
          <w:tcPr>
            <w:tcW w:w="5056" w:type="dxa"/>
          </w:tcPr>
          <w:p w14:paraId="52DC98D2" w14:textId="0C4D3C35" w:rsidR="00766991" w:rsidRPr="00766991" w:rsidRDefault="00766991" w:rsidP="00725FBB">
            <w:r w:rsidRPr="00766991">
              <w:t>badanie dostępności Systemu Technicznego Jednolitego Portalu Cyfrowego</w:t>
            </w:r>
          </w:p>
        </w:tc>
        <w:tc>
          <w:tcPr>
            <w:tcW w:w="4006" w:type="dxa"/>
          </w:tcPr>
          <w:p w14:paraId="47B2CC48" w14:textId="63E7D88B" w:rsidR="00766991" w:rsidRPr="00766991" w:rsidRDefault="000F7E26" w:rsidP="00725FBB">
            <w:r>
              <w:t>10</w:t>
            </w:r>
            <w:r w:rsidR="008A281B">
              <w:t>0</w:t>
            </w:r>
          </w:p>
        </w:tc>
      </w:tr>
      <w:tr w:rsidR="00766991" w:rsidRPr="00766991" w14:paraId="24BCF78F" w14:textId="3153C34B" w:rsidTr="00766991">
        <w:tc>
          <w:tcPr>
            <w:tcW w:w="5056" w:type="dxa"/>
          </w:tcPr>
          <w:p w14:paraId="60C5F10A" w14:textId="42E98374" w:rsidR="00766991" w:rsidRPr="00766991" w:rsidRDefault="00766991" w:rsidP="00725FBB">
            <w:r w:rsidRPr="00766991">
              <w:t>badanie dostępności systemu Biznes.gov.pl w zakresie modułu umów – funkcjonalności podstawowe</w:t>
            </w:r>
          </w:p>
        </w:tc>
        <w:tc>
          <w:tcPr>
            <w:tcW w:w="4006" w:type="dxa"/>
          </w:tcPr>
          <w:p w14:paraId="7577E59E" w14:textId="39E40054" w:rsidR="00766991" w:rsidRPr="00766991" w:rsidRDefault="00EE0E72" w:rsidP="00725FBB">
            <w:r>
              <w:t>1</w:t>
            </w:r>
            <w:r w:rsidR="000F7E26">
              <w:t>5</w:t>
            </w:r>
            <w:r w:rsidR="00A44907">
              <w:t>0</w:t>
            </w:r>
          </w:p>
        </w:tc>
      </w:tr>
      <w:tr w:rsidR="00766991" w:rsidRPr="00766991" w14:paraId="2C4A25F3" w14:textId="13B0C248" w:rsidTr="00766991">
        <w:tc>
          <w:tcPr>
            <w:tcW w:w="5056" w:type="dxa"/>
          </w:tcPr>
          <w:p w14:paraId="0071E426" w14:textId="313006F1" w:rsidR="00766991" w:rsidRPr="00766991" w:rsidRDefault="00766991" w:rsidP="00725FBB">
            <w:r w:rsidRPr="00766991">
              <w:t>badanie dostępności systemu Biznes.gov.pl w zakresie modułu umów – funkcjonalności rozszerzone</w:t>
            </w:r>
          </w:p>
        </w:tc>
        <w:tc>
          <w:tcPr>
            <w:tcW w:w="4006" w:type="dxa"/>
          </w:tcPr>
          <w:p w14:paraId="7F19FC93" w14:textId="01106F57" w:rsidR="00766991" w:rsidRPr="00766991" w:rsidRDefault="00EE0E72" w:rsidP="00725FBB">
            <w:r>
              <w:t>1</w:t>
            </w:r>
            <w:r w:rsidR="000F7E26">
              <w:t>5</w:t>
            </w:r>
            <w:r>
              <w:t>0</w:t>
            </w:r>
          </w:p>
        </w:tc>
      </w:tr>
      <w:tr w:rsidR="00766991" w:rsidRPr="00766991" w14:paraId="6A27021D" w14:textId="22FB8AFD" w:rsidTr="00766991">
        <w:tc>
          <w:tcPr>
            <w:tcW w:w="5056" w:type="dxa"/>
          </w:tcPr>
          <w:p w14:paraId="339EB232" w14:textId="0A297DAB" w:rsidR="00766991" w:rsidRPr="00766991" w:rsidRDefault="00766991" w:rsidP="00725FBB">
            <w:r w:rsidRPr="00766991">
              <w:t>badanie dostępności zmodernizowanego modułu Zaplecza systemu Biznes.gov.pl</w:t>
            </w:r>
          </w:p>
        </w:tc>
        <w:tc>
          <w:tcPr>
            <w:tcW w:w="4006" w:type="dxa"/>
          </w:tcPr>
          <w:p w14:paraId="270FE1DB" w14:textId="43965BB6" w:rsidR="00766991" w:rsidRPr="00766991" w:rsidRDefault="00EE0E72" w:rsidP="00725FBB">
            <w:r>
              <w:t>200</w:t>
            </w:r>
          </w:p>
        </w:tc>
      </w:tr>
      <w:tr w:rsidR="00766991" w:rsidRPr="00766991" w14:paraId="24187B76" w14:textId="27584F26" w:rsidTr="00766991">
        <w:tc>
          <w:tcPr>
            <w:tcW w:w="5056" w:type="dxa"/>
          </w:tcPr>
          <w:p w14:paraId="758901D7" w14:textId="32763BB8" w:rsidR="00766991" w:rsidRPr="00766991" w:rsidRDefault="00766991" w:rsidP="00725FBB">
            <w:r w:rsidRPr="00766991">
              <w:t>realizacja badania dostępności systemu Biznes.gov.pl (w pozostałym zakresie) lub systemu Platformy Internetowej Polityki Zakupowej Państwa – prawo opcji.</w:t>
            </w:r>
          </w:p>
        </w:tc>
        <w:tc>
          <w:tcPr>
            <w:tcW w:w="4006" w:type="dxa"/>
          </w:tcPr>
          <w:p w14:paraId="01E12E50" w14:textId="0A432970" w:rsidR="00766991" w:rsidRPr="00766991" w:rsidRDefault="00EE0E72" w:rsidP="00725FBB">
            <w:r>
              <w:t>500</w:t>
            </w:r>
          </w:p>
        </w:tc>
      </w:tr>
    </w:tbl>
    <w:p w14:paraId="2DAD4E54" w14:textId="77777777" w:rsidR="00766991" w:rsidRDefault="00766991" w:rsidP="0052734F"/>
    <w:p w14:paraId="51BD3148" w14:textId="71CDF749" w:rsidR="0052734F" w:rsidRDefault="00A44907" w:rsidP="0052734F">
      <w:r>
        <w:t>Zadania, o których mowa w rozdz. 2 lit. a) – d) będą zlecane wg następującej procedury:</w:t>
      </w:r>
    </w:p>
    <w:p w14:paraId="35DF27AB" w14:textId="3EED81AD" w:rsidR="00CB68B4" w:rsidRDefault="00CB68B4" w:rsidP="00CB68B4">
      <w:r>
        <w:t>Zamawiający wystawi zlecenie realizacji zadania. Zlecenie będzie zawierać co najmniej proponowaną datę rozpoczęcia i zakończenia czynności oraz zakres badanych podstron.</w:t>
      </w:r>
    </w:p>
    <w:p w14:paraId="3103072F" w14:textId="6F02E1D9" w:rsidR="00A44907" w:rsidRDefault="00CB68B4" w:rsidP="00CB68B4">
      <w:r>
        <w:t>Czynności audytowe dla danego zadania nie mogą trwać dłużej niż 21 dni kalendarzowych. Po zakończeniu realizacji zadania, w terminie nie dłuższym niż 10 dni  kalendarzowych liczonych od jego zakończenia, Wykonawca przedstawi Zamawiającemu Raport z wykonanego zadania. Zamawiający w terminie 7 dni kalendarzowych liczonych od dnia otrzymania raportu, przedstawi Wykonawcy ewentualne uwagi do wykonanych prac, bądź dokona zatwierdzenia raportu.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nie zostały uwzględnione przez Wykonawcę, wtedy Zamawiający może ponownie zgłosić uwagi. Rozliczeniu podlegają wyłącznie zadania zatwierdzone przez Zamawiającego.</w:t>
      </w:r>
    </w:p>
    <w:p w14:paraId="2082C92A" w14:textId="2D4FEC06" w:rsidR="00CB68B4" w:rsidRDefault="00CB68B4" w:rsidP="00CB68B4">
      <w:r>
        <w:t>Zadanie, o którym mowa w rozdz. 2 lit. e) będzie realizowane wg następującej procedury:</w:t>
      </w:r>
    </w:p>
    <w:p w14:paraId="417AF57B" w14:textId="77777777" w:rsidR="00CB68B4" w:rsidRDefault="00CB68B4" w:rsidP="00CB68B4">
      <w:r>
        <w:t>Poszczególne czynności będą realizowane w formie zadań zlecanych przez Zamawiającego Wykonawcy i rozliczane według wyceny czasu i kosztów Wykonawcy.</w:t>
      </w:r>
    </w:p>
    <w:p w14:paraId="252859B6" w14:textId="65B4D141" w:rsidR="00CB68B4" w:rsidRDefault="00CB68B4" w:rsidP="00CB68B4">
      <w:r>
        <w:t>Zamawiający wystawi Zlecenie na realizację zadania, które będzie zawierać m. in. proponowaną datę rozpoczęcia i zakończenia prac oraz zakres prac. Zadania te będą rozliczane w ramach puli badanych podstron przysługujących do wykorzystania w ramach umowy, przy czym realizacja danego zadania lub jego części nie może prowadzić do przekroczenia tej puli.</w:t>
      </w:r>
    </w:p>
    <w:p w14:paraId="18064F6B" w14:textId="0181CD16" w:rsidR="00CB68B4" w:rsidRDefault="00CB68B4" w:rsidP="00CB68B4">
      <w:r>
        <w:t xml:space="preserve">Wykonawca uwzględniając wymagania oraz informacje zawarte w zleceniu w terminie do 7 dni liczonych od daty otrzymania zlecenia przedstawi Zamawiającemu Propozycję realizacji zadania wraz ze wskazaniem pracochłonności (wyrażonej w roboczogodzinach) potrzebnej na jego wykonanie. Zamawiający po otrzymaniu propozycji, w terminie do 7 dni kalendarzowych </w:t>
      </w:r>
      <w:r>
        <w:lastRenderedPageBreak/>
        <w:t>liczonych od dnia jej otrzymania, przedstawi Wykonawcy ewentualne uwagi do propozycji, odstąpi od zlecenia, bądź dokona jej zatwierdzenia. Wykonawca przystąpi do wykonania prac na podstawie propozycji zatwierdzonej przez Zamawiającego.</w:t>
      </w:r>
    </w:p>
    <w:p w14:paraId="45218D78" w14:textId="432F72FB" w:rsidR="00CB68B4" w:rsidRDefault="00CB68B4" w:rsidP="00CB68B4">
      <w:r>
        <w:t xml:space="preserve">Proponowany termin wykonania prac zostanie określony w zleceniu przez Zamawiającego. Faktyczny termin realizacji zostanie wskazany przez Wykonawcę w Propozycji realizacji zlecenia, przy czym termin ten nie może być dłuższy niż 21 dni kalendarzowych. Wykonawca najpóźniej w ciągu 7 dni kalendarzowych od zakończenia realizacji danego zlecenia Wykonawca przedstawi Zamawiającemu raport z wykonania zadania lub jego części. Zamawiający w terminie 7 dni liczonych od dnia otrzymania raportu, przedstawi Wykonawcy ewentualne uwagi do wykonanych prac, bądź dokona zatwierdzenia raportu.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nie zostały uwzględnione przez Wykonawcę, wtedy Zamawiający może ponownie zgłosić uwagi Raport z wykonanego zlecenia. </w:t>
      </w:r>
    </w:p>
    <w:p w14:paraId="5D527703" w14:textId="6E8C0849" w:rsidR="0052734F" w:rsidRDefault="00CB68B4" w:rsidP="0052734F">
      <w:r>
        <w:t>Rozliczeniu podlegają wyłącznie zadania, których realizacja została zatwierdzona przez Zamawiającego. Zamawiający będzie realizował płatności za wykonane zadania każdorazowo po ich wykonaniu. Podstawę stanowić będą zatwierdzone raporty. Zamawiający ma prawo do rezygnacji z realizacji danego zlecenia w dowolnym momencie przed jego zatwierdzeniem, bez podania przyczyny.</w:t>
      </w:r>
    </w:p>
    <w:p w14:paraId="656F8391" w14:textId="21C907B0" w:rsidR="0052734F" w:rsidRDefault="0052734F" w:rsidP="0052734F">
      <w:pPr>
        <w:pStyle w:val="Akapitzlist"/>
        <w:numPr>
          <w:ilvl w:val="0"/>
          <w:numId w:val="1"/>
        </w:numPr>
      </w:pPr>
      <w:r>
        <w:t>Metoda badawcza</w:t>
      </w:r>
    </w:p>
    <w:p w14:paraId="711C036A" w14:textId="0D56B305" w:rsidR="0052734F" w:rsidRDefault="0052734F" w:rsidP="0052734F">
      <w:r w:rsidRPr="0052734F">
        <w:t>Poniższe wymagania mają zastosowanie do każdego z zaplanowanych elementów audytu, chyba, że w odniesieniu do konkretnego wymagania wskazano inaczej: Wykonawca zbada czy audytowan</w:t>
      </w:r>
      <w:r>
        <w:t>e</w:t>
      </w:r>
      <w:r w:rsidRPr="0052734F">
        <w:t xml:space="preserve"> system</w:t>
      </w:r>
      <w:r>
        <w:t xml:space="preserve">y </w:t>
      </w:r>
      <w:r w:rsidRPr="0052734F">
        <w:t>zapewnia</w:t>
      </w:r>
      <w:r>
        <w:t>ją</w:t>
      </w:r>
      <w:r w:rsidRPr="0052734F">
        <w:t xml:space="preserve"> niezbędne ułatwienia (zgodne z zaleceniami WCAG 2.</w:t>
      </w:r>
      <w:r>
        <w:t>2</w:t>
      </w:r>
      <w:r w:rsidRPr="0052734F">
        <w:t>) dla osób niepełnosprawnych, w zakresie przeznaczonych dla nich usług i narzędzi.</w:t>
      </w:r>
    </w:p>
    <w:p w14:paraId="755AAB85" w14:textId="449A3F2E" w:rsidR="0052734F" w:rsidRDefault="0052734F" w:rsidP="0052734F">
      <w:r>
        <w:t>Kryteria dostępności stanowią:</w:t>
      </w:r>
    </w:p>
    <w:p w14:paraId="153D8754" w14:textId="77777777" w:rsidR="0052734F" w:rsidRPr="0052734F" w:rsidRDefault="0052734F" w:rsidP="0052734F">
      <w:r w:rsidRPr="0052734F">
        <w:t xml:space="preserve">1.1.1 Treść nietekstowa </w:t>
      </w:r>
    </w:p>
    <w:p w14:paraId="747D4ED8" w14:textId="77777777" w:rsidR="0052734F" w:rsidRPr="0052734F" w:rsidRDefault="0052734F" w:rsidP="0052734F">
      <w:r w:rsidRPr="0052734F">
        <w:t xml:space="preserve">1.2.1 Tylko audio lub tylko wideo (nagranie) </w:t>
      </w:r>
    </w:p>
    <w:p w14:paraId="0646B08E" w14:textId="77777777" w:rsidR="0052734F" w:rsidRPr="0052734F" w:rsidRDefault="0052734F" w:rsidP="0052734F">
      <w:r w:rsidRPr="0052734F">
        <w:t xml:space="preserve">1.2.2 Napisy rozszerzone (nagranie) </w:t>
      </w:r>
    </w:p>
    <w:p w14:paraId="60EFE344" w14:textId="77777777" w:rsidR="0052734F" w:rsidRPr="0052734F" w:rsidRDefault="0052734F" w:rsidP="0052734F">
      <w:r w:rsidRPr="0052734F">
        <w:t xml:space="preserve">1.2.3 Audiodeskrypcja lub alternatywa tekstowa dla mediów (nagranie) </w:t>
      </w:r>
    </w:p>
    <w:p w14:paraId="6DEEA3EF" w14:textId="77777777" w:rsidR="0052734F" w:rsidRPr="0052734F" w:rsidRDefault="0052734F" w:rsidP="0052734F">
      <w:r w:rsidRPr="0052734F">
        <w:t xml:space="preserve">1.2.5 Audiodeskrypcja (nagranie) </w:t>
      </w:r>
    </w:p>
    <w:p w14:paraId="7713E7CE" w14:textId="77777777" w:rsidR="0052734F" w:rsidRPr="0052734F" w:rsidRDefault="0052734F" w:rsidP="0052734F">
      <w:r w:rsidRPr="0052734F">
        <w:t xml:space="preserve">1.3.1 Informacje i relacje </w:t>
      </w:r>
    </w:p>
    <w:p w14:paraId="51B0BDE6" w14:textId="77777777" w:rsidR="0052734F" w:rsidRPr="0052734F" w:rsidRDefault="0052734F" w:rsidP="0052734F">
      <w:r w:rsidRPr="0052734F">
        <w:t xml:space="preserve">1.3.2 Zrozumiała kolejność </w:t>
      </w:r>
    </w:p>
    <w:p w14:paraId="04720856" w14:textId="77777777" w:rsidR="0052734F" w:rsidRPr="0052734F" w:rsidRDefault="0052734F" w:rsidP="0052734F">
      <w:r w:rsidRPr="0052734F">
        <w:t xml:space="preserve">1.3.3 Właściwości zmysłowe </w:t>
      </w:r>
    </w:p>
    <w:p w14:paraId="25B66E50" w14:textId="77777777" w:rsidR="0052734F" w:rsidRPr="0052734F" w:rsidRDefault="0052734F" w:rsidP="0052734F">
      <w:r w:rsidRPr="0052734F">
        <w:t xml:space="preserve">1.3.4 Orientacja </w:t>
      </w:r>
    </w:p>
    <w:p w14:paraId="62B2A6D6" w14:textId="77777777" w:rsidR="0052734F" w:rsidRPr="0052734F" w:rsidRDefault="0052734F" w:rsidP="0052734F">
      <w:r w:rsidRPr="0052734F">
        <w:t xml:space="preserve">1.3.5 Określenie pożądanej wartości </w:t>
      </w:r>
    </w:p>
    <w:p w14:paraId="7AB74D49" w14:textId="77777777" w:rsidR="0052734F" w:rsidRPr="0052734F" w:rsidRDefault="0052734F" w:rsidP="0052734F">
      <w:r w:rsidRPr="0052734F">
        <w:t xml:space="preserve">1.4.1 Użycie koloru </w:t>
      </w:r>
    </w:p>
    <w:p w14:paraId="651CD8C9" w14:textId="77777777" w:rsidR="0052734F" w:rsidRPr="0052734F" w:rsidRDefault="0052734F" w:rsidP="0052734F">
      <w:r w:rsidRPr="0052734F">
        <w:lastRenderedPageBreak/>
        <w:t xml:space="preserve">1.4.2 Kontrola odtwarzania dźwięku </w:t>
      </w:r>
    </w:p>
    <w:p w14:paraId="1EB58D2F" w14:textId="77777777" w:rsidR="0052734F" w:rsidRPr="0052734F" w:rsidRDefault="0052734F" w:rsidP="0052734F">
      <w:r w:rsidRPr="0052734F">
        <w:t xml:space="preserve">1.4.3 Kontrast (minimum) </w:t>
      </w:r>
    </w:p>
    <w:p w14:paraId="35F608B6" w14:textId="77777777" w:rsidR="0052734F" w:rsidRPr="0052734F" w:rsidRDefault="0052734F" w:rsidP="0052734F">
      <w:r w:rsidRPr="0052734F">
        <w:t xml:space="preserve">1.4.4 Zmiana rozmiaru tekstu </w:t>
      </w:r>
    </w:p>
    <w:p w14:paraId="3AB8F048" w14:textId="77777777" w:rsidR="0052734F" w:rsidRPr="0052734F" w:rsidRDefault="0052734F" w:rsidP="0052734F">
      <w:r w:rsidRPr="0052734F">
        <w:t xml:space="preserve">1.4.5 Obrazy tekstu </w:t>
      </w:r>
    </w:p>
    <w:p w14:paraId="63E6BC8A" w14:textId="77777777" w:rsidR="0052734F" w:rsidRPr="0052734F" w:rsidRDefault="0052734F" w:rsidP="0052734F">
      <w:r w:rsidRPr="0052734F">
        <w:t xml:space="preserve">1.4.10 Dopasowanie do ekranu </w:t>
      </w:r>
    </w:p>
    <w:p w14:paraId="25DBF7CA" w14:textId="77777777" w:rsidR="0052734F" w:rsidRPr="0052734F" w:rsidRDefault="0052734F" w:rsidP="0052734F">
      <w:r w:rsidRPr="0052734F">
        <w:t xml:space="preserve">1.4.11 Kontrast elementów nietekstowych </w:t>
      </w:r>
    </w:p>
    <w:p w14:paraId="02BDCB51" w14:textId="77777777" w:rsidR="0052734F" w:rsidRPr="0052734F" w:rsidRDefault="0052734F" w:rsidP="0052734F">
      <w:r w:rsidRPr="0052734F">
        <w:t xml:space="preserve">1.4.12 Odstępy w tekście </w:t>
      </w:r>
    </w:p>
    <w:p w14:paraId="462D881D" w14:textId="77777777" w:rsidR="0052734F" w:rsidRPr="0052734F" w:rsidRDefault="0052734F" w:rsidP="0052734F">
      <w:r w:rsidRPr="0052734F">
        <w:t xml:space="preserve">1.4.13 Treści spod kursora lub fokusu </w:t>
      </w:r>
    </w:p>
    <w:p w14:paraId="5BCBA863" w14:textId="77777777" w:rsidR="0052734F" w:rsidRPr="0052734F" w:rsidRDefault="0052734F" w:rsidP="0052734F">
      <w:r w:rsidRPr="0052734F">
        <w:t xml:space="preserve">2.1.1 Klawiatura </w:t>
      </w:r>
    </w:p>
    <w:p w14:paraId="2F07C55E" w14:textId="77777777" w:rsidR="0052734F" w:rsidRPr="0052734F" w:rsidRDefault="0052734F" w:rsidP="0052734F">
      <w:r w:rsidRPr="0052734F">
        <w:t xml:space="preserve">2.1.2 Bez pułapki na klawiaturę </w:t>
      </w:r>
    </w:p>
    <w:p w14:paraId="582B7419" w14:textId="77777777" w:rsidR="0052734F" w:rsidRPr="0052734F" w:rsidRDefault="0052734F" w:rsidP="0052734F">
      <w:r w:rsidRPr="0052734F">
        <w:t xml:space="preserve">2.1.4 Jednoznakowe skróty klawiaturowe </w:t>
      </w:r>
    </w:p>
    <w:p w14:paraId="1611D1D4" w14:textId="77777777" w:rsidR="0052734F" w:rsidRPr="0052734F" w:rsidRDefault="0052734F" w:rsidP="0052734F">
      <w:r w:rsidRPr="0052734F">
        <w:t xml:space="preserve">2.2.1 Dostosowanie czasu </w:t>
      </w:r>
    </w:p>
    <w:p w14:paraId="44AB7753" w14:textId="77777777" w:rsidR="0052734F" w:rsidRPr="0052734F" w:rsidRDefault="0052734F" w:rsidP="0052734F">
      <w:r w:rsidRPr="0052734F">
        <w:t xml:space="preserve">2.2.2 Pauza, zatrzymanie, ukrycie </w:t>
      </w:r>
    </w:p>
    <w:p w14:paraId="010D85AB" w14:textId="77777777" w:rsidR="0052734F" w:rsidRPr="0052734F" w:rsidRDefault="0052734F" w:rsidP="0052734F">
      <w:r w:rsidRPr="0052734F">
        <w:t xml:space="preserve">2.3.1 Trzy błyski lub wartości poniżej progu </w:t>
      </w:r>
    </w:p>
    <w:p w14:paraId="7ECDB4C7" w14:textId="77777777" w:rsidR="0052734F" w:rsidRPr="0052734F" w:rsidRDefault="0052734F" w:rsidP="0052734F">
      <w:r w:rsidRPr="0052734F">
        <w:t xml:space="preserve">2.4.1 Możliwość pominięcia bloków </w:t>
      </w:r>
    </w:p>
    <w:p w14:paraId="349D3752" w14:textId="77777777" w:rsidR="0052734F" w:rsidRPr="0052734F" w:rsidRDefault="0052734F" w:rsidP="0052734F">
      <w:r w:rsidRPr="0052734F">
        <w:t xml:space="preserve">2.4.2 Tytuły stron </w:t>
      </w:r>
    </w:p>
    <w:p w14:paraId="0E6021EE" w14:textId="77777777" w:rsidR="0052734F" w:rsidRPr="0052734F" w:rsidRDefault="0052734F" w:rsidP="0052734F">
      <w:r w:rsidRPr="0052734F">
        <w:t xml:space="preserve">2.4.3 Kolejność fokusu </w:t>
      </w:r>
    </w:p>
    <w:p w14:paraId="19025279" w14:textId="77777777" w:rsidR="0052734F" w:rsidRPr="0052734F" w:rsidRDefault="0052734F" w:rsidP="0052734F">
      <w:r w:rsidRPr="0052734F">
        <w:t xml:space="preserve">2.4.4 Cel linku (w kontekście) </w:t>
      </w:r>
    </w:p>
    <w:p w14:paraId="0922A97A" w14:textId="77777777" w:rsidR="0052734F" w:rsidRPr="0052734F" w:rsidRDefault="0052734F" w:rsidP="0052734F">
      <w:r w:rsidRPr="0052734F">
        <w:t xml:space="preserve">2.4.5 Wiele dróg </w:t>
      </w:r>
    </w:p>
    <w:p w14:paraId="11CC65AB" w14:textId="77777777" w:rsidR="0052734F" w:rsidRPr="0052734F" w:rsidRDefault="0052734F" w:rsidP="0052734F">
      <w:r w:rsidRPr="0052734F">
        <w:t xml:space="preserve">2.4.6 Nagłówki i etykiety </w:t>
      </w:r>
    </w:p>
    <w:p w14:paraId="69651B5F" w14:textId="77777777" w:rsidR="0052734F" w:rsidRDefault="0052734F" w:rsidP="0052734F">
      <w:r w:rsidRPr="0052734F">
        <w:t xml:space="preserve">2.4.7 Widoczny fokus </w:t>
      </w:r>
    </w:p>
    <w:p w14:paraId="7034F9B1" w14:textId="38032E2D" w:rsidR="0052734F" w:rsidRDefault="0052734F" w:rsidP="0052734F">
      <w:r w:rsidRPr="0052734F">
        <w:t>2.4.11 Niezasłonięty Fokus (minimum)</w:t>
      </w:r>
    </w:p>
    <w:p w14:paraId="30F31A9E" w14:textId="2D4F5C45" w:rsidR="002C20CC" w:rsidRPr="0052734F" w:rsidRDefault="002C20CC" w:rsidP="0052734F">
      <w:r w:rsidRPr="002C20CC">
        <w:t>2.4.13 Numerowane punkty odniesienia</w:t>
      </w:r>
    </w:p>
    <w:p w14:paraId="66D80BF0" w14:textId="77777777" w:rsidR="0052734F" w:rsidRPr="0052734F" w:rsidRDefault="0052734F" w:rsidP="0052734F">
      <w:r w:rsidRPr="0052734F">
        <w:t xml:space="preserve">2.5.1 Gesty dotykowe </w:t>
      </w:r>
    </w:p>
    <w:p w14:paraId="094EDCC5" w14:textId="77777777" w:rsidR="0052734F" w:rsidRPr="0052734F" w:rsidRDefault="0052734F" w:rsidP="0052734F">
      <w:r w:rsidRPr="0052734F">
        <w:t xml:space="preserve">2.5.2 Rezygnacja ze wskazania </w:t>
      </w:r>
    </w:p>
    <w:p w14:paraId="3178183B" w14:textId="77777777" w:rsidR="0052734F" w:rsidRPr="0052734F" w:rsidRDefault="0052734F" w:rsidP="0052734F">
      <w:r w:rsidRPr="0052734F">
        <w:t xml:space="preserve">2.5.3 Etykieta w nazwie </w:t>
      </w:r>
    </w:p>
    <w:p w14:paraId="1E069110" w14:textId="67465EC8" w:rsidR="0052734F" w:rsidRDefault="0052734F" w:rsidP="0052734F">
      <w:r w:rsidRPr="0052734F">
        <w:t>2.5.4 Aktywowanie ruchem</w:t>
      </w:r>
    </w:p>
    <w:p w14:paraId="2D0F1A78" w14:textId="75E09123" w:rsidR="002C20CC" w:rsidRDefault="002C20CC" w:rsidP="0052734F">
      <w:r w:rsidRPr="002C20CC">
        <w:t>2.5.7 Ruch przeciągania</w:t>
      </w:r>
    </w:p>
    <w:p w14:paraId="293EB7EA" w14:textId="5EF7D49D" w:rsidR="002C20CC" w:rsidRDefault="002C20CC" w:rsidP="0052734F">
      <w:r w:rsidRPr="002C20CC">
        <w:t>2.5.8 Wielkość celu (minimalna)</w:t>
      </w:r>
    </w:p>
    <w:p w14:paraId="68CF7897" w14:textId="77777777" w:rsidR="0052734F" w:rsidRPr="0052734F" w:rsidRDefault="0052734F" w:rsidP="0052734F">
      <w:r w:rsidRPr="0052734F">
        <w:t xml:space="preserve">3.1.1 Język strony </w:t>
      </w:r>
    </w:p>
    <w:p w14:paraId="7A521B9C" w14:textId="77777777" w:rsidR="0052734F" w:rsidRPr="0052734F" w:rsidRDefault="0052734F" w:rsidP="0052734F">
      <w:r w:rsidRPr="0052734F">
        <w:lastRenderedPageBreak/>
        <w:t xml:space="preserve">3.1.2 Język części </w:t>
      </w:r>
    </w:p>
    <w:p w14:paraId="3AFA18F2" w14:textId="77777777" w:rsidR="0052734F" w:rsidRPr="0052734F" w:rsidRDefault="0052734F" w:rsidP="0052734F">
      <w:r w:rsidRPr="0052734F">
        <w:t xml:space="preserve">3.2.1 Po otrzymaniu fokusu </w:t>
      </w:r>
    </w:p>
    <w:p w14:paraId="279BDDB3" w14:textId="77777777" w:rsidR="0052734F" w:rsidRPr="0052734F" w:rsidRDefault="0052734F" w:rsidP="0052734F">
      <w:r w:rsidRPr="0052734F">
        <w:t xml:space="preserve">3.2.2 Podczas wprowadzania danych </w:t>
      </w:r>
    </w:p>
    <w:p w14:paraId="2194D114" w14:textId="77777777" w:rsidR="0052734F" w:rsidRPr="0052734F" w:rsidRDefault="0052734F" w:rsidP="0052734F">
      <w:r w:rsidRPr="0052734F">
        <w:t xml:space="preserve">3.2.3 Spójna nawigacja </w:t>
      </w:r>
    </w:p>
    <w:p w14:paraId="6525B6D1" w14:textId="77777777" w:rsidR="0052734F" w:rsidRDefault="0052734F" w:rsidP="0052734F">
      <w:r w:rsidRPr="0052734F">
        <w:t xml:space="preserve">3.2.4 Spójna identyfikacja </w:t>
      </w:r>
    </w:p>
    <w:p w14:paraId="137C4301" w14:textId="3616F20A" w:rsidR="002C20CC" w:rsidRDefault="002C20CC" w:rsidP="0052734F">
      <w:r w:rsidRPr="002C20CC">
        <w:t>3.2.6 Pomoc kontekstowa</w:t>
      </w:r>
    </w:p>
    <w:p w14:paraId="033CD88B" w14:textId="5EA9556C" w:rsidR="002C20CC" w:rsidRPr="0052734F" w:rsidRDefault="002C20CC" w:rsidP="0052734F">
      <w:r w:rsidRPr="002C20CC">
        <w:t>3.2.7 Widoczne kontrolki</w:t>
      </w:r>
    </w:p>
    <w:p w14:paraId="72E365DC" w14:textId="77777777" w:rsidR="0052734F" w:rsidRPr="0052734F" w:rsidRDefault="0052734F" w:rsidP="0052734F">
      <w:r w:rsidRPr="0052734F">
        <w:t xml:space="preserve">3.3.1 Identyfikacja błędu </w:t>
      </w:r>
    </w:p>
    <w:p w14:paraId="18C7A561" w14:textId="77777777" w:rsidR="0052734F" w:rsidRPr="0052734F" w:rsidRDefault="0052734F" w:rsidP="0052734F">
      <w:r w:rsidRPr="0052734F">
        <w:t xml:space="preserve">3.3.2 Etykiety lub instrukcje </w:t>
      </w:r>
    </w:p>
    <w:p w14:paraId="3E2048D7" w14:textId="77777777" w:rsidR="0052734F" w:rsidRPr="0052734F" w:rsidRDefault="0052734F" w:rsidP="0052734F">
      <w:r w:rsidRPr="0052734F">
        <w:t xml:space="preserve">3.3.3 Sugestie korekty błędów </w:t>
      </w:r>
    </w:p>
    <w:p w14:paraId="77972855" w14:textId="77777777" w:rsidR="0052734F" w:rsidRDefault="0052734F" w:rsidP="0052734F">
      <w:r w:rsidRPr="0052734F">
        <w:t xml:space="preserve">3.3.4 Zapobieganie błędom (prawnym, finansowym, w danych) </w:t>
      </w:r>
    </w:p>
    <w:p w14:paraId="0A1059C1" w14:textId="28DE06F8" w:rsidR="002C20CC" w:rsidRDefault="002C20CC" w:rsidP="0052734F">
      <w:r w:rsidRPr="002C20CC">
        <w:t>3.3.7 Dostępne uwierzytelnianie</w:t>
      </w:r>
    </w:p>
    <w:p w14:paraId="60E52E25" w14:textId="65E546BA" w:rsidR="002C20CC" w:rsidRPr="0052734F" w:rsidRDefault="002C20CC" w:rsidP="0052734F">
      <w:r w:rsidRPr="002C20CC">
        <w:t>3.3.8 Nadmiarowość wprowadzania</w:t>
      </w:r>
    </w:p>
    <w:p w14:paraId="1C4381A7" w14:textId="77777777" w:rsidR="0052734F" w:rsidRPr="0052734F" w:rsidRDefault="0052734F" w:rsidP="0052734F">
      <w:r w:rsidRPr="0052734F">
        <w:t xml:space="preserve">4.1.2 Nazwa, rola, wartość </w:t>
      </w:r>
    </w:p>
    <w:p w14:paraId="08EFA727" w14:textId="64D1AD9F" w:rsidR="0052734F" w:rsidRDefault="0052734F" w:rsidP="0052734F">
      <w:r w:rsidRPr="0052734F">
        <w:t>4.1.3 Komunikaty o stanie</w:t>
      </w:r>
    </w:p>
    <w:p w14:paraId="2CFCDE76" w14:textId="77777777" w:rsidR="006F4B3B" w:rsidRPr="006F4B3B" w:rsidRDefault="006F4B3B" w:rsidP="006F4B3B">
      <w:r w:rsidRPr="006F4B3B">
        <w:t xml:space="preserve">Zgodnie z Ustawą o dostępności strona musi spełniać zasady ogólne, wytyczne i mierzalne kryteria sukcesu. W procesie oceny dostępności sprawdzane powinny być m.in.: </w:t>
      </w:r>
    </w:p>
    <w:p w14:paraId="7BEF147A" w14:textId="77777777" w:rsidR="006F4B3B" w:rsidRPr="006F4B3B" w:rsidRDefault="006F4B3B" w:rsidP="006F4B3B">
      <w:pPr>
        <w:numPr>
          <w:ilvl w:val="0"/>
          <w:numId w:val="2"/>
        </w:numPr>
      </w:pPr>
      <w:r w:rsidRPr="006F4B3B">
        <w:t xml:space="preserve">zgodności kodu HTML i CSS ze standardem W3C; </w:t>
      </w:r>
    </w:p>
    <w:p w14:paraId="1DF194B1" w14:textId="77777777" w:rsidR="006F4B3B" w:rsidRPr="006F4B3B" w:rsidRDefault="006F4B3B" w:rsidP="006F4B3B">
      <w:pPr>
        <w:numPr>
          <w:ilvl w:val="0"/>
          <w:numId w:val="2"/>
        </w:numPr>
      </w:pPr>
      <w:r w:rsidRPr="006F4B3B">
        <w:t xml:space="preserve">alternatywy dla mediów zależnych od czasu - sprawdzenie czy są dostępne transkrypcje nagrań dźwiękowych i napisy w filmach wideo; </w:t>
      </w:r>
    </w:p>
    <w:p w14:paraId="57E21441" w14:textId="77777777" w:rsidR="006F4B3B" w:rsidRPr="006F4B3B" w:rsidRDefault="006F4B3B" w:rsidP="006F4B3B">
      <w:pPr>
        <w:numPr>
          <w:ilvl w:val="0"/>
          <w:numId w:val="2"/>
        </w:numPr>
      </w:pPr>
      <w:r w:rsidRPr="006F4B3B">
        <w:t xml:space="preserve">czy strona jest poprawnie odczytywana przez programy czytające (screen readers) wykorzystywane przez osoby niedowidzące i słabowidzące; </w:t>
      </w:r>
    </w:p>
    <w:p w14:paraId="172FE62B" w14:textId="77777777" w:rsidR="006F4B3B" w:rsidRPr="006F4B3B" w:rsidRDefault="006F4B3B" w:rsidP="006F4B3B">
      <w:pPr>
        <w:numPr>
          <w:ilvl w:val="0"/>
          <w:numId w:val="2"/>
        </w:numPr>
      </w:pPr>
      <w:r w:rsidRPr="006F4B3B">
        <w:t xml:space="preserve">obsługa klawiatury na stronie; </w:t>
      </w:r>
    </w:p>
    <w:p w14:paraId="239DD052" w14:textId="77777777" w:rsidR="006F4B3B" w:rsidRPr="006F4B3B" w:rsidRDefault="006F4B3B" w:rsidP="006F4B3B">
      <w:pPr>
        <w:numPr>
          <w:ilvl w:val="0"/>
          <w:numId w:val="2"/>
        </w:numPr>
      </w:pPr>
      <w:r w:rsidRPr="006F4B3B">
        <w:t xml:space="preserve">kolejności podświetlanych elementów na stronie; </w:t>
      </w:r>
    </w:p>
    <w:p w14:paraId="784DA550" w14:textId="77777777" w:rsidR="006F4B3B" w:rsidRPr="006F4B3B" w:rsidRDefault="006F4B3B" w:rsidP="006F4B3B">
      <w:pPr>
        <w:numPr>
          <w:ilvl w:val="0"/>
          <w:numId w:val="2"/>
        </w:numPr>
      </w:pPr>
      <w:r w:rsidRPr="006F4B3B">
        <w:t xml:space="preserve">poprawności kontrastów na stronie dla tekstów i elementów znaczących; </w:t>
      </w:r>
    </w:p>
    <w:p w14:paraId="55CBF1DC" w14:textId="77777777" w:rsidR="006F4B3B" w:rsidRPr="006F4B3B" w:rsidRDefault="006F4B3B" w:rsidP="006F4B3B">
      <w:pPr>
        <w:numPr>
          <w:ilvl w:val="0"/>
          <w:numId w:val="2"/>
        </w:numPr>
      </w:pPr>
      <w:r w:rsidRPr="006F4B3B">
        <w:t xml:space="preserve">czy użytkownik dysponuje wystarczającą ilością czasu na odczytanie informacji, wyjątkiem są zdarzenia zachodzące w czasie rzeczywistym (np. aukcje internetowe); </w:t>
      </w:r>
    </w:p>
    <w:p w14:paraId="0C0A723F" w14:textId="77777777" w:rsidR="006F4B3B" w:rsidRPr="006F4B3B" w:rsidRDefault="006F4B3B" w:rsidP="006F4B3B">
      <w:pPr>
        <w:numPr>
          <w:ilvl w:val="0"/>
          <w:numId w:val="2"/>
        </w:numPr>
      </w:pPr>
      <w:r w:rsidRPr="006F4B3B">
        <w:t xml:space="preserve">czy istnieją treści zwiększające ryzyko napadu padaczki poprzez oddziaływanie na układ nerwowy człowieka; </w:t>
      </w:r>
    </w:p>
    <w:p w14:paraId="07CD8EE4" w14:textId="77777777" w:rsidR="006F4B3B" w:rsidRPr="006F4B3B" w:rsidRDefault="006F4B3B" w:rsidP="006F4B3B">
      <w:pPr>
        <w:numPr>
          <w:ilvl w:val="0"/>
          <w:numId w:val="2"/>
        </w:numPr>
      </w:pPr>
      <w:r w:rsidRPr="006F4B3B">
        <w:t xml:space="preserve">czy istnieją linki umożliwiające ominięcie nawigacji i innych powtarzających się elementów w podstronach; </w:t>
      </w:r>
    </w:p>
    <w:p w14:paraId="73EF768D" w14:textId="77777777" w:rsidR="006F4B3B" w:rsidRDefault="006F4B3B" w:rsidP="006F4B3B">
      <w:pPr>
        <w:numPr>
          <w:ilvl w:val="0"/>
          <w:numId w:val="2"/>
        </w:numPr>
      </w:pPr>
      <w:r w:rsidRPr="006F4B3B">
        <w:t xml:space="preserve">czy istnieją przynajmniej dwie drogi prowadzące do zasobów. </w:t>
      </w:r>
    </w:p>
    <w:p w14:paraId="73073566" w14:textId="77777777" w:rsidR="006F4B3B" w:rsidRPr="006F4B3B" w:rsidRDefault="006F4B3B" w:rsidP="006F4B3B"/>
    <w:p w14:paraId="2071D923" w14:textId="2F975327" w:rsidR="006F4B3B" w:rsidRPr="006F4B3B" w:rsidRDefault="006F4B3B" w:rsidP="006F4B3B">
      <w:r>
        <w:t>W zakresie każdego ze zleceń audytowych znajdą się co najmniej następujące metody badawcze:</w:t>
      </w:r>
    </w:p>
    <w:p w14:paraId="4AA3E1B7" w14:textId="58D01F14" w:rsidR="006F4B3B" w:rsidRPr="006F4B3B" w:rsidRDefault="006F4B3B" w:rsidP="006F4B3B">
      <w:r>
        <w:t xml:space="preserve">I. </w:t>
      </w:r>
      <w:r w:rsidRPr="006F4B3B">
        <w:t xml:space="preserve">Przeprowadzenie audytu szczegółowego z udziałem osób z niepełnosprawnościami </w:t>
      </w:r>
    </w:p>
    <w:p w14:paraId="0C1706B2" w14:textId="29683A23" w:rsidR="006F4B3B" w:rsidRPr="006F4B3B" w:rsidRDefault="006F4B3B" w:rsidP="006F4B3B">
      <w:r>
        <w:t xml:space="preserve">II. </w:t>
      </w:r>
      <w:r w:rsidRPr="006F4B3B">
        <w:t xml:space="preserve">Przeprowadzenie testów w tym: </w:t>
      </w:r>
    </w:p>
    <w:p w14:paraId="31D2BD43" w14:textId="77777777" w:rsidR="006F4B3B" w:rsidRDefault="006F4B3B" w:rsidP="006F4B3B">
      <w:r>
        <w:t xml:space="preserve">a) </w:t>
      </w:r>
      <w:r w:rsidRPr="006F4B3B">
        <w:t xml:space="preserve">Testy automatyczne </w:t>
      </w:r>
    </w:p>
    <w:p w14:paraId="47E84F56" w14:textId="1DF55A64" w:rsidR="006F4B3B" w:rsidRPr="006F4B3B" w:rsidRDefault="006F4B3B" w:rsidP="006F4B3B">
      <w:r>
        <w:t xml:space="preserve">b) </w:t>
      </w:r>
      <w:r w:rsidRPr="006F4B3B">
        <w:t xml:space="preserve">Badania eksperckie </w:t>
      </w:r>
    </w:p>
    <w:p w14:paraId="36387554" w14:textId="03B3907B" w:rsidR="006F4B3B" w:rsidRDefault="006F4B3B" w:rsidP="006F4B3B">
      <w:r>
        <w:t xml:space="preserve">c) </w:t>
      </w:r>
      <w:r w:rsidRPr="006F4B3B">
        <w:t xml:space="preserve">Testy z użyciem listy kontrolnej </w:t>
      </w:r>
    </w:p>
    <w:p w14:paraId="7FBFC949" w14:textId="6B044539" w:rsidR="006F4B3B" w:rsidRPr="006F4B3B" w:rsidRDefault="006F4B3B" w:rsidP="006F4B3B">
      <w:r>
        <w:t xml:space="preserve">d) </w:t>
      </w:r>
      <w:r w:rsidRPr="006F4B3B">
        <w:t>Badania z użyciem technologii asystujących</w:t>
      </w:r>
    </w:p>
    <w:p w14:paraId="3CC00131" w14:textId="22E93019" w:rsidR="006F4B3B" w:rsidRDefault="004C1B68" w:rsidP="0052734F">
      <w:r>
        <w:t xml:space="preserve">Przewiduje się wykonywanie zadań z zakresu audytu dostępności na wskazanych przez Zamawiającego środowiskach testowych. Realizacja zadań może wymagać zestawienia bezpiecznego połączenia i uzyskania dostępu do wskazanego środowiska (np. zestawienie VPN). Takie ewentualne dostępy zostaną przygotowane w porozumieniu między Stronami umowy. </w:t>
      </w:r>
    </w:p>
    <w:p w14:paraId="4DB7F9F4" w14:textId="77777777" w:rsidR="004C1B68" w:rsidRDefault="004C1B68" w:rsidP="0052734F"/>
    <w:p w14:paraId="5E3491C4" w14:textId="471D9062" w:rsidR="0052734F" w:rsidRDefault="004F504F" w:rsidP="0052734F">
      <w:pPr>
        <w:pStyle w:val="Akapitzlist"/>
        <w:numPr>
          <w:ilvl w:val="0"/>
          <w:numId w:val="1"/>
        </w:numPr>
      </w:pPr>
      <w:r>
        <w:t>Obowiązki Wykonawcy</w:t>
      </w:r>
    </w:p>
    <w:p w14:paraId="3482A659" w14:textId="77777777" w:rsidR="004F504F" w:rsidRDefault="004F504F" w:rsidP="004F504F">
      <w:r>
        <w:t>Po realizacji prac Wykonawca dostarczy Zamawiającemu:</w:t>
      </w:r>
    </w:p>
    <w:p w14:paraId="5E2A030E" w14:textId="0B081B51" w:rsidR="004F504F" w:rsidRDefault="004F504F" w:rsidP="004F504F">
      <w:r>
        <w:t>I. Raport zawierający co najmniej:</w:t>
      </w:r>
    </w:p>
    <w:p w14:paraId="5853140B" w14:textId="547E2C93" w:rsidR="004F504F" w:rsidRDefault="004F504F" w:rsidP="004F504F">
      <w:r>
        <w:t>a) streszczenie;</w:t>
      </w:r>
    </w:p>
    <w:p w14:paraId="3399DFC6" w14:textId="751C0C0C" w:rsidR="004F504F" w:rsidRDefault="004F504F" w:rsidP="004F504F">
      <w:r>
        <w:t>b) opis metodologii badania;</w:t>
      </w:r>
    </w:p>
    <w:p w14:paraId="46FEC88D" w14:textId="3BD76311" w:rsidR="004F504F" w:rsidRDefault="004F504F" w:rsidP="004F504F">
      <w:r>
        <w:t>c) wyniki badania, wnioski i szczegółowe rekomendacje;</w:t>
      </w:r>
    </w:p>
    <w:p w14:paraId="3760986C" w14:textId="77777777" w:rsidR="004F504F" w:rsidRDefault="004F504F" w:rsidP="004F504F">
      <w:r>
        <w:t>2. załączniki – jeśli dotyczy, w zależności od wykorzystywanej metodologii (np. lista kryteriów, nagrania audio-video badań na płytach DVD, charakterystyka uczestników badania, lista użytkowników i zadań).</w:t>
      </w:r>
    </w:p>
    <w:p w14:paraId="76F8A7F6" w14:textId="77777777" w:rsidR="004F504F" w:rsidRDefault="004F504F" w:rsidP="004F504F">
      <w:r>
        <w:t>Raport oraz nośniki danych, na których zostanie przekazany, a także inne materiały dotyczące badania i przekazywane Zamawiającemu będą oznakowane zestawem znaków, które Wykonawca otrzyma od Zamawiającego.</w:t>
      </w:r>
    </w:p>
    <w:p w14:paraId="3C506E1F" w14:textId="77777777" w:rsidR="004F504F" w:rsidRDefault="004F504F" w:rsidP="004F504F">
      <w:r>
        <w:t>Raport musi być dostarczony Zamawiającemu, w formie elektronicznej – w formacie .DOC i .PDF., najpóźniej w ostatnim dniu realizacji audytu.</w:t>
      </w:r>
    </w:p>
    <w:p w14:paraId="2228EAAD" w14:textId="100A64D2" w:rsidR="004F504F" w:rsidRDefault="004F504F" w:rsidP="004F504F">
      <w:r>
        <w:t xml:space="preserve">W ramach współpracy z Zamawiającym Wykonawca i Zamawiający wyznaczają w swoich strukturach osobę prowadzącą zlecenie oraz osobę zastępującą prowadzącego zlecenie w przypadku jego nieobecności. Wykonawca zobowiązany jest do sprawnej i terminowej realizacji zamówienia oraz stałej współpracy z Zamawiającym, w tym </w:t>
      </w:r>
      <w:r w:rsidRPr="004F504F">
        <w:t>pozostawania w stałym kontakcie (kontakt telefoniczny oraz drogą elektroniczną; spotkania z Zamawiającym w miarę potrzeb; wyznaczenie osoby do kontaktów roboczych)</w:t>
      </w:r>
      <w:r>
        <w:t xml:space="preserve"> oraz </w:t>
      </w:r>
      <w:r w:rsidRPr="004F504F">
        <w:t>informowania o stanie prac, pojawiających się problemach i innych zagadnieniach istotnych dla realizacji badania.</w:t>
      </w:r>
    </w:p>
    <w:p w14:paraId="42747AC9" w14:textId="09974924" w:rsidR="004C1B68" w:rsidRDefault="004C1B68" w:rsidP="004F504F">
      <w:r>
        <w:lastRenderedPageBreak/>
        <w:t>Wykonawca zobowiązany jest wskazać osobę odpowiedzialność za łączność sieciową w okresie realizacji zamówienia.</w:t>
      </w:r>
    </w:p>
    <w:p w14:paraId="6B155708" w14:textId="550F08CB" w:rsidR="004F504F" w:rsidRDefault="004F504F" w:rsidP="004F504F">
      <w:pPr>
        <w:pStyle w:val="Akapitzlist"/>
        <w:numPr>
          <w:ilvl w:val="0"/>
          <w:numId w:val="1"/>
        </w:numPr>
      </w:pPr>
      <w:r>
        <w:t>Umowa i warunki zamówienia</w:t>
      </w:r>
    </w:p>
    <w:p w14:paraId="3530007B" w14:textId="0BBE4FA1" w:rsidR="004F504F" w:rsidRDefault="004F504F" w:rsidP="000F7E26">
      <w:r>
        <w:t xml:space="preserve">Umowa z Wykonawcą zostanie zawarta na okres 24 miesięcy. </w:t>
      </w:r>
      <w:r w:rsidR="000F7E26">
        <w:t>Umowa z Wykonawcą zostanie zawarta według zapisów zgodnych z PPU, stanowiących załącznik do ogłoszenia. Wykonawca, składając ofertę, jednocześnie akceptuje te zapisy.</w:t>
      </w:r>
    </w:p>
    <w:p w14:paraId="35DC335D" w14:textId="2DDAD42E" w:rsidR="00721C17" w:rsidRDefault="00721C17" w:rsidP="00721C17">
      <w:pPr>
        <w:pStyle w:val="Akapitzlist"/>
        <w:numPr>
          <w:ilvl w:val="0"/>
          <w:numId w:val="1"/>
        </w:numPr>
      </w:pPr>
      <w:r>
        <w:t>Orientacyjny harmonogram prac audytowych</w:t>
      </w:r>
    </w:p>
    <w:p w14:paraId="48A12B0B" w14:textId="70C4D961" w:rsidR="00C8247C" w:rsidRDefault="00C8247C" w:rsidP="00C8247C">
      <w:r>
        <w:t>a) badanie dostępności Systemu Technicznego Jednolitego Portalu Cyfrowego – II kwartał 2025 r.</w:t>
      </w:r>
    </w:p>
    <w:p w14:paraId="69FD22BB" w14:textId="411BEB7A" w:rsidR="00C8247C" w:rsidRDefault="00C8247C" w:rsidP="00C8247C">
      <w:r>
        <w:t>b) badanie dostępności systemu Biznes.gov.pl w zakresie modułu umów – funkcjonalności podstawowe – III kwartał 2025 r.</w:t>
      </w:r>
    </w:p>
    <w:p w14:paraId="2F2A4E28" w14:textId="33CD4939" w:rsidR="00C8247C" w:rsidRDefault="00C8247C" w:rsidP="00C8247C">
      <w:r>
        <w:t>c) badanie dostępności systemu Biznes.gov.pl w zakresie modułu umów – funkcjonalności rozszerzone – IVQ 2026 r. / IQ 2027 r.</w:t>
      </w:r>
    </w:p>
    <w:p w14:paraId="05050F6E" w14:textId="1C9D7FB9" w:rsidR="00C8247C" w:rsidRDefault="00C8247C" w:rsidP="00C8247C">
      <w:r>
        <w:t>d) badanie dostępności zmodernizowanego modułu Zaplecza systemu Biznes.gov.pl – IVQ 2025 r. / IQ 2026 r.</w:t>
      </w:r>
    </w:p>
    <w:p w14:paraId="2E2D9999" w14:textId="4E9F142A" w:rsidR="00C8247C" w:rsidRDefault="00C8247C" w:rsidP="00C8247C">
      <w:r>
        <w:t>e) realizacja badania dostępności systemu Biznes.gov.pl (w pozostałym zakresie) lub systemu Platformy Internetowej Polityki Zakupowej Państwa – prawo opcji – zadanie realizowane w trybie ciągłym, w zależności od potrzeb Zamawiającego, do 24 miesięcy od dnia podpisania umowy.</w:t>
      </w:r>
    </w:p>
    <w:p w14:paraId="3B0BE9FD" w14:textId="0283258E" w:rsidR="00C20549" w:rsidRDefault="00C20549" w:rsidP="00C20549"/>
    <w:sectPr w:rsidR="00C2054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4768" w14:textId="77777777" w:rsidR="004C1D3D" w:rsidRDefault="004C1D3D" w:rsidP="004C1D3D">
      <w:pPr>
        <w:spacing w:after="0" w:line="240" w:lineRule="auto"/>
      </w:pPr>
      <w:r>
        <w:separator/>
      </w:r>
    </w:p>
  </w:endnote>
  <w:endnote w:type="continuationSeparator" w:id="0">
    <w:p w14:paraId="60D40885" w14:textId="77777777" w:rsidR="004C1D3D" w:rsidRDefault="004C1D3D" w:rsidP="004C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D2C5" w14:textId="77777777" w:rsidR="004C1D3D" w:rsidRDefault="004C1D3D" w:rsidP="004C1D3D">
      <w:pPr>
        <w:spacing w:after="0" w:line="240" w:lineRule="auto"/>
      </w:pPr>
      <w:r>
        <w:separator/>
      </w:r>
    </w:p>
  </w:footnote>
  <w:footnote w:type="continuationSeparator" w:id="0">
    <w:p w14:paraId="1B0C13DA" w14:textId="77777777" w:rsidR="004C1D3D" w:rsidRDefault="004C1D3D" w:rsidP="004C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BD73" w14:textId="4705B3E5" w:rsidR="004C1D3D" w:rsidRDefault="004C1D3D">
    <w:pPr>
      <w:pStyle w:val="Nagwek"/>
    </w:pPr>
    <w:r>
      <w:rPr>
        <w:noProof/>
      </w:rPr>
      <w:drawing>
        <wp:inline distT="0" distB="0" distL="0" distR="0" wp14:anchorId="3FD58D5A" wp14:editId="3C98A52E">
          <wp:extent cx="5753100" cy="822960"/>
          <wp:effectExtent l="0" t="0" r="0" b="0"/>
          <wp:docPr id="13379728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730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90484F"/>
    <w:multiLevelType w:val="hybridMultilevel"/>
    <w:tmpl w:val="250E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F306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32752788">
    <w:abstractNumId w:val="1"/>
  </w:num>
  <w:num w:numId="2" w16cid:durableId="1842692524">
    <w:abstractNumId w:val="0"/>
  </w:num>
  <w:num w:numId="3" w16cid:durableId="834108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62"/>
    <w:rsid w:val="0001149F"/>
    <w:rsid w:val="000F7E26"/>
    <w:rsid w:val="00280CD4"/>
    <w:rsid w:val="002C20CC"/>
    <w:rsid w:val="003A506B"/>
    <w:rsid w:val="004021E9"/>
    <w:rsid w:val="00421C62"/>
    <w:rsid w:val="004C1B68"/>
    <w:rsid w:val="004C1D3D"/>
    <w:rsid w:val="004F504F"/>
    <w:rsid w:val="00517AA2"/>
    <w:rsid w:val="0052734F"/>
    <w:rsid w:val="005A7A4C"/>
    <w:rsid w:val="006F4B3B"/>
    <w:rsid w:val="00721C17"/>
    <w:rsid w:val="00766991"/>
    <w:rsid w:val="008A281B"/>
    <w:rsid w:val="00A0564A"/>
    <w:rsid w:val="00A44907"/>
    <w:rsid w:val="00C20549"/>
    <w:rsid w:val="00C8247C"/>
    <w:rsid w:val="00CB68B4"/>
    <w:rsid w:val="00CF16C3"/>
    <w:rsid w:val="00D2091B"/>
    <w:rsid w:val="00EE0E72"/>
    <w:rsid w:val="00EF2600"/>
    <w:rsid w:val="00F40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FD1E"/>
  <w15:chartTrackingRefBased/>
  <w15:docId w15:val="{C75C26A2-4DDD-44A9-BFF9-7DEE0FFF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21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21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21C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21C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1C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1C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1C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1C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1C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C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21C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21C6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21C6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1C6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1C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1C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1C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1C62"/>
    <w:rPr>
      <w:rFonts w:eastAsiaTheme="majorEastAsia" w:cstheme="majorBidi"/>
      <w:color w:val="272727" w:themeColor="text1" w:themeTint="D8"/>
    </w:rPr>
  </w:style>
  <w:style w:type="paragraph" w:styleId="Tytu">
    <w:name w:val="Title"/>
    <w:basedOn w:val="Normalny"/>
    <w:next w:val="Normalny"/>
    <w:link w:val="TytuZnak"/>
    <w:uiPriority w:val="10"/>
    <w:qFormat/>
    <w:rsid w:val="0042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1C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1C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1C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1C62"/>
    <w:pPr>
      <w:spacing w:before="160"/>
      <w:jc w:val="center"/>
    </w:pPr>
    <w:rPr>
      <w:i/>
      <w:iCs/>
      <w:color w:val="404040" w:themeColor="text1" w:themeTint="BF"/>
    </w:rPr>
  </w:style>
  <w:style w:type="character" w:customStyle="1" w:styleId="CytatZnak">
    <w:name w:val="Cytat Znak"/>
    <w:basedOn w:val="Domylnaczcionkaakapitu"/>
    <w:link w:val="Cytat"/>
    <w:uiPriority w:val="29"/>
    <w:rsid w:val="00421C62"/>
    <w:rPr>
      <w:i/>
      <w:iCs/>
      <w:color w:val="404040" w:themeColor="text1" w:themeTint="BF"/>
    </w:rPr>
  </w:style>
  <w:style w:type="paragraph" w:styleId="Akapitzlist">
    <w:name w:val="List Paragraph"/>
    <w:basedOn w:val="Normalny"/>
    <w:uiPriority w:val="34"/>
    <w:qFormat/>
    <w:rsid w:val="00421C62"/>
    <w:pPr>
      <w:ind w:left="720"/>
      <w:contextualSpacing/>
    </w:pPr>
  </w:style>
  <w:style w:type="character" w:styleId="Wyrnienieintensywne">
    <w:name w:val="Intense Emphasis"/>
    <w:basedOn w:val="Domylnaczcionkaakapitu"/>
    <w:uiPriority w:val="21"/>
    <w:qFormat/>
    <w:rsid w:val="00421C62"/>
    <w:rPr>
      <w:i/>
      <w:iCs/>
      <w:color w:val="0F4761" w:themeColor="accent1" w:themeShade="BF"/>
    </w:rPr>
  </w:style>
  <w:style w:type="paragraph" w:styleId="Cytatintensywny">
    <w:name w:val="Intense Quote"/>
    <w:basedOn w:val="Normalny"/>
    <w:next w:val="Normalny"/>
    <w:link w:val="CytatintensywnyZnak"/>
    <w:uiPriority w:val="30"/>
    <w:qFormat/>
    <w:rsid w:val="00421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1C62"/>
    <w:rPr>
      <w:i/>
      <w:iCs/>
      <w:color w:val="0F4761" w:themeColor="accent1" w:themeShade="BF"/>
    </w:rPr>
  </w:style>
  <w:style w:type="character" w:styleId="Odwoanieintensywne">
    <w:name w:val="Intense Reference"/>
    <w:basedOn w:val="Domylnaczcionkaakapitu"/>
    <w:uiPriority w:val="32"/>
    <w:qFormat/>
    <w:rsid w:val="00421C62"/>
    <w:rPr>
      <w:b/>
      <w:bCs/>
      <w:smallCaps/>
      <w:color w:val="0F4761" w:themeColor="accent1" w:themeShade="BF"/>
      <w:spacing w:val="5"/>
    </w:rPr>
  </w:style>
  <w:style w:type="paragraph" w:styleId="Nagwek">
    <w:name w:val="header"/>
    <w:basedOn w:val="Normalny"/>
    <w:link w:val="NagwekZnak"/>
    <w:uiPriority w:val="99"/>
    <w:unhideWhenUsed/>
    <w:rsid w:val="004C1D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D3D"/>
  </w:style>
  <w:style w:type="paragraph" w:styleId="Stopka">
    <w:name w:val="footer"/>
    <w:basedOn w:val="Normalny"/>
    <w:link w:val="StopkaZnak"/>
    <w:uiPriority w:val="99"/>
    <w:unhideWhenUsed/>
    <w:rsid w:val="004C1D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D3D"/>
  </w:style>
  <w:style w:type="table" w:styleId="Tabela-Siatka">
    <w:name w:val="Table Grid"/>
    <w:basedOn w:val="Standardowy"/>
    <w:uiPriority w:val="39"/>
    <w:rsid w:val="00766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8</Pages>
  <Words>1890</Words>
  <Characters>11340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18</cp:revision>
  <dcterms:created xsi:type="dcterms:W3CDTF">2025-01-29T10:08:00Z</dcterms:created>
  <dcterms:modified xsi:type="dcterms:W3CDTF">2025-02-04T15:32:00Z</dcterms:modified>
</cp:coreProperties>
</file>