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2D1" w:rsidRPr="009E22D1" w:rsidRDefault="009E22D1" w:rsidP="009E22D1">
      <w:pPr>
        <w:jc w:val="both"/>
        <w:rPr>
          <w:b/>
        </w:rPr>
      </w:pPr>
      <w:bookmarkStart w:id="0" w:name="_GoBack"/>
      <w:bookmarkEnd w:id="0"/>
      <w:r>
        <w:rPr>
          <w:b/>
        </w:rPr>
        <w:t xml:space="preserve">Założenia </w:t>
      </w:r>
      <w:r w:rsidRPr="006314F9">
        <w:rPr>
          <w:b/>
        </w:rPr>
        <w:t xml:space="preserve">dotyczące konkursów na budowę sieci </w:t>
      </w:r>
      <w:r>
        <w:rPr>
          <w:b/>
        </w:rPr>
        <w:t>szerokopasmowych finansowanych z Programu Fundusze Europejskie</w:t>
      </w:r>
      <w:r w:rsidRPr="000F09BE">
        <w:rPr>
          <w:b/>
        </w:rPr>
        <w:t xml:space="preserve"> na Rozwój Cyfrowy</w:t>
      </w:r>
      <w:r>
        <w:rPr>
          <w:b/>
        </w:rPr>
        <w:t xml:space="preserve"> (FERC) oraz Krajowego Planu Odbudowy (KPO)</w:t>
      </w:r>
      <w:r w:rsidRPr="000F09BE">
        <w:rPr>
          <w:b/>
        </w:rPr>
        <w:t>:</w:t>
      </w:r>
    </w:p>
    <w:p w:rsidR="00282310" w:rsidRPr="00282310" w:rsidRDefault="00282310" w:rsidP="00282310">
      <w:pPr>
        <w:pStyle w:val="Akapitzlist"/>
        <w:numPr>
          <w:ilvl w:val="0"/>
          <w:numId w:val="1"/>
        </w:numPr>
        <w:spacing w:line="276" w:lineRule="auto"/>
        <w:jc w:val="both"/>
      </w:pPr>
      <w:r w:rsidRPr="00282310">
        <w:t>Planujemy ogłosić</w:t>
      </w:r>
      <w:r w:rsidRPr="00282310">
        <w:rPr>
          <w:b/>
        </w:rPr>
        <w:t xml:space="preserve"> 2 równoległe ogólnopolskie konkursy</w:t>
      </w:r>
      <w:r w:rsidRPr="00282310">
        <w:t xml:space="preserve"> (1-FERC + 1-KPO);</w:t>
      </w:r>
    </w:p>
    <w:p w:rsidR="00282310" w:rsidRPr="00282310" w:rsidRDefault="00282310" w:rsidP="00282310">
      <w:pPr>
        <w:pStyle w:val="Akapitzlist"/>
        <w:numPr>
          <w:ilvl w:val="0"/>
          <w:numId w:val="1"/>
        </w:numPr>
        <w:spacing w:line="276" w:lineRule="auto"/>
        <w:jc w:val="both"/>
        <w:rPr>
          <w:b/>
        </w:rPr>
      </w:pPr>
      <w:r w:rsidRPr="00282310">
        <w:t>Inwestycje będą realizowane</w:t>
      </w:r>
      <w:r w:rsidRPr="00282310">
        <w:rPr>
          <w:b/>
        </w:rPr>
        <w:t xml:space="preserve"> na obszarach o wielkości</w:t>
      </w:r>
      <w:r w:rsidRPr="00282310">
        <w:t xml:space="preserve"> </w:t>
      </w:r>
      <w:r w:rsidRPr="00282310">
        <w:rPr>
          <w:b/>
        </w:rPr>
        <w:t>powiatu lub zbliżonej</w:t>
      </w:r>
      <w:r w:rsidRPr="00282310">
        <w:t>;</w:t>
      </w:r>
    </w:p>
    <w:p w:rsidR="00282310" w:rsidRPr="00282310" w:rsidRDefault="00282310" w:rsidP="00282310">
      <w:pPr>
        <w:pStyle w:val="Akapitzlist"/>
        <w:numPr>
          <w:ilvl w:val="0"/>
          <w:numId w:val="1"/>
        </w:numPr>
        <w:spacing w:line="276" w:lineRule="auto"/>
        <w:jc w:val="both"/>
        <w:rPr>
          <w:b/>
        </w:rPr>
      </w:pPr>
      <w:r w:rsidRPr="00282310">
        <w:rPr>
          <w:b/>
        </w:rPr>
        <w:t>Obszar będzie dofinansowany albo ze środków KPO, albo ze środków FERC:</w:t>
      </w:r>
    </w:p>
    <w:p w:rsidR="00282310" w:rsidRPr="00282310" w:rsidRDefault="00282310" w:rsidP="00282310">
      <w:pPr>
        <w:pStyle w:val="Akapitzlist"/>
        <w:numPr>
          <w:ilvl w:val="0"/>
          <w:numId w:val="4"/>
        </w:numPr>
        <w:spacing w:line="276" w:lineRule="auto"/>
        <w:jc w:val="both"/>
      </w:pPr>
      <w:r w:rsidRPr="00282310">
        <w:t>do FERC trafią obszary z tańszym średnim dofinansowaniem,</w:t>
      </w:r>
    </w:p>
    <w:p w:rsidR="00282310" w:rsidRPr="00282310" w:rsidRDefault="00282310" w:rsidP="00282310">
      <w:pPr>
        <w:pStyle w:val="Akapitzlist"/>
        <w:numPr>
          <w:ilvl w:val="0"/>
          <w:numId w:val="4"/>
        </w:numPr>
        <w:spacing w:line="276" w:lineRule="auto"/>
        <w:jc w:val="both"/>
      </w:pPr>
      <w:r w:rsidRPr="00282310">
        <w:t>do KPO – obszary z droższym średnim dofinansowaniem;</w:t>
      </w:r>
    </w:p>
    <w:p w:rsidR="00282310" w:rsidRPr="00282310" w:rsidRDefault="00282310" w:rsidP="00282310">
      <w:pPr>
        <w:pStyle w:val="Akapitzlist"/>
        <w:numPr>
          <w:ilvl w:val="0"/>
          <w:numId w:val="1"/>
        </w:numPr>
        <w:spacing w:line="276" w:lineRule="auto"/>
        <w:jc w:val="both"/>
      </w:pPr>
      <w:r w:rsidRPr="00282310">
        <w:t xml:space="preserve">Dofinansowaniem zostaną objęte adresy, pod którymi nie ma i nie jest planowane zapewnienie dostępu do internetu </w:t>
      </w:r>
      <w:r w:rsidRPr="00282310">
        <w:rPr>
          <w:b/>
        </w:rPr>
        <w:t>o przepustowości co najmniej 30 Mb/s</w:t>
      </w:r>
      <w:r w:rsidRPr="00282310">
        <w:t>;</w:t>
      </w:r>
    </w:p>
    <w:p w:rsidR="00282310" w:rsidRPr="00282310" w:rsidRDefault="00282310" w:rsidP="00282310">
      <w:pPr>
        <w:pStyle w:val="Akapitzlist"/>
        <w:numPr>
          <w:ilvl w:val="0"/>
          <w:numId w:val="1"/>
        </w:numPr>
        <w:spacing w:line="276" w:lineRule="auto"/>
        <w:jc w:val="both"/>
      </w:pPr>
      <w:r w:rsidRPr="00282310">
        <w:t xml:space="preserve">Beneficjent będzie musiał zapewnić dostęp do szybkiego internetu </w:t>
      </w:r>
      <w:r w:rsidRPr="00282310">
        <w:rPr>
          <w:b/>
        </w:rPr>
        <w:t xml:space="preserve">pod wszystkimi adresami wyznaczonymi w obszarze </w:t>
      </w:r>
      <w:r w:rsidRPr="00282310">
        <w:t>(w odróżnieniu od POPC, gdzie beneficjenci wybierali gospodarstwa domowe z udostępnionej listy):</w:t>
      </w:r>
    </w:p>
    <w:p w:rsidR="00282310" w:rsidRPr="00282310" w:rsidRDefault="00282310" w:rsidP="00282310">
      <w:pPr>
        <w:pStyle w:val="Akapitzlist"/>
        <w:numPr>
          <w:ilvl w:val="0"/>
          <w:numId w:val="3"/>
        </w:numPr>
        <w:jc w:val="both"/>
      </w:pPr>
      <w:r w:rsidRPr="00282310">
        <w:rPr>
          <w:b/>
        </w:rPr>
        <w:t xml:space="preserve">chyba, że napotka przeszkody o obiektywnym charakterze </w:t>
      </w:r>
      <w:r w:rsidRPr="00282310">
        <w:t>(np. długotrwałe oczekiwanie na zgodę na przejście przez nieruchomość),</w:t>
      </w:r>
    </w:p>
    <w:p w:rsidR="00282310" w:rsidRPr="00282310" w:rsidRDefault="00282310" w:rsidP="00282310">
      <w:pPr>
        <w:pStyle w:val="Akapitzlist"/>
        <w:numPr>
          <w:ilvl w:val="0"/>
          <w:numId w:val="3"/>
        </w:numPr>
        <w:jc w:val="both"/>
      </w:pPr>
      <w:r w:rsidRPr="00282310">
        <w:rPr>
          <w:b/>
        </w:rPr>
        <w:t>będzie musiał jednak uwzględnić w projekcie budynki nowe</w:t>
      </w:r>
      <w:r w:rsidRPr="00282310">
        <w:t>, które nie istniały w momencie wyznaczania obszarów;</w:t>
      </w:r>
    </w:p>
    <w:p w:rsidR="00282310" w:rsidRPr="00282310" w:rsidRDefault="00282310" w:rsidP="00282310">
      <w:pPr>
        <w:pStyle w:val="Akapitzlist"/>
        <w:numPr>
          <w:ilvl w:val="0"/>
          <w:numId w:val="1"/>
        </w:numPr>
        <w:jc w:val="both"/>
      </w:pPr>
      <w:r w:rsidRPr="00282310">
        <w:t xml:space="preserve">Dofinansowanie będzie udzielane </w:t>
      </w:r>
      <w:r w:rsidRPr="00282310">
        <w:rPr>
          <w:b/>
        </w:rPr>
        <w:t>w postaci stawki ryczałtowej/jednostkowej</w:t>
      </w:r>
      <w:r w:rsidRPr="00282310">
        <w:t xml:space="preserve"> za adres objęty zasięgiem sieci. Zostanie przyjętych kilka-kilkadziesiąt kategorii uśrednionych stawek ryczałtowych, których ostateczne wartości wypłacane beneficjentom zależeć będą od wysokości stawki referencyjnej. Stawki ryczałtowe zostaną określone przez Prezesa Urzędu Komunikacji Elektronicznej w oparciu o Model Kosztowo-Popytowy.</w:t>
      </w:r>
    </w:p>
    <w:p w:rsidR="00282310" w:rsidRPr="00282310" w:rsidRDefault="00282310" w:rsidP="00282310">
      <w:pPr>
        <w:pStyle w:val="Akapitzlist"/>
        <w:numPr>
          <w:ilvl w:val="0"/>
          <w:numId w:val="1"/>
        </w:numPr>
        <w:jc w:val="both"/>
        <w:rPr>
          <w:b/>
        </w:rPr>
      </w:pPr>
      <w:r w:rsidRPr="00282310">
        <w:rPr>
          <w:b/>
        </w:rPr>
        <w:t>Podstawowe kryteria, które będą decydować o wyborze projektu do dofinansowania:</w:t>
      </w:r>
    </w:p>
    <w:p w:rsidR="00282310" w:rsidRPr="00282310" w:rsidRDefault="00282310" w:rsidP="00282310">
      <w:pPr>
        <w:pStyle w:val="Akapitzlist"/>
        <w:numPr>
          <w:ilvl w:val="1"/>
          <w:numId w:val="2"/>
        </w:numPr>
        <w:ind w:left="1548"/>
        <w:jc w:val="both"/>
        <w:rPr>
          <w:b/>
        </w:rPr>
      </w:pPr>
      <w:r w:rsidRPr="00282310">
        <w:rPr>
          <w:b/>
        </w:rPr>
        <w:t>Obniżanie kwoty dofinansowania (minimalizowanie wkładu publicznego)</w:t>
      </w:r>
      <w:r w:rsidRPr="00282310">
        <w:t xml:space="preserve"> –wnioskodawcy będą obniżać wartość referencyjnej stawki ryczałtowej (średniej stawki ryczałtowej) na danym obszarze. </w:t>
      </w:r>
      <w:r w:rsidRPr="00282310">
        <w:rPr>
          <w:b/>
        </w:rPr>
        <w:t>Im niższa zaoferowana wartość referencyjnej stawki ryczałtowej, tym niższe dofinansowanie w poszczególnych kategoriach stawkowych, ale więcej punktów w procesie oceny</w:t>
      </w:r>
      <w:r w:rsidRPr="00282310">
        <w:t>;</w:t>
      </w:r>
    </w:p>
    <w:p w:rsidR="00282310" w:rsidRPr="00282310" w:rsidRDefault="00282310" w:rsidP="00282310">
      <w:pPr>
        <w:pStyle w:val="Akapitzlist"/>
        <w:numPr>
          <w:ilvl w:val="1"/>
          <w:numId w:val="2"/>
        </w:numPr>
        <w:ind w:left="1548"/>
        <w:jc w:val="both"/>
      </w:pPr>
      <w:r w:rsidRPr="00282310">
        <w:rPr>
          <w:b/>
        </w:rPr>
        <w:t>Dodatkowe inwestycje własne (bez dofinansowania)</w:t>
      </w:r>
      <w:r w:rsidRPr="00282310">
        <w:t xml:space="preserve"> – wnioskodawca będzie mógł zadeklarować dodatkowe inwestycje, realizowane wyłącznie ze środków własnych równolegle do realizacji projektu. Wnioskodawca będzie deklarować docelową wartość takich inwestycji, a na etapie realizacji projektu będzie samodzielnie dobierał lokalizacje, „rozliczając” je wg stawek ryczałtowych wynikających z Modelu Kosztowo-Popytowego. </w:t>
      </w:r>
      <w:r w:rsidRPr="00282310">
        <w:rPr>
          <w:b/>
        </w:rPr>
        <w:t>Im więcej dodatkowych inwestycji własnych, tym więcej punktów w procesie oceny</w:t>
      </w:r>
      <w:r w:rsidRPr="00282310">
        <w:t>;</w:t>
      </w:r>
    </w:p>
    <w:p w:rsidR="00282310" w:rsidRPr="00282310" w:rsidRDefault="00282310" w:rsidP="00282310">
      <w:pPr>
        <w:pStyle w:val="Akapitzlist"/>
        <w:numPr>
          <w:ilvl w:val="0"/>
          <w:numId w:val="1"/>
        </w:numPr>
        <w:jc w:val="both"/>
      </w:pPr>
      <w:r w:rsidRPr="00282310">
        <w:t xml:space="preserve">Doświadczenie inwestycyjne </w:t>
      </w:r>
      <w:r w:rsidRPr="00282310">
        <w:rPr>
          <w:b/>
        </w:rPr>
        <w:t>będzie formalnym kryterium wyboru projektów</w:t>
      </w:r>
      <w:r w:rsidRPr="00282310">
        <w:t>.  Wnioskodawca będzie musiał przedstawić:</w:t>
      </w:r>
    </w:p>
    <w:p w:rsidR="00282310" w:rsidRPr="00282310" w:rsidRDefault="00282310" w:rsidP="00282310">
      <w:pPr>
        <w:pStyle w:val="Akapitzlist"/>
        <w:numPr>
          <w:ilvl w:val="0"/>
          <w:numId w:val="5"/>
        </w:numPr>
        <w:jc w:val="both"/>
      </w:pPr>
      <w:r w:rsidRPr="00282310">
        <w:t>potwierdzenie wykonania, w okresie ostatnich 5 lat, inwestycji szerokopasmowych o wartości odpowiadającej wnioskowanej kwocie dofinansowania (przy czym w przypadku spółek prawa handlowego nie będzie brane pod uwagę doświadczenie wspólników/udziałowców/akcjonariuszy);</w:t>
      </w:r>
    </w:p>
    <w:p w:rsidR="00282310" w:rsidRPr="00282310" w:rsidRDefault="00282310" w:rsidP="00282310">
      <w:pPr>
        <w:pStyle w:val="Akapitzlist"/>
        <w:numPr>
          <w:ilvl w:val="0"/>
          <w:numId w:val="5"/>
        </w:numPr>
        <w:spacing w:after="0"/>
        <w:ind w:left="1418"/>
        <w:jc w:val="both"/>
      </w:pPr>
      <w:r w:rsidRPr="00282310">
        <w:t>albo tzw. „twarde zabezpieczenie” (np. gwarancję bankową), potwierdzające możliwość odzyskania od wnioskodawcy całości kwoty dofinansowania</w:t>
      </w:r>
    </w:p>
    <w:p w:rsidR="00282310" w:rsidRPr="00282310" w:rsidRDefault="00282310" w:rsidP="00282310">
      <w:pPr>
        <w:spacing w:after="0"/>
        <w:ind w:left="1058"/>
        <w:jc w:val="both"/>
      </w:pPr>
      <w:r w:rsidRPr="00282310">
        <w:t>- a w przypadku deklarowania dodatkowych inwestycji własnych – także potwierdzenie posiadania środków na ich realizację;</w:t>
      </w:r>
    </w:p>
    <w:p w:rsidR="00282310" w:rsidRPr="00282310" w:rsidRDefault="00282310" w:rsidP="00282310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</w:pPr>
      <w:r w:rsidRPr="00282310">
        <w:lastRenderedPageBreak/>
        <w:t xml:space="preserve">Dofinansowanie otrzymają tylko najefektywniejsze kosztowo wnioski, uszeregowane na </w:t>
      </w:r>
      <w:r w:rsidRPr="00282310">
        <w:rPr>
          <w:b/>
        </w:rPr>
        <w:t>liście rankingowej</w:t>
      </w:r>
      <w:r w:rsidRPr="00282310">
        <w:t xml:space="preserve"> wg liczby zdobytych punktów w kryterium obniżania dofinansowania. Projekty będą dofinansowywane do momentu wyczerpania alokacji w konkursach;</w:t>
      </w:r>
    </w:p>
    <w:p w:rsidR="00282310" w:rsidRPr="00282310" w:rsidRDefault="00282310" w:rsidP="00282310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</w:pPr>
      <w:r w:rsidRPr="00282310">
        <w:t xml:space="preserve">Pojedynczy beneficjent </w:t>
      </w:r>
      <w:r w:rsidRPr="00282310">
        <w:rPr>
          <w:b/>
        </w:rPr>
        <w:t>nie będzie mógł otrzymać więcej niż 15% dostępnej alokacji</w:t>
      </w:r>
      <w:r w:rsidRPr="00282310">
        <w:t xml:space="preserve"> w konkursie, chyba że na obszarze, na którym chce realizować projekt, ale przekroczy już limit dofinansowania, nie będzie innego wnioskodawcy (konkurencji);</w:t>
      </w:r>
    </w:p>
    <w:p w:rsidR="00282310" w:rsidRPr="00282310" w:rsidRDefault="00282310" w:rsidP="00282310">
      <w:pPr>
        <w:pStyle w:val="Akapitzlist"/>
        <w:numPr>
          <w:ilvl w:val="0"/>
          <w:numId w:val="1"/>
        </w:numPr>
        <w:jc w:val="both"/>
      </w:pPr>
      <w:r w:rsidRPr="00282310">
        <w:t xml:space="preserve">Wysokość stawek jednostkowych </w:t>
      </w:r>
      <w:r w:rsidRPr="00282310">
        <w:rPr>
          <w:b/>
        </w:rPr>
        <w:t>będzie waloryzowana</w:t>
      </w:r>
      <w:r w:rsidRPr="00282310">
        <w:t xml:space="preserve"> raz w roku o wskaźnik inflacji. Zwaloryzowane stawki jednostkowe:</w:t>
      </w:r>
    </w:p>
    <w:p w:rsidR="00282310" w:rsidRPr="00282310" w:rsidRDefault="00282310" w:rsidP="00282310">
      <w:pPr>
        <w:pStyle w:val="Akapitzlist"/>
        <w:numPr>
          <w:ilvl w:val="0"/>
          <w:numId w:val="6"/>
        </w:numPr>
        <w:jc w:val="both"/>
      </w:pPr>
      <w:r w:rsidRPr="00282310">
        <w:t>dotyczyć będą adresów, obejmowanych zasięgiem projektu już po dokonaniu waloryzacji;</w:t>
      </w:r>
    </w:p>
    <w:p w:rsidR="00282310" w:rsidRPr="00282310" w:rsidRDefault="00282310" w:rsidP="00282310">
      <w:pPr>
        <w:pStyle w:val="Akapitzlist"/>
        <w:numPr>
          <w:ilvl w:val="0"/>
          <w:numId w:val="6"/>
        </w:numPr>
        <w:jc w:val="both"/>
      </w:pPr>
      <w:r w:rsidRPr="00282310">
        <w:t>stosowane będą o ile beneficjent zrealizuje w terminie kamienie milowe dla projektu;</w:t>
      </w:r>
    </w:p>
    <w:p w:rsidR="00282310" w:rsidRPr="00282310" w:rsidRDefault="00282310" w:rsidP="00282310">
      <w:pPr>
        <w:pStyle w:val="Akapitzlist"/>
        <w:numPr>
          <w:ilvl w:val="0"/>
          <w:numId w:val="1"/>
        </w:numPr>
        <w:jc w:val="both"/>
      </w:pPr>
      <w:r w:rsidRPr="00282310">
        <w:t xml:space="preserve">Dofinansowane sieci będą musiały zapewniać usługi dostępu do internetu </w:t>
      </w:r>
      <w:r w:rsidRPr="00282310">
        <w:rPr>
          <w:b/>
        </w:rPr>
        <w:t xml:space="preserve">o gwarantowanej przepustowości pobierania danych co najmniej 100 Mb/s </w:t>
      </w:r>
      <w:r w:rsidRPr="00282310">
        <w:t xml:space="preserve">z możliwością modernizacji do przepustowości gigabitowych; </w:t>
      </w:r>
    </w:p>
    <w:p w:rsidR="00282310" w:rsidRPr="00282310" w:rsidRDefault="00282310" w:rsidP="00282310">
      <w:pPr>
        <w:pStyle w:val="Akapitzlist"/>
        <w:numPr>
          <w:ilvl w:val="0"/>
          <w:numId w:val="1"/>
        </w:numPr>
        <w:jc w:val="both"/>
      </w:pPr>
      <w:r w:rsidRPr="00282310">
        <w:t xml:space="preserve">Beneficjenci będą mieli </w:t>
      </w:r>
      <w:r w:rsidRPr="00282310">
        <w:rPr>
          <w:b/>
        </w:rPr>
        <w:t>nieograniczony w czasie obowiązek udostępniania swojej infrastruktury innym operatorom</w:t>
      </w:r>
      <w:r w:rsidRPr="00282310">
        <w:t>, na zasadach poprawionych względem PO PC (bardziej konkurencyjnych). Oferty dostępu hurtowego nadal będą zatwierdzane przez Prezesa UKE.</w:t>
      </w:r>
    </w:p>
    <w:p w:rsidR="00590423" w:rsidRDefault="00590423"/>
    <w:sectPr w:rsidR="00590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0FD" w:rsidRDefault="003060FD" w:rsidP="003060FD">
      <w:pPr>
        <w:spacing w:after="0" w:line="240" w:lineRule="auto"/>
      </w:pPr>
      <w:r>
        <w:separator/>
      </w:r>
    </w:p>
  </w:endnote>
  <w:endnote w:type="continuationSeparator" w:id="0">
    <w:p w:rsidR="003060FD" w:rsidRDefault="003060FD" w:rsidP="00306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0FD" w:rsidRDefault="003060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0FD" w:rsidRDefault="003060F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0FD" w:rsidRDefault="003060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0FD" w:rsidRDefault="003060FD" w:rsidP="003060FD">
      <w:pPr>
        <w:spacing w:after="0" w:line="240" w:lineRule="auto"/>
      </w:pPr>
      <w:r>
        <w:separator/>
      </w:r>
    </w:p>
  </w:footnote>
  <w:footnote w:type="continuationSeparator" w:id="0">
    <w:p w:rsidR="003060FD" w:rsidRDefault="003060FD" w:rsidP="00306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0FD" w:rsidRDefault="003060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0FD" w:rsidRDefault="003060F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0FD" w:rsidRDefault="003060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27154"/>
    <w:multiLevelType w:val="hybridMultilevel"/>
    <w:tmpl w:val="C5C6C3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E12793"/>
    <w:multiLevelType w:val="hybridMultilevel"/>
    <w:tmpl w:val="BE4ABF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F04181"/>
    <w:multiLevelType w:val="hybridMultilevel"/>
    <w:tmpl w:val="8946B8B2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521706EC"/>
    <w:multiLevelType w:val="hybridMultilevel"/>
    <w:tmpl w:val="26ECB5C0"/>
    <w:lvl w:ilvl="0" w:tplc="1A4C42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81CE213A">
      <w:start w:val="1"/>
      <w:numFmt w:val="lowerLetter"/>
      <w:lvlText w:val="%2."/>
      <w:lvlJc w:val="left"/>
      <w:pPr>
        <w:ind w:left="1780" w:hanging="70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20F49"/>
    <w:multiLevelType w:val="hybridMultilevel"/>
    <w:tmpl w:val="1EBEB8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D32F82"/>
    <w:multiLevelType w:val="hybridMultilevel"/>
    <w:tmpl w:val="DF08BD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10"/>
    <w:rsid w:val="00282310"/>
    <w:rsid w:val="003060FD"/>
    <w:rsid w:val="00590423"/>
    <w:rsid w:val="009E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3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23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06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0FD"/>
  </w:style>
  <w:style w:type="paragraph" w:styleId="Stopka">
    <w:name w:val="footer"/>
    <w:basedOn w:val="Normalny"/>
    <w:link w:val="StopkaZnak"/>
    <w:uiPriority w:val="99"/>
    <w:unhideWhenUsed/>
    <w:rsid w:val="00306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2022-08-19T06:24:00Z</dcterms:created>
  <dcterms:modified xsi:type="dcterms:W3CDTF">2022-08-19T06:24:00Z</dcterms:modified>
</cp:coreProperties>
</file>