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E0AAD" w14:textId="77777777" w:rsidR="00A54BC8" w:rsidRPr="001E1F9A" w:rsidRDefault="00A54BC8" w:rsidP="00A54BC8">
      <w:pPr>
        <w:spacing w:after="0" w:line="360" w:lineRule="auto"/>
        <w:ind w:left="-12" w:firstLine="0"/>
        <w:jc w:val="left"/>
        <w:rPr>
          <w:b/>
          <w:bCs/>
        </w:rPr>
      </w:pPr>
      <w:r w:rsidRPr="001E1F9A">
        <w:rPr>
          <w:b/>
          <w:bCs/>
        </w:rPr>
        <w:t>OPIS PRZEDMIOTU ZAMÓWIENIA</w:t>
      </w:r>
    </w:p>
    <w:p w14:paraId="66DC4B8A" w14:textId="77777777" w:rsidR="00A54BC8" w:rsidRPr="001E1F9A" w:rsidRDefault="00A54BC8" w:rsidP="00A54BC8">
      <w:pPr>
        <w:spacing w:after="0" w:line="360" w:lineRule="auto"/>
        <w:ind w:left="-12" w:firstLine="0"/>
        <w:jc w:val="left"/>
        <w:rPr>
          <w:b/>
          <w:bCs/>
        </w:rPr>
      </w:pPr>
      <w:r w:rsidRPr="001E1F9A">
        <w:rPr>
          <w:b/>
          <w:bCs/>
        </w:rPr>
        <w:t>Testy bezpieczeństwa aplikacji - Windows, AD, Microsoft 365</w:t>
      </w:r>
    </w:p>
    <w:p w14:paraId="2C4ACBEB" w14:textId="77777777" w:rsidR="00A54BC8" w:rsidRPr="001E1F9A" w:rsidRDefault="00A54BC8" w:rsidP="00A54BC8">
      <w:pPr>
        <w:spacing w:after="0" w:line="360" w:lineRule="auto"/>
        <w:ind w:left="-12" w:firstLine="0"/>
        <w:jc w:val="left"/>
      </w:pPr>
    </w:p>
    <w:p w14:paraId="4C7DC798" w14:textId="77777777" w:rsidR="00A54BC8" w:rsidRPr="00747F7B" w:rsidRDefault="00A54BC8" w:rsidP="00A54BC8">
      <w:pPr>
        <w:spacing w:after="0" w:line="360" w:lineRule="auto"/>
        <w:ind w:left="-12" w:firstLine="0"/>
        <w:jc w:val="left"/>
        <w:rPr>
          <w:b/>
          <w:bCs/>
        </w:rPr>
      </w:pPr>
      <w:r w:rsidRPr="00747F7B">
        <w:rPr>
          <w:b/>
          <w:bCs/>
        </w:rPr>
        <w:t>1. Przedmiot zamówienia</w:t>
      </w:r>
    </w:p>
    <w:p w14:paraId="105EE82A" w14:textId="77777777" w:rsidR="00A54BC8" w:rsidRPr="00747F7B" w:rsidRDefault="00A54BC8" w:rsidP="00A54BC8">
      <w:pPr>
        <w:spacing w:after="0" w:line="360" w:lineRule="auto"/>
        <w:ind w:left="-12" w:firstLine="0"/>
        <w:jc w:val="left"/>
        <w:rPr>
          <w:bCs/>
        </w:rPr>
      </w:pPr>
      <w:r w:rsidRPr="00747F7B">
        <w:rPr>
          <w:bCs/>
        </w:rPr>
        <w:t>Przedmiotem zamówienia jest przeprowadzenie kompleksowych testów bezpieczeństwa środowiska informatycznego Zamawiającego, obejmującego:</w:t>
      </w:r>
    </w:p>
    <w:p w14:paraId="23FD53D9" w14:textId="77777777" w:rsidR="00A54BC8" w:rsidRPr="00747F7B" w:rsidRDefault="00A54BC8" w:rsidP="00A54BC8">
      <w:pPr>
        <w:numPr>
          <w:ilvl w:val="0"/>
          <w:numId w:val="1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systemy operacyjne Microsoft Windows (stacje robocze i serwery),</w:t>
      </w:r>
    </w:p>
    <w:p w14:paraId="48867556" w14:textId="77777777" w:rsidR="00A54BC8" w:rsidRPr="00747F7B" w:rsidRDefault="00A54BC8" w:rsidP="00A54BC8">
      <w:pPr>
        <w:numPr>
          <w:ilvl w:val="0"/>
          <w:numId w:val="1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infrastrukturę katalogową Microsoft Active Directory,</w:t>
      </w:r>
    </w:p>
    <w:p w14:paraId="69504559" w14:textId="77777777" w:rsidR="00A54BC8" w:rsidRPr="00747F7B" w:rsidRDefault="00A54BC8" w:rsidP="00A54BC8">
      <w:pPr>
        <w:numPr>
          <w:ilvl w:val="0"/>
          <w:numId w:val="1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środowisko pocztowe Microsoft Exchange Server on-premises,</w:t>
      </w:r>
    </w:p>
    <w:p w14:paraId="478150C2" w14:textId="77777777" w:rsidR="00A54BC8" w:rsidRPr="00747F7B" w:rsidRDefault="00A54BC8" w:rsidP="00A54BC8">
      <w:pPr>
        <w:numPr>
          <w:ilvl w:val="0"/>
          <w:numId w:val="1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środowisko chmurowe Microsoft 365.</w:t>
      </w:r>
    </w:p>
    <w:p w14:paraId="4703EBC2" w14:textId="77777777" w:rsidR="00A54BC8" w:rsidRPr="00747F7B" w:rsidRDefault="00A54BC8" w:rsidP="00A54BC8">
      <w:pPr>
        <w:spacing w:after="0" w:line="360" w:lineRule="auto"/>
        <w:ind w:left="-12" w:firstLine="0"/>
        <w:jc w:val="left"/>
        <w:rPr>
          <w:bCs/>
        </w:rPr>
      </w:pPr>
      <w:r w:rsidRPr="00747F7B">
        <w:rPr>
          <w:bCs/>
        </w:rPr>
        <w:t>Celem zamówienia jest identyfikacja podatności technicznych i konfiguracyjnych, ocena poziomu bezpieczeństwa oraz wskazanie działań naprawczych zmierzających do zwiększenia odporności środowiska na zagrożenia cybernetyczne, w szczególności ataki ukierunkowane na tożsamość, pocztę elektroniczną oraz infrastrukturę katalogową.</w:t>
      </w:r>
    </w:p>
    <w:p w14:paraId="7C783DAD" w14:textId="77777777" w:rsidR="00A54BC8" w:rsidRPr="00747F7B" w:rsidRDefault="00A54BC8" w:rsidP="00A54BC8">
      <w:pPr>
        <w:spacing w:after="0" w:line="360" w:lineRule="auto"/>
        <w:ind w:left="-12" w:firstLine="0"/>
        <w:jc w:val="left"/>
        <w:rPr>
          <w:b/>
          <w:bCs/>
        </w:rPr>
      </w:pPr>
    </w:p>
    <w:p w14:paraId="2BE30BA3" w14:textId="77777777" w:rsidR="00A54BC8" w:rsidRPr="00747F7B" w:rsidRDefault="00A54BC8" w:rsidP="00A54BC8">
      <w:pPr>
        <w:spacing w:after="0" w:line="360" w:lineRule="auto"/>
        <w:ind w:left="-12" w:firstLine="0"/>
        <w:jc w:val="left"/>
        <w:rPr>
          <w:b/>
          <w:bCs/>
        </w:rPr>
      </w:pPr>
      <w:r w:rsidRPr="00747F7B">
        <w:rPr>
          <w:b/>
          <w:bCs/>
        </w:rPr>
        <w:t>2. Zakres prac</w:t>
      </w:r>
    </w:p>
    <w:p w14:paraId="4042345F" w14:textId="77777777" w:rsidR="00A54BC8" w:rsidRPr="00747F7B" w:rsidRDefault="00A54BC8" w:rsidP="00A54BC8">
      <w:pPr>
        <w:spacing w:after="0" w:line="360" w:lineRule="auto"/>
        <w:ind w:left="-12" w:firstLine="0"/>
        <w:jc w:val="left"/>
        <w:rPr>
          <w:b/>
          <w:bCs/>
        </w:rPr>
      </w:pPr>
      <w:r w:rsidRPr="00747F7B">
        <w:rPr>
          <w:b/>
          <w:bCs/>
        </w:rPr>
        <w:t>2.1. Testy bezpieczeństwa systemów Windows</w:t>
      </w:r>
    </w:p>
    <w:p w14:paraId="46DFF747" w14:textId="77777777" w:rsidR="00A54BC8" w:rsidRPr="00747F7B" w:rsidRDefault="00A54BC8" w:rsidP="00A54BC8">
      <w:pPr>
        <w:spacing w:after="0" w:line="360" w:lineRule="auto"/>
        <w:ind w:left="-12" w:firstLine="0"/>
        <w:jc w:val="left"/>
        <w:rPr>
          <w:bCs/>
        </w:rPr>
      </w:pPr>
      <w:r w:rsidRPr="00747F7B">
        <w:rPr>
          <w:bCs/>
        </w:rPr>
        <w:t>Zakres obejmuje:</w:t>
      </w:r>
    </w:p>
    <w:p w14:paraId="191E45AC" w14:textId="77777777" w:rsidR="00A54BC8" w:rsidRPr="00747F7B" w:rsidRDefault="00A54BC8" w:rsidP="00A54BC8">
      <w:pPr>
        <w:numPr>
          <w:ilvl w:val="0"/>
          <w:numId w:val="2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analizę konfiguracji systemów Windows (serwery i stacje robocze) pod kątem zgodności z najlepszymi praktykami bezpieczeństwa,</w:t>
      </w:r>
    </w:p>
    <w:p w14:paraId="39639A05" w14:textId="77777777" w:rsidR="00A54BC8" w:rsidRPr="00747F7B" w:rsidRDefault="00A54BC8" w:rsidP="00A54BC8">
      <w:pPr>
        <w:numPr>
          <w:ilvl w:val="0"/>
          <w:numId w:val="2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weryfikację aktualności systemów operacyjnych i poprawek bezpieczeństwa,</w:t>
      </w:r>
    </w:p>
    <w:p w14:paraId="3D18970C" w14:textId="77777777" w:rsidR="00A54BC8" w:rsidRPr="00747F7B" w:rsidRDefault="00A54BC8" w:rsidP="00A54BC8">
      <w:pPr>
        <w:numPr>
          <w:ilvl w:val="0"/>
          <w:numId w:val="2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ocenę konfiguracji kont lokalnych oraz nadmiarowych uprawnień,</w:t>
      </w:r>
    </w:p>
    <w:p w14:paraId="73676A0B" w14:textId="77777777" w:rsidR="00A54BC8" w:rsidRPr="00747F7B" w:rsidRDefault="00A54BC8" w:rsidP="00A54BC8">
      <w:pPr>
        <w:numPr>
          <w:ilvl w:val="0"/>
          <w:numId w:val="2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analizę lokalnych polityk bezpieczeństwa oraz GPO,</w:t>
      </w:r>
    </w:p>
    <w:p w14:paraId="615C1B29" w14:textId="77777777" w:rsidR="00A54BC8" w:rsidRPr="00747F7B" w:rsidRDefault="00A54BC8" w:rsidP="00A54BC8">
      <w:pPr>
        <w:numPr>
          <w:ilvl w:val="0"/>
          <w:numId w:val="2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ocenę konfiguracji zapory systemowej Windows Firewall,</w:t>
      </w:r>
    </w:p>
    <w:p w14:paraId="258AD4C7" w14:textId="77777777" w:rsidR="00A54BC8" w:rsidRPr="00747F7B" w:rsidRDefault="00A54BC8" w:rsidP="00A54BC8">
      <w:pPr>
        <w:numPr>
          <w:ilvl w:val="0"/>
          <w:numId w:val="2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weryfikację konfiguracji mechanizmów ochronnych, w tym m.in.:</w:t>
      </w:r>
    </w:p>
    <w:p w14:paraId="5A11AAD0" w14:textId="77777777" w:rsidR="00A54BC8" w:rsidRPr="00747F7B" w:rsidRDefault="00A54BC8" w:rsidP="00A54BC8">
      <w:pPr>
        <w:numPr>
          <w:ilvl w:val="1"/>
          <w:numId w:val="2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BitLocker,</w:t>
      </w:r>
    </w:p>
    <w:p w14:paraId="72D2C334" w14:textId="77777777" w:rsidR="00A54BC8" w:rsidRPr="00747F7B" w:rsidRDefault="00A54BC8" w:rsidP="00A54BC8">
      <w:pPr>
        <w:numPr>
          <w:ilvl w:val="1"/>
          <w:numId w:val="2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Microsoft Defender Antivirus,</w:t>
      </w:r>
    </w:p>
    <w:p w14:paraId="1A979356" w14:textId="77777777" w:rsidR="00A54BC8" w:rsidRPr="00747F7B" w:rsidRDefault="00A54BC8" w:rsidP="00A54BC8">
      <w:pPr>
        <w:numPr>
          <w:ilvl w:val="1"/>
          <w:numId w:val="2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Credential Guard / Device Guard,</w:t>
      </w:r>
    </w:p>
    <w:p w14:paraId="43FBFE05" w14:textId="77777777" w:rsidR="00A54BC8" w:rsidRPr="00747F7B" w:rsidRDefault="00A54BC8" w:rsidP="00A54BC8">
      <w:pPr>
        <w:numPr>
          <w:ilvl w:val="1"/>
          <w:numId w:val="2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User Account Control (UAC),</w:t>
      </w:r>
    </w:p>
    <w:p w14:paraId="354CCD00" w14:textId="77777777" w:rsidR="00A54BC8" w:rsidRPr="00747F7B" w:rsidRDefault="00A54BC8" w:rsidP="00A54BC8">
      <w:pPr>
        <w:numPr>
          <w:ilvl w:val="1"/>
          <w:numId w:val="2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Windows LAPS,</w:t>
      </w:r>
    </w:p>
    <w:p w14:paraId="5E6141E7" w14:textId="77777777" w:rsidR="00A54BC8" w:rsidRPr="00747F7B" w:rsidRDefault="00A54BC8" w:rsidP="00A54BC8">
      <w:pPr>
        <w:numPr>
          <w:ilvl w:val="0"/>
          <w:numId w:val="2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identyfikację podatności systemowych oraz błędów konfiguracyjnych.</w:t>
      </w:r>
    </w:p>
    <w:p w14:paraId="542A3101" w14:textId="77777777" w:rsidR="00A54BC8" w:rsidRPr="00747F7B" w:rsidRDefault="00A54BC8" w:rsidP="00A54BC8">
      <w:pPr>
        <w:spacing w:after="0" w:line="360" w:lineRule="auto"/>
        <w:ind w:left="0" w:firstLine="0"/>
        <w:jc w:val="left"/>
        <w:rPr>
          <w:b/>
          <w:bCs/>
        </w:rPr>
      </w:pPr>
    </w:p>
    <w:p w14:paraId="71A6D764" w14:textId="77777777" w:rsidR="00A54BC8" w:rsidRPr="00747F7B" w:rsidRDefault="00A54BC8" w:rsidP="00A54BC8">
      <w:pPr>
        <w:spacing w:after="0" w:line="360" w:lineRule="auto"/>
        <w:ind w:left="-12" w:firstLine="0"/>
        <w:jc w:val="left"/>
        <w:rPr>
          <w:b/>
          <w:bCs/>
        </w:rPr>
      </w:pPr>
      <w:r w:rsidRPr="00747F7B">
        <w:rPr>
          <w:b/>
          <w:bCs/>
        </w:rPr>
        <w:t>2.2. Testy bezpieczeństwa Active Directory</w:t>
      </w:r>
    </w:p>
    <w:p w14:paraId="28A203FA" w14:textId="77777777" w:rsidR="00A54BC8" w:rsidRPr="00747F7B" w:rsidRDefault="00A54BC8" w:rsidP="00A54BC8">
      <w:pPr>
        <w:spacing w:after="0" w:line="360" w:lineRule="auto"/>
        <w:ind w:left="-12" w:firstLine="0"/>
        <w:jc w:val="left"/>
        <w:rPr>
          <w:bCs/>
        </w:rPr>
      </w:pPr>
      <w:r w:rsidRPr="00747F7B">
        <w:rPr>
          <w:bCs/>
        </w:rPr>
        <w:t>Zakres obejmuje w szczególności:</w:t>
      </w:r>
    </w:p>
    <w:p w14:paraId="6A7F4FFB" w14:textId="77777777" w:rsidR="00A54BC8" w:rsidRPr="00747F7B" w:rsidRDefault="00A54BC8" w:rsidP="00A54BC8">
      <w:pPr>
        <w:numPr>
          <w:ilvl w:val="0"/>
          <w:numId w:val="3"/>
        </w:numPr>
        <w:spacing w:after="0" w:line="360" w:lineRule="auto"/>
        <w:jc w:val="left"/>
        <w:rPr>
          <w:bCs/>
          <w:lang w:val="en-US"/>
        </w:rPr>
      </w:pPr>
      <w:r w:rsidRPr="00747F7B">
        <w:rPr>
          <w:bCs/>
          <w:lang w:val="en-US"/>
        </w:rPr>
        <w:t>analizę architektury Active Directory (lasy, domeny, OU),</w:t>
      </w:r>
    </w:p>
    <w:p w14:paraId="312C38EF" w14:textId="77777777" w:rsidR="00A54BC8" w:rsidRPr="00747F7B" w:rsidRDefault="00A54BC8" w:rsidP="00A54BC8">
      <w:pPr>
        <w:numPr>
          <w:ilvl w:val="0"/>
          <w:numId w:val="3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ocenę konfiguracji kontrolerów domeny oraz poziomów funkcjonalnych,</w:t>
      </w:r>
    </w:p>
    <w:p w14:paraId="0891001F" w14:textId="77777777" w:rsidR="00A54BC8" w:rsidRPr="00747F7B" w:rsidRDefault="00A54BC8" w:rsidP="00A54BC8">
      <w:pPr>
        <w:numPr>
          <w:ilvl w:val="0"/>
          <w:numId w:val="3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analizę mechanizmów replikacji i zabezpieczeń SYSVOL,</w:t>
      </w:r>
    </w:p>
    <w:p w14:paraId="3DBE49D4" w14:textId="77777777" w:rsidR="00A54BC8" w:rsidRPr="00747F7B" w:rsidRDefault="00A54BC8" w:rsidP="00A54BC8">
      <w:pPr>
        <w:numPr>
          <w:ilvl w:val="0"/>
          <w:numId w:val="3"/>
        </w:numPr>
        <w:spacing w:after="0" w:line="360" w:lineRule="auto"/>
        <w:jc w:val="left"/>
        <w:rPr>
          <w:bCs/>
        </w:rPr>
      </w:pPr>
      <w:r w:rsidRPr="00747F7B">
        <w:rPr>
          <w:bCs/>
        </w:rPr>
        <w:lastRenderedPageBreak/>
        <w:t>weryfikację polityk uwierzytelniania i autoryzacji (hasła, Kerberos, NTLM, LDAP),</w:t>
      </w:r>
    </w:p>
    <w:p w14:paraId="48231611" w14:textId="77777777" w:rsidR="00A54BC8" w:rsidRPr="00747F7B" w:rsidRDefault="00A54BC8" w:rsidP="00A54BC8">
      <w:pPr>
        <w:numPr>
          <w:ilvl w:val="0"/>
          <w:numId w:val="3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analizę kont uprzywilejowanych oraz delegacji uprawnień,</w:t>
      </w:r>
    </w:p>
    <w:p w14:paraId="05127208" w14:textId="77777777" w:rsidR="00A54BC8" w:rsidRPr="00747F7B" w:rsidRDefault="00A54BC8" w:rsidP="00A54BC8">
      <w:pPr>
        <w:numPr>
          <w:ilvl w:val="0"/>
          <w:numId w:val="3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identyfikację kont nieaktywnych, osieroconych oraz nadmiarowych członkostw w grupach,</w:t>
      </w:r>
    </w:p>
    <w:p w14:paraId="2FAD46F1" w14:textId="77777777" w:rsidR="00A54BC8" w:rsidRPr="00747F7B" w:rsidRDefault="00A54BC8" w:rsidP="00A54BC8">
      <w:pPr>
        <w:numPr>
          <w:ilvl w:val="0"/>
          <w:numId w:val="3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ocenę zabezpieczeń usług powiązanych z AD, w tym DNS oraz usług certyfikacji,</w:t>
      </w:r>
    </w:p>
    <w:p w14:paraId="25876192" w14:textId="77777777" w:rsidR="00A54BC8" w:rsidRPr="00747F7B" w:rsidRDefault="00A54BC8" w:rsidP="00A54BC8">
      <w:pPr>
        <w:numPr>
          <w:ilvl w:val="0"/>
          <w:numId w:val="3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przeprowadzenie testów penetracyjnych Active Directory, obejmujących m.in.:</w:t>
      </w:r>
    </w:p>
    <w:p w14:paraId="55B6E598" w14:textId="77777777" w:rsidR="00A54BC8" w:rsidRPr="00747F7B" w:rsidRDefault="00A54BC8" w:rsidP="00A54BC8">
      <w:pPr>
        <w:numPr>
          <w:ilvl w:val="1"/>
          <w:numId w:val="3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enumerację środowiska,</w:t>
      </w:r>
    </w:p>
    <w:p w14:paraId="6492E3F7" w14:textId="77777777" w:rsidR="00A54BC8" w:rsidRPr="00747F7B" w:rsidRDefault="00A54BC8" w:rsidP="00A54BC8">
      <w:pPr>
        <w:numPr>
          <w:ilvl w:val="1"/>
          <w:numId w:val="3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symulację ataków prowadzących do eskalacji uprawnień,</w:t>
      </w:r>
    </w:p>
    <w:p w14:paraId="72405C36" w14:textId="77777777" w:rsidR="00A54BC8" w:rsidRPr="00747F7B" w:rsidRDefault="00A54BC8" w:rsidP="00A54BC8">
      <w:pPr>
        <w:numPr>
          <w:ilvl w:val="1"/>
          <w:numId w:val="3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próby ruchu bocznego (lateral movement),</w:t>
      </w:r>
    </w:p>
    <w:p w14:paraId="2A1E6985" w14:textId="77777777" w:rsidR="00A54BC8" w:rsidRPr="00747F7B" w:rsidRDefault="00A54BC8" w:rsidP="00A54BC8">
      <w:pPr>
        <w:numPr>
          <w:ilvl w:val="1"/>
          <w:numId w:val="3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ocenę odporności na scenariusze przejęcia domeny.</w:t>
      </w:r>
    </w:p>
    <w:p w14:paraId="6BC2EE5A" w14:textId="77777777" w:rsidR="00A54BC8" w:rsidRPr="00747F7B" w:rsidRDefault="00A54BC8" w:rsidP="00A54BC8">
      <w:pPr>
        <w:spacing w:after="0" w:line="360" w:lineRule="auto"/>
        <w:ind w:left="-12" w:firstLine="0"/>
        <w:jc w:val="left"/>
        <w:rPr>
          <w:b/>
          <w:bCs/>
        </w:rPr>
      </w:pPr>
    </w:p>
    <w:p w14:paraId="303EE723" w14:textId="77777777" w:rsidR="00A54BC8" w:rsidRPr="00747F7B" w:rsidRDefault="00A54BC8" w:rsidP="00A54BC8">
      <w:pPr>
        <w:spacing w:after="0" w:line="360" w:lineRule="auto"/>
        <w:ind w:left="-12" w:firstLine="0"/>
        <w:jc w:val="left"/>
        <w:rPr>
          <w:b/>
          <w:bCs/>
        </w:rPr>
      </w:pPr>
      <w:r w:rsidRPr="00747F7B">
        <w:rPr>
          <w:b/>
          <w:bCs/>
        </w:rPr>
        <w:t>2.3. Testy bezpieczeństwa środowiska Microsoft Exchange Server (on-premises)</w:t>
      </w:r>
    </w:p>
    <w:p w14:paraId="7835E7AD" w14:textId="77777777" w:rsidR="00A54BC8" w:rsidRPr="00747F7B" w:rsidRDefault="00A54BC8" w:rsidP="00A54BC8">
      <w:pPr>
        <w:spacing w:after="0" w:line="360" w:lineRule="auto"/>
        <w:ind w:left="-12" w:firstLine="0"/>
        <w:jc w:val="left"/>
        <w:rPr>
          <w:bCs/>
        </w:rPr>
      </w:pPr>
      <w:r w:rsidRPr="00747F7B">
        <w:rPr>
          <w:bCs/>
        </w:rPr>
        <w:t>Zakres obejmuje w szczególności:</w:t>
      </w:r>
    </w:p>
    <w:p w14:paraId="4705E05E" w14:textId="77777777" w:rsidR="00A54BC8" w:rsidRPr="00747F7B" w:rsidRDefault="00A54BC8" w:rsidP="00A54BC8">
      <w:pPr>
        <w:numPr>
          <w:ilvl w:val="0"/>
          <w:numId w:val="4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analizę architektury i konfiguracji serwerów Microsoft Exchange Server on-premises,</w:t>
      </w:r>
    </w:p>
    <w:p w14:paraId="477D4E30" w14:textId="77777777" w:rsidR="00A54BC8" w:rsidRPr="00747F7B" w:rsidRDefault="00A54BC8" w:rsidP="00A54BC8">
      <w:pPr>
        <w:numPr>
          <w:ilvl w:val="0"/>
          <w:numId w:val="4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weryfikację aktualności wersji oraz poprawek bezpieczeństwa Exchange,</w:t>
      </w:r>
    </w:p>
    <w:p w14:paraId="2D2D71B0" w14:textId="77777777" w:rsidR="00A54BC8" w:rsidRPr="00747F7B" w:rsidRDefault="00A54BC8" w:rsidP="00A54BC8">
      <w:pPr>
        <w:numPr>
          <w:ilvl w:val="0"/>
          <w:numId w:val="4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ocenę konfiguracji usług publikowanych do Internetu (OWA, ECP, ActiveSync, Autodiscover),</w:t>
      </w:r>
    </w:p>
    <w:p w14:paraId="436F3624" w14:textId="77777777" w:rsidR="00A54BC8" w:rsidRPr="00747F7B" w:rsidRDefault="00A54BC8" w:rsidP="00A54BC8">
      <w:pPr>
        <w:numPr>
          <w:ilvl w:val="0"/>
          <w:numId w:val="4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analizę zabezpieczeń mechanizmów uwierzytelniania i dostępu,</w:t>
      </w:r>
    </w:p>
    <w:p w14:paraId="1C7CEEAD" w14:textId="77777777" w:rsidR="00A54BC8" w:rsidRPr="00747F7B" w:rsidRDefault="00A54BC8" w:rsidP="00A54BC8">
      <w:pPr>
        <w:numPr>
          <w:ilvl w:val="0"/>
          <w:numId w:val="4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ocenę konfiguracji certyfikatów TLS oraz szyfrowania komunikacji,</w:t>
      </w:r>
    </w:p>
    <w:p w14:paraId="7FDD3664" w14:textId="77777777" w:rsidR="00A54BC8" w:rsidRPr="00747F7B" w:rsidRDefault="00A54BC8" w:rsidP="00A54BC8">
      <w:pPr>
        <w:numPr>
          <w:ilvl w:val="0"/>
          <w:numId w:val="4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identyfikację podatności znanych (CVE) oraz błędów konfiguracyjnych,</w:t>
      </w:r>
    </w:p>
    <w:p w14:paraId="647C8879" w14:textId="77777777" w:rsidR="00A54BC8" w:rsidRPr="00747F7B" w:rsidRDefault="00A54BC8" w:rsidP="00A54BC8">
      <w:pPr>
        <w:numPr>
          <w:ilvl w:val="0"/>
          <w:numId w:val="4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ocenę ryzyk związanych z integracją Exchange z Active Directory,</w:t>
      </w:r>
    </w:p>
    <w:p w14:paraId="188C6466" w14:textId="77777777" w:rsidR="00A54BC8" w:rsidRPr="00747F7B" w:rsidRDefault="00A54BC8" w:rsidP="00A54BC8">
      <w:pPr>
        <w:numPr>
          <w:ilvl w:val="0"/>
          <w:numId w:val="4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symulację scenariuszy ataku na infrastrukturę pocztową, w tym prób nieautoryzowanego dostępu do skrzynek pocztowych.</w:t>
      </w:r>
    </w:p>
    <w:p w14:paraId="5CF459BF" w14:textId="77777777" w:rsidR="00A54BC8" w:rsidRPr="00747F7B" w:rsidRDefault="00A54BC8" w:rsidP="00A54BC8">
      <w:pPr>
        <w:spacing w:after="0" w:line="360" w:lineRule="auto"/>
        <w:ind w:left="-12" w:firstLine="0"/>
        <w:jc w:val="left"/>
        <w:rPr>
          <w:b/>
          <w:bCs/>
        </w:rPr>
      </w:pPr>
    </w:p>
    <w:p w14:paraId="2523D32C" w14:textId="77777777" w:rsidR="00A54BC8" w:rsidRPr="00747F7B" w:rsidRDefault="00A54BC8" w:rsidP="00A54BC8">
      <w:pPr>
        <w:spacing w:after="0" w:line="360" w:lineRule="auto"/>
        <w:ind w:left="-12" w:firstLine="0"/>
        <w:jc w:val="left"/>
        <w:rPr>
          <w:b/>
          <w:bCs/>
        </w:rPr>
      </w:pPr>
      <w:r w:rsidRPr="00747F7B">
        <w:rPr>
          <w:b/>
          <w:bCs/>
        </w:rPr>
        <w:t>2.4. Testy bezpieczeństwa Microsoft 365</w:t>
      </w:r>
    </w:p>
    <w:p w14:paraId="6A691034" w14:textId="77777777" w:rsidR="00A54BC8" w:rsidRPr="00747F7B" w:rsidRDefault="00A54BC8" w:rsidP="00A54BC8">
      <w:pPr>
        <w:spacing w:after="0" w:line="360" w:lineRule="auto"/>
        <w:ind w:left="-12" w:firstLine="0"/>
        <w:jc w:val="left"/>
        <w:rPr>
          <w:bCs/>
        </w:rPr>
      </w:pPr>
      <w:r w:rsidRPr="00747F7B">
        <w:rPr>
          <w:bCs/>
        </w:rPr>
        <w:t>Zakres obejmuje w szczególności:</w:t>
      </w:r>
    </w:p>
    <w:p w14:paraId="5B9F9732" w14:textId="77777777" w:rsidR="00A54BC8" w:rsidRPr="00747F7B" w:rsidRDefault="00A54BC8" w:rsidP="00A54BC8">
      <w:pPr>
        <w:numPr>
          <w:ilvl w:val="0"/>
          <w:numId w:val="5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analizę konfiguracji Microsoft Entra ID,</w:t>
      </w:r>
    </w:p>
    <w:p w14:paraId="1478401E" w14:textId="77777777" w:rsidR="00A54BC8" w:rsidRPr="00747F7B" w:rsidRDefault="00A54BC8" w:rsidP="00A54BC8">
      <w:pPr>
        <w:numPr>
          <w:ilvl w:val="0"/>
          <w:numId w:val="5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ocenę konfiguracji mechanizmów uwierzytelniania, w tym:</w:t>
      </w:r>
    </w:p>
    <w:p w14:paraId="64408867" w14:textId="77777777" w:rsidR="00A54BC8" w:rsidRPr="00747F7B" w:rsidRDefault="00A54BC8" w:rsidP="00A54BC8">
      <w:pPr>
        <w:numPr>
          <w:ilvl w:val="1"/>
          <w:numId w:val="5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polityk haseł,</w:t>
      </w:r>
    </w:p>
    <w:p w14:paraId="1ABDB887" w14:textId="77777777" w:rsidR="00A54BC8" w:rsidRPr="00747F7B" w:rsidRDefault="00A54BC8" w:rsidP="00A54BC8">
      <w:pPr>
        <w:numPr>
          <w:ilvl w:val="1"/>
          <w:numId w:val="5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Multi-Factor Authentication (MFA),</w:t>
      </w:r>
    </w:p>
    <w:p w14:paraId="7B5CD61A" w14:textId="77777777" w:rsidR="00A54BC8" w:rsidRPr="00747F7B" w:rsidRDefault="00A54BC8" w:rsidP="00A54BC8">
      <w:pPr>
        <w:numPr>
          <w:ilvl w:val="1"/>
          <w:numId w:val="5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Conditional Access (w zakresie dostępnych funkcjonalności E3),</w:t>
      </w:r>
    </w:p>
    <w:p w14:paraId="338E9317" w14:textId="77777777" w:rsidR="00A54BC8" w:rsidRPr="00747F7B" w:rsidRDefault="00A54BC8" w:rsidP="00A54BC8">
      <w:pPr>
        <w:numPr>
          <w:ilvl w:val="0"/>
          <w:numId w:val="5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analizę ról uprzywilejowanych i przypisań administracyjnych,</w:t>
      </w:r>
    </w:p>
    <w:p w14:paraId="7FADA5B4" w14:textId="77777777" w:rsidR="00A54BC8" w:rsidRPr="00747F7B" w:rsidRDefault="00A54BC8" w:rsidP="00A54BC8">
      <w:pPr>
        <w:numPr>
          <w:ilvl w:val="0"/>
          <w:numId w:val="5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ocenę konfiguracji dostępu do usług Microsoft 365, w szczególności:</w:t>
      </w:r>
    </w:p>
    <w:p w14:paraId="43BAEE1D" w14:textId="77777777" w:rsidR="00A54BC8" w:rsidRPr="00747F7B" w:rsidRDefault="00A54BC8" w:rsidP="00A54BC8">
      <w:pPr>
        <w:numPr>
          <w:ilvl w:val="1"/>
          <w:numId w:val="5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SharePoint Online,</w:t>
      </w:r>
    </w:p>
    <w:p w14:paraId="754DB4F6" w14:textId="77777777" w:rsidR="00A54BC8" w:rsidRPr="00747F7B" w:rsidRDefault="00A54BC8" w:rsidP="00A54BC8">
      <w:pPr>
        <w:numPr>
          <w:ilvl w:val="1"/>
          <w:numId w:val="5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OneDrive,</w:t>
      </w:r>
    </w:p>
    <w:p w14:paraId="412426D2" w14:textId="77777777" w:rsidR="00A54BC8" w:rsidRPr="00747F7B" w:rsidRDefault="00A54BC8" w:rsidP="00A54BC8">
      <w:pPr>
        <w:numPr>
          <w:ilvl w:val="1"/>
          <w:numId w:val="5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Microsoft Teams,</w:t>
      </w:r>
    </w:p>
    <w:p w14:paraId="22F21E08" w14:textId="77777777" w:rsidR="00A54BC8" w:rsidRPr="00747F7B" w:rsidRDefault="00A54BC8" w:rsidP="00A54BC8">
      <w:pPr>
        <w:numPr>
          <w:ilvl w:val="0"/>
          <w:numId w:val="5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weryfikację zasad udostępniania danych oraz dostępu zewnętrznego,</w:t>
      </w:r>
    </w:p>
    <w:p w14:paraId="3D76E748" w14:textId="77777777" w:rsidR="00A54BC8" w:rsidRPr="00747F7B" w:rsidRDefault="00A54BC8" w:rsidP="00A54BC8">
      <w:pPr>
        <w:numPr>
          <w:ilvl w:val="0"/>
          <w:numId w:val="5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identyfikację ryzyk wynikających z konfiguracji kont użytkowników i administratorów.</w:t>
      </w:r>
    </w:p>
    <w:p w14:paraId="15938ED9" w14:textId="77777777" w:rsidR="00A54BC8" w:rsidRPr="00747F7B" w:rsidRDefault="00A54BC8" w:rsidP="00A54BC8">
      <w:pPr>
        <w:spacing w:after="0" w:line="360" w:lineRule="auto"/>
        <w:ind w:left="-12" w:firstLine="0"/>
        <w:jc w:val="left"/>
        <w:rPr>
          <w:b/>
          <w:bCs/>
        </w:rPr>
      </w:pPr>
    </w:p>
    <w:p w14:paraId="58DBDE91" w14:textId="77777777" w:rsidR="00A54BC8" w:rsidRPr="00747F7B" w:rsidRDefault="00A54BC8" w:rsidP="00A54BC8">
      <w:pPr>
        <w:spacing w:after="0" w:line="360" w:lineRule="auto"/>
        <w:ind w:left="-12" w:firstLine="0"/>
        <w:jc w:val="left"/>
        <w:rPr>
          <w:b/>
          <w:bCs/>
        </w:rPr>
      </w:pPr>
      <w:r w:rsidRPr="00747F7B">
        <w:rPr>
          <w:b/>
          <w:bCs/>
        </w:rPr>
        <w:lastRenderedPageBreak/>
        <w:t>3. Metodyka realizacji</w:t>
      </w:r>
    </w:p>
    <w:p w14:paraId="05F64250" w14:textId="77777777" w:rsidR="00A54BC8" w:rsidRPr="00747F7B" w:rsidRDefault="00A54BC8" w:rsidP="00A54BC8">
      <w:pPr>
        <w:spacing w:after="0" w:line="360" w:lineRule="auto"/>
        <w:ind w:left="-12" w:firstLine="0"/>
        <w:jc w:val="left"/>
        <w:rPr>
          <w:bCs/>
        </w:rPr>
      </w:pPr>
      <w:r w:rsidRPr="00747F7B">
        <w:rPr>
          <w:bCs/>
        </w:rPr>
        <w:t>Testy bezpieczeństwa powinny być realizowane w oparciu o uznane standardy, w szczególności:</w:t>
      </w:r>
    </w:p>
    <w:p w14:paraId="535A9E2D" w14:textId="77777777" w:rsidR="00A54BC8" w:rsidRPr="00747F7B" w:rsidRDefault="00A54BC8" w:rsidP="00A54BC8">
      <w:pPr>
        <w:numPr>
          <w:ilvl w:val="0"/>
          <w:numId w:val="6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CIS Benchmarks,</w:t>
      </w:r>
    </w:p>
    <w:p w14:paraId="5672F724" w14:textId="77777777" w:rsidR="00A54BC8" w:rsidRPr="00747F7B" w:rsidRDefault="00A54BC8" w:rsidP="00A54BC8">
      <w:pPr>
        <w:numPr>
          <w:ilvl w:val="0"/>
          <w:numId w:val="6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Microsoft Security Baselines,</w:t>
      </w:r>
    </w:p>
    <w:p w14:paraId="13801545" w14:textId="77777777" w:rsidR="00A54BC8" w:rsidRPr="00747F7B" w:rsidRDefault="00A54BC8" w:rsidP="00A54BC8">
      <w:pPr>
        <w:numPr>
          <w:ilvl w:val="0"/>
          <w:numId w:val="6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ISO/IEC 27001</w:t>
      </w:r>
    </w:p>
    <w:p w14:paraId="33BCAED7" w14:textId="05EB154D" w:rsidR="00A54BC8" w:rsidRPr="00747F7B" w:rsidRDefault="00A54BC8" w:rsidP="00F15A34">
      <w:pPr>
        <w:spacing w:after="0" w:line="360" w:lineRule="auto"/>
        <w:ind w:left="360" w:firstLine="0"/>
        <w:jc w:val="left"/>
        <w:rPr>
          <w:bCs/>
        </w:rPr>
      </w:pPr>
    </w:p>
    <w:p w14:paraId="688C3F7A" w14:textId="77777777" w:rsidR="00A54BC8" w:rsidRPr="00747F7B" w:rsidRDefault="00A54BC8" w:rsidP="00A54BC8">
      <w:pPr>
        <w:spacing w:after="0" w:line="360" w:lineRule="auto"/>
        <w:ind w:left="-12" w:firstLine="0"/>
        <w:jc w:val="left"/>
        <w:rPr>
          <w:bCs/>
        </w:rPr>
      </w:pPr>
      <w:r w:rsidRPr="00747F7B">
        <w:rPr>
          <w:bCs/>
        </w:rPr>
        <w:t>Prace muszą być prowadzone w sposób kontrolowany, z minimalnym wpływem na ciągłość działania środowiska produkcyjnego Zamawiającego.</w:t>
      </w:r>
    </w:p>
    <w:p w14:paraId="676C0F33" w14:textId="77777777" w:rsidR="00A54BC8" w:rsidRPr="00747F7B" w:rsidRDefault="00A54BC8" w:rsidP="00A54BC8">
      <w:pPr>
        <w:spacing w:after="0" w:line="360" w:lineRule="auto"/>
        <w:ind w:left="-12" w:firstLine="0"/>
        <w:jc w:val="left"/>
        <w:rPr>
          <w:b/>
          <w:bCs/>
        </w:rPr>
      </w:pPr>
    </w:p>
    <w:p w14:paraId="378FF63D" w14:textId="77777777" w:rsidR="00A54BC8" w:rsidRPr="00747F7B" w:rsidRDefault="00A54BC8" w:rsidP="00A54BC8">
      <w:pPr>
        <w:spacing w:after="0" w:line="360" w:lineRule="auto"/>
        <w:ind w:left="-12" w:firstLine="0"/>
        <w:jc w:val="left"/>
        <w:rPr>
          <w:b/>
          <w:bCs/>
        </w:rPr>
      </w:pPr>
      <w:r w:rsidRPr="00747F7B">
        <w:rPr>
          <w:b/>
          <w:bCs/>
        </w:rPr>
        <w:t>4. Rezultaty i dokumentacja</w:t>
      </w:r>
    </w:p>
    <w:p w14:paraId="28E64C6A" w14:textId="77777777" w:rsidR="00A54BC8" w:rsidRPr="00747F7B" w:rsidRDefault="00A54BC8" w:rsidP="00A54BC8">
      <w:pPr>
        <w:spacing w:after="0" w:line="360" w:lineRule="auto"/>
        <w:ind w:left="-12" w:firstLine="0"/>
        <w:jc w:val="left"/>
        <w:rPr>
          <w:bCs/>
        </w:rPr>
      </w:pPr>
      <w:r w:rsidRPr="00747F7B">
        <w:rPr>
          <w:bCs/>
        </w:rPr>
        <w:t>Po zakończeniu realizacji testów Wykonawca zobowiązany jest do:</w:t>
      </w:r>
    </w:p>
    <w:p w14:paraId="260E5893" w14:textId="77777777" w:rsidR="00A54BC8" w:rsidRPr="00747F7B" w:rsidRDefault="00A54BC8" w:rsidP="00A54BC8">
      <w:pPr>
        <w:numPr>
          <w:ilvl w:val="0"/>
          <w:numId w:val="7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opracowania i wydania Zamawiającemu raportu technicznego zawierającego opis wykrytych podatności, ich wpływ oraz możliwe scenariusze nadużyć wraz z listą rekomendacji działań naprawczych z określeniem priorytetów, przy czym raport końcowy zostanie opracowany zgodnie z zasadami dotyczącymi kontroli bezpieczeństwa informacji określonych w normie ISO/IEC 27001</w:t>
      </w:r>
    </w:p>
    <w:p w14:paraId="0F68BF9F" w14:textId="77777777" w:rsidR="00A54BC8" w:rsidRPr="00747F7B" w:rsidRDefault="00A54BC8" w:rsidP="00A54BC8">
      <w:pPr>
        <w:numPr>
          <w:ilvl w:val="0"/>
          <w:numId w:val="7"/>
        </w:numPr>
        <w:spacing w:after="0" w:line="360" w:lineRule="auto"/>
        <w:jc w:val="left"/>
        <w:rPr>
          <w:bCs/>
        </w:rPr>
      </w:pPr>
      <w:bookmarkStart w:id="0" w:name="_Hlk224204456"/>
      <w:r w:rsidRPr="00747F7B">
        <w:rPr>
          <w:bCs/>
        </w:rPr>
        <w:t xml:space="preserve">prezentacji wyników i omówienia raportu podczas spotkania podsumowującego </w:t>
      </w:r>
      <w:bookmarkEnd w:id="0"/>
      <w:r w:rsidRPr="00747F7B">
        <w:rPr>
          <w:bCs/>
        </w:rPr>
        <w:t>z Administratorami Zamawiającego i dyrekcją Departamentu Informatyzacji i Cyberbezpieczeństwa w siedzibie Zamawiającego.</w:t>
      </w:r>
    </w:p>
    <w:p w14:paraId="408BDD6D" w14:textId="77777777" w:rsidR="00A54BC8" w:rsidRPr="00747F7B" w:rsidRDefault="00A54BC8" w:rsidP="00A54BC8">
      <w:pPr>
        <w:spacing w:after="0" w:line="360" w:lineRule="auto"/>
        <w:ind w:left="-12" w:firstLine="0"/>
        <w:jc w:val="left"/>
        <w:rPr>
          <w:b/>
          <w:bCs/>
        </w:rPr>
      </w:pPr>
    </w:p>
    <w:p w14:paraId="50BA6DF2" w14:textId="77777777" w:rsidR="00A54BC8" w:rsidRPr="00747F7B" w:rsidRDefault="00A54BC8" w:rsidP="00A54BC8">
      <w:pPr>
        <w:spacing w:after="0" w:line="360" w:lineRule="auto"/>
        <w:ind w:left="-12" w:firstLine="0"/>
        <w:jc w:val="left"/>
        <w:rPr>
          <w:b/>
          <w:bCs/>
        </w:rPr>
      </w:pPr>
      <w:r w:rsidRPr="00747F7B">
        <w:rPr>
          <w:b/>
          <w:bCs/>
        </w:rPr>
        <w:t>5. Wymagania wobec Wykonawcy</w:t>
      </w:r>
    </w:p>
    <w:p w14:paraId="1B18C478" w14:textId="77777777" w:rsidR="00A54BC8" w:rsidRPr="00747F7B" w:rsidRDefault="00A54BC8" w:rsidP="00A54BC8">
      <w:pPr>
        <w:spacing w:after="0" w:line="360" w:lineRule="auto"/>
        <w:ind w:left="-12" w:firstLine="0"/>
        <w:jc w:val="left"/>
        <w:rPr>
          <w:bCs/>
        </w:rPr>
      </w:pPr>
      <w:r w:rsidRPr="00747F7B">
        <w:rPr>
          <w:bCs/>
        </w:rPr>
        <w:t>Wykonawca musi:</w:t>
      </w:r>
    </w:p>
    <w:p w14:paraId="2035E41F" w14:textId="1E608E76" w:rsidR="00A54BC8" w:rsidRPr="00747F7B" w:rsidRDefault="00A54BC8" w:rsidP="00A54BC8">
      <w:pPr>
        <w:numPr>
          <w:ilvl w:val="0"/>
          <w:numId w:val="8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posiadać</w:t>
      </w:r>
      <w:r w:rsidR="00843B4D">
        <w:rPr>
          <w:bCs/>
        </w:rPr>
        <w:t>,</w:t>
      </w:r>
      <w:r w:rsidRPr="00747F7B">
        <w:rPr>
          <w:bCs/>
        </w:rPr>
        <w:t xml:space="preserve"> udokumentowane referencjami (co najmniej 2), doświadczenie w testach bezpieczeństwa środowisk Microsoft (Windows, Active Directory, Exchange, Microsoft 365) przeprowadzonymi w jednostkach sektora finansów publicznych (zgodnie z Art. 9 ustawy z dnia 27 sierpnia 2009 r. o finansach publicznych)</w:t>
      </w:r>
    </w:p>
    <w:p w14:paraId="4E7D3966" w14:textId="77777777" w:rsidR="00A54BC8" w:rsidRPr="00747F7B" w:rsidRDefault="00A54BC8" w:rsidP="00A54BC8">
      <w:pPr>
        <w:numPr>
          <w:ilvl w:val="0"/>
          <w:numId w:val="8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dysponować personelem (minimum 2 osoby) posiadającym certyfikaty potwierdzające kompetencje w zakresie testów bezpieczeństwa środowisk Microsoft, w szczególności OSCP, CRTP/CRTE, AZ-500, SC-300 lub równoważne,</w:t>
      </w:r>
    </w:p>
    <w:p w14:paraId="350FEA7A" w14:textId="77777777" w:rsidR="00A54BC8" w:rsidRPr="00747F7B" w:rsidRDefault="00A54BC8" w:rsidP="00A54BC8">
      <w:pPr>
        <w:numPr>
          <w:ilvl w:val="0"/>
          <w:numId w:val="8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Wykonawca zobowiązany jest przed rozpoczęciem realizacji zamówienia wskazać imiennie osoby przewidziane do realizacji prac wraz z określeniem ich ról, zakresem odpowiedzialności oraz posiadanym certyfikatem,</w:t>
      </w:r>
    </w:p>
    <w:p w14:paraId="3EA31DCA" w14:textId="77777777" w:rsidR="00A54BC8" w:rsidRPr="00747F7B" w:rsidRDefault="00A54BC8" w:rsidP="00A54BC8">
      <w:pPr>
        <w:numPr>
          <w:ilvl w:val="0"/>
          <w:numId w:val="8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zapewnić pełną poufność informacji i danych Zamawiającego.</w:t>
      </w:r>
    </w:p>
    <w:p w14:paraId="12BAB590" w14:textId="77777777" w:rsidR="00A54BC8" w:rsidRPr="00747F7B" w:rsidRDefault="00A54BC8" w:rsidP="00A54BC8">
      <w:pPr>
        <w:spacing w:after="0" w:line="360" w:lineRule="auto"/>
        <w:ind w:left="720" w:firstLine="0"/>
        <w:jc w:val="left"/>
        <w:rPr>
          <w:b/>
          <w:bCs/>
        </w:rPr>
      </w:pPr>
    </w:p>
    <w:p w14:paraId="1FD40D5C" w14:textId="77777777" w:rsidR="00A54BC8" w:rsidRPr="00747F7B" w:rsidRDefault="00A54BC8" w:rsidP="00A54BC8">
      <w:pPr>
        <w:spacing w:after="0" w:line="360" w:lineRule="auto"/>
        <w:ind w:left="-12" w:firstLine="0"/>
        <w:jc w:val="left"/>
        <w:rPr>
          <w:b/>
          <w:bCs/>
        </w:rPr>
      </w:pPr>
      <w:r w:rsidRPr="00747F7B">
        <w:rPr>
          <w:b/>
          <w:bCs/>
        </w:rPr>
        <w:t>6. Wymogi w zakresie ochrony danych osobowych</w:t>
      </w:r>
    </w:p>
    <w:p w14:paraId="2511572B" w14:textId="77777777" w:rsidR="00A54BC8" w:rsidRPr="00747F7B" w:rsidRDefault="00A54BC8" w:rsidP="00A54BC8">
      <w:pPr>
        <w:numPr>
          <w:ilvl w:val="0"/>
          <w:numId w:val="8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 xml:space="preserve">Wykonawca zapewni zgodność świadczenia usług oraz opracowanych dokumentów z obowiązującymi przepisami prawa, w szczególności z rozporządzeniem Parlamentu </w:t>
      </w:r>
      <w:r w:rsidRPr="00747F7B">
        <w:rPr>
          <w:bCs/>
        </w:rPr>
        <w:lastRenderedPageBreak/>
        <w:t>Europejskiego i Rady (UE) 2016/679 z dnia 27 kwietnia 2016 r. w sprawie ochrony osób fizycznych w związku z przetwarzaniem danych osobowych i w sprawie swobodnego przepływu takich danych oraz uchylenia dyrektywy 95/46/WE (ogólne rozporządzenie o ochronie danych – dalej również: „RODO”).</w:t>
      </w:r>
    </w:p>
    <w:p w14:paraId="2549D0CF" w14:textId="77777777" w:rsidR="00A54BC8" w:rsidRPr="00747F7B" w:rsidRDefault="00A54BC8" w:rsidP="00A54BC8">
      <w:pPr>
        <w:numPr>
          <w:ilvl w:val="0"/>
          <w:numId w:val="8"/>
        </w:numPr>
        <w:spacing w:after="0" w:line="360" w:lineRule="auto"/>
        <w:jc w:val="left"/>
        <w:rPr>
          <w:bCs/>
        </w:rPr>
      </w:pPr>
      <w:r w:rsidRPr="00747F7B">
        <w:rPr>
          <w:bCs/>
        </w:rPr>
        <w:t>Wykonawca zobowiązany jest – w celu potwierdzenia spełnienia wymogów dotyczących ochrony danych osobowych - wypełnić raport sporządzony wg wzoru stanowiącego załącznik nr 1 do OPZ „Opis technicznych i organizacyjnych środków ochrony danych osobowych wprowadzonych przez Wykonawcę” i przekazać go wraz z ofertą. W związku z realizacją Umowy, w zakresie w jakim jej wykonanie wiąże się z przetwarzaniem danych osobowych, Wykonawca zawrze z Zamawiającym odrębną Umowę powierzenia przetwarzania danych osobowych, zgodnie z art. 28 RODO wg wzoru stanowiącego załącznik do umowy.</w:t>
      </w:r>
    </w:p>
    <w:p w14:paraId="1BDC53EB" w14:textId="77777777" w:rsidR="00A54BC8" w:rsidRPr="001E1F9A" w:rsidRDefault="00A54BC8" w:rsidP="00A54BC8">
      <w:pPr>
        <w:spacing w:after="0" w:line="360" w:lineRule="auto"/>
        <w:ind w:left="-12" w:firstLine="0"/>
        <w:jc w:val="left"/>
      </w:pPr>
    </w:p>
    <w:p w14:paraId="6E8C131E" w14:textId="77777777" w:rsidR="00A54BC8" w:rsidRPr="001E1F9A" w:rsidRDefault="00A54BC8" w:rsidP="00A54BC8">
      <w:pPr>
        <w:spacing w:after="0" w:line="360" w:lineRule="auto"/>
        <w:ind w:left="-12" w:firstLine="0"/>
        <w:jc w:val="left"/>
      </w:pPr>
    </w:p>
    <w:p w14:paraId="0EC6614F" w14:textId="77777777" w:rsidR="00A54BC8" w:rsidRPr="001E1F9A" w:rsidRDefault="00A54BC8" w:rsidP="00A54BC8">
      <w:pPr>
        <w:spacing w:after="0" w:line="360" w:lineRule="auto"/>
        <w:ind w:left="0" w:firstLine="0"/>
        <w:jc w:val="left"/>
      </w:pPr>
    </w:p>
    <w:p w14:paraId="6B8FCD77" w14:textId="77777777" w:rsidR="00A54BC8" w:rsidRPr="001E1F9A" w:rsidRDefault="00A54BC8" w:rsidP="00A54BC8">
      <w:pPr>
        <w:spacing w:after="0" w:line="360" w:lineRule="auto"/>
        <w:ind w:left="-12" w:firstLine="0"/>
        <w:jc w:val="left"/>
        <w:rPr>
          <w:b/>
        </w:rPr>
      </w:pPr>
      <w:r w:rsidRPr="001E1F9A">
        <w:rPr>
          <w:b/>
        </w:rPr>
        <w:t>Załączniki:</w:t>
      </w:r>
    </w:p>
    <w:p w14:paraId="06CA5029" w14:textId="77777777" w:rsidR="00A54BC8" w:rsidRPr="001E1F9A" w:rsidRDefault="00A54BC8" w:rsidP="00A54BC8">
      <w:pPr>
        <w:numPr>
          <w:ilvl w:val="0"/>
          <w:numId w:val="9"/>
        </w:numPr>
        <w:spacing w:after="0" w:line="360" w:lineRule="auto"/>
        <w:jc w:val="left"/>
      </w:pPr>
      <w:r w:rsidRPr="001E1F9A">
        <w:t>Opis technicznych i organizacyjnych środków ochrony danych osobowych wprowadzonych przez Podmiot przetwarzający</w:t>
      </w:r>
    </w:p>
    <w:p w14:paraId="1A71E72D" w14:textId="77777777" w:rsidR="00A54BC8" w:rsidRPr="001E1F9A" w:rsidRDefault="00A54BC8" w:rsidP="00A54BC8">
      <w:pPr>
        <w:spacing w:after="0" w:line="360" w:lineRule="auto"/>
        <w:ind w:left="-12" w:firstLine="0"/>
        <w:jc w:val="left"/>
      </w:pPr>
    </w:p>
    <w:p w14:paraId="1EBE5841" w14:textId="77777777" w:rsidR="00A54BC8" w:rsidRPr="001E1F9A" w:rsidRDefault="00A54BC8" w:rsidP="00A54BC8">
      <w:pPr>
        <w:spacing w:after="0" w:line="360" w:lineRule="auto"/>
        <w:ind w:left="-12" w:firstLine="0"/>
        <w:jc w:val="left"/>
      </w:pPr>
      <w:r w:rsidRPr="001E1F9A">
        <w:br w:type="page"/>
      </w:r>
    </w:p>
    <w:p w14:paraId="074C8438" w14:textId="77777777" w:rsidR="00A54BC8" w:rsidRPr="001E1F9A" w:rsidRDefault="00A54BC8" w:rsidP="00A54BC8">
      <w:pPr>
        <w:spacing w:after="0" w:line="360" w:lineRule="auto"/>
        <w:ind w:left="-12" w:firstLine="0"/>
        <w:jc w:val="left"/>
        <w:rPr>
          <w:b/>
        </w:rPr>
      </w:pPr>
      <w:r w:rsidRPr="001E1F9A">
        <w:rPr>
          <w:b/>
        </w:rPr>
        <w:lastRenderedPageBreak/>
        <w:t>Załącznik nr 1:</w:t>
      </w:r>
    </w:p>
    <w:p w14:paraId="1D78FA37" w14:textId="77777777" w:rsidR="00A54BC8" w:rsidRPr="001E1F9A" w:rsidRDefault="00A54BC8" w:rsidP="00A54BC8">
      <w:pPr>
        <w:spacing w:after="0" w:line="360" w:lineRule="auto"/>
        <w:ind w:left="-12" w:firstLine="0"/>
        <w:jc w:val="left"/>
      </w:pPr>
      <w:r w:rsidRPr="001E1F9A">
        <w:t>Opis technicznych i organizacyjnych środków ochrony danych osobowych wprowadzonych przez Podmiot przetwarzający.</w:t>
      </w:r>
    </w:p>
    <w:p w14:paraId="4523C75A" w14:textId="77777777" w:rsidR="00A54BC8" w:rsidRPr="001E1F9A" w:rsidRDefault="00A54BC8" w:rsidP="00A54BC8">
      <w:pPr>
        <w:spacing w:after="0" w:line="360" w:lineRule="auto"/>
        <w:ind w:left="-12" w:firstLine="0"/>
        <w:jc w:val="left"/>
      </w:pPr>
    </w:p>
    <w:tbl>
      <w:tblPr>
        <w:tblW w:w="10741" w:type="dxa"/>
        <w:tblInd w:w="-706" w:type="dxa"/>
        <w:tblCellMar>
          <w:top w:w="41" w:type="dxa"/>
          <w:right w:w="115" w:type="dxa"/>
        </w:tblCellMar>
        <w:tblLook w:val="04A0" w:firstRow="1" w:lastRow="0" w:firstColumn="1" w:lastColumn="0" w:noHBand="0" w:noVBand="1"/>
      </w:tblPr>
      <w:tblGrid>
        <w:gridCol w:w="1060"/>
        <w:gridCol w:w="1439"/>
        <w:gridCol w:w="2598"/>
        <w:gridCol w:w="5644"/>
      </w:tblGrid>
      <w:tr w:rsidR="00A54BC8" w:rsidRPr="001E1F9A" w14:paraId="664D6B74" w14:textId="77777777" w:rsidTr="0067370D">
        <w:trPr>
          <w:trHeight w:val="73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AA74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  <w:r w:rsidRPr="001E1F9A">
              <w:t>L.p.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E70E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  <w:r w:rsidRPr="001E1F9A">
              <w:t>TAK/NIE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BF6D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  <w:r w:rsidRPr="001E1F9A">
              <w:t>W przypadku braku zabezpieczenia należy uzasadnić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F6B367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  <w:r w:rsidRPr="001E1F9A">
              <w:t>Wdrożone środki bezpieczeństwa</w:t>
            </w:r>
          </w:p>
        </w:tc>
      </w:tr>
      <w:tr w:rsidR="00A54BC8" w:rsidRPr="001E1F9A" w14:paraId="45E530BF" w14:textId="77777777" w:rsidTr="0067370D">
        <w:trPr>
          <w:trHeight w:val="730"/>
        </w:trPr>
        <w:tc>
          <w:tcPr>
            <w:tcW w:w="107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32036DA" w14:textId="77777777" w:rsidR="00A54BC8" w:rsidRPr="002977D7" w:rsidRDefault="00A54BC8" w:rsidP="0067370D">
            <w:pPr>
              <w:spacing w:after="0" w:line="360" w:lineRule="auto"/>
              <w:ind w:left="-12" w:firstLine="0"/>
              <w:jc w:val="left"/>
              <w:rPr>
                <w:b/>
              </w:rPr>
            </w:pPr>
            <w:r w:rsidRPr="002977D7">
              <w:rPr>
                <w:b/>
              </w:rPr>
              <w:t>I. Środki ochrony fizycznej</w:t>
            </w:r>
          </w:p>
        </w:tc>
      </w:tr>
      <w:tr w:rsidR="00A54BC8" w:rsidRPr="001E1F9A" w14:paraId="326FD437" w14:textId="77777777" w:rsidTr="0067370D"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EA47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65EF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E47E1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187C92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  <w:r w:rsidRPr="001E1F9A">
              <w:t>Serwery zlokalizowane są na terytorium Europejskiego Obszaru Gospodarczego.</w:t>
            </w:r>
          </w:p>
        </w:tc>
      </w:tr>
      <w:tr w:rsidR="00A54BC8" w:rsidRPr="001E1F9A" w14:paraId="49ECD4A7" w14:textId="77777777" w:rsidTr="0067370D">
        <w:trPr>
          <w:trHeight w:val="97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2065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7112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AA16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0FF312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  <w:r w:rsidRPr="001E1F9A">
              <w:t>Serwery zlokalizowane są w pomieszczeniach z dostępem wyłącznie dla osób posiadających nadane uprawnienia (System Kontroli Dostępu – SKD, System Zarzadzania Kluczami - SZK).</w:t>
            </w:r>
          </w:p>
        </w:tc>
      </w:tr>
      <w:tr w:rsidR="00A54BC8" w:rsidRPr="001E1F9A" w14:paraId="548F5337" w14:textId="77777777" w:rsidTr="0067370D"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DFB7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292D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77F1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073529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  <w:r w:rsidRPr="001E1F9A">
              <w:t>Służba ochrony prowadzi całodobową, fizyczną ochronę budynku.</w:t>
            </w:r>
          </w:p>
        </w:tc>
      </w:tr>
      <w:tr w:rsidR="00A54BC8" w:rsidRPr="001E1F9A" w14:paraId="6E6BF9B9" w14:textId="77777777" w:rsidTr="0067370D"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3F59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EF0E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9CEFE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C6B71E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  <w:r w:rsidRPr="001E1F9A">
              <w:t>Hol główny i teren wokół budynku jest objęty monitoringiem wizyjnym (CCTV).</w:t>
            </w:r>
          </w:p>
        </w:tc>
      </w:tr>
      <w:tr w:rsidR="00A54BC8" w:rsidRPr="001E1F9A" w14:paraId="2138477D" w14:textId="77777777" w:rsidTr="0067370D">
        <w:trPr>
          <w:trHeight w:val="73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29EA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CBA7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D90C0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16C960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  <w:r w:rsidRPr="001E1F9A">
              <w:t>Dane osobowe Zamawiającego są przechowywane w pomieszczeniu zabezpieczonym drzwiami zwykłymi (nie wzmacnianymi, nie przeciwpożarowymi).</w:t>
            </w:r>
          </w:p>
        </w:tc>
      </w:tr>
      <w:tr w:rsidR="00A54BC8" w:rsidRPr="001E1F9A" w14:paraId="4CF806AD" w14:textId="77777777" w:rsidTr="0067370D">
        <w:trPr>
          <w:trHeight w:val="73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B3CA9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E65A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BE510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0F4C8A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  <w:r w:rsidRPr="001E1F9A">
              <w:t>Dane osobowe Zamawiającego są przechowywane w pomieszczeniu zabezpieczonym drzwiami o podwyższonej odporności ogniowej.</w:t>
            </w:r>
          </w:p>
        </w:tc>
      </w:tr>
      <w:tr w:rsidR="00A54BC8" w:rsidRPr="001E1F9A" w14:paraId="718DEE1A" w14:textId="77777777" w:rsidTr="0067370D">
        <w:trPr>
          <w:trHeight w:val="73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4EBB2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E521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F82E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59EAB6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  <w:r w:rsidRPr="001E1F9A">
              <w:t>Dane osobowe Zamawiającego są przechowywane w pomieszczeniu zabezpieczonym drzwiami o podwyższonej odporności na włamanie.</w:t>
            </w:r>
          </w:p>
        </w:tc>
      </w:tr>
      <w:tr w:rsidR="00A54BC8" w:rsidRPr="001E1F9A" w14:paraId="5E2BFE8D" w14:textId="77777777" w:rsidTr="0067370D">
        <w:trPr>
          <w:trHeight w:val="97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45F2B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3E66F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2D3B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C0027B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  <w:r w:rsidRPr="001E1F9A">
              <w:t>Dane osobowe Zamawiającego (w tym dane są przechowywane w pomieszczeniu, w którym okna zabezpieczone są za pomocą krat, rolet lub folii antywłamaniowej.</w:t>
            </w:r>
          </w:p>
        </w:tc>
      </w:tr>
      <w:tr w:rsidR="00A54BC8" w:rsidRPr="001E1F9A" w14:paraId="1DDFB8E4" w14:textId="77777777" w:rsidTr="0067370D"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4734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89E1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75D79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B9B19C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  <w:r w:rsidRPr="001E1F9A">
              <w:t>Pomieszczenia wyposażone są w system alarmowy przeciwwłamaniowy (SSWiN).</w:t>
            </w:r>
          </w:p>
        </w:tc>
      </w:tr>
      <w:tr w:rsidR="00A54BC8" w:rsidRPr="001E1F9A" w14:paraId="775A875D" w14:textId="77777777" w:rsidTr="0067370D"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C930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FF6B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8290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DAAE3A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  <w:r w:rsidRPr="001E1F9A">
              <w:t>Dostęp do pomieszczeń objęty jest systemem kontroli dostępu (SKD).</w:t>
            </w:r>
          </w:p>
        </w:tc>
      </w:tr>
      <w:tr w:rsidR="00A54BC8" w:rsidRPr="001E1F9A" w14:paraId="1D3990F9" w14:textId="77777777" w:rsidTr="0067370D">
        <w:trPr>
          <w:trHeight w:val="73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DFA3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5CF0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92C2C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8B0444F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  <w:r w:rsidRPr="001E1F9A">
              <w:t>Dostęp do pomieszczeń objęty jest zasadami zarządzania dostępem do kluczy do pomieszczeń (np. system zarzadzania kluczami, depozytory - SZK)</w:t>
            </w:r>
          </w:p>
        </w:tc>
      </w:tr>
      <w:tr w:rsidR="00A54BC8" w:rsidRPr="001E1F9A" w14:paraId="26005C49" w14:textId="77777777" w:rsidTr="0067370D"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671D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A863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CA89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75CB2D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  <w:r w:rsidRPr="001E1F9A">
              <w:t>Dostęp do pomieszczeń kontrolowany jest przez system monitoringu z zastosowaniem kamer przemysłowych (CCTV).</w:t>
            </w:r>
          </w:p>
        </w:tc>
      </w:tr>
      <w:tr w:rsidR="00A54BC8" w:rsidRPr="001E1F9A" w14:paraId="67C41BF8" w14:textId="77777777" w:rsidTr="0067370D">
        <w:trPr>
          <w:trHeight w:val="73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1550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B9221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BD66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6BE1DA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  <w:r w:rsidRPr="001E1F9A">
              <w:t>Dostęp do pomieszczeń  w czasie nieobecności zatrudnionych tam pracowników nadzorowany przez służbę ochrony.</w:t>
            </w:r>
          </w:p>
        </w:tc>
      </w:tr>
      <w:tr w:rsidR="00A54BC8" w:rsidRPr="001E1F9A" w14:paraId="0EBCEEF1" w14:textId="77777777" w:rsidTr="0067370D">
        <w:trPr>
          <w:trHeight w:val="73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E6A3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EA7C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566C4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947799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  <w:r w:rsidRPr="001E1F9A">
              <w:t>Pomieszczenia są zabezpieczone przed skutkami pożaru za pomocą systemu przeciwpożarowego i / lub wolnostojącej gaśnicy.</w:t>
            </w:r>
          </w:p>
        </w:tc>
      </w:tr>
      <w:tr w:rsidR="00A54BC8" w:rsidRPr="001E1F9A" w14:paraId="5B625B87" w14:textId="77777777" w:rsidTr="0067370D"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75C89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5A419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32FD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C20C66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  <w:r w:rsidRPr="001E1F9A">
              <w:t>Kopie zapasowe przechowywane są w różnych lokalizacjach, na różnych nośnikach.</w:t>
            </w:r>
          </w:p>
        </w:tc>
      </w:tr>
      <w:tr w:rsidR="00A54BC8" w:rsidRPr="001E1F9A" w14:paraId="21E10349" w14:textId="77777777" w:rsidTr="0067370D">
        <w:trPr>
          <w:trHeight w:val="730"/>
        </w:trPr>
        <w:tc>
          <w:tcPr>
            <w:tcW w:w="107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75E25E7" w14:textId="77777777" w:rsidR="00A54BC8" w:rsidRPr="002977D7" w:rsidRDefault="00A54BC8" w:rsidP="0067370D">
            <w:pPr>
              <w:spacing w:after="0" w:line="360" w:lineRule="auto"/>
              <w:ind w:left="-12" w:firstLine="0"/>
              <w:jc w:val="left"/>
              <w:rPr>
                <w:b/>
              </w:rPr>
            </w:pPr>
            <w:r w:rsidRPr="002977D7">
              <w:rPr>
                <w:b/>
              </w:rPr>
              <w:t>II. Środki sprzętowe infrastruktury informatycznej i telekomunikacyjnej</w:t>
            </w:r>
          </w:p>
        </w:tc>
      </w:tr>
      <w:tr w:rsidR="00A54BC8" w:rsidRPr="001E1F9A" w14:paraId="78CC2D39" w14:textId="77777777" w:rsidTr="0067370D">
        <w:trPr>
          <w:trHeight w:val="73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BE5E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EF47D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3F2B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4233DC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  <w:r w:rsidRPr="001E1F9A">
              <w:t>Zastosowano urządzenia typu UPS, generator prądu i / lub wydzieloną sieć elektroenergetyczną, chroniące system informatyczny przed skutkami awarii zasilania.</w:t>
            </w:r>
          </w:p>
        </w:tc>
      </w:tr>
      <w:tr w:rsidR="00A54BC8" w:rsidRPr="001E1F9A" w14:paraId="4E79CD18" w14:textId="77777777" w:rsidTr="0067370D">
        <w:trPr>
          <w:trHeight w:val="25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FEDA6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CE294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2979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BFCDB67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  <w:r w:rsidRPr="001E1F9A">
              <w:t xml:space="preserve">Każdy pracownik otrzymuje imienny identyfikator do </w:t>
            </w:r>
          </w:p>
        </w:tc>
      </w:tr>
      <w:tr w:rsidR="00A54BC8" w:rsidRPr="001E1F9A" w14:paraId="1A50B133" w14:textId="77777777" w:rsidTr="0067370D">
        <w:tblPrEx>
          <w:tblCellMar>
            <w:right w:w="65" w:type="dxa"/>
          </w:tblCellMar>
        </w:tblPrEx>
        <w:trPr>
          <w:trHeight w:val="25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E0EB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70FC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56AC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73109A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  <w:r w:rsidRPr="001E1F9A">
              <w:t>systemów informatycznych.</w:t>
            </w:r>
          </w:p>
        </w:tc>
      </w:tr>
      <w:tr w:rsidR="00A54BC8" w:rsidRPr="001E1F9A" w14:paraId="09FD5BCF" w14:textId="77777777" w:rsidTr="0067370D">
        <w:tblPrEx>
          <w:tblCellMar>
            <w:right w:w="65" w:type="dxa"/>
          </w:tblCellMar>
        </w:tblPrEx>
        <w:trPr>
          <w:trHeight w:val="73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AF6C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770F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C5677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ADC8CE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  <w:r w:rsidRPr="001E1F9A">
              <w:t>Dostęp do zasobów Zamawiającego zabezpieczony jest za pomocą procesu uwierzytelnienia z wykorzystaniem identyfikatora użytkownika oraz hasła.</w:t>
            </w:r>
          </w:p>
        </w:tc>
      </w:tr>
      <w:tr w:rsidR="00A54BC8" w:rsidRPr="001E1F9A" w14:paraId="708C8465" w14:textId="77777777" w:rsidTr="0067370D">
        <w:tblPrEx>
          <w:tblCellMar>
            <w:right w:w="65" w:type="dxa"/>
          </w:tblCellMar>
        </w:tblPrEx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C6ED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4AD0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E9CC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5F27F4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  <w:r w:rsidRPr="001E1F9A">
              <w:t>System informatyczny zapewnia wymuszenie na użytkowniku okresową zmianę hasła.</w:t>
            </w:r>
          </w:p>
        </w:tc>
      </w:tr>
      <w:tr w:rsidR="00A54BC8" w:rsidRPr="001E1F9A" w14:paraId="2D67B59D" w14:textId="77777777" w:rsidTr="0067370D">
        <w:tblPrEx>
          <w:tblCellMar>
            <w:right w:w="65" w:type="dxa"/>
          </w:tblCellMar>
        </w:tblPrEx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FFED7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06A87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9083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6BD8C3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  <w:r w:rsidRPr="001E1F9A">
              <w:t>System informatyczny zapewnia zmianę hasła w razie zaistniałej potrzeby.</w:t>
            </w:r>
          </w:p>
        </w:tc>
      </w:tr>
      <w:tr w:rsidR="00A54BC8" w:rsidRPr="001E1F9A" w14:paraId="49C3B569" w14:textId="77777777" w:rsidTr="0067370D">
        <w:tblPrEx>
          <w:tblCellMar>
            <w:right w:w="65" w:type="dxa"/>
          </w:tblCellMar>
        </w:tblPrEx>
        <w:trPr>
          <w:trHeight w:val="73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1CC7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E8D8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6555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7056EE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  <w:r w:rsidRPr="001E1F9A">
              <w:t>Zastosowano środki uniemożliwiające wykonywanie nieautoryzowanych kopii  przy użyciu systemów informatycznych.</w:t>
            </w:r>
          </w:p>
        </w:tc>
      </w:tr>
      <w:tr w:rsidR="00A54BC8" w:rsidRPr="001E1F9A" w14:paraId="512ED846" w14:textId="77777777" w:rsidTr="0067370D">
        <w:tblPrEx>
          <w:tblCellMar>
            <w:right w:w="65" w:type="dxa"/>
          </w:tblCellMar>
        </w:tblPrEx>
        <w:trPr>
          <w:trHeight w:val="25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6BE3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CF23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D4C4E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6516F7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  <w:r w:rsidRPr="001E1F9A">
              <w:t>Zastosowano system rejestracji dostępu do systemu.</w:t>
            </w:r>
          </w:p>
        </w:tc>
      </w:tr>
      <w:tr w:rsidR="00A54BC8" w:rsidRPr="001E1F9A" w14:paraId="4CA4F349" w14:textId="77777777" w:rsidTr="0067370D">
        <w:tblPrEx>
          <w:tblCellMar>
            <w:right w:w="65" w:type="dxa"/>
          </w:tblCellMar>
        </w:tblPrEx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C768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8951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CC88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884AA9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  <w:r w:rsidRPr="001E1F9A">
              <w:t>Zastosowano środki kryptograficznej ochrony danych przekazywanych drogą teletransmisji.</w:t>
            </w:r>
          </w:p>
        </w:tc>
      </w:tr>
      <w:tr w:rsidR="00A54BC8" w:rsidRPr="001E1F9A" w14:paraId="2323A374" w14:textId="77777777" w:rsidTr="0067370D">
        <w:tblPrEx>
          <w:tblCellMar>
            <w:right w:w="65" w:type="dxa"/>
          </w:tblCellMar>
        </w:tblPrEx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12B4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885C4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8C24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5D160D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  <w:r w:rsidRPr="001E1F9A">
              <w:t>Dostęp do środków teletransmisji zabezpieczono za pomocą mechanizmów uwierzytelnienia.</w:t>
            </w:r>
          </w:p>
        </w:tc>
      </w:tr>
      <w:tr w:rsidR="00A54BC8" w:rsidRPr="001E1F9A" w14:paraId="4BA18EF9" w14:textId="77777777" w:rsidTr="0067370D">
        <w:tblPrEx>
          <w:tblCellMar>
            <w:right w:w="65" w:type="dxa"/>
          </w:tblCellMar>
        </w:tblPrEx>
        <w:trPr>
          <w:trHeight w:val="73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4B7F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FD02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2691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1577CB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  <w:r w:rsidRPr="001E1F9A">
              <w:t>Zastosowano środki ochrony przed szkodliwym oprogramowaniem, takim jak np. robaki, wirusy, konie trojańskie, rootkity. (oprogramowanie antywirusowe).</w:t>
            </w:r>
          </w:p>
        </w:tc>
      </w:tr>
      <w:tr w:rsidR="00A54BC8" w:rsidRPr="001E1F9A" w14:paraId="44F455FC" w14:textId="77777777" w:rsidTr="0067370D">
        <w:tblPrEx>
          <w:tblCellMar>
            <w:right w:w="65" w:type="dxa"/>
          </w:tblCellMar>
        </w:tblPrEx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B356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ABA9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1575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4C2A02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  <w:r w:rsidRPr="001E1F9A">
              <w:t>Oprogramowanie posiada licencje i jest na bieżąco aktualizowane.</w:t>
            </w:r>
          </w:p>
        </w:tc>
      </w:tr>
      <w:tr w:rsidR="00A54BC8" w:rsidRPr="001E1F9A" w14:paraId="5F31B835" w14:textId="77777777" w:rsidTr="0067370D">
        <w:tblPrEx>
          <w:tblCellMar>
            <w:right w:w="65" w:type="dxa"/>
          </w:tblCellMar>
        </w:tblPrEx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746B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1ED6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DC38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C24083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  <w:r w:rsidRPr="001E1F9A">
              <w:t>Użyto system Firewall do ochrony dostępu do sieci komputerowej.</w:t>
            </w:r>
          </w:p>
        </w:tc>
      </w:tr>
      <w:tr w:rsidR="00A54BC8" w:rsidRPr="001E1F9A" w14:paraId="2DA204DD" w14:textId="77777777" w:rsidTr="0067370D">
        <w:tblPrEx>
          <w:tblCellMar>
            <w:right w:w="65" w:type="dxa"/>
          </w:tblCellMar>
        </w:tblPrEx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4A232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22F1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5C08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1368A3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  <w:r w:rsidRPr="001E1F9A">
              <w:t>Użyto system IDS/IPS do ochrony dostępu do sieci komputerowej.</w:t>
            </w:r>
          </w:p>
        </w:tc>
      </w:tr>
      <w:tr w:rsidR="00A54BC8" w:rsidRPr="001E1F9A" w14:paraId="72A2A1B0" w14:textId="77777777" w:rsidTr="0067370D">
        <w:tblPrEx>
          <w:tblCellMar>
            <w:right w:w="65" w:type="dxa"/>
          </w:tblCellMar>
        </w:tblPrEx>
        <w:trPr>
          <w:trHeight w:val="73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6F59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73BD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DB4D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FED0F2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  <w:r w:rsidRPr="001E1F9A">
              <w:t>Zapewniono zdolność do szybkiego przywrócenia dostępności informacji i dostępu do nich w razie incydentu fizycznego i technicznego.</w:t>
            </w:r>
          </w:p>
        </w:tc>
      </w:tr>
      <w:tr w:rsidR="00A54BC8" w:rsidRPr="001E1F9A" w14:paraId="0ABAC8F3" w14:textId="77777777" w:rsidTr="0067370D">
        <w:tblPrEx>
          <w:tblCellMar>
            <w:right w:w="65" w:type="dxa"/>
          </w:tblCellMar>
        </w:tblPrEx>
        <w:trPr>
          <w:trHeight w:val="73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1CB9B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DE15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0D798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CBC7C0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  <w:r w:rsidRPr="001E1F9A">
              <w:t>Dostęp do danych osobowych Zamawiającego zabezpieczony został przed nieautoryzowanym uruchomieniem za pomocą hasła BIOS.</w:t>
            </w:r>
          </w:p>
        </w:tc>
      </w:tr>
      <w:tr w:rsidR="00A54BC8" w:rsidRPr="001E1F9A" w14:paraId="51F17F86" w14:textId="77777777" w:rsidTr="0067370D">
        <w:tblPrEx>
          <w:tblCellMar>
            <w:right w:w="65" w:type="dxa"/>
          </w:tblCellMar>
        </w:tblPrEx>
        <w:trPr>
          <w:trHeight w:val="730"/>
        </w:trPr>
        <w:tc>
          <w:tcPr>
            <w:tcW w:w="107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ABBCE98" w14:textId="77777777" w:rsidR="00A54BC8" w:rsidRPr="002977D7" w:rsidRDefault="00A54BC8" w:rsidP="0067370D">
            <w:pPr>
              <w:spacing w:after="0" w:line="360" w:lineRule="auto"/>
              <w:ind w:left="-12" w:firstLine="0"/>
              <w:jc w:val="left"/>
              <w:rPr>
                <w:b/>
              </w:rPr>
            </w:pPr>
            <w:r w:rsidRPr="002977D7">
              <w:rPr>
                <w:b/>
              </w:rPr>
              <w:t>III. Środki ochrony w ramach narzędzi programowych i baz danych</w:t>
            </w:r>
          </w:p>
        </w:tc>
      </w:tr>
      <w:tr w:rsidR="00A54BC8" w:rsidRPr="001E1F9A" w14:paraId="3DABBA52" w14:textId="77777777" w:rsidTr="0067370D">
        <w:tblPrEx>
          <w:tblCellMar>
            <w:right w:w="65" w:type="dxa"/>
          </w:tblCellMar>
        </w:tblPrEx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1D82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6D84C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ADCE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BC9BA3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  <w:r w:rsidRPr="001E1F9A">
              <w:t>Wykorzystano środki pozwalające na rejestrację zmian wykonywanych na poszczególnych elementach danych.</w:t>
            </w:r>
          </w:p>
        </w:tc>
      </w:tr>
      <w:tr w:rsidR="00A54BC8" w:rsidRPr="001E1F9A" w14:paraId="6CEEA683" w14:textId="77777777" w:rsidTr="0067370D">
        <w:tblPrEx>
          <w:tblCellMar>
            <w:right w:w="65" w:type="dxa"/>
          </w:tblCellMar>
        </w:tblPrEx>
        <w:trPr>
          <w:trHeight w:val="73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AA3E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C6D2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25E8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ECFE90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  <w:r w:rsidRPr="001E1F9A">
              <w:t>Zastosowano środki umożliwiające określenie praw dostępu do wskazanego zakresu danych w ramach przetwarzanych informacji.</w:t>
            </w:r>
          </w:p>
        </w:tc>
      </w:tr>
      <w:tr w:rsidR="00A54BC8" w:rsidRPr="001E1F9A" w14:paraId="6373D036" w14:textId="77777777" w:rsidTr="0067370D">
        <w:tblPrEx>
          <w:tblCellMar>
            <w:right w:w="65" w:type="dxa"/>
          </w:tblCellMar>
        </w:tblPrEx>
        <w:trPr>
          <w:trHeight w:val="73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E561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A8265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93375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B7F662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  <w:r w:rsidRPr="001E1F9A">
              <w:t>Dostęp do zasobów Zamawiającego  wymaga uwierzytelnienia z wykorzystaniem identyfikatora użytkownika oraz hasła.</w:t>
            </w:r>
          </w:p>
        </w:tc>
      </w:tr>
      <w:tr w:rsidR="00A54BC8" w:rsidRPr="001E1F9A" w14:paraId="4FDF9983" w14:textId="77777777" w:rsidTr="0067370D">
        <w:tblPrEx>
          <w:tblCellMar>
            <w:right w:w="65" w:type="dxa"/>
          </w:tblCellMar>
        </w:tblPrEx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93D0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777D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EA06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F0CC6F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  <w:r w:rsidRPr="001E1F9A">
              <w:t>Dostęp do zasobów Zamawiającego wymaga uwierzytelnienia przy użyciu karty procesorowej oraz kodu PIN lub tokena.</w:t>
            </w:r>
          </w:p>
        </w:tc>
      </w:tr>
      <w:tr w:rsidR="00A54BC8" w:rsidRPr="001E1F9A" w14:paraId="30D76034" w14:textId="77777777" w:rsidTr="0067370D">
        <w:tblPrEx>
          <w:tblCellMar>
            <w:right w:w="65" w:type="dxa"/>
          </w:tblCellMar>
        </w:tblPrEx>
        <w:trPr>
          <w:trHeight w:val="97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129A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79E2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A812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A793A1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  <w:r w:rsidRPr="001E1F9A">
              <w:t>Dostęp do zasobów Zamawiającego wymaga logowania/uwierzytelnienia poprzez uwierzytelnianie wielopoziomowe, np. 2FA (uwierzytelnianie dwuskładnikowe).</w:t>
            </w:r>
          </w:p>
        </w:tc>
      </w:tr>
      <w:tr w:rsidR="00A54BC8" w:rsidRPr="001E1F9A" w14:paraId="7D57B40A" w14:textId="77777777" w:rsidTr="0067370D">
        <w:tblPrEx>
          <w:tblCellMar>
            <w:right w:w="65" w:type="dxa"/>
          </w:tblCellMar>
        </w:tblPrEx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8720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C777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0F34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66F1D0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  <w:r w:rsidRPr="001E1F9A">
              <w:t>Dostęp do zasobów Zamawiającego wymaga uwierzytelnienia z wykorzystaniem technologii biometrycznej.</w:t>
            </w:r>
          </w:p>
        </w:tc>
      </w:tr>
      <w:tr w:rsidR="00A54BC8" w:rsidRPr="001E1F9A" w14:paraId="5E9BCBA1" w14:textId="77777777" w:rsidTr="0067370D">
        <w:tblPrEx>
          <w:tblCellMar>
            <w:right w:w="65" w:type="dxa"/>
          </w:tblCellMar>
        </w:tblPrEx>
        <w:trPr>
          <w:trHeight w:val="73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F106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543BB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1A85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7A6C5B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  <w:r w:rsidRPr="001E1F9A">
              <w:t>Zastosowano systemowe środki pozwalające na określenie odpowiednich praw dostępu do zasobów informatycznych dla poszczególnych użytkowników systemu informatycznego.</w:t>
            </w:r>
          </w:p>
        </w:tc>
      </w:tr>
      <w:tr w:rsidR="00A54BC8" w:rsidRPr="001E1F9A" w14:paraId="1580608C" w14:textId="77777777" w:rsidTr="0067370D">
        <w:tblPrEx>
          <w:tblCellMar>
            <w:right w:w="65" w:type="dxa"/>
          </w:tblCellMar>
        </w:tblPrEx>
        <w:trPr>
          <w:trHeight w:val="49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C0E6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F020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3DAC9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AD1EB9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  <w:r w:rsidRPr="001E1F9A">
              <w:t>Zastosowano mechanizm wymuszający okresową zmianę haseł dostępu do zasobów Zamawiającego.</w:t>
            </w:r>
          </w:p>
        </w:tc>
      </w:tr>
      <w:tr w:rsidR="00A54BC8" w:rsidRPr="001E1F9A" w14:paraId="5246327D" w14:textId="77777777" w:rsidTr="0067370D">
        <w:tblPrEx>
          <w:tblCellMar>
            <w:right w:w="65" w:type="dxa"/>
          </w:tblCellMar>
        </w:tblPrEx>
        <w:trPr>
          <w:trHeight w:val="25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9D51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4310D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86AE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FD9B93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  <w:r w:rsidRPr="001E1F9A">
              <w:t>Zastosowano kryptograficzne środki ochrony danych.</w:t>
            </w:r>
          </w:p>
        </w:tc>
      </w:tr>
      <w:tr w:rsidR="00A54BC8" w:rsidRPr="001E1F9A" w14:paraId="17E3FD99" w14:textId="77777777" w:rsidTr="0067370D">
        <w:tblPrEx>
          <w:tblCellMar>
            <w:right w:w="65" w:type="dxa"/>
          </w:tblCellMar>
        </w:tblPrEx>
        <w:trPr>
          <w:trHeight w:val="25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C850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9C46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02E5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A3E063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  <w:r w:rsidRPr="001E1F9A">
              <w:t>Zainstalowano wygaszacze ekranów na stanowiskach, na których przetwarzane są  dane osobowe Zamawiającego.</w:t>
            </w:r>
          </w:p>
        </w:tc>
      </w:tr>
      <w:tr w:rsidR="00A54BC8" w:rsidRPr="001E1F9A" w14:paraId="4A0C5C73" w14:textId="77777777" w:rsidTr="0067370D">
        <w:tblPrEx>
          <w:tblCellMar>
            <w:right w:w="65" w:type="dxa"/>
          </w:tblCellMar>
        </w:tblPrEx>
        <w:trPr>
          <w:trHeight w:val="25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A2F0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8830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4595B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F4A936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  <w:r w:rsidRPr="001E1F9A">
              <w:t>Zastosowano mechanizm automatycznej blokady dostępu do systemu informatycznego służącego do przetwarzania informacji Zamawiającego ( w tym danych osobowych) w przypadku dłuższej nieaktywności pracy użytkownika.</w:t>
            </w:r>
          </w:p>
        </w:tc>
      </w:tr>
      <w:tr w:rsidR="00A54BC8" w:rsidRPr="001E1F9A" w14:paraId="55A4E6FD" w14:textId="77777777" w:rsidTr="0067370D">
        <w:tblPrEx>
          <w:tblCellMar>
            <w:right w:w="65" w:type="dxa"/>
          </w:tblCellMar>
        </w:tblPrEx>
        <w:trPr>
          <w:trHeight w:val="748"/>
        </w:trPr>
        <w:tc>
          <w:tcPr>
            <w:tcW w:w="107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7438DD4" w14:textId="77777777" w:rsidR="00A54BC8" w:rsidRPr="002977D7" w:rsidRDefault="00A54BC8" w:rsidP="0067370D">
            <w:pPr>
              <w:spacing w:after="0" w:line="360" w:lineRule="auto"/>
              <w:ind w:left="-12" w:firstLine="0"/>
              <w:jc w:val="left"/>
              <w:rPr>
                <w:b/>
              </w:rPr>
            </w:pPr>
            <w:r w:rsidRPr="002977D7">
              <w:rPr>
                <w:b/>
              </w:rPr>
              <w:t>IV. Środki organizacyjne</w:t>
            </w:r>
          </w:p>
        </w:tc>
      </w:tr>
      <w:tr w:rsidR="00A54BC8" w:rsidRPr="001E1F9A" w14:paraId="280769DB" w14:textId="77777777" w:rsidTr="0067370D">
        <w:tblPrEx>
          <w:tblCellMar>
            <w:right w:w="65" w:type="dxa"/>
          </w:tblCellMar>
        </w:tblPrEx>
        <w:trPr>
          <w:trHeight w:val="25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641C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44BD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D3D7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8B9608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  <w:r w:rsidRPr="001E1F9A">
              <w:t>Osoby zatrudnione przy przetwarzaniu danych zostały zaznajomione z przepisami dotyczącymi  ochrony danych osobowych.</w:t>
            </w:r>
          </w:p>
        </w:tc>
      </w:tr>
      <w:tr w:rsidR="00A54BC8" w:rsidRPr="001E1F9A" w14:paraId="1BB3CFC6" w14:textId="77777777" w:rsidTr="0067370D">
        <w:tblPrEx>
          <w:tblCellMar>
            <w:right w:w="65" w:type="dxa"/>
          </w:tblCellMar>
        </w:tblPrEx>
        <w:trPr>
          <w:trHeight w:val="25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ABD5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E9D6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7A051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DE1AB8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  <w:r w:rsidRPr="001E1F9A">
              <w:t>Przeszkolono osoby zatrudnione przy przetwarzaniu danych osobowych w zakresie zabezpieczeń systemu informatycznego.</w:t>
            </w:r>
          </w:p>
        </w:tc>
      </w:tr>
      <w:tr w:rsidR="00A54BC8" w:rsidRPr="001E1F9A" w14:paraId="1CDD9EA3" w14:textId="77777777" w:rsidTr="0067370D">
        <w:tblPrEx>
          <w:tblCellMar>
            <w:right w:w="65" w:type="dxa"/>
          </w:tblCellMar>
        </w:tblPrEx>
        <w:trPr>
          <w:trHeight w:val="25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AAFB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4709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F4AC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1E1A24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  <w:r w:rsidRPr="001E1F9A">
              <w:t>Cyklicznie doskonalona jest wiedza osób zatrudnionych przy przetwarzaniu informacji poprzez cykliczne szkolenia oraz inne działania podnoszące świadomość w przedmiotowym obszarze.</w:t>
            </w:r>
          </w:p>
        </w:tc>
      </w:tr>
      <w:tr w:rsidR="00A54BC8" w:rsidRPr="001E1F9A" w14:paraId="3C0DF748" w14:textId="77777777" w:rsidTr="0067370D">
        <w:tblPrEx>
          <w:tblCellMar>
            <w:right w:w="65" w:type="dxa"/>
          </w:tblCellMar>
        </w:tblPrEx>
        <w:trPr>
          <w:trHeight w:val="25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9898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0711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D6CA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15E564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  <w:r w:rsidRPr="001E1F9A">
              <w:t>Wprowadzono/określono zasady ochrony danych osobowych przetwarzanych w systemach teleinformatycznych.</w:t>
            </w:r>
          </w:p>
        </w:tc>
      </w:tr>
      <w:tr w:rsidR="00A54BC8" w:rsidRPr="001E1F9A" w14:paraId="076D2D8B" w14:textId="77777777" w:rsidTr="0067370D">
        <w:tblPrEx>
          <w:tblCellMar>
            <w:right w:w="65" w:type="dxa"/>
          </w:tblCellMar>
        </w:tblPrEx>
        <w:trPr>
          <w:trHeight w:val="25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469B5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83BD1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8C88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5AFB72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  <w:r w:rsidRPr="001E1F9A">
              <w:t>Osoby zatrudnione przy przetwarzaniu danych osobowych  zobowiązane zostały do zachowania ich w tajemnicy.</w:t>
            </w:r>
          </w:p>
        </w:tc>
      </w:tr>
      <w:tr w:rsidR="00A54BC8" w:rsidRPr="001E1F9A" w14:paraId="25B95C44" w14:textId="77777777" w:rsidTr="0067370D">
        <w:tblPrEx>
          <w:tblCellMar>
            <w:right w:w="65" w:type="dxa"/>
          </w:tblCellMar>
        </w:tblPrEx>
        <w:trPr>
          <w:trHeight w:val="25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DAE8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AC9A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843C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61DF1E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  <w:r w:rsidRPr="001E1F9A">
              <w:t>Dostęp do pomieszczeń po godzinach pracy nie jest możliwy dla osób trzecich (np. firmy sprzątającej) bądź dostęp ten jest szczegółowo nadzorowany.</w:t>
            </w:r>
          </w:p>
        </w:tc>
      </w:tr>
      <w:tr w:rsidR="00A54BC8" w:rsidRPr="001E1F9A" w14:paraId="3B996345" w14:textId="77777777" w:rsidTr="0067370D">
        <w:tblPrEx>
          <w:tblCellMar>
            <w:right w:w="65" w:type="dxa"/>
          </w:tblCellMar>
        </w:tblPrEx>
        <w:trPr>
          <w:trHeight w:val="25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5526D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0280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DFB5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D1722A8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  <w:r w:rsidRPr="001E1F9A">
              <w:t>Monitory komputerów, na których przetwarzane są dane osobowe ustawione są w sposób uniemożliwiający wgląd osobom postronnym w przetwarzane dane.</w:t>
            </w:r>
          </w:p>
        </w:tc>
      </w:tr>
      <w:tr w:rsidR="00A54BC8" w:rsidRPr="001E1F9A" w14:paraId="30D8C476" w14:textId="77777777" w:rsidTr="0067370D">
        <w:tblPrEx>
          <w:tblCellMar>
            <w:right w:w="65" w:type="dxa"/>
          </w:tblCellMar>
        </w:tblPrEx>
        <w:trPr>
          <w:trHeight w:val="25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188D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7B77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5E73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010990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  <w:r w:rsidRPr="001E1F9A">
              <w:t>Osoby zatrudnione przy przetwarzaniu danych osobowych zobowiązane zostały do zabezpieczania nieużywanych w danym momencie systemów poprzez blokadę ekranu lub w inny równoważny sposób – zgodnie z polityką czystego ekranu.</w:t>
            </w:r>
          </w:p>
        </w:tc>
      </w:tr>
      <w:tr w:rsidR="00A54BC8" w:rsidRPr="001E1F9A" w14:paraId="3952D380" w14:textId="77777777" w:rsidTr="0067370D">
        <w:tblPrEx>
          <w:tblCellMar>
            <w:right w:w="65" w:type="dxa"/>
          </w:tblCellMar>
        </w:tblPrEx>
        <w:trPr>
          <w:trHeight w:val="25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5B2F8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F8E3E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9234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D598C6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  <w:r w:rsidRPr="001E1F9A">
              <w:t>Określono zakres oraz częstotliwość tworzenia kopii zapasowych.</w:t>
            </w:r>
          </w:p>
        </w:tc>
      </w:tr>
      <w:tr w:rsidR="00A54BC8" w:rsidRPr="001E1F9A" w14:paraId="37101B54" w14:textId="77777777" w:rsidTr="0067370D">
        <w:tblPrEx>
          <w:tblCellMar>
            <w:right w:w="65" w:type="dxa"/>
          </w:tblCellMar>
        </w:tblPrEx>
        <w:trPr>
          <w:trHeight w:val="25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89ABC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F1D7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B33F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8F788A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  <w:r w:rsidRPr="001E1F9A">
              <w:t>Określono procedury odtwarzania systemu po awarii oraz ich testowania.</w:t>
            </w:r>
          </w:p>
        </w:tc>
      </w:tr>
      <w:tr w:rsidR="00A54BC8" w:rsidRPr="001E1F9A" w14:paraId="08878017" w14:textId="77777777" w:rsidTr="0067370D">
        <w:tblPrEx>
          <w:tblCellMar>
            <w:right w:w="65" w:type="dxa"/>
          </w:tblCellMar>
        </w:tblPrEx>
        <w:trPr>
          <w:trHeight w:val="25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52D25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D727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F6F8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0A4F0D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  <w:r w:rsidRPr="001E1F9A">
              <w:t>Przeprowadzono szacowanie ryzyka dla aktywów w których będą przetwarzane będą dane osobowe Zamawiającego.</w:t>
            </w:r>
          </w:p>
        </w:tc>
      </w:tr>
      <w:tr w:rsidR="00A54BC8" w:rsidRPr="001E1F9A" w14:paraId="0326A1AB" w14:textId="77777777" w:rsidTr="0067370D">
        <w:tblPrEx>
          <w:tblCellMar>
            <w:right w:w="65" w:type="dxa"/>
          </w:tblCellMar>
        </w:tblPrEx>
        <w:trPr>
          <w:trHeight w:val="25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A814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EA2D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6AD5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AC46D9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  <w:r w:rsidRPr="001E1F9A">
              <w:t>Wdrożenie wymogów dotyczących bezpieczeństwa informacji potwierdzone jest stosownymi certyfikatami.</w:t>
            </w:r>
          </w:p>
        </w:tc>
      </w:tr>
      <w:tr w:rsidR="00A54BC8" w:rsidRPr="001E1F9A" w14:paraId="78A4B85F" w14:textId="77777777" w:rsidTr="0067370D">
        <w:tblPrEx>
          <w:tblCellMar>
            <w:right w:w="65" w:type="dxa"/>
          </w:tblCellMar>
        </w:tblPrEx>
        <w:trPr>
          <w:trHeight w:val="25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BE63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CEAF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DD94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AA2D9E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  <w:r w:rsidRPr="001E1F9A">
              <w:t>Wdrażanie nowych rozwiązań odbywa się zgodnie z zasadą „privacy by design”.</w:t>
            </w:r>
          </w:p>
        </w:tc>
      </w:tr>
      <w:tr w:rsidR="00A54BC8" w:rsidRPr="001E1F9A" w14:paraId="10878E7B" w14:textId="77777777" w:rsidTr="0067370D">
        <w:tblPrEx>
          <w:tblCellMar>
            <w:right w:w="65" w:type="dxa"/>
          </w:tblCellMar>
        </w:tblPrEx>
        <w:trPr>
          <w:trHeight w:val="25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21AA2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A37A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4501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640E5A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  <w:r w:rsidRPr="001E1F9A">
              <w:t>Wdrażanie nowych rozwiązań odbywa się zgodnie z zasadą z zasadą „privacy by default”.”</w:t>
            </w:r>
          </w:p>
        </w:tc>
      </w:tr>
      <w:tr w:rsidR="00A54BC8" w:rsidRPr="001E1F9A" w14:paraId="49827074" w14:textId="77777777" w:rsidTr="0067370D">
        <w:tblPrEx>
          <w:tblCellMar>
            <w:right w:w="65" w:type="dxa"/>
          </w:tblCellMar>
        </w:tblPrEx>
        <w:trPr>
          <w:trHeight w:val="25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BADB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49EA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4E21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CC23B4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  <w:r w:rsidRPr="001E1F9A">
              <w:t>Prowadzona jest ocena skutków dla ochrony danych.</w:t>
            </w:r>
          </w:p>
        </w:tc>
      </w:tr>
      <w:tr w:rsidR="00A54BC8" w:rsidRPr="001E1F9A" w14:paraId="6E6959CF" w14:textId="77777777" w:rsidTr="0067370D">
        <w:tblPrEx>
          <w:tblCellMar>
            <w:right w:w="65" w:type="dxa"/>
          </w:tblCellMar>
        </w:tblPrEx>
        <w:trPr>
          <w:trHeight w:val="25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F798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759D0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D4101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437EEF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  <w:r w:rsidRPr="001E1F9A">
              <w:t>Gwarantowana jest realizacja praw osób, których dane dotyczą.</w:t>
            </w:r>
          </w:p>
        </w:tc>
      </w:tr>
      <w:tr w:rsidR="00A54BC8" w:rsidRPr="001E1F9A" w14:paraId="02B8B421" w14:textId="77777777" w:rsidTr="0067370D">
        <w:tblPrEx>
          <w:tblCellMar>
            <w:right w:w="65" w:type="dxa"/>
          </w:tblCellMar>
        </w:tblPrEx>
        <w:trPr>
          <w:trHeight w:val="25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42DF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D5BC6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90F3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A381D6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  <w:r w:rsidRPr="001E1F9A">
              <w:t>Gwarantowane jest przestrzeganie procedury informowania Administratora o naruszeniu ochrony danych osobowych.</w:t>
            </w:r>
          </w:p>
        </w:tc>
      </w:tr>
      <w:tr w:rsidR="00A54BC8" w:rsidRPr="001E1F9A" w14:paraId="427FC554" w14:textId="77777777" w:rsidTr="0067370D">
        <w:tblPrEx>
          <w:tblCellMar>
            <w:right w:w="65" w:type="dxa"/>
          </w:tblCellMar>
        </w:tblPrEx>
        <w:trPr>
          <w:trHeight w:val="25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111C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41EB6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B1E28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8F0A1E5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  <w:r w:rsidRPr="001E1F9A">
              <w:t>Prowadzony jest monitoring funkcjonującego systemu ochrony danych osobowych.</w:t>
            </w:r>
          </w:p>
        </w:tc>
      </w:tr>
      <w:tr w:rsidR="00A54BC8" w:rsidRPr="001E1F9A" w14:paraId="0BD24392" w14:textId="77777777" w:rsidTr="0067370D">
        <w:tblPrEx>
          <w:tblCellMar>
            <w:right w:w="65" w:type="dxa"/>
          </w:tblCellMar>
        </w:tblPrEx>
        <w:trPr>
          <w:trHeight w:val="25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FA2A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DE25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16D2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6946EA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  <w:r w:rsidRPr="001E1F9A">
              <w:t>Prowadzona jest ewidencja osób upoważnionych do przetwarzania danych osobowych.</w:t>
            </w:r>
          </w:p>
        </w:tc>
      </w:tr>
      <w:tr w:rsidR="00A54BC8" w:rsidRPr="001E1F9A" w14:paraId="73635878" w14:textId="77777777" w:rsidTr="0067370D">
        <w:tblPrEx>
          <w:tblCellMar>
            <w:right w:w="65" w:type="dxa"/>
          </w:tblCellMar>
        </w:tblPrEx>
        <w:trPr>
          <w:trHeight w:val="25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6F33C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0B4F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8641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FF3A10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  <w:r w:rsidRPr="001E1F9A">
              <w:t>Do przetwarzania danych osobowych dopuszczone są jedynie osoby posiadające upoważnienie do przetwarzania danych osobowych.</w:t>
            </w:r>
          </w:p>
        </w:tc>
      </w:tr>
      <w:tr w:rsidR="00A54BC8" w:rsidRPr="001E1F9A" w14:paraId="53AEF809" w14:textId="77777777" w:rsidTr="0067370D">
        <w:tblPrEx>
          <w:tblCellMar>
            <w:right w:w="65" w:type="dxa"/>
          </w:tblCellMar>
        </w:tblPrEx>
        <w:trPr>
          <w:trHeight w:val="250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5D9B9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57DD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81F7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C1EA" w14:textId="77777777" w:rsidR="00A54BC8" w:rsidRPr="001E1F9A" w:rsidRDefault="00A54BC8" w:rsidP="0067370D">
            <w:pPr>
              <w:spacing w:after="0" w:line="360" w:lineRule="auto"/>
              <w:ind w:left="-12" w:firstLine="0"/>
              <w:jc w:val="left"/>
            </w:pPr>
            <w:r w:rsidRPr="001E1F9A">
              <w:t>Wdrożona i stosowana jest polityka określającą zasady ochrony danych osobowych.</w:t>
            </w:r>
          </w:p>
        </w:tc>
      </w:tr>
    </w:tbl>
    <w:p w14:paraId="000FA6A2" w14:textId="77777777" w:rsidR="00000000" w:rsidRDefault="00000000"/>
    <w:sectPr w:rsidR="00F32383" w:rsidSect="00C4117D">
      <w:footerReference w:type="default" r:id="rId7"/>
      <w:pgSz w:w="11906" w:h="16838"/>
      <w:pgMar w:top="1417" w:right="1417" w:bottom="1417" w:left="1417" w:header="708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A7227" w14:textId="77777777" w:rsidR="00CA45D2" w:rsidRDefault="00CA45D2" w:rsidP="00C4117D">
      <w:pPr>
        <w:spacing w:after="0" w:line="240" w:lineRule="auto"/>
      </w:pPr>
      <w:r>
        <w:separator/>
      </w:r>
    </w:p>
  </w:endnote>
  <w:endnote w:type="continuationSeparator" w:id="0">
    <w:p w14:paraId="75C0EF20" w14:textId="77777777" w:rsidR="00CA45D2" w:rsidRDefault="00CA45D2" w:rsidP="00C41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3F891" w14:textId="77777777" w:rsidR="00C4117D" w:rsidRPr="00C4117D" w:rsidRDefault="00C4117D" w:rsidP="00C4117D">
    <w:pPr>
      <w:tabs>
        <w:tab w:val="center" w:pos="4536"/>
        <w:tab w:val="right" w:pos="9072"/>
        <w:tab w:val="right" w:pos="9720"/>
      </w:tabs>
      <w:spacing w:before="360" w:after="360" w:line="360" w:lineRule="auto"/>
      <w:ind w:left="0" w:firstLine="0"/>
      <w:jc w:val="center"/>
      <w:rPr>
        <w:rFonts w:ascii="Calibri" w:eastAsia="Times New Roman" w:hAnsi="Calibri" w:cs="Calibri"/>
        <w:noProof/>
        <w:color w:val="474747"/>
        <w:sz w:val="10"/>
        <w:szCs w:val="10"/>
      </w:rPr>
    </w:pPr>
  </w:p>
  <w:p w14:paraId="6CD3AD43" w14:textId="77777777" w:rsidR="00C4117D" w:rsidRPr="00C4117D" w:rsidRDefault="00C4117D" w:rsidP="00C4117D">
    <w:pPr>
      <w:tabs>
        <w:tab w:val="center" w:pos="4536"/>
        <w:tab w:val="right" w:pos="9072"/>
        <w:tab w:val="right" w:pos="9720"/>
      </w:tabs>
      <w:spacing w:before="360" w:after="360" w:line="360" w:lineRule="auto"/>
      <w:ind w:left="0" w:firstLine="0"/>
      <w:jc w:val="center"/>
      <w:rPr>
        <w:rFonts w:ascii="Calibri" w:eastAsia="Times New Roman" w:hAnsi="Calibri" w:cs="Calibri"/>
        <w:color w:val="646464"/>
        <w:sz w:val="10"/>
        <w:szCs w:val="10"/>
        <w:lang w:eastAsia="en-US"/>
      </w:rPr>
    </w:pPr>
    <w:r w:rsidRPr="00C4117D">
      <w:rPr>
        <w:rFonts w:ascii="Calibri" w:eastAsia="Times New Roman" w:hAnsi="Calibri" w:cs="Calibri"/>
        <w:noProof/>
        <w:color w:val="474747"/>
        <w:sz w:val="10"/>
        <w:szCs w:val="10"/>
      </w:rPr>
      <w:drawing>
        <wp:inline distT="0" distB="0" distL="0" distR="0" wp14:anchorId="0FAAD456" wp14:editId="27A0976C">
          <wp:extent cx="4434840" cy="335280"/>
          <wp:effectExtent l="0" t="0" r="0" b="762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016" b="2222"/>
                  <a:stretch>
                    <a:fillRect/>
                  </a:stretch>
                </pic:blipFill>
                <pic:spPr bwMode="auto">
                  <a:xfrm>
                    <a:off x="0" y="0"/>
                    <a:ext cx="443484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ACB8A" w14:textId="77777777" w:rsidR="00CA45D2" w:rsidRDefault="00CA45D2" w:rsidP="00C4117D">
      <w:pPr>
        <w:spacing w:after="0" w:line="240" w:lineRule="auto"/>
      </w:pPr>
      <w:r>
        <w:separator/>
      </w:r>
    </w:p>
  </w:footnote>
  <w:footnote w:type="continuationSeparator" w:id="0">
    <w:p w14:paraId="173289FB" w14:textId="77777777" w:rsidR="00CA45D2" w:rsidRDefault="00CA45D2" w:rsidP="00C41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A3927"/>
    <w:multiLevelType w:val="multilevel"/>
    <w:tmpl w:val="B4FA5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83F93"/>
    <w:multiLevelType w:val="multilevel"/>
    <w:tmpl w:val="4BBA6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975C8"/>
    <w:multiLevelType w:val="multilevel"/>
    <w:tmpl w:val="721E8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606811"/>
    <w:multiLevelType w:val="hybridMultilevel"/>
    <w:tmpl w:val="28D24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37660"/>
    <w:multiLevelType w:val="multilevel"/>
    <w:tmpl w:val="462C6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163A45"/>
    <w:multiLevelType w:val="multilevel"/>
    <w:tmpl w:val="3B62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0C6A6E"/>
    <w:multiLevelType w:val="multilevel"/>
    <w:tmpl w:val="95AE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F86BC3"/>
    <w:multiLevelType w:val="multilevel"/>
    <w:tmpl w:val="E9249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6454AD"/>
    <w:multiLevelType w:val="multilevel"/>
    <w:tmpl w:val="4B766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1350664">
    <w:abstractNumId w:val="5"/>
  </w:num>
  <w:num w:numId="2" w16cid:durableId="1590501336">
    <w:abstractNumId w:val="2"/>
  </w:num>
  <w:num w:numId="3" w16cid:durableId="254245636">
    <w:abstractNumId w:val="6"/>
  </w:num>
  <w:num w:numId="4" w16cid:durableId="1215385724">
    <w:abstractNumId w:val="0"/>
  </w:num>
  <w:num w:numId="5" w16cid:durableId="1685089046">
    <w:abstractNumId w:val="4"/>
  </w:num>
  <w:num w:numId="6" w16cid:durableId="265355532">
    <w:abstractNumId w:val="7"/>
  </w:num>
  <w:num w:numId="7" w16cid:durableId="543979222">
    <w:abstractNumId w:val="8"/>
  </w:num>
  <w:num w:numId="8" w16cid:durableId="1550263102">
    <w:abstractNumId w:val="1"/>
  </w:num>
  <w:num w:numId="9" w16cid:durableId="471479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525"/>
    <w:rsid w:val="00312390"/>
    <w:rsid w:val="00377F5A"/>
    <w:rsid w:val="00771228"/>
    <w:rsid w:val="00776525"/>
    <w:rsid w:val="007C1A7E"/>
    <w:rsid w:val="00843B4D"/>
    <w:rsid w:val="00965248"/>
    <w:rsid w:val="00A54BC8"/>
    <w:rsid w:val="00C4117D"/>
    <w:rsid w:val="00CA45D2"/>
    <w:rsid w:val="00DA420D"/>
    <w:rsid w:val="00EB0BBD"/>
    <w:rsid w:val="00F1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866582"/>
  <w15:chartTrackingRefBased/>
  <w15:docId w15:val="{23CB0121-CC8F-4685-9F57-55B5903DB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4BC8"/>
    <w:pPr>
      <w:spacing w:after="112" w:line="251" w:lineRule="auto"/>
      <w:ind w:left="10" w:hanging="10"/>
      <w:jc w:val="both"/>
    </w:pPr>
    <w:rPr>
      <w:rFonts w:ascii="Lato" w:eastAsia="Lato" w:hAnsi="Lato" w:cs="Lato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1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117D"/>
    <w:rPr>
      <w:rFonts w:ascii="Lato" w:eastAsia="Lato" w:hAnsi="Lato" w:cs="Lato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117D"/>
    <w:rPr>
      <w:rFonts w:ascii="Lato" w:eastAsia="Lato" w:hAnsi="Lato" w:cs="Lato"/>
      <w:color w:val="000000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1985</Words>
  <Characters>11912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13870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Milewski Piotr</dc:creator>
  <cp:keywords/>
  <dc:description/>
  <cp:lastModifiedBy>Blaszczak Anna</cp:lastModifiedBy>
  <cp:revision>2</cp:revision>
  <dcterms:created xsi:type="dcterms:W3CDTF">2026-05-15T10:38:00Z</dcterms:created>
  <dcterms:modified xsi:type="dcterms:W3CDTF">2026-05-15T10:38:00Z</dcterms:modified>
</cp:coreProperties>
</file>