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AF" w:rsidRPr="00243151" w:rsidRDefault="003572A7" w:rsidP="009536C0">
      <w:pPr>
        <w:pStyle w:val="Tytu"/>
        <w:rPr>
          <w:b w:val="0"/>
        </w:rPr>
      </w:pPr>
      <w:r w:rsidRPr="00243151">
        <w:t>ZARZĄDZENIE</w:t>
      </w:r>
    </w:p>
    <w:p w:rsidR="00E227AF" w:rsidRPr="00E53A80" w:rsidRDefault="003572A7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E227AF" w:rsidRPr="00E53A80" w:rsidRDefault="003572A7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E53A80" w:rsidRPr="00E53A80" w:rsidRDefault="003572A7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26 września 2025</w:t>
      </w:r>
      <w:bookmarkEnd w:id="0"/>
      <w:r w:rsidRPr="00E53A80">
        <w:rPr>
          <w:rFonts w:cs="Arial"/>
          <w:szCs w:val="24"/>
        </w:rPr>
        <w:t xml:space="preserve"> r.</w:t>
      </w:r>
    </w:p>
    <w:p w:rsidR="00753EA8" w:rsidRPr="008041DE" w:rsidRDefault="003572A7" w:rsidP="00753EA8">
      <w:pPr>
        <w:spacing w:after="360"/>
        <w:ind w:firstLine="0"/>
        <w:jc w:val="center"/>
        <w:outlineLvl w:val="1"/>
        <w:rPr>
          <w:rFonts w:eastAsiaTheme="majorEastAsia" w:cstheme="majorBidi"/>
          <w:b/>
          <w:sz w:val="28"/>
          <w:szCs w:val="26"/>
        </w:rPr>
      </w:pPr>
      <w:r w:rsidRPr="008041DE">
        <w:rPr>
          <w:rFonts w:eastAsiaTheme="majorEastAsia" w:cstheme="majorBidi"/>
          <w:b/>
          <w:sz w:val="28"/>
          <w:szCs w:val="26"/>
        </w:rPr>
        <w:t xml:space="preserve">w sprawie powołania Komisji do oceny </w:t>
      </w:r>
      <w:bookmarkStart w:id="1" w:name="_Hlk202787194"/>
      <w:r w:rsidRPr="008041DE">
        <w:rPr>
          <w:rFonts w:eastAsiaTheme="majorEastAsia" w:cstheme="majorBidi"/>
          <w:b/>
          <w:sz w:val="28"/>
          <w:szCs w:val="26"/>
        </w:rPr>
        <w:t xml:space="preserve">przydatności składników rzeczowych majątku ruchomego </w:t>
      </w:r>
      <w:bookmarkStart w:id="2" w:name="_Hlk204691146"/>
      <w:r>
        <w:rPr>
          <w:rFonts w:eastAsiaTheme="majorEastAsia" w:cstheme="majorBidi"/>
          <w:b/>
          <w:sz w:val="28"/>
          <w:szCs w:val="26"/>
        </w:rPr>
        <w:t xml:space="preserve">przeznaczonych </w:t>
      </w:r>
      <w:r w:rsidRPr="008041DE">
        <w:rPr>
          <w:rFonts w:eastAsiaTheme="majorEastAsia" w:cstheme="majorBidi"/>
          <w:b/>
          <w:sz w:val="28"/>
          <w:szCs w:val="26"/>
        </w:rPr>
        <w:t xml:space="preserve">na cele </w:t>
      </w:r>
      <w:bookmarkEnd w:id="2"/>
      <w:r w:rsidRPr="008041DE">
        <w:rPr>
          <w:rFonts w:eastAsiaTheme="majorEastAsia" w:cstheme="majorBidi"/>
          <w:b/>
          <w:sz w:val="28"/>
          <w:szCs w:val="26"/>
        </w:rPr>
        <w:t xml:space="preserve">ochrony ludności i obrony cywilnej </w:t>
      </w:r>
      <w:r w:rsidRPr="008041DE">
        <w:rPr>
          <w:rFonts w:eastAsiaTheme="majorEastAsia" w:cstheme="majorBidi"/>
          <w:b/>
          <w:sz w:val="28"/>
          <w:szCs w:val="26"/>
        </w:rPr>
        <w:t>będąc</w:t>
      </w:r>
      <w:r>
        <w:rPr>
          <w:rFonts w:eastAsiaTheme="majorEastAsia" w:cstheme="majorBidi"/>
          <w:b/>
          <w:sz w:val="28"/>
          <w:szCs w:val="26"/>
        </w:rPr>
        <w:t>ych</w:t>
      </w:r>
      <w:r w:rsidRPr="008041DE">
        <w:rPr>
          <w:rFonts w:eastAsiaTheme="majorEastAsia" w:cstheme="majorBidi"/>
          <w:b/>
          <w:sz w:val="28"/>
          <w:szCs w:val="26"/>
        </w:rPr>
        <w:t xml:space="preserve"> na stanie Pomorskiego Urzędu Wojewódzkiego w Gdańsku </w:t>
      </w:r>
      <w:bookmarkEnd w:id="1"/>
      <w:r w:rsidRPr="008041DE">
        <w:rPr>
          <w:rFonts w:eastAsiaTheme="majorEastAsia" w:cstheme="majorBidi"/>
          <w:b/>
          <w:sz w:val="28"/>
          <w:szCs w:val="26"/>
        </w:rPr>
        <w:t>oraz Komisji likwidacyjnej zbędnych lub zużytych składników rzeczowych majątku ruchomego</w:t>
      </w:r>
      <w:r>
        <w:rPr>
          <w:rFonts w:eastAsiaTheme="majorEastAsia" w:cstheme="majorBidi"/>
          <w:b/>
          <w:sz w:val="28"/>
          <w:szCs w:val="26"/>
        </w:rPr>
        <w:t xml:space="preserve"> przeznaczonych na cele</w:t>
      </w:r>
      <w:r w:rsidRPr="008041DE">
        <w:rPr>
          <w:rFonts w:asciiTheme="minorHAnsi" w:eastAsiaTheme="minorHAnsi" w:hAnsiTheme="minorHAnsi" w:cstheme="minorBidi"/>
          <w:b/>
          <w:sz w:val="28"/>
          <w:szCs w:val="26"/>
        </w:rPr>
        <w:t xml:space="preserve"> </w:t>
      </w:r>
      <w:r w:rsidRPr="008041DE">
        <w:rPr>
          <w:rFonts w:eastAsiaTheme="majorEastAsia" w:cstheme="majorBidi"/>
          <w:b/>
          <w:sz w:val="28"/>
          <w:szCs w:val="26"/>
        </w:rPr>
        <w:t>ochrony ludności i obrony cywilnej będąc</w:t>
      </w:r>
      <w:r>
        <w:rPr>
          <w:rFonts w:eastAsiaTheme="majorEastAsia" w:cstheme="majorBidi"/>
          <w:b/>
          <w:sz w:val="28"/>
          <w:szCs w:val="26"/>
        </w:rPr>
        <w:t>ych</w:t>
      </w:r>
      <w:r w:rsidRPr="008041DE">
        <w:rPr>
          <w:rFonts w:eastAsiaTheme="majorEastAsia" w:cstheme="majorBidi"/>
          <w:b/>
          <w:sz w:val="28"/>
          <w:szCs w:val="26"/>
        </w:rPr>
        <w:t xml:space="preserve"> na stanie Pomorskiego Urzędu Wojewódzk</w:t>
      </w:r>
      <w:r w:rsidRPr="008041DE">
        <w:rPr>
          <w:rFonts w:eastAsiaTheme="majorEastAsia" w:cstheme="majorBidi"/>
          <w:b/>
          <w:sz w:val="28"/>
          <w:szCs w:val="26"/>
        </w:rPr>
        <w:t>iego w</w:t>
      </w:r>
      <w:r w:rsidR="00B838E1">
        <w:rPr>
          <w:rFonts w:eastAsiaTheme="majorEastAsia" w:cstheme="majorBidi"/>
          <w:b/>
          <w:sz w:val="28"/>
          <w:szCs w:val="26"/>
        </w:rPr>
        <w:t> </w:t>
      </w:r>
      <w:r w:rsidRPr="008041DE">
        <w:rPr>
          <w:rFonts w:eastAsiaTheme="majorEastAsia" w:cstheme="majorBidi"/>
          <w:b/>
          <w:sz w:val="28"/>
          <w:szCs w:val="26"/>
        </w:rPr>
        <w:t>Gdańsku</w:t>
      </w:r>
    </w:p>
    <w:p w:rsidR="00753EA8" w:rsidRPr="008041DE" w:rsidRDefault="003572A7" w:rsidP="00753EA8">
      <w:pPr>
        <w:spacing w:after="360"/>
      </w:pPr>
      <w:r w:rsidRPr="008041DE">
        <w:t>Na podstawie art. 25 ust. 4 pkt 1 lit. e i ust.</w:t>
      </w:r>
      <w:r>
        <w:t xml:space="preserve"> </w:t>
      </w:r>
      <w:r w:rsidRPr="008041DE">
        <w:t>10 ustawy z dnia 21 listopada 2008</w:t>
      </w:r>
      <w:r>
        <w:t xml:space="preserve"> </w:t>
      </w:r>
      <w:r w:rsidRPr="008041DE">
        <w:t>r. o służbie cywilnej (Dz.U. z 2024 r. poz.</w:t>
      </w:r>
      <w:r>
        <w:t xml:space="preserve"> </w:t>
      </w:r>
      <w:r w:rsidRPr="008041DE">
        <w:t>409 oraz z 2025 r. poz.</w:t>
      </w:r>
      <w:r>
        <w:t xml:space="preserve"> </w:t>
      </w:r>
      <w:r w:rsidRPr="008041DE">
        <w:t>620) oraz § 5 ust. 2 i</w:t>
      </w:r>
      <w:r w:rsidR="00B838E1">
        <w:t> </w:t>
      </w:r>
      <w:r w:rsidRPr="008041DE">
        <w:t>§ 42 ust. 3 rozporządzenia Rady Ministrów z dnia 21 października 20</w:t>
      </w:r>
      <w:r w:rsidRPr="008041DE">
        <w:t>19 r. w sprawie szczegółowego sposobu gospodarowania składnikami rzeczowymi majątku ruchomego Skarbu Państwa (Dz.U. z 2025 r. poz. 228)  zarządza się, co następuje:</w:t>
      </w:r>
    </w:p>
    <w:p w:rsidR="00753EA8" w:rsidRPr="008041DE" w:rsidRDefault="003572A7" w:rsidP="00753EA8">
      <w:pPr>
        <w:rPr>
          <w:rFonts w:cs="Arial"/>
          <w:szCs w:val="24"/>
        </w:rPr>
      </w:pPr>
      <w:r w:rsidRPr="00B838E1">
        <w:rPr>
          <w:rFonts w:cs="Arial"/>
          <w:b/>
          <w:szCs w:val="24"/>
        </w:rPr>
        <w:t>§</w:t>
      </w:r>
      <w:r w:rsidR="00B838E1">
        <w:rPr>
          <w:rFonts w:cs="Arial"/>
          <w:b/>
          <w:szCs w:val="24"/>
        </w:rPr>
        <w:t> </w:t>
      </w:r>
      <w:r w:rsidRPr="00B838E1">
        <w:rPr>
          <w:rFonts w:cs="Arial"/>
          <w:b/>
          <w:szCs w:val="24"/>
        </w:rPr>
        <w:t>1.</w:t>
      </w:r>
      <w:r w:rsidRPr="008041DE">
        <w:rPr>
          <w:rFonts w:cs="Arial"/>
          <w:szCs w:val="24"/>
        </w:rPr>
        <w:t xml:space="preserve">1. Powołuje się Komisję do oceny </w:t>
      </w:r>
      <w:bookmarkStart w:id="3" w:name="_Hlk202787304"/>
      <w:r w:rsidRPr="008041DE">
        <w:rPr>
          <w:rFonts w:cs="Arial"/>
          <w:szCs w:val="24"/>
        </w:rPr>
        <w:t xml:space="preserve">przydatności </w:t>
      </w:r>
      <w:bookmarkStart w:id="4" w:name="_Hlk202787649"/>
      <w:r w:rsidRPr="008041DE">
        <w:rPr>
          <w:rFonts w:cs="Arial"/>
          <w:szCs w:val="24"/>
        </w:rPr>
        <w:t xml:space="preserve">składników rzeczowych majątku ruchomego </w:t>
      </w:r>
      <w:r>
        <w:rPr>
          <w:rFonts w:cs="Arial"/>
          <w:szCs w:val="24"/>
        </w:rPr>
        <w:t>p</w:t>
      </w:r>
      <w:r>
        <w:rPr>
          <w:rFonts w:cs="Arial"/>
          <w:szCs w:val="24"/>
        </w:rPr>
        <w:t xml:space="preserve">rzeznaczonych </w:t>
      </w:r>
      <w:r w:rsidRPr="008041DE">
        <w:rPr>
          <w:rFonts w:cs="Arial"/>
          <w:szCs w:val="24"/>
        </w:rPr>
        <w:t xml:space="preserve">na cele ochrony ludności i obrony cywilnej </w:t>
      </w:r>
      <w:bookmarkEnd w:id="4"/>
      <w:r w:rsidRPr="008041DE">
        <w:rPr>
          <w:rFonts w:cs="Arial"/>
          <w:szCs w:val="24"/>
        </w:rPr>
        <w:t>będąc</w:t>
      </w:r>
      <w:r>
        <w:rPr>
          <w:rFonts w:cs="Arial"/>
          <w:szCs w:val="24"/>
        </w:rPr>
        <w:t>ych</w:t>
      </w:r>
      <w:r w:rsidRPr="008041DE">
        <w:rPr>
          <w:rFonts w:cs="Arial"/>
          <w:szCs w:val="24"/>
        </w:rPr>
        <w:t xml:space="preserve"> na stanie Pomorskiego Urzędu Wojewódzkiego w Gdańsku</w:t>
      </w:r>
      <w:r>
        <w:rPr>
          <w:rFonts w:cs="Arial"/>
          <w:szCs w:val="24"/>
        </w:rPr>
        <w:t xml:space="preserve"> (dalej „Komisja oceniająca”)</w:t>
      </w:r>
      <w:r w:rsidRPr="008041DE">
        <w:rPr>
          <w:rFonts w:cs="Arial"/>
          <w:szCs w:val="24"/>
        </w:rPr>
        <w:t xml:space="preserve"> </w:t>
      </w:r>
      <w:bookmarkEnd w:id="3"/>
      <w:r w:rsidRPr="008041DE">
        <w:rPr>
          <w:rFonts w:cs="Arial"/>
          <w:szCs w:val="24"/>
        </w:rPr>
        <w:t>w następującym składzie:</w:t>
      </w:r>
    </w:p>
    <w:p w:rsidR="00753EA8" w:rsidRPr="008041DE" w:rsidRDefault="003572A7" w:rsidP="00753EA8">
      <w:pPr>
        <w:numPr>
          <w:ilvl w:val="0"/>
          <w:numId w:val="1"/>
        </w:numPr>
        <w:contextualSpacing/>
        <w:rPr>
          <w:rFonts w:cs="Arial"/>
          <w:szCs w:val="24"/>
        </w:rPr>
      </w:pPr>
      <w:r w:rsidRPr="008041DE">
        <w:rPr>
          <w:rFonts w:cs="Arial"/>
          <w:szCs w:val="24"/>
        </w:rPr>
        <w:t>Przewodniczący</w:t>
      </w:r>
      <w:r w:rsidRPr="008041DE">
        <w:rPr>
          <w:rFonts w:cs="Arial"/>
          <w:szCs w:val="24"/>
        </w:rPr>
        <w:tab/>
        <w:t xml:space="preserve">- </w:t>
      </w:r>
      <w:r w:rsidR="00B838E1" w:rsidRPr="008041DE">
        <w:rPr>
          <w:rFonts w:cs="Arial"/>
          <w:szCs w:val="24"/>
        </w:rPr>
        <w:t>Krzysztof Wojewski</w:t>
      </w:r>
      <w:r>
        <w:rPr>
          <w:rFonts w:cs="Arial"/>
          <w:szCs w:val="24"/>
        </w:rPr>
        <w:t>,</w:t>
      </w:r>
    </w:p>
    <w:p w:rsidR="00753EA8" w:rsidRPr="008041DE" w:rsidRDefault="003572A7" w:rsidP="00B838E1">
      <w:pPr>
        <w:numPr>
          <w:ilvl w:val="0"/>
          <w:numId w:val="1"/>
        </w:numPr>
        <w:ind w:left="714" w:hanging="357"/>
        <w:contextualSpacing/>
        <w:rPr>
          <w:rFonts w:cs="Arial"/>
          <w:szCs w:val="24"/>
        </w:rPr>
      </w:pPr>
      <w:r w:rsidRPr="008041DE">
        <w:rPr>
          <w:rFonts w:cs="Arial"/>
          <w:szCs w:val="24"/>
        </w:rPr>
        <w:t>Członek</w:t>
      </w:r>
      <w:r w:rsidR="00B838E1">
        <w:rPr>
          <w:rFonts w:cs="Arial"/>
          <w:szCs w:val="24"/>
        </w:rPr>
        <w:tab/>
      </w:r>
      <w:r w:rsidRPr="008041DE">
        <w:rPr>
          <w:rFonts w:cs="Arial"/>
          <w:szCs w:val="24"/>
        </w:rPr>
        <w:t xml:space="preserve">- </w:t>
      </w:r>
      <w:r w:rsidR="00B838E1" w:rsidRPr="008041DE">
        <w:rPr>
          <w:rFonts w:cs="Arial"/>
          <w:szCs w:val="24"/>
        </w:rPr>
        <w:t>Marek Braun</w:t>
      </w:r>
      <w:r w:rsidR="00B838E1">
        <w:rPr>
          <w:rFonts w:cs="Arial"/>
          <w:szCs w:val="24"/>
        </w:rPr>
        <w:t>,</w:t>
      </w:r>
    </w:p>
    <w:p w:rsidR="00753EA8" w:rsidRPr="008041DE" w:rsidRDefault="003572A7" w:rsidP="00B838E1">
      <w:pPr>
        <w:numPr>
          <w:ilvl w:val="0"/>
          <w:numId w:val="1"/>
        </w:numPr>
        <w:ind w:left="714" w:hanging="357"/>
        <w:rPr>
          <w:rFonts w:cs="Arial"/>
          <w:szCs w:val="24"/>
        </w:rPr>
      </w:pPr>
      <w:r w:rsidRPr="008041DE">
        <w:rPr>
          <w:rFonts w:cs="Arial"/>
          <w:szCs w:val="24"/>
        </w:rPr>
        <w:t>Członek</w:t>
      </w:r>
      <w:r w:rsidRPr="008041DE">
        <w:rPr>
          <w:rFonts w:cs="Arial"/>
          <w:szCs w:val="24"/>
        </w:rPr>
        <w:tab/>
        <w:t xml:space="preserve">- </w:t>
      </w:r>
      <w:r w:rsidR="00B838E1" w:rsidRPr="008041DE">
        <w:rPr>
          <w:rFonts w:cs="Arial"/>
          <w:szCs w:val="24"/>
        </w:rPr>
        <w:t>Jolanta Kondrat</w:t>
      </w:r>
      <w:r w:rsidR="00B838E1">
        <w:rPr>
          <w:rFonts w:cs="Arial"/>
          <w:szCs w:val="24"/>
        </w:rPr>
        <w:t>.</w:t>
      </w:r>
    </w:p>
    <w:p w:rsidR="00753EA8" w:rsidRPr="008041DE" w:rsidRDefault="003572A7" w:rsidP="00753EA8">
      <w:pPr>
        <w:rPr>
          <w:rFonts w:cs="Arial"/>
          <w:b/>
          <w:szCs w:val="24"/>
        </w:rPr>
      </w:pPr>
      <w:r w:rsidRPr="008041DE">
        <w:rPr>
          <w:rFonts w:cs="Arial"/>
          <w:szCs w:val="24"/>
        </w:rPr>
        <w:t xml:space="preserve">2. Komisja </w:t>
      </w:r>
      <w:r>
        <w:rPr>
          <w:rFonts w:cs="Arial"/>
          <w:szCs w:val="24"/>
        </w:rPr>
        <w:t xml:space="preserve">oceniająca </w:t>
      </w:r>
      <w:r w:rsidRPr="008041DE">
        <w:rPr>
          <w:rFonts w:cs="Arial"/>
          <w:szCs w:val="24"/>
        </w:rPr>
        <w:t xml:space="preserve">dokonuje oceny przydatności </w:t>
      </w:r>
      <w:r>
        <w:rPr>
          <w:rFonts w:cs="Arial"/>
          <w:szCs w:val="24"/>
        </w:rPr>
        <w:t xml:space="preserve">do dalszego użytkowania </w:t>
      </w:r>
      <w:r w:rsidRPr="008041DE">
        <w:rPr>
          <w:rFonts w:cs="Arial"/>
          <w:szCs w:val="24"/>
        </w:rPr>
        <w:t xml:space="preserve">składników rzeczowych majątku ruchomego </w:t>
      </w:r>
      <w:r>
        <w:rPr>
          <w:rFonts w:cs="Arial"/>
          <w:szCs w:val="24"/>
        </w:rPr>
        <w:t xml:space="preserve">przeznaczonych </w:t>
      </w:r>
      <w:r w:rsidRPr="008041DE">
        <w:rPr>
          <w:rFonts w:cs="Arial"/>
          <w:szCs w:val="24"/>
        </w:rPr>
        <w:t xml:space="preserve">na cele ochrony ludności i obrony cywilnej </w:t>
      </w:r>
      <w:r>
        <w:rPr>
          <w:rFonts w:cs="Arial"/>
          <w:szCs w:val="24"/>
        </w:rPr>
        <w:t>będących na stanie</w:t>
      </w:r>
      <w:r w:rsidRPr="008041DE">
        <w:rPr>
          <w:rFonts w:cs="Arial"/>
          <w:szCs w:val="24"/>
        </w:rPr>
        <w:t xml:space="preserve"> Pomorski</w:t>
      </w:r>
      <w:r>
        <w:rPr>
          <w:rFonts w:cs="Arial"/>
          <w:szCs w:val="24"/>
        </w:rPr>
        <w:t xml:space="preserve">ego </w:t>
      </w:r>
      <w:r w:rsidRPr="008041DE">
        <w:rPr>
          <w:rFonts w:cs="Arial"/>
          <w:szCs w:val="24"/>
        </w:rPr>
        <w:t>Urz</w:t>
      </w:r>
      <w:r>
        <w:rPr>
          <w:rFonts w:cs="Arial"/>
          <w:szCs w:val="24"/>
        </w:rPr>
        <w:t>ędu</w:t>
      </w:r>
      <w:r w:rsidRPr="008041DE">
        <w:rPr>
          <w:rFonts w:cs="Arial"/>
          <w:szCs w:val="24"/>
        </w:rPr>
        <w:t xml:space="preserve"> Wojewódzki</w:t>
      </w:r>
      <w:r>
        <w:rPr>
          <w:rFonts w:cs="Arial"/>
          <w:szCs w:val="24"/>
        </w:rPr>
        <w:t>ego</w:t>
      </w:r>
      <w:r w:rsidRPr="008041DE">
        <w:rPr>
          <w:rFonts w:cs="Arial"/>
          <w:szCs w:val="24"/>
        </w:rPr>
        <w:t xml:space="preserve"> w</w:t>
      </w:r>
      <w:r w:rsidR="00466994">
        <w:rPr>
          <w:rFonts w:cs="Arial"/>
          <w:szCs w:val="24"/>
        </w:rPr>
        <w:t> </w:t>
      </w:r>
      <w:bookmarkStart w:id="5" w:name="_GoBack"/>
      <w:bookmarkEnd w:id="5"/>
      <w:r w:rsidRPr="008041DE">
        <w:rPr>
          <w:rFonts w:cs="Arial"/>
          <w:szCs w:val="24"/>
        </w:rPr>
        <w:t>Gdańsku, w szczególn</w:t>
      </w:r>
      <w:r w:rsidRPr="008041DE">
        <w:rPr>
          <w:rFonts w:cs="Arial"/>
          <w:szCs w:val="24"/>
        </w:rPr>
        <w:t>ości przedstawia</w:t>
      </w:r>
      <w:r>
        <w:rPr>
          <w:rFonts w:cs="Arial"/>
          <w:szCs w:val="24"/>
        </w:rPr>
        <w:t xml:space="preserve"> Dyrektorowi Generalnemu Pomorskiego Urzędu Wojewódzkiego w Gdańsku</w:t>
      </w:r>
      <w:r w:rsidRPr="008041DE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(dalej „Dyrektor Generalny”) </w:t>
      </w:r>
      <w:r w:rsidRPr="008041DE">
        <w:rPr>
          <w:rFonts w:cs="Arial"/>
          <w:szCs w:val="24"/>
        </w:rPr>
        <w:t>propozycje dotyczące dalszego użytkowania albo zakwalifikowania tych składników do kategorii majątku zbędnego lub zużytego.</w:t>
      </w:r>
    </w:p>
    <w:p w:rsidR="00753EA8" w:rsidRPr="008041DE" w:rsidRDefault="003572A7" w:rsidP="00753EA8">
      <w:pPr>
        <w:rPr>
          <w:rFonts w:cs="Arial"/>
          <w:bCs/>
          <w:szCs w:val="24"/>
        </w:rPr>
      </w:pPr>
      <w:r w:rsidRPr="008041DE">
        <w:rPr>
          <w:rFonts w:cs="Arial"/>
          <w:bCs/>
          <w:szCs w:val="24"/>
        </w:rPr>
        <w:t>3. Jeżeli składniki</w:t>
      </w:r>
      <w:r w:rsidRPr="008041DE">
        <w:rPr>
          <w:rFonts w:cs="Arial"/>
          <w:bCs/>
          <w:szCs w:val="24"/>
        </w:rPr>
        <w:t xml:space="preserve"> rzeczowe majątku ruchomego znajdują się w </w:t>
      </w:r>
      <w:r>
        <w:rPr>
          <w:rFonts w:cs="Arial"/>
          <w:bCs/>
          <w:szCs w:val="24"/>
        </w:rPr>
        <w:t>posiadaniu jednostek</w:t>
      </w:r>
      <w:r w:rsidRPr="008041DE">
        <w:rPr>
          <w:rFonts w:cs="Arial"/>
          <w:bCs/>
          <w:szCs w:val="24"/>
        </w:rPr>
        <w:t xml:space="preserve"> samorządu terytorialnego </w:t>
      </w:r>
      <w:r>
        <w:rPr>
          <w:rFonts w:cs="Arial"/>
          <w:bCs/>
          <w:szCs w:val="24"/>
        </w:rPr>
        <w:t xml:space="preserve">lub innych </w:t>
      </w:r>
      <w:r w:rsidRPr="008041DE">
        <w:rPr>
          <w:rFonts w:cs="Arial"/>
          <w:bCs/>
          <w:szCs w:val="24"/>
        </w:rPr>
        <w:t>Komisja</w:t>
      </w:r>
      <w:r>
        <w:rPr>
          <w:rFonts w:cs="Arial"/>
          <w:bCs/>
          <w:szCs w:val="24"/>
        </w:rPr>
        <w:t xml:space="preserve"> </w:t>
      </w:r>
      <w:r>
        <w:rPr>
          <w:rFonts w:cs="Arial"/>
          <w:bCs/>
          <w:szCs w:val="24"/>
        </w:rPr>
        <w:t xml:space="preserve">oceniająca </w:t>
      </w:r>
      <w:r w:rsidRPr="008041DE">
        <w:rPr>
          <w:rFonts w:cs="Arial"/>
          <w:bCs/>
          <w:szCs w:val="24"/>
        </w:rPr>
        <w:t>może</w:t>
      </w:r>
      <w:r>
        <w:rPr>
          <w:rFonts w:cs="Arial"/>
          <w:bCs/>
          <w:szCs w:val="24"/>
        </w:rPr>
        <w:t xml:space="preserve"> przy dokonywanej ocenie uwzględnić</w:t>
      </w:r>
      <w:r w:rsidRPr="008041DE">
        <w:rPr>
          <w:rFonts w:cs="Arial"/>
          <w:bCs/>
          <w:szCs w:val="24"/>
        </w:rPr>
        <w:t xml:space="preserve"> informacj</w:t>
      </w:r>
      <w:r>
        <w:rPr>
          <w:rFonts w:cs="Arial"/>
          <w:bCs/>
          <w:szCs w:val="24"/>
        </w:rPr>
        <w:t>e</w:t>
      </w:r>
      <w:r w:rsidRPr="008041DE">
        <w:rPr>
          <w:rFonts w:cs="Arial"/>
          <w:bCs/>
          <w:szCs w:val="24"/>
        </w:rPr>
        <w:t xml:space="preserve"> przekazan</w:t>
      </w:r>
      <w:r>
        <w:rPr>
          <w:rFonts w:cs="Arial"/>
          <w:bCs/>
          <w:szCs w:val="24"/>
        </w:rPr>
        <w:t>e</w:t>
      </w:r>
      <w:r w:rsidRPr="008041DE">
        <w:rPr>
          <w:rFonts w:cs="Arial"/>
          <w:bCs/>
          <w:szCs w:val="24"/>
        </w:rPr>
        <w:t xml:space="preserve"> przez te jednostki.</w:t>
      </w:r>
    </w:p>
    <w:p w:rsidR="00753EA8" w:rsidRDefault="003572A7" w:rsidP="00753EA8">
      <w:pPr>
        <w:rPr>
          <w:rFonts w:cs="Arial"/>
          <w:bCs/>
          <w:szCs w:val="24"/>
        </w:rPr>
      </w:pPr>
      <w:r w:rsidRPr="008041DE">
        <w:rPr>
          <w:rFonts w:cs="Arial"/>
          <w:bCs/>
          <w:szCs w:val="24"/>
        </w:rPr>
        <w:lastRenderedPageBreak/>
        <w:t xml:space="preserve">4. Komisja </w:t>
      </w:r>
      <w:r>
        <w:rPr>
          <w:rFonts w:cs="Arial"/>
          <w:bCs/>
          <w:szCs w:val="24"/>
        </w:rPr>
        <w:t xml:space="preserve">oceniająca </w:t>
      </w:r>
      <w:r w:rsidRPr="008041DE">
        <w:rPr>
          <w:rFonts w:cs="Arial"/>
          <w:bCs/>
          <w:szCs w:val="24"/>
        </w:rPr>
        <w:t>sporządza protokół z przeprowadzo</w:t>
      </w:r>
      <w:r w:rsidRPr="008041DE">
        <w:rPr>
          <w:rFonts w:cs="Arial"/>
          <w:bCs/>
          <w:szCs w:val="24"/>
        </w:rPr>
        <w:t>nej oceny składników rzeczowych majątku ruchomego zgodnie ze wzorem stanowiącym załącznik nr 1 do</w:t>
      </w:r>
      <w:r w:rsidR="00B838E1">
        <w:rPr>
          <w:rFonts w:cs="Arial"/>
          <w:bCs/>
          <w:szCs w:val="24"/>
        </w:rPr>
        <w:t> </w:t>
      </w:r>
      <w:r w:rsidRPr="008041DE">
        <w:rPr>
          <w:rFonts w:cs="Arial"/>
          <w:bCs/>
          <w:szCs w:val="24"/>
        </w:rPr>
        <w:t>zarządzenia.</w:t>
      </w:r>
    </w:p>
    <w:p w:rsidR="00753EA8" w:rsidRPr="008041DE" w:rsidRDefault="003572A7" w:rsidP="00753EA8">
      <w:pPr>
        <w:rPr>
          <w:rFonts w:cs="Arial"/>
          <w:bCs/>
          <w:strike/>
          <w:szCs w:val="24"/>
        </w:rPr>
      </w:pPr>
      <w:r>
        <w:rPr>
          <w:rFonts w:cs="Arial"/>
          <w:bCs/>
          <w:szCs w:val="24"/>
        </w:rPr>
        <w:t>5. Komisja oceniająca ma charakter stały.</w:t>
      </w:r>
    </w:p>
    <w:p w:rsidR="00753EA8" w:rsidRPr="008041DE" w:rsidRDefault="003572A7" w:rsidP="00753EA8">
      <w:pPr>
        <w:rPr>
          <w:rFonts w:cs="Arial"/>
          <w:szCs w:val="24"/>
        </w:rPr>
      </w:pPr>
      <w:r w:rsidRPr="00B838E1">
        <w:rPr>
          <w:rFonts w:cs="Arial"/>
          <w:b/>
          <w:szCs w:val="24"/>
        </w:rPr>
        <w:t>§ 2</w:t>
      </w:r>
      <w:r w:rsidRPr="008041DE">
        <w:rPr>
          <w:rFonts w:cs="Arial"/>
          <w:szCs w:val="24"/>
        </w:rPr>
        <w:t>.1. Powołuje się Komisję likwidacyjną zbędnych lub zużytych składników rzeczowych majątku ruchomego</w:t>
      </w: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przeznaczonych</w:t>
      </w:r>
      <w:r w:rsidRPr="008041DE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na cele </w:t>
      </w:r>
      <w:r w:rsidRPr="008041DE">
        <w:rPr>
          <w:rFonts w:cs="Arial"/>
          <w:szCs w:val="24"/>
        </w:rPr>
        <w:t>ochrony ludności i obrony cywilnej będących na stanie Pomorski</w:t>
      </w:r>
      <w:r>
        <w:rPr>
          <w:rFonts w:cs="Arial"/>
          <w:szCs w:val="24"/>
        </w:rPr>
        <w:t>ego</w:t>
      </w:r>
      <w:r w:rsidRPr="008041DE">
        <w:rPr>
          <w:rFonts w:cs="Arial"/>
          <w:szCs w:val="24"/>
        </w:rPr>
        <w:t xml:space="preserve"> Urz</w:t>
      </w:r>
      <w:r>
        <w:rPr>
          <w:rFonts w:cs="Arial"/>
          <w:szCs w:val="24"/>
        </w:rPr>
        <w:t>ędu</w:t>
      </w:r>
      <w:r w:rsidRPr="008041DE">
        <w:rPr>
          <w:rFonts w:cs="Arial"/>
          <w:szCs w:val="24"/>
        </w:rPr>
        <w:t xml:space="preserve"> Wojewódzki</w:t>
      </w:r>
      <w:r>
        <w:rPr>
          <w:rFonts w:cs="Arial"/>
          <w:szCs w:val="24"/>
        </w:rPr>
        <w:t xml:space="preserve">ego </w:t>
      </w:r>
      <w:r w:rsidRPr="008041DE">
        <w:rPr>
          <w:rFonts w:cs="Arial"/>
          <w:szCs w:val="24"/>
        </w:rPr>
        <w:t xml:space="preserve">w Gdańsku </w:t>
      </w:r>
      <w:r>
        <w:rPr>
          <w:rFonts w:cs="Arial"/>
          <w:szCs w:val="24"/>
        </w:rPr>
        <w:t xml:space="preserve">(dalej „Komisja likwidacyjna”) </w:t>
      </w:r>
      <w:r w:rsidRPr="008041DE">
        <w:rPr>
          <w:rFonts w:cs="Arial"/>
          <w:szCs w:val="24"/>
        </w:rPr>
        <w:t>w następującym składzie:</w:t>
      </w:r>
    </w:p>
    <w:p w:rsidR="00753EA8" w:rsidRPr="008041DE" w:rsidRDefault="003572A7" w:rsidP="00466994">
      <w:pPr>
        <w:numPr>
          <w:ilvl w:val="0"/>
          <w:numId w:val="2"/>
        </w:numPr>
        <w:ind w:left="714" w:hanging="357"/>
        <w:contextualSpacing/>
        <w:rPr>
          <w:rFonts w:cs="Arial"/>
          <w:szCs w:val="24"/>
        </w:rPr>
      </w:pPr>
      <w:r w:rsidRPr="008041DE">
        <w:rPr>
          <w:rFonts w:cs="Arial"/>
          <w:szCs w:val="24"/>
        </w:rPr>
        <w:t>Przewodniczący</w:t>
      </w:r>
      <w:r w:rsidR="00466994">
        <w:rPr>
          <w:rFonts w:cs="Arial"/>
          <w:szCs w:val="24"/>
        </w:rPr>
        <w:tab/>
      </w:r>
      <w:r w:rsidRPr="008041DE">
        <w:rPr>
          <w:rFonts w:cs="Arial"/>
          <w:szCs w:val="24"/>
        </w:rPr>
        <w:t>-</w:t>
      </w:r>
      <w:r w:rsidR="00466994">
        <w:rPr>
          <w:rFonts w:cs="Arial"/>
          <w:szCs w:val="24"/>
        </w:rPr>
        <w:t xml:space="preserve"> </w:t>
      </w:r>
      <w:r w:rsidR="00466994" w:rsidRPr="008041DE">
        <w:rPr>
          <w:rFonts w:cs="Arial"/>
          <w:szCs w:val="24"/>
        </w:rPr>
        <w:t>Małgorzata Gaj-Szczepańska</w:t>
      </w:r>
      <w:r w:rsidR="00466994">
        <w:rPr>
          <w:rFonts w:cs="Arial"/>
          <w:szCs w:val="24"/>
        </w:rPr>
        <w:t>,</w:t>
      </w:r>
    </w:p>
    <w:p w:rsidR="00753EA8" w:rsidRPr="008041DE" w:rsidRDefault="003572A7" w:rsidP="00753EA8">
      <w:pPr>
        <w:numPr>
          <w:ilvl w:val="0"/>
          <w:numId w:val="2"/>
        </w:numPr>
        <w:contextualSpacing/>
        <w:rPr>
          <w:rFonts w:cs="Arial"/>
          <w:szCs w:val="24"/>
        </w:rPr>
      </w:pPr>
      <w:r w:rsidRPr="008041DE">
        <w:rPr>
          <w:rFonts w:cs="Arial"/>
          <w:szCs w:val="24"/>
        </w:rPr>
        <w:t>Członek</w:t>
      </w:r>
      <w:r w:rsidRPr="008041DE">
        <w:rPr>
          <w:rFonts w:cs="Arial"/>
          <w:szCs w:val="24"/>
        </w:rPr>
        <w:tab/>
        <w:t xml:space="preserve">- </w:t>
      </w:r>
      <w:r w:rsidR="00466994" w:rsidRPr="008041DE">
        <w:rPr>
          <w:rFonts w:cs="Arial"/>
          <w:szCs w:val="24"/>
        </w:rPr>
        <w:t>Paweł Gawryluk</w:t>
      </w:r>
      <w:r w:rsidR="00466994">
        <w:rPr>
          <w:rFonts w:cs="Arial"/>
          <w:szCs w:val="24"/>
        </w:rPr>
        <w:t>,</w:t>
      </w:r>
      <w:r w:rsidR="00466994" w:rsidRPr="008041DE">
        <w:rPr>
          <w:rFonts w:cs="Arial"/>
          <w:szCs w:val="24"/>
        </w:rPr>
        <w:t xml:space="preserve"> </w:t>
      </w:r>
    </w:p>
    <w:p w:rsidR="00753EA8" w:rsidRDefault="003572A7" w:rsidP="00753EA8">
      <w:pPr>
        <w:numPr>
          <w:ilvl w:val="0"/>
          <w:numId w:val="2"/>
        </w:numPr>
        <w:contextualSpacing/>
        <w:rPr>
          <w:rFonts w:cs="Arial"/>
          <w:szCs w:val="24"/>
        </w:rPr>
      </w:pPr>
      <w:r w:rsidRPr="008041DE">
        <w:rPr>
          <w:rFonts w:cs="Arial"/>
          <w:szCs w:val="24"/>
        </w:rPr>
        <w:t>Członek</w:t>
      </w:r>
      <w:r w:rsidRPr="008041DE">
        <w:rPr>
          <w:rFonts w:cs="Arial"/>
          <w:szCs w:val="24"/>
        </w:rPr>
        <w:tab/>
      </w:r>
      <w:r w:rsidRPr="008041DE">
        <w:rPr>
          <w:rFonts w:cs="Arial"/>
          <w:szCs w:val="24"/>
        </w:rPr>
        <w:t xml:space="preserve">- </w:t>
      </w:r>
      <w:r w:rsidR="00466994">
        <w:rPr>
          <w:rFonts w:cs="Arial"/>
          <w:szCs w:val="24"/>
        </w:rPr>
        <w:t>Monika Golińska.</w:t>
      </w:r>
    </w:p>
    <w:p w:rsidR="00753EA8" w:rsidRPr="008041DE" w:rsidRDefault="003572A7" w:rsidP="00753EA8">
      <w:pPr>
        <w:ind w:left="720" w:firstLine="0"/>
        <w:contextualSpacing/>
        <w:rPr>
          <w:rFonts w:cs="Arial"/>
          <w:szCs w:val="24"/>
        </w:rPr>
      </w:pPr>
    </w:p>
    <w:p w:rsidR="00753EA8" w:rsidRPr="008041DE" w:rsidRDefault="003572A7" w:rsidP="00753EA8">
      <w:pPr>
        <w:rPr>
          <w:rFonts w:cs="Arial"/>
          <w:szCs w:val="24"/>
        </w:rPr>
      </w:pPr>
      <w:r w:rsidRPr="008041DE">
        <w:rPr>
          <w:rFonts w:cs="Arial"/>
          <w:szCs w:val="24"/>
        </w:rPr>
        <w:t xml:space="preserve">2. Komisja </w:t>
      </w:r>
      <w:r>
        <w:rPr>
          <w:rFonts w:cs="Arial"/>
          <w:szCs w:val="24"/>
        </w:rPr>
        <w:t xml:space="preserve">likwidacyjna </w:t>
      </w:r>
      <w:r w:rsidRPr="008041DE">
        <w:rPr>
          <w:rFonts w:cs="Arial"/>
          <w:szCs w:val="24"/>
        </w:rPr>
        <w:t xml:space="preserve">dokonuje </w:t>
      </w:r>
      <w:r>
        <w:rPr>
          <w:rFonts w:cs="Arial"/>
          <w:szCs w:val="24"/>
        </w:rPr>
        <w:t>czynności mających na celu zniszczenie</w:t>
      </w:r>
      <w:r w:rsidRPr="008041DE">
        <w:rPr>
          <w:rFonts w:cs="Arial"/>
          <w:szCs w:val="24"/>
        </w:rPr>
        <w:t xml:space="preserve"> zbędnych lub zużytych składników rzeczowych majątku ruchomego</w:t>
      </w:r>
      <w:r>
        <w:rPr>
          <w:rFonts w:cs="Arial"/>
          <w:szCs w:val="24"/>
        </w:rPr>
        <w:t xml:space="preserve"> przeznaczonych</w:t>
      </w:r>
      <w:r w:rsidRPr="008041DE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na cele </w:t>
      </w:r>
      <w:r w:rsidRPr="008041DE">
        <w:rPr>
          <w:rFonts w:cs="Arial"/>
          <w:szCs w:val="24"/>
        </w:rPr>
        <w:t xml:space="preserve">ochrony ludności i obrony cywilnej </w:t>
      </w:r>
      <w:r>
        <w:rPr>
          <w:rFonts w:cs="Arial"/>
          <w:szCs w:val="24"/>
        </w:rPr>
        <w:t xml:space="preserve">będących na stanie </w:t>
      </w:r>
      <w:r w:rsidRPr="008041DE">
        <w:rPr>
          <w:rFonts w:cs="Arial"/>
          <w:szCs w:val="24"/>
        </w:rPr>
        <w:t>Pomorski</w:t>
      </w:r>
      <w:r>
        <w:rPr>
          <w:rFonts w:cs="Arial"/>
          <w:szCs w:val="24"/>
        </w:rPr>
        <w:t>ego</w:t>
      </w:r>
      <w:r w:rsidRPr="008041DE">
        <w:rPr>
          <w:rFonts w:cs="Arial"/>
          <w:szCs w:val="24"/>
        </w:rPr>
        <w:t xml:space="preserve"> Urz</w:t>
      </w:r>
      <w:r>
        <w:rPr>
          <w:rFonts w:cs="Arial"/>
          <w:szCs w:val="24"/>
        </w:rPr>
        <w:t>ędu</w:t>
      </w:r>
      <w:r w:rsidRPr="008041DE">
        <w:rPr>
          <w:rFonts w:cs="Arial"/>
          <w:szCs w:val="24"/>
        </w:rPr>
        <w:t xml:space="preserve"> Wojewódzki</w:t>
      </w:r>
      <w:r>
        <w:rPr>
          <w:rFonts w:cs="Arial"/>
          <w:szCs w:val="24"/>
        </w:rPr>
        <w:t>ego</w:t>
      </w:r>
      <w:r w:rsidRPr="008041DE">
        <w:rPr>
          <w:rFonts w:cs="Arial"/>
          <w:szCs w:val="24"/>
        </w:rPr>
        <w:t xml:space="preserve"> w Gdańsku</w:t>
      </w:r>
      <w:r>
        <w:rPr>
          <w:rFonts w:cs="Arial"/>
          <w:szCs w:val="24"/>
        </w:rPr>
        <w:t>, które zostały zakwalifikowane do likwidacji przez Komisję oceniającą</w:t>
      </w:r>
      <w:r w:rsidRPr="008041DE">
        <w:rPr>
          <w:rFonts w:cs="Arial"/>
          <w:szCs w:val="24"/>
        </w:rPr>
        <w:t>.</w:t>
      </w:r>
    </w:p>
    <w:p w:rsidR="00753EA8" w:rsidRPr="008041DE" w:rsidRDefault="003572A7" w:rsidP="00753EA8">
      <w:pPr>
        <w:rPr>
          <w:rFonts w:cs="Arial"/>
          <w:bCs/>
          <w:szCs w:val="24"/>
        </w:rPr>
      </w:pPr>
      <w:r w:rsidRPr="008041DE">
        <w:rPr>
          <w:rFonts w:cs="Arial"/>
          <w:bCs/>
          <w:szCs w:val="24"/>
        </w:rPr>
        <w:t xml:space="preserve">3. Jeżeli składniki rzeczowe majątku ruchomego znajdują się w </w:t>
      </w:r>
      <w:r>
        <w:rPr>
          <w:rFonts w:cs="Arial"/>
          <w:bCs/>
          <w:szCs w:val="24"/>
        </w:rPr>
        <w:t xml:space="preserve">posiadaniu </w:t>
      </w:r>
      <w:r w:rsidRPr="008041DE">
        <w:rPr>
          <w:rFonts w:cs="Arial"/>
          <w:bCs/>
          <w:szCs w:val="24"/>
        </w:rPr>
        <w:t>jednost</w:t>
      </w:r>
      <w:r>
        <w:rPr>
          <w:rFonts w:cs="Arial"/>
          <w:bCs/>
          <w:szCs w:val="24"/>
        </w:rPr>
        <w:t>ek</w:t>
      </w:r>
      <w:r w:rsidRPr="008041DE">
        <w:rPr>
          <w:rFonts w:cs="Arial"/>
          <w:bCs/>
          <w:szCs w:val="24"/>
        </w:rPr>
        <w:t xml:space="preserve"> samorządu terytorialnego</w:t>
      </w:r>
      <w:r>
        <w:rPr>
          <w:rFonts w:cs="Arial"/>
          <w:bCs/>
          <w:szCs w:val="24"/>
        </w:rPr>
        <w:t xml:space="preserve"> lub innych</w:t>
      </w:r>
      <w:r w:rsidRPr="008041DE">
        <w:rPr>
          <w:rFonts w:cs="Arial"/>
          <w:bCs/>
          <w:szCs w:val="24"/>
        </w:rPr>
        <w:t xml:space="preserve"> Komisja </w:t>
      </w:r>
      <w:r>
        <w:rPr>
          <w:rFonts w:cs="Arial"/>
          <w:bCs/>
          <w:szCs w:val="24"/>
        </w:rPr>
        <w:t xml:space="preserve">likwidacyjna </w:t>
      </w:r>
      <w:r w:rsidRPr="008041DE">
        <w:rPr>
          <w:rFonts w:cs="Arial"/>
          <w:bCs/>
          <w:szCs w:val="24"/>
        </w:rPr>
        <w:t>może</w:t>
      </w:r>
      <w:r>
        <w:rPr>
          <w:rFonts w:cs="Arial"/>
          <w:bCs/>
          <w:szCs w:val="24"/>
        </w:rPr>
        <w:t xml:space="preserve"> przy podejmowan</w:t>
      </w:r>
      <w:r>
        <w:rPr>
          <w:rFonts w:cs="Arial"/>
          <w:bCs/>
          <w:szCs w:val="24"/>
        </w:rPr>
        <w:t xml:space="preserve">ych czynnościach współpracować </w:t>
      </w:r>
      <w:r w:rsidRPr="008041DE">
        <w:rPr>
          <w:rFonts w:cs="Arial"/>
          <w:bCs/>
          <w:szCs w:val="24"/>
        </w:rPr>
        <w:t xml:space="preserve"> z przedstawiciel</w:t>
      </w:r>
      <w:r>
        <w:rPr>
          <w:rFonts w:cs="Arial"/>
          <w:bCs/>
          <w:szCs w:val="24"/>
        </w:rPr>
        <w:t>ami</w:t>
      </w:r>
      <w:r w:rsidRPr="008041DE">
        <w:rPr>
          <w:rFonts w:cs="Arial"/>
          <w:bCs/>
          <w:szCs w:val="24"/>
        </w:rPr>
        <w:t xml:space="preserve"> tych jednostek.</w:t>
      </w:r>
    </w:p>
    <w:p w:rsidR="00753EA8" w:rsidRPr="008041DE" w:rsidRDefault="003572A7" w:rsidP="00753EA8">
      <w:pPr>
        <w:rPr>
          <w:rFonts w:cs="Arial"/>
          <w:bCs/>
          <w:szCs w:val="24"/>
        </w:rPr>
      </w:pPr>
      <w:r w:rsidRPr="008041DE">
        <w:rPr>
          <w:rFonts w:cs="Arial"/>
          <w:bCs/>
          <w:szCs w:val="24"/>
        </w:rPr>
        <w:t xml:space="preserve">4. Komisja </w:t>
      </w:r>
      <w:r>
        <w:rPr>
          <w:rFonts w:cs="Arial"/>
          <w:bCs/>
          <w:szCs w:val="24"/>
        </w:rPr>
        <w:t xml:space="preserve">likwidacyjna </w:t>
      </w:r>
      <w:r w:rsidRPr="008041DE">
        <w:rPr>
          <w:rFonts w:cs="Arial"/>
          <w:bCs/>
          <w:szCs w:val="24"/>
        </w:rPr>
        <w:t>sporządza protokół z przeprowadzon</w:t>
      </w:r>
      <w:r>
        <w:rPr>
          <w:rFonts w:cs="Arial"/>
          <w:bCs/>
          <w:szCs w:val="24"/>
        </w:rPr>
        <w:t>ych</w:t>
      </w:r>
      <w:r w:rsidRPr="008041DE">
        <w:rPr>
          <w:rFonts w:cs="Arial"/>
          <w:bCs/>
          <w:szCs w:val="24"/>
        </w:rPr>
        <w:t xml:space="preserve"> </w:t>
      </w:r>
      <w:r>
        <w:rPr>
          <w:rFonts w:cs="Arial"/>
          <w:bCs/>
          <w:szCs w:val="24"/>
        </w:rPr>
        <w:t>czynności zniszczenia</w:t>
      </w:r>
      <w:r w:rsidRPr="008041DE">
        <w:rPr>
          <w:rFonts w:cs="Arial"/>
          <w:bCs/>
          <w:szCs w:val="24"/>
        </w:rPr>
        <w:t xml:space="preserve"> zbędnych lub zużytych składników rzeczowych zgodnie ze wzorem stanowiącym załącznik nr 2 do zarządzenia.</w:t>
      </w:r>
    </w:p>
    <w:p w:rsidR="00753EA8" w:rsidRDefault="003572A7" w:rsidP="00753EA8">
      <w:pPr>
        <w:rPr>
          <w:rFonts w:cs="Arial"/>
        </w:rPr>
      </w:pPr>
      <w:r w:rsidRPr="008041DE">
        <w:rPr>
          <w:rFonts w:cs="Arial"/>
          <w:bCs/>
          <w:szCs w:val="24"/>
        </w:rPr>
        <w:t xml:space="preserve">5. </w:t>
      </w:r>
      <w:r w:rsidRPr="008041DE">
        <w:rPr>
          <w:rFonts w:cs="Arial"/>
        </w:rPr>
        <w:t xml:space="preserve">Komisja </w:t>
      </w:r>
      <w:r>
        <w:rPr>
          <w:rFonts w:cs="Arial"/>
        </w:rPr>
        <w:t>likwidacyjna przedkłada</w:t>
      </w:r>
      <w:r w:rsidRPr="008041DE">
        <w:rPr>
          <w:rFonts w:cs="Arial"/>
        </w:rPr>
        <w:t xml:space="preserve"> protokół</w:t>
      </w:r>
      <w:r>
        <w:rPr>
          <w:rFonts w:cs="Arial"/>
        </w:rPr>
        <w:t>, o którym mowa w ust. 4</w:t>
      </w:r>
      <w:r w:rsidRPr="008041DE">
        <w:rPr>
          <w:rFonts w:cs="Arial"/>
        </w:rPr>
        <w:t xml:space="preserve"> Dyrektor</w:t>
      </w:r>
      <w:r>
        <w:rPr>
          <w:rFonts w:cs="Arial"/>
        </w:rPr>
        <w:t>owi</w:t>
      </w:r>
      <w:r w:rsidRPr="008041DE">
        <w:rPr>
          <w:rFonts w:cs="Arial"/>
        </w:rPr>
        <w:t xml:space="preserve"> Biura Logistyki</w:t>
      </w:r>
      <w:r>
        <w:rPr>
          <w:rFonts w:cs="Arial"/>
        </w:rPr>
        <w:t xml:space="preserve"> Pomorskiego Urzędu Wojewódzkiego w Gdańsku</w:t>
      </w:r>
      <w:r w:rsidRPr="008041DE">
        <w:rPr>
          <w:rFonts w:cs="Arial"/>
        </w:rPr>
        <w:t>, nie później niż do 31 października każdego roku.</w:t>
      </w:r>
      <w:r>
        <w:rPr>
          <w:rFonts w:cs="Arial"/>
        </w:rPr>
        <w:t xml:space="preserve"> </w:t>
      </w:r>
    </w:p>
    <w:p w:rsidR="00753EA8" w:rsidRPr="008041DE" w:rsidRDefault="003572A7" w:rsidP="00753EA8">
      <w:pPr>
        <w:rPr>
          <w:rFonts w:cs="Arial"/>
        </w:rPr>
      </w:pPr>
      <w:r>
        <w:rPr>
          <w:rFonts w:cs="Arial"/>
        </w:rPr>
        <w:t xml:space="preserve">6. </w:t>
      </w:r>
      <w:r>
        <w:rPr>
          <w:rFonts w:cs="Arial"/>
          <w:bCs/>
          <w:szCs w:val="24"/>
        </w:rPr>
        <w:t>Komisja likwidacyjna ma charakter stały.</w:t>
      </w:r>
    </w:p>
    <w:p w:rsidR="00753EA8" w:rsidRDefault="003572A7" w:rsidP="00753EA8">
      <w:pPr>
        <w:rPr>
          <w:rFonts w:cs="Arial"/>
          <w:szCs w:val="24"/>
        </w:rPr>
      </w:pPr>
      <w:r w:rsidRPr="00B838E1">
        <w:rPr>
          <w:rFonts w:cs="Arial"/>
          <w:b/>
          <w:szCs w:val="24"/>
        </w:rPr>
        <w:t>§ 3</w:t>
      </w:r>
      <w:r w:rsidRPr="008041DE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Pracami Komisji oceniającej i Komisji likwidacyjnej kierują przewodniczący tych komisji, którzy w szczególności ustalają zakresy czynności i zadań członków tych komisji.</w:t>
      </w:r>
    </w:p>
    <w:p w:rsidR="00753EA8" w:rsidRPr="008041DE" w:rsidRDefault="003572A7" w:rsidP="00B838E1">
      <w:pPr>
        <w:spacing w:after="1200"/>
        <w:rPr>
          <w:rFonts w:cs="Arial"/>
        </w:rPr>
      </w:pPr>
      <w:r w:rsidRPr="00B838E1">
        <w:rPr>
          <w:rFonts w:cs="Arial"/>
          <w:b/>
          <w:szCs w:val="24"/>
        </w:rPr>
        <w:t>§</w:t>
      </w:r>
      <w:r w:rsidR="00466994">
        <w:rPr>
          <w:rFonts w:cs="Arial"/>
          <w:b/>
          <w:szCs w:val="24"/>
        </w:rPr>
        <w:t> </w:t>
      </w:r>
      <w:r w:rsidRPr="00B838E1">
        <w:rPr>
          <w:rFonts w:cs="Arial"/>
          <w:b/>
          <w:szCs w:val="24"/>
        </w:rPr>
        <w:t>4</w:t>
      </w:r>
      <w:r w:rsidRPr="008041DE">
        <w:rPr>
          <w:rFonts w:cs="Arial"/>
          <w:szCs w:val="24"/>
        </w:rPr>
        <w:t>. Nadzór nad realizacją zarządzenia powierza się Dyrektorowi Wydziału Bezpieczeńst</w:t>
      </w:r>
      <w:r w:rsidRPr="008041DE">
        <w:rPr>
          <w:rFonts w:cs="Arial"/>
          <w:szCs w:val="24"/>
        </w:rPr>
        <w:t xml:space="preserve">wa i Zarządzania Kryzysowego </w:t>
      </w:r>
      <w:r>
        <w:rPr>
          <w:rFonts w:cs="Arial"/>
          <w:szCs w:val="24"/>
        </w:rPr>
        <w:t>Pomorskiego Urzędu Wojewódzkiego w</w:t>
      </w:r>
      <w:r w:rsidR="00466994">
        <w:rPr>
          <w:rFonts w:cs="Arial"/>
          <w:szCs w:val="24"/>
        </w:rPr>
        <w:t> </w:t>
      </w:r>
      <w:r>
        <w:rPr>
          <w:rFonts w:cs="Arial"/>
          <w:szCs w:val="24"/>
        </w:rPr>
        <w:t>Gd</w:t>
      </w:r>
      <w:r>
        <w:rPr>
          <w:rFonts w:cs="Arial"/>
          <w:szCs w:val="24"/>
        </w:rPr>
        <w:t>ańsku</w:t>
      </w:r>
      <w:r w:rsidRPr="008041DE">
        <w:rPr>
          <w:rFonts w:cs="Arial"/>
          <w:szCs w:val="24"/>
        </w:rPr>
        <w:t>.</w:t>
      </w:r>
    </w:p>
    <w:p w:rsidR="00753EA8" w:rsidRPr="008041DE" w:rsidRDefault="003572A7" w:rsidP="00753EA8">
      <w:pPr>
        <w:rPr>
          <w:rFonts w:cs="Arial"/>
        </w:rPr>
      </w:pPr>
      <w:r w:rsidRPr="00B838E1">
        <w:rPr>
          <w:rFonts w:cs="Arial"/>
          <w:b/>
          <w:szCs w:val="24"/>
        </w:rPr>
        <w:lastRenderedPageBreak/>
        <w:t>§ 5</w:t>
      </w:r>
      <w:r w:rsidRPr="008041DE">
        <w:rPr>
          <w:rFonts w:cs="Arial"/>
          <w:szCs w:val="24"/>
        </w:rPr>
        <w:t xml:space="preserve">. Traci moc Zarządzenie z dnia 21 czerwca 2017 r. </w:t>
      </w:r>
      <w:r w:rsidRPr="00255102">
        <w:rPr>
          <w:rFonts w:cs="Arial"/>
          <w:szCs w:val="24"/>
        </w:rPr>
        <w:t>w sprawie powołania Komisji do oceny sprzętu i wyposażenia obrony cywilnej będącego na stanie Pomorskiego Urzędu Wojewódzkiego w G</w:t>
      </w:r>
      <w:r w:rsidRPr="00255102">
        <w:rPr>
          <w:rFonts w:cs="Arial"/>
          <w:szCs w:val="24"/>
        </w:rPr>
        <w:t>dańsku pod kątem przydatności do dalszej eksploatacji oraz Komisji likwidacyjnej zbędnych lub zużytych składników sprzętu i</w:t>
      </w:r>
      <w:r w:rsidR="00B838E1">
        <w:rPr>
          <w:rFonts w:cs="Arial"/>
          <w:szCs w:val="24"/>
        </w:rPr>
        <w:t> </w:t>
      </w:r>
      <w:r w:rsidRPr="00255102">
        <w:rPr>
          <w:rFonts w:cs="Arial"/>
          <w:szCs w:val="24"/>
        </w:rPr>
        <w:t>wyposażenia będącego na stanie Pomorskiego Urzędu Wojewódzkiego w Gdańsku</w:t>
      </w:r>
      <w:r>
        <w:rPr>
          <w:rFonts w:cs="Arial"/>
          <w:szCs w:val="24"/>
          <w:vertAlign w:val="superscript"/>
        </w:rPr>
        <w:footnoteReference w:id="1"/>
      </w:r>
      <w:r w:rsidRPr="008041DE">
        <w:rPr>
          <w:rFonts w:cs="Arial"/>
          <w:szCs w:val="24"/>
        </w:rPr>
        <w:t xml:space="preserve">. </w:t>
      </w:r>
    </w:p>
    <w:p w:rsidR="00753EA8" w:rsidRPr="008041DE" w:rsidRDefault="003572A7" w:rsidP="00753EA8">
      <w:pPr>
        <w:spacing w:before="360" w:after="720"/>
        <w:rPr>
          <w:rFonts w:cs="Arial"/>
          <w:szCs w:val="24"/>
        </w:rPr>
      </w:pPr>
      <w:r w:rsidRPr="00B838E1">
        <w:rPr>
          <w:rFonts w:cs="Arial"/>
          <w:b/>
          <w:szCs w:val="24"/>
        </w:rPr>
        <w:t>§</w:t>
      </w:r>
      <w:r w:rsidR="00B838E1" w:rsidRPr="00B838E1">
        <w:rPr>
          <w:rFonts w:cs="Arial"/>
          <w:b/>
          <w:szCs w:val="24"/>
        </w:rPr>
        <w:t> </w:t>
      </w:r>
      <w:r w:rsidRPr="00B838E1">
        <w:rPr>
          <w:rFonts w:cs="Arial"/>
          <w:b/>
          <w:szCs w:val="24"/>
        </w:rPr>
        <w:t>6</w:t>
      </w:r>
      <w:r w:rsidRPr="008041DE">
        <w:rPr>
          <w:rFonts w:cs="Arial"/>
          <w:szCs w:val="24"/>
        </w:rPr>
        <w:t xml:space="preserve">. Zarządzenie wchodzi w życie z dniem podpisania. </w:t>
      </w:r>
    </w:p>
    <w:p w:rsidR="00B838E1" w:rsidRPr="00F2167F" w:rsidRDefault="003572A7" w:rsidP="00B838E1">
      <w:pPr>
        <w:ind w:firstLine="4678"/>
        <w:jc w:val="center"/>
        <w:rPr>
          <w:rFonts w:cs="Arial"/>
        </w:rPr>
      </w:pPr>
      <w:r w:rsidRPr="008041DE">
        <w:rPr>
          <w:rFonts w:ascii="Times New Roman" w:hAnsi="Times New Roman"/>
          <w:szCs w:val="24"/>
        </w:rPr>
        <w:t xml:space="preserve"> </w:t>
      </w:r>
      <w:r w:rsidR="00B838E1" w:rsidRPr="00F2167F">
        <w:rPr>
          <w:rFonts w:cs="Arial"/>
        </w:rPr>
        <w:t>Dyrektor Generalny</w:t>
      </w:r>
    </w:p>
    <w:p w:rsidR="00B838E1" w:rsidRPr="00D60621" w:rsidRDefault="00B838E1" w:rsidP="00B838E1">
      <w:pPr>
        <w:ind w:firstLine="4678"/>
        <w:jc w:val="center"/>
      </w:pPr>
      <w:r w:rsidRPr="00D60621">
        <w:t>Anita Świetlikowska</w:t>
      </w:r>
    </w:p>
    <w:p w:rsidR="008041DE" w:rsidRPr="008041DE" w:rsidRDefault="003572A7" w:rsidP="008041DE">
      <w:pPr>
        <w:spacing w:before="360" w:after="720"/>
        <w:ind w:firstLine="0"/>
        <w:rPr>
          <w:rFonts w:ascii="Times New Roman" w:hAnsi="Times New Roman"/>
        </w:rPr>
      </w:pPr>
    </w:p>
    <w:sectPr w:rsidR="008041DE" w:rsidRPr="008041DE" w:rsidSect="00BE012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2A7" w:rsidRDefault="003572A7">
      <w:pPr>
        <w:spacing w:after="0" w:line="240" w:lineRule="auto"/>
      </w:pPr>
      <w:r>
        <w:separator/>
      </w:r>
    </w:p>
  </w:endnote>
  <w:endnote w:type="continuationSeparator" w:id="0">
    <w:p w:rsidR="003572A7" w:rsidRDefault="00357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2A7" w:rsidRDefault="003572A7" w:rsidP="008041DE">
      <w:pPr>
        <w:spacing w:after="0" w:line="240" w:lineRule="auto"/>
      </w:pPr>
      <w:r>
        <w:separator/>
      </w:r>
    </w:p>
  </w:footnote>
  <w:footnote w:type="continuationSeparator" w:id="0">
    <w:p w:rsidR="003572A7" w:rsidRDefault="003572A7" w:rsidP="008041DE">
      <w:pPr>
        <w:spacing w:after="0" w:line="240" w:lineRule="auto"/>
      </w:pPr>
      <w:r>
        <w:continuationSeparator/>
      </w:r>
    </w:p>
  </w:footnote>
  <w:footnote w:id="1">
    <w:p w:rsidR="00753EA8" w:rsidRDefault="003572A7" w:rsidP="00753EA8">
      <w:pPr>
        <w:pStyle w:val="Tekstprzypisudolnego"/>
        <w:ind w:left="284" w:hanging="284"/>
        <w:rPr>
          <w:sz w:val="18"/>
          <w:szCs w:val="18"/>
        </w:rPr>
      </w:pPr>
      <w:r w:rsidRPr="0062488D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2488D">
        <w:rPr>
          <w:rFonts w:ascii="Times New Roman" w:hAnsi="Times New Roman"/>
          <w:sz w:val="16"/>
          <w:szCs w:val="16"/>
        </w:rPr>
        <w:t xml:space="preserve"> </w:t>
      </w:r>
      <w:r w:rsidRPr="006360A9">
        <w:rPr>
          <w:sz w:val="18"/>
          <w:szCs w:val="18"/>
        </w:rPr>
        <w:t xml:space="preserve">zmienione zarządzeniami Dyrektora Generalnego Pomorskiego Urzędu Wojewódzkiego w Gdańsku </w:t>
      </w:r>
    </w:p>
    <w:p w:rsidR="00753EA8" w:rsidRPr="0062488D" w:rsidRDefault="003572A7" w:rsidP="00753EA8">
      <w:pPr>
        <w:pStyle w:val="Tekstprzypisudolnego"/>
        <w:ind w:left="284" w:hanging="284"/>
        <w:rPr>
          <w:rFonts w:ascii="Times New Roman" w:hAnsi="Times New Roman"/>
          <w:sz w:val="16"/>
          <w:szCs w:val="16"/>
        </w:rPr>
      </w:pPr>
      <w:r w:rsidRPr="006360A9">
        <w:rPr>
          <w:sz w:val="18"/>
          <w:szCs w:val="18"/>
        </w:rPr>
        <w:t>z dnia 6 lutego 2019 r.</w:t>
      </w:r>
      <w:r>
        <w:rPr>
          <w:sz w:val="18"/>
          <w:szCs w:val="18"/>
        </w:rPr>
        <w:t>,</w:t>
      </w:r>
      <w:r w:rsidRPr="006360A9">
        <w:rPr>
          <w:sz w:val="18"/>
          <w:szCs w:val="18"/>
        </w:rPr>
        <w:t xml:space="preserve"> z dnia 2 listopada 2021 r.</w:t>
      </w:r>
      <w:r>
        <w:rPr>
          <w:sz w:val="18"/>
          <w:szCs w:val="18"/>
        </w:rPr>
        <w:t xml:space="preserve"> i z dnia 25 czerwca 2025 roku.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86A6E"/>
    <w:multiLevelType w:val="hybridMultilevel"/>
    <w:tmpl w:val="EA4050BA"/>
    <w:lvl w:ilvl="0" w:tplc="6DDAA576">
      <w:start w:val="1"/>
      <w:numFmt w:val="decimal"/>
      <w:lvlText w:val="%1)"/>
      <w:lvlJc w:val="left"/>
      <w:pPr>
        <w:ind w:left="720" w:hanging="360"/>
      </w:pPr>
    </w:lvl>
    <w:lvl w:ilvl="1" w:tplc="0DE0B88E" w:tentative="1">
      <w:start w:val="1"/>
      <w:numFmt w:val="lowerLetter"/>
      <w:lvlText w:val="%2."/>
      <w:lvlJc w:val="left"/>
      <w:pPr>
        <w:ind w:left="1440" w:hanging="360"/>
      </w:pPr>
    </w:lvl>
    <w:lvl w:ilvl="2" w:tplc="B5DEAF30" w:tentative="1">
      <w:start w:val="1"/>
      <w:numFmt w:val="lowerRoman"/>
      <w:lvlText w:val="%3."/>
      <w:lvlJc w:val="right"/>
      <w:pPr>
        <w:ind w:left="2160" w:hanging="180"/>
      </w:pPr>
    </w:lvl>
    <w:lvl w:ilvl="3" w:tplc="53BAA060" w:tentative="1">
      <w:start w:val="1"/>
      <w:numFmt w:val="decimal"/>
      <w:lvlText w:val="%4."/>
      <w:lvlJc w:val="left"/>
      <w:pPr>
        <w:ind w:left="2880" w:hanging="360"/>
      </w:pPr>
    </w:lvl>
    <w:lvl w:ilvl="4" w:tplc="082E23B6" w:tentative="1">
      <w:start w:val="1"/>
      <w:numFmt w:val="lowerLetter"/>
      <w:lvlText w:val="%5."/>
      <w:lvlJc w:val="left"/>
      <w:pPr>
        <w:ind w:left="3600" w:hanging="360"/>
      </w:pPr>
    </w:lvl>
    <w:lvl w:ilvl="5" w:tplc="8828EC18" w:tentative="1">
      <w:start w:val="1"/>
      <w:numFmt w:val="lowerRoman"/>
      <w:lvlText w:val="%6."/>
      <w:lvlJc w:val="right"/>
      <w:pPr>
        <w:ind w:left="4320" w:hanging="180"/>
      </w:pPr>
    </w:lvl>
    <w:lvl w:ilvl="6" w:tplc="D21ABE9A" w:tentative="1">
      <w:start w:val="1"/>
      <w:numFmt w:val="decimal"/>
      <w:lvlText w:val="%7."/>
      <w:lvlJc w:val="left"/>
      <w:pPr>
        <w:ind w:left="5040" w:hanging="360"/>
      </w:pPr>
    </w:lvl>
    <w:lvl w:ilvl="7" w:tplc="C35C41C8" w:tentative="1">
      <w:start w:val="1"/>
      <w:numFmt w:val="lowerLetter"/>
      <w:lvlText w:val="%8."/>
      <w:lvlJc w:val="left"/>
      <w:pPr>
        <w:ind w:left="5760" w:hanging="360"/>
      </w:pPr>
    </w:lvl>
    <w:lvl w:ilvl="8" w:tplc="22C4FF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D0129"/>
    <w:multiLevelType w:val="hybridMultilevel"/>
    <w:tmpl w:val="AFC48F42"/>
    <w:lvl w:ilvl="0" w:tplc="7DEEB75E">
      <w:start w:val="1"/>
      <w:numFmt w:val="decimal"/>
      <w:lvlText w:val="%1)"/>
      <w:lvlJc w:val="left"/>
      <w:pPr>
        <w:ind w:left="720" w:hanging="360"/>
      </w:pPr>
    </w:lvl>
    <w:lvl w:ilvl="1" w:tplc="0D480016" w:tentative="1">
      <w:start w:val="1"/>
      <w:numFmt w:val="lowerLetter"/>
      <w:lvlText w:val="%2."/>
      <w:lvlJc w:val="left"/>
      <w:pPr>
        <w:ind w:left="1440" w:hanging="360"/>
      </w:pPr>
    </w:lvl>
    <w:lvl w:ilvl="2" w:tplc="AE0218D4" w:tentative="1">
      <w:start w:val="1"/>
      <w:numFmt w:val="lowerRoman"/>
      <w:lvlText w:val="%3."/>
      <w:lvlJc w:val="right"/>
      <w:pPr>
        <w:ind w:left="2160" w:hanging="180"/>
      </w:pPr>
    </w:lvl>
    <w:lvl w:ilvl="3" w:tplc="ED4E7864" w:tentative="1">
      <w:start w:val="1"/>
      <w:numFmt w:val="decimal"/>
      <w:lvlText w:val="%4."/>
      <w:lvlJc w:val="left"/>
      <w:pPr>
        <w:ind w:left="2880" w:hanging="360"/>
      </w:pPr>
    </w:lvl>
    <w:lvl w:ilvl="4" w:tplc="0818E61C" w:tentative="1">
      <w:start w:val="1"/>
      <w:numFmt w:val="lowerLetter"/>
      <w:lvlText w:val="%5."/>
      <w:lvlJc w:val="left"/>
      <w:pPr>
        <w:ind w:left="3600" w:hanging="360"/>
      </w:pPr>
    </w:lvl>
    <w:lvl w:ilvl="5" w:tplc="445E3C32" w:tentative="1">
      <w:start w:val="1"/>
      <w:numFmt w:val="lowerRoman"/>
      <w:lvlText w:val="%6."/>
      <w:lvlJc w:val="right"/>
      <w:pPr>
        <w:ind w:left="4320" w:hanging="180"/>
      </w:pPr>
    </w:lvl>
    <w:lvl w:ilvl="6" w:tplc="B726A184" w:tentative="1">
      <w:start w:val="1"/>
      <w:numFmt w:val="decimal"/>
      <w:lvlText w:val="%7."/>
      <w:lvlJc w:val="left"/>
      <w:pPr>
        <w:ind w:left="5040" w:hanging="360"/>
      </w:pPr>
    </w:lvl>
    <w:lvl w:ilvl="7" w:tplc="B1B27D08" w:tentative="1">
      <w:start w:val="1"/>
      <w:numFmt w:val="lowerLetter"/>
      <w:lvlText w:val="%8."/>
      <w:lvlJc w:val="left"/>
      <w:pPr>
        <w:ind w:left="5760" w:hanging="360"/>
      </w:pPr>
    </w:lvl>
    <w:lvl w:ilvl="8" w:tplc="02FCFA0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396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8E1"/>
    <w:rsid w:val="003572A7"/>
    <w:rsid w:val="00466994"/>
    <w:rsid w:val="00B8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23F4A"/>
  <w15:docId w15:val="{E21DE5A1-6D76-4A43-99EC-E31829E9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41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41DE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41DE"/>
    <w:rPr>
      <w:vertAlign w:val="superscript"/>
    </w:rPr>
  </w:style>
  <w:style w:type="paragraph" w:styleId="Poprawka">
    <w:name w:val="Revision"/>
    <w:hidden/>
    <w:uiPriority w:val="99"/>
    <w:semiHidden/>
    <w:rsid w:val="00DE5CEC"/>
    <w:pPr>
      <w:spacing w:after="0" w:line="240" w:lineRule="auto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12853</TotalTime>
  <Pages>3</Pages>
  <Words>622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Wojewódzkiego w Gdańsku z dnia 26 września 2025 r. w sprawie powołania Komisji do oceny przydatności składników rzeczowych majątku ruchomego przeznaczonych na cele ochrony ludności i obrony cywilnej będących na stanie Pomorskiego Urzędu Wojewódzkiego w Gdańsku oraz Komisji likwidacyjnej zbędnych lub zużytych składników rzeczowych majątku ruchomego przeznaczonych na cele ochrony ludności i obrony cywilnej będących na stanie Pomorskiego Urzędu Wojewódzkiego w Gdańsku</dc:title>
  <dc:creator>Maria Leszczyńska</dc:creator>
  <cp:lastModifiedBy>Monika Giedrojć</cp:lastModifiedBy>
  <cp:revision>18</cp:revision>
  <cp:lastPrinted>2017-01-05T08:08:00Z</cp:lastPrinted>
  <dcterms:created xsi:type="dcterms:W3CDTF">2021-04-27T05:37:00Z</dcterms:created>
  <dcterms:modified xsi:type="dcterms:W3CDTF">2025-09-29T06:36:00Z</dcterms:modified>
</cp:coreProperties>
</file>