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46" w:bottom="487" w:left="513" w:header="163" w:footer="59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0" w:bottom="48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DGO-SGO.053.4.2026.AR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"/>
          <w:sz w:val="18"/>
          <w:szCs w:val="18"/>
        </w:rPr>
        <w:t>4241745.17156479.13914119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3"/>
        </w:rPr>
        <w:t>Warszawa, 20-02-2026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Dotyczy: </w:t>
      </w:r>
      <w:r>
        <w:rPr>
          <w:rStyle w:val="CharStyle3"/>
        </w:rPr>
        <w:t>Odpowiedź na petycję z dnia 14 stycznia 2026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r>
        <w:rPr>
          <w:rStyle w:val="CharStyle3"/>
          <w:b/>
          <w:bCs/>
        </w:rPr>
        <w:t>Pan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340" w:line="442" w:lineRule="auto"/>
        <w:ind w:left="0" w:right="0" w:firstLine="0"/>
        <w:jc w:val="left"/>
      </w:pPr>
      <w:bookmarkStart w:id="0" w:name="bookmark0"/>
      <w:r>
        <w:rPr>
          <w:rStyle w:val="CharStyle7"/>
          <w:b/>
          <w:bCs/>
        </w:rPr>
        <w:t>Szanowny Panie Przewodniczący,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42" w:lineRule="auto"/>
        <w:ind w:left="0" w:right="0" w:firstLine="0"/>
        <w:jc w:val="both"/>
      </w:pPr>
      <w:r>
        <w:rPr>
          <w:rStyle w:val="CharStyle3"/>
        </w:rPr>
        <w:t>nawiązując do stanowiska nr z dnia 14 stycznia 2026 r. w sprawie doprecyzowania zasad wydobywania odpadów pogórniczych ze zwałowisk oraz konieczności wprowadzenia zmian w art. 144 ustawy z dnia 14 grudnia 2012 r. o odpadach</w:t>
      </w:r>
      <w:r>
        <w:rPr>
          <w:rStyle w:val="CharStyle3"/>
          <w:vertAlign w:val="superscript"/>
        </w:rPr>
        <w:t>1</w:t>
      </w:r>
      <w:r>
        <w:rPr>
          <w:rStyle w:val="CharStyle3"/>
        </w:rPr>
        <w:t>, (zwanej dalej ustawą o odpadach), w pierwszej kolejności pragnę podziękować za przesłanie spostrzeżeń w zakresie obowiązujących regulacji, które w Państwa ocenie wymagają zmian.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42" w:lineRule="auto"/>
        <w:ind w:left="0" w:right="0" w:firstLine="740"/>
        <w:jc w:val="both"/>
      </w:pPr>
      <w:r>
        <w:rPr>
          <w:rStyle w:val="CharStyle3"/>
        </w:rPr>
        <w:t>Postulat objęcia decyzji wydawanej na podstawie art. 144 ustawy o odpadach regulacjami właściwymi dla zezwoleń na gospodarowanie odpadami, w szczególności art. 41b oraz art. 46-48 tej ustawy, nie znajduje uzasadnienia w sprawach o wydanie decyzji dotyczącej wydobywana odpadów ze składowiska. Decyzje wydawane na podstawie art. 41b oraz art. 46-48 ustawy o odpadach odnoszą się do prowadzenia działalności gospodarczej w zakresie gospodarowania odpadami w zakresie zbierania lub przetwarzania odpadów. Cechą tego rodzaju działalności jest świadczenie usług o charakterze ciągłym, obejmujących współpracę często z wieloma podmiotami, od których odbierane są odpady i w ramach których następuje przejęcie odpowiedzialności za przyjmowane odpady. Fakt ten, jak również, nieprawidłowości związane z gospodarowaniem odpadami w Polsce uzasadniały wprowadzenie dla administracji dodatkowych instrumentów, takich jak zabezpieczenie roszczeń, możliwość cofnięcia decyzji czy określenia czasu obowiązywania decyzji.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442" w:lineRule="auto"/>
        <w:ind w:left="0" w:right="0" w:firstLine="740"/>
        <w:jc w:val="both"/>
      </w:pPr>
      <w:r>
        <w:rPr>
          <w:rStyle w:val="CharStyle3"/>
        </w:rPr>
        <w:t>Natomiast decyzja wydawana na podstawie art. 144 ustawy o odpadach, nie stanowi zezwolenia na prowadzenie działalności w zakresie gospodarowania odpadami, lecz dotyczy wykonania określonej czynności, tj. wydobycia w konkretnym celu, środowiskowym lub technicznym, takim jak rekultywacja składowiska czy usunięcie historycznie zdeponowanych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74" w:val="left"/>
        </w:tabs>
        <w:bidi w:val="0"/>
        <w:spacing w:before="0"/>
        <w:ind w:left="0" w:right="0" w:firstLine="0"/>
        <w:jc w:val="left"/>
      </w:pPr>
      <w:r>
        <w:rPr>
          <w:rStyle w:val="CharStyle9"/>
        </w:rPr>
        <w:t>Dz. U. z 2023 r., poz. 1587 z późn zm.)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1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11"/>
          <w:lang w:val="en-US" w:eastAsia="en-US"/>
        </w:rPr>
        <w:t>info@klimat.gov.pl</w:t>
      </w:r>
      <w:r>
        <w:fldChar w:fldCharType="end"/>
      </w:r>
      <w:r>
        <w:rPr>
          <w:rStyle w:val="CharStyle11"/>
          <w:lang w:val="en-US" w:eastAsia="en-US"/>
        </w:rPr>
        <w:t xml:space="preserve"> </w:t>
      </w:r>
      <w:r>
        <w:rPr>
          <w:rStyle w:val="CharStyle11"/>
        </w:rPr>
        <w:t xml:space="preserve">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11"/>
        </w:rPr>
        <w:t>www.gov.pl/klimat</w:t>
      </w:r>
      <w:r>
        <w:fldChar w:fldCharType="end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1946" w:bottom="487" w:left="1948" w:header="0" w:footer="3" w:gutter="0"/>
          <w:cols w:space="720"/>
          <w:noEndnote/>
          <w:rtlGutter w:val="0"/>
          <w:docGrid w:linePitch="360"/>
        </w:sectPr>
      </w:pPr>
      <w:r>
        <w:rPr>
          <w:rStyle w:val="CharStyle13"/>
        </w:rPr>
        <w:t>Działamy zgodnie z EMAS - zarządzając instytucją, dbamy o środowisko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42" w:lineRule="auto"/>
        <w:ind w:left="0" w:right="0" w:firstLine="0"/>
        <w:jc w:val="both"/>
      </w:pPr>
      <w:r>
        <w:rPr>
          <w:rStyle w:val="CharStyle3"/>
        </w:rPr>
        <w:t>odpadów. Dopiero po wydobyciu odpadów, odpady te podlegają właściwym regulacjom dotyczącym zbierania lub przetwarzania i wymagają uzyskania odpowiednich zezwoleń. Z tego względu ustawodawca ukształtował decyzję wydawaną na podstawie art. 144 jako odrębny instrument prawny, wymagający określenia szczegółowych warunków prowadzenia prac adekwatnych do uwarunkowań technicznych i środowiskowych.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442" w:lineRule="auto"/>
        <w:ind w:left="0" w:right="0" w:firstLine="720"/>
        <w:jc w:val="both"/>
      </w:pPr>
      <w:r>
        <w:rPr>
          <w:rStyle w:val="CharStyle3"/>
        </w:rPr>
        <w:t>Mając na uwadze powyższe, ewentualne doprecyzowanie przepisów dotyczących wydobywania odpadów ze składowisk odpadów oraz wnioski wynikające z sygnalizowanych spostrzeżeń oraz przedstawionych propozycji w tym braku określenia horyzontu czasowego w przypadku decyzji wydawanych na podstawie art. 144 ustawy o odpadach, będą analizowane w ramach przyszłych prac legislacyjnych.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42" w:lineRule="auto"/>
        <w:ind w:left="0" w:right="0" w:firstLine="0"/>
        <w:jc w:val="left"/>
      </w:pPr>
      <w:r>
        <w:rPr>
          <w:rStyle w:val="CharStyle3"/>
        </w:rPr>
        <w:t>Z wyrazami szacunku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442" w:lineRule="auto"/>
        <w:ind w:left="0" w:right="0" w:firstLine="0"/>
        <w:jc w:val="left"/>
      </w:pPr>
      <w:r>
        <w:rPr>
          <w:rStyle w:val="CharStyle3"/>
        </w:rPr>
        <w:t>Z up. Ministra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Podsekretarz Stanu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Podsekretarz Stanu Anita Sowińska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Ministerstwo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r>
        <w:rPr>
          <w:rStyle w:val="CharStyle3"/>
        </w:rPr>
        <w:t>/ – podpisany cyfrowo/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442" w:lineRule="auto"/>
        <w:ind w:left="0" w:right="0" w:firstLine="0"/>
        <w:jc w:val="left"/>
      </w:pPr>
      <w:bookmarkStart w:id="2" w:name="bookmark2"/>
      <w:r>
        <w:rPr>
          <w:rStyle w:val="CharStyle7"/>
          <w:b/>
          <w:bCs/>
        </w:rPr>
        <w:t>Podstawa prawna: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442" w:lineRule="auto"/>
        <w:ind w:left="0" w:right="0" w:firstLine="0"/>
        <w:jc w:val="left"/>
      </w:pPr>
      <w:r>
        <w:rPr>
          <w:rStyle w:val="CharStyle3"/>
        </w:rPr>
        <w:t>Art. 12 i 13 ustawy z dnia 11 lipca 2014 r. o petycjach.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442" w:lineRule="auto"/>
        <w:ind w:left="0" w:right="0" w:firstLine="0"/>
        <w:jc w:val="left"/>
      </w:pPr>
      <w:bookmarkStart w:id="4" w:name="bookmark4"/>
      <w:r>
        <w:rPr>
          <w:rStyle w:val="CharStyle7"/>
          <w:b/>
          <w:bCs/>
        </w:rPr>
        <w:t>Pouczenie: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42" w:lineRule="auto"/>
        <w:ind w:left="0" w:right="0" w:firstLine="0"/>
        <w:jc w:val="both"/>
      </w:pPr>
      <w:r>
        <w:rPr>
          <w:rStyle w:val="CharStyle3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42" w:lineRule="auto"/>
        <w:ind w:left="0" w:right="0" w:firstLine="0"/>
        <w:jc w:val="both"/>
      </w:pPr>
      <w:r>
        <w:rPr>
          <w:rStyle w:val="CharStyle3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42" w:lineRule="auto"/>
        <w:ind w:left="0" w:right="0" w:firstLine="0"/>
        <w:jc w:val="both"/>
      </w:pPr>
      <w:r>
        <w:rPr>
          <w:rStyle w:val="CharStyle3"/>
          <w:b/>
          <w:bCs/>
        </w:rPr>
        <w:t>Klauzula informacyjna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442" w:lineRule="auto"/>
        <w:ind w:left="0" w:right="0" w:firstLine="0"/>
        <w:jc w:val="both"/>
      </w:pPr>
      <w:r>
        <w:rPr>
          <w:rStyle w:val="CharStyle3"/>
          <w:b/>
          <w:bCs/>
        </w:rPr>
        <w:t>dotycząca przetwarzania danych osobowych osób wnoszących petycję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6" w:name="bookmark6"/>
      <w:r>
        <w:rPr>
          <w:rStyle w:val="CharStyle7"/>
          <w:b/>
          <w:bCs/>
        </w:rPr>
        <w:t>Tożsamość administratora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Administratorem Pani/Pana danych osobowych jest Minister Klimatu i Środowiska.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Może się Pani/Pan z nami kontaktować w następujący sposób: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 xml:space="preserve"> </w:t>
      </w:r>
      <w:r>
        <w:rPr>
          <w:rStyle w:val="CharStyle3"/>
          <w:color w:val="0000FF"/>
          <w:u w:val="single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8" w:val="left"/>
        </w:tabs>
        <w:bidi w:val="0"/>
        <w:spacing w:before="0"/>
        <w:ind w:left="0" w:right="0" w:firstLine="380"/>
        <w:jc w:val="both"/>
      </w:pPr>
      <w:r>
        <w:rPr>
          <w:rStyle w:val="CharStyle3"/>
        </w:rPr>
        <w:t>telefonicznie: 22 36 92 900.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8" w:name="bookmark8"/>
      <w:r>
        <w:rPr>
          <w:rStyle w:val="CharStyle7"/>
          <w:b/>
          <w:bCs/>
        </w:rPr>
        <w:t>Dane kontaktowe inspektora ochrony danych osobowych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19" w:lineRule="auto"/>
        <w:ind w:left="0" w:right="0" w:firstLine="0"/>
        <w:jc w:val="both"/>
      </w:pPr>
      <w:r>
        <w:rPr>
          <w:rStyle w:val="CharStyle3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both"/>
      </w:pPr>
      <w:r>
        <w:rPr>
          <w:rStyle w:val="CharStyle3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10" w:name="bookmark10"/>
      <w:r>
        <w:rPr>
          <w:rStyle w:val="CharStyle7"/>
          <w:b/>
          <w:bCs/>
        </w:rPr>
        <w:t>Cele przetwarzania danych osobowych i podstawa prawna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12" w:name="bookmark12"/>
      <w:r>
        <w:rPr>
          <w:rStyle w:val="CharStyle7"/>
          <w:b/>
          <w:bCs/>
        </w:rPr>
        <w:t>Odbiorcy danych osobowych lub kategorie odbiorców danych osobowych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b/>
          <w:bCs/>
        </w:rPr>
        <w:t>Okres przechowywania danych osobowych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14" w:name="bookmark14"/>
      <w:r>
        <w:rPr>
          <w:rStyle w:val="CharStyle7"/>
          <w:b/>
          <w:bCs/>
        </w:rPr>
        <w:t>Przysługujące uprawnienia związane z przetwarzaniem danych osobowych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Przysługują Pani/Panu następujące uprawnienia: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both"/>
      </w:pPr>
      <w:r>
        <w:rPr>
          <w:rStyle w:val="CharStyle3"/>
        </w:rPr>
        <w:t>prawo dostępu do danych osobowych i uzyskania ich kopii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prawo do sprostowania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>prawo do usunięcia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8" w:val="left"/>
        </w:tabs>
        <w:bidi w:val="0"/>
        <w:spacing w:before="0" w:after="200"/>
        <w:ind w:left="0" w:right="0" w:firstLine="380"/>
        <w:jc w:val="both"/>
      </w:pPr>
      <w:r>
        <w:rPr>
          <w:rStyle w:val="CharStyle3"/>
        </w:rPr>
        <w:t>prawo ograniczenia przetwarzania.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Aby skorzystać z powyższych praw należy skontaktować się z nami lub z naszym inspektorem ochrony danych (dane kontaktowe zawarte są powyżej).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/>
        <w:ind w:left="740" w:right="0" w:hanging="360"/>
        <w:jc w:val="both"/>
      </w:pPr>
      <w:r>
        <w:rPr>
          <w:rStyle w:val="CharStyle3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b/>
          <w:bCs/>
        </w:rPr>
        <w:t>Informacja o przekazywaniu danych osobowych do państw trzecich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Nie przekazujemy Pani/Pana danych osobowych do państw trzecich.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16" w:name="bookmark16"/>
      <w:r>
        <w:rPr>
          <w:rStyle w:val="CharStyle7"/>
          <w:b/>
          <w:bCs/>
        </w:rPr>
        <w:t>Informacja o profilowaniu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Pani/Pana dane osobowe nie podlegają zautomatyzowanemu przetwarzaniu, w tym profilowaniu.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18" w:name="bookmark18"/>
      <w:r>
        <w:rPr>
          <w:rStyle w:val="CharStyle7"/>
          <w:b/>
          <w:bCs/>
        </w:rPr>
        <w:t>Informacja o dowolności lub obowiązku podania danych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2127" w:right="1953" w:bottom="1941" w:left="1950" w:header="169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3752850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fldSimple w:instr=" PAGE \* MERGEFORMAT ">
                            <w:r>
                              <w:rPr>
                                <w:rStyle w:val="CharStyle15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5.5pt;margin-top:789.3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Style w:val="CharStyle15"/>
                          <w:rFonts w:ascii="Arial" w:eastAsia="Arial" w:hAnsi="Arial" w:cs="Arial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">
    <w:name w:val="Heading #1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Body text (4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Body text (2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3">
    <w:name w:val="Body text (3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Header or footer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120"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6">
    <w:name w:val="Heading #1"/>
    <w:basedOn w:val="Normal"/>
    <w:link w:val="CharStyle7"/>
    <w:pPr>
      <w:widowControl w:val="0"/>
      <w:shd w:val="clear" w:color="auto" w:fill="auto"/>
      <w:spacing w:after="120" w:line="295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Body text (4)"/>
    <w:basedOn w:val="Normal"/>
    <w:link w:val="CharStyle9"/>
    <w:pPr>
      <w:widowControl w:val="0"/>
      <w:shd w:val="clear" w:color="auto" w:fill="auto"/>
      <w:spacing w:after="400" w:line="37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Body text (2)"/>
    <w:basedOn w:val="Normal"/>
    <w:link w:val="CharStyle11"/>
    <w:pPr>
      <w:widowControl w:val="0"/>
      <w:shd w:val="clear" w:color="auto" w:fill="auto"/>
      <w:spacing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2">
    <w:name w:val="Body text (3)"/>
    <w:basedOn w:val="Normal"/>
    <w:link w:val="CharStyle13"/>
    <w:pPr>
      <w:widowControl w:val="0"/>
      <w:shd w:val="clear" w:color="auto" w:fill="auto"/>
      <w:spacing w:after="34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4">
    <w:name w:val="Header or footer (2)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