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05571" w14:textId="1D48B532" w:rsidR="003535E9" w:rsidRDefault="0045680A" w:rsidP="00FE13FB">
      <w:pPr>
        <w:pStyle w:val="Title"/>
        <w:jc w:val="center"/>
      </w:pPr>
      <w:r>
        <w:t>Odpowiedź</w:t>
      </w:r>
      <w:r w:rsidR="00833A89">
        <w:t xml:space="preserve"> </w:t>
      </w:r>
      <w:r>
        <w:t xml:space="preserve">na </w:t>
      </w:r>
      <w:r w:rsidR="00833A89">
        <w:t>u</w:t>
      </w:r>
      <w:r w:rsidR="008F0976">
        <w:t>wag</w:t>
      </w:r>
      <w:r>
        <w:t>i</w:t>
      </w:r>
      <w:r w:rsidR="008F0976">
        <w:t xml:space="preserve"> </w:t>
      </w:r>
      <w:r w:rsidR="00FB4E73">
        <w:t>zgłoszon</w:t>
      </w:r>
      <w:r>
        <w:t>e</w:t>
      </w:r>
      <w:r w:rsidR="00FB4E73">
        <w:t xml:space="preserve"> </w:t>
      </w:r>
      <w:r w:rsidR="008F0976">
        <w:t>do</w:t>
      </w:r>
      <w:r w:rsidR="00FE13FB">
        <w:br w:type="textWrapping" w:clear="all"/>
      </w:r>
      <w:r w:rsidR="008F0976">
        <w:t>Opisu Założeń Projektu Informatycznego</w:t>
      </w:r>
      <w:r w:rsidR="00FE13FB">
        <w:br w:type="textWrapping" w:clear="all"/>
      </w:r>
      <w:r w:rsidR="00FB4E73">
        <w:t>SOD</w:t>
      </w:r>
      <w:r w:rsidR="00525808">
        <w:t>iR 3.0</w:t>
      </w:r>
      <w:r w:rsidR="001F3F72">
        <w:t>.</w:t>
      </w:r>
    </w:p>
    <w:p w14:paraId="74D54694" w14:textId="77777777" w:rsidR="001F3F72" w:rsidRDefault="001F3F72" w:rsidP="00AD5389">
      <w:pPr>
        <w:contextualSpacing w:val="0"/>
        <w:rPr>
          <w:sz w:val="22"/>
          <w:szCs w:val="22"/>
        </w:rPr>
      </w:pPr>
    </w:p>
    <w:p w14:paraId="16E96BF3" w14:textId="3992F5A0" w:rsidR="001F3F72" w:rsidRPr="0049755E" w:rsidRDefault="005E0E05" w:rsidP="00AD5389">
      <w:pPr>
        <w:pStyle w:val="Heading1"/>
        <w:numPr>
          <w:ilvl w:val="0"/>
          <w:numId w:val="20"/>
        </w:numPr>
        <w:ind w:left="426" w:hanging="426"/>
      </w:pPr>
      <w:r>
        <w:t>Uwagi Rady Architektury</w:t>
      </w:r>
    </w:p>
    <w:p w14:paraId="4E70A2AF" w14:textId="7401E164" w:rsidR="00165245" w:rsidRPr="0049755E" w:rsidRDefault="00B6132B" w:rsidP="00AD5389">
      <w:pPr>
        <w:pStyle w:val="Heading2"/>
        <w:numPr>
          <w:ilvl w:val="0"/>
          <w:numId w:val="22"/>
        </w:numPr>
        <w:ind w:left="426" w:hanging="426"/>
      </w:pPr>
      <w:r w:rsidRPr="00B6132B">
        <w:t>wyjaśnienie, czy dane z SODiR 2.0 będą migrowane do SODiR 3.0</w:t>
      </w:r>
      <w:r w:rsidR="00D8662E">
        <w:t xml:space="preserve"> (</w:t>
      </w:r>
      <w:r w:rsidR="00FF3BF4">
        <w:t>pkt</w:t>
      </w:r>
      <w:r w:rsidR="00D8662E">
        <w:t xml:space="preserve"> 7.1</w:t>
      </w:r>
      <w:r w:rsidR="007D7B76">
        <w:t>.</w:t>
      </w:r>
      <w:r w:rsidR="00D8662E">
        <w:t>)</w:t>
      </w:r>
    </w:p>
    <w:p w14:paraId="6032984D" w14:textId="44FD3C0F" w:rsidR="00165245" w:rsidRDefault="00E45214" w:rsidP="0056578F">
      <w:pPr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Dane z </w:t>
      </w:r>
      <w:r w:rsidR="00D75284">
        <w:rPr>
          <w:sz w:val="22"/>
          <w:szCs w:val="22"/>
        </w:rPr>
        <w:t>bazy danych</w:t>
      </w:r>
      <w:r>
        <w:rPr>
          <w:sz w:val="22"/>
          <w:szCs w:val="22"/>
        </w:rPr>
        <w:t xml:space="preserve"> </w:t>
      </w:r>
      <w:r w:rsidR="00151CD3">
        <w:rPr>
          <w:sz w:val="22"/>
          <w:szCs w:val="22"/>
        </w:rPr>
        <w:t>SODiR 2.0</w:t>
      </w:r>
      <w:r w:rsidR="005C57FB">
        <w:rPr>
          <w:sz w:val="22"/>
          <w:szCs w:val="22"/>
        </w:rPr>
        <w:t xml:space="preserve"> </w:t>
      </w:r>
      <w:r w:rsidR="00C202EA">
        <w:rPr>
          <w:sz w:val="22"/>
          <w:szCs w:val="22"/>
        </w:rPr>
        <w:t xml:space="preserve">zostaną </w:t>
      </w:r>
      <w:proofErr w:type="spellStart"/>
      <w:r w:rsidR="00C202EA">
        <w:rPr>
          <w:sz w:val="22"/>
          <w:szCs w:val="22"/>
        </w:rPr>
        <w:t>zmigrowane</w:t>
      </w:r>
      <w:proofErr w:type="spellEnd"/>
      <w:r w:rsidR="00C202EA">
        <w:rPr>
          <w:sz w:val="22"/>
          <w:szCs w:val="22"/>
        </w:rPr>
        <w:t xml:space="preserve"> d</w:t>
      </w:r>
      <w:r w:rsidR="00B67588">
        <w:rPr>
          <w:sz w:val="22"/>
          <w:szCs w:val="22"/>
        </w:rPr>
        <w:t>o SODiR 3.0. Dane będą widoczne w iPFRON+</w:t>
      </w:r>
      <w:r w:rsidR="003B750F">
        <w:rPr>
          <w:sz w:val="22"/>
          <w:szCs w:val="22"/>
        </w:rPr>
        <w:t xml:space="preserve"> w</w:t>
      </w:r>
      <w:r w:rsidR="00DD668D">
        <w:rPr>
          <w:sz w:val="22"/>
          <w:szCs w:val="22"/>
        </w:rPr>
        <w:t> </w:t>
      </w:r>
      <w:r w:rsidR="003B750F">
        <w:rPr>
          <w:sz w:val="22"/>
          <w:szCs w:val="22"/>
        </w:rPr>
        <w:t>ograniczonym zakresie</w:t>
      </w:r>
      <w:r w:rsidR="00BD5BBD">
        <w:rPr>
          <w:sz w:val="22"/>
          <w:szCs w:val="22"/>
        </w:rPr>
        <w:t xml:space="preserve"> niezbędnym do prawidłowej realizacji zadań wspieranych przez </w:t>
      </w:r>
      <w:r w:rsidR="00F72E23">
        <w:rPr>
          <w:sz w:val="22"/>
          <w:szCs w:val="22"/>
        </w:rPr>
        <w:t>iPFRON+</w:t>
      </w:r>
      <w:r w:rsidR="000531C7">
        <w:rPr>
          <w:sz w:val="22"/>
          <w:szCs w:val="22"/>
        </w:rPr>
        <w:t xml:space="preserve"> </w:t>
      </w:r>
      <w:r w:rsidR="00BD5BBD">
        <w:rPr>
          <w:sz w:val="22"/>
          <w:szCs w:val="22"/>
        </w:rPr>
        <w:t>(</w:t>
      </w:r>
      <w:r w:rsidR="006D7852" w:rsidRPr="00697526">
        <w:rPr>
          <w:color w:val="000000" w:themeColor="text1"/>
          <w:sz w:val="22"/>
          <w:szCs w:val="22"/>
        </w:rPr>
        <w:t>rodzaj wsparcia, daty, kwoty</w:t>
      </w:r>
      <w:r w:rsidR="00BD5BBD">
        <w:rPr>
          <w:sz w:val="22"/>
          <w:szCs w:val="22"/>
        </w:rPr>
        <w:t>)</w:t>
      </w:r>
      <w:r w:rsidR="00B67588">
        <w:rPr>
          <w:sz w:val="22"/>
          <w:szCs w:val="22"/>
        </w:rPr>
        <w:t xml:space="preserve">. </w:t>
      </w:r>
      <w:r w:rsidR="00FE7976">
        <w:rPr>
          <w:sz w:val="22"/>
          <w:szCs w:val="22"/>
        </w:rPr>
        <w:t xml:space="preserve">Ostateczny zakres </w:t>
      </w:r>
      <w:r w:rsidR="00E75BE3">
        <w:rPr>
          <w:sz w:val="22"/>
          <w:szCs w:val="22"/>
        </w:rPr>
        <w:t>migrowanych danych oraz p</w:t>
      </w:r>
      <w:r w:rsidR="00C30E2D">
        <w:rPr>
          <w:sz w:val="22"/>
          <w:szCs w:val="22"/>
        </w:rPr>
        <w:t>oczątkowa data okresu</w:t>
      </w:r>
      <w:r w:rsidR="004E6CD8">
        <w:rPr>
          <w:sz w:val="22"/>
          <w:szCs w:val="22"/>
        </w:rPr>
        <w:t>, dla którego dane będą</w:t>
      </w:r>
      <w:r w:rsidR="00C30E2D">
        <w:rPr>
          <w:sz w:val="22"/>
          <w:szCs w:val="22"/>
        </w:rPr>
        <w:t xml:space="preserve"> migrowan</w:t>
      </w:r>
      <w:r w:rsidR="004E6CD8">
        <w:rPr>
          <w:sz w:val="22"/>
          <w:szCs w:val="22"/>
        </w:rPr>
        <w:t>e</w:t>
      </w:r>
      <w:r w:rsidR="00C30E2D">
        <w:rPr>
          <w:sz w:val="22"/>
          <w:szCs w:val="22"/>
        </w:rPr>
        <w:t xml:space="preserve"> </w:t>
      </w:r>
      <w:r w:rsidR="006F35C0">
        <w:rPr>
          <w:sz w:val="22"/>
          <w:szCs w:val="22"/>
        </w:rPr>
        <w:t xml:space="preserve">oraz </w:t>
      </w:r>
      <w:r w:rsidR="004E6CD8">
        <w:rPr>
          <w:sz w:val="22"/>
          <w:szCs w:val="22"/>
        </w:rPr>
        <w:t xml:space="preserve">początkowa data, od której dane będą </w:t>
      </w:r>
      <w:r w:rsidR="00D75284">
        <w:rPr>
          <w:sz w:val="22"/>
          <w:szCs w:val="22"/>
        </w:rPr>
        <w:t>dostępn</w:t>
      </w:r>
      <w:r w:rsidR="004E6CD8">
        <w:rPr>
          <w:sz w:val="22"/>
          <w:szCs w:val="22"/>
        </w:rPr>
        <w:t xml:space="preserve">e dla </w:t>
      </w:r>
      <w:r w:rsidR="00097726">
        <w:rPr>
          <w:sz w:val="22"/>
          <w:szCs w:val="22"/>
        </w:rPr>
        <w:t>użytkowników systemu iPFRON+</w:t>
      </w:r>
      <w:r w:rsidR="00E5106B">
        <w:rPr>
          <w:sz w:val="22"/>
          <w:szCs w:val="22"/>
        </w:rPr>
        <w:t>,</w:t>
      </w:r>
      <w:r w:rsidR="00097726">
        <w:rPr>
          <w:sz w:val="22"/>
          <w:szCs w:val="22"/>
        </w:rPr>
        <w:t xml:space="preserve"> </w:t>
      </w:r>
      <w:r w:rsidR="004169E7">
        <w:rPr>
          <w:sz w:val="22"/>
          <w:szCs w:val="22"/>
        </w:rPr>
        <w:t>zostan</w:t>
      </w:r>
      <w:r w:rsidR="004E6CD8">
        <w:rPr>
          <w:sz w:val="22"/>
          <w:szCs w:val="22"/>
        </w:rPr>
        <w:t>ą</w:t>
      </w:r>
      <w:r w:rsidR="004169E7">
        <w:rPr>
          <w:sz w:val="22"/>
          <w:szCs w:val="22"/>
        </w:rPr>
        <w:t xml:space="preserve"> ustalon</w:t>
      </w:r>
      <w:r w:rsidR="004E6CD8">
        <w:rPr>
          <w:sz w:val="22"/>
          <w:szCs w:val="22"/>
        </w:rPr>
        <w:t>e</w:t>
      </w:r>
      <w:r w:rsidR="004169E7">
        <w:rPr>
          <w:sz w:val="22"/>
          <w:szCs w:val="22"/>
        </w:rPr>
        <w:t xml:space="preserve"> </w:t>
      </w:r>
      <w:r w:rsidR="0047449B">
        <w:rPr>
          <w:sz w:val="22"/>
          <w:szCs w:val="22"/>
        </w:rPr>
        <w:t>na etapie analizy przedwdrożeniowej.</w:t>
      </w:r>
      <w:r w:rsidR="00896DE8">
        <w:rPr>
          <w:sz w:val="22"/>
          <w:szCs w:val="22"/>
        </w:rPr>
        <w:t xml:space="preserve"> Stosowna informacja została umieszczona </w:t>
      </w:r>
      <w:r w:rsidR="0056578F">
        <w:rPr>
          <w:sz w:val="22"/>
          <w:szCs w:val="22"/>
        </w:rPr>
        <w:t>w</w:t>
      </w:r>
      <w:r w:rsidR="0056578F" w:rsidRPr="0056578F">
        <w:rPr>
          <w:sz w:val="22"/>
          <w:szCs w:val="22"/>
        </w:rPr>
        <w:t xml:space="preserve"> liście systemów w pkt 7.1 w kolumnie „Krótki opis zmiany</w:t>
      </w:r>
      <w:r w:rsidR="0056578F">
        <w:rPr>
          <w:sz w:val="22"/>
          <w:szCs w:val="22"/>
        </w:rPr>
        <w:t>.</w:t>
      </w:r>
      <w:r w:rsidR="0056578F" w:rsidRPr="0056578F">
        <w:rPr>
          <w:sz w:val="22"/>
          <w:szCs w:val="22"/>
        </w:rPr>
        <w:t>..”</w:t>
      </w:r>
    </w:p>
    <w:p w14:paraId="4778E55E" w14:textId="77777777" w:rsidR="00697526" w:rsidRPr="0049755E" w:rsidRDefault="00697526" w:rsidP="00AD5389">
      <w:pPr>
        <w:contextualSpacing w:val="0"/>
        <w:rPr>
          <w:sz w:val="22"/>
          <w:szCs w:val="22"/>
        </w:rPr>
      </w:pPr>
    </w:p>
    <w:p w14:paraId="61522797" w14:textId="7A663E21" w:rsidR="009F405A" w:rsidRPr="009F405A" w:rsidRDefault="00BD15AE" w:rsidP="00AD5389">
      <w:pPr>
        <w:pStyle w:val="Heading2"/>
        <w:numPr>
          <w:ilvl w:val="0"/>
          <w:numId w:val="22"/>
        </w:numPr>
        <w:ind w:left="426" w:hanging="426"/>
      </w:pPr>
      <w:r w:rsidRPr="00BD15AE">
        <w:t>zrewidowanie listy produktów końcowych i skumulowanie produktów o podobnym charakterze</w:t>
      </w:r>
      <w:r w:rsidR="00FA6CEE">
        <w:t xml:space="preserve"> (pkt </w:t>
      </w:r>
      <w:r w:rsidR="006A795F">
        <w:t>2.4)</w:t>
      </w:r>
    </w:p>
    <w:p w14:paraId="67CB08CB" w14:textId="0EDCC720" w:rsidR="009F405A" w:rsidRDefault="00BD15AE" w:rsidP="00AD5389">
      <w:pPr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Produkty </w:t>
      </w:r>
      <w:r w:rsidR="00DE2010">
        <w:rPr>
          <w:sz w:val="22"/>
          <w:szCs w:val="22"/>
        </w:rPr>
        <w:t xml:space="preserve">projektu </w:t>
      </w:r>
      <w:r>
        <w:rPr>
          <w:sz w:val="22"/>
          <w:szCs w:val="22"/>
        </w:rPr>
        <w:t>zostały skumulowane i ułożone chronologicznie.</w:t>
      </w:r>
    </w:p>
    <w:p w14:paraId="188965CF" w14:textId="77777777" w:rsidR="00BD15AE" w:rsidRPr="0049755E" w:rsidRDefault="00BD15AE" w:rsidP="00AD5389">
      <w:pPr>
        <w:contextualSpacing w:val="0"/>
        <w:rPr>
          <w:sz w:val="22"/>
          <w:szCs w:val="22"/>
        </w:rPr>
      </w:pPr>
    </w:p>
    <w:p w14:paraId="5CF8BD3B" w14:textId="24087875" w:rsidR="00165245" w:rsidRPr="00B6132B" w:rsidRDefault="00165245" w:rsidP="00AD5389">
      <w:pPr>
        <w:pStyle w:val="Heading2"/>
        <w:numPr>
          <w:ilvl w:val="0"/>
          <w:numId w:val="22"/>
        </w:numPr>
        <w:ind w:left="426" w:hanging="426"/>
      </w:pPr>
      <w:r w:rsidRPr="00B6132B">
        <w:t>Wyjaśnienie pozycji kosztów „Oprogramowanie”</w:t>
      </w:r>
      <w:r w:rsidR="0048171D">
        <w:t xml:space="preserve"> (pk</w:t>
      </w:r>
      <w:r w:rsidR="003E1F9E">
        <w:t>t 4.2</w:t>
      </w:r>
      <w:r w:rsidR="007D7B76">
        <w:t>.</w:t>
      </w:r>
      <w:r w:rsidR="003E1F9E">
        <w:t>)</w:t>
      </w:r>
      <w:r w:rsidRPr="00B6132B">
        <w:t>:</w:t>
      </w:r>
    </w:p>
    <w:p w14:paraId="59AD93ED" w14:textId="1F16AE43" w:rsidR="00165245" w:rsidRPr="0049755E" w:rsidRDefault="00165245" w:rsidP="00AD5389">
      <w:pPr>
        <w:pStyle w:val="ListParagraph"/>
        <w:numPr>
          <w:ilvl w:val="0"/>
          <w:numId w:val="11"/>
        </w:numPr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System SODiR zostanie zbudowany w modelu zamówienia zewnętrznego.</w:t>
      </w:r>
      <w:r w:rsidR="00987228" w:rsidRPr="0049755E">
        <w:rPr>
          <w:sz w:val="22"/>
          <w:szCs w:val="22"/>
        </w:rPr>
        <w:t xml:space="preserve"> Stosowna informacja została dodana w OZPI w polu „Opis nazwy pozycji kosztowej”.</w:t>
      </w:r>
    </w:p>
    <w:p w14:paraId="4540A04F" w14:textId="2890135E" w:rsidR="00165245" w:rsidRDefault="004B76F2" w:rsidP="00AD5389">
      <w:pPr>
        <w:pStyle w:val="ListParagraph"/>
        <w:numPr>
          <w:ilvl w:val="0"/>
          <w:numId w:val="11"/>
        </w:numPr>
        <w:contextualSpacing w:val="0"/>
        <w:rPr>
          <w:sz w:val="22"/>
          <w:szCs w:val="22"/>
        </w:rPr>
      </w:pPr>
      <w:r>
        <w:rPr>
          <w:sz w:val="22"/>
          <w:szCs w:val="22"/>
        </w:rPr>
        <w:t>Użycie określenie</w:t>
      </w:r>
      <w:r w:rsidR="00987228" w:rsidRPr="0049755E">
        <w:rPr>
          <w:sz w:val="22"/>
          <w:szCs w:val="22"/>
        </w:rPr>
        <w:t xml:space="preserve"> „personel techniczny” </w:t>
      </w:r>
      <w:r w:rsidR="00100222">
        <w:rPr>
          <w:sz w:val="22"/>
          <w:szCs w:val="22"/>
        </w:rPr>
        <w:t>może wprowadzać w błąd</w:t>
      </w:r>
      <w:r w:rsidR="00755291">
        <w:rPr>
          <w:sz w:val="22"/>
          <w:szCs w:val="22"/>
        </w:rPr>
        <w:t>, poprzez wprowadzenie zbyt dużego skrótu myślowego</w:t>
      </w:r>
      <w:r w:rsidR="00766F81">
        <w:rPr>
          <w:sz w:val="22"/>
          <w:szCs w:val="22"/>
        </w:rPr>
        <w:t xml:space="preserve">. </w:t>
      </w:r>
      <w:r w:rsidR="00436EFC">
        <w:rPr>
          <w:sz w:val="22"/>
          <w:szCs w:val="22"/>
        </w:rPr>
        <w:t xml:space="preserve">Jest to pozostałość </w:t>
      </w:r>
      <w:r w:rsidR="003D1460">
        <w:rPr>
          <w:sz w:val="22"/>
          <w:szCs w:val="22"/>
        </w:rPr>
        <w:t xml:space="preserve">po </w:t>
      </w:r>
      <w:r w:rsidR="00B11DBE">
        <w:rPr>
          <w:sz w:val="22"/>
          <w:szCs w:val="22"/>
        </w:rPr>
        <w:t xml:space="preserve">nieostatecznej wersji </w:t>
      </w:r>
      <w:r w:rsidR="00BD63DA">
        <w:rPr>
          <w:sz w:val="22"/>
          <w:szCs w:val="22"/>
        </w:rPr>
        <w:t>dokumentu</w:t>
      </w:r>
      <w:r w:rsidR="00D17AFA">
        <w:rPr>
          <w:sz w:val="22"/>
          <w:szCs w:val="22"/>
        </w:rPr>
        <w:t xml:space="preserve">, który </w:t>
      </w:r>
      <w:r w:rsidR="00EA27B6">
        <w:rPr>
          <w:sz w:val="22"/>
          <w:szCs w:val="22"/>
        </w:rPr>
        <w:t xml:space="preserve">po dokonaniu </w:t>
      </w:r>
      <w:r w:rsidR="006F64B7">
        <w:rPr>
          <w:sz w:val="22"/>
          <w:szCs w:val="22"/>
        </w:rPr>
        <w:t>ostatecznych</w:t>
      </w:r>
      <w:r w:rsidR="00EA27B6">
        <w:rPr>
          <w:sz w:val="22"/>
          <w:szCs w:val="22"/>
        </w:rPr>
        <w:t xml:space="preserve"> </w:t>
      </w:r>
      <w:r w:rsidR="006F64B7">
        <w:rPr>
          <w:sz w:val="22"/>
          <w:szCs w:val="22"/>
        </w:rPr>
        <w:t>ustaleń należało z</w:t>
      </w:r>
      <w:r w:rsidR="00CB2089">
        <w:rPr>
          <w:sz w:val="22"/>
          <w:szCs w:val="22"/>
        </w:rPr>
        <w:t>modyfikować</w:t>
      </w:r>
      <w:r w:rsidR="00391CF0">
        <w:rPr>
          <w:sz w:val="22"/>
          <w:szCs w:val="22"/>
        </w:rPr>
        <w:t xml:space="preserve">. </w:t>
      </w:r>
      <w:r w:rsidR="002431B2">
        <w:rPr>
          <w:sz w:val="22"/>
          <w:szCs w:val="22"/>
        </w:rPr>
        <w:t>Wnioskodawca</w:t>
      </w:r>
      <w:r w:rsidR="00987228" w:rsidRPr="0049755E">
        <w:rPr>
          <w:sz w:val="22"/>
          <w:szCs w:val="22"/>
        </w:rPr>
        <w:t xml:space="preserve"> miał na myśli personel </w:t>
      </w:r>
      <w:r w:rsidR="00391CF0">
        <w:rPr>
          <w:sz w:val="22"/>
          <w:szCs w:val="22"/>
        </w:rPr>
        <w:t>projektu</w:t>
      </w:r>
      <w:r w:rsidR="001A2E41">
        <w:rPr>
          <w:sz w:val="22"/>
          <w:szCs w:val="22"/>
        </w:rPr>
        <w:t xml:space="preserve">, który poprzez </w:t>
      </w:r>
      <w:r w:rsidR="00BE0796">
        <w:rPr>
          <w:sz w:val="22"/>
          <w:szCs w:val="22"/>
        </w:rPr>
        <w:t xml:space="preserve">role pełnione w </w:t>
      </w:r>
      <w:r w:rsidR="00143A0B">
        <w:rPr>
          <w:sz w:val="22"/>
          <w:szCs w:val="22"/>
        </w:rPr>
        <w:t>projekcie</w:t>
      </w:r>
      <w:r w:rsidR="003365A0">
        <w:rPr>
          <w:sz w:val="22"/>
          <w:szCs w:val="22"/>
        </w:rPr>
        <w:t>,</w:t>
      </w:r>
      <w:r w:rsidR="00143A0B">
        <w:rPr>
          <w:sz w:val="22"/>
          <w:szCs w:val="22"/>
        </w:rPr>
        <w:t xml:space="preserve"> został przypisany do kategorii </w:t>
      </w:r>
      <w:r w:rsidR="003365A0">
        <w:rPr>
          <w:sz w:val="22"/>
          <w:szCs w:val="22"/>
        </w:rPr>
        <w:t xml:space="preserve">„Oprogramowanie”. </w:t>
      </w:r>
    </w:p>
    <w:p w14:paraId="4A78E8AE" w14:textId="0F6BEC75" w:rsidR="00713F67" w:rsidRDefault="00713F67" w:rsidP="00664321">
      <w:pPr>
        <w:pStyle w:val="ListParagraph"/>
        <w:numPr>
          <w:ilvl w:val="0"/>
          <w:numId w:val="0"/>
        </w:numPr>
        <w:shd w:val="clear" w:color="auto" w:fill="F2F2F2" w:themeFill="background1" w:themeFillShade="F2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Dokument OZPI </w:t>
      </w:r>
      <w:r w:rsidR="00DE00CC">
        <w:rPr>
          <w:sz w:val="22"/>
          <w:szCs w:val="22"/>
        </w:rPr>
        <w:t xml:space="preserve">został skonstruowany </w:t>
      </w:r>
      <w:r w:rsidR="0068101B">
        <w:rPr>
          <w:sz w:val="22"/>
          <w:szCs w:val="22"/>
        </w:rPr>
        <w:t xml:space="preserve">w taki sposób, że w pozycji </w:t>
      </w:r>
      <w:r w:rsidR="00F920BF">
        <w:rPr>
          <w:sz w:val="22"/>
          <w:szCs w:val="22"/>
        </w:rPr>
        <w:t>kosztowej „Koszty zarządzania i wsparcia</w:t>
      </w:r>
      <w:r w:rsidR="000E7C91">
        <w:rPr>
          <w:sz w:val="22"/>
          <w:szCs w:val="22"/>
        </w:rPr>
        <w:t xml:space="preserve">” </w:t>
      </w:r>
      <w:r w:rsidR="005D6EA8">
        <w:rPr>
          <w:sz w:val="22"/>
          <w:szCs w:val="22"/>
        </w:rPr>
        <w:t xml:space="preserve">można </w:t>
      </w:r>
      <w:r w:rsidR="00B56F6F">
        <w:rPr>
          <w:sz w:val="22"/>
          <w:szCs w:val="22"/>
        </w:rPr>
        <w:t xml:space="preserve">umieścić koszty </w:t>
      </w:r>
      <w:r w:rsidR="00AE268C">
        <w:rPr>
          <w:sz w:val="22"/>
          <w:szCs w:val="22"/>
        </w:rPr>
        <w:t xml:space="preserve">wynagrodzeń </w:t>
      </w:r>
      <w:r w:rsidR="005D6EA8">
        <w:rPr>
          <w:sz w:val="22"/>
          <w:szCs w:val="22"/>
        </w:rPr>
        <w:t xml:space="preserve">tylko </w:t>
      </w:r>
      <w:r w:rsidR="00B56F6F">
        <w:rPr>
          <w:sz w:val="22"/>
          <w:szCs w:val="22"/>
        </w:rPr>
        <w:t>personelu</w:t>
      </w:r>
      <w:r w:rsidR="005E2A41">
        <w:rPr>
          <w:sz w:val="22"/>
          <w:szCs w:val="22"/>
        </w:rPr>
        <w:t xml:space="preserve"> pełniącego role zarządcze i wspomagające</w:t>
      </w:r>
      <w:r w:rsidR="005E6309">
        <w:rPr>
          <w:sz w:val="22"/>
          <w:szCs w:val="22"/>
        </w:rPr>
        <w:t xml:space="preserve">. </w:t>
      </w:r>
      <w:r w:rsidR="00EF5499">
        <w:rPr>
          <w:sz w:val="22"/>
          <w:szCs w:val="22"/>
        </w:rPr>
        <w:t xml:space="preserve">Koszty wynagrodzeń </w:t>
      </w:r>
      <w:r w:rsidR="00AE268C">
        <w:rPr>
          <w:sz w:val="22"/>
          <w:szCs w:val="22"/>
        </w:rPr>
        <w:t xml:space="preserve">pozostałych </w:t>
      </w:r>
      <w:r w:rsidR="008929A5">
        <w:rPr>
          <w:sz w:val="22"/>
          <w:szCs w:val="22"/>
        </w:rPr>
        <w:t xml:space="preserve">członków personelu </w:t>
      </w:r>
      <w:r w:rsidR="00D97B89">
        <w:rPr>
          <w:sz w:val="22"/>
          <w:szCs w:val="22"/>
        </w:rPr>
        <w:t>oraz</w:t>
      </w:r>
      <w:r w:rsidR="007C0D2A">
        <w:rPr>
          <w:sz w:val="22"/>
          <w:szCs w:val="22"/>
        </w:rPr>
        <w:t xml:space="preserve"> koszty delegacji </w:t>
      </w:r>
      <w:r w:rsidR="008929A5">
        <w:rPr>
          <w:sz w:val="22"/>
          <w:szCs w:val="22"/>
        </w:rPr>
        <w:t xml:space="preserve">zostały więc </w:t>
      </w:r>
      <w:r w:rsidR="006262B3">
        <w:rPr>
          <w:sz w:val="22"/>
          <w:szCs w:val="22"/>
        </w:rPr>
        <w:t xml:space="preserve">przypisane do innych </w:t>
      </w:r>
      <w:r w:rsidR="00C50228">
        <w:rPr>
          <w:sz w:val="22"/>
          <w:szCs w:val="22"/>
        </w:rPr>
        <w:t>pozycji kosztowych</w:t>
      </w:r>
      <w:r w:rsidR="0057058F">
        <w:rPr>
          <w:sz w:val="22"/>
          <w:szCs w:val="22"/>
        </w:rPr>
        <w:t>, pop</w:t>
      </w:r>
      <w:r w:rsidR="005276C1">
        <w:rPr>
          <w:sz w:val="22"/>
          <w:szCs w:val="22"/>
        </w:rPr>
        <w:t>rzez pryzmat pełnionych ról</w:t>
      </w:r>
      <w:r w:rsidR="00937F47">
        <w:rPr>
          <w:sz w:val="22"/>
          <w:szCs w:val="22"/>
        </w:rPr>
        <w:t xml:space="preserve"> oraz </w:t>
      </w:r>
      <w:r w:rsidR="00D65A35">
        <w:rPr>
          <w:sz w:val="22"/>
          <w:szCs w:val="22"/>
        </w:rPr>
        <w:t>celu delegacji.</w:t>
      </w:r>
    </w:p>
    <w:p w14:paraId="1DE3DFF5" w14:textId="30522835" w:rsidR="00FB3005" w:rsidRPr="0049755E" w:rsidRDefault="00FB3005" w:rsidP="00664321">
      <w:pPr>
        <w:pStyle w:val="ListParagraph"/>
        <w:numPr>
          <w:ilvl w:val="0"/>
          <w:numId w:val="0"/>
        </w:numPr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Wykaz </w:t>
      </w:r>
      <w:r w:rsidR="00644772">
        <w:rPr>
          <w:sz w:val="22"/>
          <w:szCs w:val="22"/>
        </w:rPr>
        <w:t>członków zespołu projektowego</w:t>
      </w:r>
      <w:r>
        <w:rPr>
          <w:sz w:val="22"/>
          <w:szCs w:val="22"/>
        </w:rPr>
        <w:t xml:space="preserve"> przypisanych</w:t>
      </w:r>
      <w:r w:rsidR="005D6EA8">
        <w:rPr>
          <w:sz w:val="22"/>
          <w:szCs w:val="22"/>
        </w:rPr>
        <w:t xml:space="preserve"> do </w:t>
      </w:r>
      <w:r w:rsidR="00F94A16">
        <w:rPr>
          <w:sz w:val="22"/>
          <w:szCs w:val="22"/>
        </w:rPr>
        <w:t xml:space="preserve">kategorii </w:t>
      </w:r>
      <w:r w:rsidR="00644772">
        <w:rPr>
          <w:sz w:val="22"/>
          <w:szCs w:val="22"/>
        </w:rPr>
        <w:t>„Oprogramowanie”</w:t>
      </w:r>
      <w:r w:rsidR="000D25C1">
        <w:rPr>
          <w:sz w:val="22"/>
          <w:szCs w:val="22"/>
        </w:rPr>
        <w:t>:</w:t>
      </w:r>
    </w:p>
    <w:tbl>
      <w:tblPr>
        <w:tblW w:w="4974" w:type="pct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3309"/>
        <w:gridCol w:w="1843"/>
        <w:gridCol w:w="1700"/>
        <w:gridCol w:w="1650"/>
      </w:tblGrid>
      <w:tr w:rsidR="00987228" w:rsidRPr="0049755E" w14:paraId="0535D133" w14:textId="10623C43" w:rsidTr="00987228">
        <w:trPr>
          <w:trHeight w:val="592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CDFD155" w14:textId="77777777" w:rsidR="00987228" w:rsidRPr="00987228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116EA105" w14:textId="77777777" w:rsidR="00987228" w:rsidRPr="00987228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Stanowisko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C23E8F3" w14:textId="77777777" w:rsidR="00987228" w:rsidRPr="00987228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Zespół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3E740D7A" w14:textId="77777777" w:rsidR="00987228" w:rsidRPr="00987228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Maksymalna liczba etatów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</w:tcPr>
          <w:p w14:paraId="23AE8BD7" w14:textId="7765F9AC" w:rsidR="00987228" w:rsidRPr="0049755E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49755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Liczba osobomiesięcy</w:t>
            </w:r>
          </w:p>
        </w:tc>
      </w:tr>
      <w:tr w:rsidR="00987228" w:rsidRPr="0049755E" w14:paraId="06ABEAC9" w14:textId="7A37851A" w:rsidTr="00F706E8">
        <w:trPr>
          <w:trHeight w:val="25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736C3" w14:textId="77777777" w:rsidR="00987228" w:rsidRPr="00987228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CE19C" w14:textId="77777777" w:rsidR="00987228" w:rsidRPr="00987228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Koordynator pionu technicznego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7E06E" w14:textId="77777777" w:rsidR="00987228" w:rsidRPr="00987228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Pion techniczny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73367" w14:textId="77777777" w:rsidR="00987228" w:rsidRPr="00987228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3A05" w14:textId="4875347E" w:rsidR="00987228" w:rsidRPr="0049755E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49755E">
              <w:rPr>
                <w:sz w:val="22"/>
                <w:szCs w:val="22"/>
              </w:rPr>
              <w:t>36</w:t>
            </w:r>
          </w:p>
        </w:tc>
      </w:tr>
      <w:tr w:rsidR="00987228" w:rsidRPr="0049755E" w14:paraId="3137B805" w14:textId="2090AA29" w:rsidTr="00F706E8">
        <w:trPr>
          <w:trHeight w:val="361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AD7F2" w14:textId="77777777" w:rsidR="00987228" w:rsidRPr="00987228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B17DD" w14:textId="77777777" w:rsidR="00987228" w:rsidRPr="00987228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Ekspert ds. IT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F2E8F" w14:textId="77777777" w:rsidR="00987228" w:rsidRPr="00987228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Pion techniczny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419682" w14:textId="77777777" w:rsidR="00987228" w:rsidRPr="00987228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A04A" w14:textId="536B998B" w:rsidR="00987228" w:rsidRPr="0049755E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49755E">
              <w:rPr>
                <w:sz w:val="22"/>
                <w:szCs w:val="22"/>
              </w:rPr>
              <w:t>57</w:t>
            </w:r>
          </w:p>
        </w:tc>
      </w:tr>
      <w:tr w:rsidR="00987228" w:rsidRPr="0049755E" w14:paraId="679CE72F" w14:textId="72FE15F7" w:rsidTr="00F706E8">
        <w:trPr>
          <w:trHeight w:val="197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B5389" w14:textId="77777777" w:rsidR="00987228" w:rsidRPr="00987228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07FB0" w14:textId="77777777" w:rsidR="00987228" w:rsidRPr="00987228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Architekt systemów informatycznych/audytor kodu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8F89BD" w14:textId="77777777" w:rsidR="00987228" w:rsidRPr="00987228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Pion techniczny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75E64" w14:textId="77777777" w:rsidR="00987228" w:rsidRPr="00987228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91D4" w14:textId="61EE462E" w:rsidR="00987228" w:rsidRPr="0049755E" w:rsidRDefault="0098722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49755E">
              <w:rPr>
                <w:sz w:val="22"/>
                <w:szCs w:val="22"/>
              </w:rPr>
              <w:t>36</w:t>
            </w:r>
          </w:p>
        </w:tc>
      </w:tr>
      <w:tr w:rsidR="00891596" w:rsidRPr="0049755E" w14:paraId="7EAF6D31" w14:textId="6FF03779" w:rsidTr="0045680A">
        <w:trPr>
          <w:trHeight w:val="207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DF382" w14:textId="77777777" w:rsidR="00891596" w:rsidRPr="00987228" w:rsidRDefault="00891596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3783F" w14:textId="4B50B09F" w:rsidR="00891596" w:rsidRPr="00987228" w:rsidRDefault="00891596" w:rsidP="00AD5389">
            <w:pPr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Koordynator pionu merytorycznego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907AA" w14:textId="59E50D5C" w:rsidR="00891596" w:rsidRPr="00987228" w:rsidRDefault="00891596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Pion merytoryczny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41CF03" w14:textId="17456112" w:rsidR="00891596" w:rsidRPr="00987228" w:rsidRDefault="00891596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D0568" w14:textId="25A97BA4" w:rsidR="00891596" w:rsidRPr="00891596" w:rsidRDefault="00891596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891596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</w:tr>
      <w:tr w:rsidR="00891596" w:rsidRPr="0049755E" w14:paraId="443F6163" w14:textId="77777777" w:rsidTr="0045680A">
        <w:trPr>
          <w:trHeight w:val="207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8493C6" w14:textId="39F436AE" w:rsidR="00891596" w:rsidRPr="00987228" w:rsidRDefault="00891596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25FC95" w14:textId="5A9E9078" w:rsidR="00891596" w:rsidRDefault="00891596" w:rsidP="00AD5389">
            <w:pPr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054CC">
              <w:rPr>
                <w:rFonts w:ascii="Calibri" w:hAnsi="Calibri" w:cs="Calibri"/>
                <w:color w:val="000000"/>
                <w:sz w:val="22"/>
                <w:szCs w:val="22"/>
              </w:rPr>
              <w:t>Właściciel Produktu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5797F4" w14:textId="587B4BAF" w:rsidR="00891596" w:rsidRPr="00987228" w:rsidRDefault="00891596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Pion merytoryczny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6D2B7A" w14:textId="5BA9AA22" w:rsidR="00891596" w:rsidRPr="00987228" w:rsidRDefault="00891596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9DE3B" w14:textId="71F908DC" w:rsidR="00891596" w:rsidRPr="00891596" w:rsidRDefault="00891596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891596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</w:tr>
      <w:tr w:rsidR="00891596" w:rsidRPr="0049755E" w14:paraId="76B7C631" w14:textId="77777777" w:rsidTr="0045680A">
        <w:trPr>
          <w:trHeight w:val="207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901CA4" w14:textId="68E281C2" w:rsidR="00891596" w:rsidRPr="00987228" w:rsidRDefault="00891596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A7AEFF" w14:textId="65DF27DF" w:rsidR="00891596" w:rsidRPr="000054CC" w:rsidRDefault="00891596" w:rsidP="00AD5389">
            <w:pPr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40B1">
              <w:rPr>
                <w:rFonts w:ascii="Calibri" w:hAnsi="Calibri" w:cs="Calibri"/>
                <w:color w:val="000000"/>
                <w:sz w:val="22"/>
                <w:szCs w:val="22"/>
              </w:rPr>
              <w:t>Ekspert dziedzinowy obszaru merytorycznego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F14A4B" w14:textId="0D1356C3" w:rsidR="00891596" w:rsidRPr="00987228" w:rsidRDefault="00891596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Pion merytoryczny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BC2166" w14:textId="16F0B5D8" w:rsidR="00891596" w:rsidRPr="00987228" w:rsidRDefault="00891596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A0D2A" w14:textId="79D5C84B" w:rsidR="00891596" w:rsidRPr="00891596" w:rsidRDefault="00891596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891596">
              <w:rPr>
                <w:rFonts w:ascii="Calibri" w:hAnsi="Calibri" w:cs="Calibri"/>
                <w:color w:val="000000"/>
                <w:sz w:val="22"/>
                <w:szCs w:val="22"/>
              </w:rPr>
              <w:t>144</w:t>
            </w:r>
          </w:p>
        </w:tc>
      </w:tr>
    </w:tbl>
    <w:p w14:paraId="44A1688A" w14:textId="4A718CEF" w:rsidR="003260B3" w:rsidRPr="0049755E" w:rsidRDefault="003260B3" w:rsidP="00664321">
      <w:pPr>
        <w:pStyle w:val="ListParagraph"/>
        <w:numPr>
          <w:ilvl w:val="0"/>
          <w:numId w:val="0"/>
        </w:numPr>
        <w:spacing w:before="120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Stosowna informacja została dodana w OZPI w polu „Opis nazwy pozycji kosztowej”.</w:t>
      </w:r>
    </w:p>
    <w:p w14:paraId="2F924B93" w14:textId="77777777" w:rsidR="00F706E8" w:rsidRPr="0049755E" w:rsidRDefault="00F706E8" w:rsidP="00AD5389">
      <w:pPr>
        <w:pStyle w:val="ListParagraph"/>
        <w:numPr>
          <w:ilvl w:val="0"/>
          <w:numId w:val="0"/>
        </w:numPr>
        <w:ind w:left="720"/>
        <w:contextualSpacing w:val="0"/>
        <w:rPr>
          <w:sz w:val="22"/>
          <w:szCs w:val="22"/>
        </w:rPr>
      </w:pPr>
    </w:p>
    <w:p w14:paraId="750D29E5" w14:textId="2EE8621B" w:rsidR="00DA5703" w:rsidRPr="0049755E" w:rsidRDefault="00DA5703" w:rsidP="00AD5389">
      <w:pPr>
        <w:pStyle w:val="Heading2"/>
        <w:numPr>
          <w:ilvl w:val="0"/>
          <w:numId w:val="22"/>
        </w:numPr>
        <w:ind w:left="426" w:hanging="426"/>
      </w:pPr>
      <w:r w:rsidRPr="00B6132B">
        <w:t>Wyjaśnienie pozycji kosztów „Koszty UX i grafiki”</w:t>
      </w:r>
      <w:r w:rsidR="003E1F9E">
        <w:t xml:space="preserve"> (pkt 4.2</w:t>
      </w:r>
      <w:r w:rsidR="007D7B76">
        <w:t>.</w:t>
      </w:r>
      <w:r w:rsidR="003E1F9E">
        <w:t>)</w:t>
      </w:r>
      <w:r w:rsidRPr="00B6132B">
        <w:t>:</w:t>
      </w:r>
    </w:p>
    <w:p w14:paraId="704B349E" w14:textId="743A0CAB" w:rsidR="00DA5703" w:rsidRPr="0049755E" w:rsidRDefault="00BE0A39" w:rsidP="00AD5389">
      <w:pPr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Pozycja kosztowa obejmuje:</w:t>
      </w:r>
    </w:p>
    <w:p w14:paraId="443CAEBB" w14:textId="09AE597F" w:rsidR="00BE0A39" w:rsidRPr="0049755E" w:rsidRDefault="00BE0A39" w:rsidP="00AD5389">
      <w:pPr>
        <w:pStyle w:val="ListParagraph"/>
        <w:numPr>
          <w:ilvl w:val="0"/>
          <w:numId w:val="12"/>
        </w:numPr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Koszty audytów UX i WCAG,</w:t>
      </w:r>
    </w:p>
    <w:p w14:paraId="62B5D7D6" w14:textId="65AB8D04" w:rsidR="00BE0A39" w:rsidRPr="0049755E" w:rsidRDefault="00BE0A39" w:rsidP="00AD5389">
      <w:pPr>
        <w:pStyle w:val="ListParagraph"/>
        <w:numPr>
          <w:ilvl w:val="0"/>
          <w:numId w:val="12"/>
        </w:numPr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Usługa organizacji spotkań konsultacyjnych, w ramach których prowadzone będą badania UX z uczestnikami zespołów konsultacyjnych zrekrutowanych spośród użytkowników systemu</w:t>
      </w:r>
      <w:r w:rsidR="00BB5766" w:rsidRPr="0049755E">
        <w:rPr>
          <w:sz w:val="22"/>
          <w:szCs w:val="22"/>
        </w:rPr>
        <w:t>,</w:t>
      </w:r>
    </w:p>
    <w:p w14:paraId="459978B2" w14:textId="3284E096" w:rsidR="00D65A35" w:rsidRDefault="0093693B" w:rsidP="00AD5389">
      <w:pPr>
        <w:pStyle w:val="ListParagraph"/>
        <w:numPr>
          <w:ilvl w:val="0"/>
          <w:numId w:val="12"/>
        </w:numPr>
        <w:contextualSpacing w:val="0"/>
        <w:rPr>
          <w:color w:val="000000" w:themeColor="text1"/>
          <w:sz w:val="22"/>
          <w:szCs w:val="22"/>
        </w:rPr>
      </w:pPr>
      <w:r w:rsidRPr="0093693B">
        <w:rPr>
          <w:color w:val="000000" w:themeColor="text1"/>
          <w:sz w:val="22"/>
          <w:szCs w:val="22"/>
        </w:rPr>
        <w:t>Wynagrodzenia personelu zespołu przypisanego na podstawie pełnionej roli oraz delegacje: Ekspert ds. dostępności cyfrowej</w:t>
      </w:r>
      <w:r w:rsidR="00D65A35">
        <w:rPr>
          <w:color w:val="000000" w:themeColor="text1"/>
          <w:sz w:val="22"/>
          <w:szCs w:val="22"/>
        </w:rPr>
        <w:t>,</w:t>
      </w:r>
    </w:p>
    <w:p w14:paraId="1D899764" w14:textId="31EB5542" w:rsidR="00BB5766" w:rsidRDefault="00D65A35" w:rsidP="00AD5389">
      <w:pPr>
        <w:pStyle w:val="ListParagraph"/>
        <w:numPr>
          <w:ilvl w:val="0"/>
          <w:numId w:val="12"/>
        </w:numPr>
        <w:contextualSpacing w:val="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</w:t>
      </w:r>
      <w:r w:rsidR="007D035A" w:rsidRPr="00E95B84">
        <w:rPr>
          <w:color w:val="000000" w:themeColor="text1"/>
          <w:sz w:val="22"/>
          <w:szCs w:val="22"/>
        </w:rPr>
        <w:t>oszty delegacji</w:t>
      </w:r>
      <w:r w:rsidR="004F05CD">
        <w:rPr>
          <w:color w:val="000000" w:themeColor="text1"/>
          <w:sz w:val="22"/>
          <w:szCs w:val="22"/>
        </w:rPr>
        <w:t xml:space="preserve"> </w:t>
      </w:r>
      <w:r w:rsidR="000637ED">
        <w:rPr>
          <w:color w:val="000000" w:themeColor="text1"/>
          <w:sz w:val="22"/>
          <w:szCs w:val="22"/>
        </w:rPr>
        <w:t>członków zespołu projektowego uczestnicząceg</w:t>
      </w:r>
      <w:r w:rsidR="00693663">
        <w:rPr>
          <w:color w:val="000000" w:themeColor="text1"/>
          <w:sz w:val="22"/>
          <w:szCs w:val="22"/>
        </w:rPr>
        <w:t>o w spotkaniach konsultacyjnych</w:t>
      </w:r>
      <w:r w:rsidR="00305EC5" w:rsidRPr="00E95B84">
        <w:rPr>
          <w:color w:val="000000" w:themeColor="text1"/>
          <w:sz w:val="22"/>
          <w:szCs w:val="22"/>
        </w:rPr>
        <w:t>.</w:t>
      </w:r>
    </w:p>
    <w:p w14:paraId="1DDAF09B" w14:textId="47A30D7F" w:rsidR="00C76959" w:rsidRPr="00C76959" w:rsidRDefault="00C76959" w:rsidP="00AD5389">
      <w:pPr>
        <w:contextualSpacing w:val="0"/>
        <w:rPr>
          <w:color w:val="000000" w:themeColor="text1"/>
          <w:sz w:val="22"/>
          <w:szCs w:val="22"/>
        </w:rPr>
      </w:pPr>
      <w:r w:rsidRPr="00C76959">
        <w:rPr>
          <w:color w:val="000000" w:themeColor="text1"/>
          <w:sz w:val="22"/>
          <w:szCs w:val="22"/>
        </w:rPr>
        <w:t xml:space="preserve">Wykaz członków zespołu projektowego </w:t>
      </w:r>
      <w:bookmarkStart w:id="0" w:name="_Hlk190521554"/>
      <w:r w:rsidRPr="00C76959">
        <w:rPr>
          <w:color w:val="000000" w:themeColor="text1"/>
          <w:sz w:val="22"/>
          <w:szCs w:val="22"/>
        </w:rPr>
        <w:t>przypisanych do kategorii „</w:t>
      </w:r>
      <w:r>
        <w:rPr>
          <w:color w:val="000000" w:themeColor="text1"/>
          <w:sz w:val="22"/>
          <w:szCs w:val="22"/>
        </w:rPr>
        <w:t>Koszty UX i grafiki</w:t>
      </w:r>
      <w:r w:rsidRPr="00C76959">
        <w:rPr>
          <w:color w:val="000000" w:themeColor="text1"/>
          <w:sz w:val="22"/>
          <w:szCs w:val="22"/>
        </w:rPr>
        <w:t>”</w:t>
      </w:r>
      <w:bookmarkEnd w:id="0"/>
      <w:r w:rsidRPr="00C76959">
        <w:rPr>
          <w:color w:val="000000" w:themeColor="text1"/>
          <w:sz w:val="22"/>
          <w:szCs w:val="22"/>
        </w:rPr>
        <w:t>:</w:t>
      </w:r>
    </w:p>
    <w:tbl>
      <w:tblPr>
        <w:tblW w:w="4974" w:type="pct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3309"/>
        <w:gridCol w:w="1843"/>
        <w:gridCol w:w="1700"/>
        <w:gridCol w:w="1650"/>
      </w:tblGrid>
      <w:tr w:rsidR="00D90DFD" w:rsidRPr="0049755E" w14:paraId="41AD15CE" w14:textId="77777777" w:rsidTr="0045680A">
        <w:trPr>
          <w:trHeight w:val="592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3D29149E" w14:textId="77777777" w:rsidR="00D90DFD" w:rsidRPr="00987228" w:rsidRDefault="00D90DFD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C08C248" w14:textId="77777777" w:rsidR="00D90DFD" w:rsidRPr="00987228" w:rsidRDefault="00D90DFD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Stanowisko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27123440" w14:textId="77777777" w:rsidR="00D90DFD" w:rsidRPr="00987228" w:rsidRDefault="00D90DFD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Zespół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006B4AE7" w14:textId="77777777" w:rsidR="00D90DFD" w:rsidRPr="00987228" w:rsidRDefault="00D90DFD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Maksymalna liczba etatów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</w:tcPr>
          <w:p w14:paraId="2F25369E" w14:textId="77777777" w:rsidR="00D90DFD" w:rsidRPr="0049755E" w:rsidRDefault="00D90DFD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49755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Liczba osobomiesięcy</w:t>
            </w:r>
          </w:p>
        </w:tc>
      </w:tr>
      <w:tr w:rsidR="00D90DFD" w:rsidRPr="0049755E" w14:paraId="0242B7BC" w14:textId="77777777" w:rsidTr="0045680A">
        <w:trPr>
          <w:trHeight w:val="25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A4CFA" w14:textId="77777777" w:rsidR="00D90DFD" w:rsidRPr="00987228" w:rsidRDefault="00D90DFD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7D966" w14:textId="7ADFA981" w:rsidR="00D90DFD" w:rsidRPr="00987228" w:rsidRDefault="00E95B84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Ekspert ds. dostępności cyfrowej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C224D" w14:textId="77777777" w:rsidR="00D90DFD" w:rsidRPr="00987228" w:rsidRDefault="00D90DFD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Pion techniczny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CD4BE" w14:textId="5F100C72" w:rsidR="00D90DFD" w:rsidRPr="00987228" w:rsidRDefault="008211B4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0,5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3EAA" w14:textId="7D045D63" w:rsidR="00D90DFD" w:rsidRPr="0049755E" w:rsidRDefault="0049551A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14:paraId="2C0AE297" w14:textId="77777777" w:rsidR="00305EC5" w:rsidRDefault="00305EC5" w:rsidP="00AD5389">
      <w:pPr>
        <w:contextualSpacing w:val="0"/>
        <w:rPr>
          <w:color w:val="FF0000"/>
          <w:sz w:val="22"/>
          <w:szCs w:val="22"/>
        </w:rPr>
      </w:pPr>
    </w:p>
    <w:p w14:paraId="59E2BCD8" w14:textId="2B3D35DF" w:rsidR="00215E15" w:rsidRPr="005B493E" w:rsidRDefault="002F31A6" w:rsidP="00AD5389">
      <w:pPr>
        <w:contextualSpacing w:val="0"/>
        <w:rPr>
          <w:color w:val="000000" w:themeColor="text1"/>
          <w:sz w:val="22"/>
          <w:szCs w:val="22"/>
        </w:rPr>
      </w:pPr>
      <w:r w:rsidRPr="005B493E">
        <w:rPr>
          <w:color w:val="000000" w:themeColor="text1"/>
          <w:sz w:val="22"/>
          <w:szCs w:val="22"/>
        </w:rPr>
        <w:t xml:space="preserve">Wykaz </w:t>
      </w:r>
      <w:r w:rsidR="00F21A0D" w:rsidRPr="005B493E">
        <w:rPr>
          <w:color w:val="000000" w:themeColor="text1"/>
          <w:sz w:val="22"/>
          <w:szCs w:val="22"/>
        </w:rPr>
        <w:t>delegacji przypisanych do kategorii „Koszty UX i grafiki”</w:t>
      </w:r>
      <w:r w:rsidR="008C7A1D">
        <w:rPr>
          <w:color w:val="000000" w:themeColor="text1"/>
          <w:sz w:val="22"/>
          <w:szCs w:val="22"/>
        </w:rPr>
        <w:t>:</w:t>
      </w:r>
    </w:p>
    <w:tbl>
      <w:tblPr>
        <w:tblW w:w="5000" w:type="pct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5028"/>
        <w:gridCol w:w="1720"/>
        <w:gridCol w:w="960"/>
        <w:gridCol w:w="1364"/>
      </w:tblGrid>
      <w:tr w:rsidR="00215E15" w:rsidRPr="00215E15" w14:paraId="5DFE4716" w14:textId="77777777" w:rsidTr="00215E15">
        <w:trPr>
          <w:trHeight w:val="300"/>
        </w:trPr>
        <w:tc>
          <w:tcPr>
            <w:tcW w:w="276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D2A115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Założenia dla </w:t>
            </w:r>
            <w:r w:rsidRPr="00215E1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SPOTKAŃ KONSULTACYJNYCH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A7581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FA854B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D86742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15E15" w:rsidRPr="00215E15" w14:paraId="06573A97" w14:textId="77777777" w:rsidTr="00215E15">
        <w:trPr>
          <w:trHeight w:val="300"/>
        </w:trPr>
        <w:tc>
          <w:tcPr>
            <w:tcW w:w="276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9F759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liczba planowanych spotkań konsultacyjnych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9301CC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B8E1AC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B67946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15E15" w:rsidRPr="00215E15" w14:paraId="75D08EF6" w14:textId="77777777" w:rsidTr="00215E15">
        <w:trPr>
          <w:trHeight w:val="300"/>
        </w:trPr>
        <w:tc>
          <w:tcPr>
            <w:tcW w:w="276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6F6342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Liczba pracowników projektu na spotkaniu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3FC1DA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FCB119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22CAF2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15E15" w:rsidRPr="00215E15" w14:paraId="5D0703A1" w14:textId="77777777" w:rsidTr="00215E15">
        <w:trPr>
          <w:trHeight w:val="300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D0966AE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Kalkulacja spotkań: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CB51008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j.m.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934CF2F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liczba osób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9FD1477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liczba świadczeń</w:t>
            </w:r>
          </w:p>
        </w:tc>
      </w:tr>
      <w:tr w:rsidR="00215E15" w:rsidRPr="00215E15" w14:paraId="3C5CCAC6" w14:textId="77777777" w:rsidTr="00215E15">
        <w:trPr>
          <w:trHeight w:val="300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30EA1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średni koszt noclegów specjalistów z PFRON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519D7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spotkanie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D47EA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CAAAF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</w:tr>
      <w:tr w:rsidR="00215E15" w:rsidRPr="00215E15" w14:paraId="3B5A436C" w14:textId="77777777" w:rsidTr="00215E15">
        <w:trPr>
          <w:trHeight w:val="300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BE78B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koszt dojazdu na szkolenia specjalistów z PFRON (średnio 800 km)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4EA2A0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spotkanie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1B9E1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4B9D6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</w:tr>
      <w:tr w:rsidR="00215E15" w:rsidRPr="00215E15" w14:paraId="7BC1F24F" w14:textId="77777777" w:rsidTr="00215E15">
        <w:trPr>
          <w:trHeight w:val="300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969AB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diety za pełne wyżywienie - wliczone w koszty spotkania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77A04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spotkanie - 48 godzin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0F4CC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4C0E00" w14:textId="77777777" w:rsidR="00215E15" w:rsidRPr="00215E15" w:rsidRDefault="00215E15" w:rsidP="00AD538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215E1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0</w:t>
            </w:r>
          </w:p>
        </w:tc>
      </w:tr>
    </w:tbl>
    <w:p w14:paraId="03BC811D" w14:textId="77777777" w:rsidR="00A67853" w:rsidRPr="00A67853" w:rsidRDefault="00A67853" w:rsidP="00A67853">
      <w:pPr>
        <w:spacing w:before="120"/>
        <w:contextualSpacing w:val="0"/>
        <w:rPr>
          <w:sz w:val="22"/>
          <w:szCs w:val="22"/>
        </w:rPr>
      </w:pPr>
      <w:r w:rsidRPr="00A67853">
        <w:rPr>
          <w:sz w:val="22"/>
          <w:szCs w:val="22"/>
        </w:rPr>
        <w:t>Stosowna informacja została dodana w OZPI w polu „Opis nazwy pozycji kosztowej”.</w:t>
      </w:r>
    </w:p>
    <w:p w14:paraId="0A48823D" w14:textId="77777777" w:rsidR="00305EC5" w:rsidRPr="00305EC5" w:rsidRDefault="00305EC5" w:rsidP="00AD5389">
      <w:pPr>
        <w:contextualSpacing w:val="0"/>
        <w:rPr>
          <w:color w:val="FF0000"/>
          <w:sz w:val="22"/>
          <w:szCs w:val="22"/>
        </w:rPr>
      </w:pPr>
    </w:p>
    <w:p w14:paraId="03DFB4ED" w14:textId="6D0747B8" w:rsidR="008C7A1D" w:rsidRDefault="008C7A1D" w:rsidP="00AD5389">
      <w:pPr>
        <w:contextualSpacing w:val="0"/>
        <w:rPr>
          <w:sz w:val="22"/>
          <w:szCs w:val="22"/>
        </w:rPr>
      </w:pPr>
      <w:r>
        <w:rPr>
          <w:sz w:val="22"/>
          <w:szCs w:val="22"/>
        </w:rPr>
        <w:t>Uzasadnienie:</w:t>
      </w:r>
    </w:p>
    <w:p w14:paraId="7A4C4528" w14:textId="6FA8F7E2" w:rsidR="00DA5703" w:rsidRPr="0049755E" w:rsidRDefault="00DA5703" w:rsidP="00AD5389">
      <w:pPr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 xml:space="preserve">Usługi projektowane przez PFRON w dużej mierze są kierowane od osób o specjalnych wymaganiach dotyczących dostępności. Doświadczenia </w:t>
      </w:r>
      <w:r w:rsidR="002431B2">
        <w:rPr>
          <w:sz w:val="22"/>
          <w:szCs w:val="22"/>
        </w:rPr>
        <w:t>Wnioskodawc</w:t>
      </w:r>
      <w:r w:rsidRPr="0049755E">
        <w:rPr>
          <w:sz w:val="22"/>
          <w:szCs w:val="22"/>
        </w:rPr>
        <w:t xml:space="preserve">a w kontaktach z wykonawcami ujawniają duży deficyt kompetencji w zakresie tworzenia dostępnego oprogramowania. Stąd została podjęta decyzja o pozyskaniu zespołu testującego UX i WCAG niezależnego od zespołu wykonawcy i wyodrębnieniu tego zadania do osobnego postępowania zakupowego. Własny zespół testujący pozwala na zwiększenie rzetelności i obiektywizmu realizowanych prac co będzie miało wpływ na maksymalizowanie efektywności prowadzonych prac. Niezależnie od powyższego </w:t>
      </w:r>
      <w:r w:rsidR="002431B2">
        <w:rPr>
          <w:sz w:val="22"/>
          <w:szCs w:val="22"/>
        </w:rPr>
        <w:t>Wnioskodawca</w:t>
      </w:r>
      <w:r w:rsidRPr="0049755E">
        <w:rPr>
          <w:sz w:val="22"/>
          <w:szCs w:val="22"/>
        </w:rPr>
        <w:t xml:space="preserve"> zobowiąże wykonawcę Systemu do zapewnienia udziału w testach osób z niepełnosprawnością</w:t>
      </w:r>
      <w:r w:rsidR="00BE0A39" w:rsidRPr="0049755E">
        <w:rPr>
          <w:sz w:val="22"/>
          <w:szCs w:val="22"/>
        </w:rPr>
        <w:t>.</w:t>
      </w:r>
    </w:p>
    <w:p w14:paraId="589C3B0C" w14:textId="1C9B12B7" w:rsidR="00421F85" w:rsidRPr="0049755E" w:rsidRDefault="00654545" w:rsidP="00AD5389">
      <w:pPr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 xml:space="preserve">Informacja </w:t>
      </w:r>
      <w:r w:rsidR="0011332D" w:rsidRPr="0049755E">
        <w:rPr>
          <w:sz w:val="22"/>
          <w:szCs w:val="22"/>
        </w:rPr>
        <w:t xml:space="preserve">umieszczona w polu </w:t>
      </w:r>
      <w:r w:rsidR="00FB637A" w:rsidRPr="0049755E">
        <w:rPr>
          <w:sz w:val="22"/>
          <w:szCs w:val="22"/>
        </w:rPr>
        <w:t>„Opis nazwy pozycji kosztowej” została doprecyzowana poprzez w</w:t>
      </w:r>
      <w:r w:rsidR="00900ED1" w:rsidRPr="0049755E">
        <w:rPr>
          <w:sz w:val="22"/>
          <w:szCs w:val="22"/>
        </w:rPr>
        <w:t>yszczególnienie kosztów</w:t>
      </w:r>
      <w:r w:rsidR="00787250">
        <w:rPr>
          <w:sz w:val="22"/>
          <w:szCs w:val="22"/>
        </w:rPr>
        <w:t xml:space="preserve"> wynagrodzeń oraz </w:t>
      </w:r>
      <w:r w:rsidR="0017796D">
        <w:rPr>
          <w:sz w:val="22"/>
          <w:szCs w:val="22"/>
        </w:rPr>
        <w:t>delegacji</w:t>
      </w:r>
      <w:r w:rsidR="00900ED1" w:rsidRPr="0049755E">
        <w:rPr>
          <w:sz w:val="22"/>
          <w:szCs w:val="22"/>
        </w:rPr>
        <w:t xml:space="preserve">. Informacja umieszczona w polu </w:t>
      </w:r>
      <w:r w:rsidR="0011332D" w:rsidRPr="0049755E">
        <w:rPr>
          <w:sz w:val="22"/>
          <w:szCs w:val="22"/>
        </w:rPr>
        <w:t>„</w:t>
      </w:r>
      <w:r w:rsidR="006B2652" w:rsidRPr="0049755E">
        <w:rPr>
          <w:sz w:val="22"/>
          <w:szCs w:val="22"/>
        </w:rPr>
        <w:t xml:space="preserve">Uzasadnienie pozycji kosztowej (przeznaczenie)” </w:t>
      </w:r>
      <w:r w:rsidR="00900ED1" w:rsidRPr="0049755E">
        <w:rPr>
          <w:sz w:val="22"/>
          <w:szCs w:val="22"/>
        </w:rPr>
        <w:t>została skrócona do</w:t>
      </w:r>
      <w:r w:rsidR="00A66D4C" w:rsidRPr="0049755E">
        <w:rPr>
          <w:sz w:val="22"/>
          <w:szCs w:val="22"/>
        </w:rPr>
        <w:t xml:space="preserve"> meritum</w:t>
      </w:r>
      <w:r w:rsidR="00900ED1" w:rsidRPr="0049755E">
        <w:rPr>
          <w:sz w:val="22"/>
          <w:szCs w:val="22"/>
        </w:rPr>
        <w:t>: „</w:t>
      </w:r>
      <w:r w:rsidR="00A66D4C" w:rsidRPr="0049755E">
        <w:rPr>
          <w:sz w:val="22"/>
          <w:szCs w:val="22"/>
        </w:rPr>
        <w:t>Zapewnienie wysokiej użyteczności oraz maksymalnej dostępności cyfrowej interfejsów Systemu SODiR 3.0.”.</w:t>
      </w:r>
    </w:p>
    <w:p w14:paraId="64166C98" w14:textId="77777777" w:rsidR="00F706E8" w:rsidRPr="0049755E" w:rsidRDefault="00F706E8" w:rsidP="00AD5389">
      <w:pPr>
        <w:contextualSpacing w:val="0"/>
        <w:rPr>
          <w:sz w:val="22"/>
          <w:szCs w:val="22"/>
        </w:rPr>
      </w:pPr>
    </w:p>
    <w:p w14:paraId="0AA31E72" w14:textId="25AD3FF9" w:rsidR="00421F85" w:rsidRPr="0049755E" w:rsidRDefault="00900ED1" w:rsidP="00AD5389">
      <w:pPr>
        <w:pStyle w:val="Heading2"/>
        <w:numPr>
          <w:ilvl w:val="0"/>
          <w:numId w:val="22"/>
        </w:numPr>
        <w:ind w:left="426" w:hanging="426"/>
      </w:pPr>
      <w:r w:rsidRPr="00B6132B">
        <w:t xml:space="preserve"> </w:t>
      </w:r>
      <w:r w:rsidR="00421F85" w:rsidRPr="00B6132B">
        <w:t>Wyjaśnienie pozycji kosztów „Szkolenia”</w:t>
      </w:r>
      <w:r w:rsidR="00CE740A">
        <w:t xml:space="preserve"> (pkt 4.2</w:t>
      </w:r>
      <w:r w:rsidR="0079300E">
        <w:t>.</w:t>
      </w:r>
      <w:r w:rsidR="00CE740A">
        <w:t>)</w:t>
      </w:r>
      <w:r w:rsidR="00421F85" w:rsidRPr="00B6132B">
        <w:t>:</w:t>
      </w:r>
    </w:p>
    <w:p w14:paraId="72A0707F" w14:textId="1F8880CD" w:rsidR="00F706E8" w:rsidRPr="0049755E" w:rsidRDefault="00F706E8" w:rsidP="00AD5389">
      <w:pPr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 xml:space="preserve">Pozycja </w:t>
      </w:r>
      <w:r w:rsidR="003D23E3" w:rsidRPr="0049755E">
        <w:rPr>
          <w:sz w:val="22"/>
          <w:szCs w:val="22"/>
        </w:rPr>
        <w:t>„Szkolenia” obejmuje</w:t>
      </w:r>
      <w:r w:rsidR="000A4B93" w:rsidRPr="0049755E">
        <w:rPr>
          <w:sz w:val="22"/>
          <w:szCs w:val="22"/>
        </w:rPr>
        <w:t>:</w:t>
      </w:r>
    </w:p>
    <w:p w14:paraId="79316525" w14:textId="10DE5F6D" w:rsidR="000A4B93" w:rsidRPr="0049755E" w:rsidRDefault="006914D4" w:rsidP="00AD5389">
      <w:pPr>
        <w:pStyle w:val="ListParagraph"/>
        <w:numPr>
          <w:ilvl w:val="0"/>
          <w:numId w:val="16"/>
        </w:numPr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Koszty przeprowadzenia szkoleń stacjonarnych</w:t>
      </w:r>
      <w:r w:rsidR="001C6EC8">
        <w:rPr>
          <w:sz w:val="22"/>
          <w:szCs w:val="22"/>
        </w:rPr>
        <w:t>,</w:t>
      </w:r>
    </w:p>
    <w:p w14:paraId="0424C21C" w14:textId="3DFF8E79" w:rsidR="006914D4" w:rsidRPr="0049755E" w:rsidRDefault="006914D4" w:rsidP="00AD5389">
      <w:pPr>
        <w:pStyle w:val="ListParagraph"/>
        <w:numPr>
          <w:ilvl w:val="0"/>
          <w:numId w:val="16"/>
        </w:numPr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Koszty przeprowadzenia szkoleń online</w:t>
      </w:r>
      <w:r w:rsidR="001C6EC8">
        <w:rPr>
          <w:sz w:val="22"/>
          <w:szCs w:val="22"/>
        </w:rPr>
        <w:t>,</w:t>
      </w:r>
    </w:p>
    <w:p w14:paraId="66021334" w14:textId="10098270" w:rsidR="00296D60" w:rsidRPr="0049755E" w:rsidRDefault="00296D60" w:rsidP="00AD5389">
      <w:pPr>
        <w:pStyle w:val="ListParagraph"/>
        <w:numPr>
          <w:ilvl w:val="0"/>
          <w:numId w:val="16"/>
        </w:numPr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 xml:space="preserve">Koszty </w:t>
      </w:r>
      <w:r w:rsidR="009957B1" w:rsidRPr="0049755E">
        <w:rPr>
          <w:sz w:val="22"/>
          <w:szCs w:val="22"/>
        </w:rPr>
        <w:t>szkoleń e-learningowych</w:t>
      </w:r>
      <w:r w:rsidR="001C6EC8">
        <w:rPr>
          <w:sz w:val="22"/>
          <w:szCs w:val="22"/>
        </w:rPr>
        <w:t>,</w:t>
      </w:r>
    </w:p>
    <w:p w14:paraId="71166C9C" w14:textId="57DDCB4B" w:rsidR="006914D4" w:rsidRPr="005B72DE" w:rsidRDefault="0021325C" w:rsidP="00AD5389">
      <w:pPr>
        <w:pStyle w:val="ListParagraph"/>
        <w:numPr>
          <w:ilvl w:val="0"/>
          <w:numId w:val="16"/>
        </w:numPr>
        <w:contextualSpacing w:val="0"/>
        <w:rPr>
          <w:color w:val="000000" w:themeColor="text1"/>
          <w:sz w:val="22"/>
          <w:szCs w:val="22"/>
        </w:rPr>
      </w:pPr>
      <w:r w:rsidRPr="005B72DE">
        <w:rPr>
          <w:color w:val="000000" w:themeColor="text1"/>
          <w:sz w:val="22"/>
          <w:szCs w:val="22"/>
        </w:rPr>
        <w:t xml:space="preserve">Wynagrodzenia personelu zespołu przypisanego na podstawie pełnionej roli: Ekspert ds. </w:t>
      </w:r>
      <w:r w:rsidR="001C6EC8" w:rsidRPr="005B72DE">
        <w:rPr>
          <w:color w:val="000000" w:themeColor="text1"/>
          <w:sz w:val="22"/>
          <w:szCs w:val="22"/>
        </w:rPr>
        <w:t>edukacji i szkoleń,</w:t>
      </w:r>
    </w:p>
    <w:p w14:paraId="479E68A6" w14:textId="4574CBE0" w:rsidR="00B42C2E" w:rsidRDefault="001C6EC8" w:rsidP="00AD5389">
      <w:pPr>
        <w:pStyle w:val="ListParagraph"/>
        <w:numPr>
          <w:ilvl w:val="0"/>
          <w:numId w:val="16"/>
        </w:numPr>
        <w:contextualSpacing w:val="0"/>
        <w:rPr>
          <w:color w:val="000000" w:themeColor="text1"/>
          <w:sz w:val="22"/>
          <w:szCs w:val="22"/>
        </w:rPr>
      </w:pPr>
      <w:r w:rsidRPr="005B72DE">
        <w:rPr>
          <w:color w:val="000000" w:themeColor="text1"/>
          <w:sz w:val="22"/>
          <w:szCs w:val="22"/>
        </w:rPr>
        <w:t>Koszty delegacji członków zespołu projektowego uczestnicząc</w:t>
      </w:r>
      <w:r w:rsidR="005B72DE" w:rsidRPr="005B72DE">
        <w:rPr>
          <w:color w:val="000000" w:themeColor="text1"/>
          <w:sz w:val="22"/>
          <w:szCs w:val="22"/>
        </w:rPr>
        <w:t>ych</w:t>
      </w:r>
      <w:r w:rsidRPr="005B72DE">
        <w:rPr>
          <w:color w:val="000000" w:themeColor="text1"/>
          <w:sz w:val="22"/>
          <w:szCs w:val="22"/>
        </w:rPr>
        <w:t xml:space="preserve"> w </w:t>
      </w:r>
      <w:r w:rsidR="005B72DE" w:rsidRPr="005B72DE">
        <w:rPr>
          <w:color w:val="000000" w:themeColor="text1"/>
          <w:sz w:val="22"/>
          <w:szCs w:val="22"/>
        </w:rPr>
        <w:t>szkoleniach.</w:t>
      </w:r>
    </w:p>
    <w:p w14:paraId="1C91DF62" w14:textId="77777777" w:rsidR="002175DB" w:rsidRPr="005B72DE" w:rsidRDefault="002175DB" w:rsidP="00AD5389">
      <w:pPr>
        <w:pStyle w:val="ListParagraph"/>
        <w:numPr>
          <w:ilvl w:val="0"/>
          <w:numId w:val="0"/>
        </w:numPr>
        <w:ind w:left="720"/>
        <w:contextualSpacing w:val="0"/>
        <w:rPr>
          <w:color w:val="000000" w:themeColor="text1"/>
          <w:sz w:val="22"/>
          <w:szCs w:val="22"/>
        </w:rPr>
      </w:pPr>
    </w:p>
    <w:p w14:paraId="73640AC3" w14:textId="54BFBC12" w:rsidR="009957B1" w:rsidRPr="002C5417" w:rsidRDefault="009957B1" w:rsidP="00AD5389">
      <w:pPr>
        <w:contextualSpacing w:val="0"/>
        <w:rPr>
          <w:b/>
          <w:bCs/>
          <w:sz w:val="22"/>
          <w:szCs w:val="22"/>
        </w:rPr>
      </w:pPr>
      <w:r w:rsidRPr="002C5417">
        <w:rPr>
          <w:b/>
          <w:bCs/>
          <w:sz w:val="22"/>
          <w:szCs w:val="22"/>
        </w:rPr>
        <w:t xml:space="preserve">Ad. </w:t>
      </w:r>
      <w:r w:rsidR="0026078D" w:rsidRPr="002C5417">
        <w:rPr>
          <w:b/>
          <w:bCs/>
          <w:sz w:val="22"/>
          <w:szCs w:val="22"/>
        </w:rPr>
        <w:t>pkt 1</w:t>
      </w:r>
      <w:r w:rsidR="002175DB" w:rsidRPr="002C5417">
        <w:rPr>
          <w:b/>
          <w:bCs/>
          <w:sz w:val="22"/>
          <w:szCs w:val="22"/>
        </w:rPr>
        <w:t xml:space="preserve"> i 2</w:t>
      </w:r>
      <w:r w:rsidR="0026078D" w:rsidRPr="002C5417">
        <w:rPr>
          <w:b/>
          <w:bCs/>
          <w:sz w:val="22"/>
          <w:szCs w:val="22"/>
        </w:rPr>
        <w:t>.</w:t>
      </w:r>
      <w:r w:rsidR="00A010B5" w:rsidRPr="002C5417">
        <w:rPr>
          <w:b/>
          <w:bCs/>
          <w:sz w:val="22"/>
          <w:szCs w:val="22"/>
        </w:rPr>
        <w:t xml:space="preserve">: </w:t>
      </w:r>
      <w:r w:rsidRPr="002C5417">
        <w:rPr>
          <w:b/>
          <w:bCs/>
          <w:sz w:val="22"/>
          <w:szCs w:val="22"/>
        </w:rPr>
        <w:t>koszt</w:t>
      </w:r>
      <w:r w:rsidR="002175DB" w:rsidRPr="002C5417">
        <w:rPr>
          <w:b/>
          <w:bCs/>
          <w:sz w:val="22"/>
          <w:szCs w:val="22"/>
        </w:rPr>
        <w:t>y</w:t>
      </w:r>
      <w:r w:rsidRPr="002C5417">
        <w:rPr>
          <w:b/>
          <w:bCs/>
          <w:sz w:val="22"/>
          <w:szCs w:val="22"/>
        </w:rPr>
        <w:t xml:space="preserve"> szkoleń stacjonarnych</w:t>
      </w:r>
      <w:r w:rsidR="004E396D" w:rsidRPr="002C5417">
        <w:rPr>
          <w:b/>
          <w:bCs/>
          <w:sz w:val="22"/>
          <w:szCs w:val="22"/>
        </w:rPr>
        <w:t xml:space="preserve"> i online</w:t>
      </w:r>
    </w:p>
    <w:p w14:paraId="3DD7BB06" w14:textId="755C5CE1" w:rsidR="006A3F7D" w:rsidRPr="0049755E" w:rsidRDefault="006A3F7D" w:rsidP="00AD5389">
      <w:pPr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W Projekcie zaplanowano 18 szkoleń dla 560 użytkowników zewnętrznych oraz dodatkowe 3 szkolenia dla 50 pracowników PFRON – łącznie 610 uczestników. Szkolenia stacjonarne zaplanowano w większych miejscowościach na terenie całej Polski. Uzupełnieniem szkoleń stacjonarnych będzie 10 szkoleń online.</w:t>
      </w:r>
    </w:p>
    <w:p w14:paraId="182EAD00" w14:textId="77777777" w:rsidR="006A3F7D" w:rsidRPr="0049755E" w:rsidRDefault="006A3F7D" w:rsidP="00AD5389">
      <w:pPr>
        <w:contextualSpacing w:val="0"/>
        <w:rPr>
          <w:sz w:val="22"/>
          <w:szCs w:val="22"/>
        </w:rPr>
      </w:pPr>
      <w:bookmarkStart w:id="1" w:name="_Hlk147407812"/>
      <w:r w:rsidRPr="0049755E">
        <w:rPr>
          <w:sz w:val="22"/>
          <w:szCs w:val="22"/>
        </w:rPr>
        <w:t>Szkolenia będą prowadzone w okresie w okresie 14 tygodni: 12 tygodni szkoleń stacjonarnych i 2 tygodnia szkoleń online. W pierwszej kolejności przeszkoleni zostaną użytkownicy wewnętrzni z PFRON, co pozwoli dopracować przebieg szkoleń przed rozpoczęciem szkolenia użytkowników zewnętrznych. W każdym z 10 pierwszych tygodni odbędą się 2 dwudniowe szkolenia stacjonarne: jedno w dni poniedziałek – wtorek i drugie w czwartek – piątek. W ostatnich dwóch tygodniach szkoleń stacjonarnych zaplanowano po jednym szkoleniu w dniach poniedziałek wtorek. Dni czwartek-piątek stanowią bufor czasowy na wypadek komplikacji w poprzednich tygodniach. W tygodniach 13-14 odbędą się szkolenia online: po dwa jednocześnie każdego dnia.</w:t>
      </w:r>
    </w:p>
    <w:bookmarkEnd w:id="1"/>
    <w:p w14:paraId="51AF87FB" w14:textId="28D7F530" w:rsidR="006A3F7D" w:rsidRPr="0049755E" w:rsidRDefault="006A3F7D" w:rsidP="00AD5389">
      <w:pPr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Ze względu na zapewnienie dostępności szkoleń dla osób z niepełnosprawnościami w planowanych kosztach szkoleń uwzględnione zostały również stanowiska tłumacza PJM oraz osoby wspomagającej osoby z niepełnosprawnościami. Czas trwania szkolenia jest optymalny ze względu na zakres prezentowanej wiedzy teoretycznej jak i praktycznej. Dla uczestników szkolenia zaplanowano 2 bloki tematyczne po 1 na każdy dzień szkolenia. Z naszych wcześniejszych doświadczeń wynika, iż 2-dniowe szkolenie jest niezbędnym minimum, aby nabyć i utrwalić umiejętności związane z obsługą nowego systemu informatycznego przez jego użytkowników. Dla Edukatorów zaplanowano dodatkowo 2 bloki tematyczne po 1 na każdy dzień szkolenia, podczas którego oprócz mentorów prowadzących szkolenie włączą się również przedstawiciele wykonawcy systemu. Przedstawione we wniosku stawki za poszczególne elementy związane z obsługa szkoleń stacjonarnych odpowiadają wartościom rynkowym</w:t>
      </w:r>
      <w:r w:rsidR="005F55AE" w:rsidRPr="0049755E">
        <w:rPr>
          <w:sz w:val="22"/>
          <w:szCs w:val="22"/>
        </w:rPr>
        <w:t xml:space="preserve"> w 2024 r.</w:t>
      </w:r>
      <w:r w:rsidRPr="0049755E">
        <w:rPr>
          <w:sz w:val="22"/>
          <w:szCs w:val="22"/>
        </w:rPr>
        <w:t xml:space="preserve">: </w:t>
      </w:r>
    </w:p>
    <w:p w14:paraId="56007DC0" w14:textId="77777777" w:rsidR="006A3F7D" w:rsidRPr="0049755E" w:rsidRDefault="006A3F7D" w:rsidP="00AD5389">
      <w:pPr>
        <w:numPr>
          <w:ilvl w:val="0"/>
          <w:numId w:val="13"/>
        </w:numPr>
        <w:spacing w:line="259" w:lineRule="auto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 xml:space="preserve">Średni Koszt zakwaterowania (hotel dostosowany do potrzeb osób niepełnosprawnych) – 300,00 zł. Koszt został oszacowany na podstawie analizy ofert hoteli *** przedstawionych na ich własnych stronach internetowych. W przypadku wzrostu cen pokoi na etapie realizacji szkolenia różnicę </w:t>
      </w:r>
      <w:r w:rsidRPr="0049755E">
        <w:rPr>
          <w:sz w:val="22"/>
          <w:szCs w:val="22"/>
        </w:rPr>
        <w:br/>
        <w:t xml:space="preserve">w kosztach pokryje PFRON ze środków własnych. Zapewniając dostępność szkolenia dla osób z niepełnosprawnościami należy założyć potrzebę rezerwacji pokoi jednoosobowych w ilości ok 50 % wszystkich potrzebnych pokoi. Koszt śniadań, obiadów i przerw kawowych na osobę pierwszego dnia szkolenia – 627,30 zł. Powyższa kwota uwzględnia 1 obiad, 1 kolację oraz koszt przerw kawowych dla uczestników. </w:t>
      </w:r>
    </w:p>
    <w:p w14:paraId="6BE51939" w14:textId="77777777" w:rsidR="006A3F7D" w:rsidRPr="0049755E" w:rsidRDefault="006A3F7D" w:rsidP="00AD5389">
      <w:pPr>
        <w:ind w:left="851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 xml:space="preserve">Koszt śniadań, obiadów i przerw kawowych na osobę drugiego dnia szkolenia – 479,70 zł. Powyższa kwota uwzględnia 1 śniadanie, 1 obiad, oraz koszt przerw kawowych dla uczestników. </w:t>
      </w:r>
    </w:p>
    <w:p w14:paraId="4F057DD1" w14:textId="77777777" w:rsidR="006A3F7D" w:rsidRPr="0049755E" w:rsidRDefault="006A3F7D" w:rsidP="00AD5389">
      <w:pPr>
        <w:ind w:left="851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Ceny zostały oszacowane na podstawie dostępnych na stronach hoteli *** menu restauracji hotelowych i przykładowych, dostępnych ofert konferencyjnych.</w:t>
      </w:r>
    </w:p>
    <w:p w14:paraId="20B89A29" w14:textId="77777777" w:rsidR="006A3F7D" w:rsidRPr="0049755E" w:rsidRDefault="006A3F7D" w:rsidP="00AD5389">
      <w:pPr>
        <w:numPr>
          <w:ilvl w:val="4"/>
          <w:numId w:val="14"/>
        </w:numPr>
        <w:spacing w:line="259" w:lineRule="auto"/>
        <w:ind w:left="851" w:hanging="425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Koszt wynajęcia sali szkoleniowej – 6 150,00 zł. Podany koszt uwzględnia wynajęcie sali szkoleniowej z niezbędnym wyposażeniem multimedialnym oraz dostępem do Internetu na 1 dzień szkolenia. Pod uwagę wzięto sale szkoleniowe, które mogą pomieścić min. 25 uczestników w układzie szkolnym.</w:t>
      </w:r>
    </w:p>
    <w:p w14:paraId="64FEEB90" w14:textId="77777777" w:rsidR="006A3F7D" w:rsidRPr="0049755E" w:rsidRDefault="006A3F7D" w:rsidP="00AD5389">
      <w:pPr>
        <w:ind w:left="851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Uśredniony koszt oszacowano na podstawie dostępnych na stronach hoteli *** ofert wynajmu sali konferencyjnej.</w:t>
      </w:r>
    </w:p>
    <w:p w14:paraId="229FD6E5" w14:textId="77777777" w:rsidR="006A3F7D" w:rsidRPr="0049755E" w:rsidRDefault="006A3F7D" w:rsidP="00AD5389">
      <w:pPr>
        <w:numPr>
          <w:ilvl w:val="4"/>
          <w:numId w:val="14"/>
        </w:numPr>
        <w:spacing w:line="259" w:lineRule="auto"/>
        <w:ind w:left="851" w:hanging="425"/>
        <w:contextualSpacing w:val="0"/>
        <w:rPr>
          <w:sz w:val="22"/>
          <w:szCs w:val="22"/>
        </w:rPr>
      </w:pPr>
      <w:bookmarkStart w:id="2" w:name="_Hlk144900917"/>
      <w:r w:rsidRPr="0049755E">
        <w:rPr>
          <w:sz w:val="22"/>
          <w:szCs w:val="22"/>
        </w:rPr>
        <w:t>Stawka godzinowa trenera – 553,50 zł.</w:t>
      </w:r>
    </w:p>
    <w:p w14:paraId="6903D206" w14:textId="77777777" w:rsidR="006A3F7D" w:rsidRPr="0049755E" w:rsidRDefault="006A3F7D" w:rsidP="00AD5389">
      <w:pPr>
        <w:ind w:left="851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Stawkę godzinową oszacowano na podstawie dostępnych na stronach internetowych raportów płacowych (</w:t>
      </w:r>
      <w:proofErr w:type="spellStart"/>
      <w:r w:rsidRPr="0049755E">
        <w:rPr>
          <w:sz w:val="22"/>
          <w:szCs w:val="22"/>
        </w:rPr>
        <w:t>Sedlak&amp;Sedlak</w:t>
      </w:r>
      <w:proofErr w:type="spellEnd"/>
      <w:r w:rsidRPr="0049755E">
        <w:rPr>
          <w:sz w:val="22"/>
          <w:szCs w:val="22"/>
        </w:rPr>
        <w:t xml:space="preserve">, </w:t>
      </w:r>
      <w:proofErr w:type="spellStart"/>
      <w:r w:rsidRPr="0049755E">
        <w:rPr>
          <w:sz w:val="22"/>
          <w:szCs w:val="22"/>
        </w:rPr>
        <w:t>Hays</w:t>
      </w:r>
      <w:proofErr w:type="spellEnd"/>
      <w:r w:rsidRPr="0049755E">
        <w:rPr>
          <w:sz w:val="22"/>
          <w:szCs w:val="22"/>
        </w:rPr>
        <w:t>). Podany koszt uwzględnia koszty dojazdów trenera na miejsce szkolenia oraz koszt noclegu i wyżywienia.</w:t>
      </w:r>
    </w:p>
    <w:p w14:paraId="529D3148" w14:textId="77777777" w:rsidR="006A3F7D" w:rsidRPr="0049755E" w:rsidRDefault="006A3F7D" w:rsidP="00AD5389">
      <w:pPr>
        <w:numPr>
          <w:ilvl w:val="4"/>
          <w:numId w:val="14"/>
        </w:numPr>
        <w:spacing w:line="259" w:lineRule="auto"/>
        <w:ind w:left="851" w:hanging="425"/>
        <w:contextualSpacing w:val="0"/>
        <w:rPr>
          <w:sz w:val="22"/>
          <w:szCs w:val="22"/>
        </w:rPr>
      </w:pPr>
      <w:bookmarkStart w:id="3" w:name="_Hlk144901151"/>
      <w:bookmarkEnd w:id="2"/>
      <w:r w:rsidRPr="0049755E">
        <w:rPr>
          <w:sz w:val="22"/>
          <w:szCs w:val="22"/>
        </w:rPr>
        <w:t>Stawka godzinowa tłumacza PJM – 553,50 zł.</w:t>
      </w:r>
    </w:p>
    <w:p w14:paraId="73786FB8" w14:textId="77777777" w:rsidR="006A3F7D" w:rsidRPr="0049755E" w:rsidRDefault="006A3F7D" w:rsidP="00AD5389">
      <w:pPr>
        <w:ind w:left="851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Stawkę godzinową oszacowano na podstawie dostępnych na stronach internetowych raportów płacowych (</w:t>
      </w:r>
      <w:proofErr w:type="spellStart"/>
      <w:r w:rsidRPr="0049755E">
        <w:rPr>
          <w:sz w:val="22"/>
          <w:szCs w:val="22"/>
        </w:rPr>
        <w:t>Sedlak&amp;Sedlak</w:t>
      </w:r>
      <w:proofErr w:type="spellEnd"/>
      <w:r w:rsidRPr="0049755E">
        <w:rPr>
          <w:sz w:val="22"/>
          <w:szCs w:val="22"/>
        </w:rPr>
        <w:t xml:space="preserve">, </w:t>
      </w:r>
      <w:proofErr w:type="spellStart"/>
      <w:r w:rsidRPr="0049755E">
        <w:rPr>
          <w:sz w:val="22"/>
          <w:szCs w:val="22"/>
        </w:rPr>
        <w:t>Hays</w:t>
      </w:r>
      <w:proofErr w:type="spellEnd"/>
      <w:r w:rsidRPr="0049755E">
        <w:rPr>
          <w:sz w:val="22"/>
          <w:szCs w:val="22"/>
        </w:rPr>
        <w:t>). Podany koszt uwzględnia koszty dojazdów tłumacza na miejsce szkolenia oraz koszt noclegu i wyżywienia.</w:t>
      </w:r>
    </w:p>
    <w:p w14:paraId="6E62DA81" w14:textId="77777777" w:rsidR="006A3F7D" w:rsidRPr="0049755E" w:rsidRDefault="006A3F7D" w:rsidP="00AD5389">
      <w:pPr>
        <w:numPr>
          <w:ilvl w:val="4"/>
          <w:numId w:val="14"/>
        </w:numPr>
        <w:spacing w:line="259" w:lineRule="auto"/>
        <w:ind w:left="851" w:hanging="425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Stawka godzinowa tłumacza asystenta osoby niewidomej – 553,50 zł.</w:t>
      </w:r>
    </w:p>
    <w:p w14:paraId="61658005" w14:textId="77777777" w:rsidR="006A3F7D" w:rsidRPr="0049755E" w:rsidRDefault="006A3F7D" w:rsidP="00AD5389">
      <w:pPr>
        <w:ind w:left="851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Stawkę godzinową oszacowano na podstawie dostępnych na stronach internetowych raportów płacowych (</w:t>
      </w:r>
      <w:proofErr w:type="spellStart"/>
      <w:r w:rsidRPr="0049755E">
        <w:rPr>
          <w:sz w:val="22"/>
          <w:szCs w:val="22"/>
        </w:rPr>
        <w:t>Sedlak&amp;Sedlak</w:t>
      </w:r>
      <w:proofErr w:type="spellEnd"/>
      <w:r w:rsidRPr="0049755E">
        <w:rPr>
          <w:sz w:val="22"/>
          <w:szCs w:val="22"/>
        </w:rPr>
        <w:t xml:space="preserve">, </w:t>
      </w:r>
      <w:proofErr w:type="spellStart"/>
      <w:r w:rsidRPr="0049755E">
        <w:rPr>
          <w:sz w:val="22"/>
          <w:szCs w:val="22"/>
        </w:rPr>
        <w:t>Hays</w:t>
      </w:r>
      <w:proofErr w:type="spellEnd"/>
      <w:r w:rsidRPr="0049755E">
        <w:rPr>
          <w:sz w:val="22"/>
          <w:szCs w:val="22"/>
        </w:rPr>
        <w:t>). Podany koszt uwzględnia koszty dojazdów asystenta na miejsce szkolenia oraz koszt noclegu i wyżywienia.</w:t>
      </w:r>
      <w:bookmarkEnd w:id="3"/>
    </w:p>
    <w:p w14:paraId="0DED3515" w14:textId="77777777" w:rsidR="006A3F7D" w:rsidRPr="0049755E" w:rsidRDefault="006A3F7D" w:rsidP="00AD5389">
      <w:pPr>
        <w:numPr>
          <w:ilvl w:val="4"/>
          <w:numId w:val="14"/>
        </w:numPr>
        <w:spacing w:line="259" w:lineRule="auto"/>
        <w:ind w:left="851" w:hanging="425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Cena wynajmu komputerów na jeden dzień szkolenia (1 komputer na osobę) – 49,20 zł. W podaną cenę wliczono koszty dostarczenia komputerów do miejsca szkolenia oraz odbioru po jego zakończeniu.</w:t>
      </w:r>
    </w:p>
    <w:p w14:paraId="601A245E" w14:textId="77777777" w:rsidR="006A3F7D" w:rsidRPr="0049755E" w:rsidRDefault="006A3F7D" w:rsidP="00AD5389">
      <w:pPr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Przedstawione we wniosku stawki za poszczególne elementy związane z obsługą 45 szkoleń online odpowiadają wartościom rynkowym:</w:t>
      </w:r>
    </w:p>
    <w:p w14:paraId="65F21DC3" w14:textId="77777777" w:rsidR="006A3F7D" w:rsidRPr="0049755E" w:rsidRDefault="006A3F7D" w:rsidP="00AD5389">
      <w:pPr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 xml:space="preserve"> 1)  Stawka godzinowa trenera (szkolenie online) – 553,50 zł.</w:t>
      </w:r>
    </w:p>
    <w:p w14:paraId="146CA619" w14:textId="77777777" w:rsidR="006A3F7D" w:rsidRPr="0049755E" w:rsidRDefault="006A3F7D" w:rsidP="00AD5389">
      <w:pPr>
        <w:ind w:left="851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Stawkę godzinową oszacowano na podstawie dostępnych na stronach internetowych raportów płacowych (</w:t>
      </w:r>
      <w:proofErr w:type="spellStart"/>
      <w:r w:rsidRPr="0049755E">
        <w:rPr>
          <w:sz w:val="22"/>
          <w:szCs w:val="22"/>
        </w:rPr>
        <w:t>Sedlak&amp;Sedlak</w:t>
      </w:r>
      <w:proofErr w:type="spellEnd"/>
      <w:r w:rsidRPr="0049755E">
        <w:rPr>
          <w:sz w:val="22"/>
          <w:szCs w:val="22"/>
        </w:rPr>
        <w:t xml:space="preserve">, </w:t>
      </w:r>
      <w:proofErr w:type="spellStart"/>
      <w:r w:rsidRPr="0049755E">
        <w:rPr>
          <w:sz w:val="22"/>
          <w:szCs w:val="22"/>
        </w:rPr>
        <w:t>Hays</w:t>
      </w:r>
      <w:proofErr w:type="spellEnd"/>
      <w:r w:rsidRPr="0049755E">
        <w:rPr>
          <w:sz w:val="22"/>
          <w:szCs w:val="22"/>
        </w:rPr>
        <w:t xml:space="preserve">). </w:t>
      </w:r>
    </w:p>
    <w:p w14:paraId="272CC1E9" w14:textId="77777777" w:rsidR="006A3F7D" w:rsidRPr="0049755E" w:rsidRDefault="006A3F7D" w:rsidP="00AD5389">
      <w:pPr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 xml:space="preserve"> 2)  Stawka godzinowa tłumacza PJM – 553,50 zł.</w:t>
      </w:r>
    </w:p>
    <w:p w14:paraId="7B17BD4A" w14:textId="77777777" w:rsidR="006A3F7D" w:rsidRPr="0049755E" w:rsidRDefault="006A3F7D" w:rsidP="00AD5389">
      <w:pPr>
        <w:ind w:left="851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Stawkę godzinową oszacowano na podstawie dostępnych na stronach internetowych raportów płacowych (</w:t>
      </w:r>
      <w:proofErr w:type="spellStart"/>
      <w:r w:rsidRPr="0049755E">
        <w:rPr>
          <w:sz w:val="22"/>
          <w:szCs w:val="22"/>
        </w:rPr>
        <w:t>Sedlak&amp;Sedlak</w:t>
      </w:r>
      <w:proofErr w:type="spellEnd"/>
      <w:r w:rsidRPr="0049755E">
        <w:rPr>
          <w:sz w:val="22"/>
          <w:szCs w:val="22"/>
        </w:rPr>
        <w:t xml:space="preserve">, </w:t>
      </w:r>
      <w:proofErr w:type="spellStart"/>
      <w:r w:rsidRPr="0049755E">
        <w:rPr>
          <w:sz w:val="22"/>
          <w:szCs w:val="22"/>
        </w:rPr>
        <w:t>Hays</w:t>
      </w:r>
      <w:proofErr w:type="spellEnd"/>
      <w:r w:rsidRPr="0049755E">
        <w:rPr>
          <w:sz w:val="22"/>
          <w:szCs w:val="22"/>
        </w:rPr>
        <w:t xml:space="preserve">). </w:t>
      </w:r>
    </w:p>
    <w:p w14:paraId="4D08E728" w14:textId="77777777" w:rsidR="009957B1" w:rsidRPr="0049755E" w:rsidRDefault="009957B1" w:rsidP="00AD5389">
      <w:pPr>
        <w:contextualSpacing w:val="0"/>
        <w:rPr>
          <w:sz w:val="22"/>
          <w:szCs w:val="22"/>
        </w:rPr>
      </w:pPr>
    </w:p>
    <w:p w14:paraId="1238FF5A" w14:textId="77777777" w:rsidR="00F30A81" w:rsidRPr="0049755E" w:rsidRDefault="00F30A81" w:rsidP="00AD5389">
      <w:pPr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Koszt szkoleń stacjonarnych - założenia przyjęte w kalkulacji kosztów:</w:t>
      </w:r>
    </w:p>
    <w:p w14:paraId="2FA8D3C6" w14:textId="77777777" w:rsidR="00F30A81" w:rsidRPr="0049755E" w:rsidRDefault="00F30A81" w:rsidP="00AD5389">
      <w:pPr>
        <w:pStyle w:val="ListParagraph"/>
        <w:numPr>
          <w:ilvl w:val="0"/>
          <w:numId w:val="15"/>
        </w:numPr>
        <w:spacing w:line="259" w:lineRule="auto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liczba planowanych szkoleń stacjonarnych dla użytkowników zewnętrznych – 18,</w:t>
      </w:r>
    </w:p>
    <w:p w14:paraId="7AD10F9E" w14:textId="77777777" w:rsidR="00F30A81" w:rsidRPr="0049755E" w:rsidRDefault="00F30A81" w:rsidP="00AD5389">
      <w:pPr>
        <w:pStyle w:val="ListParagraph"/>
        <w:numPr>
          <w:ilvl w:val="0"/>
          <w:numId w:val="15"/>
        </w:numPr>
        <w:spacing w:line="259" w:lineRule="auto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liczba planowanych szkoleń stacjonarnych dla pracowników PFRON – 3,</w:t>
      </w:r>
    </w:p>
    <w:p w14:paraId="4151258C" w14:textId="77777777" w:rsidR="00F30A81" w:rsidRPr="0049755E" w:rsidRDefault="00F30A81" w:rsidP="00AD5389">
      <w:pPr>
        <w:pStyle w:val="ListParagraph"/>
        <w:numPr>
          <w:ilvl w:val="0"/>
          <w:numId w:val="15"/>
        </w:numPr>
        <w:spacing w:line="259" w:lineRule="auto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liczba uczestników szkoleń – 360,</w:t>
      </w:r>
    </w:p>
    <w:p w14:paraId="611A3D28" w14:textId="77777777" w:rsidR="00F30A81" w:rsidRPr="0049755E" w:rsidRDefault="00F30A81" w:rsidP="00AD5389">
      <w:pPr>
        <w:pStyle w:val="ListParagraph"/>
        <w:numPr>
          <w:ilvl w:val="0"/>
          <w:numId w:val="15"/>
        </w:numPr>
        <w:spacing w:line="259" w:lineRule="auto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liczba uczestników szkoleń z PFRON – 50.</w:t>
      </w:r>
    </w:p>
    <w:p w14:paraId="46A90471" w14:textId="77777777" w:rsidR="00F30A81" w:rsidRPr="0049755E" w:rsidRDefault="00F30A81" w:rsidP="00AD5389">
      <w:pPr>
        <w:contextualSpacing w:val="0"/>
        <w:rPr>
          <w:sz w:val="22"/>
          <w:szCs w:val="22"/>
        </w:rPr>
      </w:pPr>
      <w:r w:rsidRPr="0049755E">
        <w:rPr>
          <w:noProof/>
          <w:sz w:val="22"/>
          <w:szCs w:val="22"/>
        </w:rPr>
        <w:drawing>
          <wp:inline distT="0" distB="0" distL="0" distR="0" wp14:anchorId="5D1C45E1" wp14:editId="20B1B8FC">
            <wp:extent cx="6120130" cy="1586230"/>
            <wp:effectExtent l="0" t="0" r="0" b="0"/>
            <wp:docPr id="86951751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8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4CAE8" w14:textId="77777777" w:rsidR="006960AB" w:rsidRPr="0049755E" w:rsidRDefault="006960AB" w:rsidP="00AD5389">
      <w:pPr>
        <w:contextualSpacing w:val="0"/>
        <w:rPr>
          <w:sz w:val="22"/>
          <w:szCs w:val="22"/>
        </w:rPr>
      </w:pPr>
    </w:p>
    <w:p w14:paraId="0C63CAFA" w14:textId="1618E885" w:rsidR="009334BF" w:rsidRPr="0049755E" w:rsidRDefault="009334BF" w:rsidP="00AD5389">
      <w:pPr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Koszt szkoleń online - założenia przyjęte w kalkulacji kosztów:</w:t>
      </w:r>
    </w:p>
    <w:p w14:paraId="6B6E882C" w14:textId="77777777" w:rsidR="009334BF" w:rsidRPr="0049755E" w:rsidRDefault="009334BF" w:rsidP="00AD5389">
      <w:pPr>
        <w:pStyle w:val="ListParagraph"/>
        <w:numPr>
          <w:ilvl w:val="0"/>
          <w:numId w:val="15"/>
        </w:numPr>
        <w:spacing w:line="259" w:lineRule="auto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liczba planowanych szkoleń online - 10,</w:t>
      </w:r>
    </w:p>
    <w:p w14:paraId="0A6AF866" w14:textId="77777777" w:rsidR="009334BF" w:rsidRPr="0049755E" w:rsidRDefault="009334BF" w:rsidP="00AD5389">
      <w:pPr>
        <w:pStyle w:val="ListParagraph"/>
        <w:numPr>
          <w:ilvl w:val="0"/>
          <w:numId w:val="15"/>
        </w:numPr>
        <w:spacing w:line="259" w:lineRule="auto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liczba szkoleń z udziałem PJM – 4,</w:t>
      </w:r>
    </w:p>
    <w:p w14:paraId="44C810A2" w14:textId="77777777" w:rsidR="009334BF" w:rsidRPr="0049755E" w:rsidRDefault="009334BF" w:rsidP="00AD5389">
      <w:pPr>
        <w:pStyle w:val="ListParagraph"/>
        <w:numPr>
          <w:ilvl w:val="0"/>
          <w:numId w:val="15"/>
        </w:numPr>
        <w:spacing w:line="259" w:lineRule="auto"/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>liczba uczestników szkoleń - 200.</w:t>
      </w:r>
    </w:p>
    <w:p w14:paraId="4A32FDCE" w14:textId="77777777" w:rsidR="009334BF" w:rsidRPr="0049755E" w:rsidRDefault="009334BF" w:rsidP="00AD5389">
      <w:pPr>
        <w:contextualSpacing w:val="0"/>
        <w:rPr>
          <w:sz w:val="22"/>
          <w:szCs w:val="22"/>
        </w:rPr>
      </w:pPr>
      <w:r w:rsidRPr="0049755E">
        <w:rPr>
          <w:noProof/>
          <w:sz w:val="22"/>
          <w:szCs w:val="22"/>
        </w:rPr>
        <w:drawing>
          <wp:inline distT="0" distB="0" distL="0" distR="0" wp14:anchorId="213F9158" wp14:editId="1EB797B7">
            <wp:extent cx="6120130" cy="817880"/>
            <wp:effectExtent l="0" t="0" r="0" b="1270"/>
            <wp:docPr id="143667730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6B81" w14:textId="1D5F53DF" w:rsidR="004E396D" w:rsidRPr="002C5417" w:rsidRDefault="004E396D" w:rsidP="00AD5389">
      <w:pPr>
        <w:contextualSpacing w:val="0"/>
        <w:rPr>
          <w:b/>
          <w:bCs/>
          <w:sz w:val="22"/>
          <w:szCs w:val="22"/>
        </w:rPr>
      </w:pPr>
      <w:r w:rsidRPr="002C5417">
        <w:rPr>
          <w:b/>
          <w:bCs/>
          <w:sz w:val="22"/>
          <w:szCs w:val="22"/>
        </w:rPr>
        <w:t>Ad.</w:t>
      </w:r>
      <w:r w:rsidR="002175DB" w:rsidRPr="002C5417">
        <w:rPr>
          <w:b/>
          <w:bCs/>
          <w:sz w:val="22"/>
          <w:szCs w:val="22"/>
        </w:rPr>
        <w:t xml:space="preserve"> pkt 3</w:t>
      </w:r>
      <w:r w:rsidR="002077E7" w:rsidRPr="002C5417">
        <w:rPr>
          <w:b/>
          <w:bCs/>
          <w:sz w:val="22"/>
          <w:szCs w:val="22"/>
        </w:rPr>
        <w:t>.:</w:t>
      </w:r>
      <w:r w:rsidRPr="002C5417">
        <w:rPr>
          <w:b/>
          <w:bCs/>
          <w:sz w:val="22"/>
          <w:szCs w:val="22"/>
        </w:rPr>
        <w:t xml:space="preserve"> koszt</w:t>
      </w:r>
      <w:r w:rsidR="002077E7" w:rsidRPr="002C5417">
        <w:rPr>
          <w:b/>
          <w:bCs/>
          <w:sz w:val="22"/>
          <w:szCs w:val="22"/>
        </w:rPr>
        <w:t>y</w:t>
      </w:r>
      <w:r w:rsidRPr="002C5417">
        <w:rPr>
          <w:b/>
          <w:bCs/>
          <w:sz w:val="22"/>
          <w:szCs w:val="22"/>
        </w:rPr>
        <w:t xml:space="preserve"> szkoleń e-learningowych</w:t>
      </w:r>
    </w:p>
    <w:p w14:paraId="359D468C" w14:textId="62765D1C" w:rsidR="005F55AE" w:rsidRDefault="00F75C59" w:rsidP="00AD5389">
      <w:pPr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PFRON dysponuje </w:t>
      </w:r>
      <w:r w:rsidR="00AA6A1A">
        <w:rPr>
          <w:sz w:val="22"/>
          <w:szCs w:val="22"/>
        </w:rPr>
        <w:t>platformą e-learningową</w:t>
      </w:r>
      <w:r w:rsidR="00FE3840">
        <w:rPr>
          <w:sz w:val="22"/>
          <w:szCs w:val="22"/>
        </w:rPr>
        <w:t>, na której zostanie umieszczona</w:t>
      </w:r>
      <w:r w:rsidR="00880676" w:rsidRPr="0049755E">
        <w:rPr>
          <w:sz w:val="22"/>
          <w:szCs w:val="22"/>
        </w:rPr>
        <w:t xml:space="preserve"> treść szkoleń e-learningowych</w:t>
      </w:r>
      <w:r w:rsidR="00FE3840">
        <w:rPr>
          <w:sz w:val="22"/>
          <w:szCs w:val="22"/>
        </w:rPr>
        <w:t>.</w:t>
      </w:r>
      <w:r w:rsidR="00880676" w:rsidRPr="0049755E">
        <w:rPr>
          <w:sz w:val="22"/>
          <w:szCs w:val="22"/>
        </w:rPr>
        <w:t xml:space="preserve"> </w:t>
      </w:r>
      <w:r w:rsidR="00FE3840">
        <w:rPr>
          <w:sz w:val="22"/>
          <w:szCs w:val="22"/>
        </w:rPr>
        <w:t>D</w:t>
      </w:r>
      <w:r w:rsidR="00FE3840" w:rsidRPr="0049755E">
        <w:rPr>
          <w:sz w:val="22"/>
          <w:szCs w:val="22"/>
        </w:rPr>
        <w:t>o</w:t>
      </w:r>
      <w:r w:rsidR="00880676" w:rsidRPr="0049755E">
        <w:rPr>
          <w:sz w:val="22"/>
          <w:szCs w:val="22"/>
        </w:rPr>
        <w:t xml:space="preserve"> realizacji </w:t>
      </w:r>
      <w:r w:rsidR="00FE3840">
        <w:rPr>
          <w:sz w:val="22"/>
          <w:szCs w:val="22"/>
        </w:rPr>
        <w:t>p</w:t>
      </w:r>
      <w:r w:rsidR="00880676" w:rsidRPr="0049755E">
        <w:rPr>
          <w:sz w:val="22"/>
          <w:szCs w:val="22"/>
        </w:rPr>
        <w:t>rzewidziano 1200 unikatowych ekranów e-learningu. Zaplanowany budżet na przygotowanie i wdrożenie szkolenia e-learning na platformę szkoleniową został oszacowany na podstawie szacowania dokonanego na potrzeby studium wykonalności jeszcze w 2023 r.</w:t>
      </w:r>
      <w:r w:rsidR="00C77E8D" w:rsidRPr="00C77E8D">
        <w:t xml:space="preserve"> </w:t>
      </w:r>
      <w:r w:rsidR="00C77E8D" w:rsidRPr="00C77E8D">
        <w:rPr>
          <w:sz w:val="22"/>
          <w:szCs w:val="22"/>
        </w:rPr>
        <w:t>Przyjęcie na potrzeby wyliczenia kosztów stawek z 2023 r. stanowi potwierdzenie, że stawki nie są zawyżone.</w:t>
      </w:r>
    </w:p>
    <w:p w14:paraId="639501DF" w14:textId="77777777" w:rsidR="00AD5389" w:rsidRDefault="00AD5389" w:rsidP="00AD5389">
      <w:pPr>
        <w:contextualSpacing w:val="0"/>
        <w:rPr>
          <w:sz w:val="22"/>
          <w:szCs w:val="22"/>
        </w:rPr>
      </w:pPr>
    </w:p>
    <w:p w14:paraId="18EC3DBB" w14:textId="408B811D" w:rsidR="004A6008" w:rsidRPr="002C5417" w:rsidRDefault="00AD5389" w:rsidP="00AD5389">
      <w:pPr>
        <w:contextualSpacing w:val="0"/>
        <w:rPr>
          <w:b/>
          <w:bCs/>
          <w:sz w:val="22"/>
          <w:szCs w:val="22"/>
        </w:rPr>
      </w:pPr>
      <w:r w:rsidRPr="002C5417">
        <w:rPr>
          <w:b/>
          <w:bCs/>
          <w:sz w:val="22"/>
          <w:szCs w:val="22"/>
        </w:rPr>
        <w:t>Ad. pkt 4.: Wynagrodzenia personelu zespołu przypisanego na podstawie pełnionej roli: Ekspert ds. edukacji i szkoleń</w:t>
      </w:r>
    </w:p>
    <w:p w14:paraId="365FEE50" w14:textId="36E49E4D" w:rsidR="00AD5389" w:rsidRPr="00C76959" w:rsidRDefault="00AD5389" w:rsidP="00AD5389">
      <w:pPr>
        <w:contextualSpacing w:val="0"/>
        <w:rPr>
          <w:color w:val="000000" w:themeColor="text1"/>
          <w:sz w:val="22"/>
          <w:szCs w:val="22"/>
        </w:rPr>
      </w:pPr>
      <w:r w:rsidRPr="00C76959">
        <w:rPr>
          <w:color w:val="000000" w:themeColor="text1"/>
          <w:sz w:val="22"/>
          <w:szCs w:val="22"/>
        </w:rPr>
        <w:t>Wykaz członków zespołu projektowego przypisanych do kategorii „</w:t>
      </w:r>
      <w:r w:rsidR="00CD3161">
        <w:rPr>
          <w:color w:val="000000" w:themeColor="text1"/>
          <w:sz w:val="22"/>
          <w:szCs w:val="22"/>
        </w:rPr>
        <w:t>Szkolenia</w:t>
      </w:r>
      <w:r w:rsidRPr="00C76959">
        <w:rPr>
          <w:color w:val="000000" w:themeColor="text1"/>
          <w:sz w:val="22"/>
          <w:szCs w:val="22"/>
        </w:rPr>
        <w:t>”:</w:t>
      </w:r>
    </w:p>
    <w:tbl>
      <w:tblPr>
        <w:tblW w:w="4974" w:type="pct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2742"/>
        <w:gridCol w:w="2975"/>
        <w:gridCol w:w="1275"/>
        <w:gridCol w:w="1507"/>
      </w:tblGrid>
      <w:tr w:rsidR="00F966F7" w:rsidRPr="0049755E" w14:paraId="001EB48C" w14:textId="77777777" w:rsidTr="00F966F7">
        <w:trPr>
          <w:trHeight w:val="592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194631EE" w14:textId="77777777" w:rsidR="00AD5389" w:rsidRPr="00987228" w:rsidRDefault="00AD5389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34F63A26" w14:textId="77777777" w:rsidR="00AD5389" w:rsidRPr="00987228" w:rsidRDefault="00AD5389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Stanowisko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521909B" w14:textId="77777777" w:rsidR="00AD5389" w:rsidRPr="00987228" w:rsidRDefault="00AD5389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Zespół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53B56B1D" w14:textId="77777777" w:rsidR="00AD5389" w:rsidRPr="00987228" w:rsidRDefault="00AD5389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Maksymalna liczba etatów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</w:tcPr>
          <w:p w14:paraId="71DB2B72" w14:textId="77777777" w:rsidR="00AD5389" w:rsidRPr="0049755E" w:rsidRDefault="00AD5389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49755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Liczba osobomiesięcy</w:t>
            </w:r>
          </w:p>
        </w:tc>
      </w:tr>
      <w:tr w:rsidR="00F966F7" w:rsidRPr="0049755E" w14:paraId="7212506E" w14:textId="77777777" w:rsidTr="00F966F7">
        <w:trPr>
          <w:trHeight w:val="25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1035A" w14:textId="77777777" w:rsidR="00AD5389" w:rsidRPr="00987228" w:rsidRDefault="00AD5389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A58C9" w14:textId="3EA4B1C7" w:rsidR="00AD5389" w:rsidRPr="00987228" w:rsidRDefault="00AD5389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Ekspert ds. </w:t>
            </w:r>
            <w:r w:rsidR="009331D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edukacji i szkoleń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CC4A6" w14:textId="2FE1364F" w:rsidR="00AD5389" w:rsidRPr="00987228" w:rsidRDefault="009331D8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Zespół ds. promocji i informacji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105E6" w14:textId="10B3F4E3" w:rsidR="00AD5389" w:rsidRPr="00987228" w:rsidRDefault="00C3738D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2131" w14:textId="1D6EE0CD" w:rsidR="00AD5389" w:rsidRPr="0049755E" w:rsidRDefault="00C3738D" w:rsidP="00AD5389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>44</w:t>
            </w:r>
          </w:p>
        </w:tc>
      </w:tr>
    </w:tbl>
    <w:p w14:paraId="43A480ED" w14:textId="77777777" w:rsidR="00AD5389" w:rsidRDefault="00AD5389" w:rsidP="00AD5389">
      <w:pPr>
        <w:contextualSpacing w:val="0"/>
        <w:rPr>
          <w:color w:val="FF0000"/>
          <w:sz w:val="22"/>
          <w:szCs w:val="22"/>
        </w:rPr>
      </w:pPr>
    </w:p>
    <w:p w14:paraId="18F2CC68" w14:textId="6BD836C9" w:rsidR="00AD5389" w:rsidRPr="005B493E" w:rsidRDefault="00AD5389" w:rsidP="00AD5389">
      <w:pPr>
        <w:contextualSpacing w:val="0"/>
        <w:rPr>
          <w:color w:val="000000" w:themeColor="text1"/>
          <w:sz w:val="22"/>
          <w:szCs w:val="22"/>
        </w:rPr>
      </w:pPr>
      <w:r w:rsidRPr="005B493E">
        <w:rPr>
          <w:color w:val="000000" w:themeColor="text1"/>
          <w:sz w:val="22"/>
          <w:szCs w:val="22"/>
        </w:rPr>
        <w:t>Wykaz delegacji przypisanych do kategorii „</w:t>
      </w:r>
      <w:r w:rsidR="00C3738D">
        <w:rPr>
          <w:color w:val="000000" w:themeColor="text1"/>
          <w:sz w:val="22"/>
          <w:szCs w:val="22"/>
        </w:rPr>
        <w:t>Szkolenia</w:t>
      </w:r>
      <w:r w:rsidRPr="005B493E">
        <w:rPr>
          <w:color w:val="000000" w:themeColor="text1"/>
          <w:sz w:val="22"/>
          <w:szCs w:val="22"/>
        </w:rPr>
        <w:t>”</w:t>
      </w:r>
      <w:r>
        <w:rPr>
          <w:color w:val="000000" w:themeColor="text1"/>
          <w:sz w:val="22"/>
          <w:szCs w:val="22"/>
        </w:rPr>
        <w:t>:</w:t>
      </w:r>
    </w:p>
    <w:tbl>
      <w:tblPr>
        <w:tblW w:w="5000" w:type="pct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5050"/>
        <w:gridCol w:w="1688"/>
        <w:gridCol w:w="964"/>
        <w:gridCol w:w="1370"/>
      </w:tblGrid>
      <w:tr w:rsidR="00C848E9" w:rsidRPr="00C848E9" w14:paraId="2CBD3C53" w14:textId="77777777" w:rsidTr="00C848E9">
        <w:trPr>
          <w:trHeight w:val="300"/>
        </w:trPr>
        <w:tc>
          <w:tcPr>
            <w:tcW w:w="276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3290E0" w14:textId="77777777" w:rsidR="00C848E9" w:rsidRPr="00C848E9" w:rsidRDefault="00C848E9" w:rsidP="00C848E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bookmarkStart w:id="4" w:name="Koszty_delegacji!A1"/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Założenia dla </w:t>
            </w:r>
            <w:r w:rsidRPr="00C848E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SZKOLEŃ</w:t>
            </w:r>
            <w:bookmarkEnd w:id="4"/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ECD8F5" w14:textId="77777777" w:rsidR="00C848E9" w:rsidRPr="00C848E9" w:rsidRDefault="00C848E9" w:rsidP="00C848E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4C2B4F" w14:textId="77777777" w:rsidR="00C848E9" w:rsidRPr="00C848E9" w:rsidRDefault="00C848E9" w:rsidP="00C848E9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265CA6" w14:textId="77777777" w:rsidR="00C848E9" w:rsidRPr="00C848E9" w:rsidRDefault="00C848E9" w:rsidP="00C848E9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848E9" w:rsidRPr="00C848E9" w14:paraId="1C0C78B8" w14:textId="77777777" w:rsidTr="00C848E9">
        <w:trPr>
          <w:trHeight w:val="300"/>
        </w:trPr>
        <w:tc>
          <w:tcPr>
            <w:tcW w:w="276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C004E8" w14:textId="77777777" w:rsidR="00C848E9" w:rsidRPr="00C848E9" w:rsidRDefault="00C848E9" w:rsidP="00C848E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liczba planowanych szkoleń stacjonarnych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89206E" w14:textId="77777777" w:rsidR="00C848E9" w:rsidRPr="00C848E9" w:rsidRDefault="00C848E9" w:rsidP="00C848E9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AE0861" w14:textId="77777777" w:rsidR="00C848E9" w:rsidRPr="00C848E9" w:rsidRDefault="00C848E9" w:rsidP="00C848E9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846B12" w14:textId="77777777" w:rsidR="00C848E9" w:rsidRPr="00C848E9" w:rsidRDefault="00C848E9" w:rsidP="00C848E9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848E9" w:rsidRPr="00C848E9" w14:paraId="67BF1F3A" w14:textId="77777777" w:rsidTr="00C848E9">
        <w:trPr>
          <w:trHeight w:val="300"/>
        </w:trPr>
        <w:tc>
          <w:tcPr>
            <w:tcW w:w="276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7FE2E4" w14:textId="77777777" w:rsidR="00C848E9" w:rsidRPr="00C848E9" w:rsidRDefault="00C848E9" w:rsidP="00C848E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Liczba pracowników projektu na szkoleniu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301993" w14:textId="77777777" w:rsidR="00C848E9" w:rsidRPr="00C848E9" w:rsidRDefault="00C848E9" w:rsidP="00C848E9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1E096" w14:textId="77777777" w:rsidR="00C848E9" w:rsidRPr="00C848E9" w:rsidRDefault="00C848E9" w:rsidP="00C848E9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21BF92" w14:textId="77777777" w:rsidR="00C848E9" w:rsidRPr="00C848E9" w:rsidRDefault="00C848E9" w:rsidP="00C848E9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848E9" w:rsidRPr="00C848E9" w14:paraId="4A5A8E9F" w14:textId="77777777" w:rsidTr="00C848E9">
        <w:trPr>
          <w:trHeight w:val="300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A1DD015" w14:textId="77777777" w:rsidR="00C848E9" w:rsidRPr="00C848E9" w:rsidRDefault="00C848E9" w:rsidP="00C848E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Kalkulacja szkoleń: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4C49191" w14:textId="77777777" w:rsidR="00C848E9" w:rsidRPr="00C848E9" w:rsidRDefault="00C848E9" w:rsidP="00C848E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j.m.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4113CA6" w14:textId="77777777" w:rsidR="00C848E9" w:rsidRPr="00C848E9" w:rsidRDefault="00C848E9" w:rsidP="00C848E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liczba osób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4505F07" w14:textId="77777777" w:rsidR="00C848E9" w:rsidRPr="00C848E9" w:rsidRDefault="00C848E9" w:rsidP="00C848E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liczba świadczeń</w:t>
            </w:r>
          </w:p>
        </w:tc>
      </w:tr>
      <w:tr w:rsidR="00C848E9" w:rsidRPr="00C848E9" w14:paraId="2997613C" w14:textId="77777777" w:rsidTr="00C848E9">
        <w:trPr>
          <w:trHeight w:val="300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E4600" w14:textId="77777777" w:rsidR="00C848E9" w:rsidRPr="00C848E9" w:rsidRDefault="00C848E9" w:rsidP="00C848E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średni koszt noclegów specjalistów z PFRON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0387B" w14:textId="77777777" w:rsidR="00C848E9" w:rsidRPr="00C848E9" w:rsidRDefault="00C848E9" w:rsidP="00C848E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szkolenie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38F4A" w14:textId="77777777" w:rsidR="00C848E9" w:rsidRPr="00C848E9" w:rsidRDefault="00C848E9" w:rsidP="00C848E9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CE419" w14:textId="77777777" w:rsidR="00C848E9" w:rsidRPr="00C848E9" w:rsidRDefault="00C848E9" w:rsidP="00C848E9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</w:tr>
      <w:tr w:rsidR="00C848E9" w:rsidRPr="00C848E9" w14:paraId="68A05615" w14:textId="77777777" w:rsidTr="00C848E9">
        <w:trPr>
          <w:trHeight w:val="300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9FF95" w14:textId="77777777" w:rsidR="00C848E9" w:rsidRPr="00C848E9" w:rsidRDefault="00C848E9" w:rsidP="00C848E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koszt dojazdu na szkolenia specjalistów z PFRON (średnio 800 km)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EC739" w14:textId="77777777" w:rsidR="00C848E9" w:rsidRPr="00C848E9" w:rsidRDefault="00C848E9" w:rsidP="00C848E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szkolenie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DDC94" w14:textId="77777777" w:rsidR="00C848E9" w:rsidRPr="00C848E9" w:rsidRDefault="00C848E9" w:rsidP="00C848E9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43F1CF" w14:textId="77777777" w:rsidR="00C848E9" w:rsidRPr="00C848E9" w:rsidRDefault="00C848E9" w:rsidP="00C848E9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</w:tr>
      <w:tr w:rsidR="00C848E9" w:rsidRPr="00C848E9" w14:paraId="24F8D5C1" w14:textId="77777777" w:rsidTr="00C848E9">
        <w:trPr>
          <w:trHeight w:val="300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35332" w14:textId="77777777" w:rsidR="00C848E9" w:rsidRPr="00C848E9" w:rsidRDefault="00C848E9" w:rsidP="00C848E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diety za pełne wyżywienie - wliczone w koszty szkolenia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6B90C4" w14:textId="77777777" w:rsidR="00C848E9" w:rsidRPr="00C848E9" w:rsidRDefault="00C848E9" w:rsidP="00C848E9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szkolenie - 48 godzin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D5C62" w14:textId="77777777" w:rsidR="00C848E9" w:rsidRPr="00C848E9" w:rsidRDefault="00C848E9" w:rsidP="00C848E9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E09BF" w14:textId="77777777" w:rsidR="00C848E9" w:rsidRPr="00C848E9" w:rsidRDefault="00C848E9" w:rsidP="00C848E9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848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0</w:t>
            </w:r>
          </w:p>
        </w:tc>
      </w:tr>
    </w:tbl>
    <w:p w14:paraId="4AF42B49" w14:textId="77777777" w:rsidR="00A67853" w:rsidRPr="00A67853" w:rsidRDefault="00A67853" w:rsidP="00A67853">
      <w:pPr>
        <w:spacing w:before="120"/>
        <w:contextualSpacing w:val="0"/>
        <w:rPr>
          <w:sz w:val="22"/>
          <w:szCs w:val="22"/>
        </w:rPr>
      </w:pPr>
      <w:r w:rsidRPr="00A67853">
        <w:rPr>
          <w:sz w:val="22"/>
          <w:szCs w:val="22"/>
        </w:rPr>
        <w:t>Stosowna informacja została dodana w OZPI w polu „Opis nazwy pozycji kosztowej”.</w:t>
      </w:r>
    </w:p>
    <w:p w14:paraId="7FD0ECED" w14:textId="77777777" w:rsidR="005F55AE" w:rsidRPr="0049755E" w:rsidRDefault="005F55AE" w:rsidP="00AD5389">
      <w:pPr>
        <w:contextualSpacing w:val="0"/>
        <w:rPr>
          <w:sz w:val="22"/>
          <w:szCs w:val="22"/>
        </w:rPr>
      </w:pPr>
    </w:p>
    <w:p w14:paraId="0D63DE73" w14:textId="09ABFA48" w:rsidR="00D57994" w:rsidRPr="0049755E" w:rsidRDefault="00D57994" w:rsidP="00AD5389">
      <w:pPr>
        <w:pStyle w:val="Heading2"/>
        <w:numPr>
          <w:ilvl w:val="0"/>
          <w:numId w:val="22"/>
        </w:numPr>
        <w:ind w:left="426" w:hanging="426"/>
      </w:pPr>
      <w:r w:rsidRPr="00B6132B">
        <w:t>Wyjaśnienie pozycji kosztów „Działania informa</w:t>
      </w:r>
      <w:r w:rsidR="00737A5A" w:rsidRPr="00B6132B">
        <w:t>cyjno-promocyjne</w:t>
      </w:r>
      <w:r w:rsidRPr="00B6132B">
        <w:t>”</w:t>
      </w:r>
      <w:r w:rsidR="00535F22">
        <w:t xml:space="preserve"> (pkt 4.2</w:t>
      </w:r>
      <w:r w:rsidR="0079300E">
        <w:t>.</w:t>
      </w:r>
      <w:r w:rsidR="00535F22">
        <w:t>)</w:t>
      </w:r>
      <w:r w:rsidRPr="00B6132B">
        <w:t>:</w:t>
      </w:r>
    </w:p>
    <w:p w14:paraId="6A63B000" w14:textId="62295C7E" w:rsidR="00D57994" w:rsidRPr="0049755E" w:rsidRDefault="00D57994" w:rsidP="00AD5389">
      <w:pPr>
        <w:contextualSpacing w:val="0"/>
        <w:rPr>
          <w:sz w:val="22"/>
          <w:szCs w:val="22"/>
        </w:rPr>
      </w:pPr>
      <w:r w:rsidRPr="0049755E">
        <w:rPr>
          <w:sz w:val="22"/>
          <w:szCs w:val="22"/>
        </w:rPr>
        <w:t xml:space="preserve">Pozycja </w:t>
      </w:r>
      <w:r w:rsidR="00FC465E" w:rsidRPr="0049755E">
        <w:rPr>
          <w:sz w:val="22"/>
          <w:szCs w:val="22"/>
        </w:rPr>
        <w:t>„Działania informacyjno-promocyjne”</w:t>
      </w:r>
      <w:r w:rsidRPr="0049755E">
        <w:rPr>
          <w:sz w:val="22"/>
          <w:szCs w:val="22"/>
        </w:rPr>
        <w:t xml:space="preserve"> obejmuje koszty:</w:t>
      </w:r>
    </w:p>
    <w:p w14:paraId="1FD396C0" w14:textId="05EE517B" w:rsidR="003B6058" w:rsidRDefault="006E5A36" w:rsidP="00AD5389">
      <w:pPr>
        <w:pStyle w:val="ListParagraph"/>
        <w:numPr>
          <w:ilvl w:val="0"/>
          <w:numId w:val="23"/>
        </w:numPr>
        <w:contextualSpacing w:val="0"/>
        <w:rPr>
          <w:sz w:val="22"/>
          <w:szCs w:val="22"/>
        </w:rPr>
      </w:pPr>
      <w:r>
        <w:rPr>
          <w:sz w:val="22"/>
          <w:szCs w:val="22"/>
        </w:rPr>
        <w:t>Koszty k</w:t>
      </w:r>
      <w:r w:rsidR="00731828">
        <w:rPr>
          <w:sz w:val="22"/>
          <w:szCs w:val="22"/>
        </w:rPr>
        <w:t>am</w:t>
      </w:r>
      <w:r w:rsidR="00CE382F">
        <w:rPr>
          <w:sz w:val="22"/>
          <w:szCs w:val="22"/>
        </w:rPr>
        <w:t>pani</w:t>
      </w:r>
      <w:r>
        <w:rPr>
          <w:sz w:val="22"/>
          <w:szCs w:val="22"/>
        </w:rPr>
        <w:t>i</w:t>
      </w:r>
      <w:r w:rsidR="00CE382F">
        <w:rPr>
          <w:sz w:val="22"/>
          <w:szCs w:val="22"/>
        </w:rPr>
        <w:t xml:space="preserve"> informacyjno-promocyjna</w:t>
      </w:r>
      <w:r w:rsidR="008E602D">
        <w:rPr>
          <w:sz w:val="22"/>
          <w:szCs w:val="22"/>
        </w:rPr>
        <w:t>,</w:t>
      </w:r>
    </w:p>
    <w:p w14:paraId="44C2584E" w14:textId="77777777" w:rsidR="008E602D" w:rsidRPr="005B72DE" w:rsidRDefault="008E602D" w:rsidP="008E602D">
      <w:pPr>
        <w:pStyle w:val="ListParagraph"/>
        <w:numPr>
          <w:ilvl w:val="0"/>
          <w:numId w:val="23"/>
        </w:numPr>
        <w:contextualSpacing w:val="0"/>
        <w:rPr>
          <w:color w:val="000000" w:themeColor="text1"/>
          <w:sz w:val="22"/>
          <w:szCs w:val="22"/>
        </w:rPr>
      </w:pPr>
      <w:r w:rsidRPr="005B72DE">
        <w:rPr>
          <w:color w:val="000000" w:themeColor="text1"/>
          <w:sz w:val="22"/>
          <w:szCs w:val="22"/>
        </w:rPr>
        <w:t>Wynagrodzenia personelu zespołu przypisanego na podstawie pełnionej roli: Ekspert ds. edukacji i szkoleń,</w:t>
      </w:r>
    </w:p>
    <w:p w14:paraId="6EC29282" w14:textId="77777777" w:rsidR="008E602D" w:rsidRDefault="008E602D" w:rsidP="008E602D">
      <w:pPr>
        <w:pStyle w:val="ListParagraph"/>
        <w:numPr>
          <w:ilvl w:val="0"/>
          <w:numId w:val="23"/>
        </w:numPr>
        <w:contextualSpacing w:val="0"/>
        <w:rPr>
          <w:color w:val="000000" w:themeColor="text1"/>
          <w:sz w:val="22"/>
          <w:szCs w:val="22"/>
        </w:rPr>
      </w:pPr>
      <w:r w:rsidRPr="005B72DE">
        <w:rPr>
          <w:color w:val="000000" w:themeColor="text1"/>
          <w:sz w:val="22"/>
          <w:szCs w:val="22"/>
        </w:rPr>
        <w:t>Koszty delegacji członków zespołu projektowego uczestniczących w szkoleniach.</w:t>
      </w:r>
    </w:p>
    <w:p w14:paraId="4011E5B0" w14:textId="77777777" w:rsidR="003B6058" w:rsidRDefault="003B6058" w:rsidP="00AD5389">
      <w:pPr>
        <w:contextualSpacing w:val="0"/>
        <w:rPr>
          <w:sz w:val="22"/>
          <w:szCs w:val="22"/>
        </w:rPr>
      </w:pPr>
    </w:p>
    <w:p w14:paraId="2231BA05" w14:textId="01B533D9" w:rsidR="006D6528" w:rsidRPr="00833A89" w:rsidRDefault="006D6528" w:rsidP="00AD5389">
      <w:pPr>
        <w:contextualSpacing w:val="0"/>
        <w:rPr>
          <w:b/>
          <w:bCs/>
          <w:sz w:val="22"/>
          <w:szCs w:val="22"/>
        </w:rPr>
      </w:pPr>
      <w:r w:rsidRPr="00833A89">
        <w:rPr>
          <w:b/>
          <w:bCs/>
          <w:sz w:val="22"/>
          <w:szCs w:val="22"/>
        </w:rPr>
        <w:t xml:space="preserve">Ad. pkt 1.: </w:t>
      </w:r>
      <w:r w:rsidR="00183FE3" w:rsidRPr="00833A89">
        <w:rPr>
          <w:b/>
          <w:bCs/>
          <w:sz w:val="22"/>
          <w:szCs w:val="22"/>
        </w:rPr>
        <w:t>Koszty k</w:t>
      </w:r>
      <w:r w:rsidRPr="00833A89">
        <w:rPr>
          <w:b/>
          <w:bCs/>
          <w:sz w:val="22"/>
          <w:szCs w:val="22"/>
        </w:rPr>
        <w:t>ampani</w:t>
      </w:r>
      <w:r w:rsidR="00183FE3" w:rsidRPr="00833A89">
        <w:rPr>
          <w:b/>
          <w:bCs/>
          <w:sz w:val="22"/>
          <w:szCs w:val="22"/>
        </w:rPr>
        <w:t>i</w:t>
      </w:r>
      <w:r w:rsidRPr="00833A89">
        <w:rPr>
          <w:b/>
          <w:bCs/>
          <w:sz w:val="22"/>
          <w:szCs w:val="22"/>
        </w:rPr>
        <w:t xml:space="preserve"> informacyjno-promocyjn</w:t>
      </w:r>
      <w:r w:rsidR="00183FE3" w:rsidRPr="00833A89">
        <w:rPr>
          <w:b/>
          <w:bCs/>
          <w:sz w:val="22"/>
          <w:szCs w:val="22"/>
        </w:rPr>
        <w:t>ej</w:t>
      </w:r>
    </w:p>
    <w:p w14:paraId="2A09A573" w14:textId="10EBA011" w:rsidR="003B6058" w:rsidRPr="0049755E" w:rsidRDefault="00FE3840" w:rsidP="00AD5389">
      <w:pPr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Koszty </w:t>
      </w:r>
      <w:r w:rsidR="006D4CFC">
        <w:rPr>
          <w:sz w:val="22"/>
          <w:szCs w:val="22"/>
        </w:rPr>
        <w:t>zakupu produktów i usług</w:t>
      </w:r>
      <w:r w:rsidR="00D96845">
        <w:rPr>
          <w:sz w:val="22"/>
          <w:szCs w:val="22"/>
        </w:rPr>
        <w:t xml:space="preserve"> </w:t>
      </w:r>
      <w:r w:rsidR="006D4CFC">
        <w:rPr>
          <w:sz w:val="22"/>
          <w:szCs w:val="22"/>
        </w:rPr>
        <w:t>zostały przedstawione w</w:t>
      </w:r>
      <w:r w:rsidR="00D96845">
        <w:rPr>
          <w:sz w:val="22"/>
          <w:szCs w:val="22"/>
        </w:rPr>
        <w:t xml:space="preserve"> tabel</w:t>
      </w:r>
      <w:r w:rsidR="006D4CFC">
        <w:rPr>
          <w:sz w:val="22"/>
          <w:szCs w:val="22"/>
        </w:rPr>
        <w:t>i</w:t>
      </w:r>
      <w:r w:rsidR="00D96845">
        <w:rPr>
          <w:sz w:val="22"/>
          <w:szCs w:val="22"/>
        </w:rPr>
        <w:t>.</w:t>
      </w:r>
      <w:r w:rsidR="00773C7A">
        <w:rPr>
          <w:sz w:val="22"/>
          <w:szCs w:val="22"/>
        </w:rPr>
        <w:t xml:space="preserve"> Szacowanie kosztów zostało przeprowadzone </w:t>
      </w:r>
      <w:r w:rsidR="005E17A4">
        <w:rPr>
          <w:sz w:val="22"/>
          <w:szCs w:val="22"/>
        </w:rPr>
        <w:t xml:space="preserve">na podstawie </w:t>
      </w:r>
      <w:r w:rsidR="00EF21AF">
        <w:rPr>
          <w:sz w:val="22"/>
          <w:szCs w:val="22"/>
        </w:rPr>
        <w:t xml:space="preserve">rzeczywistych kosztów poniesionych przez PFRON w 2023 r. </w:t>
      </w:r>
      <w:r w:rsidR="007714AE">
        <w:rPr>
          <w:sz w:val="22"/>
          <w:szCs w:val="22"/>
        </w:rPr>
        <w:t>w ramach realizacji projektu iPFRON</w:t>
      </w:r>
      <w:r w:rsidR="00174AE1">
        <w:rPr>
          <w:sz w:val="22"/>
          <w:szCs w:val="22"/>
        </w:rPr>
        <w:t>+.</w:t>
      </w:r>
      <w:r w:rsidR="00DF42B7">
        <w:rPr>
          <w:sz w:val="22"/>
          <w:szCs w:val="22"/>
        </w:rPr>
        <w:t xml:space="preserve"> Przyjęcie </w:t>
      </w:r>
      <w:r w:rsidR="00877B07">
        <w:rPr>
          <w:sz w:val="22"/>
          <w:szCs w:val="22"/>
        </w:rPr>
        <w:t xml:space="preserve">na potrzeby wyliczenia kosztów </w:t>
      </w:r>
      <w:r w:rsidR="000139D2">
        <w:rPr>
          <w:sz w:val="22"/>
          <w:szCs w:val="22"/>
        </w:rPr>
        <w:t xml:space="preserve">stawek z 2023 r. </w:t>
      </w:r>
      <w:r w:rsidR="0063187F">
        <w:rPr>
          <w:sz w:val="22"/>
          <w:szCs w:val="22"/>
        </w:rPr>
        <w:t xml:space="preserve">stanowi </w:t>
      </w:r>
      <w:r w:rsidR="00F774B8">
        <w:rPr>
          <w:sz w:val="22"/>
          <w:szCs w:val="22"/>
        </w:rPr>
        <w:t>potwierdzenie</w:t>
      </w:r>
      <w:r w:rsidR="000139D2">
        <w:rPr>
          <w:sz w:val="22"/>
          <w:szCs w:val="22"/>
        </w:rPr>
        <w:t xml:space="preserve">, </w:t>
      </w:r>
      <w:r w:rsidR="008D787D">
        <w:rPr>
          <w:sz w:val="22"/>
          <w:szCs w:val="22"/>
        </w:rPr>
        <w:t xml:space="preserve">że </w:t>
      </w:r>
      <w:r w:rsidR="008F1497">
        <w:rPr>
          <w:sz w:val="22"/>
          <w:szCs w:val="22"/>
        </w:rPr>
        <w:t xml:space="preserve">stawki </w:t>
      </w:r>
      <w:r w:rsidR="00F774B8">
        <w:rPr>
          <w:sz w:val="22"/>
          <w:szCs w:val="22"/>
        </w:rPr>
        <w:t>nie są za</w:t>
      </w:r>
      <w:r w:rsidR="00C029D2">
        <w:rPr>
          <w:sz w:val="22"/>
          <w:szCs w:val="22"/>
        </w:rPr>
        <w:t>wyżone</w:t>
      </w:r>
      <w:r w:rsidR="004B6B0F">
        <w:rPr>
          <w:sz w:val="22"/>
          <w:szCs w:val="22"/>
        </w:rPr>
        <w:t>.</w:t>
      </w:r>
    </w:p>
    <w:tbl>
      <w:tblPr>
        <w:tblpPr w:leftFromText="141" w:rightFromText="141" w:vertAnchor="text" w:tblpY="1"/>
        <w:tblOverlap w:val="never"/>
        <w:tblW w:w="41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1"/>
        <w:gridCol w:w="1850"/>
      </w:tblGrid>
      <w:tr w:rsidR="003B6058" w:rsidRPr="003B6058" w14:paraId="5B8B1FE7" w14:textId="77777777" w:rsidTr="003B6058">
        <w:trPr>
          <w:cantSplit/>
          <w:trHeight w:val="301"/>
        </w:trPr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hideMark/>
          </w:tcPr>
          <w:p w14:paraId="530AE76C" w14:textId="77777777" w:rsidR="003B6058" w:rsidRPr="003B6058" w:rsidRDefault="003B6058" w:rsidP="00AD5389">
            <w:pPr>
              <w:spacing w:after="0" w:line="259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6058">
              <w:rPr>
                <w:rFonts w:ascii="Calibri" w:eastAsia="Yu Mincho" w:hAnsi="Calibri" w:cs="Arial"/>
                <w:color w:val="000000"/>
                <w:sz w:val="22"/>
                <w:szCs w:val="22"/>
                <w:lang w:eastAsia="pl-PL"/>
              </w:rPr>
              <w:t>Koszty kampanii informacyjno-promocyjnej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</w:tcPr>
          <w:p w14:paraId="645CEA08" w14:textId="77777777" w:rsidR="003B6058" w:rsidRPr="003B6058" w:rsidRDefault="003B6058" w:rsidP="00AD5389">
            <w:pPr>
              <w:spacing w:after="0" w:line="259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6058">
              <w:rPr>
                <w:rFonts w:ascii="Calibri" w:eastAsia="Yu Mincho" w:hAnsi="Calibri" w:cs="Arial"/>
                <w:color w:val="000000"/>
                <w:sz w:val="22"/>
                <w:szCs w:val="22"/>
                <w:lang w:eastAsia="pl-PL"/>
              </w:rPr>
              <w:t>Cena brutto pozycji</w:t>
            </w:r>
          </w:p>
        </w:tc>
      </w:tr>
      <w:tr w:rsidR="003B6058" w:rsidRPr="003B6058" w14:paraId="521A7BC4" w14:textId="77777777" w:rsidTr="0045680A">
        <w:trPr>
          <w:cantSplit/>
          <w:trHeight w:val="301"/>
        </w:trPr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C972" w14:textId="77777777" w:rsidR="003B6058" w:rsidRPr="003B6058" w:rsidRDefault="003B6058" w:rsidP="00AD5389">
            <w:pPr>
              <w:spacing w:after="0" w:line="259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6058">
              <w:rPr>
                <w:rFonts w:ascii="Calibri" w:eastAsia="Yu Mincho" w:hAnsi="Calibri" w:cs="Arial"/>
                <w:color w:val="000000"/>
                <w:sz w:val="22"/>
                <w:szCs w:val="22"/>
                <w:lang w:eastAsia="pl-PL"/>
              </w:rPr>
              <w:t>Kampania reklamowa w Internecie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DCCD" w14:textId="77777777" w:rsidR="003B6058" w:rsidRPr="003B6058" w:rsidRDefault="003B6058" w:rsidP="00AD5389">
            <w:pPr>
              <w:autoSpaceDE w:val="0"/>
              <w:autoSpaceDN w:val="0"/>
              <w:spacing w:after="0"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B6058">
              <w:rPr>
                <w:rFonts w:ascii="Calibri" w:eastAsia="Yu Mincho" w:hAnsi="Calibri" w:cs="Arial"/>
                <w:color w:val="000000"/>
                <w:sz w:val="22"/>
                <w:szCs w:val="22"/>
                <w:lang w:eastAsia="pl-PL"/>
              </w:rPr>
              <w:t>112 883,25 zł</w:t>
            </w:r>
            <w:r w:rsidRPr="003B6058" w:rsidDel="003F00A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3B6058" w:rsidRPr="003B6058" w14:paraId="4D9E88B4" w14:textId="77777777" w:rsidTr="0045680A">
        <w:trPr>
          <w:cantSplit/>
          <w:trHeight w:val="301"/>
        </w:trPr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F022" w14:textId="77777777" w:rsidR="003B6058" w:rsidRPr="003B6058" w:rsidRDefault="003B6058" w:rsidP="00AD5389">
            <w:pPr>
              <w:spacing w:after="0" w:line="259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6058">
              <w:rPr>
                <w:rFonts w:ascii="Calibri" w:eastAsia="Yu Mincho" w:hAnsi="Calibri" w:cs="Arial"/>
                <w:color w:val="000000"/>
                <w:sz w:val="22"/>
                <w:szCs w:val="22"/>
                <w:lang w:eastAsia="pl-PL"/>
              </w:rPr>
              <w:t>Kampania mailingowa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31B4" w14:textId="77777777" w:rsidR="003B6058" w:rsidRPr="003B6058" w:rsidRDefault="003B6058" w:rsidP="00AD5389">
            <w:pPr>
              <w:spacing w:after="0" w:line="259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6058">
              <w:rPr>
                <w:rFonts w:ascii="Calibri" w:eastAsia="Yu Mincho" w:hAnsi="Calibri" w:cs="Arial"/>
                <w:color w:val="000000"/>
                <w:sz w:val="22"/>
                <w:szCs w:val="22"/>
                <w:lang w:eastAsia="pl-PL"/>
              </w:rPr>
              <w:t>11 478,36 zł</w:t>
            </w:r>
          </w:p>
        </w:tc>
      </w:tr>
      <w:tr w:rsidR="003B6058" w:rsidRPr="003B6058" w14:paraId="107B1516" w14:textId="77777777" w:rsidTr="0045680A">
        <w:trPr>
          <w:cantSplit/>
          <w:trHeight w:val="301"/>
        </w:trPr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31B6" w14:textId="77777777" w:rsidR="003B6058" w:rsidRPr="003B6058" w:rsidRDefault="003B6058" w:rsidP="00AD5389">
            <w:pPr>
              <w:spacing w:after="0" w:line="259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6058">
              <w:rPr>
                <w:rFonts w:ascii="Calibri" w:eastAsia="Yu Mincho" w:hAnsi="Calibri" w:cs="Arial"/>
                <w:color w:val="000000"/>
                <w:sz w:val="22"/>
                <w:szCs w:val="22"/>
                <w:lang w:eastAsia="pl-PL"/>
              </w:rPr>
              <w:t>Ogłoszenia w prasie branżowej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0887" w14:textId="77777777" w:rsidR="003B6058" w:rsidRPr="003B6058" w:rsidRDefault="003B6058" w:rsidP="00AD5389">
            <w:pPr>
              <w:spacing w:after="0" w:line="259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6058">
              <w:rPr>
                <w:rFonts w:ascii="Calibri" w:eastAsia="Yu Mincho" w:hAnsi="Calibri" w:cs="Arial"/>
                <w:color w:val="000000"/>
                <w:sz w:val="22"/>
                <w:szCs w:val="22"/>
                <w:lang w:eastAsia="pl-PL"/>
              </w:rPr>
              <w:t>27 060,00 zł</w:t>
            </w:r>
          </w:p>
        </w:tc>
      </w:tr>
      <w:tr w:rsidR="003B6058" w:rsidRPr="003B6058" w14:paraId="6DB3ED81" w14:textId="77777777" w:rsidTr="0045680A">
        <w:trPr>
          <w:cantSplit/>
          <w:trHeight w:val="301"/>
        </w:trPr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B200" w14:textId="77777777" w:rsidR="003B6058" w:rsidRPr="003B6058" w:rsidRDefault="003B6058" w:rsidP="00AD5389">
            <w:pPr>
              <w:spacing w:after="0" w:line="259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6058">
              <w:rPr>
                <w:rFonts w:ascii="Calibri" w:eastAsia="Yu Mincho" w:hAnsi="Calibri" w:cs="Arial"/>
                <w:color w:val="000000"/>
                <w:sz w:val="22"/>
                <w:szCs w:val="22"/>
                <w:lang w:eastAsia="pl-PL"/>
              </w:rPr>
              <w:t>Zakup 30 rollupów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8F01" w14:textId="77777777" w:rsidR="003B6058" w:rsidRPr="003B6058" w:rsidRDefault="003B6058" w:rsidP="00AD5389">
            <w:pPr>
              <w:spacing w:after="0" w:line="259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6058">
              <w:rPr>
                <w:rFonts w:ascii="Calibri" w:eastAsia="Yu Mincho" w:hAnsi="Calibri" w:cs="Arial"/>
                <w:color w:val="000000"/>
                <w:sz w:val="22"/>
                <w:szCs w:val="22"/>
                <w:lang w:eastAsia="pl-PL"/>
              </w:rPr>
              <w:t>7 400,00 zł</w:t>
            </w:r>
          </w:p>
        </w:tc>
      </w:tr>
      <w:tr w:rsidR="003B6058" w:rsidRPr="003B6058" w14:paraId="79EB8BF2" w14:textId="77777777" w:rsidTr="0045680A">
        <w:trPr>
          <w:cantSplit/>
          <w:trHeight w:val="301"/>
        </w:trPr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6D65" w14:textId="77777777" w:rsidR="003B6058" w:rsidRPr="003B6058" w:rsidRDefault="003B6058" w:rsidP="00AD5389">
            <w:pPr>
              <w:spacing w:after="0" w:line="259" w:lineRule="auto"/>
              <w:rPr>
                <w:rFonts w:ascii="Calibri" w:eastAsia="Yu Mincho" w:hAnsi="Calibri" w:cs="Arial"/>
                <w:color w:val="000000"/>
                <w:sz w:val="22"/>
                <w:szCs w:val="22"/>
                <w:lang w:eastAsia="pl-PL"/>
              </w:rPr>
            </w:pPr>
            <w:r w:rsidRPr="003B6058">
              <w:rPr>
                <w:rFonts w:ascii="Calibri" w:eastAsia="Yu Mincho" w:hAnsi="Calibri" w:cs="Arial"/>
                <w:color w:val="000000"/>
                <w:sz w:val="22"/>
                <w:szCs w:val="22"/>
                <w:lang w:eastAsia="pl-PL"/>
              </w:rPr>
              <w:t>Catering na wydarzenie podsumowujące projekt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752A" w14:textId="77777777" w:rsidR="003B6058" w:rsidRPr="003B6058" w:rsidRDefault="003B6058" w:rsidP="00AD5389">
            <w:pPr>
              <w:spacing w:after="0" w:line="259" w:lineRule="auto"/>
              <w:rPr>
                <w:rFonts w:ascii="Calibri" w:eastAsia="Yu Mincho" w:hAnsi="Calibri" w:cs="Arial"/>
                <w:color w:val="000000"/>
                <w:sz w:val="22"/>
                <w:szCs w:val="22"/>
                <w:lang w:eastAsia="pl-PL"/>
              </w:rPr>
            </w:pPr>
            <w:r w:rsidRPr="003B6058">
              <w:rPr>
                <w:rFonts w:ascii="Calibri" w:eastAsia="Yu Mincho" w:hAnsi="Calibri" w:cs="Arial"/>
                <w:color w:val="000000"/>
                <w:sz w:val="22"/>
                <w:szCs w:val="22"/>
                <w:lang w:eastAsia="pl-PL"/>
              </w:rPr>
              <w:t>16 236,00 zł</w:t>
            </w:r>
          </w:p>
        </w:tc>
      </w:tr>
      <w:tr w:rsidR="003B6058" w:rsidRPr="003B6058" w14:paraId="651F8B31" w14:textId="77777777" w:rsidTr="0045680A">
        <w:trPr>
          <w:cantSplit/>
          <w:trHeight w:val="301"/>
        </w:trPr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ABE3" w14:textId="77777777" w:rsidR="003B6058" w:rsidRPr="003B6058" w:rsidRDefault="003B6058" w:rsidP="00AD5389">
            <w:pPr>
              <w:spacing w:after="0" w:line="259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6058">
              <w:rPr>
                <w:rFonts w:ascii="Calibri" w:eastAsia="Yu Mincho" w:hAnsi="Calibri" w:cs="Arial"/>
                <w:color w:val="000000"/>
                <w:sz w:val="22"/>
                <w:szCs w:val="22"/>
                <w:lang w:eastAsia="pl-PL"/>
              </w:rPr>
              <w:t>Łączny koszt organizacji kampanii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0FBD" w14:textId="77777777" w:rsidR="003B6058" w:rsidRPr="003B6058" w:rsidRDefault="003B6058" w:rsidP="00AD5389">
            <w:pPr>
              <w:spacing w:after="0" w:line="259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6058">
              <w:rPr>
                <w:rFonts w:ascii="Calibri" w:eastAsia="Yu Mincho" w:hAnsi="Calibri" w:cs="Arial"/>
                <w:color w:val="000000"/>
                <w:sz w:val="22"/>
                <w:szCs w:val="22"/>
                <w:lang w:eastAsia="pl-PL"/>
              </w:rPr>
              <w:t>175 057,61 z</w:t>
            </w:r>
            <w:r w:rsidRPr="003B605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ł</w:t>
            </w:r>
          </w:p>
        </w:tc>
      </w:tr>
    </w:tbl>
    <w:p w14:paraId="578CF19E" w14:textId="77777777" w:rsidR="003B6058" w:rsidRPr="0049755E" w:rsidRDefault="003B6058" w:rsidP="00AD5389">
      <w:pPr>
        <w:contextualSpacing w:val="0"/>
        <w:rPr>
          <w:sz w:val="22"/>
          <w:szCs w:val="22"/>
        </w:rPr>
      </w:pPr>
    </w:p>
    <w:p w14:paraId="7F120D49" w14:textId="77777777" w:rsidR="003B6058" w:rsidRPr="0049755E" w:rsidRDefault="003B6058" w:rsidP="00AD5389">
      <w:pPr>
        <w:contextualSpacing w:val="0"/>
        <w:rPr>
          <w:sz w:val="22"/>
          <w:szCs w:val="22"/>
        </w:rPr>
      </w:pPr>
    </w:p>
    <w:p w14:paraId="4D2BA878" w14:textId="1477BD55" w:rsidR="00D57994" w:rsidRPr="0049755E" w:rsidRDefault="00D57994" w:rsidP="00AD5389">
      <w:pPr>
        <w:spacing w:line="240" w:lineRule="auto"/>
        <w:contextualSpacing w:val="0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</w:p>
    <w:p w14:paraId="13836F05" w14:textId="77777777" w:rsidR="0049755E" w:rsidRPr="0049755E" w:rsidRDefault="0049755E" w:rsidP="00AD5389">
      <w:pPr>
        <w:spacing w:line="240" w:lineRule="auto"/>
        <w:contextualSpacing w:val="0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</w:p>
    <w:p w14:paraId="18BF2D9B" w14:textId="77777777" w:rsidR="0049755E" w:rsidRPr="0049755E" w:rsidRDefault="0049755E" w:rsidP="00AD5389">
      <w:pPr>
        <w:spacing w:line="240" w:lineRule="auto"/>
        <w:contextualSpacing w:val="0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</w:p>
    <w:p w14:paraId="70D648E8" w14:textId="77777777" w:rsidR="0049755E" w:rsidRPr="0049755E" w:rsidRDefault="0049755E" w:rsidP="00AD5389">
      <w:pPr>
        <w:spacing w:line="240" w:lineRule="auto"/>
        <w:contextualSpacing w:val="0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</w:p>
    <w:p w14:paraId="12F5C575" w14:textId="77777777" w:rsidR="0049755E" w:rsidRPr="0049755E" w:rsidRDefault="0049755E" w:rsidP="00AD5389">
      <w:pPr>
        <w:spacing w:line="240" w:lineRule="auto"/>
        <w:contextualSpacing w:val="0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</w:p>
    <w:p w14:paraId="7AEDC658" w14:textId="5070E1B8" w:rsidR="0049755E" w:rsidRPr="0049755E" w:rsidRDefault="002431B2" w:rsidP="00AD5389">
      <w:pPr>
        <w:spacing w:line="240" w:lineRule="auto"/>
        <w:contextualSpacing w:val="0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Wnioskodawca</w:t>
      </w:r>
      <w:r w:rsidR="0049755E" w:rsidRPr="0049755E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zaplanował kampanię informacyjno-promocyjną, w ramach której wykorzystane zostaną narzędzia umożliwiające dotarcie do interesariuszy Systemu SODiR 3.0 w celu zachęcenia do korzystania z Systemu tj.:</w:t>
      </w:r>
    </w:p>
    <w:p w14:paraId="0EDF1316" w14:textId="5B2C57A2" w:rsidR="0049755E" w:rsidRPr="00D339ED" w:rsidRDefault="0049755E" w:rsidP="00AD5389">
      <w:pPr>
        <w:pStyle w:val="ListParagraph"/>
        <w:numPr>
          <w:ilvl w:val="0"/>
          <w:numId w:val="19"/>
        </w:numPr>
        <w:spacing w:line="240" w:lineRule="auto"/>
        <w:ind w:left="851" w:hanging="491"/>
        <w:contextualSpacing w:val="0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D339ED">
        <w:rPr>
          <w:rFonts w:ascii="Calibri" w:hAnsi="Calibri" w:cs="Calibri"/>
          <w:color w:val="000000"/>
          <w:sz w:val="22"/>
          <w:szCs w:val="22"/>
          <w:lang w:eastAsia="pl-PL"/>
        </w:rPr>
        <w:t>kampania w Internecie (m.in. publikacja artykułów sponsorowanych, banerów informacyjnych, aktywna i bieżąca obsługa kanałów w serwisach społecznościowych),</w:t>
      </w:r>
    </w:p>
    <w:p w14:paraId="1EEBE2E0" w14:textId="3835BE58" w:rsidR="0049755E" w:rsidRPr="00D339ED" w:rsidRDefault="0049755E" w:rsidP="00AD5389">
      <w:pPr>
        <w:pStyle w:val="ListParagraph"/>
        <w:numPr>
          <w:ilvl w:val="0"/>
          <w:numId w:val="19"/>
        </w:numPr>
        <w:spacing w:line="240" w:lineRule="auto"/>
        <w:ind w:left="851" w:hanging="491"/>
        <w:contextualSpacing w:val="0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D339ED">
        <w:rPr>
          <w:rFonts w:ascii="Calibri" w:hAnsi="Calibri" w:cs="Calibri"/>
          <w:color w:val="000000"/>
          <w:sz w:val="22"/>
          <w:szCs w:val="22"/>
          <w:lang w:eastAsia="pl-PL"/>
        </w:rPr>
        <w:t>nawiązanie współpracy z organizacjami skupiającymi pracodawców i organizacjami rolniczymi,</w:t>
      </w:r>
    </w:p>
    <w:p w14:paraId="5A6B6179" w14:textId="39D49E2C" w:rsidR="0049755E" w:rsidRPr="00D339ED" w:rsidRDefault="0049755E" w:rsidP="00AD5389">
      <w:pPr>
        <w:pStyle w:val="ListParagraph"/>
        <w:numPr>
          <w:ilvl w:val="0"/>
          <w:numId w:val="19"/>
        </w:numPr>
        <w:spacing w:line="240" w:lineRule="auto"/>
        <w:ind w:left="851" w:hanging="491"/>
        <w:contextualSpacing w:val="0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D339ED">
        <w:rPr>
          <w:rFonts w:ascii="Calibri" w:hAnsi="Calibri" w:cs="Calibri"/>
          <w:color w:val="000000"/>
          <w:sz w:val="22"/>
          <w:szCs w:val="22"/>
          <w:lang w:eastAsia="pl-PL"/>
        </w:rPr>
        <w:t>ogłoszenia w prasie branżowej,</w:t>
      </w:r>
    </w:p>
    <w:p w14:paraId="64873E57" w14:textId="56C2AAF3" w:rsidR="0049755E" w:rsidRPr="00D339ED" w:rsidRDefault="0049755E" w:rsidP="00AD5389">
      <w:pPr>
        <w:pStyle w:val="ListParagraph"/>
        <w:numPr>
          <w:ilvl w:val="0"/>
          <w:numId w:val="19"/>
        </w:numPr>
        <w:spacing w:line="240" w:lineRule="auto"/>
        <w:ind w:left="851" w:hanging="491"/>
        <w:contextualSpacing w:val="0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D339ED">
        <w:rPr>
          <w:rFonts w:ascii="Calibri" w:hAnsi="Calibri" w:cs="Calibri"/>
          <w:color w:val="000000"/>
          <w:sz w:val="22"/>
          <w:szCs w:val="22"/>
          <w:lang w:eastAsia="pl-PL"/>
        </w:rPr>
        <w:t xml:space="preserve">kampania mailingowa, </w:t>
      </w:r>
    </w:p>
    <w:p w14:paraId="336F7236" w14:textId="343B82CE" w:rsidR="0049755E" w:rsidRPr="00D339ED" w:rsidRDefault="0049755E" w:rsidP="00AD5389">
      <w:pPr>
        <w:pStyle w:val="ListParagraph"/>
        <w:numPr>
          <w:ilvl w:val="0"/>
          <w:numId w:val="19"/>
        </w:numPr>
        <w:spacing w:line="240" w:lineRule="auto"/>
        <w:ind w:left="851" w:hanging="491"/>
        <w:contextualSpacing w:val="0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D339ED">
        <w:rPr>
          <w:rFonts w:ascii="Calibri" w:hAnsi="Calibri" w:cs="Calibri"/>
          <w:color w:val="000000"/>
          <w:sz w:val="22"/>
          <w:szCs w:val="22"/>
          <w:lang w:eastAsia="pl-PL"/>
        </w:rPr>
        <w:t>udział przedstawicieli PFRON i prezentacja celów oraz korzyści płynących z realizacji Projektu podczas organizowanych wewnętrznych oraz zewnętrznych konferencji, spotkań, sympozjów, eventów,</w:t>
      </w:r>
    </w:p>
    <w:p w14:paraId="557D5CF4" w14:textId="5A173B18" w:rsidR="0049755E" w:rsidRPr="00D339ED" w:rsidRDefault="0049755E" w:rsidP="00AD5389">
      <w:pPr>
        <w:pStyle w:val="ListParagraph"/>
        <w:numPr>
          <w:ilvl w:val="0"/>
          <w:numId w:val="19"/>
        </w:numPr>
        <w:spacing w:line="240" w:lineRule="auto"/>
        <w:ind w:left="851" w:hanging="491"/>
        <w:contextualSpacing w:val="0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D339ED">
        <w:rPr>
          <w:rFonts w:ascii="Calibri" w:hAnsi="Calibri" w:cs="Calibri"/>
          <w:color w:val="000000"/>
          <w:sz w:val="22"/>
          <w:szCs w:val="22"/>
          <w:lang w:eastAsia="pl-PL"/>
        </w:rPr>
        <w:t>przygotowanie filmów instruktażowych emitowanych m.in. w mediach społecznościowych i na YT,</w:t>
      </w:r>
    </w:p>
    <w:p w14:paraId="4563E697" w14:textId="22A2F409" w:rsidR="0049755E" w:rsidRPr="00D339ED" w:rsidRDefault="0049755E" w:rsidP="00AD5389">
      <w:pPr>
        <w:pStyle w:val="ListParagraph"/>
        <w:numPr>
          <w:ilvl w:val="0"/>
          <w:numId w:val="19"/>
        </w:numPr>
        <w:spacing w:line="240" w:lineRule="auto"/>
        <w:ind w:left="851" w:hanging="491"/>
        <w:contextualSpacing w:val="0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D339ED">
        <w:rPr>
          <w:rFonts w:ascii="Calibri" w:hAnsi="Calibri" w:cs="Calibri"/>
          <w:color w:val="000000"/>
          <w:sz w:val="22"/>
          <w:szCs w:val="22"/>
          <w:lang w:eastAsia="pl-PL"/>
        </w:rPr>
        <w:t xml:space="preserve">stałe zasilanie treścią informacyjną serwisu informacyjnego projektu. </w:t>
      </w:r>
    </w:p>
    <w:p w14:paraId="13C80E73" w14:textId="38BC7865" w:rsidR="00565814" w:rsidRPr="00C47C72" w:rsidRDefault="00B72930" w:rsidP="00AD5389">
      <w:pPr>
        <w:spacing w:line="240" w:lineRule="auto"/>
        <w:contextualSpacing w:val="0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C47C72">
        <w:rPr>
          <w:rFonts w:ascii="Calibri" w:hAnsi="Calibri" w:cs="Calibri"/>
          <w:color w:val="000000"/>
          <w:sz w:val="22"/>
          <w:szCs w:val="22"/>
          <w:lang w:eastAsia="pl-PL"/>
        </w:rPr>
        <w:t xml:space="preserve">W ocenie </w:t>
      </w:r>
      <w:r w:rsidR="002431B2">
        <w:rPr>
          <w:rFonts w:ascii="Calibri" w:hAnsi="Calibri" w:cs="Calibri"/>
          <w:color w:val="000000"/>
          <w:sz w:val="22"/>
          <w:szCs w:val="22"/>
          <w:lang w:eastAsia="pl-PL"/>
        </w:rPr>
        <w:t>Wnioskodawc</w:t>
      </w:r>
      <w:r w:rsidR="00321FAF">
        <w:rPr>
          <w:rFonts w:ascii="Calibri" w:hAnsi="Calibri" w:cs="Calibri"/>
          <w:color w:val="000000"/>
          <w:sz w:val="22"/>
          <w:szCs w:val="22"/>
          <w:lang w:eastAsia="pl-PL"/>
        </w:rPr>
        <w:t>y</w:t>
      </w:r>
      <w:r w:rsidRPr="00C47C72">
        <w:rPr>
          <w:rFonts w:ascii="Calibri" w:hAnsi="Calibri" w:cs="Calibri"/>
          <w:color w:val="000000"/>
          <w:sz w:val="22"/>
          <w:szCs w:val="22"/>
          <w:lang w:eastAsia="pl-PL"/>
        </w:rPr>
        <w:t xml:space="preserve"> </w:t>
      </w:r>
      <w:r w:rsidR="0062199B" w:rsidRPr="00C47C72">
        <w:rPr>
          <w:rFonts w:ascii="Calibri" w:hAnsi="Calibri" w:cs="Calibri"/>
          <w:color w:val="000000"/>
          <w:sz w:val="22"/>
          <w:szCs w:val="22"/>
          <w:lang w:eastAsia="pl-PL"/>
        </w:rPr>
        <w:t xml:space="preserve">kampania zaplanowana została w sposób </w:t>
      </w:r>
      <w:r w:rsidR="00301BD0" w:rsidRPr="00C47C72">
        <w:rPr>
          <w:rFonts w:ascii="Calibri" w:hAnsi="Calibri" w:cs="Calibri"/>
          <w:color w:val="000000"/>
          <w:sz w:val="22"/>
          <w:szCs w:val="22"/>
          <w:lang w:eastAsia="pl-PL"/>
        </w:rPr>
        <w:t xml:space="preserve">bardzo </w:t>
      </w:r>
      <w:r w:rsidR="0062199B" w:rsidRPr="00C47C72">
        <w:rPr>
          <w:rFonts w:ascii="Calibri" w:hAnsi="Calibri" w:cs="Calibri"/>
          <w:color w:val="000000"/>
          <w:sz w:val="22"/>
          <w:szCs w:val="22"/>
          <w:lang w:eastAsia="pl-PL"/>
        </w:rPr>
        <w:t>oszczędny</w:t>
      </w:r>
      <w:r w:rsidR="00565814" w:rsidRPr="00C47C72">
        <w:rPr>
          <w:rFonts w:ascii="Calibri" w:hAnsi="Calibri" w:cs="Calibri"/>
          <w:color w:val="000000"/>
          <w:sz w:val="22"/>
          <w:szCs w:val="22"/>
          <w:lang w:eastAsia="pl-PL"/>
        </w:rPr>
        <w:t>:</w:t>
      </w:r>
    </w:p>
    <w:p w14:paraId="26E4B0DC" w14:textId="3C3B5034" w:rsidR="00565814" w:rsidRPr="00565814" w:rsidRDefault="002431B2" w:rsidP="00AD5389">
      <w:pPr>
        <w:pStyle w:val="ListParagraph"/>
        <w:numPr>
          <w:ilvl w:val="0"/>
          <w:numId w:val="19"/>
        </w:numPr>
        <w:spacing w:line="240" w:lineRule="auto"/>
        <w:contextualSpacing w:val="0"/>
        <w:rPr>
          <w:rFonts w:ascii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hAnsi="Calibri" w:cs="Calibri"/>
          <w:color w:val="000000"/>
          <w:sz w:val="22"/>
          <w:szCs w:val="22"/>
          <w:lang w:eastAsia="pl-PL"/>
        </w:rPr>
        <w:t>Wnioskodawca</w:t>
      </w:r>
      <w:r w:rsidR="0049755E" w:rsidRPr="00565814">
        <w:rPr>
          <w:rFonts w:ascii="Calibri" w:hAnsi="Calibri" w:cs="Calibri"/>
          <w:color w:val="000000"/>
          <w:sz w:val="22"/>
          <w:szCs w:val="22"/>
          <w:lang w:eastAsia="pl-PL"/>
        </w:rPr>
        <w:t xml:space="preserve"> nie planuje prowadzenia kampanii w tradycyjnych mediach</w:t>
      </w:r>
      <w:r w:rsidR="00A842BE" w:rsidRPr="00565814">
        <w:rPr>
          <w:rFonts w:ascii="Calibri" w:hAnsi="Calibri" w:cs="Calibri"/>
          <w:color w:val="000000"/>
          <w:sz w:val="22"/>
          <w:szCs w:val="22"/>
          <w:lang w:eastAsia="pl-PL"/>
        </w:rPr>
        <w:t xml:space="preserve"> audiowizualnych</w:t>
      </w:r>
      <w:r w:rsidR="00C47C72">
        <w:rPr>
          <w:rFonts w:ascii="Calibri" w:hAnsi="Calibri" w:cs="Calibri"/>
          <w:color w:val="000000"/>
          <w:sz w:val="22"/>
          <w:szCs w:val="22"/>
          <w:lang w:eastAsia="pl-PL"/>
        </w:rPr>
        <w:t>,</w:t>
      </w:r>
    </w:p>
    <w:p w14:paraId="4319A616" w14:textId="6DE0109B" w:rsidR="00565814" w:rsidRPr="00565814" w:rsidRDefault="00C47C72" w:rsidP="00AD5389">
      <w:pPr>
        <w:pStyle w:val="ListParagraph"/>
        <w:numPr>
          <w:ilvl w:val="0"/>
          <w:numId w:val="19"/>
        </w:numPr>
        <w:spacing w:line="240" w:lineRule="auto"/>
        <w:contextualSpacing w:val="0"/>
        <w:rPr>
          <w:rFonts w:ascii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hAnsi="Calibri" w:cs="Calibri"/>
          <w:color w:val="000000"/>
          <w:sz w:val="22"/>
          <w:szCs w:val="22"/>
          <w:lang w:eastAsia="pl-PL"/>
        </w:rPr>
        <w:t>k</w:t>
      </w:r>
      <w:r w:rsidR="00301BD0" w:rsidRPr="00565814">
        <w:rPr>
          <w:rFonts w:ascii="Calibri" w:hAnsi="Calibri" w:cs="Calibri"/>
          <w:color w:val="000000"/>
          <w:sz w:val="22"/>
          <w:szCs w:val="22"/>
          <w:lang w:eastAsia="pl-PL"/>
        </w:rPr>
        <w:t>oszt przeprowadzenia kam</w:t>
      </w:r>
      <w:r w:rsidR="006F70E5" w:rsidRPr="00565814">
        <w:rPr>
          <w:rFonts w:ascii="Calibri" w:hAnsi="Calibri" w:cs="Calibri"/>
          <w:color w:val="000000"/>
          <w:sz w:val="22"/>
          <w:szCs w:val="22"/>
          <w:lang w:eastAsia="pl-PL"/>
        </w:rPr>
        <w:t xml:space="preserve">panii internetowej </w:t>
      </w:r>
      <w:r w:rsidR="00260936" w:rsidRPr="00565814">
        <w:rPr>
          <w:rFonts w:ascii="Calibri" w:hAnsi="Calibri" w:cs="Calibri"/>
          <w:color w:val="000000"/>
          <w:sz w:val="22"/>
          <w:szCs w:val="22"/>
          <w:lang w:eastAsia="pl-PL"/>
        </w:rPr>
        <w:t xml:space="preserve">wystarczy na sfinansowanie </w:t>
      </w:r>
      <w:r w:rsidR="00565814" w:rsidRPr="00565814">
        <w:rPr>
          <w:rFonts w:ascii="Calibri" w:hAnsi="Calibri" w:cs="Calibri"/>
          <w:color w:val="000000"/>
          <w:sz w:val="22"/>
          <w:szCs w:val="22"/>
          <w:lang w:eastAsia="pl-PL"/>
        </w:rPr>
        <w:t>przedsięwzięcia o niewielkiej skali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,</w:t>
      </w:r>
    </w:p>
    <w:p w14:paraId="400511A4" w14:textId="2E617C21" w:rsidR="009B3FAB" w:rsidRDefault="00C47C72" w:rsidP="00AD5389">
      <w:pPr>
        <w:pStyle w:val="ListParagraph"/>
        <w:numPr>
          <w:ilvl w:val="0"/>
          <w:numId w:val="19"/>
        </w:numPr>
        <w:spacing w:line="240" w:lineRule="auto"/>
        <w:contextualSpacing w:val="0"/>
        <w:rPr>
          <w:rFonts w:ascii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hAnsi="Calibri" w:cs="Calibri"/>
          <w:color w:val="000000"/>
          <w:sz w:val="22"/>
          <w:szCs w:val="22"/>
          <w:lang w:eastAsia="pl-PL"/>
        </w:rPr>
        <w:t>w</w:t>
      </w:r>
      <w:r w:rsidR="0049755E" w:rsidRPr="00565814">
        <w:rPr>
          <w:rFonts w:ascii="Calibri" w:hAnsi="Calibri" w:cs="Calibri"/>
          <w:color w:val="000000"/>
          <w:sz w:val="22"/>
          <w:szCs w:val="22"/>
          <w:lang w:eastAsia="pl-PL"/>
        </w:rPr>
        <w:t>ydarzenie podsumowujące projekt zostanie zorganizowane w siedzibie PFRON</w:t>
      </w:r>
      <w:r w:rsidR="00DC72EE">
        <w:rPr>
          <w:rFonts w:ascii="Calibri" w:hAnsi="Calibri" w:cs="Calibri"/>
          <w:color w:val="000000"/>
          <w:sz w:val="22"/>
          <w:szCs w:val="22"/>
          <w:lang w:eastAsia="pl-PL"/>
        </w:rPr>
        <w:t>, a koszt jego organizacji ogranicza się do zapewn</w:t>
      </w:r>
      <w:r w:rsidR="00CF1F8B">
        <w:rPr>
          <w:rFonts w:ascii="Calibri" w:hAnsi="Calibri" w:cs="Calibri"/>
          <w:color w:val="000000"/>
          <w:sz w:val="22"/>
          <w:szCs w:val="22"/>
          <w:lang w:eastAsia="pl-PL"/>
        </w:rPr>
        <w:t xml:space="preserve">ienia </w:t>
      </w:r>
      <w:r w:rsidR="00062210">
        <w:rPr>
          <w:rFonts w:ascii="Calibri" w:hAnsi="Calibri" w:cs="Calibri"/>
          <w:color w:val="000000"/>
          <w:sz w:val="22"/>
          <w:szCs w:val="22"/>
          <w:lang w:eastAsia="pl-PL"/>
        </w:rPr>
        <w:t xml:space="preserve">zimnego </w:t>
      </w:r>
      <w:r w:rsidR="00CF1F8B">
        <w:rPr>
          <w:rFonts w:ascii="Calibri" w:hAnsi="Calibri" w:cs="Calibri"/>
          <w:color w:val="000000"/>
          <w:sz w:val="22"/>
          <w:szCs w:val="22"/>
          <w:lang w:eastAsia="pl-PL"/>
        </w:rPr>
        <w:t>poczęstunku dla uczestników.</w:t>
      </w:r>
    </w:p>
    <w:p w14:paraId="421C2D92" w14:textId="45E76403" w:rsidR="0049755E" w:rsidRDefault="003632C6" w:rsidP="00AD5389">
      <w:pPr>
        <w:spacing w:line="240" w:lineRule="auto"/>
        <w:contextualSpacing w:val="0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W </w:t>
      </w:r>
      <w:r w:rsidR="00E75730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miejsce zakupu d</w:t>
      </w:r>
      <w:r w:rsidR="0044419A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rogich usług takich, jak </w:t>
      </w:r>
      <w:r w:rsidR="00D844B8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zamówienie kompleksowej kampanii na zewnątrz</w:t>
      </w:r>
      <w:r w:rsidR="00AB341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, </w:t>
      </w:r>
      <w:r w:rsidR="0044419A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wykup czasu antenowego</w:t>
      </w:r>
      <w:r w:rsidR="00203A84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, </w:t>
      </w:r>
      <w:r w:rsidR="00FD3E8E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wykup </w:t>
      </w:r>
      <w:r w:rsidR="00A05627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przestrzeni</w:t>
      </w:r>
      <w:r w:rsidR="00C77243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</w:t>
      </w:r>
      <w:r w:rsidR="00A05627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w </w:t>
      </w:r>
      <w:r w:rsidR="00C77243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prasie ogólnopolskiej czy nawet </w:t>
      </w:r>
      <w:r w:rsidR="00FA2330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lokalnej, </w:t>
      </w:r>
      <w:r w:rsidR="002431B2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Wnioskodawca</w:t>
      </w:r>
      <w:r w:rsidR="0049755E" w:rsidRPr="0049755E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planuje prowadzenie aktywnej kampanii celowanej (selektywnej) z udziałem pracowników projektu, którzy będą aktywnie docierać do odbiorców różnymi kanałami komunikacji. Jest to możliwe z uwagi na fakt doskonałej identyfikacji interesariuszy. Zaplanowany sposób dotarcia do interesariuszy i popularyzacji produktów projektu, poprzez skupienie się na wybranych grupach interesu, będzie nie mniej efektywny w stosunku do drogich kampanii masowych</w:t>
      </w:r>
      <w:r w:rsidR="00270613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, a </w:t>
      </w:r>
      <w:r w:rsidR="004E0438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znacznie tańszy.</w:t>
      </w:r>
      <w:r w:rsidR="0081603B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Oszczędność kosztów </w:t>
      </w:r>
      <w:r w:rsidR="00E10383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osiągnięta zostanie także poprzez rezygnację z organizacji wydarzenia projektowego w komercyjnej przestrzeni z zapewnieniem </w:t>
      </w:r>
      <w:r w:rsidR="00450BBA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pełnego wyżywienia, co jest regułą w projektach współfinansowanych ze środków UE.</w:t>
      </w:r>
    </w:p>
    <w:p w14:paraId="425FFF9E" w14:textId="77777777" w:rsidR="00450BBA" w:rsidRDefault="00450BBA" w:rsidP="00AD5389">
      <w:pPr>
        <w:spacing w:line="240" w:lineRule="auto"/>
        <w:contextualSpacing w:val="0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</w:p>
    <w:p w14:paraId="0CFA0CB2" w14:textId="4E372235" w:rsidR="00363BEB" w:rsidRPr="00833A89" w:rsidRDefault="00450BBA" w:rsidP="00AD5389">
      <w:pPr>
        <w:spacing w:line="240" w:lineRule="auto"/>
        <w:contextualSpacing w:val="0"/>
        <w:rPr>
          <w:b/>
          <w:bCs/>
          <w:color w:val="000000" w:themeColor="text1"/>
          <w:sz w:val="22"/>
          <w:szCs w:val="22"/>
        </w:rPr>
      </w:pPr>
      <w:r w:rsidRPr="00833A89">
        <w:rPr>
          <w:b/>
          <w:bCs/>
          <w:color w:val="000000" w:themeColor="text1"/>
          <w:sz w:val="22"/>
          <w:szCs w:val="22"/>
        </w:rPr>
        <w:t xml:space="preserve">Ad. pkt </w:t>
      </w:r>
      <w:r w:rsidR="00573EA1" w:rsidRPr="00833A89">
        <w:rPr>
          <w:b/>
          <w:bCs/>
          <w:color w:val="000000" w:themeColor="text1"/>
          <w:sz w:val="22"/>
          <w:szCs w:val="22"/>
        </w:rPr>
        <w:t xml:space="preserve">2.: </w:t>
      </w:r>
      <w:r w:rsidR="00363BEB" w:rsidRPr="00833A89">
        <w:rPr>
          <w:b/>
          <w:bCs/>
          <w:color w:val="000000" w:themeColor="text1"/>
          <w:sz w:val="22"/>
          <w:szCs w:val="22"/>
        </w:rPr>
        <w:t>Wynagrodzenia personelu zespołu przypisanego na podstawie pełnionej roli: Ekspert ds. edukacji i szkoleń</w:t>
      </w:r>
    </w:p>
    <w:p w14:paraId="488BDC77" w14:textId="57EDD752" w:rsidR="00D26CF3" w:rsidRPr="00C76959" w:rsidRDefault="00D26CF3" w:rsidP="00D26CF3">
      <w:pPr>
        <w:contextualSpacing w:val="0"/>
        <w:rPr>
          <w:color w:val="000000" w:themeColor="text1"/>
          <w:sz w:val="22"/>
          <w:szCs w:val="22"/>
        </w:rPr>
      </w:pPr>
      <w:r w:rsidRPr="00C76959">
        <w:rPr>
          <w:color w:val="000000" w:themeColor="text1"/>
          <w:sz w:val="22"/>
          <w:szCs w:val="22"/>
        </w:rPr>
        <w:t>Wykaz członków zespołu projektowego przypisanych do kategorii „</w:t>
      </w:r>
      <w:r w:rsidR="00FC5D69">
        <w:rPr>
          <w:color w:val="000000" w:themeColor="text1"/>
          <w:sz w:val="22"/>
          <w:szCs w:val="22"/>
        </w:rPr>
        <w:t>Działania informacyjno-promocyjne</w:t>
      </w:r>
      <w:r w:rsidRPr="00C76959">
        <w:rPr>
          <w:color w:val="000000" w:themeColor="text1"/>
          <w:sz w:val="22"/>
          <w:szCs w:val="22"/>
        </w:rPr>
        <w:t>”:</w:t>
      </w:r>
    </w:p>
    <w:tbl>
      <w:tblPr>
        <w:tblW w:w="4974" w:type="pct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2741"/>
        <w:gridCol w:w="2977"/>
        <w:gridCol w:w="1275"/>
        <w:gridCol w:w="1507"/>
      </w:tblGrid>
      <w:tr w:rsidR="00D26CF3" w:rsidRPr="0049755E" w14:paraId="7548F191" w14:textId="77777777" w:rsidTr="003712E7">
        <w:trPr>
          <w:trHeight w:val="592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38958BEF" w14:textId="77777777" w:rsidR="00D26CF3" w:rsidRPr="00987228" w:rsidRDefault="00D26CF3" w:rsidP="0045680A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5C262D55" w14:textId="77777777" w:rsidR="00D26CF3" w:rsidRPr="00987228" w:rsidRDefault="00D26CF3" w:rsidP="0045680A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Stanowisko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3FA60A18" w14:textId="77777777" w:rsidR="00D26CF3" w:rsidRPr="00987228" w:rsidRDefault="00D26CF3" w:rsidP="0045680A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Zespół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5FDE09FE" w14:textId="77777777" w:rsidR="00D26CF3" w:rsidRPr="00987228" w:rsidRDefault="00D26CF3" w:rsidP="0045680A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Maksymalna liczba etatów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</w:tcPr>
          <w:p w14:paraId="643235DB" w14:textId="77777777" w:rsidR="00D26CF3" w:rsidRPr="0049755E" w:rsidRDefault="00D26CF3" w:rsidP="0045680A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49755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Liczba osobomiesięcy</w:t>
            </w:r>
          </w:p>
        </w:tc>
      </w:tr>
      <w:tr w:rsidR="00D26CF3" w:rsidRPr="0049755E" w14:paraId="2C3BA03C" w14:textId="77777777" w:rsidTr="003712E7">
        <w:trPr>
          <w:trHeight w:val="25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82DCF" w14:textId="77777777" w:rsidR="00D26CF3" w:rsidRPr="00987228" w:rsidRDefault="00D26CF3" w:rsidP="003712E7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98722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2017D" w14:textId="65AB35AA" w:rsidR="00D26CF3" w:rsidRPr="00987228" w:rsidRDefault="00B11EFD" w:rsidP="003712E7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B11EF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Specjalista ds. kontaktów z użytkownikami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00775" w14:textId="5B9169DA" w:rsidR="00D26CF3" w:rsidRPr="00987228" w:rsidRDefault="003712E7" w:rsidP="003712E7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Pion merytoryczny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ACE53" w14:textId="77777777" w:rsidR="00D26CF3" w:rsidRPr="00987228" w:rsidRDefault="00D26CF3" w:rsidP="003712E7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102F" w14:textId="77777777" w:rsidR="00D26CF3" w:rsidRPr="0049755E" w:rsidRDefault="00D26CF3" w:rsidP="003712E7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>44</w:t>
            </w:r>
          </w:p>
        </w:tc>
      </w:tr>
      <w:tr w:rsidR="003712E7" w:rsidRPr="0049755E" w14:paraId="77952089" w14:textId="77777777" w:rsidTr="003712E7">
        <w:trPr>
          <w:trHeight w:val="25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134AA" w14:textId="42B5C4A1" w:rsidR="003712E7" w:rsidRPr="00987228" w:rsidRDefault="00C81813" w:rsidP="003712E7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E2B63" w14:textId="377C9D92" w:rsidR="003712E7" w:rsidRPr="00B11EFD" w:rsidRDefault="00C81813" w:rsidP="003712E7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Ekspert ds. promocji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32F56" w14:textId="45117B58" w:rsidR="003712E7" w:rsidRDefault="003712E7" w:rsidP="003712E7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Zespół ds. promocji i informacji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BBCD2" w14:textId="6F7A17C9" w:rsidR="003712E7" w:rsidRDefault="00496312" w:rsidP="003712E7">
            <w:pPr>
              <w:spacing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C889" w14:textId="3D47A8D0" w:rsidR="003712E7" w:rsidRDefault="001F52F9" w:rsidP="003712E7">
            <w:pPr>
              <w:spacing w:line="240" w:lineRule="auto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</w:tbl>
    <w:p w14:paraId="067EEA61" w14:textId="77777777" w:rsidR="00D26CF3" w:rsidRDefault="00D26CF3" w:rsidP="00D26CF3">
      <w:pPr>
        <w:contextualSpacing w:val="0"/>
        <w:rPr>
          <w:color w:val="FF0000"/>
          <w:sz w:val="22"/>
          <w:szCs w:val="22"/>
        </w:rPr>
      </w:pPr>
    </w:p>
    <w:p w14:paraId="4DF230C7" w14:textId="21EC3191" w:rsidR="00D26CF3" w:rsidRPr="005B493E" w:rsidRDefault="00D26CF3" w:rsidP="00D26CF3">
      <w:pPr>
        <w:contextualSpacing w:val="0"/>
        <w:rPr>
          <w:color w:val="000000" w:themeColor="text1"/>
          <w:sz w:val="22"/>
          <w:szCs w:val="22"/>
        </w:rPr>
      </w:pPr>
      <w:r w:rsidRPr="005B493E">
        <w:rPr>
          <w:color w:val="000000" w:themeColor="text1"/>
          <w:sz w:val="22"/>
          <w:szCs w:val="22"/>
        </w:rPr>
        <w:t>Wykaz delegacji przypisanych do kategorii „</w:t>
      </w:r>
      <w:r w:rsidR="00E51E29" w:rsidRPr="00E51E29">
        <w:rPr>
          <w:color w:val="000000" w:themeColor="text1"/>
          <w:sz w:val="22"/>
          <w:szCs w:val="22"/>
        </w:rPr>
        <w:t>Działania informacyjno-promocyjne</w:t>
      </w:r>
      <w:r w:rsidRPr="005B493E">
        <w:rPr>
          <w:color w:val="000000" w:themeColor="text1"/>
          <w:sz w:val="22"/>
          <w:szCs w:val="22"/>
        </w:rPr>
        <w:t>”</w:t>
      </w:r>
      <w:r>
        <w:rPr>
          <w:color w:val="000000" w:themeColor="text1"/>
          <w:sz w:val="22"/>
          <w:szCs w:val="22"/>
        </w:rPr>
        <w:t>:</w:t>
      </w:r>
    </w:p>
    <w:tbl>
      <w:tblPr>
        <w:tblW w:w="5000" w:type="pct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955"/>
        <w:gridCol w:w="1823"/>
        <w:gridCol w:w="948"/>
        <w:gridCol w:w="1346"/>
      </w:tblGrid>
      <w:tr w:rsidR="00CA088E" w:rsidRPr="00CA088E" w14:paraId="0D697AE0" w14:textId="77777777" w:rsidTr="00CA088E">
        <w:trPr>
          <w:trHeight w:val="300"/>
        </w:trPr>
        <w:tc>
          <w:tcPr>
            <w:tcW w:w="276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4EE0A1" w14:textId="77777777" w:rsidR="00CA088E" w:rsidRPr="00CA088E" w:rsidRDefault="00CA088E" w:rsidP="00CA088E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Założenia dla </w:t>
            </w:r>
            <w:r w:rsidRPr="00CA088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EVENTÓW BRANŻOWYCH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0C7647" w14:textId="77777777" w:rsidR="00CA088E" w:rsidRPr="00CA088E" w:rsidRDefault="00CA088E" w:rsidP="00CA088E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249F3" w14:textId="77777777" w:rsidR="00CA088E" w:rsidRPr="00CA088E" w:rsidRDefault="00CA088E" w:rsidP="00CA088E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7BC60C" w14:textId="77777777" w:rsidR="00CA088E" w:rsidRPr="00CA088E" w:rsidRDefault="00CA088E" w:rsidP="00CA088E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A088E" w:rsidRPr="00CA088E" w14:paraId="679545D7" w14:textId="77777777" w:rsidTr="00CA088E">
        <w:trPr>
          <w:trHeight w:val="300"/>
        </w:trPr>
        <w:tc>
          <w:tcPr>
            <w:tcW w:w="276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9BA5EA" w14:textId="77777777" w:rsidR="00CA088E" w:rsidRPr="00CA088E" w:rsidRDefault="00CA088E" w:rsidP="00CA088E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liczba planowanych eventów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38C0DF" w14:textId="77777777" w:rsidR="00CA088E" w:rsidRPr="00CA088E" w:rsidRDefault="00CA088E" w:rsidP="00CA088E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4C1410" w14:textId="77777777" w:rsidR="00CA088E" w:rsidRPr="00CA088E" w:rsidRDefault="00CA088E" w:rsidP="00CA088E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AA769D" w14:textId="77777777" w:rsidR="00CA088E" w:rsidRPr="00CA088E" w:rsidRDefault="00CA088E" w:rsidP="00CA088E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A088E" w:rsidRPr="00CA088E" w14:paraId="4619F8AE" w14:textId="77777777" w:rsidTr="00CA088E">
        <w:trPr>
          <w:trHeight w:val="300"/>
        </w:trPr>
        <w:tc>
          <w:tcPr>
            <w:tcW w:w="276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A53D05" w14:textId="77777777" w:rsidR="00CA088E" w:rsidRPr="00CA088E" w:rsidRDefault="00CA088E" w:rsidP="00CA088E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Liczba pracowników projektu na spotkaniu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22C295" w14:textId="77777777" w:rsidR="00CA088E" w:rsidRPr="00CA088E" w:rsidRDefault="00CA088E" w:rsidP="00CA088E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8F98D4" w14:textId="77777777" w:rsidR="00CA088E" w:rsidRPr="00CA088E" w:rsidRDefault="00CA088E" w:rsidP="00CA088E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E700E3" w14:textId="77777777" w:rsidR="00CA088E" w:rsidRPr="00CA088E" w:rsidRDefault="00CA088E" w:rsidP="00CA088E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A088E" w:rsidRPr="00CA088E" w14:paraId="1960954E" w14:textId="77777777" w:rsidTr="00CA088E">
        <w:trPr>
          <w:trHeight w:val="300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D65FA8F" w14:textId="77777777" w:rsidR="00CA088E" w:rsidRPr="00CA088E" w:rsidRDefault="00CA088E" w:rsidP="00CA088E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Kalkulacja spotkań: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C4A277F" w14:textId="77777777" w:rsidR="00CA088E" w:rsidRPr="00CA088E" w:rsidRDefault="00CA088E" w:rsidP="00CA088E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j.m.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3DA348A" w14:textId="77777777" w:rsidR="00CA088E" w:rsidRPr="00CA088E" w:rsidRDefault="00CA088E" w:rsidP="00CA088E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liczba osób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51E6049" w14:textId="77777777" w:rsidR="00CA088E" w:rsidRPr="00CA088E" w:rsidRDefault="00CA088E" w:rsidP="00CA088E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liczba świadczeń</w:t>
            </w:r>
          </w:p>
        </w:tc>
      </w:tr>
      <w:tr w:rsidR="00CA088E" w:rsidRPr="00CA088E" w14:paraId="0740AB6B" w14:textId="77777777" w:rsidTr="00CA088E">
        <w:trPr>
          <w:trHeight w:val="300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4CA170" w14:textId="77777777" w:rsidR="00CA088E" w:rsidRPr="00CA088E" w:rsidRDefault="00CA088E" w:rsidP="00CA088E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średni koszt noclegów specjalistów z PFRON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9FFD4" w14:textId="77777777" w:rsidR="00CA088E" w:rsidRPr="00CA088E" w:rsidRDefault="00CA088E" w:rsidP="00CA088E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wydarzenie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8666B" w14:textId="77777777" w:rsidR="00CA088E" w:rsidRPr="00CA088E" w:rsidRDefault="00CA088E" w:rsidP="00CA088E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E0133" w14:textId="77777777" w:rsidR="00CA088E" w:rsidRPr="00CA088E" w:rsidRDefault="00CA088E" w:rsidP="00CA088E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</w:tr>
      <w:tr w:rsidR="00CA088E" w:rsidRPr="00CA088E" w14:paraId="2DBCCEE8" w14:textId="77777777" w:rsidTr="00CA088E">
        <w:trPr>
          <w:trHeight w:val="300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CC996" w14:textId="77777777" w:rsidR="00CA088E" w:rsidRPr="00CA088E" w:rsidRDefault="00CA088E" w:rsidP="00CA088E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koszt dojazdu na szkolenia specjalistów z PFRON (średnio 800 km)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E75A8" w14:textId="77777777" w:rsidR="00CA088E" w:rsidRPr="00CA088E" w:rsidRDefault="00CA088E" w:rsidP="00CA088E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wydarzenie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472AB" w14:textId="77777777" w:rsidR="00CA088E" w:rsidRPr="00CA088E" w:rsidRDefault="00CA088E" w:rsidP="00CA088E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2FCC48" w14:textId="77777777" w:rsidR="00CA088E" w:rsidRPr="00CA088E" w:rsidRDefault="00CA088E" w:rsidP="00CA088E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</w:tr>
      <w:tr w:rsidR="00CA088E" w:rsidRPr="00CA088E" w14:paraId="652AA932" w14:textId="77777777" w:rsidTr="00CA088E">
        <w:trPr>
          <w:trHeight w:val="300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A71B9" w14:textId="77777777" w:rsidR="00CA088E" w:rsidRPr="00CA088E" w:rsidRDefault="00CA088E" w:rsidP="00CA088E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diety za pełne wyżywienie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99F13" w14:textId="77777777" w:rsidR="00CA088E" w:rsidRPr="00CA088E" w:rsidRDefault="00CA088E" w:rsidP="00CA088E">
            <w:pPr>
              <w:spacing w:after="0" w:line="240" w:lineRule="auto"/>
              <w:contextualSpacing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wydarzenie - 48 godzin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85FB6" w14:textId="77777777" w:rsidR="00CA088E" w:rsidRPr="00CA088E" w:rsidRDefault="00CA088E" w:rsidP="00CA088E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CB1B7" w14:textId="77777777" w:rsidR="00CA088E" w:rsidRPr="00CA088E" w:rsidRDefault="00CA088E" w:rsidP="00CA088E">
            <w:pPr>
              <w:spacing w:after="0" w:line="240" w:lineRule="auto"/>
              <w:contextualSpacing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CA08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</w:tbl>
    <w:p w14:paraId="3545C360" w14:textId="77777777" w:rsidR="00A67853" w:rsidRPr="00A67853" w:rsidRDefault="00A67853" w:rsidP="00A67853">
      <w:pPr>
        <w:spacing w:before="120"/>
        <w:contextualSpacing w:val="0"/>
        <w:rPr>
          <w:sz w:val="22"/>
          <w:szCs w:val="22"/>
        </w:rPr>
      </w:pPr>
      <w:r w:rsidRPr="00A67853">
        <w:rPr>
          <w:sz w:val="22"/>
          <w:szCs w:val="22"/>
        </w:rPr>
        <w:t>Stosowna informacja została dodana w OZPI w polu „Opis nazwy pozycji kosztowej”.</w:t>
      </w:r>
    </w:p>
    <w:p w14:paraId="69706435" w14:textId="77777777" w:rsidR="005E0E05" w:rsidRDefault="005E0E05" w:rsidP="00AD5389">
      <w:pPr>
        <w:spacing w:line="240" w:lineRule="auto"/>
        <w:contextualSpacing w:val="0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</w:p>
    <w:p w14:paraId="71D59CCE" w14:textId="7E46DC24" w:rsidR="00C96CE5" w:rsidRDefault="00C96CE5" w:rsidP="00AD5389">
      <w:pPr>
        <w:pStyle w:val="Heading1"/>
        <w:numPr>
          <w:ilvl w:val="0"/>
          <w:numId w:val="20"/>
        </w:numPr>
        <w:ind w:left="426" w:hanging="426"/>
      </w:pPr>
      <w:r>
        <w:t xml:space="preserve">Uwagi </w:t>
      </w:r>
      <w:r w:rsidR="00C0334D">
        <w:t>MSWiA</w:t>
      </w:r>
    </w:p>
    <w:p w14:paraId="3F625B3A" w14:textId="53589DD6" w:rsidR="009C43F0" w:rsidRDefault="00B1138F" w:rsidP="00F31D80">
      <w:pPr>
        <w:pStyle w:val="Heading2"/>
        <w:numPr>
          <w:ilvl w:val="0"/>
          <w:numId w:val="24"/>
        </w:numPr>
        <w:ind w:left="426" w:hanging="426"/>
      </w:pPr>
      <w:r>
        <w:t xml:space="preserve">Nieaktualne </w:t>
      </w:r>
      <w:r w:rsidRPr="00B1138F">
        <w:t>informacje dot. osób, których dane są gromadzone w rejestrze PESEL</w:t>
      </w:r>
      <w:r>
        <w:t xml:space="preserve"> w zakresie cudzoziemców</w:t>
      </w:r>
      <w:r w:rsidR="008E6291">
        <w:t xml:space="preserve"> (</w:t>
      </w:r>
      <w:r w:rsidR="0079300E">
        <w:t>pkt 7.1.)</w:t>
      </w:r>
    </w:p>
    <w:p w14:paraId="4A7B6279" w14:textId="77D64E48" w:rsidR="004F2AD6" w:rsidRDefault="005D694F" w:rsidP="00833A89">
      <w:pPr>
        <w:contextualSpacing w:val="0"/>
      </w:pPr>
      <w:r>
        <w:t xml:space="preserve">Nieaktualny zapis dotyczący cudzoziemców został zastąpiony </w:t>
      </w:r>
      <w:r w:rsidR="009073F7">
        <w:t>tre</w:t>
      </w:r>
      <w:r w:rsidR="00E177EE">
        <w:t>ścią otrzymaną od autora uwagi.</w:t>
      </w:r>
    </w:p>
    <w:p w14:paraId="45EA07DE" w14:textId="77777777" w:rsidR="008C21DA" w:rsidRDefault="008C21DA" w:rsidP="004F2AD6"/>
    <w:p w14:paraId="3A0ADD64" w14:textId="0FCC9853" w:rsidR="008C21DA" w:rsidRDefault="008C21DA" w:rsidP="008C21DA">
      <w:pPr>
        <w:pStyle w:val="Heading2"/>
        <w:numPr>
          <w:ilvl w:val="0"/>
          <w:numId w:val="24"/>
        </w:numPr>
        <w:ind w:left="426" w:hanging="426"/>
      </w:pPr>
      <w:r>
        <w:t xml:space="preserve">Nieaktualna podstawa prawna </w:t>
      </w:r>
      <w:r w:rsidR="002A55B7" w:rsidRPr="002A55B7">
        <w:t>Krajowych Ram Interoperacyjności</w:t>
      </w:r>
      <w:r w:rsidR="002A55B7">
        <w:t xml:space="preserve"> w </w:t>
      </w:r>
      <w:r w:rsidR="0052358E">
        <w:t>rozdziale „Bezpieczeń</w:t>
      </w:r>
      <w:r w:rsidR="00DF4803">
        <w:t>s</w:t>
      </w:r>
      <w:r w:rsidR="0052358E">
        <w:t>two”</w:t>
      </w:r>
      <w:r w:rsidR="008C124C">
        <w:t xml:space="preserve"> (pkt 7.5.)</w:t>
      </w:r>
    </w:p>
    <w:p w14:paraId="7794E935" w14:textId="3BA37E13" w:rsidR="00E177EE" w:rsidRDefault="002431B2" w:rsidP="004F2AD6">
      <w:r>
        <w:t>Wnioskodawca</w:t>
      </w:r>
      <w:r w:rsidR="00770227">
        <w:t xml:space="preserve"> nie może dokonać zmiany. Zapis</w:t>
      </w:r>
      <w:r w:rsidR="00A62380">
        <w:t xml:space="preserve"> </w:t>
      </w:r>
      <w:r w:rsidR="00E83332">
        <w:t xml:space="preserve">stanowi </w:t>
      </w:r>
      <w:r w:rsidR="00ED36EC">
        <w:t>opis pola</w:t>
      </w:r>
      <w:r w:rsidR="00A62380">
        <w:t xml:space="preserve"> </w:t>
      </w:r>
      <w:r w:rsidR="00195BB4">
        <w:t>umieszczony na stałe</w:t>
      </w:r>
      <w:r w:rsidR="00A62380">
        <w:t xml:space="preserve"> w generatorze wniosków KRMC.</w:t>
      </w:r>
    </w:p>
    <w:p w14:paraId="3B84A5B7" w14:textId="2254174C" w:rsidR="00F95D5A" w:rsidRDefault="00F95D5A" w:rsidP="00833A89">
      <w:pPr>
        <w:contextualSpacing w:val="0"/>
      </w:pPr>
      <w:r w:rsidRPr="00F95D5A">
        <w:rPr>
          <w:noProof/>
        </w:rPr>
        <w:drawing>
          <wp:inline distT="0" distB="0" distL="0" distR="0" wp14:anchorId="0F0E7B01" wp14:editId="26391C67">
            <wp:extent cx="5760720" cy="1670685"/>
            <wp:effectExtent l="38100" t="38100" r="87630" b="100965"/>
            <wp:docPr id="653338849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338849" name="Obraz 1" descr="Obraz zawierający tekst, zrzut ekranu, Czcionka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7068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041A174" w14:textId="77777777" w:rsidR="00027100" w:rsidRPr="004F2AD6" w:rsidRDefault="00027100" w:rsidP="00833A89">
      <w:pPr>
        <w:contextualSpacing w:val="0"/>
      </w:pPr>
    </w:p>
    <w:p w14:paraId="435BB295" w14:textId="5BB244B0" w:rsidR="00C0334D" w:rsidRDefault="00F1449B" w:rsidP="00F31D80">
      <w:pPr>
        <w:pStyle w:val="Heading2"/>
        <w:numPr>
          <w:ilvl w:val="0"/>
          <w:numId w:val="24"/>
        </w:numPr>
        <w:ind w:left="426" w:hanging="426"/>
      </w:pPr>
      <w:r>
        <w:t xml:space="preserve">Wykreślenie </w:t>
      </w:r>
      <w:r w:rsidR="007100C7">
        <w:t>z pkt</w:t>
      </w:r>
      <w:r w:rsidR="00FD5342">
        <w:t xml:space="preserve"> </w:t>
      </w:r>
      <w:r w:rsidR="009D1CD7" w:rsidRPr="009D1CD7">
        <w:t xml:space="preserve">2.1 Cele i korzyści </w:t>
      </w:r>
      <w:r w:rsidR="00A13294">
        <w:t xml:space="preserve">wynikające </w:t>
      </w:r>
      <w:r w:rsidR="009D1CD7" w:rsidRPr="009D1CD7">
        <w:t>z projektu</w:t>
      </w:r>
      <w:r w:rsidR="009D1CD7">
        <w:t xml:space="preserve"> </w:t>
      </w:r>
      <w:r w:rsidR="00A13294">
        <w:t xml:space="preserve">dokumentu </w:t>
      </w:r>
      <w:r w:rsidR="00C51BE1" w:rsidRPr="00C51BE1">
        <w:t>SSiNP 2030</w:t>
      </w:r>
      <w:r w:rsidR="008C124C">
        <w:t xml:space="preserve"> (pkt 2.1.)</w:t>
      </w:r>
    </w:p>
    <w:p w14:paraId="6B499400" w14:textId="6D63793E" w:rsidR="00C51BE1" w:rsidRPr="00C51BE1" w:rsidRDefault="00A13294" w:rsidP="00833A89">
      <w:pPr>
        <w:contextualSpacing w:val="0"/>
      </w:pPr>
      <w:r>
        <w:t>Dokument</w:t>
      </w:r>
      <w:r w:rsidR="001E2B13">
        <w:t xml:space="preserve"> </w:t>
      </w:r>
      <w:r w:rsidR="001E2B13" w:rsidRPr="001E2B13">
        <w:t>„Strategia Sprawne i Nowoczesne Państwo 2030 (SSiNP 2030) – w zakresie celu:  - cel szczegółowy II. Sprawne instytucje państwowe.”</w:t>
      </w:r>
      <w:r w:rsidR="001E2B13">
        <w:t xml:space="preserve"> został wykreślon</w:t>
      </w:r>
      <w:r>
        <w:t>y</w:t>
      </w:r>
      <w:r w:rsidR="001E2B13">
        <w:t>.</w:t>
      </w:r>
    </w:p>
    <w:p w14:paraId="12160205" w14:textId="77777777" w:rsidR="00C0334D" w:rsidRDefault="00C0334D" w:rsidP="00C0334D"/>
    <w:p w14:paraId="40D5F8B8" w14:textId="3D142ED4" w:rsidR="00C0334D" w:rsidRDefault="00C0334D" w:rsidP="00C0334D">
      <w:pPr>
        <w:pStyle w:val="Heading1"/>
        <w:numPr>
          <w:ilvl w:val="0"/>
          <w:numId w:val="20"/>
        </w:numPr>
        <w:ind w:left="426" w:hanging="426"/>
      </w:pPr>
      <w:r>
        <w:t xml:space="preserve">Uwagi </w:t>
      </w:r>
      <w:r w:rsidR="008651F0">
        <w:t>ZUS</w:t>
      </w:r>
    </w:p>
    <w:p w14:paraId="4412E4D9" w14:textId="71DF4822" w:rsidR="008651F0" w:rsidRDefault="00E80C10" w:rsidP="00271D8F">
      <w:pPr>
        <w:pStyle w:val="Heading2"/>
        <w:numPr>
          <w:ilvl w:val="0"/>
          <w:numId w:val="28"/>
        </w:numPr>
        <w:ind w:left="426" w:hanging="426"/>
      </w:pPr>
      <w:r>
        <w:t xml:space="preserve">Zmiana </w:t>
      </w:r>
      <w:r w:rsidR="0073051F">
        <w:t>opisu celu projektu</w:t>
      </w:r>
      <w:r w:rsidR="008C124C">
        <w:t xml:space="preserve"> </w:t>
      </w:r>
      <w:r w:rsidR="003E1062">
        <w:t>(pkt 2.1.)</w:t>
      </w:r>
    </w:p>
    <w:p w14:paraId="1A223116" w14:textId="754FCD89" w:rsidR="003B08D2" w:rsidRDefault="004525CE" w:rsidP="00833A89">
      <w:pPr>
        <w:contextualSpacing w:val="0"/>
      </w:pPr>
      <w:r>
        <w:t>Opis celu projektu został zastąpiony treścią otrzymaną od autora uwagi.</w:t>
      </w:r>
      <w:r w:rsidR="00BE74ED">
        <w:t xml:space="preserve"> Sformułowanie „w</w:t>
      </w:r>
      <w:r w:rsidR="00E4146E">
        <w:t>ejście na rynek pracy” zostało zastąpione sformułowaniem „</w:t>
      </w:r>
      <w:r w:rsidR="00E4146E" w:rsidRPr="00E4146E">
        <w:t>„Wsparcie procesu wchodzenia na rynek pracy</w:t>
      </w:r>
      <w:r w:rsidR="00E4146E">
        <w:t>”.</w:t>
      </w:r>
    </w:p>
    <w:p w14:paraId="518D2E75" w14:textId="77777777" w:rsidR="004525CE" w:rsidRPr="003B08D2" w:rsidRDefault="004525CE" w:rsidP="003B08D2"/>
    <w:p w14:paraId="1340EFFD" w14:textId="0D4152F0" w:rsidR="003B08D2" w:rsidRPr="003B08D2" w:rsidRDefault="00036558" w:rsidP="00271D8F">
      <w:pPr>
        <w:pStyle w:val="Heading2"/>
        <w:numPr>
          <w:ilvl w:val="0"/>
          <w:numId w:val="28"/>
        </w:numPr>
        <w:ind w:left="426" w:hanging="426"/>
      </w:pPr>
      <w:r>
        <w:t>Uzupełnie</w:t>
      </w:r>
      <w:r w:rsidR="00095372">
        <w:t xml:space="preserve">nie pkt „Korzyści” o </w:t>
      </w:r>
      <w:r w:rsidR="00BA70AC">
        <w:t xml:space="preserve">okres, w którym </w:t>
      </w:r>
      <w:r w:rsidR="009A5210">
        <w:t xml:space="preserve">realizacja projektu </w:t>
      </w:r>
      <w:r w:rsidR="00AD602E">
        <w:t xml:space="preserve">przyniesie </w:t>
      </w:r>
      <w:r w:rsidR="001A57C7">
        <w:t>oszczędności</w:t>
      </w:r>
      <w:r w:rsidR="003E1062">
        <w:t xml:space="preserve"> (pkt 2.1.)</w:t>
      </w:r>
    </w:p>
    <w:p w14:paraId="35603D72" w14:textId="43D7BF4D" w:rsidR="008651F0" w:rsidRDefault="00074677" w:rsidP="00833A89">
      <w:pPr>
        <w:contextualSpacing w:val="0"/>
      </w:pPr>
      <w:r>
        <w:t xml:space="preserve">Okres, dla którego </w:t>
      </w:r>
      <w:r w:rsidR="00B44E2F">
        <w:t>wyliczone zostały oszcz</w:t>
      </w:r>
      <w:r w:rsidR="00C225D4">
        <w:t xml:space="preserve">ędności został wpisany do OPZI. Jest to </w:t>
      </w:r>
      <w:r w:rsidR="00833A89">
        <w:t xml:space="preserve">okres </w:t>
      </w:r>
      <w:r w:rsidR="00A43D35">
        <w:t>12 miesięcy od zakończenia realizacji projektu</w:t>
      </w:r>
      <w:r w:rsidR="00C225D4">
        <w:t>.</w:t>
      </w:r>
    </w:p>
    <w:p w14:paraId="3E79814A" w14:textId="77777777" w:rsidR="002571A9" w:rsidRDefault="002571A9" w:rsidP="008651F0"/>
    <w:p w14:paraId="7E9740F9" w14:textId="16DE65FC" w:rsidR="002571A9" w:rsidRDefault="00B454B5" w:rsidP="00271D8F">
      <w:pPr>
        <w:pStyle w:val="Heading2"/>
        <w:numPr>
          <w:ilvl w:val="0"/>
          <w:numId w:val="28"/>
        </w:numPr>
        <w:ind w:left="426" w:hanging="426"/>
      </w:pPr>
      <w:r>
        <w:t xml:space="preserve">Zmiana </w:t>
      </w:r>
      <w:r w:rsidR="00897C47">
        <w:t>treści KPI 1</w:t>
      </w:r>
      <w:r w:rsidR="00C77631">
        <w:t xml:space="preserve"> </w:t>
      </w:r>
      <w:r w:rsidR="00C77631" w:rsidRPr="00C77631">
        <w:t>„Instytucje publiczne otrzymujące wsparcie na opracowywanie usług, produktów i procesów cyfrowych”</w:t>
      </w:r>
      <w:r w:rsidR="003E1062">
        <w:t xml:space="preserve"> (pkt 2.1.)</w:t>
      </w:r>
    </w:p>
    <w:p w14:paraId="5D0C7E2D" w14:textId="490E271B" w:rsidR="008651F0" w:rsidRDefault="002431B2" w:rsidP="00833A89">
      <w:pPr>
        <w:contextualSpacing w:val="0"/>
      </w:pPr>
      <w:r>
        <w:t>Wnioskodawca</w:t>
      </w:r>
      <w:r w:rsidR="00D30F46">
        <w:t xml:space="preserve"> </w:t>
      </w:r>
      <w:r w:rsidR="008D1B5A">
        <w:t xml:space="preserve">pozostawił zapis w pierwotnym brzmieniu. </w:t>
      </w:r>
      <w:r w:rsidR="00AE682E">
        <w:t>Wnioskodawca dostrzega brak konsekwencji językowej w konstrukcji wskaźników FERC, jednakże</w:t>
      </w:r>
      <w:r w:rsidR="00294EDA">
        <w:t xml:space="preserve"> o</w:t>
      </w:r>
      <w:r w:rsidR="00570F59">
        <w:t>pis KPI 1</w:t>
      </w:r>
      <w:r w:rsidR="00447EBE">
        <w:t xml:space="preserve"> stanowi </w:t>
      </w:r>
      <w:r w:rsidR="006A0224">
        <w:t xml:space="preserve">dokładne odwzorowanie zapisu wskaźnika </w:t>
      </w:r>
      <w:r w:rsidR="00D83445" w:rsidRPr="00D83445">
        <w:t xml:space="preserve">WLWK-RCO014 </w:t>
      </w:r>
      <w:r w:rsidR="005655B2">
        <w:t>–</w:t>
      </w:r>
      <w:r w:rsidR="00D83445" w:rsidRPr="00D83445">
        <w:t xml:space="preserve"> </w:t>
      </w:r>
      <w:r w:rsidR="005655B2">
        <w:t>„</w:t>
      </w:r>
      <w:r w:rsidR="00D83445" w:rsidRPr="00D83445">
        <w:t>Instytucje publiczne otrzymujące wsparcie na opracowywanie usług, produktów i procesów cyfrowych</w:t>
      </w:r>
      <w:r w:rsidR="005655B2">
        <w:t>” wymienionego w  dokumencie „Szczegółowy Opis Priorytetów Programu Fundusze Europejskie na Rozwój Cyfrowy 2021-2027”</w:t>
      </w:r>
      <w:r w:rsidR="003F7B17">
        <w:t xml:space="preserve">. </w:t>
      </w:r>
      <w:r w:rsidR="00294EDA">
        <w:t>Wskaźnik ten jest</w:t>
      </w:r>
      <w:r w:rsidR="003F7B17">
        <w:t xml:space="preserve"> </w:t>
      </w:r>
      <w:r w:rsidR="00781756">
        <w:t>obligato</w:t>
      </w:r>
      <w:r w:rsidR="00D4038C">
        <w:t>ryjny</w:t>
      </w:r>
      <w:r w:rsidR="00294EDA">
        <w:t>m</w:t>
      </w:r>
      <w:r w:rsidR="00D4038C">
        <w:t xml:space="preserve"> </w:t>
      </w:r>
      <w:r w:rsidR="003F7B17">
        <w:t>wsk</w:t>
      </w:r>
      <w:r w:rsidR="00781756">
        <w:t>aźnik</w:t>
      </w:r>
      <w:r w:rsidR="00294EDA">
        <w:t>iem</w:t>
      </w:r>
      <w:r w:rsidR="00781756">
        <w:t xml:space="preserve"> </w:t>
      </w:r>
      <w:r w:rsidR="00D4038C">
        <w:t>horyzontalny</w:t>
      </w:r>
      <w:r w:rsidR="00294EDA">
        <w:t>m</w:t>
      </w:r>
      <w:r w:rsidR="00D4038C">
        <w:t xml:space="preserve"> FERC</w:t>
      </w:r>
      <w:r w:rsidR="00294EDA">
        <w:t>.</w:t>
      </w:r>
    </w:p>
    <w:p w14:paraId="553D97A4" w14:textId="77777777" w:rsidR="00CD4F23" w:rsidRDefault="00CD4F23" w:rsidP="005655B2"/>
    <w:p w14:paraId="4CB961B4" w14:textId="42F62CB4" w:rsidR="008F44C2" w:rsidRDefault="00C63C2C" w:rsidP="00271D8F">
      <w:pPr>
        <w:pStyle w:val="Heading2"/>
        <w:numPr>
          <w:ilvl w:val="0"/>
          <w:numId w:val="28"/>
        </w:numPr>
        <w:ind w:left="426" w:hanging="426"/>
      </w:pPr>
      <w:r>
        <w:t xml:space="preserve">Dodanie słowa „wszystkich” </w:t>
      </w:r>
      <w:r w:rsidR="0044120F">
        <w:t xml:space="preserve">(wniosków) </w:t>
      </w:r>
      <w:r w:rsidR="00E47B81">
        <w:t>d</w:t>
      </w:r>
      <w:r w:rsidR="00BC3318">
        <w:t>o informacji</w:t>
      </w:r>
      <w:r w:rsidR="00DE2408">
        <w:t xml:space="preserve"> „Metoda pomiaru</w:t>
      </w:r>
      <w:r w:rsidR="00601E00">
        <w:t xml:space="preserve"> KPI”</w:t>
      </w:r>
      <w:r w:rsidR="00250B76">
        <w:t xml:space="preserve"> (pkt 2.1.)</w:t>
      </w:r>
    </w:p>
    <w:p w14:paraId="5180E849" w14:textId="77659427" w:rsidR="00601E00" w:rsidRDefault="008C68D5" w:rsidP="00833A89">
      <w:pPr>
        <w:contextualSpacing w:val="0"/>
      </w:pPr>
      <w:r>
        <w:t xml:space="preserve">Zostało wprowadzone rozszerzenie zgodnie z treścią uwagi. Obecny zapis </w:t>
      </w:r>
      <w:r w:rsidR="00E47B81">
        <w:t xml:space="preserve">dla KPI 1 </w:t>
      </w:r>
      <w:r>
        <w:t>brzmi: „</w:t>
      </w:r>
      <w:r w:rsidRPr="008C68D5">
        <w:t>Metoda i sposób pomiaru: uzyskanie akceptacji wszystkich wniosków o płatność</w:t>
      </w:r>
      <w:r w:rsidR="00E47B81">
        <w:t>”</w:t>
      </w:r>
      <w:r w:rsidRPr="008C68D5">
        <w:t>.</w:t>
      </w:r>
    </w:p>
    <w:p w14:paraId="6353F980" w14:textId="77777777" w:rsidR="00BC3318" w:rsidRPr="00601E00" w:rsidRDefault="00BC3318" w:rsidP="00601E00"/>
    <w:p w14:paraId="3EEDB0CD" w14:textId="148C0019" w:rsidR="00780360" w:rsidRDefault="004A1241" w:rsidP="00271D8F">
      <w:pPr>
        <w:pStyle w:val="Heading2"/>
        <w:numPr>
          <w:ilvl w:val="0"/>
          <w:numId w:val="28"/>
        </w:numPr>
        <w:ind w:left="426" w:hanging="426"/>
      </w:pPr>
      <w:r w:rsidRPr="004A1241">
        <w:t xml:space="preserve">Zmiana treści KPI </w:t>
      </w:r>
      <w:r w:rsidR="00B56266">
        <w:t>2 „</w:t>
      </w:r>
      <w:r w:rsidR="007A68FD">
        <w:t xml:space="preserve"> </w:t>
      </w:r>
      <w:r w:rsidR="00E77F61" w:rsidRPr="00E77F61">
        <w:t>Liczba uruchomionych systemów teleinformatycznych w podmiotach wykonujących zadania publiczne</w:t>
      </w:r>
      <w:r w:rsidR="00E77F61">
        <w:t>”</w:t>
      </w:r>
      <w:r w:rsidR="0050360C">
        <w:t xml:space="preserve"> (pkt </w:t>
      </w:r>
      <w:r w:rsidR="00E03AEF">
        <w:t>2.1.)</w:t>
      </w:r>
    </w:p>
    <w:p w14:paraId="7EEB934A" w14:textId="6F3C8475" w:rsidR="00780360" w:rsidRDefault="00E77F61" w:rsidP="00833A89">
      <w:pPr>
        <w:contextualSpacing w:val="0"/>
      </w:pPr>
      <w:r w:rsidRPr="00E77F61">
        <w:t xml:space="preserve">Wnioskodawca pozostawił zapis w pierwotnym brzmieniu. </w:t>
      </w:r>
      <w:r>
        <w:t>O</w:t>
      </w:r>
      <w:r w:rsidRPr="00E77F61">
        <w:t xml:space="preserve">pis KPI </w:t>
      </w:r>
      <w:r w:rsidR="00886D2C">
        <w:t>2</w:t>
      </w:r>
      <w:r w:rsidRPr="00E77F61">
        <w:t xml:space="preserve"> stanowi dokładne odwzorowanie zapisu wskaźnika </w:t>
      </w:r>
      <w:r w:rsidR="0069683D">
        <w:t>„</w:t>
      </w:r>
      <w:r w:rsidR="0069683D" w:rsidRPr="0069683D">
        <w:t>PROG-FERC-P009 - Liczba uruchomionych systemów teleinformatycznych w podmiotach wykonujących zadania publiczne</w:t>
      </w:r>
      <w:r w:rsidRPr="00E77F61">
        <w:t xml:space="preserve">” wymienionego w  dokumencie „Szczegółowy Opis Priorytetów Programu Fundusze Europejskie na Rozwój Cyfrowy 2021-2027”. Wskaźnik ten jest obligatoryjnym wskaźnikiem </w:t>
      </w:r>
      <w:r w:rsidR="0069683D">
        <w:t>programowym</w:t>
      </w:r>
      <w:r w:rsidRPr="00E77F61">
        <w:t xml:space="preserve"> FERC.</w:t>
      </w:r>
    </w:p>
    <w:p w14:paraId="1DAE29E4" w14:textId="77777777" w:rsidR="00944ED9" w:rsidRPr="00944ED9" w:rsidRDefault="00944ED9" w:rsidP="00944ED9"/>
    <w:p w14:paraId="60BE0684" w14:textId="54830665" w:rsidR="00780360" w:rsidRDefault="00C0472D" w:rsidP="00192FE6">
      <w:pPr>
        <w:pStyle w:val="Heading2"/>
        <w:numPr>
          <w:ilvl w:val="0"/>
          <w:numId w:val="28"/>
        </w:numPr>
        <w:ind w:left="426" w:hanging="426"/>
      </w:pPr>
      <w:r w:rsidRPr="00C0472D">
        <w:t>Uzupełnienie zapisu dotyczącego ryzyko Opóźnienia w rozstrzygnięciu zamówień publicznych wpływających na kamienie milowe projektu”</w:t>
      </w:r>
      <w:r w:rsidR="000B6E48">
        <w:t xml:space="preserve"> </w:t>
      </w:r>
      <w:r w:rsidR="00156508">
        <w:t>poprz</w:t>
      </w:r>
      <w:r w:rsidR="00F64897">
        <w:t xml:space="preserve">ez przeprowadzenie konsultacji rynkowych </w:t>
      </w:r>
      <w:r w:rsidR="00C0412D">
        <w:t>(pkt 5.1.)</w:t>
      </w:r>
    </w:p>
    <w:p w14:paraId="798CFD78" w14:textId="1439B591" w:rsidR="00B30967" w:rsidRDefault="007C72F8" w:rsidP="00B30967">
      <w:pPr>
        <w:contextualSpacing w:val="0"/>
      </w:pPr>
      <w:r w:rsidRPr="007C72F8">
        <w:t>Wnioskodawca pozostawił zapis w pierwotnym brzmieniu.</w:t>
      </w:r>
      <w:r w:rsidR="003D6B10">
        <w:t xml:space="preserve"> </w:t>
      </w:r>
      <w:r w:rsidR="00DF25D8">
        <w:t>W ocenie Wnioskodawcy p</w:t>
      </w:r>
      <w:r w:rsidR="00B30967">
        <w:t xml:space="preserve">rzeprowadzenie WKR nie jest narzędziem służącym do </w:t>
      </w:r>
      <w:proofErr w:type="spellStart"/>
      <w:r w:rsidR="00B30967">
        <w:t>mitygacji</w:t>
      </w:r>
      <w:proofErr w:type="spellEnd"/>
      <w:r w:rsidR="00B30967">
        <w:t xml:space="preserve"> ryzyka przedłużenia się postępowania w zakresie jego rozstrzygania, ale przede wszystkim narzędziem służącym prawidłowemu określeniu przedmiotu zamówienia w stosunku do potrzeb zamawiającego. Innymi słowy WKR to narzędzie pozyskiwania wiedzy dotyczącej przedmiotu zamówienia. WKR pozwala zamawiającemu identyfikować najnowsze rozwiązania techniczne, ekonomiczne i organizacyjne związane z przeprowadzeniem postępowania. Wstępne konsultacje rynkowe to narzędzie, dzięki któremu łatwiej o zastosowanie rozwiązań innowacyjnych, zaawansowanych technologicznie, a także proekologicznych. Wykonawcy w toku wstępnych konsultacjach rynkowych, mają możliwość zaprezentowania dostępnych rozwiązań technologicznych, a także poznania w dużo szerszym niż zazwyczaj zakresie potrzeb Zamawiającego związanych z konkretnym zamówieniem.</w:t>
      </w:r>
    </w:p>
    <w:p w14:paraId="7499732C" w14:textId="7A6D8748" w:rsidR="00F36594" w:rsidRDefault="00B30967" w:rsidP="00B30967">
      <w:pPr>
        <w:contextualSpacing w:val="0"/>
      </w:pPr>
      <w:r>
        <w:t>W sytuacji w której zamawiający ma zidentyfikowane potrzeby oraz ma rozpoznane rozwiązania występujące na rynku w zakresie objętym przedmiotem zamówienia, przeprowadzenie WKR nie przyniesie wartości dodanej w zakresie sformułowania OPZ. WKR jako proces wymagający odpowiedniego nakładu pracy (zaangażowanie zespołu który może zostać odciągnięty od zadania podstawowego jakim jest stworzenie dobrej jakości OPZ) jest także procesem czasochłonnym. W tym zakresie konieczne jest rozważenia przy zastosowaniu odpowiedniego narzędzia (np. analiza SW</w:t>
      </w:r>
      <w:r w:rsidR="003F23C1">
        <w:t>O</w:t>
      </w:r>
      <w:r>
        <w:t xml:space="preserve">T) jakie są szanse i zagrożenia, korzyści oraz słabe strony przeprowadzenia WKR i podjęcie decyzji. We wstępnej ocenie PFRON oraz biorąc pod uwagę doświadczenia w zakresie prowadzenia WKR proces ten może mieć istotny wpływ na wydłużenie procesu </w:t>
      </w:r>
      <w:r w:rsidR="003F23C1">
        <w:t>kontraktowania</w:t>
      </w:r>
      <w:r>
        <w:t xml:space="preserve"> zamówień w ramach projektu.</w:t>
      </w:r>
    </w:p>
    <w:p w14:paraId="371F8CCC" w14:textId="285951FD" w:rsidR="00010200" w:rsidRDefault="00010200" w:rsidP="00B30967">
      <w:pPr>
        <w:contextualSpacing w:val="0"/>
      </w:pPr>
      <w:r>
        <w:t>Wnioskodaw</w:t>
      </w:r>
      <w:r w:rsidR="00AA237E">
        <w:t xml:space="preserve">ca </w:t>
      </w:r>
      <w:r w:rsidR="00BF1570">
        <w:t>rozumie intencję Autor</w:t>
      </w:r>
      <w:r w:rsidR="00542275">
        <w:t xml:space="preserve">a uwagi </w:t>
      </w:r>
      <w:r w:rsidR="000F1250">
        <w:t>co do</w:t>
      </w:r>
      <w:r w:rsidR="00542275">
        <w:t xml:space="preserve"> </w:t>
      </w:r>
      <w:r w:rsidR="00C7366B">
        <w:t xml:space="preserve">uzupełnienia sposobu zarządzania ryzykiem o zapis podkreślający </w:t>
      </w:r>
      <w:r w:rsidR="00542275">
        <w:t>koniecznoś</w:t>
      </w:r>
      <w:r w:rsidR="000F1250">
        <w:t xml:space="preserve">ć </w:t>
      </w:r>
      <w:r w:rsidR="00BA6B29">
        <w:t xml:space="preserve">korzystania z rozwiązań </w:t>
      </w:r>
      <w:r w:rsidR="00CC14D5">
        <w:t xml:space="preserve"> </w:t>
      </w:r>
      <w:r w:rsidR="0069208F">
        <w:t xml:space="preserve">zwiększających prawdopodobieństwo skutecznego postepowania. Stąd </w:t>
      </w:r>
      <w:r w:rsidR="00CF2092">
        <w:t>pozycja o brzmieniu „</w:t>
      </w:r>
      <w:r w:rsidR="00CF2092" w:rsidRPr="00CF2092">
        <w:t>Staranne określenie przedmiotu zamówienia</w:t>
      </w:r>
      <w:r w:rsidR="00CF2092">
        <w:t xml:space="preserve">” została zastąpiona </w:t>
      </w:r>
      <w:r w:rsidR="00F57663">
        <w:t xml:space="preserve">zapisem </w:t>
      </w:r>
      <w:r w:rsidR="0072445C">
        <w:t>o treści: „</w:t>
      </w:r>
      <w:r w:rsidR="0072445C" w:rsidRPr="0072445C">
        <w:t>Przygotowanie SWZ w sposób bardzo staranny i przemyślany, z uwzględnieniem standardów rekomendowanych przez Prezesa UZP (ustalonych w dużej mierze z rynkiem) oraz wskazań w zakresie orzecznictwa KIO</w:t>
      </w:r>
      <w:r w:rsidR="0013728D">
        <w:t>”.</w:t>
      </w:r>
    </w:p>
    <w:p w14:paraId="79FFAA64" w14:textId="77777777" w:rsidR="00F36594" w:rsidRPr="00F36594" w:rsidRDefault="00F36594" w:rsidP="00F36594"/>
    <w:p w14:paraId="7261C19D" w14:textId="76648B2D" w:rsidR="00BD6CCC" w:rsidRDefault="00BF5F8D" w:rsidP="00192FE6">
      <w:pPr>
        <w:pStyle w:val="Heading2"/>
        <w:numPr>
          <w:ilvl w:val="0"/>
          <w:numId w:val="28"/>
        </w:numPr>
        <w:ind w:left="426" w:hanging="426"/>
      </w:pPr>
      <w:r w:rsidRPr="00BF5F8D">
        <w:t>Uzupełnienie zapisu dotyczącego ryzyko Opóźnienia w rozstrzygnięciu zamówień publicznych wpływających na kamienie milowe projektu”</w:t>
      </w:r>
      <w:r w:rsidR="00C0412D">
        <w:t xml:space="preserve"> </w:t>
      </w:r>
      <w:r w:rsidR="00027100">
        <w:t xml:space="preserve">w zakresie </w:t>
      </w:r>
      <w:r w:rsidR="00027100" w:rsidRPr="00027100">
        <w:t xml:space="preserve">analizy warunków postępowania i projektu umowy </w:t>
      </w:r>
      <w:r w:rsidR="00C0412D">
        <w:t>(pkt 5.1.)</w:t>
      </w:r>
    </w:p>
    <w:p w14:paraId="5A9528E1" w14:textId="2785D533" w:rsidR="00983FAC" w:rsidRDefault="00027100" w:rsidP="00AF3802">
      <w:pPr>
        <w:contextualSpacing w:val="0"/>
      </w:pPr>
      <w:r>
        <w:t>Uwaga została zrealizow</w:t>
      </w:r>
      <w:r w:rsidR="002A21D7">
        <w:t xml:space="preserve">ana. </w:t>
      </w:r>
      <w:r w:rsidR="00E00A5E">
        <w:t xml:space="preserve">Zestawienie sposobów zarządzania ryzykiem </w:t>
      </w:r>
      <w:r w:rsidR="00937837">
        <w:t xml:space="preserve">zostało uzupełnione </w:t>
      </w:r>
      <w:r w:rsidR="006C5B71">
        <w:t>o zapis zgodny z treścią uwagi.</w:t>
      </w:r>
    </w:p>
    <w:p w14:paraId="27F9E3D3" w14:textId="77777777" w:rsidR="00937837" w:rsidRDefault="00937837" w:rsidP="00D2318A"/>
    <w:p w14:paraId="5DF87098" w14:textId="59FADF54" w:rsidR="005E5369" w:rsidRDefault="005E5369" w:rsidP="00192FE6">
      <w:pPr>
        <w:pStyle w:val="Heading2"/>
        <w:numPr>
          <w:ilvl w:val="0"/>
          <w:numId w:val="28"/>
        </w:numPr>
        <w:ind w:left="426" w:hanging="426"/>
      </w:pPr>
      <w:r>
        <w:t>Uzasad</w:t>
      </w:r>
      <w:r w:rsidR="00D06737">
        <w:t xml:space="preserve">nienie </w:t>
      </w:r>
      <w:r w:rsidR="00C46673">
        <w:t xml:space="preserve">dla </w:t>
      </w:r>
      <w:r w:rsidR="0005395F">
        <w:t xml:space="preserve">przyjęcia </w:t>
      </w:r>
      <w:r w:rsidR="00D37268">
        <w:t xml:space="preserve">w założeniach </w:t>
      </w:r>
      <w:r w:rsidR="00616F07">
        <w:t xml:space="preserve">technologicznych </w:t>
      </w:r>
      <w:r w:rsidR="00E0755D">
        <w:t>serwer</w:t>
      </w:r>
      <w:r w:rsidR="00224A72">
        <w:t xml:space="preserve">owych systemów operacyjnych </w:t>
      </w:r>
      <w:r w:rsidR="00A90F60">
        <w:t>Linux lub Windows</w:t>
      </w:r>
      <w:r w:rsidR="00C0412D">
        <w:t xml:space="preserve"> (pkt 7.3.)</w:t>
      </w:r>
    </w:p>
    <w:p w14:paraId="6DDFE6AC" w14:textId="38654ACD" w:rsidR="00F210BF" w:rsidRDefault="00A01796" w:rsidP="00833A89">
      <w:pPr>
        <w:contextualSpacing w:val="0"/>
      </w:pPr>
      <w:r w:rsidRPr="00490FC0">
        <w:t>Uzasad</w:t>
      </w:r>
      <w:r w:rsidR="007420A2" w:rsidRPr="00490FC0">
        <w:t>nienie zostało dodane zgodnie z treścią uwagi</w:t>
      </w:r>
      <w:r w:rsidR="00C0412D" w:rsidRPr="00490FC0">
        <w:t>. Pole „Założenia technologiczne” z</w:t>
      </w:r>
      <w:r w:rsidR="009B7478" w:rsidRPr="00490FC0">
        <w:t>ałożeni</w:t>
      </w:r>
      <w:r w:rsidR="00C0412D" w:rsidRPr="00490FC0">
        <w:t>a</w:t>
      </w:r>
      <w:r w:rsidR="009B7478" w:rsidRPr="00490FC0">
        <w:t xml:space="preserve"> nr 5</w:t>
      </w:r>
      <w:r w:rsidR="00C0412D" w:rsidRPr="00490FC0">
        <w:t xml:space="preserve"> zostało </w:t>
      </w:r>
      <w:r w:rsidR="00B02F4D" w:rsidRPr="00490FC0">
        <w:t xml:space="preserve">poszerzone o </w:t>
      </w:r>
      <w:r w:rsidR="00490FC0" w:rsidRPr="00490FC0">
        <w:t xml:space="preserve">następującą informację: </w:t>
      </w:r>
      <w:r w:rsidR="00B80FB9" w:rsidRPr="00490FC0">
        <w:t>Wybór wskazanych systemów</w:t>
      </w:r>
      <w:r w:rsidR="00B80FB9" w:rsidRPr="00B80FB9">
        <w:t xml:space="preserve"> zapewni kompatybilność z technologiami planowanymi do wykorzystania w SODiR 3.0 oraz różnorodnymi wymaganiami poszczególnych jego komponentów składowych. Dodatkowo PFRON posiada kompetencje w administracji oboma systemami, co pozwala na efektywne zarządzanie infrastrukturą, a zakładana elastyczność w doborze systemu operacyjnego umożliwia optymalizację kosztów oraz dostosowanie do przyszłych potrzeb rozwojowych.</w:t>
      </w:r>
    </w:p>
    <w:p w14:paraId="631B6E33" w14:textId="77777777" w:rsidR="00F210BF" w:rsidRPr="00F210BF" w:rsidRDefault="00F210BF" w:rsidP="00F210BF"/>
    <w:p w14:paraId="04EE2F62" w14:textId="0E1992DE" w:rsidR="005E5369" w:rsidRPr="001C1C56" w:rsidRDefault="00BF689C" w:rsidP="00192FE6">
      <w:pPr>
        <w:pStyle w:val="Heading2"/>
        <w:numPr>
          <w:ilvl w:val="0"/>
          <w:numId w:val="28"/>
        </w:numPr>
        <w:ind w:left="426" w:hanging="426"/>
        <w:rPr>
          <w:color w:val="FF0000"/>
        </w:rPr>
      </w:pPr>
      <w:r>
        <w:t>Zmiana</w:t>
      </w:r>
      <w:r w:rsidR="0070725C">
        <w:t xml:space="preserve"> systemu ZUS w poz. 19 </w:t>
      </w:r>
      <w:r w:rsidR="00160580">
        <w:t>l</w:t>
      </w:r>
      <w:r w:rsidR="0070725C">
        <w:t>isty przepływów z PUE na KSI</w:t>
      </w:r>
      <w:r w:rsidR="00E73A26">
        <w:t xml:space="preserve"> (pkt </w:t>
      </w:r>
      <w:r w:rsidR="003B4709">
        <w:t>7.1.)</w:t>
      </w:r>
    </w:p>
    <w:p w14:paraId="20CCEB33" w14:textId="15C73239" w:rsidR="00092B54" w:rsidRDefault="00092B54" w:rsidP="00833A89">
      <w:pPr>
        <w:contextualSpacing w:val="0"/>
      </w:pPr>
      <w:r>
        <w:t>Wni</w:t>
      </w:r>
      <w:r w:rsidR="001C1C56">
        <w:t>o</w:t>
      </w:r>
      <w:r>
        <w:t xml:space="preserve">skodawca </w:t>
      </w:r>
      <w:r w:rsidR="001C1C56">
        <w:t>dokonał zmiany z godnie z treścią uwagi. Przepływy wykazane w pozycjach 19 i 24 zostały scalone.</w:t>
      </w:r>
      <w:r w:rsidR="003030D9">
        <w:t xml:space="preserve"> System ZUS PUE </w:t>
      </w:r>
      <w:r w:rsidR="002C4E6D">
        <w:t>pozostał na liście. Przepływ dotyczący ZUS PUE został dodany w po</w:t>
      </w:r>
      <w:r w:rsidR="00E33A3D">
        <w:t>zycj</w:t>
      </w:r>
      <w:r w:rsidR="00591C9D">
        <w:t>ach 55 i 56 z uwagi na integrację platformy PUE z systemem i</w:t>
      </w:r>
      <w:r w:rsidR="00F54FEB">
        <w:t>PFRON+.</w:t>
      </w:r>
    </w:p>
    <w:p w14:paraId="5B2B7640" w14:textId="77777777" w:rsidR="00092B54" w:rsidRPr="00092B54" w:rsidRDefault="00092B54" w:rsidP="00092B54"/>
    <w:p w14:paraId="239A08FB" w14:textId="363AF2D9" w:rsidR="008651F0" w:rsidRDefault="008651F0" w:rsidP="008651F0">
      <w:pPr>
        <w:pStyle w:val="Heading1"/>
        <w:numPr>
          <w:ilvl w:val="0"/>
          <w:numId w:val="20"/>
        </w:numPr>
        <w:ind w:left="426" w:hanging="426"/>
      </w:pPr>
      <w:r>
        <w:t xml:space="preserve">Uwagi </w:t>
      </w:r>
      <w:r w:rsidR="001872D6">
        <w:t>UODO</w:t>
      </w:r>
      <w:r w:rsidR="003B4709">
        <w:t xml:space="preserve"> (pkt 2.4., </w:t>
      </w:r>
      <w:r w:rsidR="00893D2C">
        <w:t>3., 4.2., 6.)</w:t>
      </w:r>
    </w:p>
    <w:p w14:paraId="3A3F8C1A" w14:textId="0BBC7F21" w:rsidR="001872D6" w:rsidRDefault="009E07C2" w:rsidP="001872D6">
      <w:r>
        <w:t xml:space="preserve">OZPI został </w:t>
      </w:r>
      <w:r w:rsidR="000C7080">
        <w:t xml:space="preserve">uzupełniony poprzez </w:t>
      </w:r>
      <w:r w:rsidR="00BC7383">
        <w:t xml:space="preserve">umieszczenie w dokumencie „testu prywatności” </w:t>
      </w:r>
      <w:r w:rsidR="000C7080">
        <w:t xml:space="preserve">zgodnie </w:t>
      </w:r>
      <w:r w:rsidR="00646036">
        <w:t xml:space="preserve">z </w:t>
      </w:r>
      <w:r w:rsidR="000C7080">
        <w:t>treścią uwagi.</w:t>
      </w:r>
      <w:r w:rsidR="00BC7383">
        <w:t xml:space="preserve"> Test prywatności został opisany w następujących punktach:</w:t>
      </w:r>
    </w:p>
    <w:p w14:paraId="1BA7B469" w14:textId="432BE667" w:rsidR="00BC7383" w:rsidRPr="00EA5EA8" w:rsidRDefault="006D0840" w:rsidP="00BC7383">
      <w:pPr>
        <w:pStyle w:val="ListParagraph"/>
        <w:numPr>
          <w:ilvl w:val="0"/>
          <w:numId w:val="31"/>
        </w:numPr>
      </w:pPr>
      <w:r w:rsidRPr="00EA5EA8">
        <w:t>Pkt 2.4</w:t>
      </w:r>
      <w:r w:rsidR="003B4709">
        <w:t>.</w:t>
      </w:r>
      <w:r w:rsidRPr="00EA5EA8">
        <w:t xml:space="preserve"> - Produkty końcowe projektu,</w:t>
      </w:r>
    </w:p>
    <w:p w14:paraId="10BBB00A" w14:textId="0632DA1C" w:rsidR="006D0840" w:rsidRPr="00EA5EA8" w:rsidRDefault="006D0840" w:rsidP="00BC7383">
      <w:pPr>
        <w:pStyle w:val="ListParagraph"/>
        <w:numPr>
          <w:ilvl w:val="0"/>
          <w:numId w:val="31"/>
        </w:numPr>
      </w:pPr>
      <w:r w:rsidRPr="00EA5EA8">
        <w:t>Pkt</w:t>
      </w:r>
      <w:r w:rsidR="00477A0E" w:rsidRPr="00EA5EA8">
        <w:t xml:space="preserve"> 3</w:t>
      </w:r>
      <w:r w:rsidR="003B4709">
        <w:t>.</w:t>
      </w:r>
      <w:r w:rsidR="00477A0E" w:rsidRPr="00EA5EA8">
        <w:t xml:space="preserve"> – </w:t>
      </w:r>
      <w:r w:rsidR="00E35FCD" w:rsidRPr="00EA5EA8">
        <w:t>Kamienie milowe</w:t>
      </w:r>
      <w:r w:rsidR="00477A0E" w:rsidRPr="00EA5EA8">
        <w:t xml:space="preserve"> </w:t>
      </w:r>
      <w:r w:rsidR="00EE710E" w:rsidRPr="00EA5EA8">
        <w:t>,</w:t>
      </w:r>
    </w:p>
    <w:p w14:paraId="0423DF7F" w14:textId="67E60BBB" w:rsidR="00EE710E" w:rsidRPr="00EA5EA8" w:rsidRDefault="00EE710E" w:rsidP="00BC7383">
      <w:pPr>
        <w:pStyle w:val="ListParagraph"/>
        <w:numPr>
          <w:ilvl w:val="0"/>
          <w:numId w:val="31"/>
        </w:numPr>
      </w:pPr>
      <w:r w:rsidRPr="00EA5EA8">
        <w:t>Pkt 4.2</w:t>
      </w:r>
      <w:r w:rsidR="003B4709">
        <w:t>.</w:t>
      </w:r>
      <w:r w:rsidRPr="00EA5EA8">
        <w:t xml:space="preserve"> Wykaz poszczególnych pozycji kosztowych</w:t>
      </w:r>
      <w:r w:rsidR="009E4EA7" w:rsidRPr="00EA5EA8">
        <w:t xml:space="preserve"> </w:t>
      </w:r>
      <w:r w:rsidR="00C657BA" w:rsidRPr="00EA5EA8">
        <w:t>–</w:t>
      </w:r>
      <w:r w:rsidR="009E4EA7" w:rsidRPr="00EA5EA8">
        <w:t xml:space="preserve"> poz</w:t>
      </w:r>
      <w:r w:rsidR="00C657BA" w:rsidRPr="00EA5EA8">
        <w:t>ycja „Bezpieczeństwo” (</w:t>
      </w:r>
      <w:r w:rsidR="00D4494C" w:rsidRPr="00EA5EA8">
        <w:t xml:space="preserve">wykazane kosztu w </w:t>
      </w:r>
      <w:r w:rsidR="00A12062" w:rsidRPr="00EA5EA8">
        <w:t>pol</w:t>
      </w:r>
      <w:r w:rsidR="00D4494C" w:rsidRPr="00EA5EA8">
        <w:t>u: „Opis nazwy pozycji kosztowej” i uzasadnienie w polu</w:t>
      </w:r>
      <w:r w:rsidR="00646F51" w:rsidRPr="00EA5EA8">
        <w:t>: „Uzasadnienie pozycji kosztowej (przeznaczenie)”.</w:t>
      </w:r>
    </w:p>
    <w:p w14:paraId="1BF28F06" w14:textId="7F5D0189" w:rsidR="00F51622" w:rsidRPr="00EA5EA8" w:rsidRDefault="00F51622" w:rsidP="00833A89">
      <w:pPr>
        <w:pStyle w:val="ListParagraph"/>
        <w:numPr>
          <w:ilvl w:val="0"/>
          <w:numId w:val="31"/>
        </w:numPr>
        <w:ind w:left="714" w:hanging="357"/>
        <w:contextualSpacing w:val="0"/>
      </w:pPr>
      <w:r w:rsidRPr="00EA5EA8">
        <w:t>Pkt 6</w:t>
      </w:r>
      <w:r w:rsidR="003B4709">
        <w:t>.</w:t>
      </w:r>
      <w:r w:rsidRPr="00EA5EA8">
        <w:t xml:space="preserve"> – Otoczenie prawne</w:t>
      </w:r>
      <w:r w:rsidR="00646F51" w:rsidRPr="00EA5EA8">
        <w:t xml:space="preserve"> – dodanie podstawy prawnej</w:t>
      </w:r>
      <w:r w:rsidRPr="00EA5EA8">
        <w:t>.</w:t>
      </w:r>
    </w:p>
    <w:p w14:paraId="05DF3BAC" w14:textId="1BD7C70A" w:rsidR="001872D6" w:rsidRDefault="000C1F6A" w:rsidP="00833A89">
      <w:pPr>
        <w:contextualSpacing w:val="0"/>
      </w:pPr>
      <w:r>
        <w:t xml:space="preserve">Jednocześnie pragniemy wyjaśnić, że </w:t>
      </w:r>
      <w:r w:rsidR="00C61672">
        <w:t>obecnie realizacja obowiązków ustawowych</w:t>
      </w:r>
      <w:r w:rsidR="001F22B0">
        <w:t xml:space="preserve"> wspieranych przez system SODiR </w:t>
      </w:r>
      <w:r w:rsidR="006A0C0D">
        <w:t xml:space="preserve">2.0 </w:t>
      </w:r>
      <w:r w:rsidR="001F22B0">
        <w:t xml:space="preserve">także odbywa się z wykorzystaniem danych z systemów </w:t>
      </w:r>
      <w:r w:rsidR="004569C8">
        <w:t xml:space="preserve">informatycznych prowadzonych przez </w:t>
      </w:r>
      <w:r w:rsidR="002A421A">
        <w:t>zewnętrzn</w:t>
      </w:r>
      <w:r w:rsidR="004569C8">
        <w:t>e instytucje</w:t>
      </w:r>
      <w:r w:rsidR="00046FD4">
        <w:t xml:space="preserve"> (elektronicznie bądź korespondencyjnie)</w:t>
      </w:r>
      <w:r w:rsidR="00717722">
        <w:t>:</w:t>
      </w:r>
      <w:r w:rsidR="00046FD4">
        <w:t xml:space="preserve"> </w:t>
      </w:r>
      <w:r w:rsidR="003F33F6">
        <w:t xml:space="preserve">ZUS, </w:t>
      </w:r>
      <w:r w:rsidR="00046FD4">
        <w:t xml:space="preserve">MSWiA, </w:t>
      </w:r>
      <w:r w:rsidR="004569C8">
        <w:t>KR</w:t>
      </w:r>
      <w:r w:rsidR="003F33F6">
        <w:t xml:space="preserve">US, </w:t>
      </w:r>
      <w:r w:rsidR="007D1533">
        <w:t>UOK</w:t>
      </w:r>
      <w:r w:rsidR="00BD6775">
        <w:t>i</w:t>
      </w:r>
      <w:r w:rsidR="007D1533">
        <w:t>K</w:t>
      </w:r>
      <w:r w:rsidR="003F33F6">
        <w:t>, WZ</w:t>
      </w:r>
      <w:r w:rsidR="00BD6775">
        <w:t>OON.</w:t>
      </w:r>
      <w:r w:rsidR="006A0C0D">
        <w:t xml:space="preserve"> </w:t>
      </w:r>
      <w:r w:rsidR="00620296">
        <w:t>Wnioskodawca</w:t>
      </w:r>
      <w:r w:rsidR="00C7454B">
        <w:t xml:space="preserve"> chce doprowadzić do jak najszybszej zmiany rozporządzeń </w:t>
      </w:r>
      <w:r w:rsidR="003A2502">
        <w:t xml:space="preserve">regulujących zagadnienia składania wniosków w celu umożliwienia </w:t>
      </w:r>
      <w:r w:rsidR="005B7DC2">
        <w:t xml:space="preserve">wdrożenia e-usługi o stopniu dojrzałości 5. </w:t>
      </w:r>
      <w:r w:rsidR="00620296">
        <w:t xml:space="preserve">PFRON </w:t>
      </w:r>
      <w:r w:rsidR="00295010">
        <w:t xml:space="preserve">planuje także </w:t>
      </w:r>
      <w:r w:rsidR="008967AC">
        <w:t>zaproponować ustawodawcy zmiany do ustawy o rehabilitacji w celu optymalizacji zapisów.</w:t>
      </w:r>
    </w:p>
    <w:p w14:paraId="30CDEB11" w14:textId="77777777" w:rsidR="00B7429E" w:rsidRPr="001872D6" w:rsidRDefault="00B7429E" w:rsidP="00833A89">
      <w:pPr>
        <w:contextualSpacing w:val="0"/>
      </w:pPr>
    </w:p>
    <w:p w14:paraId="69F4A94E" w14:textId="31A1D82C" w:rsidR="0049755E" w:rsidRDefault="00F3712D" w:rsidP="00CD3883">
      <w:pPr>
        <w:pStyle w:val="Heading1"/>
        <w:numPr>
          <w:ilvl w:val="0"/>
          <w:numId w:val="20"/>
        </w:numPr>
        <w:ind w:left="426" w:hanging="426"/>
      </w:pPr>
      <w:r>
        <w:t xml:space="preserve">Uwagi </w:t>
      </w:r>
      <w:proofErr w:type="spellStart"/>
      <w:r>
        <w:t>M</w:t>
      </w:r>
      <w:r w:rsidR="00B708BA">
        <w:t>FiPR</w:t>
      </w:r>
      <w:proofErr w:type="spellEnd"/>
      <w:r w:rsidR="00893D2C">
        <w:t xml:space="preserve"> (</w:t>
      </w:r>
      <w:r w:rsidR="00D91EA4">
        <w:t>pkt 2.1.)</w:t>
      </w:r>
    </w:p>
    <w:p w14:paraId="10C1DD12" w14:textId="184D5EB1" w:rsidR="00C511EF" w:rsidRPr="000378E9" w:rsidRDefault="000378E9" w:rsidP="000378E9">
      <w:pPr>
        <w:pStyle w:val="Heading2"/>
        <w:numPr>
          <w:ilvl w:val="0"/>
          <w:numId w:val="26"/>
        </w:numPr>
        <w:ind w:left="425" w:hanging="425"/>
        <w:contextualSpacing w:val="0"/>
      </w:pPr>
      <w:r>
        <w:t>Analiza</w:t>
      </w:r>
      <w:r w:rsidR="002D13D6">
        <w:t xml:space="preserve"> zasadnoś</w:t>
      </w:r>
      <w:r>
        <w:t>ci</w:t>
      </w:r>
      <w:r w:rsidR="002D13D6">
        <w:t xml:space="preserve"> wprowadzenia do projektu wskaźnika „Wartość usług, produktów i procesów cyfrowych opracowanych dla przedsiębiorstw”</w:t>
      </w:r>
    </w:p>
    <w:p w14:paraId="1AAE6BDD" w14:textId="3568CE5F" w:rsidR="00306FCB" w:rsidRPr="00C511EF" w:rsidRDefault="00BC1572" w:rsidP="00C511EF">
      <w:pPr>
        <w:contextualSpacing w:val="0"/>
      </w:pPr>
      <w:r w:rsidRPr="006B20F9">
        <w:t>W</w:t>
      </w:r>
      <w:r w:rsidR="006B20F9" w:rsidRPr="006B20F9">
        <w:t>s</w:t>
      </w:r>
      <w:r w:rsidR="006B20F9">
        <w:t xml:space="preserve">kaźnik </w:t>
      </w:r>
      <w:r w:rsidR="006B20F9" w:rsidRPr="006B20F9">
        <w:t>„Wartość usług, produktów i procesów cyfrowych opracowanych dla przedsiębiorstw”</w:t>
      </w:r>
      <w:r w:rsidR="006B20F9">
        <w:t xml:space="preserve"> zosta</w:t>
      </w:r>
      <w:r w:rsidR="00F0792A">
        <w:t>ł dodany.</w:t>
      </w:r>
    </w:p>
    <w:p w14:paraId="1BAC971F" w14:textId="4C056753" w:rsidR="002858D8" w:rsidRPr="002858D8" w:rsidRDefault="00E4052A" w:rsidP="00833A89">
      <w:pPr>
        <w:shd w:val="clear" w:color="auto" w:fill="F2F2F2" w:themeFill="background1" w:themeFillShade="F2"/>
        <w:contextualSpacing w:val="0"/>
      </w:pPr>
      <w:r w:rsidRPr="00E4052A">
        <w:t>W</w:t>
      </w:r>
      <w:r>
        <w:t>skaźnik</w:t>
      </w:r>
      <w:r w:rsidR="00A152E0">
        <w:t xml:space="preserve">i KPI projektu zostały </w:t>
      </w:r>
      <w:r w:rsidR="000A75DE">
        <w:t xml:space="preserve">także uzupełnione o wskaźniki własne, które na podstawie zaleceń, Wnioskodawca planuje </w:t>
      </w:r>
      <w:r w:rsidR="00AC18B1">
        <w:t xml:space="preserve">umieścić we wniosku. Wskaźniki KPI zostały ułożone w kolejności, w jakiej występują we wniosku o dofinansowanie, tj. </w:t>
      </w:r>
      <w:r w:rsidR="00D85884">
        <w:t>wskaźniki horyzontalne, wskaźniki programowe, wskaźniki własne.</w:t>
      </w:r>
    </w:p>
    <w:p w14:paraId="55641366" w14:textId="77777777" w:rsidR="00306FCB" w:rsidRDefault="00306FCB" w:rsidP="00306FCB"/>
    <w:p w14:paraId="7A02EDC2" w14:textId="059B8AC0" w:rsidR="00F31D80" w:rsidRDefault="005E55D0" w:rsidP="00833A89">
      <w:pPr>
        <w:pStyle w:val="Heading2"/>
        <w:numPr>
          <w:ilvl w:val="0"/>
          <w:numId w:val="26"/>
        </w:numPr>
        <w:ind w:left="425" w:hanging="425"/>
        <w:contextualSpacing w:val="0"/>
      </w:pPr>
      <w:r>
        <w:t>Program Zintegrowanej Informatyzacji Państwa jest dokumentem nieobowiązującym</w:t>
      </w:r>
      <w:r w:rsidR="00D91EA4">
        <w:t xml:space="preserve"> (pkt 2.1.)</w:t>
      </w:r>
    </w:p>
    <w:p w14:paraId="0001A84E" w14:textId="0E700F13" w:rsidR="00F31D80" w:rsidRDefault="00A13294" w:rsidP="00833A89">
      <w:pPr>
        <w:contextualSpacing w:val="0"/>
      </w:pPr>
      <w:r>
        <w:t xml:space="preserve">Dokument </w:t>
      </w:r>
      <w:r w:rsidR="002C0F9E" w:rsidRPr="002C0F9E">
        <w:t>Program Zintegrowanej Informatyzacji Państwa</w:t>
      </w:r>
      <w:r w:rsidR="002C0F9E">
        <w:t xml:space="preserve"> został </w:t>
      </w:r>
      <w:r>
        <w:t>wykreślony.</w:t>
      </w:r>
    </w:p>
    <w:p w14:paraId="74F6BDC3" w14:textId="77777777" w:rsidR="00EB77EB" w:rsidRDefault="00EB77EB" w:rsidP="00306FCB"/>
    <w:p w14:paraId="3C834290" w14:textId="2F1F2B79" w:rsidR="00306FCB" w:rsidRPr="00306FCB" w:rsidRDefault="00306FCB" w:rsidP="00306FCB">
      <w:pPr>
        <w:pStyle w:val="Heading1"/>
        <w:numPr>
          <w:ilvl w:val="0"/>
          <w:numId w:val="20"/>
        </w:numPr>
        <w:ind w:left="426" w:hanging="426"/>
      </w:pPr>
      <w:r>
        <w:t>Uwagi MC</w:t>
      </w:r>
    </w:p>
    <w:p w14:paraId="6C4E6237" w14:textId="24CA28B9" w:rsidR="00B708BA" w:rsidRPr="00552755" w:rsidRDefault="00524020" w:rsidP="00192FE6">
      <w:pPr>
        <w:pStyle w:val="ListParagraph"/>
        <w:numPr>
          <w:ilvl w:val="0"/>
          <w:numId w:val="29"/>
        </w:numPr>
        <w:ind w:left="426" w:hanging="426"/>
        <w:rPr>
          <w:rFonts w:eastAsiaTheme="minorHAnsi" w:cstheme="minorHAnsi"/>
          <w:b/>
          <w:bCs/>
          <w:kern w:val="2"/>
          <w:sz w:val="32"/>
          <w:szCs w:val="32"/>
          <w14:ligatures w14:val="standardContextual"/>
        </w:rPr>
      </w:pPr>
      <w:r>
        <w:rPr>
          <w:rFonts w:eastAsiaTheme="minorHAnsi" w:cstheme="minorHAnsi"/>
          <w:b/>
          <w:bCs/>
          <w:kern w:val="2"/>
          <w:sz w:val="32"/>
          <w:szCs w:val="32"/>
          <w14:ligatures w14:val="standardContextual"/>
        </w:rPr>
        <w:t>Nieprawidłowa wartość wskaźnika KPI 3 (</w:t>
      </w:r>
      <w:r w:rsidR="00915531">
        <w:rPr>
          <w:rFonts w:eastAsiaTheme="minorHAnsi" w:cstheme="minorHAnsi"/>
          <w:b/>
          <w:bCs/>
          <w:kern w:val="2"/>
          <w:sz w:val="32"/>
          <w:szCs w:val="32"/>
          <w14:ligatures w14:val="standardContextual"/>
        </w:rPr>
        <w:t>obecnie KPI 2)</w:t>
      </w:r>
      <w:r w:rsidR="00D91EA4">
        <w:rPr>
          <w:rFonts w:eastAsiaTheme="minorHAnsi" w:cstheme="minorHAnsi"/>
          <w:b/>
          <w:bCs/>
          <w:kern w:val="2"/>
          <w:sz w:val="32"/>
          <w:szCs w:val="32"/>
          <w14:ligatures w14:val="standardContextual"/>
        </w:rPr>
        <w:t xml:space="preserve"> (</w:t>
      </w:r>
      <w:r w:rsidR="0088660E">
        <w:rPr>
          <w:rFonts w:eastAsiaTheme="minorHAnsi" w:cstheme="minorHAnsi"/>
          <w:b/>
          <w:bCs/>
          <w:kern w:val="2"/>
          <w:sz w:val="32"/>
          <w:szCs w:val="32"/>
          <w14:ligatures w14:val="standardContextual"/>
        </w:rPr>
        <w:t>pkt 2.1.)</w:t>
      </w:r>
    </w:p>
    <w:p w14:paraId="1E65DA84" w14:textId="092FB2F5" w:rsidR="00B708BA" w:rsidRDefault="00915531" w:rsidP="00833A89">
      <w:pPr>
        <w:contextualSpacing w:val="0"/>
      </w:pPr>
      <w:r>
        <w:t xml:space="preserve">Wartość wskaźnika została skorygowana zgodnie z treścią </w:t>
      </w:r>
      <w:r w:rsidR="0053581E">
        <w:t xml:space="preserve">uwagi. Wartość </w:t>
      </w:r>
      <w:r w:rsidR="0099186F">
        <w:t>wskaźnika wynosi 2.</w:t>
      </w:r>
    </w:p>
    <w:p w14:paraId="0E4971BC" w14:textId="77777777" w:rsidR="0099186F" w:rsidRDefault="0099186F" w:rsidP="00B708BA"/>
    <w:p w14:paraId="4C30D733" w14:textId="239E4DB8" w:rsidR="0099186F" w:rsidRDefault="00CD019C" w:rsidP="00192FE6">
      <w:pPr>
        <w:pStyle w:val="ListParagraph"/>
        <w:numPr>
          <w:ilvl w:val="0"/>
          <w:numId w:val="29"/>
        </w:numPr>
        <w:ind w:left="426" w:hanging="426"/>
        <w:rPr>
          <w:rFonts w:eastAsiaTheme="minorHAnsi" w:cstheme="minorHAnsi"/>
          <w:b/>
          <w:bCs/>
          <w:kern w:val="2"/>
          <w:sz w:val="32"/>
          <w:szCs w:val="32"/>
          <w14:ligatures w14:val="standardContextual"/>
        </w:rPr>
      </w:pPr>
      <w:r>
        <w:rPr>
          <w:rFonts w:eastAsiaTheme="minorHAnsi" w:cstheme="minorHAnsi"/>
          <w:b/>
          <w:bCs/>
          <w:kern w:val="2"/>
          <w:sz w:val="32"/>
          <w:szCs w:val="32"/>
          <w14:ligatures w14:val="standardContextual"/>
        </w:rPr>
        <w:t xml:space="preserve">Niezgodność </w:t>
      </w:r>
      <w:r w:rsidR="00160580">
        <w:rPr>
          <w:rFonts w:eastAsiaTheme="minorHAnsi" w:cstheme="minorHAnsi"/>
          <w:b/>
          <w:bCs/>
          <w:kern w:val="2"/>
          <w:sz w:val="32"/>
          <w:szCs w:val="32"/>
          <w14:ligatures w14:val="standardContextual"/>
        </w:rPr>
        <w:t xml:space="preserve">diagramu kooperacji z listą </w:t>
      </w:r>
      <w:r w:rsidR="00014BCC">
        <w:rPr>
          <w:rFonts w:eastAsiaTheme="minorHAnsi" w:cstheme="minorHAnsi"/>
          <w:b/>
          <w:bCs/>
          <w:kern w:val="2"/>
          <w:sz w:val="32"/>
          <w:szCs w:val="32"/>
          <w14:ligatures w14:val="standardContextual"/>
        </w:rPr>
        <w:t>systemów</w:t>
      </w:r>
      <w:r w:rsidR="0088660E">
        <w:rPr>
          <w:rFonts w:eastAsiaTheme="minorHAnsi" w:cstheme="minorHAnsi"/>
          <w:b/>
          <w:bCs/>
          <w:kern w:val="2"/>
          <w:sz w:val="32"/>
          <w:szCs w:val="32"/>
          <w14:ligatures w14:val="standardContextual"/>
        </w:rPr>
        <w:t xml:space="preserve"> (pkt 7.1.)</w:t>
      </w:r>
    </w:p>
    <w:p w14:paraId="4B2F4692" w14:textId="4C9CA226" w:rsidR="00014BCC" w:rsidRPr="002D15EA" w:rsidRDefault="002D15EA" w:rsidP="00833A89">
      <w:pPr>
        <w:contextualSpacing w:val="0"/>
      </w:pPr>
      <w:r w:rsidRPr="002D15EA">
        <w:t>Lista syste</w:t>
      </w:r>
      <w:r>
        <w:t>mów została uzupełniona zgodnie z treścią uwagi</w:t>
      </w:r>
      <w:r w:rsidR="00B862CA">
        <w:t xml:space="preserve">. Lista </w:t>
      </w:r>
      <w:r w:rsidR="002E1B78">
        <w:t xml:space="preserve">przepływów odzwierciedla obecnie szersze spojrzenie </w:t>
      </w:r>
      <w:r w:rsidR="00C76468">
        <w:t>obejmujące otoczenie projektu</w:t>
      </w:r>
      <w:r w:rsidR="00CF7F67">
        <w:t>.</w:t>
      </w:r>
    </w:p>
    <w:p w14:paraId="2736F216" w14:textId="77777777" w:rsidR="00014BCC" w:rsidRPr="00014BCC" w:rsidRDefault="00014BCC" w:rsidP="00014BCC">
      <w:pPr>
        <w:rPr>
          <w:b/>
          <w:bCs/>
          <w:kern w:val="2"/>
          <w:sz w:val="32"/>
          <w:szCs w:val="32"/>
          <w14:ligatures w14:val="standardContextual"/>
        </w:rPr>
      </w:pPr>
    </w:p>
    <w:p w14:paraId="244BFD11" w14:textId="5F2DEDB3" w:rsidR="00014BCC" w:rsidRDefault="00014BCC" w:rsidP="00192FE6">
      <w:pPr>
        <w:pStyle w:val="ListParagraph"/>
        <w:numPr>
          <w:ilvl w:val="0"/>
          <w:numId w:val="29"/>
        </w:numPr>
        <w:ind w:left="426" w:hanging="426"/>
        <w:rPr>
          <w:rFonts w:eastAsiaTheme="minorHAnsi" w:cstheme="minorHAnsi"/>
          <w:b/>
          <w:bCs/>
          <w:kern w:val="2"/>
          <w:sz w:val="32"/>
          <w:szCs w:val="32"/>
          <w14:ligatures w14:val="standardContextual"/>
        </w:rPr>
      </w:pPr>
      <w:r>
        <w:rPr>
          <w:rFonts w:eastAsiaTheme="minorHAnsi" w:cstheme="minorHAnsi"/>
          <w:b/>
          <w:bCs/>
          <w:kern w:val="2"/>
          <w:sz w:val="32"/>
          <w:szCs w:val="32"/>
          <w14:ligatures w14:val="standardContextual"/>
        </w:rPr>
        <w:t>Niezgodność diagramu kooperacji z listą przepływów</w:t>
      </w:r>
      <w:r w:rsidR="0088660E">
        <w:rPr>
          <w:rFonts w:eastAsiaTheme="minorHAnsi" w:cstheme="minorHAnsi"/>
          <w:b/>
          <w:bCs/>
          <w:kern w:val="2"/>
          <w:sz w:val="32"/>
          <w:szCs w:val="32"/>
          <w14:ligatures w14:val="standardContextual"/>
        </w:rPr>
        <w:t xml:space="preserve"> (7.1.)</w:t>
      </w:r>
    </w:p>
    <w:p w14:paraId="3A76F26C" w14:textId="1A547AEC" w:rsidR="00014BCC" w:rsidRPr="00E6639D" w:rsidRDefault="00E6639D" w:rsidP="00833A89">
      <w:pPr>
        <w:contextualSpacing w:val="0"/>
      </w:pPr>
      <w:r w:rsidRPr="00E6639D">
        <w:t xml:space="preserve">Lista </w:t>
      </w:r>
      <w:r>
        <w:t>przepływów</w:t>
      </w:r>
      <w:r w:rsidRPr="00E6639D">
        <w:t xml:space="preserve"> została uzupełniona zgodnie z treścią uwagi. Lista przepływów odzwierciedla obecnie szersze spojrzenie obejmujące </w:t>
      </w:r>
      <w:r w:rsidR="00F54FEB">
        <w:t xml:space="preserve">także </w:t>
      </w:r>
      <w:r w:rsidRPr="00E6639D">
        <w:t>otoczenie projektu</w:t>
      </w:r>
      <w:r w:rsidR="008F5DD3">
        <w:t xml:space="preserve">, tzn. aktualny stan integracji systemu </w:t>
      </w:r>
      <w:r w:rsidR="00C57DB1">
        <w:t>iPFRON+</w:t>
      </w:r>
      <w:r w:rsidRPr="00E6639D">
        <w:t>.</w:t>
      </w:r>
    </w:p>
    <w:p w14:paraId="55265425" w14:textId="77777777" w:rsidR="00014BCC" w:rsidRPr="00014BCC" w:rsidRDefault="00014BCC" w:rsidP="00014BCC">
      <w:pPr>
        <w:ind w:left="360"/>
        <w:rPr>
          <w:b/>
          <w:bCs/>
          <w:kern w:val="2"/>
          <w:sz w:val="32"/>
          <w:szCs w:val="32"/>
          <w14:ligatures w14:val="standardContextual"/>
        </w:rPr>
      </w:pPr>
    </w:p>
    <w:p w14:paraId="1A6ACFCB" w14:textId="77777777" w:rsidR="00160580" w:rsidRPr="00014BCC" w:rsidRDefault="00160580" w:rsidP="00014BCC">
      <w:pPr>
        <w:ind w:left="360"/>
        <w:rPr>
          <w:b/>
          <w:bCs/>
          <w:kern w:val="2"/>
          <w:sz w:val="32"/>
          <w:szCs w:val="32"/>
          <w14:ligatures w14:val="standardContextual"/>
        </w:rPr>
      </w:pPr>
    </w:p>
    <w:sectPr w:rsidR="00160580" w:rsidRPr="00014BC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FEF48" w14:textId="77777777" w:rsidR="0087561C" w:rsidRDefault="0087561C" w:rsidP="00046FD4">
      <w:pPr>
        <w:spacing w:after="0" w:line="240" w:lineRule="auto"/>
      </w:pPr>
      <w:r>
        <w:separator/>
      </w:r>
    </w:p>
  </w:endnote>
  <w:endnote w:type="continuationSeparator" w:id="0">
    <w:p w14:paraId="4132B277" w14:textId="77777777" w:rsidR="0087561C" w:rsidRDefault="0087561C" w:rsidP="00046FD4">
      <w:pPr>
        <w:spacing w:after="0" w:line="240" w:lineRule="auto"/>
      </w:pPr>
      <w:r>
        <w:continuationSeparator/>
      </w:r>
    </w:p>
  </w:endnote>
  <w:endnote w:type="continuationNotice" w:id="1">
    <w:p w14:paraId="6FE55385" w14:textId="77777777" w:rsidR="0087561C" w:rsidRDefault="008756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0743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D4B8C0F" w14:textId="3132D50E" w:rsidR="00AE6860" w:rsidRDefault="00AE6860">
            <w:pPr>
              <w:pStyle w:val="Footer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A8C01EF" w14:textId="77777777" w:rsidR="00AE6860" w:rsidRDefault="00AE6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3F072" w14:textId="77777777" w:rsidR="0087561C" w:rsidRDefault="0087561C" w:rsidP="00046FD4">
      <w:pPr>
        <w:spacing w:after="0" w:line="240" w:lineRule="auto"/>
      </w:pPr>
      <w:r>
        <w:separator/>
      </w:r>
    </w:p>
  </w:footnote>
  <w:footnote w:type="continuationSeparator" w:id="0">
    <w:p w14:paraId="278755E8" w14:textId="77777777" w:rsidR="0087561C" w:rsidRDefault="0087561C" w:rsidP="00046FD4">
      <w:pPr>
        <w:spacing w:after="0" w:line="240" w:lineRule="auto"/>
      </w:pPr>
      <w:r>
        <w:continuationSeparator/>
      </w:r>
    </w:p>
  </w:footnote>
  <w:footnote w:type="continuationNotice" w:id="1">
    <w:p w14:paraId="6AD499EE" w14:textId="77777777" w:rsidR="0087561C" w:rsidRDefault="0087561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2A2D"/>
    <w:multiLevelType w:val="hybridMultilevel"/>
    <w:tmpl w:val="8E20C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C6552"/>
    <w:multiLevelType w:val="hybridMultilevel"/>
    <w:tmpl w:val="08AAE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E3D03"/>
    <w:multiLevelType w:val="hybridMultilevel"/>
    <w:tmpl w:val="A7B8E0C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E4BC5"/>
    <w:multiLevelType w:val="hybridMultilevel"/>
    <w:tmpl w:val="214489C8"/>
    <w:lvl w:ilvl="0" w:tplc="4AACF900">
      <w:start w:val="1"/>
      <w:numFmt w:val="bullet"/>
      <w:pStyle w:val="Akapitzlistrozwijaln2"/>
      <w:lvlText w:val=""/>
      <w:lvlJc w:val="left"/>
      <w:pPr>
        <w:ind w:left="149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A66435"/>
    <w:multiLevelType w:val="multilevel"/>
    <w:tmpl w:val="2EDCFF7E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279681D"/>
    <w:multiLevelType w:val="hybridMultilevel"/>
    <w:tmpl w:val="D11E0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468A4"/>
    <w:multiLevelType w:val="hybridMultilevel"/>
    <w:tmpl w:val="512C7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82F"/>
    <w:multiLevelType w:val="hybridMultilevel"/>
    <w:tmpl w:val="528AF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916F9"/>
    <w:multiLevelType w:val="hybridMultilevel"/>
    <w:tmpl w:val="EEEA28E6"/>
    <w:lvl w:ilvl="0" w:tplc="770447F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C896B42"/>
    <w:multiLevelType w:val="hybridMultilevel"/>
    <w:tmpl w:val="39EEB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310CE"/>
    <w:multiLevelType w:val="hybridMultilevel"/>
    <w:tmpl w:val="A7B8E0CA"/>
    <w:lvl w:ilvl="0" w:tplc="157E07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81440"/>
    <w:multiLevelType w:val="multilevel"/>
    <w:tmpl w:val="18641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B3300EC"/>
    <w:multiLevelType w:val="hybridMultilevel"/>
    <w:tmpl w:val="050CE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EB91D33"/>
    <w:multiLevelType w:val="hybridMultilevel"/>
    <w:tmpl w:val="7578F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6EEDF8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EB5E008E">
      <w:start w:val="1"/>
      <w:numFmt w:val="decimal"/>
      <w:lvlText w:val="%5)"/>
      <w:lvlJc w:val="left"/>
      <w:pPr>
        <w:ind w:left="3948" w:hanging="708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312DF"/>
    <w:multiLevelType w:val="hybridMultilevel"/>
    <w:tmpl w:val="C9E258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B3B2E"/>
    <w:multiLevelType w:val="hybridMultilevel"/>
    <w:tmpl w:val="0D3E5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930D7"/>
    <w:multiLevelType w:val="hybridMultilevel"/>
    <w:tmpl w:val="6936B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72D3D"/>
    <w:multiLevelType w:val="hybridMultilevel"/>
    <w:tmpl w:val="FAF2D062"/>
    <w:lvl w:ilvl="0" w:tplc="FDB6EC9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82F2395"/>
    <w:multiLevelType w:val="hybridMultilevel"/>
    <w:tmpl w:val="5D528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7218B"/>
    <w:multiLevelType w:val="hybridMultilevel"/>
    <w:tmpl w:val="86944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667FF9"/>
    <w:multiLevelType w:val="hybridMultilevel"/>
    <w:tmpl w:val="5D784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B1169"/>
    <w:multiLevelType w:val="hybridMultilevel"/>
    <w:tmpl w:val="876A6466"/>
    <w:lvl w:ilvl="0" w:tplc="FAB6D7D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77A32"/>
    <w:multiLevelType w:val="hybridMultilevel"/>
    <w:tmpl w:val="C9E25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17459"/>
    <w:multiLevelType w:val="hybridMultilevel"/>
    <w:tmpl w:val="CA687974"/>
    <w:lvl w:ilvl="0" w:tplc="1778AE42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010D5"/>
    <w:multiLevelType w:val="hybridMultilevel"/>
    <w:tmpl w:val="969E9C3A"/>
    <w:lvl w:ilvl="0" w:tplc="D7848D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A2138B"/>
    <w:multiLevelType w:val="hybridMultilevel"/>
    <w:tmpl w:val="C23AE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441716">
    <w:abstractNumId w:val="17"/>
  </w:num>
  <w:num w:numId="2" w16cid:durableId="611978835">
    <w:abstractNumId w:val="3"/>
  </w:num>
  <w:num w:numId="3" w16cid:durableId="1790317043">
    <w:abstractNumId w:val="11"/>
  </w:num>
  <w:num w:numId="4" w16cid:durableId="1039470909">
    <w:abstractNumId w:val="11"/>
  </w:num>
  <w:num w:numId="5" w16cid:durableId="428432949">
    <w:abstractNumId w:val="3"/>
  </w:num>
  <w:num w:numId="6" w16cid:durableId="1139764484">
    <w:abstractNumId w:val="3"/>
  </w:num>
  <w:num w:numId="7" w16cid:durableId="593712312">
    <w:abstractNumId w:val="8"/>
  </w:num>
  <w:num w:numId="8" w16cid:durableId="1886791774">
    <w:abstractNumId w:val="8"/>
  </w:num>
  <w:num w:numId="9" w16cid:durableId="143473222">
    <w:abstractNumId w:val="4"/>
  </w:num>
  <w:num w:numId="10" w16cid:durableId="1018314556">
    <w:abstractNumId w:val="15"/>
  </w:num>
  <w:num w:numId="11" w16cid:durableId="825823643">
    <w:abstractNumId w:val="6"/>
  </w:num>
  <w:num w:numId="12" w16cid:durableId="313677727">
    <w:abstractNumId w:val="18"/>
  </w:num>
  <w:num w:numId="13" w16cid:durableId="694963206">
    <w:abstractNumId w:val="5"/>
  </w:num>
  <w:num w:numId="14" w16cid:durableId="1913732347">
    <w:abstractNumId w:val="13"/>
  </w:num>
  <w:num w:numId="15" w16cid:durableId="1085610488">
    <w:abstractNumId w:val="12"/>
  </w:num>
  <w:num w:numId="16" w16cid:durableId="1819152715">
    <w:abstractNumId w:val="20"/>
  </w:num>
  <w:num w:numId="17" w16cid:durableId="618800780">
    <w:abstractNumId w:val="1"/>
  </w:num>
  <w:num w:numId="18" w16cid:durableId="89279525">
    <w:abstractNumId w:val="25"/>
  </w:num>
  <w:num w:numId="19" w16cid:durableId="814956971">
    <w:abstractNumId w:val="23"/>
  </w:num>
  <w:num w:numId="20" w16cid:durableId="1327898452">
    <w:abstractNumId w:val="10"/>
  </w:num>
  <w:num w:numId="21" w16cid:durableId="1591698151">
    <w:abstractNumId w:val="2"/>
  </w:num>
  <w:num w:numId="22" w16cid:durableId="473109570">
    <w:abstractNumId w:val="22"/>
  </w:num>
  <w:num w:numId="23" w16cid:durableId="685210893">
    <w:abstractNumId w:val="9"/>
  </w:num>
  <w:num w:numId="24" w16cid:durableId="615602875">
    <w:abstractNumId w:val="14"/>
  </w:num>
  <w:num w:numId="25" w16cid:durableId="279074832">
    <w:abstractNumId w:val="16"/>
  </w:num>
  <w:num w:numId="26" w16cid:durableId="668556005">
    <w:abstractNumId w:val="21"/>
  </w:num>
  <w:num w:numId="27" w16cid:durableId="1238900091">
    <w:abstractNumId w:val="7"/>
  </w:num>
  <w:num w:numId="28" w16cid:durableId="114953785">
    <w:abstractNumId w:val="24"/>
  </w:num>
  <w:num w:numId="29" w16cid:durableId="1616907163">
    <w:abstractNumId w:val="0"/>
  </w:num>
  <w:num w:numId="30" w16cid:durableId="586812033">
    <w:abstractNumId w:val="4"/>
  </w:num>
  <w:num w:numId="31" w16cid:durableId="10666086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245"/>
    <w:rsid w:val="000054CC"/>
    <w:rsid w:val="000056DB"/>
    <w:rsid w:val="000063AF"/>
    <w:rsid w:val="00010200"/>
    <w:rsid w:val="000139D2"/>
    <w:rsid w:val="00014BCC"/>
    <w:rsid w:val="00027100"/>
    <w:rsid w:val="00035864"/>
    <w:rsid w:val="00036558"/>
    <w:rsid w:val="000378E9"/>
    <w:rsid w:val="00046FD4"/>
    <w:rsid w:val="000531C7"/>
    <w:rsid w:val="0005395F"/>
    <w:rsid w:val="00062210"/>
    <w:rsid w:val="000637ED"/>
    <w:rsid w:val="000679F1"/>
    <w:rsid w:val="00074677"/>
    <w:rsid w:val="00090C5D"/>
    <w:rsid w:val="00092B54"/>
    <w:rsid w:val="00095372"/>
    <w:rsid w:val="00097726"/>
    <w:rsid w:val="000A4819"/>
    <w:rsid w:val="000A4B93"/>
    <w:rsid w:val="000A75DE"/>
    <w:rsid w:val="000B6E48"/>
    <w:rsid w:val="000C1F6A"/>
    <w:rsid w:val="000C4AB1"/>
    <w:rsid w:val="000C7080"/>
    <w:rsid w:val="000D25C1"/>
    <w:rsid w:val="000D41A9"/>
    <w:rsid w:val="000E086B"/>
    <w:rsid w:val="000E242B"/>
    <w:rsid w:val="000E7C91"/>
    <w:rsid w:val="000F1250"/>
    <w:rsid w:val="000F4074"/>
    <w:rsid w:val="000F44BD"/>
    <w:rsid w:val="0010017F"/>
    <w:rsid w:val="00100222"/>
    <w:rsid w:val="00106F81"/>
    <w:rsid w:val="0011332D"/>
    <w:rsid w:val="00121FC2"/>
    <w:rsid w:val="00123927"/>
    <w:rsid w:val="0013728D"/>
    <w:rsid w:val="00143A0B"/>
    <w:rsid w:val="00151CD3"/>
    <w:rsid w:val="00154D84"/>
    <w:rsid w:val="00156508"/>
    <w:rsid w:val="001576F6"/>
    <w:rsid w:val="00160580"/>
    <w:rsid w:val="00162DD0"/>
    <w:rsid w:val="00165245"/>
    <w:rsid w:val="00174AE1"/>
    <w:rsid w:val="0017796D"/>
    <w:rsid w:val="00183FE3"/>
    <w:rsid w:val="001872D6"/>
    <w:rsid w:val="00192FE6"/>
    <w:rsid w:val="00195BB4"/>
    <w:rsid w:val="001A2E41"/>
    <w:rsid w:val="001A57C7"/>
    <w:rsid w:val="001B133E"/>
    <w:rsid w:val="001C1C56"/>
    <w:rsid w:val="001C69F9"/>
    <w:rsid w:val="001C6EC8"/>
    <w:rsid w:val="001D17C5"/>
    <w:rsid w:val="001E223A"/>
    <w:rsid w:val="001E2B13"/>
    <w:rsid w:val="001F22B0"/>
    <w:rsid w:val="001F3F72"/>
    <w:rsid w:val="001F52F9"/>
    <w:rsid w:val="00203A84"/>
    <w:rsid w:val="0020553B"/>
    <w:rsid w:val="002077E7"/>
    <w:rsid w:val="0021325C"/>
    <w:rsid w:val="00215D43"/>
    <w:rsid w:val="00215E15"/>
    <w:rsid w:val="002175DB"/>
    <w:rsid w:val="00224A72"/>
    <w:rsid w:val="00237EED"/>
    <w:rsid w:val="002431B2"/>
    <w:rsid w:val="00250B76"/>
    <w:rsid w:val="002571A9"/>
    <w:rsid w:val="0026078D"/>
    <w:rsid w:val="00260936"/>
    <w:rsid w:val="00265ACD"/>
    <w:rsid w:val="00270613"/>
    <w:rsid w:val="00271D8F"/>
    <w:rsid w:val="002858D8"/>
    <w:rsid w:val="00293F03"/>
    <w:rsid w:val="00294EDA"/>
    <w:rsid w:val="00295010"/>
    <w:rsid w:val="00296D60"/>
    <w:rsid w:val="002A21D7"/>
    <w:rsid w:val="002A30F7"/>
    <w:rsid w:val="002A421A"/>
    <w:rsid w:val="002A55B7"/>
    <w:rsid w:val="002C0F9E"/>
    <w:rsid w:val="002C4E6D"/>
    <w:rsid w:val="002C5417"/>
    <w:rsid w:val="002D13D6"/>
    <w:rsid w:val="002D15EA"/>
    <w:rsid w:val="002E1B78"/>
    <w:rsid w:val="002E39B1"/>
    <w:rsid w:val="002F31A6"/>
    <w:rsid w:val="002F5080"/>
    <w:rsid w:val="00301BD0"/>
    <w:rsid w:val="00301CEB"/>
    <w:rsid w:val="003030D9"/>
    <w:rsid w:val="00305EC5"/>
    <w:rsid w:val="00306FCB"/>
    <w:rsid w:val="00311E95"/>
    <w:rsid w:val="00321FAF"/>
    <w:rsid w:val="00325C3A"/>
    <w:rsid w:val="003260B3"/>
    <w:rsid w:val="0033227E"/>
    <w:rsid w:val="003365A0"/>
    <w:rsid w:val="003401C7"/>
    <w:rsid w:val="00342717"/>
    <w:rsid w:val="003535E9"/>
    <w:rsid w:val="00361952"/>
    <w:rsid w:val="003632C6"/>
    <w:rsid w:val="00363BEB"/>
    <w:rsid w:val="003712E7"/>
    <w:rsid w:val="00373E7E"/>
    <w:rsid w:val="0037492A"/>
    <w:rsid w:val="003749E9"/>
    <w:rsid w:val="00380150"/>
    <w:rsid w:val="003802AF"/>
    <w:rsid w:val="00391CF0"/>
    <w:rsid w:val="003A2502"/>
    <w:rsid w:val="003B08D2"/>
    <w:rsid w:val="003B4709"/>
    <w:rsid w:val="003B6058"/>
    <w:rsid w:val="003B750F"/>
    <w:rsid w:val="003C2536"/>
    <w:rsid w:val="003C53E8"/>
    <w:rsid w:val="003C5873"/>
    <w:rsid w:val="003D1460"/>
    <w:rsid w:val="003D23E3"/>
    <w:rsid w:val="003D6B10"/>
    <w:rsid w:val="003D6D4D"/>
    <w:rsid w:val="003E1062"/>
    <w:rsid w:val="003E1F9E"/>
    <w:rsid w:val="003E46D6"/>
    <w:rsid w:val="003F23C1"/>
    <w:rsid w:val="003F33F6"/>
    <w:rsid w:val="003F48A8"/>
    <w:rsid w:val="003F7B17"/>
    <w:rsid w:val="00406A94"/>
    <w:rsid w:val="004169E7"/>
    <w:rsid w:val="004212A2"/>
    <w:rsid w:val="00421F85"/>
    <w:rsid w:val="0043389D"/>
    <w:rsid w:val="00434D66"/>
    <w:rsid w:val="00436EFC"/>
    <w:rsid w:val="0044120F"/>
    <w:rsid w:val="0044419A"/>
    <w:rsid w:val="00447EBE"/>
    <w:rsid w:val="00450BBA"/>
    <w:rsid w:val="004525CE"/>
    <w:rsid w:val="0045680A"/>
    <w:rsid w:val="004569C8"/>
    <w:rsid w:val="00465C23"/>
    <w:rsid w:val="00472C8D"/>
    <w:rsid w:val="0047449B"/>
    <w:rsid w:val="00477A0E"/>
    <w:rsid w:val="0048171D"/>
    <w:rsid w:val="00486DA0"/>
    <w:rsid w:val="00490FC0"/>
    <w:rsid w:val="0049551A"/>
    <w:rsid w:val="00496312"/>
    <w:rsid w:val="00496620"/>
    <w:rsid w:val="0049755E"/>
    <w:rsid w:val="004A1241"/>
    <w:rsid w:val="004A6008"/>
    <w:rsid w:val="004B2F9A"/>
    <w:rsid w:val="004B6B0F"/>
    <w:rsid w:val="004B6C44"/>
    <w:rsid w:val="004B76F2"/>
    <w:rsid w:val="004C3329"/>
    <w:rsid w:val="004D7479"/>
    <w:rsid w:val="004E0438"/>
    <w:rsid w:val="004E396D"/>
    <w:rsid w:val="004E3E6D"/>
    <w:rsid w:val="004E6CD8"/>
    <w:rsid w:val="004E7ED5"/>
    <w:rsid w:val="004F05CD"/>
    <w:rsid w:val="004F2AD6"/>
    <w:rsid w:val="004F7541"/>
    <w:rsid w:val="0050360C"/>
    <w:rsid w:val="0050566B"/>
    <w:rsid w:val="00523468"/>
    <w:rsid w:val="0052358E"/>
    <w:rsid w:val="00524020"/>
    <w:rsid w:val="00525808"/>
    <w:rsid w:val="005276C1"/>
    <w:rsid w:val="00530605"/>
    <w:rsid w:val="0053581E"/>
    <w:rsid w:val="00535F22"/>
    <w:rsid w:val="00537B35"/>
    <w:rsid w:val="00542275"/>
    <w:rsid w:val="00552755"/>
    <w:rsid w:val="00556FAB"/>
    <w:rsid w:val="005648A2"/>
    <w:rsid w:val="005655B2"/>
    <w:rsid w:val="0056578F"/>
    <w:rsid w:val="00565814"/>
    <w:rsid w:val="0057058F"/>
    <w:rsid w:val="00570F59"/>
    <w:rsid w:val="00573EA1"/>
    <w:rsid w:val="00591C9D"/>
    <w:rsid w:val="005978FB"/>
    <w:rsid w:val="005B493E"/>
    <w:rsid w:val="005B72DE"/>
    <w:rsid w:val="005B7DC2"/>
    <w:rsid w:val="005C1FF7"/>
    <w:rsid w:val="005C57FB"/>
    <w:rsid w:val="005D3176"/>
    <w:rsid w:val="005D694F"/>
    <w:rsid w:val="005D6B4D"/>
    <w:rsid w:val="005D6EA8"/>
    <w:rsid w:val="005E0C34"/>
    <w:rsid w:val="005E0E05"/>
    <w:rsid w:val="005E17A4"/>
    <w:rsid w:val="005E2A41"/>
    <w:rsid w:val="005E5369"/>
    <w:rsid w:val="005E55D0"/>
    <w:rsid w:val="005E6309"/>
    <w:rsid w:val="005F2B08"/>
    <w:rsid w:val="005F55AE"/>
    <w:rsid w:val="005F702C"/>
    <w:rsid w:val="00601E00"/>
    <w:rsid w:val="006035B8"/>
    <w:rsid w:val="0061142D"/>
    <w:rsid w:val="00612358"/>
    <w:rsid w:val="00616F07"/>
    <w:rsid w:val="00620154"/>
    <w:rsid w:val="00620296"/>
    <w:rsid w:val="0062199B"/>
    <w:rsid w:val="006262B3"/>
    <w:rsid w:val="006267E4"/>
    <w:rsid w:val="0063187F"/>
    <w:rsid w:val="00636A3F"/>
    <w:rsid w:val="00637E5F"/>
    <w:rsid w:val="00644772"/>
    <w:rsid w:val="00646036"/>
    <w:rsid w:val="00646F51"/>
    <w:rsid w:val="00652AE4"/>
    <w:rsid w:val="00654545"/>
    <w:rsid w:val="00664321"/>
    <w:rsid w:val="0068101B"/>
    <w:rsid w:val="00683880"/>
    <w:rsid w:val="006914D4"/>
    <w:rsid w:val="0069208F"/>
    <w:rsid w:val="00693346"/>
    <w:rsid w:val="00693663"/>
    <w:rsid w:val="006939CB"/>
    <w:rsid w:val="006960AB"/>
    <w:rsid w:val="0069683D"/>
    <w:rsid w:val="00697526"/>
    <w:rsid w:val="006A0224"/>
    <w:rsid w:val="006A0C0D"/>
    <w:rsid w:val="006A3F7D"/>
    <w:rsid w:val="006A795F"/>
    <w:rsid w:val="006B20F9"/>
    <w:rsid w:val="006B2652"/>
    <w:rsid w:val="006C5B71"/>
    <w:rsid w:val="006C71EE"/>
    <w:rsid w:val="006D0840"/>
    <w:rsid w:val="006D4CFC"/>
    <w:rsid w:val="006D6528"/>
    <w:rsid w:val="006D7852"/>
    <w:rsid w:val="006E570B"/>
    <w:rsid w:val="006E5A36"/>
    <w:rsid w:val="006E5E1F"/>
    <w:rsid w:val="006F35C0"/>
    <w:rsid w:val="006F64B7"/>
    <w:rsid w:val="006F70E5"/>
    <w:rsid w:val="00705119"/>
    <w:rsid w:val="0070725C"/>
    <w:rsid w:val="007100C7"/>
    <w:rsid w:val="00713F06"/>
    <w:rsid w:val="00713F67"/>
    <w:rsid w:val="00717722"/>
    <w:rsid w:val="0072445C"/>
    <w:rsid w:val="0073051F"/>
    <w:rsid w:val="00731828"/>
    <w:rsid w:val="00736A00"/>
    <w:rsid w:val="00737A5A"/>
    <w:rsid w:val="007420A2"/>
    <w:rsid w:val="00755291"/>
    <w:rsid w:val="007558FA"/>
    <w:rsid w:val="00766F81"/>
    <w:rsid w:val="00770227"/>
    <w:rsid w:val="007714AE"/>
    <w:rsid w:val="00773C7A"/>
    <w:rsid w:val="00780360"/>
    <w:rsid w:val="00781756"/>
    <w:rsid w:val="00787250"/>
    <w:rsid w:val="0079300E"/>
    <w:rsid w:val="00795AF7"/>
    <w:rsid w:val="0079634A"/>
    <w:rsid w:val="007A68FD"/>
    <w:rsid w:val="007B4E08"/>
    <w:rsid w:val="007B58BC"/>
    <w:rsid w:val="007C0D2A"/>
    <w:rsid w:val="007C72F8"/>
    <w:rsid w:val="007D035A"/>
    <w:rsid w:val="007D1533"/>
    <w:rsid w:val="007D7B76"/>
    <w:rsid w:val="007F05EF"/>
    <w:rsid w:val="0081207F"/>
    <w:rsid w:val="0081603B"/>
    <w:rsid w:val="008211B4"/>
    <w:rsid w:val="008257D4"/>
    <w:rsid w:val="00825C2D"/>
    <w:rsid w:val="00833A89"/>
    <w:rsid w:val="00836C19"/>
    <w:rsid w:val="00841A54"/>
    <w:rsid w:val="00846561"/>
    <w:rsid w:val="008524CF"/>
    <w:rsid w:val="00855393"/>
    <w:rsid w:val="008555B0"/>
    <w:rsid w:val="00863CEF"/>
    <w:rsid w:val="008651F0"/>
    <w:rsid w:val="008711AC"/>
    <w:rsid w:val="0087561C"/>
    <w:rsid w:val="00877B07"/>
    <w:rsid w:val="00880676"/>
    <w:rsid w:val="00885354"/>
    <w:rsid w:val="0088660E"/>
    <w:rsid w:val="00886D2C"/>
    <w:rsid w:val="00891596"/>
    <w:rsid w:val="008929A5"/>
    <w:rsid w:val="00893D2C"/>
    <w:rsid w:val="008967AC"/>
    <w:rsid w:val="00896DE8"/>
    <w:rsid w:val="0089748C"/>
    <w:rsid w:val="00897C47"/>
    <w:rsid w:val="008A37B7"/>
    <w:rsid w:val="008A403D"/>
    <w:rsid w:val="008B11C2"/>
    <w:rsid w:val="008B304C"/>
    <w:rsid w:val="008B61B5"/>
    <w:rsid w:val="008C124C"/>
    <w:rsid w:val="008C21DA"/>
    <w:rsid w:val="008C5437"/>
    <w:rsid w:val="008C68D5"/>
    <w:rsid w:val="008C6F05"/>
    <w:rsid w:val="008C7A1D"/>
    <w:rsid w:val="008D1B5A"/>
    <w:rsid w:val="008D6911"/>
    <w:rsid w:val="008D787D"/>
    <w:rsid w:val="008E2FB1"/>
    <w:rsid w:val="008E602D"/>
    <w:rsid w:val="008E6291"/>
    <w:rsid w:val="008E7EA1"/>
    <w:rsid w:val="008F0976"/>
    <w:rsid w:val="008F1497"/>
    <w:rsid w:val="008F44C2"/>
    <w:rsid w:val="008F5379"/>
    <w:rsid w:val="008F5DD3"/>
    <w:rsid w:val="00900ED1"/>
    <w:rsid w:val="009073F7"/>
    <w:rsid w:val="00915531"/>
    <w:rsid w:val="00927882"/>
    <w:rsid w:val="009331D8"/>
    <w:rsid w:val="009334BF"/>
    <w:rsid w:val="0093693B"/>
    <w:rsid w:val="00937837"/>
    <w:rsid w:val="009378CB"/>
    <w:rsid w:val="00937F47"/>
    <w:rsid w:val="00944ED9"/>
    <w:rsid w:val="009464E6"/>
    <w:rsid w:val="00951493"/>
    <w:rsid w:val="00980D66"/>
    <w:rsid w:val="00983178"/>
    <w:rsid w:val="00983FAC"/>
    <w:rsid w:val="00987228"/>
    <w:rsid w:val="0099186F"/>
    <w:rsid w:val="009957B1"/>
    <w:rsid w:val="009A5210"/>
    <w:rsid w:val="009B3FAB"/>
    <w:rsid w:val="009B7478"/>
    <w:rsid w:val="009C43F0"/>
    <w:rsid w:val="009C7CBC"/>
    <w:rsid w:val="009C7E61"/>
    <w:rsid w:val="009D1CD7"/>
    <w:rsid w:val="009E07C2"/>
    <w:rsid w:val="009E4EA7"/>
    <w:rsid w:val="009E5F40"/>
    <w:rsid w:val="009E62D9"/>
    <w:rsid w:val="009F405A"/>
    <w:rsid w:val="00A010B5"/>
    <w:rsid w:val="00A01796"/>
    <w:rsid w:val="00A05627"/>
    <w:rsid w:val="00A1146B"/>
    <w:rsid w:val="00A12062"/>
    <w:rsid w:val="00A13294"/>
    <w:rsid w:val="00A152E0"/>
    <w:rsid w:val="00A27C3C"/>
    <w:rsid w:val="00A43D35"/>
    <w:rsid w:val="00A62380"/>
    <w:rsid w:val="00A66D4C"/>
    <w:rsid w:val="00A66F84"/>
    <w:rsid w:val="00A67853"/>
    <w:rsid w:val="00A72BCD"/>
    <w:rsid w:val="00A842BE"/>
    <w:rsid w:val="00A90F60"/>
    <w:rsid w:val="00A910FA"/>
    <w:rsid w:val="00A92F8D"/>
    <w:rsid w:val="00AA237E"/>
    <w:rsid w:val="00AA6A1A"/>
    <w:rsid w:val="00AB341D"/>
    <w:rsid w:val="00AB4F2D"/>
    <w:rsid w:val="00AB78D0"/>
    <w:rsid w:val="00AC0DC7"/>
    <w:rsid w:val="00AC18B1"/>
    <w:rsid w:val="00AC255C"/>
    <w:rsid w:val="00AC42CF"/>
    <w:rsid w:val="00AC6F35"/>
    <w:rsid w:val="00AD5389"/>
    <w:rsid w:val="00AD602E"/>
    <w:rsid w:val="00AD6B95"/>
    <w:rsid w:val="00AE268C"/>
    <w:rsid w:val="00AE62E8"/>
    <w:rsid w:val="00AE682E"/>
    <w:rsid w:val="00AE6860"/>
    <w:rsid w:val="00AF3802"/>
    <w:rsid w:val="00B02E91"/>
    <w:rsid w:val="00B02F4D"/>
    <w:rsid w:val="00B1138F"/>
    <w:rsid w:val="00B11804"/>
    <w:rsid w:val="00B11DBE"/>
    <w:rsid w:val="00B11EFD"/>
    <w:rsid w:val="00B178B6"/>
    <w:rsid w:val="00B17E22"/>
    <w:rsid w:val="00B25134"/>
    <w:rsid w:val="00B30967"/>
    <w:rsid w:val="00B32250"/>
    <w:rsid w:val="00B42C2E"/>
    <w:rsid w:val="00B44E2F"/>
    <w:rsid w:val="00B454B5"/>
    <w:rsid w:val="00B537E2"/>
    <w:rsid w:val="00B56266"/>
    <w:rsid w:val="00B56F6F"/>
    <w:rsid w:val="00B6132B"/>
    <w:rsid w:val="00B67588"/>
    <w:rsid w:val="00B708BA"/>
    <w:rsid w:val="00B72930"/>
    <w:rsid w:val="00B7429E"/>
    <w:rsid w:val="00B8054B"/>
    <w:rsid w:val="00B80FB9"/>
    <w:rsid w:val="00B81811"/>
    <w:rsid w:val="00B862CA"/>
    <w:rsid w:val="00BA2908"/>
    <w:rsid w:val="00BA62E6"/>
    <w:rsid w:val="00BA6B29"/>
    <w:rsid w:val="00BA70AC"/>
    <w:rsid w:val="00BB31C3"/>
    <w:rsid w:val="00BB5766"/>
    <w:rsid w:val="00BB7713"/>
    <w:rsid w:val="00BC1572"/>
    <w:rsid w:val="00BC3318"/>
    <w:rsid w:val="00BC7383"/>
    <w:rsid w:val="00BC747B"/>
    <w:rsid w:val="00BD15AE"/>
    <w:rsid w:val="00BD5BBD"/>
    <w:rsid w:val="00BD63DA"/>
    <w:rsid w:val="00BD6775"/>
    <w:rsid w:val="00BD6CCC"/>
    <w:rsid w:val="00BE0796"/>
    <w:rsid w:val="00BE0A39"/>
    <w:rsid w:val="00BE5694"/>
    <w:rsid w:val="00BE74ED"/>
    <w:rsid w:val="00BF1570"/>
    <w:rsid w:val="00BF4604"/>
    <w:rsid w:val="00BF5F8D"/>
    <w:rsid w:val="00BF689C"/>
    <w:rsid w:val="00C029D2"/>
    <w:rsid w:val="00C0334D"/>
    <w:rsid w:val="00C0412D"/>
    <w:rsid w:val="00C0472D"/>
    <w:rsid w:val="00C172E2"/>
    <w:rsid w:val="00C202EA"/>
    <w:rsid w:val="00C225D4"/>
    <w:rsid w:val="00C30E2D"/>
    <w:rsid w:val="00C31BDF"/>
    <w:rsid w:val="00C32143"/>
    <w:rsid w:val="00C321B0"/>
    <w:rsid w:val="00C32584"/>
    <w:rsid w:val="00C3738D"/>
    <w:rsid w:val="00C37CEB"/>
    <w:rsid w:val="00C46673"/>
    <w:rsid w:val="00C47B55"/>
    <w:rsid w:val="00C47C72"/>
    <w:rsid w:val="00C50228"/>
    <w:rsid w:val="00C511EF"/>
    <w:rsid w:val="00C51BE1"/>
    <w:rsid w:val="00C57DB1"/>
    <w:rsid w:val="00C60470"/>
    <w:rsid w:val="00C61672"/>
    <w:rsid w:val="00C63C2C"/>
    <w:rsid w:val="00C657BA"/>
    <w:rsid w:val="00C709F1"/>
    <w:rsid w:val="00C7366B"/>
    <w:rsid w:val="00C7454B"/>
    <w:rsid w:val="00C76468"/>
    <w:rsid w:val="00C76959"/>
    <w:rsid w:val="00C77243"/>
    <w:rsid w:val="00C77631"/>
    <w:rsid w:val="00C77E8D"/>
    <w:rsid w:val="00C81813"/>
    <w:rsid w:val="00C818B2"/>
    <w:rsid w:val="00C848E9"/>
    <w:rsid w:val="00C909E5"/>
    <w:rsid w:val="00C94A65"/>
    <w:rsid w:val="00C95C99"/>
    <w:rsid w:val="00C96CE5"/>
    <w:rsid w:val="00C97FE1"/>
    <w:rsid w:val="00CA088E"/>
    <w:rsid w:val="00CA0F4B"/>
    <w:rsid w:val="00CA5898"/>
    <w:rsid w:val="00CB2089"/>
    <w:rsid w:val="00CB5F63"/>
    <w:rsid w:val="00CC14D5"/>
    <w:rsid w:val="00CD019C"/>
    <w:rsid w:val="00CD3161"/>
    <w:rsid w:val="00CD3883"/>
    <w:rsid w:val="00CD4F23"/>
    <w:rsid w:val="00CD590B"/>
    <w:rsid w:val="00CE382F"/>
    <w:rsid w:val="00CE740A"/>
    <w:rsid w:val="00CF129E"/>
    <w:rsid w:val="00CF1F8B"/>
    <w:rsid w:val="00CF2092"/>
    <w:rsid w:val="00CF7E44"/>
    <w:rsid w:val="00CF7F67"/>
    <w:rsid w:val="00D03CF4"/>
    <w:rsid w:val="00D06737"/>
    <w:rsid w:val="00D1698D"/>
    <w:rsid w:val="00D16F5F"/>
    <w:rsid w:val="00D17AFA"/>
    <w:rsid w:val="00D2318A"/>
    <w:rsid w:val="00D25644"/>
    <w:rsid w:val="00D25826"/>
    <w:rsid w:val="00D26CF3"/>
    <w:rsid w:val="00D30193"/>
    <w:rsid w:val="00D30F46"/>
    <w:rsid w:val="00D339ED"/>
    <w:rsid w:val="00D37268"/>
    <w:rsid w:val="00D4038C"/>
    <w:rsid w:val="00D427BE"/>
    <w:rsid w:val="00D4494C"/>
    <w:rsid w:val="00D50443"/>
    <w:rsid w:val="00D57994"/>
    <w:rsid w:val="00D65A35"/>
    <w:rsid w:val="00D66698"/>
    <w:rsid w:val="00D75284"/>
    <w:rsid w:val="00D75466"/>
    <w:rsid w:val="00D810C0"/>
    <w:rsid w:val="00D83445"/>
    <w:rsid w:val="00D844B8"/>
    <w:rsid w:val="00D85884"/>
    <w:rsid w:val="00D8662E"/>
    <w:rsid w:val="00D90DFD"/>
    <w:rsid w:val="00D91EA4"/>
    <w:rsid w:val="00D96845"/>
    <w:rsid w:val="00D97B89"/>
    <w:rsid w:val="00DA123E"/>
    <w:rsid w:val="00DA1325"/>
    <w:rsid w:val="00DA5703"/>
    <w:rsid w:val="00DB101D"/>
    <w:rsid w:val="00DB2BE1"/>
    <w:rsid w:val="00DB339D"/>
    <w:rsid w:val="00DC09EE"/>
    <w:rsid w:val="00DC72EE"/>
    <w:rsid w:val="00DD668D"/>
    <w:rsid w:val="00DE00CC"/>
    <w:rsid w:val="00DE2010"/>
    <w:rsid w:val="00DE2408"/>
    <w:rsid w:val="00DE66B2"/>
    <w:rsid w:val="00DF25D8"/>
    <w:rsid w:val="00DF42B7"/>
    <w:rsid w:val="00DF4803"/>
    <w:rsid w:val="00E00A5E"/>
    <w:rsid w:val="00E03AEF"/>
    <w:rsid w:val="00E0755D"/>
    <w:rsid w:val="00E10383"/>
    <w:rsid w:val="00E107AB"/>
    <w:rsid w:val="00E169D3"/>
    <w:rsid w:val="00E177EE"/>
    <w:rsid w:val="00E201D9"/>
    <w:rsid w:val="00E20A14"/>
    <w:rsid w:val="00E25F27"/>
    <w:rsid w:val="00E33A3D"/>
    <w:rsid w:val="00E33A70"/>
    <w:rsid w:val="00E35C75"/>
    <w:rsid w:val="00E35FCD"/>
    <w:rsid w:val="00E4052A"/>
    <w:rsid w:val="00E4146E"/>
    <w:rsid w:val="00E45214"/>
    <w:rsid w:val="00E45C40"/>
    <w:rsid w:val="00E47B81"/>
    <w:rsid w:val="00E5106B"/>
    <w:rsid w:val="00E51E29"/>
    <w:rsid w:val="00E5274B"/>
    <w:rsid w:val="00E53AE1"/>
    <w:rsid w:val="00E567C5"/>
    <w:rsid w:val="00E6639D"/>
    <w:rsid w:val="00E73A26"/>
    <w:rsid w:val="00E75730"/>
    <w:rsid w:val="00E75BE3"/>
    <w:rsid w:val="00E77926"/>
    <w:rsid w:val="00E77F61"/>
    <w:rsid w:val="00E80C10"/>
    <w:rsid w:val="00E83106"/>
    <w:rsid w:val="00E83332"/>
    <w:rsid w:val="00E95B84"/>
    <w:rsid w:val="00EA27B6"/>
    <w:rsid w:val="00EA57D0"/>
    <w:rsid w:val="00EA5EA8"/>
    <w:rsid w:val="00EB77EB"/>
    <w:rsid w:val="00ED15F6"/>
    <w:rsid w:val="00ED2F0B"/>
    <w:rsid w:val="00ED36EC"/>
    <w:rsid w:val="00ED5DC6"/>
    <w:rsid w:val="00ED7FA1"/>
    <w:rsid w:val="00EE710E"/>
    <w:rsid w:val="00EF21AF"/>
    <w:rsid w:val="00EF5499"/>
    <w:rsid w:val="00F029DC"/>
    <w:rsid w:val="00F0792A"/>
    <w:rsid w:val="00F1449B"/>
    <w:rsid w:val="00F204D6"/>
    <w:rsid w:val="00F210BF"/>
    <w:rsid w:val="00F21A0D"/>
    <w:rsid w:val="00F30A81"/>
    <w:rsid w:val="00F31D80"/>
    <w:rsid w:val="00F34769"/>
    <w:rsid w:val="00F36594"/>
    <w:rsid w:val="00F3712D"/>
    <w:rsid w:val="00F37C9B"/>
    <w:rsid w:val="00F51622"/>
    <w:rsid w:val="00F54FEB"/>
    <w:rsid w:val="00F57663"/>
    <w:rsid w:val="00F64897"/>
    <w:rsid w:val="00F706E8"/>
    <w:rsid w:val="00F72E23"/>
    <w:rsid w:val="00F73CB1"/>
    <w:rsid w:val="00F74C8C"/>
    <w:rsid w:val="00F75C59"/>
    <w:rsid w:val="00F774B8"/>
    <w:rsid w:val="00F82D0B"/>
    <w:rsid w:val="00F85387"/>
    <w:rsid w:val="00F87212"/>
    <w:rsid w:val="00F920BF"/>
    <w:rsid w:val="00F94A16"/>
    <w:rsid w:val="00F95D5A"/>
    <w:rsid w:val="00F966F7"/>
    <w:rsid w:val="00FA2330"/>
    <w:rsid w:val="00FA5F3B"/>
    <w:rsid w:val="00FA6CEE"/>
    <w:rsid w:val="00FB3005"/>
    <w:rsid w:val="00FB40B1"/>
    <w:rsid w:val="00FB4E73"/>
    <w:rsid w:val="00FB637A"/>
    <w:rsid w:val="00FC2340"/>
    <w:rsid w:val="00FC465E"/>
    <w:rsid w:val="00FC54DD"/>
    <w:rsid w:val="00FC5D69"/>
    <w:rsid w:val="00FD3E8E"/>
    <w:rsid w:val="00FD470B"/>
    <w:rsid w:val="00FD5342"/>
    <w:rsid w:val="00FD59E1"/>
    <w:rsid w:val="00FE13FB"/>
    <w:rsid w:val="00FE3840"/>
    <w:rsid w:val="00FE5B4E"/>
    <w:rsid w:val="00FE7976"/>
    <w:rsid w:val="00FF1CD3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2875A"/>
  <w15:chartTrackingRefBased/>
  <w15:docId w15:val="{C6A1150F-0D7A-4630-9890-FD7024C6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470B"/>
    <w:pPr>
      <w:contextualSpacing/>
    </w:pPr>
    <w:rPr>
      <w:rFonts w:cstheme="minorHAnsi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5F40"/>
    <w:pPr>
      <w:spacing w:before="360"/>
      <w:outlineLvl w:val="0"/>
    </w:pPr>
    <w:rPr>
      <w:b/>
      <w:bCs/>
      <w:kern w:val="2"/>
      <w:sz w:val="36"/>
      <w:szCs w:val="36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5F3B"/>
    <w:pPr>
      <w:spacing w:before="240"/>
      <w:outlineLvl w:val="1"/>
    </w:pPr>
    <w:rPr>
      <w:b/>
      <w:bCs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5F3B"/>
    <w:pPr>
      <w:spacing w:before="240"/>
      <w:outlineLvl w:val="2"/>
    </w:pPr>
    <w:rPr>
      <w:b/>
      <w:bCs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5F3B"/>
    <w:pPr>
      <w:spacing w:before="240"/>
      <w:outlineLvl w:val="3"/>
    </w:pPr>
    <w:rPr>
      <w:b/>
      <w:bCs/>
      <w:kern w:val="2"/>
      <w14:ligatures w14:val="standardContextual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9E5F40"/>
    <w:pPr>
      <w:outlineLvl w:val="4"/>
    </w:pPr>
    <w:rPr>
      <w:b w:val="0"/>
      <w:bCs w:val="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52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52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52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52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5F40"/>
    <w:rPr>
      <w:rFonts w:ascii="Calibri" w:hAnsi="Calibri" w:cstheme="minorHAnsi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FA5F3B"/>
    <w:rPr>
      <w:rFonts w:cstheme="minorHAnsi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A5F3B"/>
    <w:rPr>
      <w:rFonts w:cstheme="minorHAnsi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FA5F3B"/>
    <w:rPr>
      <w:rFonts w:cstheme="minorHAnsi"/>
      <w:b/>
      <w:bCs/>
      <w:sz w:val="24"/>
      <w:szCs w:val="24"/>
    </w:rPr>
  </w:style>
  <w:style w:type="paragraph" w:styleId="ListParagraph">
    <w:name w:val="List Paragraph"/>
    <w:aliases w:val="Akapit z listą (numerowanie),L1,Numerowanie,Normalny PDST,lp1,Preambuła,HŁ_Bullet1,Akapit z listą5,Akapit normalny,Akapit z listą1,T_SZ_List Paragraph,Bullet Number,List Paragraph2,ISCG Numerowanie,lp11,List Paragraph11,Bullet 1"/>
    <w:basedOn w:val="Normal"/>
    <w:link w:val="ListParagraphChar"/>
    <w:uiPriority w:val="34"/>
    <w:qFormat/>
    <w:rsid w:val="00A910FA"/>
    <w:pPr>
      <w:numPr>
        <w:numId w:val="9"/>
      </w:numPr>
    </w:pPr>
    <w:rPr>
      <w:rFonts w:eastAsia="Times New Roman" w:cs="Times New Roman"/>
    </w:rPr>
  </w:style>
  <w:style w:type="character" w:customStyle="1" w:styleId="ListParagraphChar">
    <w:name w:val="List Paragraph Char"/>
    <w:aliases w:val="Akapit z listą (numerowanie) Char,L1 Char,Numerowanie Char,Normalny PDST Char,lp1 Char,Preambuła Char,HŁ_Bullet1 Char,Akapit z listą5 Char,Akapit normalny Char,Akapit z listą1 Char,T_SZ_List Paragraph Char,Bullet Number Char"/>
    <w:link w:val="ListParagraph"/>
    <w:uiPriority w:val="34"/>
    <w:qFormat/>
    <w:rsid w:val="00A910FA"/>
    <w:rPr>
      <w:rFonts w:ascii="Calibri" w:hAnsi="Calibri" w:cs="Times New Roman"/>
      <w:sz w:val="24"/>
      <w:szCs w:val="24"/>
    </w:rPr>
  </w:style>
  <w:style w:type="paragraph" w:customStyle="1" w:styleId="Akapitzlistrozwijaln2">
    <w:name w:val="Akapit z listą rozwijalną 2"/>
    <w:basedOn w:val="Normal"/>
    <w:qFormat/>
    <w:rsid w:val="003535E9"/>
    <w:pPr>
      <w:numPr>
        <w:numId w:val="6"/>
      </w:numPr>
      <w:ind w:left="426" w:hanging="426"/>
    </w:pPr>
    <w:rPr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9E5F40"/>
    <w:rPr>
      <w:rFonts w:ascii="Calibri" w:hAnsi="Calibri" w:cstheme="minorHAns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5245"/>
    <w:rPr>
      <w:rFonts w:eastAsiaTheme="majorEastAsia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5245"/>
    <w:rPr>
      <w:rFonts w:eastAsiaTheme="majorEastAsia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5245"/>
    <w:rPr>
      <w:rFonts w:eastAsiaTheme="majorEastAsia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5245"/>
    <w:rPr>
      <w:rFonts w:eastAsiaTheme="majorEastAsia" w:cstheme="majorBidi"/>
      <w:color w:val="272727" w:themeColor="text1" w:themeTint="D8"/>
      <w:kern w:val="0"/>
      <w:sz w:val="24"/>
      <w:szCs w:val="24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165245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5245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524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5245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16524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5245"/>
    <w:rPr>
      <w:rFonts w:cstheme="minorHAnsi"/>
      <w:i/>
      <w:iCs/>
      <w:color w:val="404040" w:themeColor="text1" w:themeTint="BF"/>
      <w:kern w:val="0"/>
      <w:sz w:val="24"/>
      <w:szCs w:val="24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16524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52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5245"/>
    <w:rPr>
      <w:rFonts w:cstheme="minorHAnsi"/>
      <w:i/>
      <w:iCs/>
      <w:color w:val="2F5496" w:themeColor="accent1" w:themeShade="BF"/>
      <w:kern w:val="0"/>
      <w:sz w:val="24"/>
      <w:szCs w:val="24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165245"/>
    <w:rPr>
      <w:b/>
      <w:bCs/>
      <w:smallCaps/>
      <w:color w:val="2F5496" w:themeColor="accent1" w:themeShade="BF"/>
      <w:spacing w:val="5"/>
    </w:rPr>
  </w:style>
  <w:style w:type="character" w:customStyle="1" w:styleId="font61">
    <w:name w:val="font61"/>
    <w:basedOn w:val="DefaultParagraphFont"/>
    <w:rsid w:val="00215E15"/>
    <w:rPr>
      <w:rFonts w:ascii="Calibri" w:hAnsi="Calibri" w:cs="Calibri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741">
    <w:name w:val="font741"/>
    <w:basedOn w:val="DefaultParagraphFont"/>
    <w:rsid w:val="00CA088E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751">
    <w:name w:val="font751"/>
    <w:basedOn w:val="DefaultParagraphFont"/>
    <w:rsid w:val="00CA088E"/>
    <w:rPr>
      <w:rFonts w:ascii="Calibri" w:hAnsi="Calibri" w:cs="Calibri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6FD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6FD4"/>
    <w:rPr>
      <w:rFonts w:cstheme="minorHAnsi"/>
      <w:kern w:val="0"/>
      <w:sz w:val="20"/>
      <w:szCs w:val="20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046FD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25C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C2D"/>
    <w:rPr>
      <w:rFonts w:cstheme="minorHAnsi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25C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C2D"/>
    <w:rPr>
      <w:rFonts w:cstheme="minorHAnsi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6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6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0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7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0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BC4D7-4534-466F-B09F-699BB72CC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3056</TotalTime>
  <Pages>1</Pages>
  <Words>3741</Words>
  <Characters>21325</Characters>
  <Application>Microsoft Office Word</Application>
  <DocSecurity>4</DocSecurity>
  <Lines>177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Cymbaluk Daniel</dc:creator>
  <cp:keywords/>
  <dc:description/>
  <cp:lastModifiedBy>Cymbaluk Daniel</cp:lastModifiedBy>
  <cp:revision>552</cp:revision>
  <dcterms:created xsi:type="dcterms:W3CDTF">2025-02-14T06:08:00Z</dcterms:created>
  <dcterms:modified xsi:type="dcterms:W3CDTF">2025-02-18T22:15:00Z</dcterms:modified>
</cp:coreProperties>
</file>