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420"/>
        <w:gridCol w:w="2500"/>
        <w:gridCol w:w="3638"/>
      </w:tblGrid>
      <w:tr w:rsidR="002418C9" w:rsidRPr="00A95417" w:rsidTr="00345960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418C9" w:rsidRPr="00A95417" w:rsidRDefault="00095475" w:rsidP="002078BE">
            <w:pPr>
              <w:jc w:val="right"/>
              <w:rPr>
                <w:rFonts w:ascii="Gulim" w:eastAsia="Gulim" w:hAnsi="Gulim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95417">
              <w:rPr>
                <w:rFonts w:ascii="Gulim" w:eastAsia="Gulim" w:hAnsi="Gulim" w:cs="Times New Roman"/>
                <w:b/>
                <w:sz w:val="24"/>
                <w:szCs w:val="24"/>
              </w:rPr>
              <w:t>Załącznik nr 1 do Uchwały nr 95 RDPP z dnia 20 lutego 2018 r.</w:t>
            </w:r>
          </w:p>
        </w:tc>
      </w:tr>
      <w:tr w:rsidR="00345960" w:rsidRPr="00A95417" w:rsidTr="00095475">
        <w:trPr>
          <w:trHeight w:val="315"/>
        </w:trPr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45960" w:rsidRPr="00A95417" w:rsidRDefault="00345960" w:rsidP="0081626E">
            <w:pPr>
              <w:spacing w:after="120" w:line="240" w:lineRule="auto"/>
              <w:jc w:val="center"/>
              <w:rPr>
                <w:rFonts w:ascii="Gulim" w:eastAsia="Gulim" w:hAnsi="Gulim" w:cs="Times New Roman"/>
                <w:b/>
                <w:bCs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345960" w:rsidRPr="00A95417" w:rsidRDefault="00345960" w:rsidP="0081626E">
            <w:pPr>
              <w:spacing w:after="120" w:line="240" w:lineRule="auto"/>
              <w:jc w:val="center"/>
              <w:rPr>
                <w:rFonts w:ascii="Gulim" w:eastAsia="Gulim" w:hAnsi="Gulim" w:cs="Times New Roman"/>
                <w:b/>
                <w:bCs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bCs/>
                <w:sz w:val="20"/>
                <w:szCs w:val="20"/>
              </w:rPr>
              <w:t>Część/</w:t>
            </w:r>
            <w:proofErr w:type="spellStart"/>
            <w:r w:rsidRPr="00A95417">
              <w:rPr>
                <w:rFonts w:ascii="Gulim" w:eastAsia="Gulim" w:hAnsi="Gulim" w:cs="Times New Roman"/>
                <w:b/>
                <w:bCs/>
                <w:sz w:val="20"/>
                <w:szCs w:val="20"/>
              </w:rPr>
              <w:t>rozdz</w:t>
            </w:r>
            <w:proofErr w:type="spellEnd"/>
            <w:r w:rsidRPr="00A95417">
              <w:rPr>
                <w:rFonts w:ascii="Gulim" w:eastAsia="Gulim" w:hAnsi="Gulim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A95417">
              <w:rPr>
                <w:rFonts w:ascii="Gulim" w:eastAsia="Gulim" w:hAnsi="Gulim" w:cs="Times New Roman"/>
                <w:b/>
                <w:bCs/>
                <w:sz w:val="20"/>
                <w:szCs w:val="20"/>
              </w:rPr>
              <w:t>podrozdz</w:t>
            </w:r>
            <w:proofErr w:type="spellEnd"/>
            <w:r w:rsidRPr="00A95417">
              <w:rPr>
                <w:rFonts w:ascii="Gulim" w:eastAsia="Gulim" w:hAnsi="Gulim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75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45960" w:rsidRPr="00A95417" w:rsidRDefault="00345960" w:rsidP="0081626E">
            <w:pPr>
              <w:spacing w:after="120" w:line="240" w:lineRule="auto"/>
              <w:jc w:val="center"/>
              <w:rPr>
                <w:rFonts w:ascii="Gulim" w:eastAsia="Gulim" w:hAnsi="Gulim" w:cs="Times New Roman"/>
                <w:b/>
                <w:bCs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206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45960" w:rsidRPr="00A95417" w:rsidRDefault="00345960" w:rsidP="0081626E">
            <w:pPr>
              <w:spacing w:after="120" w:line="240" w:lineRule="auto"/>
              <w:jc w:val="center"/>
              <w:rPr>
                <w:rFonts w:ascii="Gulim" w:eastAsia="Gulim" w:hAnsi="Gulim" w:cs="Times New Roman"/>
                <w:b/>
                <w:bCs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bCs/>
                <w:sz w:val="20"/>
                <w:szCs w:val="20"/>
              </w:rPr>
              <w:t>Uzasadnienie</w:t>
            </w:r>
          </w:p>
        </w:tc>
      </w:tr>
      <w:tr w:rsidR="00345960" w:rsidRPr="00A95417" w:rsidTr="00095475">
        <w:trPr>
          <w:trHeight w:val="300"/>
        </w:trPr>
        <w:tc>
          <w:tcPr>
            <w:tcW w:w="303" w:type="pct"/>
            <w:shd w:val="clear" w:color="auto" w:fill="auto"/>
            <w:hideMark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1.</w:t>
            </w:r>
          </w:p>
        </w:tc>
        <w:tc>
          <w:tcPr>
            <w:tcW w:w="1159" w:type="pct"/>
            <w:shd w:val="clear" w:color="auto" w:fill="auto"/>
            <w:hideMark/>
          </w:tcPr>
          <w:p w:rsidR="00345960" w:rsidRPr="00A95417" w:rsidRDefault="00345960" w:rsidP="00345960">
            <w:pPr>
              <w:pStyle w:val="rozdzial"/>
              <w:numPr>
                <w:ilvl w:val="0"/>
                <w:numId w:val="2"/>
              </w:numPr>
              <w:spacing w:before="0"/>
              <w:ind w:left="34" w:firstLine="0"/>
              <w:rPr>
                <w:rFonts w:ascii="Gulim" w:eastAsia="Gulim" w:hAnsi="Gulim"/>
                <w:color w:val="auto"/>
                <w:sz w:val="20"/>
                <w:szCs w:val="20"/>
              </w:rPr>
            </w:pPr>
            <w:bookmarkStart w:id="1" w:name="_Toc276589825"/>
            <w:bookmarkStart w:id="2" w:name="_Toc505239452"/>
            <w:r w:rsidRPr="00A95417">
              <w:rPr>
                <w:rFonts w:ascii="Gulim" w:eastAsia="Gulim" w:hAnsi="Gulim"/>
                <w:color w:val="auto"/>
                <w:sz w:val="20"/>
                <w:szCs w:val="20"/>
              </w:rPr>
              <w:t>ŚRODKI FINANSOWE NA REALIZACJĘ ZADAŃ PUBLICZNYCH. CZAS REALIZACJI ZADAŃ</w:t>
            </w:r>
            <w:bookmarkEnd w:id="1"/>
            <w:r w:rsidRPr="00A95417">
              <w:rPr>
                <w:rFonts w:ascii="Gulim" w:eastAsia="Gulim" w:hAnsi="Gulim"/>
                <w:color w:val="auto"/>
                <w:sz w:val="20"/>
                <w:szCs w:val="20"/>
              </w:rPr>
              <w:t>.</w:t>
            </w:r>
            <w:bookmarkEnd w:id="2"/>
          </w:p>
          <w:p w:rsidR="00345960" w:rsidRPr="00A95417" w:rsidRDefault="00345960" w:rsidP="00345960">
            <w:pPr>
              <w:pStyle w:val="rozdzial"/>
              <w:numPr>
                <w:ilvl w:val="0"/>
                <w:numId w:val="0"/>
              </w:numPr>
              <w:spacing w:before="0"/>
              <w:ind w:left="34"/>
              <w:rPr>
                <w:rFonts w:ascii="Gulim" w:eastAsia="Gulim" w:hAnsi="Gulim"/>
                <w:color w:val="auto"/>
                <w:sz w:val="20"/>
                <w:szCs w:val="20"/>
              </w:rPr>
            </w:pPr>
          </w:p>
          <w:p w:rsidR="00345960" w:rsidRPr="00A95417" w:rsidRDefault="00345960" w:rsidP="00345960">
            <w:pPr>
              <w:pStyle w:val="rozdzial"/>
              <w:numPr>
                <w:ilvl w:val="0"/>
                <w:numId w:val="0"/>
              </w:numPr>
              <w:spacing w:before="0"/>
              <w:ind w:left="34"/>
              <w:rPr>
                <w:rFonts w:ascii="Gulim" w:eastAsia="Gulim" w:hAnsi="Gulim"/>
                <w:color w:val="auto"/>
                <w:sz w:val="20"/>
                <w:szCs w:val="20"/>
              </w:rPr>
            </w:pPr>
            <w:r w:rsidRPr="00A95417">
              <w:rPr>
                <w:rFonts w:ascii="Gulim" w:eastAsia="Gulim" w:hAnsi="Gulim"/>
                <w:color w:val="auto"/>
                <w:sz w:val="20"/>
                <w:szCs w:val="20"/>
              </w:rPr>
              <w:t>4. WYSOKOŚĆ WNIOSKOWANEJ DOTACJI</w:t>
            </w:r>
          </w:p>
          <w:p w:rsidR="00345960" w:rsidRPr="00A95417" w:rsidRDefault="00345960" w:rsidP="00345960">
            <w:pPr>
              <w:pStyle w:val="Tekstpodstawowy"/>
              <w:tabs>
                <w:tab w:val="num" w:pos="720"/>
                <w:tab w:val="num" w:pos="1080"/>
              </w:tabs>
              <w:spacing w:after="120"/>
              <w:jc w:val="left"/>
              <w:rPr>
                <w:rFonts w:ascii="Gulim" w:eastAsia="Gulim" w:hAnsi="Gulim"/>
                <w:b w:val="0"/>
                <w:sz w:val="20"/>
                <w:szCs w:val="20"/>
              </w:rPr>
            </w:pPr>
            <w:r w:rsidRPr="00A95417">
              <w:rPr>
                <w:rFonts w:ascii="Gulim" w:eastAsia="Gulim" w:hAnsi="Gulim"/>
                <w:b w:val="0"/>
                <w:sz w:val="20"/>
                <w:szCs w:val="20"/>
              </w:rPr>
              <w:t xml:space="preserve">„W ramach FIO 2018 można ubiegać się o dotację w wysokości </w:t>
            </w:r>
            <w:r w:rsidRPr="00A95417">
              <w:rPr>
                <w:rFonts w:ascii="Gulim" w:eastAsia="Gulim" w:hAnsi="Gulim"/>
                <w:sz w:val="20"/>
                <w:szCs w:val="20"/>
              </w:rPr>
              <w:t>od 20 tys. zł do 400 tys. zł</w:t>
            </w:r>
            <w:r w:rsidRPr="00A95417">
              <w:rPr>
                <w:rFonts w:ascii="Gulim" w:eastAsia="Gulim" w:hAnsi="Gulim"/>
                <w:b w:val="0"/>
                <w:sz w:val="20"/>
                <w:szCs w:val="20"/>
              </w:rPr>
              <w:t>, w tym wysokość dotacji przeznaczonej na realizację w poszczególnych latach może wynosić maksymalnie 200 tys. zł.”</w:t>
            </w:r>
          </w:p>
          <w:p w:rsidR="00345960" w:rsidRPr="00A95417" w:rsidRDefault="00345960" w:rsidP="00345960">
            <w:pPr>
              <w:pStyle w:val="Tekstpodstawowy"/>
              <w:tabs>
                <w:tab w:val="num" w:pos="720"/>
                <w:tab w:val="num" w:pos="1080"/>
              </w:tabs>
              <w:spacing w:after="120"/>
              <w:jc w:val="left"/>
              <w:rPr>
                <w:rFonts w:ascii="Gulim" w:eastAsia="Gulim" w:hAnsi="Gulim"/>
                <w:sz w:val="20"/>
                <w:szCs w:val="20"/>
              </w:rPr>
            </w:pPr>
            <w:r w:rsidRPr="00A95417">
              <w:rPr>
                <w:rFonts w:ascii="Gulim" w:eastAsia="Gulim" w:hAnsi="Gulim"/>
                <w:sz w:val="20"/>
                <w:szCs w:val="20"/>
              </w:rPr>
              <w:t>ORAZ</w:t>
            </w:r>
          </w:p>
          <w:p w:rsidR="00345960" w:rsidRPr="00A95417" w:rsidRDefault="00345960" w:rsidP="00345960">
            <w:pPr>
              <w:pStyle w:val="Tekstpodstawowy"/>
              <w:tabs>
                <w:tab w:val="num" w:pos="720"/>
                <w:tab w:val="num" w:pos="1080"/>
              </w:tabs>
              <w:spacing w:after="120"/>
              <w:jc w:val="left"/>
              <w:rPr>
                <w:rFonts w:ascii="Gulim" w:eastAsia="Gulim" w:hAnsi="Gulim"/>
                <w:sz w:val="20"/>
                <w:szCs w:val="20"/>
              </w:rPr>
            </w:pPr>
            <w:r w:rsidRPr="00A95417">
              <w:rPr>
                <w:rFonts w:ascii="Gulim" w:eastAsia="Gulim" w:hAnsi="Gulim"/>
                <w:sz w:val="20"/>
                <w:szCs w:val="20"/>
              </w:rPr>
              <w:t>Część B – Zasady przyznawania dotacji w Priorytecie 1.</w:t>
            </w:r>
          </w:p>
          <w:p w:rsidR="00345960" w:rsidRPr="00A95417" w:rsidRDefault="00345960" w:rsidP="00345960">
            <w:pPr>
              <w:pStyle w:val="Tekstpodstawowy"/>
              <w:numPr>
                <w:ilvl w:val="0"/>
                <w:numId w:val="9"/>
              </w:numPr>
              <w:tabs>
                <w:tab w:val="num" w:pos="177"/>
              </w:tabs>
              <w:spacing w:after="120"/>
              <w:ind w:left="0" w:firstLine="0"/>
              <w:jc w:val="left"/>
              <w:rPr>
                <w:rFonts w:ascii="Gulim" w:eastAsia="Gulim" w:hAnsi="Gulim"/>
                <w:sz w:val="20"/>
                <w:szCs w:val="20"/>
              </w:rPr>
            </w:pPr>
            <w:r w:rsidRPr="00A95417">
              <w:rPr>
                <w:rFonts w:ascii="Gulim" w:eastAsia="Gulim" w:hAnsi="Gulim"/>
                <w:sz w:val="20"/>
                <w:szCs w:val="20"/>
              </w:rPr>
              <w:t>PRIORYTET 1 – MAŁE INICJATYWY.</w:t>
            </w:r>
          </w:p>
          <w:p w:rsidR="00345960" w:rsidRPr="00A95417" w:rsidRDefault="00345960" w:rsidP="00345960">
            <w:pPr>
              <w:pStyle w:val="Tekstpodstawowy"/>
              <w:tabs>
                <w:tab w:val="num" w:pos="1080"/>
              </w:tabs>
              <w:spacing w:after="120"/>
              <w:jc w:val="left"/>
              <w:rPr>
                <w:rFonts w:ascii="Gulim" w:eastAsia="Gulim" w:hAnsi="Gulim"/>
                <w:sz w:val="20"/>
                <w:szCs w:val="20"/>
              </w:rPr>
            </w:pPr>
            <w:r w:rsidRPr="00A95417">
              <w:rPr>
                <w:rFonts w:ascii="Gulim" w:eastAsia="Gulim" w:hAnsi="Gulim"/>
                <w:sz w:val="20"/>
                <w:szCs w:val="20"/>
              </w:rPr>
              <w:t>2. ŚRODKI FINANSOWE I CZAS REALIZACJI ZADAŃ.</w:t>
            </w:r>
          </w:p>
          <w:p w:rsidR="00345960" w:rsidRPr="00A95417" w:rsidRDefault="00345960" w:rsidP="00345960">
            <w:pPr>
              <w:tabs>
                <w:tab w:val="left" w:pos="1005"/>
              </w:tabs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„Wysokość wnioskowanej dotacji</w:t>
            </w:r>
          </w:p>
          <w:p w:rsidR="00345960" w:rsidRDefault="00345960" w:rsidP="00345960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Możliwa maksymalna wysokość wnioskowanej dotacji to: 1 000 000 zł, w tym wysokość dotacji przeznaczonej na realizację zadania w danym roku może wynosić maksymalnie 500 tys. zł.”</w:t>
            </w:r>
          </w:p>
          <w:p w:rsidR="0081626E" w:rsidRPr="00A95417" w:rsidRDefault="0081626E" w:rsidP="00345960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  <w:tc>
          <w:tcPr>
            <w:tcW w:w="1475" w:type="pct"/>
            <w:shd w:val="clear" w:color="auto" w:fill="auto"/>
            <w:hideMark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Niewskazane jest sztywne określanie wysokości dotacji na dany rok, w tym szczególnie wskazywanie równomiernego podziału dotacji pomiędzy latami, gdy pierwszy rok realizacji projektu wynosi tylko 8 miesięcy, a drugi rok – 12 miesięcy 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Ewentualnie należy wskazać podział środków w taki sposób, aby w drugim roku realizacji projektu wysokość dotacji była większa niż w pierwszym roku.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  <w:u w:val="single"/>
              </w:rPr>
            </w:pP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  <w:tc>
          <w:tcPr>
            <w:tcW w:w="2064" w:type="pct"/>
            <w:shd w:val="clear" w:color="auto" w:fill="auto"/>
            <w:hideMark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Ograniczenie wysokości dotacji w danym roku do 200 tys. oznacza, że przy maksymalnej kwocie dotacji 400 tys. zł w przypadku projektu trwającego maksymalną ilość miesięcy – czyli 20 mies. (8 mies. w 2018 r. i 12 mies. w 2019 r.) należałoby planować budżet w taki sposób, że w 8 mies. trwania projektu w 2018 r. powinno być wydanych 200 tys. zł z dotacji raz w 2019 r. w ciągu 12 mies. także 200 tys. zł. To oznacza, że organizacja planując projekt, który miałby trwać 20 mies. będzie musiała tak planować działania, aby ich budżet w poszczególnych latach wynosił maksymalnie równo połowę możliwej dotacji w przypadku projektów dwuletnich - to oznacza, że planując działania organizacja musi brać pod uwagę środki jakimi może dysponować (limit wysokości dotacji na rok), a nie charakter działań i ich intensywność - co powinno mieć przełożenie na budżet projektu, a nie odwrotnie.</w:t>
            </w:r>
          </w:p>
        </w:tc>
      </w:tr>
      <w:tr w:rsidR="00345960" w:rsidRPr="00A95417" w:rsidTr="00095475">
        <w:trPr>
          <w:trHeight w:val="300"/>
        </w:trPr>
        <w:tc>
          <w:tcPr>
            <w:tcW w:w="303" w:type="pct"/>
            <w:shd w:val="clear" w:color="auto" w:fill="auto"/>
            <w:hideMark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2.</w:t>
            </w:r>
          </w:p>
        </w:tc>
        <w:tc>
          <w:tcPr>
            <w:tcW w:w="1159" w:type="pct"/>
            <w:shd w:val="clear" w:color="auto" w:fill="auto"/>
            <w:hideMark/>
          </w:tcPr>
          <w:p w:rsidR="00345960" w:rsidRPr="00A95417" w:rsidRDefault="00345960" w:rsidP="00345960">
            <w:pPr>
              <w:pStyle w:val="rozdzial"/>
              <w:numPr>
                <w:ilvl w:val="0"/>
                <w:numId w:val="3"/>
              </w:numPr>
              <w:spacing w:before="0"/>
              <w:ind w:left="0" w:firstLine="0"/>
              <w:rPr>
                <w:rFonts w:ascii="Gulim" w:eastAsia="Gulim" w:hAnsi="Gulim"/>
                <w:color w:val="auto"/>
                <w:sz w:val="20"/>
                <w:szCs w:val="20"/>
              </w:rPr>
            </w:pPr>
            <w:r w:rsidRPr="00A95417">
              <w:rPr>
                <w:rFonts w:ascii="Gulim" w:eastAsia="Gulim" w:hAnsi="Gulim"/>
                <w:color w:val="auto"/>
                <w:sz w:val="20"/>
                <w:szCs w:val="20"/>
              </w:rPr>
              <w:t xml:space="preserve">ŚRODKI FINANSOWE NA </w:t>
            </w:r>
            <w:r w:rsidRPr="00A95417">
              <w:rPr>
                <w:rFonts w:ascii="Gulim" w:eastAsia="Gulim" w:hAnsi="Gulim"/>
                <w:color w:val="auto"/>
                <w:sz w:val="20"/>
                <w:szCs w:val="20"/>
              </w:rPr>
              <w:lastRenderedPageBreak/>
              <w:t>REALIZACJĘ ZADAŃ PUBLICZNYCH. CZAS REALIZACJI ZADAŃ.</w:t>
            </w:r>
          </w:p>
          <w:p w:rsidR="00345960" w:rsidRPr="00A95417" w:rsidRDefault="00345960" w:rsidP="00345960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</w:p>
          <w:p w:rsidR="00345960" w:rsidRPr="00A95417" w:rsidRDefault="00345960" w:rsidP="00345960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5. UDZIAŁ ŚRODKÓW WŁASNYCH</w:t>
            </w:r>
          </w:p>
        </w:tc>
        <w:tc>
          <w:tcPr>
            <w:tcW w:w="1475" w:type="pct"/>
            <w:shd w:val="clear" w:color="auto" w:fill="auto"/>
            <w:hideMark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 xml:space="preserve">Proponujemy w zakresie kryteriów wyboru ofert 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>wskazać punktację dotyczącą wniesienia wkładu własnego.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Nie jest jasne jaką funkcję ma pełnić w konkursie możliwość wnoszenia wkładu własnego przez organizacje (założono 100% finansowanie projektów).</w:t>
            </w:r>
          </w:p>
        </w:tc>
        <w:tc>
          <w:tcPr>
            <w:tcW w:w="2064" w:type="pct"/>
            <w:shd w:val="clear" w:color="auto" w:fill="auto"/>
            <w:hideMark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 xml:space="preserve">W rozdziale III Regulaminu w pkt. 5 dotyczącym udziału środków 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 xml:space="preserve">finansowych wskazano, że nie jest wymagane wnoszenie wkładu własnego, lecz </w:t>
            </w: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zalecane jest jego wniesienie (w formie wkładu osobowego bądź rzeczowego).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 W związku z tym, by stymulować zaangażowanie organizacji w zakresie wnoszenia wkładu własnego, w tym szczególnie w postaci pracy </w:t>
            </w:r>
            <w:proofErr w:type="spellStart"/>
            <w:r w:rsidRPr="00A95417">
              <w:rPr>
                <w:rFonts w:ascii="Gulim" w:eastAsia="Gulim" w:hAnsi="Gulim" w:cs="Times New Roman"/>
                <w:sz w:val="20"/>
                <w:szCs w:val="20"/>
              </w:rPr>
              <w:t>wolontariackiej</w:t>
            </w:r>
            <w:proofErr w:type="spellEnd"/>
            <w:r w:rsidRPr="00A95417">
              <w:rPr>
                <w:rFonts w:ascii="Gulim" w:eastAsia="Gulim" w:hAnsi="Gulim" w:cs="Times New Roman"/>
                <w:sz w:val="20"/>
                <w:szCs w:val="20"/>
              </w:rPr>
              <w:t>/zaangażowania członków organizacji wskazane jest punktowanie wnoszenia wkładu własnego – np. w zakresie oceny merytorycznej, bądź jako dodatkowe punkty strategiczne (maks. 5 pkt).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br/>
              <w:t>Założono możliwość wnoszenia wkładu własnego – jednak nie zaplanowano dodatkowego punktowania tych ofert, w przypadku których zaplanowano wniesienie wkładu własnego.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System dodatkowych punktów dot. wkładu własnego wnoszonego przez Oferentów powinien działać stymulująco na organizacje i tym samym przyczyniać się do ich rozwoju w zakresie  finansowania działań organizacji i zapewnienia warunków do ich działalności.</w:t>
            </w:r>
          </w:p>
          <w:p w:rsidR="002418C9" w:rsidRDefault="002418C9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Innym rozwiązaniem jest jasne stwierdzenie, że wkład własny nie wpływa na ocenę wniosku.</w:t>
            </w:r>
          </w:p>
          <w:p w:rsidR="0081626E" w:rsidRPr="00A95417" w:rsidRDefault="0081626E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</w:tr>
      <w:tr w:rsidR="00345960" w:rsidRPr="00A95417" w:rsidTr="00095475">
        <w:trPr>
          <w:trHeight w:val="300"/>
        </w:trPr>
        <w:tc>
          <w:tcPr>
            <w:tcW w:w="303" w:type="pct"/>
            <w:shd w:val="clear" w:color="auto" w:fill="auto"/>
            <w:hideMark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59" w:type="pct"/>
            <w:shd w:val="clear" w:color="auto" w:fill="auto"/>
            <w:hideMark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III. ŚRODKI FINANSOWE NA REALIZACJĘ ZADAŃ PUBLICZNYCH. CZAS REALIZACJI ZADAŃ.</w:t>
            </w: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6</w:t>
            </w: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. KOSZTY KWALIFIKOWALNE</w:t>
            </w:r>
          </w:p>
          <w:p w:rsidR="00345960" w:rsidRPr="00A95417" w:rsidRDefault="00345960" w:rsidP="001D3ACD">
            <w:pPr>
              <w:pStyle w:val="Tekstpodstawowywcity"/>
              <w:spacing w:line="240" w:lineRule="auto"/>
              <w:ind w:left="0"/>
              <w:rPr>
                <w:rFonts w:ascii="Gulim" w:eastAsia="Gulim" w:hAnsi="Gulim"/>
                <w:sz w:val="20"/>
                <w:szCs w:val="20"/>
              </w:rPr>
            </w:pPr>
            <w:r w:rsidRPr="00A95417">
              <w:rPr>
                <w:rStyle w:val="Pogrubienie"/>
                <w:rFonts w:ascii="Gulim" w:eastAsia="Gulim" w:hAnsi="Gulim"/>
                <w:sz w:val="20"/>
                <w:szCs w:val="20"/>
              </w:rPr>
              <w:t>Kategoria I.B – Koszty związane z rozwojem instytucjonalnym własnej organizacji</w:t>
            </w:r>
            <w:r w:rsidRPr="00A95417">
              <w:rPr>
                <w:rFonts w:ascii="Gulim" w:eastAsia="Gulim" w:hAnsi="Gulim"/>
                <w:sz w:val="20"/>
                <w:szCs w:val="20"/>
              </w:rPr>
              <w:t xml:space="preserve"> – </w:t>
            </w:r>
            <w:r w:rsidRPr="00A95417">
              <w:rPr>
                <w:rFonts w:ascii="Gulim" w:eastAsia="Gulim" w:hAnsi="Gulim"/>
                <w:b/>
                <w:sz w:val="20"/>
                <w:szCs w:val="20"/>
              </w:rPr>
              <w:t>do</w:t>
            </w:r>
            <w:r w:rsidRPr="00A95417">
              <w:rPr>
                <w:rFonts w:ascii="Gulim" w:eastAsia="Gulim" w:hAnsi="Gulim"/>
                <w:sz w:val="20"/>
                <w:szCs w:val="20"/>
              </w:rPr>
              <w:t xml:space="preserve"> </w:t>
            </w:r>
            <w:r w:rsidRPr="00A95417">
              <w:rPr>
                <w:rFonts w:ascii="Gulim" w:eastAsia="Gulim" w:hAnsi="Gulim"/>
                <w:b/>
                <w:sz w:val="20"/>
                <w:szCs w:val="20"/>
              </w:rPr>
              <w:t>wysokości 20% dotacji.</w:t>
            </w: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>„Wszystkie koszty związane z rozwojem instytucjonalnym własnej organizacji muszą być uzasadnione – w ofercie powinno być wskazane, w jakim stopniu dany wydatek przyczynia się do rozwoju organizacji.”</w:t>
            </w:r>
          </w:p>
        </w:tc>
        <w:tc>
          <w:tcPr>
            <w:tcW w:w="1475" w:type="pct"/>
            <w:shd w:val="clear" w:color="auto" w:fill="auto"/>
            <w:hideMark/>
          </w:tcPr>
          <w:p w:rsidR="00345960" w:rsidRPr="00A95417" w:rsidRDefault="00345960" w:rsidP="00DE0318">
            <w:pPr>
              <w:numPr>
                <w:ilvl w:val="0"/>
                <w:numId w:val="4"/>
              </w:numPr>
              <w:spacing w:after="120" w:line="240" w:lineRule="auto"/>
              <w:ind w:left="390" w:hanging="283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>Uzasadnienie dot. kosztów związanych z rozwojem instytucjonalnym powinno podlegać ocenie na etapie oceny merytorycznej wniosku.</w:t>
            </w:r>
          </w:p>
          <w:p w:rsidR="00345960" w:rsidRDefault="00345960" w:rsidP="00DE0318">
            <w:pPr>
              <w:numPr>
                <w:ilvl w:val="0"/>
                <w:numId w:val="4"/>
              </w:numPr>
              <w:spacing w:after="120" w:line="240" w:lineRule="auto"/>
              <w:ind w:left="390" w:hanging="283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W Regulaminie powinno być jasno i precyzyjnie określone, czy w przypadku oferty wspólnej  koszty związane z rozwojem 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>instytucjonalnym (do wysokości limitu 20%) mogą dotyczyć wszystkich organizacji w partnerstwie (składających ofertę wspólną), czy tylko Lidera partnerstwa w przypadku oferty wspólnej.</w:t>
            </w:r>
          </w:p>
          <w:p w:rsidR="0081626E" w:rsidRPr="00A95417" w:rsidRDefault="0081626E" w:rsidP="0081626E">
            <w:pPr>
              <w:spacing w:after="120" w:line="240" w:lineRule="auto"/>
              <w:ind w:left="390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  <w:tc>
          <w:tcPr>
            <w:tcW w:w="2064" w:type="pct"/>
            <w:shd w:val="clear" w:color="auto" w:fill="auto"/>
            <w:hideMark/>
          </w:tcPr>
          <w:p w:rsidR="00345960" w:rsidRPr="00A95417" w:rsidRDefault="00345960" w:rsidP="00DE0318">
            <w:pPr>
              <w:numPr>
                <w:ilvl w:val="0"/>
                <w:numId w:val="5"/>
              </w:numPr>
              <w:tabs>
                <w:tab w:val="left" w:pos="317"/>
              </w:tabs>
              <w:spacing w:after="120" w:line="240" w:lineRule="auto"/>
              <w:ind w:left="175" w:hanging="142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>W związku z wymogiem wskazania przez Wnioskodawcę uzasadnienia wydatków dot. kosztów związanych z rozwojem, instytucjonalnym organizacji informacje te powinny podlegać ocenie merytorycznej.</w:t>
            </w:r>
          </w:p>
          <w:p w:rsidR="00345960" w:rsidRPr="00A95417" w:rsidRDefault="00345960" w:rsidP="00DE0318">
            <w:pPr>
              <w:numPr>
                <w:ilvl w:val="0"/>
                <w:numId w:val="5"/>
              </w:numPr>
              <w:tabs>
                <w:tab w:val="left" w:pos="317"/>
              </w:tabs>
              <w:spacing w:after="120" w:line="240" w:lineRule="auto"/>
              <w:ind w:left="175" w:hanging="142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Z zapisów Regulaminu nie wynika jasno, czy w przypadku oferty wspólnej (składanej przez podmioty uprawnione) kategoria I.B dotyczy potencjalnie wszystkich Oferentów. W przypadku partnerstwa podmiotów uprawnionych powinna być zapewniona możliwość skorzystania z możliwości 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>ubiegania się o te środki (w ramach limitu 20% dotacji) przez wszystkich Oferentów składających ofertę wspólną (zasada równości szans w przypadku podmiotów uprawnionych).</w:t>
            </w:r>
          </w:p>
          <w:p w:rsidR="00345960" w:rsidRPr="00A95417" w:rsidRDefault="00345960" w:rsidP="00DE0318">
            <w:pPr>
              <w:spacing w:after="120" w:line="240" w:lineRule="auto"/>
              <w:ind w:left="317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</w:tr>
      <w:tr w:rsidR="00345960" w:rsidRPr="00A95417" w:rsidTr="00095475">
        <w:trPr>
          <w:trHeight w:val="514"/>
        </w:trPr>
        <w:tc>
          <w:tcPr>
            <w:tcW w:w="303" w:type="pct"/>
            <w:shd w:val="clear" w:color="auto" w:fill="auto"/>
            <w:hideMark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59" w:type="pct"/>
            <w:shd w:val="clear" w:color="auto" w:fill="auto"/>
            <w:hideMark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V. KRYTERIA WYBORU OFERT.</w:t>
            </w:r>
          </w:p>
          <w:p w:rsidR="00345960" w:rsidRPr="00A95417" w:rsidRDefault="00345960" w:rsidP="00345960">
            <w:pPr>
              <w:numPr>
                <w:ilvl w:val="0"/>
                <w:numId w:val="6"/>
              </w:numPr>
              <w:spacing w:after="120" w:line="240" w:lineRule="auto"/>
              <w:ind w:left="0" w:firstLine="0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KRYTERIA OGÓLNE</w:t>
            </w: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b) Kryteria merytoryczne oceny ofert – kryterium 4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. Możliwość realizacji oferty w partnerstwie formalnym, w ramach oferty wspólnej bądź partnerstwie nieformalnym</w:t>
            </w:r>
            <w:r w:rsidRPr="00A95417" w:rsidDel="001E60EC">
              <w:rPr>
                <w:rFonts w:ascii="Gulim" w:eastAsia="Gulim" w:hAnsi="Gulim" w:cs="Times New Roman"/>
                <w:sz w:val="20"/>
                <w:szCs w:val="20"/>
              </w:rPr>
              <w:t xml:space="preserve"> 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z uwzględnieniem doświadczenia jej członków.</w:t>
            </w: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  <w:tc>
          <w:tcPr>
            <w:tcW w:w="1475" w:type="pct"/>
            <w:shd w:val="clear" w:color="auto" w:fill="auto"/>
            <w:hideMark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Kryterium 4 powinno być uwzględnione w kryteriach strategicznych gdyż nie odnosi się do oceny wszystkich złożonych ofert – a jedynie tych, które uwzględniają partnerstwo bądź są złożone jako oferta wspólna.</w:t>
            </w:r>
          </w:p>
        </w:tc>
        <w:tc>
          <w:tcPr>
            <w:tcW w:w="2064" w:type="pct"/>
            <w:shd w:val="clear" w:color="auto" w:fill="auto"/>
            <w:hideMark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Kryterium 4 dotyczy włącznie ofert złożonych w partnerstwie (formalnym bądź nieformalnym) bądź w ramach oferty wspólnej – co nie dotyczy WSZYSTKICH składanych wniosków (nie odnosi się do ofert złożonych przez jednego Oferenta nieuwzględniającego realizacji zadania w jakimkolwiek partnerstwie – co dopuszcza Regulamin konkursu). W związku z tym jako takie powinno być wskazane w kryteriach strategicznych, które odnoszą się do wybranych ofert i punktują te, które spełniają dodatkowe kryterium – w tym wypadku partnerstwa/ oferty wspólnej.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</w:tr>
      <w:tr w:rsidR="00345960" w:rsidRPr="00A95417" w:rsidTr="0081626E">
        <w:trPr>
          <w:trHeight w:val="850"/>
        </w:trPr>
        <w:tc>
          <w:tcPr>
            <w:tcW w:w="303" w:type="pct"/>
            <w:shd w:val="clear" w:color="auto" w:fill="auto"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5.</w:t>
            </w:r>
          </w:p>
        </w:tc>
        <w:tc>
          <w:tcPr>
            <w:tcW w:w="1159" w:type="pct"/>
            <w:shd w:val="clear" w:color="auto" w:fill="auto"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V. KRYTERIA WYBORU OFERT.</w:t>
            </w:r>
          </w:p>
          <w:p w:rsidR="00345960" w:rsidRPr="00A95417" w:rsidRDefault="00345960" w:rsidP="00345960">
            <w:pPr>
              <w:numPr>
                <w:ilvl w:val="0"/>
                <w:numId w:val="6"/>
              </w:num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KRYTERIA OGÓLNE</w:t>
            </w: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b) Kryteria merytoryczne oceny ofert – kryterium 5.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 Zasadność planowanych kosztów w stosunku do celów, rezultatów i zakresu działań, które obejmuje oferta.</w:t>
            </w:r>
          </w:p>
        </w:tc>
        <w:tc>
          <w:tcPr>
            <w:tcW w:w="1475" w:type="pct"/>
            <w:shd w:val="clear" w:color="auto" w:fill="auto"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Należy wprowadzić w zakresie kryterium 5 także ocenę odnoszącą się do:</w:t>
            </w:r>
          </w:p>
          <w:p w:rsidR="00345960" w:rsidRPr="00A95417" w:rsidRDefault="00345960" w:rsidP="00DE0318">
            <w:pPr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kwalifikowalności kosztów;</w:t>
            </w:r>
          </w:p>
          <w:p w:rsidR="00345960" w:rsidRPr="00A95417" w:rsidRDefault="00345960" w:rsidP="00DE0318">
            <w:pPr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wysokości zaproponowanych stawek jednostkowych.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Wskazane kryterium 5 nie uwzględnia wszystkich niezbędnych aspektów oceny kosztorysu projektu (budżetu), w tym szczególnie pod kątem zapisów Regulaminu konkursu (np. w 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>odniesieniu do kosztów kwalifikowalnych).</w:t>
            </w:r>
          </w:p>
        </w:tc>
        <w:tc>
          <w:tcPr>
            <w:tcW w:w="2064" w:type="pct"/>
            <w:shd w:val="clear" w:color="auto" w:fill="auto"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>Z zaproponowanego brzmienia zapisu kryterium 5 wynika, że ocenie ma podlegać jedynie zasadność kosztów – czyli czy są niezbędne z perspektywy celów, rezultatów i zaplanowanych działań.</w:t>
            </w:r>
          </w:p>
          <w:p w:rsidR="00345960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Nie jest jasne kto i na jakim etapie oceny ma weryfikować kosztorys (budżet) projektu pod kątem: a) kwalifikowalności kosztów, jak i b) ich wysokości (czy koszty nie są zawyżone) – ocena w tym zakresie powinna być dokonywana na etapie oceny merytorycznej, tym bardziej, że wysokość budżetu i kwestionowanie wydatki wpływa na konstruowanie listy rankingowej (lista rankingowa uwzględnia projekty, które otrzymały odpowiednią ilość punktów oraz, 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>których budżety mieszczą się w zakładanej wysokości alokacji środków przeznaczonych na dotacje w Programie).</w:t>
            </w:r>
          </w:p>
          <w:p w:rsidR="0081626E" w:rsidRPr="00A95417" w:rsidRDefault="0081626E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</w:tr>
      <w:tr w:rsidR="00345960" w:rsidRPr="00A95417" w:rsidTr="00095475">
        <w:trPr>
          <w:trHeight w:val="1107"/>
        </w:trPr>
        <w:tc>
          <w:tcPr>
            <w:tcW w:w="303" w:type="pct"/>
            <w:shd w:val="clear" w:color="auto" w:fill="auto"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159" w:type="pct"/>
            <w:shd w:val="clear" w:color="auto" w:fill="auto"/>
          </w:tcPr>
          <w:p w:rsidR="00345960" w:rsidRPr="00A95417" w:rsidRDefault="00345960" w:rsidP="00345960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VI. PROCEDURA OCENY OFERT I PRZYZNAWANIA DOTACJI.</w:t>
            </w:r>
          </w:p>
          <w:p w:rsidR="00345960" w:rsidRPr="00A95417" w:rsidRDefault="00345960" w:rsidP="00345960">
            <w:pPr>
              <w:pStyle w:val="Tekstpodstawowy"/>
              <w:spacing w:after="120"/>
              <w:jc w:val="left"/>
              <w:rPr>
                <w:rFonts w:ascii="Gulim" w:eastAsia="Gulim" w:hAnsi="Gulim"/>
                <w:bCs w:val="0"/>
                <w:color w:val="000000"/>
                <w:sz w:val="20"/>
                <w:szCs w:val="20"/>
              </w:rPr>
            </w:pPr>
            <w:r w:rsidRPr="00A95417">
              <w:rPr>
                <w:rFonts w:ascii="Gulim" w:eastAsia="Gulim" w:hAnsi="Gulim"/>
                <w:sz w:val="20"/>
                <w:szCs w:val="20"/>
              </w:rPr>
              <w:t>3. FORMUŁOWANIE LIST RANKINGOWYCH</w:t>
            </w:r>
          </w:p>
          <w:p w:rsidR="00345960" w:rsidRPr="00A95417" w:rsidRDefault="00345960" w:rsidP="00345960">
            <w:pPr>
              <w:pStyle w:val="Tekstpodstawowy"/>
              <w:spacing w:after="120"/>
              <w:jc w:val="left"/>
              <w:rPr>
                <w:rFonts w:ascii="Gulim" w:eastAsia="Gulim" w:hAnsi="Gulim"/>
                <w:b w:val="0"/>
                <w:bCs w:val="0"/>
                <w:color w:val="000000"/>
                <w:sz w:val="20"/>
                <w:szCs w:val="20"/>
              </w:rPr>
            </w:pPr>
            <w:r w:rsidRPr="00A95417">
              <w:rPr>
                <w:rFonts w:ascii="Gulim" w:eastAsia="Gulim" w:hAnsi="Gulim"/>
                <w:b w:val="0"/>
                <w:bCs w:val="0"/>
                <w:color w:val="000000"/>
                <w:sz w:val="20"/>
                <w:szCs w:val="20"/>
              </w:rPr>
              <w:t>„NIW-CRSO sporządza „listę ofert rezerwowych” spośród ofert na liście rankingowej, które nie znalazły się na liście przyznanych dotacji.”</w:t>
            </w: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</w:p>
        </w:tc>
        <w:tc>
          <w:tcPr>
            <w:tcW w:w="1475" w:type="pct"/>
            <w:shd w:val="clear" w:color="auto" w:fill="auto"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Należy wskazać w jaki sposób jest sporządzana, tworzona lista ofert rezerwowych – jakie warunki musza być spełnione, aby oferta była zamieszczona na tej liście.</w:t>
            </w:r>
          </w:p>
        </w:tc>
        <w:tc>
          <w:tcPr>
            <w:tcW w:w="2064" w:type="pct"/>
            <w:shd w:val="clear" w:color="auto" w:fill="auto"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W Regulaminie nie odniesiono się do informacji w jaki sposób jest tworzona „lista ofert rezerwowych” (wiadomo jedynie, że mają być to organizacje, które nie znalazły się na liście przyznanych dotacji).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Patrząc z perspektywy kilku tysięcy Oferentów, którzy złożą wnioski, spośród których zaledwie kilkuset otrzyma środki ważne jest jasne, jednoznaczne i transparentne formułowanie zapisów odnoszących się do tworzenia listy ofert rezerwowych – tj. takich, które mają dodatkową szansę na otrzymanie środków (w ramach tzw. środków uwolnionych).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</w:tr>
      <w:tr w:rsidR="00345960" w:rsidRPr="00A95417" w:rsidTr="00095475">
        <w:trPr>
          <w:trHeight w:val="300"/>
        </w:trPr>
        <w:tc>
          <w:tcPr>
            <w:tcW w:w="303" w:type="pct"/>
            <w:shd w:val="clear" w:color="auto" w:fill="auto"/>
            <w:hideMark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7.</w:t>
            </w:r>
          </w:p>
        </w:tc>
        <w:tc>
          <w:tcPr>
            <w:tcW w:w="1159" w:type="pct"/>
            <w:shd w:val="clear" w:color="auto" w:fill="auto"/>
            <w:hideMark/>
          </w:tcPr>
          <w:p w:rsidR="00345960" w:rsidRPr="00A95417" w:rsidRDefault="00345960" w:rsidP="001D3ACD">
            <w:pPr>
              <w:pStyle w:val="czesc"/>
              <w:spacing w:after="120"/>
              <w:rPr>
                <w:rFonts w:ascii="Gulim" w:eastAsia="Gulim" w:hAnsi="Gulim"/>
                <w:color w:val="auto"/>
                <w:sz w:val="20"/>
                <w:szCs w:val="20"/>
              </w:rPr>
            </w:pPr>
            <w:r w:rsidRPr="00A95417">
              <w:rPr>
                <w:rFonts w:ascii="Gulim" w:eastAsia="Gulim" w:hAnsi="Gulim"/>
                <w:color w:val="auto"/>
                <w:sz w:val="20"/>
                <w:szCs w:val="20"/>
              </w:rPr>
              <w:t>CZĘŚĆ B – Zasady przyznawania dotacji w Priorytecie 1.</w:t>
            </w:r>
          </w:p>
          <w:p w:rsidR="00345960" w:rsidRPr="00A95417" w:rsidRDefault="00345960" w:rsidP="00345960">
            <w:pPr>
              <w:pStyle w:val="czesc"/>
              <w:numPr>
                <w:ilvl w:val="0"/>
                <w:numId w:val="8"/>
              </w:numPr>
              <w:tabs>
                <w:tab w:val="left" w:pos="177"/>
              </w:tabs>
              <w:spacing w:after="120"/>
              <w:ind w:left="0" w:firstLine="0"/>
              <w:rPr>
                <w:rFonts w:ascii="Gulim" w:eastAsia="Gulim" w:hAnsi="Gulim"/>
                <w:color w:val="auto"/>
                <w:sz w:val="20"/>
                <w:szCs w:val="20"/>
              </w:rPr>
            </w:pPr>
            <w:r w:rsidRPr="00A95417">
              <w:rPr>
                <w:rFonts w:ascii="Gulim" w:eastAsia="Gulim" w:hAnsi="Gulim"/>
                <w:color w:val="auto"/>
                <w:sz w:val="20"/>
                <w:szCs w:val="20"/>
              </w:rPr>
              <w:t>PRIORYTET 1 – MAŁE INICJATYWY</w:t>
            </w:r>
          </w:p>
          <w:p w:rsidR="00345960" w:rsidRPr="00A95417" w:rsidRDefault="00345960" w:rsidP="001D3ACD">
            <w:pPr>
              <w:pStyle w:val="czesc"/>
              <w:tabs>
                <w:tab w:val="left" w:pos="177"/>
              </w:tabs>
              <w:spacing w:after="120"/>
              <w:rPr>
                <w:rFonts w:ascii="Gulim" w:eastAsia="Gulim" w:hAnsi="Gulim"/>
                <w:color w:val="auto"/>
                <w:sz w:val="20"/>
                <w:szCs w:val="20"/>
              </w:rPr>
            </w:pPr>
            <w:r w:rsidRPr="00A95417">
              <w:rPr>
                <w:rFonts w:ascii="Gulim" w:eastAsia="Gulim" w:hAnsi="Gulim"/>
                <w:color w:val="auto"/>
                <w:sz w:val="20"/>
                <w:szCs w:val="20"/>
              </w:rPr>
              <w:t>2. środki finansowe i czas realizacji zadań</w:t>
            </w:r>
          </w:p>
        </w:tc>
        <w:tc>
          <w:tcPr>
            <w:tcW w:w="1475" w:type="pct"/>
            <w:shd w:val="clear" w:color="auto" w:fill="auto"/>
            <w:hideMark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1) Realizacja projektów w ramach Priorytetu 1 odbywająca się w oparciu o Operatorów powinna być zaplanowana w taki sposób, aby na etapie ich wyłaniania (w ramach konkursu ogólnokrajowego, tj. w oparciu o konkurs prowadzony w ramach naboru organizowanego i prowadzonego przez NIW) znana była siatka realizacji terytorialnej projektów prowadzonych przez Operatorów – pokrywająca się z obszarem 16 województw.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2) Należy wskazać podział alokacji w ramach Priorytetu 1 w odniesieniu do planowanej siatki  Operatorów, którzy mają być wyłonieni. </w:t>
            </w:r>
          </w:p>
        </w:tc>
        <w:tc>
          <w:tcPr>
            <w:tcW w:w="2064" w:type="pct"/>
            <w:shd w:val="clear" w:color="auto" w:fill="auto"/>
            <w:hideMark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1) W Regulaminie należy dookreślić siatkę realizacji projektów </w:t>
            </w:r>
            <w:proofErr w:type="spellStart"/>
            <w:r w:rsidRPr="00A95417">
              <w:rPr>
                <w:rFonts w:ascii="Gulim" w:eastAsia="Gulim" w:hAnsi="Gulim" w:cs="Times New Roman"/>
                <w:sz w:val="20"/>
                <w:szCs w:val="20"/>
              </w:rPr>
              <w:t>regrantingowych</w:t>
            </w:r>
            <w:proofErr w:type="spellEnd"/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 prowadzonych przez Operatorów (w ramach Priorytetu 1). Nie jest bowiem zasadne realizowanie projektu/ów z poziomu Operatora na obszarach większych niż jedno województwo. </w:t>
            </w:r>
          </w:p>
          <w:p w:rsidR="00345960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Pozostawienie zapisów Regulaminu konkursu bez uszczegółowienia co do obszarów terytorialnych dot. realizacji projektów przez Operatorów wskazuje na </w:t>
            </w: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brak koncepcji organizatora konkursu (NIW-CRSO) dotyczącej realizacji zadań w ramach Priorytetu 1.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 </w:t>
            </w: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Zapis, który wskazano w projekcie Regulaminu konkursu daje możliwość składania dużych projektów – obejmujących np. kilka województw, a tym samym nie wpływa na tworzenie regularnej, równomiernej sieci Operatorów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, którzy są blisko korzystających z grantów (tj. małych organizacji i grup nieformalnych). Trudno sobie bowiem wyobrazić, że Operator np. z Warszawy, bądź Torunia będzie przyznawał grant, a wcześniej prowadził bezpośrednie działania animacyjne np. w województwie podkarpackim oddalonym od niego o kilkaset kilometrów.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br/>
              <w:t xml:space="preserve">2) </w:t>
            </w: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Podział środków w odniesieniu do sieci Operatorów powinien odnosić się do województw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 (co oznaczałoby wyłonienie 16 Operatorów – po jednym na każde województwo). </w:t>
            </w: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Dzięki temu utworzona byłaby równomierna sieć Operatorów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, będących blisko potencjalnych korzystających z grantów, środowisk, które, zgodnie z zapisami Regulaminu konkursu mają być animowane. </w:t>
            </w: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 xml:space="preserve">Podział alokacji na każde województwo powinien odnosić się do: </w:t>
            </w: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wielkości województwa (liczba mieszkańców), jak i ilości zarejestrowanych organizacji pozarządowych (co można odnieść do wskaźnika aktywności obywatelskiej) - przy czym wskaźnik ten powinien wpływać na większe alokowanie środków do regionów, w których aktywność ta jest niższa.</w:t>
            </w:r>
          </w:p>
          <w:p w:rsidR="00276E5A" w:rsidRPr="00A95417" w:rsidRDefault="00276E5A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</w:tr>
      <w:tr w:rsidR="00345960" w:rsidRPr="00A95417" w:rsidTr="00095475">
        <w:trPr>
          <w:trHeight w:val="300"/>
        </w:trPr>
        <w:tc>
          <w:tcPr>
            <w:tcW w:w="303" w:type="pct"/>
            <w:shd w:val="clear" w:color="auto" w:fill="auto"/>
            <w:hideMark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8.</w:t>
            </w:r>
          </w:p>
        </w:tc>
        <w:tc>
          <w:tcPr>
            <w:tcW w:w="1159" w:type="pct"/>
            <w:shd w:val="clear" w:color="auto" w:fill="auto"/>
            <w:hideMark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Część C – Zasady rozliczania dotacji i sprawozdanie</w:t>
            </w:r>
          </w:p>
          <w:p w:rsidR="00345960" w:rsidRPr="00A95417" w:rsidRDefault="00345960" w:rsidP="00345960">
            <w:pPr>
              <w:numPr>
                <w:ilvl w:val="0"/>
                <w:numId w:val="10"/>
              </w:numPr>
              <w:tabs>
                <w:tab w:val="left" w:pos="318"/>
              </w:tabs>
              <w:spacing w:after="120" w:line="240" w:lineRule="auto"/>
              <w:ind w:left="0" w:firstLine="0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ZASADY ROZLICZANIA DOTACJI.</w:t>
            </w: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„Rozliczenie dotacji polega na weryfikacji przez NIW-CRSO założonych w ofercie celów, rezultatów i działań. Realizacja założonych w ofercie celów, rezultatów i działań oznacza spełnienie przez Oferenta warunków umowy o dotację.”</w:t>
            </w:r>
          </w:p>
        </w:tc>
        <w:tc>
          <w:tcPr>
            <w:tcW w:w="1475" w:type="pct"/>
            <w:shd w:val="clear" w:color="auto" w:fill="auto"/>
            <w:hideMark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Chcąc rozliczać dotację poprzez weryfikację celów i rezultatów projektu należy już na etapie oceny merytorycznej ofert uwzględniać ocenę poprawności ich konstruowania.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Z zapisu kryterium 3 oceny merytorycznej nie wynika czy i w jakim stopniu ma podlegać ocenie poprawność konstruowania celów i rezultatów zadania – a to na ich podstawie mają być rozliczane projekty.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  <w:tc>
          <w:tcPr>
            <w:tcW w:w="2064" w:type="pct"/>
            <w:shd w:val="clear" w:color="auto" w:fill="auto"/>
            <w:hideMark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Poprawność konstruowania założonych celów i rezultatów projektu (tj. to czy są realne, konkretne i mierzalne - możliwe do zweryfikowania) powinna podlegać ocenie merytorycznej – tym samym ocena merytoryczna w aspekcie kryterium 3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„Wpływ działań zawartych w ofercie na uczestników, organizacje zaangażowane w realizację oferty oraz inne podmioty będące interesariuszami działań. W tym także trwałość rezultatów działań zawartych w ofercie i jakość środków mających na celu upowszechnienie rezultatów” – powinna jasno odnosić się do aspektów poprawnego konstruowania celów i rezultatów (tj. ich realności i mierzalności – zweryfikowania ich osiągnięcia).</w:t>
            </w:r>
          </w:p>
          <w:p w:rsidR="00345960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Tym samym może dojść do sytuacji, że Oferent, którego projekt uzyskał dofinansowanie może mieć problemy z jego rozliczeniem poprzez to, że nie jest możliwe zweryfikowanie założonych przez niego celów, a szczególnie rezultatów zadania (wykazanie ich osiągnięcia), które wskazują na osiągnięcie zaplanowanej zmiany w obszarze problemowym/obszarze interwencji – tym samym oznaczałoby to uchybienie w sprawozdaniu, a tym samym zgodnie ze wskazanymi w projekcie Regulaminu konsekwencjami uchybień o zwrotem części lub całości przyznanej dotacji.</w:t>
            </w:r>
          </w:p>
          <w:p w:rsidR="00276E5A" w:rsidRPr="00A95417" w:rsidRDefault="00276E5A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</w:tr>
      <w:tr w:rsidR="00345960" w:rsidRPr="00A95417" w:rsidTr="00095475">
        <w:trPr>
          <w:trHeight w:val="300"/>
        </w:trPr>
        <w:tc>
          <w:tcPr>
            <w:tcW w:w="303" w:type="pct"/>
            <w:shd w:val="clear" w:color="auto" w:fill="auto"/>
            <w:hideMark/>
          </w:tcPr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9.</w:t>
            </w:r>
          </w:p>
        </w:tc>
        <w:tc>
          <w:tcPr>
            <w:tcW w:w="1159" w:type="pct"/>
            <w:shd w:val="clear" w:color="auto" w:fill="auto"/>
            <w:hideMark/>
          </w:tcPr>
          <w:p w:rsidR="00345960" w:rsidRPr="00A95417" w:rsidRDefault="00345960" w:rsidP="001D3ACD">
            <w:pPr>
              <w:spacing w:after="120" w:line="240" w:lineRule="auto"/>
              <w:ind w:left="360" w:hanging="360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V. KRYTERIA WYBORU OFERT</w:t>
            </w: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1. KRYTERIA OGÓLNE</w:t>
            </w: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 xml:space="preserve">ORAZ </w:t>
            </w: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CZĘŚĆ D – ZAŁĄCZNIKI</w:t>
            </w:r>
          </w:p>
          <w:p w:rsidR="00345960" w:rsidRPr="00A95417" w:rsidRDefault="00345960" w:rsidP="001D3ACD">
            <w:pPr>
              <w:spacing w:after="120" w:line="240" w:lineRule="auto"/>
              <w:rPr>
                <w:rFonts w:ascii="Gulim" w:eastAsia="Gulim" w:hAnsi="Gulim" w:cs="Times New Roman"/>
                <w:b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b/>
                <w:sz w:val="20"/>
                <w:szCs w:val="20"/>
              </w:rPr>
              <w:t>KARTA OCENY MERYTORYCZNEJ</w:t>
            </w:r>
          </w:p>
        </w:tc>
        <w:tc>
          <w:tcPr>
            <w:tcW w:w="1475" w:type="pct"/>
            <w:shd w:val="clear" w:color="auto" w:fill="auto"/>
            <w:hideMark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Zaproponowana siatka kryteriów oceny merytorycznej jest zbyt ogólna i częściowo nieprecyzyjna, co przy wskazanych wartościach maksymalnej punktacji w ramach danego kryterium nie wpłynie na spójność ocen dokonywanych przez ekspertów-oceniających oferty.</w:t>
            </w:r>
          </w:p>
        </w:tc>
        <w:tc>
          <w:tcPr>
            <w:tcW w:w="2064" w:type="pct"/>
            <w:shd w:val="clear" w:color="auto" w:fill="auto"/>
            <w:hideMark/>
          </w:tcPr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1) Kryteria oceny powinny być sformułowane jasno i jednoznacznie, tak aby były zrozumiałe zarówno dla oceniających, jak i dla samych Oferentów. Zakres wskazanych kryteriów jest dosyć rozległy i miejscami ogólny – np.</w:t>
            </w:r>
          </w:p>
          <w:p w:rsidR="00345960" w:rsidRPr="00A95417" w:rsidRDefault="00345960" w:rsidP="00DE0318">
            <w:pPr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jakość planu działań (przy czym nie wyjaśniono jak jest rozumiana owa jakość - jakie elementy będą brane pod uwagę przy ocenie jakości planu działań?);</w:t>
            </w:r>
          </w:p>
          <w:p w:rsidR="00345960" w:rsidRPr="00A95417" w:rsidRDefault="00345960" w:rsidP="00DE0318">
            <w:pPr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pkt. 1 i pkt. 3 w kryteriach merytorycznych częściowo pokrywa się – dotyczy to adekwatności oferty [co także odnosi się do zaplanowanych działań] w odniesieniu do celów i potrzeb uczestników [zapis kryterium 1], jak i wpływu działań zawartych w ofercie na uczestników [zapis kryterium 3]</w:t>
            </w:r>
          </w:p>
          <w:p w:rsidR="00345960" w:rsidRPr="00A95417" w:rsidRDefault="00345960" w:rsidP="00DE0318">
            <w:pPr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kryterium 5 odnoszące się do kosztów nie uwzględnia oceny kwalifikowalności wydatków, jak i oceny ich wysokości (realność i adekwatność wysokości stawek jednostkowych) – ocena dot. kwalifikowalności kosztów powinna być uwzględniona w tym kryterium, co odnosi się wprost do zapisów Regulaminu konkursu w części dot. kwalifikowalności wydatków;</w:t>
            </w:r>
          </w:p>
          <w:p w:rsidR="00345960" w:rsidRPr="00A95417" w:rsidRDefault="00345960" w:rsidP="00DE0318">
            <w:pPr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zapis kryterium 5 („Zasadność planowanych kosztów w stosunku do celów, rezultatów i zakresu działań, które obejmuje oferta”) – daje możliwość przyznania 0 pkt. w przypadku niepoprawnego skonstruowania celów, a szczególnie rezultatów zadania (tj. gdy cele i rezultaty są niemierzalne i niemożliwe do obiektywnego zweryfikowania). 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 xml:space="preserve">2) Przy zaproponowanych 5 kryteriach oceny i maksymalnej punktacji w poszczególnych kryteriach (od 15 do 30 pkt.)  należy przygotować siatkę oceny w zakresie każdego z kryteriów, np. </w:t>
            </w:r>
          </w:p>
          <w:p w:rsidR="00345960" w:rsidRPr="00A95417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w kryterium 1: ocena adekwatności oferty w stosunku do celu Programu i celu Priorytetu – maksymalnie 10 pkt.; ocena oferty w stosunku do zidentyfikowanych przez Oferenta potrzeb grupy docelowej (osób i/lub organizacji) – 20 pkt.).</w:t>
            </w:r>
          </w:p>
          <w:p w:rsidR="00345960" w:rsidRDefault="00345960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  <w:r w:rsidRPr="00A95417">
              <w:rPr>
                <w:rFonts w:ascii="Gulim" w:eastAsia="Gulim" w:hAnsi="Gulim" w:cs="Times New Roman"/>
                <w:sz w:val="20"/>
                <w:szCs w:val="20"/>
              </w:rPr>
              <w:t>W przeciwnym wypadku, tak duża możliwa do przyznania ilość punktów w poszczególnych kryteriach będzie powodowała zbyt dużą dowolność i rozbieżności w ocenie ofert dokonywanej przez ekspertów.</w:t>
            </w:r>
          </w:p>
          <w:p w:rsidR="00276E5A" w:rsidRPr="00A95417" w:rsidRDefault="00276E5A" w:rsidP="00DE0318">
            <w:pPr>
              <w:spacing w:after="120" w:line="240" w:lineRule="auto"/>
              <w:jc w:val="both"/>
              <w:rPr>
                <w:rFonts w:ascii="Gulim" w:eastAsia="Gulim" w:hAnsi="Gulim" w:cs="Times New Roman"/>
                <w:sz w:val="20"/>
                <w:szCs w:val="20"/>
              </w:rPr>
            </w:pPr>
          </w:p>
        </w:tc>
      </w:tr>
    </w:tbl>
    <w:p w:rsidR="00FE2AE2" w:rsidRPr="00A95417" w:rsidRDefault="00FE2AE2" w:rsidP="00960DE1">
      <w:pPr>
        <w:spacing w:line="360" w:lineRule="auto"/>
        <w:rPr>
          <w:rFonts w:ascii="Gulim" w:eastAsia="Gulim" w:hAnsi="Gulim" w:cs="Times New Roman"/>
        </w:rPr>
      </w:pPr>
    </w:p>
    <w:sectPr w:rsidR="00FE2AE2" w:rsidRPr="00A95417" w:rsidSect="00B32BF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070" w:rsidRDefault="005A5070" w:rsidP="00B32BF0">
      <w:pPr>
        <w:spacing w:after="0" w:line="240" w:lineRule="auto"/>
      </w:pPr>
      <w:r>
        <w:separator/>
      </w:r>
    </w:p>
  </w:endnote>
  <w:endnote w:type="continuationSeparator" w:id="0">
    <w:p w:rsidR="005A5070" w:rsidRDefault="005A5070" w:rsidP="00B3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38243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32BF0" w:rsidRPr="00A8492C" w:rsidRDefault="00B32BF0" w:rsidP="00A8492C">
        <w:pPr>
          <w:pStyle w:val="Stopka"/>
          <w:jc w:val="center"/>
          <w:rPr>
            <w:sz w:val="16"/>
            <w:szCs w:val="16"/>
          </w:rPr>
        </w:pPr>
        <w:r w:rsidRPr="00A8492C">
          <w:rPr>
            <w:sz w:val="16"/>
            <w:szCs w:val="16"/>
          </w:rPr>
          <w:fldChar w:fldCharType="begin"/>
        </w:r>
        <w:r w:rsidRPr="00A8492C">
          <w:rPr>
            <w:sz w:val="16"/>
            <w:szCs w:val="16"/>
          </w:rPr>
          <w:instrText>PAGE   \* MERGEFORMAT</w:instrText>
        </w:r>
        <w:r w:rsidRPr="00A8492C">
          <w:rPr>
            <w:sz w:val="16"/>
            <w:szCs w:val="16"/>
          </w:rPr>
          <w:fldChar w:fldCharType="separate"/>
        </w:r>
        <w:r w:rsidR="002F0283">
          <w:rPr>
            <w:noProof/>
            <w:sz w:val="16"/>
            <w:szCs w:val="16"/>
          </w:rPr>
          <w:t>7</w:t>
        </w:r>
        <w:r w:rsidRPr="00A8492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070" w:rsidRDefault="005A5070" w:rsidP="00B32BF0">
      <w:pPr>
        <w:spacing w:after="0" w:line="240" w:lineRule="auto"/>
      </w:pPr>
      <w:r>
        <w:separator/>
      </w:r>
    </w:p>
  </w:footnote>
  <w:footnote w:type="continuationSeparator" w:id="0">
    <w:p w:rsidR="005A5070" w:rsidRDefault="005A5070" w:rsidP="00B32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11D"/>
    <w:multiLevelType w:val="hybridMultilevel"/>
    <w:tmpl w:val="51CC5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B6909"/>
    <w:multiLevelType w:val="hybridMultilevel"/>
    <w:tmpl w:val="5BF43942"/>
    <w:lvl w:ilvl="0" w:tplc="722C6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0DC6"/>
    <w:multiLevelType w:val="hybridMultilevel"/>
    <w:tmpl w:val="98CC6318"/>
    <w:lvl w:ilvl="0" w:tplc="722C65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661A6"/>
    <w:multiLevelType w:val="hybridMultilevel"/>
    <w:tmpl w:val="E99EE344"/>
    <w:lvl w:ilvl="0" w:tplc="722C6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46D5D"/>
    <w:multiLevelType w:val="hybridMultilevel"/>
    <w:tmpl w:val="98CC6318"/>
    <w:lvl w:ilvl="0" w:tplc="722C65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71397"/>
    <w:multiLevelType w:val="hybridMultilevel"/>
    <w:tmpl w:val="15B2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A4362"/>
    <w:multiLevelType w:val="hybridMultilevel"/>
    <w:tmpl w:val="C186C674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C655D86"/>
    <w:multiLevelType w:val="hybridMultilevel"/>
    <w:tmpl w:val="47F88A48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05180"/>
    <w:multiLevelType w:val="hybridMultilevel"/>
    <w:tmpl w:val="99F6FF5A"/>
    <w:lvl w:ilvl="0" w:tplc="722C6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D3715"/>
    <w:multiLevelType w:val="hybridMultilevel"/>
    <w:tmpl w:val="29D09B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6C3C88"/>
    <w:multiLevelType w:val="hybridMultilevel"/>
    <w:tmpl w:val="A6FA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E2"/>
    <w:rsid w:val="00095475"/>
    <w:rsid w:val="00095E30"/>
    <w:rsid w:val="00114DFB"/>
    <w:rsid w:val="0013192B"/>
    <w:rsid w:val="00182E64"/>
    <w:rsid w:val="00200882"/>
    <w:rsid w:val="00204115"/>
    <w:rsid w:val="002078BE"/>
    <w:rsid w:val="002418C9"/>
    <w:rsid w:val="00276E5A"/>
    <w:rsid w:val="002F0283"/>
    <w:rsid w:val="00345960"/>
    <w:rsid w:val="004A271D"/>
    <w:rsid w:val="005A5070"/>
    <w:rsid w:val="006A20B9"/>
    <w:rsid w:val="00712CFB"/>
    <w:rsid w:val="00724B3D"/>
    <w:rsid w:val="00733F68"/>
    <w:rsid w:val="0081626E"/>
    <w:rsid w:val="00870CD8"/>
    <w:rsid w:val="00960DE1"/>
    <w:rsid w:val="009D628E"/>
    <w:rsid w:val="009F07E7"/>
    <w:rsid w:val="00A8492C"/>
    <w:rsid w:val="00A95417"/>
    <w:rsid w:val="00B10E74"/>
    <w:rsid w:val="00B32BF0"/>
    <w:rsid w:val="00C062CA"/>
    <w:rsid w:val="00C300D0"/>
    <w:rsid w:val="00D132F8"/>
    <w:rsid w:val="00DE0318"/>
    <w:rsid w:val="00FD07A7"/>
    <w:rsid w:val="00FE2AE2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70E94-0F09-454A-B6C1-38574F24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459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59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rozdzial">
    <w:name w:val="rozdzial_"/>
    <w:basedOn w:val="Normalny"/>
    <w:qFormat/>
    <w:rsid w:val="00345960"/>
    <w:pPr>
      <w:keepNext/>
      <w:numPr>
        <w:numId w:val="1"/>
      </w:numPr>
      <w:spacing w:before="480" w:after="120" w:line="240" w:lineRule="auto"/>
      <w:outlineLvl w:val="0"/>
    </w:pPr>
    <w:rPr>
      <w:rFonts w:ascii="Cambria" w:eastAsia="Times New Roman" w:hAnsi="Cambria" w:cs="Times New Roman"/>
      <w:b/>
      <w:bCs/>
      <w:color w:val="A6A6A6"/>
      <w:kern w:val="32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4596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45960"/>
    <w:rPr>
      <w:rFonts w:ascii="Calibri" w:eastAsia="Calibri" w:hAnsi="Calibri" w:cs="Times New Roman"/>
    </w:rPr>
  </w:style>
  <w:style w:type="character" w:styleId="Pogrubienie">
    <w:name w:val="Strong"/>
    <w:uiPriority w:val="99"/>
    <w:qFormat/>
    <w:rsid w:val="00345960"/>
    <w:rPr>
      <w:b/>
      <w:bCs/>
    </w:rPr>
  </w:style>
  <w:style w:type="paragraph" w:customStyle="1" w:styleId="czesc">
    <w:name w:val="czesc"/>
    <w:basedOn w:val="Normalny"/>
    <w:qFormat/>
    <w:rsid w:val="00345960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color w:val="4F81BD"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32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BF0"/>
  </w:style>
  <w:style w:type="paragraph" w:styleId="Stopka">
    <w:name w:val="footer"/>
    <w:basedOn w:val="Normalny"/>
    <w:link w:val="StopkaZnak"/>
    <w:uiPriority w:val="99"/>
    <w:unhideWhenUsed/>
    <w:rsid w:val="00B32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2101</Words>
  <Characters>12608</Characters>
  <Application>Microsoft Office Word</Application>
  <DocSecurity>4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Sinica</dc:creator>
  <cp:lastModifiedBy>Wodzyńska Joanna</cp:lastModifiedBy>
  <cp:revision>2</cp:revision>
  <dcterms:created xsi:type="dcterms:W3CDTF">2018-03-26T10:32:00Z</dcterms:created>
  <dcterms:modified xsi:type="dcterms:W3CDTF">2018-03-26T10:32:00Z</dcterms:modified>
</cp:coreProperties>
</file>