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F423" w14:textId="12B79D13" w:rsidR="00AB5559" w:rsidRPr="00217876" w:rsidRDefault="00CE72C5" w:rsidP="00656265">
      <w:pPr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 xml:space="preserve">Wybory </w:t>
      </w:r>
      <w:r w:rsidR="00A626FE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>Prezydenta RP w 2025</w:t>
      </w:r>
      <w:r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 xml:space="preserve"> r. 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–</w:t>
      </w:r>
      <w:r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 xml:space="preserve"> komunikat w sprawie </w:t>
      </w:r>
      <w:r w:rsidR="00D94838"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>protestów</w:t>
      </w:r>
      <w:r w:rsidR="00A17BF9"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 xml:space="preserve"> </w:t>
      </w:r>
      <w:r w:rsidR="002771A4"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 xml:space="preserve">składanych </w:t>
      </w:r>
      <w:r w:rsidR="00A402EA"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>Konsulom RP</w:t>
      </w:r>
      <w:r w:rsidR="00BF255B"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 xml:space="preserve"> </w:t>
      </w:r>
      <w:r w:rsidR="002771A4"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>przez wyborców przebywających za granicą</w:t>
      </w:r>
      <w:r w:rsidRPr="00217876">
        <w:rPr>
          <w:rFonts w:ascii="Lato" w:eastAsia="Times New Roman" w:hAnsi="Lato" w:cs="Tahoma"/>
          <w:b/>
          <w:bCs/>
          <w:color w:val="000000" w:themeColor="text1"/>
          <w:szCs w:val="24"/>
          <w:lang w:eastAsia="pl-PL"/>
        </w:rPr>
        <w:t>.</w:t>
      </w:r>
    </w:p>
    <w:p w14:paraId="576A753E" w14:textId="20C8610B" w:rsidR="00CA4308" w:rsidRPr="00217876" w:rsidRDefault="00D94838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N</w:t>
      </w:r>
      <w:r w:rsidR="002F03DD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ajważniejsze informacje</w:t>
      </w:r>
      <w:r w:rsidR="00AB5559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="00E57B6F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odnośnie do</w:t>
      </w:r>
      <w:r w:rsidR="006E2B01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="00AB5559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zasad i trybu </w:t>
      </w:r>
      <w:r w:rsidR="00BF255B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składania </w:t>
      </w:r>
      <w:r w:rsidR="00A17BF9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Konsulom RP </w:t>
      </w:r>
      <w:r w:rsidR="00BF255B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protestów </w:t>
      </w:r>
      <w:r w:rsidR="00A17BF9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przeciwko ważności wyborów </w:t>
      </w:r>
      <w:r w:rsidR="00A626FE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Prezydenta </w:t>
      </w:r>
      <w:r w:rsidR="00A17BF9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RP</w:t>
      </w:r>
      <w:r w:rsidR="00BF255B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CE41E2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zarządzonych na dzień </w:t>
      </w:r>
      <w:r w:rsidR="00A626FE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18 maja 2025 </w:t>
      </w:r>
      <w:r w:rsidR="00CE41E2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r.</w:t>
      </w:r>
      <w:r w:rsidR="0068253A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="009373C1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(I tura) oraz 1 czerwca 2025 r. (II tura)</w:t>
      </w:r>
      <w:r w:rsidR="00CE41E2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="002771A4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przez wyborców przebywających za granicą</w:t>
      </w:r>
      <w:r w:rsidR="00CE41E2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.</w:t>
      </w:r>
    </w:p>
    <w:p w14:paraId="07552870" w14:textId="77777777" w:rsidR="00CE41E2" w:rsidRPr="00217876" w:rsidRDefault="00CE41E2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</w:pPr>
    </w:p>
    <w:p w14:paraId="29EE8F35" w14:textId="18A1DE34" w:rsidR="0046241E" w:rsidRPr="00217876" w:rsidRDefault="0046241E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TERMIN</w:t>
      </w:r>
    </w:p>
    <w:p w14:paraId="14D623C5" w14:textId="77777777" w:rsidR="003B792C" w:rsidRPr="00217876" w:rsidRDefault="003B792C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</w:p>
    <w:p w14:paraId="04533F9D" w14:textId="0DC0FDCD" w:rsidR="006F1F35" w:rsidRPr="00217876" w:rsidRDefault="00D94838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Protesty przeciwko ważności wyborów </w:t>
      </w:r>
      <w:r w:rsidR="00191339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Prezydenta 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Rzeczypospolitej</w:t>
      </w:r>
      <w:r w:rsidR="00191339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Polskiej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="009425A5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można składać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na piśmie w terminie </w:t>
      </w:r>
      <w:r w:rsidR="008A6FE7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14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 dni </w:t>
      </w:r>
      <w:r w:rsidR="009373C1" w:rsidRPr="009373C1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od dnia podania do publicznej wiadomości wyników wyborów przez Państwową Komisję Wyborczą.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.</w:t>
      </w:r>
      <w:r w:rsidR="00CA4308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="009E6456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Nie ma </w:t>
      </w:r>
      <w:r w:rsidR="00B4053D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możliwości</w:t>
      </w:r>
      <w:r w:rsidR="009E6456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="00B4053D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skutecznego</w:t>
      </w:r>
      <w:r w:rsidR="005A7371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="009E6456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złożenia protestu przed ogłoszeniem wyników wyborów.</w:t>
      </w:r>
    </w:p>
    <w:p w14:paraId="1BD28EB2" w14:textId="77777777" w:rsidR="00CA4308" w:rsidRPr="00217876" w:rsidRDefault="00CA4308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</w:pPr>
    </w:p>
    <w:p w14:paraId="44FD0BF0" w14:textId="28B1F42C" w:rsidR="006F1F35" w:rsidRPr="00217876" w:rsidRDefault="006F1F35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SPOSÓB </w:t>
      </w:r>
      <w:r w:rsidR="00CA4308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WNIESIENIA </w:t>
      </w:r>
      <w:r w:rsidR="00FB3592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PROTESTU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5162466F" w14:textId="72F8E182" w:rsidR="006F3002" w:rsidRPr="00217876" w:rsidRDefault="006F3002" w:rsidP="001848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Wyborcy przebywający za granicą </w:t>
      </w:r>
      <w:r w:rsidR="009425A5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protest kierowany do Sądu Najwyższego 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mogą złożyć odpowiednio 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właściwemu terytorialnie konsulowi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. Tacy wyborcy muszą dołączyć do protestu zawiadomienie o ustanowieniu swojego pełnomocnika zamieszkałego w kraju lub pełnomocnika do doręczeń zamieszkałego w kraju.</w:t>
      </w:r>
      <w:r w:rsidR="009E6456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Protest nadany do </w:t>
      </w:r>
      <w:r w:rsidR="00B4053D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konsula</w:t>
      </w:r>
      <w:r w:rsidR="009E6456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wysłany pocztą zagraniczną</w:t>
      </w:r>
      <w:r w:rsidR="006472E4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lub kurierem</w:t>
      </w:r>
      <w:r w:rsidR="009E6456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</w:t>
      </w:r>
      <w:r w:rsidR="009E6456" w:rsidRPr="00217876">
        <w:rPr>
          <w:rFonts w:ascii="Lato" w:eastAsia="Times New Roman" w:hAnsi="Lato" w:cs="Tahoma"/>
          <w:color w:val="000000" w:themeColor="text1"/>
          <w:sz w:val="20"/>
          <w:szCs w:val="20"/>
          <w:u w:val="single"/>
          <w:lang w:eastAsia="pl-PL"/>
        </w:rPr>
        <w:t>musi wpłynąć do urzędu konsularnego przed upływem terminu do wniesienia protestu.</w:t>
      </w:r>
    </w:p>
    <w:p w14:paraId="0F1CA6EC" w14:textId="4D16FF8E" w:rsidR="00656265" w:rsidRPr="00217876" w:rsidRDefault="002771A4" w:rsidP="00F978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Protest</w:t>
      </w:r>
      <w:r w:rsidR="009425A5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 wyborczy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 można nadać bezpośrednio do Sądu Najwyższego za pośrednictwem poczty zagranicznej lub kuriera, 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u w:val="single"/>
          <w:lang w:eastAsia="pl-PL"/>
        </w:rPr>
        <w:t>jednakże protest taki musi wpłynąć do Sądu Najwyższego przed upływem terminu do jego wniesienia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, dlatego też wysłanie protestu pocztą zagraniczną lub kurierem nie gwarantuje zachowania terminu do jego wniesienia.</w:t>
      </w:r>
    </w:p>
    <w:p w14:paraId="72AA0B2C" w14:textId="229C2F20" w:rsidR="00656265" w:rsidRPr="00217876" w:rsidRDefault="00656265" w:rsidP="00656265">
      <w:pPr>
        <w:spacing w:before="100" w:beforeAutospacing="1" w:after="100" w:afterAutospacing="1" w:line="240" w:lineRule="auto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KTO MOŻE WNIEŚĆ PROTEST</w:t>
      </w:r>
    </w:p>
    <w:p w14:paraId="5CC8A654" w14:textId="77777777" w:rsidR="003B792C" w:rsidRPr="00217876" w:rsidRDefault="003B792C" w:rsidP="00656265">
      <w:pPr>
        <w:spacing w:before="100" w:beforeAutospacing="1" w:after="100" w:afterAutospacing="1" w:line="240" w:lineRule="auto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</w:p>
    <w:p w14:paraId="007B7999" w14:textId="0656CFE5" w:rsidR="00656265" w:rsidRPr="00217876" w:rsidRDefault="00656265" w:rsidP="00656265">
      <w:pPr>
        <w:spacing w:before="100" w:beforeAutospacing="1" w:after="100" w:afterAutospacing="1" w:line="240" w:lineRule="auto"/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Prawo wniesienia protestu wyborczego przysługuje określonej grupie podmiotów. Są nimi</w:t>
      </w:r>
      <w:r w:rsidR="002306CB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: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wyborca, pełnomocnik wyborczy oraz przewodniczący właściwej komisji wyborczej. Nie ma </w:t>
      </w:r>
      <w:r w:rsidR="00B4053D"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możliwości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 wniesienia protestu przez inny podmiot np. spółkę, fundację, związek, itd. Skarżący nie mają obowiązku ustanowienia profesjonalnego pełnomocnika (adwokat, radca prawny), mogą wnieść protest osobiście.</w:t>
      </w:r>
    </w:p>
    <w:p w14:paraId="17DC2479" w14:textId="736FEBAE" w:rsidR="00DA69CC" w:rsidRPr="00217876" w:rsidRDefault="00DA69CC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</w:pPr>
    </w:p>
    <w:p w14:paraId="27B1551E" w14:textId="40889E3E" w:rsidR="00DA69CC" w:rsidRPr="00217876" w:rsidRDefault="00B15E98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WYMOGI FORMALNE</w:t>
      </w:r>
    </w:p>
    <w:p w14:paraId="542B77B5" w14:textId="77777777" w:rsidR="003B792C" w:rsidRPr="00217876" w:rsidRDefault="003B792C" w:rsidP="006F1F35">
      <w:pPr>
        <w:spacing w:before="100" w:beforeAutospacing="1" w:after="100" w:afterAutospacing="1" w:line="240" w:lineRule="auto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</w:p>
    <w:p w14:paraId="4BF85DB4" w14:textId="77777777" w:rsidR="00F347F0" w:rsidRPr="00217876" w:rsidRDefault="00F347F0" w:rsidP="00F347F0">
      <w:pPr>
        <w:spacing w:before="100" w:beforeAutospacing="1" w:after="100" w:afterAutospacing="1" w:line="240" w:lineRule="auto"/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Protest musi być wniesiony 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na piśmie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. Niedopuszczalne jest wniesienie protestu wyborczego w formie innej niż pisemna, tj. przez faks, e-mail, </w:t>
      </w:r>
      <w:proofErr w:type="spellStart"/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ePUAP</w:t>
      </w:r>
      <w:proofErr w:type="spellEnd"/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.</w:t>
      </w:r>
    </w:p>
    <w:p w14:paraId="122F939E" w14:textId="77777777" w:rsidR="00F347F0" w:rsidRPr="00217876" w:rsidRDefault="00F347F0" w:rsidP="00F347F0">
      <w:pPr>
        <w:spacing w:before="100" w:beforeAutospacing="1" w:after="100" w:afterAutospacing="1" w:line="240" w:lineRule="auto"/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</w:pPr>
    </w:p>
    <w:p w14:paraId="463EC3FA" w14:textId="77777777" w:rsidR="00F347F0" w:rsidRPr="00217876" w:rsidRDefault="00F347F0" w:rsidP="00F347F0">
      <w:pPr>
        <w:spacing w:before="100" w:beforeAutospacing="1" w:after="100" w:afterAutospacing="1" w:line="240" w:lineRule="auto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Protest wyborczy, aby został rozpoznany merytorycznie, NIE MOŻE ZAWIERAĆ BRAKÓW FORMALNYCH. 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Protest 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 xml:space="preserve">musi spełniać wymogi określone w Kodeksie wyborczym, jak również spełniać ogólne warunki pisma procesowego określone w art. 126 i następne k.p.c., a więc 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musi zawierać w szczególności</w:t>
      </w:r>
      <w:r w:rsidRPr="00217876">
        <w:rPr>
          <w:rFonts w:ascii="Lato" w:eastAsia="Times New Roman" w:hAnsi="Lato" w:cs="Tahoma"/>
          <w:color w:val="000000" w:themeColor="text1"/>
          <w:sz w:val="20"/>
          <w:szCs w:val="20"/>
          <w:lang w:eastAsia="pl-PL"/>
        </w:rPr>
        <w:t>:</w:t>
      </w:r>
    </w:p>
    <w:p w14:paraId="53ADD881" w14:textId="18D55722" w:rsidR="00F347F0" w:rsidRPr="00217876" w:rsidRDefault="00F347F0" w:rsidP="0068253A">
      <w:pPr>
        <w:spacing w:line="276" w:lineRule="auto"/>
        <w:ind w:left="360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•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ab/>
        <w:t xml:space="preserve">oznaczenie podmiotu wnoszącego protest z podaniem jego adresu i 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u w:val="single"/>
          <w:lang w:eastAsia="pl-PL"/>
        </w:rPr>
        <w:t>numeru PESEL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;</w:t>
      </w:r>
    </w:p>
    <w:p w14:paraId="494D936F" w14:textId="54394418" w:rsidR="00E769B3" w:rsidRPr="00217876" w:rsidRDefault="00E769B3" w:rsidP="00E769B3">
      <w:pPr>
        <w:spacing w:line="276" w:lineRule="auto"/>
        <w:ind w:left="360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•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ab/>
        <w:t>oznaczenie pełnomocnika zamieszkałego w Polsce lub pełnomocnika do doręczeń zamieszkałego w Polsce wraz ze wskazaniem ich adresów (do protestu należy dołączyć dokument pełnomocnictwa);</w:t>
      </w:r>
    </w:p>
    <w:p w14:paraId="74073201" w14:textId="019DE0DE" w:rsidR="00F347F0" w:rsidRPr="00217876" w:rsidRDefault="00F347F0" w:rsidP="00F347F0">
      <w:pPr>
        <w:spacing w:line="276" w:lineRule="auto"/>
        <w:ind w:left="360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•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ab/>
        <w:t>wniosek o stwierdzenie nieważności</w:t>
      </w:r>
      <w:r w:rsidR="0068253A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1143FB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wyboru Prezydenta Rzeczypospolitej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;</w:t>
      </w:r>
    </w:p>
    <w:p w14:paraId="53163F2E" w14:textId="77777777" w:rsidR="00F347F0" w:rsidRPr="00217876" w:rsidRDefault="00F347F0" w:rsidP="00F347F0">
      <w:pPr>
        <w:spacing w:line="276" w:lineRule="auto"/>
        <w:ind w:left="360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•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ab/>
        <w:t>zarzuty;</w:t>
      </w:r>
    </w:p>
    <w:p w14:paraId="1782BA6E" w14:textId="77777777" w:rsidR="00F347F0" w:rsidRPr="00217876" w:rsidRDefault="00F347F0" w:rsidP="00F347F0">
      <w:pPr>
        <w:spacing w:line="276" w:lineRule="auto"/>
        <w:ind w:left="360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•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ab/>
        <w:t>przedstawienie lub wskazanie dowodów, na których oparto zarzuty;</w:t>
      </w:r>
    </w:p>
    <w:p w14:paraId="0D36C4F6" w14:textId="77777777" w:rsidR="00F347F0" w:rsidRPr="00217876" w:rsidRDefault="00F347F0" w:rsidP="00F347F0">
      <w:pPr>
        <w:spacing w:line="276" w:lineRule="auto"/>
        <w:ind w:left="360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•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ab/>
        <w:t>uzasadnienie zarzutów;</w:t>
      </w:r>
    </w:p>
    <w:p w14:paraId="4D1B3153" w14:textId="064A5BBD" w:rsidR="00F83954" w:rsidRPr="00217876" w:rsidRDefault="00F347F0" w:rsidP="00191339">
      <w:pPr>
        <w:spacing w:line="276" w:lineRule="auto"/>
        <w:ind w:left="360"/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</w:pP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•</w:t>
      </w:r>
      <w:r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ab/>
        <w:t>własnoręczny podpis skarżącego lub jego pełnomocnika</w:t>
      </w:r>
      <w:r w:rsidR="00DC7A41" w:rsidRPr="00217876">
        <w:rPr>
          <w:rFonts w:ascii="Lato" w:eastAsia="Times New Roman" w:hAnsi="Lato" w:cs="Tahoma"/>
          <w:b/>
          <w:bCs/>
          <w:color w:val="000000" w:themeColor="text1"/>
          <w:sz w:val="20"/>
          <w:szCs w:val="20"/>
          <w:lang w:eastAsia="pl-PL"/>
        </w:rPr>
        <w:t>.</w:t>
      </w:r>
    </w:p>
    <w:sectPr w:rsidR="00F83954" w:rsidRPr="0021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B2C"/>
    <w:multiLevelType w:val="hybridMultilevel"/>
    <w:tmpl w:val="A6906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24A47"/>
    <w:multiLevelType w:val="hybridMultilevel"/>
    <w:tmpl w:val="6F90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465C5"/>
    <w:multiLevelType w:val="hybridMultilevel"/>
    <w:tmpl w:val="1DD02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EE"/>
    <w:rsid w:val="000D0DA2"/>
    <w:rsid w:val="000D5BE8"/>
    <w:rsid w:val="000F3106"/>
    <w:rsid w:val="001143FB"/>
    <w:rsid w:val="0016786C"/>
    <w:rsid w:val="00184875"/>
    <w:rsid w:val="00187C58"/>
    <w:rsid w:val="00191339"/>
    <w:rsid w:val="00217876"/>
    <w:rsid w:val="002306CB"/>
    <w:rsid w:val="00243EAD"/>
    <w:rsid w:val="00252E4B"/>
    <w:rsid w:val="002771A4"/>
    <w:rsid w:val="002C00CC"/>
    <w:rsid w:val="002D2D4D"/>
    <w:rsid w:val="002F03DD"/>
    <w:rsid w:val="002F454B"/>
    <w:rsid w:val="002F5618"/>
    <w:rsid w:val="003248B5"/>
    <w:rsid w:val="003B792C"/>
    <w:rsid w:val="003F3F08"/>
    <w:rsid w:val="004011D5"/>
    <w:rsid w:val="00451C47"/>
    <w:rsid w:val="0046241E"/>
    <w:rsid w:val="004C5BDD"/>
    <w:rsid w:val="004E3DB9"/>
    <w:rsid w:val="00580162"/>
    <w:rsid w:val="005A7371"/>
    <w:rsid w:val="005B0EC5"/>
    <w:rsid w:val="005B7B67"/>
    <w:rsid w:val="0064194F"/>
    <w:rsid w:val="006472E4"/>
    <w:rsid w:val="00656265"/>
    <w:rsid w:val="0068253A"/>
    <w:rsid w:val="006A7E79"/>
    <w:rsid w:val="006E2B01"/>
    <w:rsid w:val="006F1F35"/>
    <w:rsid w:val="006F3002"/>
    <w:rsid w:val="006F3E87"/>
    <w:rsid w:val="00730D92"/>
    <w:rsid w:val="00850CC3"/>
    <w:rsid w:val="00867711"/>
    <w:rsid w:val="008A6FE7"/>
    <w:rsid w:val="008D3C57"/>
    <w:rsid w:val="00910B94"/>
    <w:rsid w:val="009171F1"/>
    <w:rsid w:val="00923C97"/>
    <w:rsid w:val="009373C1"/>
    <w:rsid w:val="009425A5"/>
    <w:rsid w:val="00964D0C"/>
    <w:rsid w:val="009E56BC"/>
    <w:rsid w:val="009E6456"/>
    <w:rsid w:val="00A17BF9"/>
    <w:rsid w:val="00A402EA"/>
    <w:rsid w:val="00A4552A"/>
    <w:rsid w:val="00A626FE"/>
    <w:rsid w:val="00AB5559"/>
    <w:rsid w:val="00B01B68"/>
    <w:rsid w:val="00B15E98"/>
    <w:rsid w:val="00B4053D"/>
    <w:rsid w:val="00B45746"/>
    <w:rsid w:val="00B54747"/>
    <w:rsid w:val="00B603EE"/>
    <w:rsid w:val="00BF255B"/>
    <w:rsid w:val="00C95DD2"/>
    <w:rsid w:val="00CA4308"/>
    <w:rsid w:val="00CE41E2"/>
    <w:rsid w:val="00CE72C5"/>
    <w:rsid w:val="00D013BE"/>
    <w:rsid w:val="00D303CE"/>
    <w:rsid w:val="00D7522F"/>
    <w:rsid w:val="00D94838"/>
    <w:rsid w:val="00DA69CC"/>
    <w:rsid w:val="00DC7A41"/>
    <w:rsid w:val="00E57B6F"/>
    <w:rsid w:val="00E6457D"/>
    <w:rsid w:val="00E769B3"/>
    <w:rsid w:val="00EA4164"/>
    <w:rsid w:val="00EF570C"/>
    <w:rsid w:val="00F221CE"/>
    <w:rsid w:val="00F30722"/>
    <w:rsid w:val="00F347F0"/>
    <w:rsid w:val="00F450D7"/>
    <w:rsid w:val="00F6085C"/>
    <w:rsid w:val="00F83954"/>
    <w:rsid w:val="00F97888"/>
    <w:rsid w:val="00FB3592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4345"/>
  <w15:chartTrackingRefBased/>
  <w15:docId w15:val="{588D8E1D-4B07-4EFE-9E14-0B381C48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164"/>
    <w:pPr>
      <w:spacing w:after="0" w:line="360" w:lineRule="auto"/>
      <w:contextualSpacing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64D0C"/>
    <w:pPr>
      <w:spacing w:after="120"/>
    </w:pPr>
    <w:rPr>
      <w:rFonts w:cs="Arial"/>
      <w:bCs/>
      <w:color w:val="000000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35"/>
    <w:pPr>
      <w:spacing w:after="160" w:line="240" w:lineRule="auto"/>
      <w:contextualSpacing w:val="0"/>
      <w:jc w:val="left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3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35"/>
    <w:rPr>
      <w:sz w:val="16"/>
      <w:szCs w:val="16"/>
    </w:rPr>
  </w:style>
  <w:style w:type="paragraph" w:styleId="Poprawka">
    <w:name w:val="Revision"/>
    <w:hidden/>
    <w:uiPriority w:val="99"/>
    <w:semiHidden/>
    <w:rsid w:val="006F1F35"/>
    <w:pPr>
      <w:spacing w:after="0" w:line="240" w:lineRule="auto"/>
    </w:pPr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6E2B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Szuty Przemysław</dc:creator>
  <cp:keywords/>
  <dc:description/>
  <cp:lastModifiedBy>Chmiel Piotr</cp:lastModifiedBy>
  <cp:revision>4</cp:revision>
  <cp:lastPrinted>2023-08-25T11:22:00Z</cp:lastPrinted>
  <dcterms:created xsi:type="dcterms:W3CDTF">2025-05-21T09:57:00Z</dcterms:created>
  <dcterms:modified xsi:type="dcterms:W3CDTF">2025-05-21T16:21:00Z</dcterms:modified>
</cp:coreProperties>
</file>