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D07BD7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07BD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B76B7F3" w:rsidR="008C6721" w:rsidRPr="00D07BD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za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D76C7">
        <w:rPr>
          <w:rFonts w:ascii="Arial" w:hAnsi="Arial" w:cs="Arial"/>
          <w:b/>
          <w:color w:val="auto"/>
          <w:sz w:val="24"/>
          <w:szCs w:val="24"/>
        </w:rPr>
        <w:t>I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B02895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07BD7" w:rsidRPr="00D07BD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D07BD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07BD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D07BD7" w:rsidRDefault="005E77F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07BD7">
              <w:rPr>
                <w:rFonts w:ascii="Arial" w:hAnsi="Arial" w:cs="Arial"/>
                <w:i/>
                <w:sz w:val="20"/>
              </w:rPr>
              <w:t xml:space="preserve">System Informacji Przestrzennej Administracji Morskiej (SIPAM)  </w:t>
            </w:r>
          </w:p>
        </w:tc>
      </w:tr>
      <w:tr w:rsidR="00D07BD7" w:rsidRPr="00D07BD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E74E54A" w:rsidR="00CA516B" w:rsidRPr="00D07BD7" w:rsidRDefault="005E77F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</w:t>
            </w:r>
            <w:r w:rsidR="00C11293">
              <w:rPr>
                <w:rFonts w:ascii="Arial" w:hAnsi="Arial" w:cs="Arial"/>
                <w:sz w:val="18"/>
                <w:szCs w:val="18"/>
              </w:rPr>
              <w:t>inister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Gospodarki Morskiej i Żeglugi Śródlądowej</w:t>
            </w:r>
          </w:p>
        </w:tc>
      </w:tr>
      <w:tr w:rsidR="00D07BD7" w:rsidRPr="00D07BD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D07BD7" w:rsidRDefault="005E77F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  <w:r w:rsidR="0030196F" w:rsidRPr="00D07BD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D07BD7" w:rsidRPr="00D07BD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D07BD7" w:rsidRDefault="00EF6E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D07BD7" w:rsidRPr="00D07BD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Budżet państwa – </w:t>
            </w:r>
            <w:r w:rsidR="000D2A8B" w:rsidRPr="00D07BD7">
              <w:rPr>
                <w:rFonts w:ascii="Arial" w:hAnsi="Arial" w:cs="Arial"/>
                <w:sz w:val="18"/>
                <w:szCs w:val="18"/>
              </w:rPr>
              <w:t xml:space="preserve">część budżetowa nr 21 Gospodarka morska </w:t>
            </w:r>
          </w:p>
        </w:tc>
      </w:tr>
      <w:tr w:rsidR="00D07BD7" w:rsidRPr="00D07BD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D07BD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D07BD7" w:rsidRDefault="00ED30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D07BD7" w:rsidRPr="00D07BD7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D07BD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07BD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D07BD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D07BD7" w:rsidRDefault="00ED304A" w:rsidP="00ED304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D07BD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07BD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07BD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97EA612" w:rsidR="004C1D48" w:rsidRPr="00D07BD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D07BD7">
        <w:rPr>
          <w:rFonts w:ascii="Arial" w:hAnsi="Arial" w:cs="Arial"/>
          <w:color w:val="auto"/>
        </w:rPr>
        <w:t xml:space="preserve"> </w:t>
      </w:r>
      <w:r w:rsidR="00476ABB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D07BD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07BD7" w:rsidRPr="00D07BD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07BD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7BD7" w:rsidRPr="00D07BD7" w14:paraId="59735F91" w14:textId="77777777" w:rsidTr="00795AFA">
        <w:tc>
          <w:tcPr>
            <w:tcW w:w="2972" w:type="dxa"/>
          </w:tcPr>
          <w:p w14:paraId="077C8D26" w14:textId="3FC1526B" w:rsidR="00907F6D" w:rsidRPr="00D07BD7" w:rsidRDefault="009D732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60,6</w:t>
            </w:r>
            <w:r w:rsidR="00D335E9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032B86B4" w:rsidR="00CC7E21" w:rsidRPr="00D07BD7" w:rsidRDefault="000745E0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</w:t>
            </w:r>
            <w:r w:rsidR="009C2DE7"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5CEE2C" w14:textId="77777777" w:rsidR="006B5117" w:rsidRPr="00D07BD7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AD8ACE6" w:rsidR="00907F6D" w:rsidRPr="00D07BD7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896B8BF" w:rsidR="00907F6D" w:rsidRPr="00D07BD7" w:rsidRDefault="00327F6D" w:rsidP="00327F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7FCEF9BD" w:rsidR="00E42938" w:rsidRPr="00D07BD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D07BD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D07BD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D07BD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D07BD7" w:rsidRPr="00D07BD7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D07BD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07B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07BD7" w:rsidRPr="00D07BD7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D07BD7" w:rsidRDefault="00D9766E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7902F82D" w14:textId="77777777" w:rsidTr="008A6291">
        <w:tc>
          <w:tcPr>
            <w:tcW w:w="1985" w:type="dxa"/>
          </w:tcPr>
          <w:p w14:paraId="54976B2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82CC80A" w14:textId="57C660ED" w:rsidR="008A6291" w:rsidRPr="00D07BD7" w:rsidRDefault="008A6291" w:rsidP="00D1474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Na przekroczenie terminu nałożyły się dwie przyczyny: 1. Czas procedowania zamówienia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wynikający z ustawowo określonych terminów oraz stopnia skomplikowania zamówienia</w:t>
            </w:r>
            <w:r w:rsidRPr="00D07BD7">
              <w:rPr>
                <w:rFonts w:ascii="Arial" w:hAnsi="Arial" w:cs="Arial"/>
                <w:sz w:val="18"/>
                <w:szCs w:val="18"/>
              </w:rPr>
              <w:t>.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D1474E">
              <w:rPr>
                <w:rFonts w:ascii="Arial" w:hAnsi="Arial" w:cs="Arial"/>
                <w:sz w:val="18"/>
                <w:szCs w:val="18"/>
              </w:rPr>
              <w:t xml:space="preserve">przekroczył zakładany na to czas w projekcie.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>Był to czyn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lastRenderedPageBreak/>
              <w:t>nik niezależny od Jednostki Realizującej Pro</w:t>
            </w:r>
            <w:r w:rsidR="00E101FD">
              <w:rPr>
                <w:rFonts w:ascii="Arial" w:hAnsi="Arial" w:cs="Arial"/>
                <w:sz w:val="18"/>
                <w:szCs w:val="18"/>
              </w:rPr>
              <w:t>jekt.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D07BD7" w:rsidRPr="00D07BD7" w14:paraId="4BD31515" w14:textId="77777777" w:rsidTr="008A6291">
        <w:tc>
          <w:tcPr>
            <w:tcW w:w="1985" w:type="dxa"/>
          </w:tcPr>
          <w:p w14:paraId="01F7E0A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D07BD7" w:rsidRDefault="00AF1E8A" w:rsidP="00D9766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2506B32E" w14:textId="77777777" w:rsidTr="008A6291">
        <w:tc>
          <w:tcPr>
            <w:tcW w:w="1985" w:type="dxa"/>
          </w:tcPr>
          <w:p w14:paraId="7BDC94E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11CE52C9" w:rsidR="008A6291" w:rsidRPr="00D07BD7" w:rsidRDefault="00294667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7BAC46B3" w14:textId="77777777" w:rsidR="00294667" w:rsidRDefault="00294667" w:rsidP="009519D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C96319" w14:textId="425BBB70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205917" w14:textId="617FFCC8" w:rsidR="00A72B27" w:rsidRPr="00D07BD7" w:rsidRDefault="00EC0162" w:rsidP="006902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1. Czas procedowania zamówienia 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przez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>Komisj</w:t>
            </w:r>
            <w:r w:rsidR="00C84A83">
              <w:rPr>
                <w:rFonts w:ascii="Arial" w:hAnsi="Arial" w:cs="Arial"/>
                <w:sz w:val="18"/>
                <w:szCs w:val="18"/>
              </w:rPr>
              <w:t>ę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Przetargow</w:t>
            </w:r>
            <w:r w:rsidR="00C84A83">
              <w:rPr>
                <w:rFonts w:ascii="Arial" w:hAnsi="Arial" w:cs="Arial"/>
                <w:sz w:val="18"/>
                <w:szCs w:val="18"/>
              </w:rPr>
              <w:t>ą wynikający z ustawowo określonych terminów oraz stopnia skomplikowania zamówienia</w:t>
            </w:r>
            <w:r w:rsidR="00E101FD">
              <w:rPr>
                <w:rFonts w:ascii="Arial" w:hAnsi="Arial" w:cs="Arial"/>
                <w:sz w:val="18"/>
                <w:szCs w:val="18"/>
              </w:rPr>
              <w:t>.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144BEE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E101FD">
              <w:rPr>
                <w:rFonts w:ascii="Arial" w:hAnsi="Arial" w:cs="Arial"/>
                <w:sz w:val="18"/>
                <w:szCs w:val="18"/>
              </w:rPr>
              <w:t>przekroczył zakładany na to czas w projekcie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>. Był to czynnik niezależny od Jednostki Realizującej Pro</w:t>
            </w:r>
            <w:r w:rsidR="00144BEE">
              <w:rPr>
                <w:rFonts w:ascii="Arial" w:hAnsi="Arial" w:cs="Arial"/>
                <w:sz w:val="18"/>
                <w:szCs w:val="18"/>
              </w:rPr>
              <w:t>jekt.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EC0162">
              <w:rPr>
                <w:rFonts w:ascii="Arial" w:hAnsi="Arial" w:cs="Arial"/>
                <w:sz w:val="18"/>
                <w:szCs w:val="18"/>
              </w:rPr>
              <w:t>W wyniku publikacji ogłoszenia o zamó</w:t>
            </w:r>
            <w:r w:rsidR="006902D4">
              <w:rPr>
                <w:rFonts w:ascii="Arial" w:hAnsi="Arial" w:cs="Arial"/>
                <w:sz w:val="18"/>
                <w:szCs w:val="18"/>
              </w:rPr>
              <w:t>wieniu otrzymano trzy oferty dla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02D4">
              <w:rPr>
                <w:rFonts w:ascii="Arial" w:hAnsi="Arial" w:cs="Arial"/>
                <w:sz w:val="18"/>
                <w:szCs w:val="18"/>
              </w:rPr>
              <w:t xml:space="preserve">których </w:t>
            </w:r>
            <w:r w:rsidR="00C84A83">
              <w:rPr>
                <w:rFonts w:ascii="Arial" w:hAnsi="Arial" w:cs="Arial"/>
                <w:sz w:val="18"/>
                <w:szCs w:val="18"/>
              </w:rPr>
              <w:t>konieczn</w:t>
            </w:r>
            <w:r w:rsidR="006902D4">
              <w:rPr>
                <w:rFonts w:ascii="Arial" w:hAnsi="Arial" w:cs="Arial"/>
                <w:sz w:val="18"/>
                <w:szCs w:val="18"/>
              </w:rPr>
              <w:t>e było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przeprowadzenia niezbędnych dodatkowych czynności, co </w:t>
            </w:r>
            <w:r w:rsidRPr="00EC0162">
              <w:rPr>
                <w:rFonts w:ascii="Arial" w:hAnsi="Arial" w:cs="Arial"/>
                <w:sz w:val="18"/>
                <w:szCs w:val="18"/>
              </w:rPr>
              <w:t>również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doprowadziło do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przekrocz</w:t>
            </w:r>
            <w:r w:rsidR="00C84A83">
              <w:rPr>
                <w:rFonts w:ascii="Arial" w:hAnsi="Arial" w:cs="Arial"/>
                <w:sz w:val="18"/>
                <w:szCs w:val="18"/>
              </w:rPr>
              <w:t>enia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zakładan</w:t>
            </w:r>
            <w:r w:rsidR="00C84A83">
              <w:rPr>
                <w:rFonts w:ascii="Arial" w:hAnsi="Arial" w:cs="Arial"/>
                <w:sz w:val="18"/>
                <w:szCs w:val="18"/>
              </w:rPr>
              <w:t>ego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 w:rsidR="00C84A83">
              <w:rPr>
                <w:rFonts w:ascii="Arial" w:hAnsi="Arial" w:cs="Arial"/>
                <w:sz w:val="18"/>
                <w:szCs w:val="18"/>
              </w:rPr>
              <w:t>u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D791628" w14:textId="77777777" w:rsidTr="008A6291">
        <w:tc>
          <w:tcPr>
            <w:tcW w:w="1985" w:type="dxa"/>
          </w:tcPr>
          <w:p w14:paraId="68EBF20D" w14:textId="576151D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D07BD7" w:rsidRDefault="000651D8" w:rsidP="008B7B2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 w:rsidR="008B7B20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CFF1B8" w14:textId="6057CC13" w:rsidR="008A6291" w:rsidRPr="00D07BD7" w:rsidRDefault="00B33261" w:rsidP="00B332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>31 października 2018 roku.</w:t>
            </w:r>
          </w:p>
        </w:tc>
      </w:tr>
      <w:tr w:rsidR="00D07BD7" w:rsidRPr="00D07BD7" w14:paraId="0EA017F0" w14:textId="77777777" w:rsidTr="008A6291">
        <w:tc>
          <w:tcPr>
            <w:tcW w:w="1985" w:type="dxa"/>
          </w:tcPr>
          <w:p w14:paraId="1953CF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15C7D5" w14:textId="4582EC66" w:rsidR="007E1E3A" w:rsidRPr="00D07BD7" w:rsidRDefault="004D536C" w:rsidP="004D53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lastRenderedPageBreak/>
              <w:t>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02C75E0A" w14:textId="77777777" w:rsidTr="008A6291">
        <w:tc>
          <w:tcPr>
            <w:tcW w:w="1985" w:type="dxa"/>
          </w:tcPr>
          <w:p w14:paraId="2F8ADD6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452EA4EB" w:rsidR="008A6291" w:rsidRPr="00D07BD7" w:rsidRDefault="00D2525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3969" w:type="dxa"/>
          </w:tcPr>
          <w:p w14:paraId="34E8C297" w14:textId="77777777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F4CDD02" w14:textId="607DF990" w:rsidR="008A6291" w:rsidRPr="00D07BD7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447683CA" w14:textId="77777777" w:rsidTr="008A6291">
        <w:tc>
          <w:tcPr>
            <w:tcW w:w="1985" w:type="dxa"/>
          </w:tcPr>
          <w:p w14:paraId="356F549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2D3AD453" w:rsidR="008A6291" w:rsidRPr="00D07BD7" w:rsidRDefault="00E5278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969" w:type="dxa"/>
          </w:tcPr>
          <w:p w14:paraId="5776419C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F54D4DB" w14:textId="5706C6C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31F0B8A4" w14:textId="77777777" w:rsidTr="008A6291">
        <w:tc>
          <w:tcPr>
            <w:tcW w:w="1985" w:type="dxa"/>
          </w:tcPr>
          <w:p w14:paraId="7B29E9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09A97792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1E7BDF43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511AB98" w14:textId="5E2391F6" w:rsidR="008A6291" w:rsidRPr="00B82FDA" w:rsidRDefault="00E663EC" w:rsidP="006922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 w:rsidR="00343F99"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1BF4AD3" w14:textId="77777777" w:rsidTr="008A6291">
        <w:tc>
          <w:tcPr>
            <w:tcW w:w="1985" w:type="dxa"/>
          </w:tcPr>
          <w:p w14:paraId="7AE83DEC" w14:textId="4109A040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52C4218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7A21902E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1C7BBAF0" w14:textId="08F0BFDA" w:rsidR="008A6291" w:rsidRPr="008C20A2" w:rsidRDefault="00343F99" w:rsidP="006922C1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81F7099" w14:textId="77777777" w:rsidTr="008A6291">
        <w:tc>
          <w:tcPr>
            <w:tcW w:w="1985" w:type="dxa"/>
          </w:tcPr>
          <w:p w14:paraId="0BEB47D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079CDEE3" w14:textId="66770D76" w:rsidR="006643BE" w:rsidRPr="00D07BD7" w:rsidRDefault="001030C4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="006643BE"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22AEE701" w14:textId="77777777" w:rsidTr="008A6291">
        <w:tc>
          <w:tcPr>
            <w:tcW w:w="1985" w:type="dxa"/>
          </w:tcPr>
          <w:p w14:paraId="2B2CC02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D07BD7" w:rsidRDefault="00680820" w:rsidP="008A629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1F44B6" w14:textId="77777777" w:rsidR="008A6291" w:rsidRDefault="00583F7E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18FBF69" w14:textId="48106919" w:rsidR="00DA52CC" w:rsidRPr="004F73C8" w:rsidRDefault="00DA52CC" w:rsidP="00343F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7FB964C3" w14:textId="77777777" w:rsidTr="008A6291">
        <w:tc>
          <w:tcPr>
            <w:tcW w:w="1985" w:type="dxa"/>
          </w:tcPr>
          <w:p w14:paraId="2C6E408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09842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66805F6" w14:textId="7693F3D6" w:rsidR="008A6291" w:rsidRPr="009E37DE" w:rsidRDefault="00DA52CC" w:rsidP="00CE11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Planowany termin osiągnięcia kamienia to 24 luty 2020 roku.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13A">
              <w:rPr>
                <w:rFonts w:ascii="Arial" w:hAnsi="Arial" w:cs="Arial"/>
                <w:sz w:val="18"/>
                <w:szCs w:val="18"/>
              </w:rPr>
              <w:t>Z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adani</w:t>
            </w:r>
            <w:r w:rsidR="00CE113A">
              <w:rPr>
                <w:rFonts w:ascii="Arial" w:hAnsi="Arial" w:cs="Arial"/>
                <w:sz w:val="18"/>
                <w:szCs w:val="18"/>
              </w:rPr>
              <w:t>e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13A">
              <w:rPr>
                <w:rFonts w:ascii="Arial" w:hAnsi="Arial" w:cs="Arial"/>
                <w:sz w:val="18"/>
                <w:szCs w:val="18"/>
              </w:rPr>
              <w:t>„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 xml:space="preserve">Przetworzenie, 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lastRenderedPageBreak/>
              <w:t>harmonizacja i udostępnienie istniejących zbiorów danych przestrzennych administracji mors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kiej” składa się z dwóch kamieni milowych: </w:t>
            </w:r>
            <w:r w:rsidR="00CE113A"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CE113A" w:rsidRPr="00D07BD7">
              <w:rPr>
                <w:rFonts w:ascii="Arial" w:hAnsi="Arial" w:cs="Arial"/>
                <w:sz w:val="18"/>
                <w:szCs w:val="18"/>
              </w:rPr>
              <w:t>Pozyskanie, przetworzenie i harmonizacja danych objętych Projektem, ich wł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ączenie do SIPAM i udostępnienie. Zgodnie z ww. umową 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Wykonaw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ca zobowiązał się do wykonania 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całości zadania</w:t>
            </w:r>
            <w:r w:rsidR="00EA01BA">
              <w:rPr>
                <w:rFonts w:ascii="Arial" w:hAnsi="Arial" w:cs="Arial"/>
                <w:sz w:val="18"/>
                <w:szCs w:val="18"/>
              </w:rPr>
              <w:t xml:space="preserve"> w terminie 24 lutego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2020</w:t>
            </w:r>
            <w:r w:rsidR="00EA0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 xml:space="preserve">Prace związane z opracowaniem jednolitych modeli danych dla zbiorów danych objętych projektem 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ściśle powiązane i </w:t>
            </w:r>
            <w:r w:rsidR="009E37DE">
              <w:rPr>
                <w:rFonts w:ascii="Arial" w:hAnsi="Arial" w:cs="Arial"/>
                <w:sz w:val="18"/>
                <w:szCs w:val="18"/>
              </w:rPr>
              <w:t>obecnie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realizowane równolegle wraz z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 xml:space="preserve">pozyskaniem, przetworzeniem i harmonizacją danych objętych </w:t>
            </w:r>
            <w:r w:rsidR="009E37DE">
              <w:rPr>
                <w:rFonts w:ascii="Arial" w:hAnsi="Arial" w:cs="Arial"/>
                <w:sz w:val="18"/>
                <w:szCs w:val="18"/>
              </w:rPr>
              <w:t>p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>rojektem. Ich włączenie do SIPAM i udostępnienie zaplanowane jest na 24 luty 2020 r. co jest praktycznie zgodne z pierw</w:t>
            </w:r>
            <w:r w:rsidR="009E37DE">
              <w:rPr>
                <w:rFonts w:ascii="Arial" w:hAnsi="Arial" w:cs="Arial"/>
                <w:sz w:val="18"/>
                <w:szCs w:val="18"/>
              </w:rPr>
              <w:t>otnym terminem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założonym dla projektu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 tj. 10.02.2020</w:t>
            </w:r>
            <w:r w:rsidR="00D45E48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9E37DE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>Osiągnięcie celu projektu tj. digitalizacji i udostępnienia danych nie jest zagrożone.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Wobec powyższego, nie ma potrzeby niwelować skutków opóźnienia </w:t>
            </w:r>
            <w:r w:rsidR="00CE113A" w:rsidRPr="00CE113A">
              <w:rPr>
                <w:rFonts w:ascii="Arial" w:hAnsi="Arial" w:cs="Arial"/>
                <w:sz w:val="18"/>
                <w:szCs w:val="18"/>
              </w:rPr>
              <w:t>w realizacji wskazanego kamienia.</w:t>
            </w:r>
          </w:p>
        </w:tc>
      </w:tr>
      <w:tr w:rsidR="00D07BD7" w:rsidRPr="00D07BD7" w14:paraId="022CBFB1" w14:textId="77777777" w:rsidTr="008A6291">
        <w:tc>
          <w:tcPr>
            <w:tcW w:w="1985" w:type="dxa"/>
          </w:tcPr>
          <w:p w14:paraId="065B881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8DFD2C8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386B725" w14:textId="306C71CB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C2D1FB5" w14:textId="77777777" w:rsidTr="008A6291">
        <w:tc>
          <w:tcPr>
            <w:tcW w:w="1985" w:type="dxa"/>
          </w:tcPr>
          <w:p w14:paraId="2108EE5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12A5D0F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FEB97D9" w14:textId="58937BCA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68EE8D6" w14:textId="77777777" w:rsidTr="008A6291">
        <w:tc>
          <w:tcPr>
            <w:tcW w:w="1985" w:type="dxa"/>
          </w:tcPr>
          <w:p w14:paraId="4A2649F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6049C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86CF20F" w14:textId="6D3858D8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484B83F3" w14:textId="77777777" w:rsidTr="008A6291">
        <w:tc>
          <w:tcPr>
            <w:tcW w:w="1985" w:type="dxa"/>
          </w:tcPr>
          <w:p w14:paraId="43874D3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5D4C70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6168A" w14:textId="16C78A98" w:rsidR="008A6291" w:rsidRPr="009E747E" w:rsidRDefault="008A6291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268EC9A7" w14:textId="77777777" w:rsidTr="008A6291">
        <w:tc>
          <w:tcPr>
            <w:tcW w:w="1985" w:type="dxa"/>
          </w:tcPr>
          <w:p w14:paraId="0952C4E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05E2F7C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66BAC7C5" w14:textId="43824F7E" w:rsidR="008A6291" w:rsidRPr="009E747E" w:rsidRDefault="00343F99" w:rsidP="00DA52CC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A52CC" w:rsidRPr="00D07BD7">
              <w:rPr>
                <w:rFonts w:ascii="Arial" w:hAnsi="Arial" w:cs="Arial"/>
                <w:sz w:val="18"/>
                <w:szCs w:val="18"/>
              </w:rPr>
              <w:t>analizy przedwdrożeniowej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otrzymano w dniu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Obecnie projekt podlega uzgodnieniu z administracją morską. </w:t>
            </w:r>
          </w:p>
        </w:tc>
      </w:tr>
      <w:tr w:rsidR="00D07BD7" w:rsidRPr="00D07BD7" w14:paraId="3F0B2CD0" w14:textId="77777777" w:rsidTr="008A6291">
        <w:tc>
          <w:tcPr>
            <w:tcW w:w="1985" w:type="dxa"/>
          </w:tcPr>
          <w:p w14:paraId="4EDAD38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067D2454" w:rsidR="008A6291" w:rsidRPr="00D07BD7" w:rsidRDefault="006C606F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2CAAD4D2" w14:textId="77777777" w:rsidR="006C606F" w:rsidRDefault="006C606F" w:rsidP="006C606F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DD71345" w14:textId="62976694" w:rsidR="008A6291" w:rsidRPr="00D07BD7" w:rsidRDefault="00343F99" w:rsidP="006C60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746CEE2" w14:textId="77777777" w:rsidTr="008A6291">
        <w:tc>
          <w:tcPr>
            <w:tcW w:w="1985" w:type="dxa"/>
          </w:tcPr>
          <w:p w14:paraId="2AC2ED0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E33BD7F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C94106B" w14:textId="68654E2C" w:rsidR="008A6291" w:rsidRPr="00C1085B" w:rsidRDefault="00343F99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</w:t>
            </w:r>
            <w:r w:rsidR="004B7675">
              <w:rPr>
                <w:rFonts w:ascii="Arial" w:hAnsi="Arial" w:cs="Arial"/>
                <w:sz w:val="18"/>
                <w:szCs w:val="18"/>
              </w:rPr>
              <w:lastRenderedPageBreak/>
              <w:t xml:space="preserve">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D3113" w:rsidRPr="00D07BD7">
              <w:rPr>
                <w:rFonts w:ascii="Arial" w:hAnsi="Arial" w:cs="Arial"/>
                <w:sz w:val="18"/>
                <w:szCs w:val="18"/>
              </w:rPr>
              <w:t>technicznego wdrożenia systemu</w:t>
            </w:r>
            <w:r w:rsidR="00DD31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otrzymano w dniu </w:t>
            </w:r>
            <w:r w:rsidR="00DA52CC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DA52CC">
              <w:rPr>
                <w:rFonts w:ascii="Arial" w:hAnsi="Arial" w:cs="Arial"/>
                <w:sz w:val="18"/>
                <w:szCs w:val="18"/>
              </w:rPr>
              <w:t>. Obecnie projekt podlega uzgodnieniu z administracją morską.</w:t>
            </w:r>
          </w:p>
        </w:tc>
      </w:tr>
      <w:tr w:rsidR="00D07BD7" w:rsidRPr="00D07BD7" w14:paraId="125CD901" w14:textId="77777777" w:rsidTr="008A6291">
        <w:tc>
          <w:tcPr>
            <w:tcW w:w="1985" w:type="dxa"/>
          </w:tcPr>
          <w:p w14:paraId="527B913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DF1A98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F942BB1" w14:textId="7535FDDE" w:rsidR="008A6291" w:rsidRPr="009E747E" w:rsidRDefault="008A6291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0BA72425" w14:textId="77777777" w:rsidTr="008A6291">
        <w:tc>
          <w:tcPr>
            <w:tcW w:w="1985" w:type="dxa"/>
          </w:tcPr>
          <w:p w14:paraId="0EFDBB9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1EB7CF06" w:rsidR="00A026AA" w:rsidRPr="004F73C8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0DC2C1B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8673110" w14:textId="75F28DD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BC32E79" w14:textId="77777777" w:rsidTr="008A6291">
        <w:tc>
          <w:tcPr>
            <w:tcW w:w="1985" w:type="dxa"/>
          </w:tcPr>
          <w:p w14:paraId="66B0B16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17BAA8DA" w14:textId="7E1D223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2555C26C" w14:textId="634DEB81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A0D0E31" w14:textId="3E7340E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1B550E51" w14:textId="4D7D36D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57AE45CD" w14:textId="4E078E10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070610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14,77;</w:t>
            </w:r>
          </w:p>
          <w:p w14:paraId="23919F85" w14:textId="5C7C6273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625926BD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EF8B813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1300F2F" w14:textId="0F4F344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44B4800D" w14:textId="77777777" w:rsidTr="008A6291">
        <w:tc>
          <w:tcPr>
            <w:tcW w:w="1985" w:type="dxa"/>
          </w:tcPr>
          <w:p w14:paraId="09DAE533" w14:textId="10B87592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B6D7704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F35F994" w14:textId="7B4B4A56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64F2AA7C" w14:textId="77777777" w:rsidTr="008A6291">
        <w:tc>
          <w:tcPr>
            <w:tcW w:w="1985" w:type="dxa"/>
          </w:tcPr>
          <w:p w14:paraId="5BA1520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463C8C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AF2A33" w14:textId="2B9DDC3A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755F5AC" w14:textId="77777777" w:rsidTr="008A6291">
        <w:tc>
          <w:tcPr>
            <w:tcW w:w="1985" w:type="dxa"/>
          </w:tcPr>
          <w:p w14:paraId="2A55B99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8745FBF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3FA4C" w14:textId="621658DD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58960E71" w14:textId="77777777" w:rsidTr="008A6291">
        <w:tc>
          <w:tcPr>
            <w:tcW w:w="1985" w:type="dxa"/>
          </w:tcPr>
          <w:p w14:paraId="0B00172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26AA" w:rsidRPr="00D07BD7" w14:paraId="2418D97D" w14:textId="77777777" w:rsidTr="008A6291">
        <w:tc>
          <w:tcPr>
            <w:tcW w:w="1985" w:type="dxa"/>
          </w:tcPr>
          <w:p w14:paraId="6B55A5E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48C89B65" w:rsidR="00A026AA" w:rsidRPr="00D07BD7" w:rsidRDefault="00343F99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87F2F9D" w14:textId="77777777" w:rsidTr="008A6291">
        <w:tc>
          <w:tcPr>
            <w:tcW w:w="1985" w:type="dxa"/>
          </w:tcPr>
          <w:p w14:paraId="685C62C1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005C1766" w:rsidR="00A026AA" w:rsidRPr="00D07BD7" w:rsidRDefault="00E77AE4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6E22DDA0" w14:textId="77777777" w:rsidTr="008A6291">
        <w:tc>
          <w:tcPr>
            <w:tcW w:w="1985" w:type="dxa"/>
          </w:tcPr>
          <w:p w14:paraId="0BADFD7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1D042206" w:rsidR="00A026AA" w:rsidRPr="00D07BD7" w:rsidRDefault="00AE6D78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026AA"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64ADCCB0" w14:textId="7027336B" w:rsidR="00141A92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07BD7" w:rsidRPr="00D07BD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07BD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07BD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07BD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7BD7" w:rsidRPr="00D07BD7" w14:paraId="7624204D" w14:textId="77777777" w:rsidTr="00047D9D">
        <w:tc>
          <w:tcPr>
            <w:tcW w:w="2545" w:type="dxa"/>
          </w:tcPr>
          <w:p w14:paraId="05FC23D4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5C7D24A4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9B0290F" w14:textId="159134C4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6220D4F" w14:textId="77777777" w:rsidTr="00047D9D">
        <w:tc>
          <w:tcPr>
            <w:tcW w:w="2545" w:type="dxa"/>
          </w:tcPr>
          <w:p w14:paraId="57B21046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1E38DDE0" w14:textId="2C50CFA2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CA28158" w14:textId="77777777" w:rsidTr="00047D9D">
        <w:tc>
          <w:tcPr>
            <w:tcW w:w="2545" w:type="dxa"/>
          </w:tcPr>
          <w:p w14:paraId="7993B4E8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440EB92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3D2E4DC" w14:textId="6BEC1A08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74DDD39" w14:textId="77777777" w:rsidTr="00047D9D">
        <w:tc>
          <w:tcPr>
            <w:tcW w:w="2545" w:type="dxa"/>
          </w:tcPr>
          <w:p w14:paraId="3148FA5E" w14:textId="75CBDE10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4D737D3F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D119A01" w14:textId="773A5DD6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5668008" w14:textId="77777777" w:rsidTr="00047D9D">
        <w:tc>
          <w:tcPr>
            <w:tcW w:w="2545" w:type="dxa"/>
          </w:tcPr>
          <w:p w14:paraId="1D8BC414" w14:textId="4CE5E01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002F1953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339A472" w14:textId="77777777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7BD7" w:rsidRPr="00D07BD7" w14:paraId="0DC362F4" w14:textId="77777777" w:rsidTr="00047D9D">
        <w:tc>
          <w:tcPr>
            <w:tcW w:w="2545" w:type="dxa"/>
          </w:tcPr>
          <w:p w14:paraId="0BAE0783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084A8BDA" w14:textId="2529C537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D07BD7" w:rsidRDefault="00095F74" w:rsidP="00095F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2D6587DB" w14:textId="77777777" w:rsidTr="00047D9D">
        <w:tc>
          <w:tcPr>
            <w:tcW w:w="2545" w:type="dxa"/>
          </w:tcPr>
          <w:p w14:paraId="1BB7F532" w14:textId="4D4CC0BE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06F1E1F0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5814B4B6" w14:textId="769DCBC5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076E312" w14:textId="77777777" w:rsidTr="00047D9D">
        <w:tc>
          <w:tcPr>
            <w:tcW w:w="2545" w:type="dxa"/>
          </w:tcPr>
          <w:p w14:paraId="2B1998F4" w14:textId="575C0D1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6C62663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B8AA209" w14:textId="690BBEF2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3FD42E01" w14:textId="77777777" w:rsidTr="00047D9D">
        <w:tc>
          <w:tcPr>
            <w:tcW w:w="2545" w:type="dxa"/>
          </w:tcPr>
          <w:p w14:paraId="25159D1D" w14:textId="392925F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07BD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07BD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D07BD7">
        <w:rPr>
          <w:rFonts w:ascii="Arial" w:hAnsi="Arial" w:cs="Arial"/>
          <w:color w:val="auto"/>
          <w:sz w:val="20"/>
          <w:szCs w:val="20"/>
        </w:rPr>
        <w:t>&lt;</w:t>
      </w:r>
      <w:r w:rsidR="00B41415" w:rsidRPr="00D07BD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D07BD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07BD7" w:rsidRPr="00D07BD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07BD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80C6A44" w14:textId="77777777" w:rsidTr="00517F12">
        <w:tc>
          <w:tcPr>
            <w:tcW w:w="2937" w:type="dxa"/>
          </w:tcPr>
          <w:p w14:paraId="732F9DD7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46B8107" w14:textId="6A6F0D7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D07BD7" w:rsidRDefault="00F07774" w:rsidP="00766566">
            <w:pPr>
              <w:rPr>
                <w:rFonts w:cs="Arial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66566" w:rsidRPr="00D07BD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D07BD7" w:rsidRDefault="00F07774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D07BD7" w:rsidRDefault="00F0777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D07BD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07BD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07BD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D07BD7" w:rsidRPr="00D07BD7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07BD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3D46142" w14:textId="77777777" w:rsidTr="00D50D7D">
        <w:tc>
          <w:tcPr>
            <w:tcW w:w="4248" w:type="dxa"/>
          </w:tcPr>
          <w:p w14:paraId="34A2AE74" w14:textId="1EE57B1F" w:rsidR="00F21CCC" w:rsidRPr="00D07BD7" w:rsidRDefault="00F21CCC" w:rsidP="00F21CCC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Rodzaj i liczbę zbiorów objętych projektem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(w zakresie zbiorów do udostępnienia jak i zbiorów do digitalizacji) </w:t>
            </w:r>
            <w:r w:rsidRPr="00D07BD7">
              <w:rPr>
                <w:rFonts w:ascii="Arial" w:hAnsi="Arial" w:cs="Arial"/>
                <w:sz w:val="18"/>
                <w:szCs w:val="20"/>
              </w:rPr>
              <w:t>określono w wyniku przeprowadzonej inwentaryzacji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 danych administracji morskiej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 na etapie opracowania Studium Wykonalności dla projektu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. Aktualnie żaden ze zbiorów wymienionych w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poniższym 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Strefy niebezpieczne dla żeglugi i rybołówstwa (wraz z określeniem terminów uznania strefy za niebezpieczną).</w:t>
            </w:r>
          </w:p>
          <w:p w14:paraId="1C28BA9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529A170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Obiekty infrastruktury zapewniające dostęp do portów i przystani.</w:t>
            </w:r>
          </w:p>
          <w:p w14:paraId="2B95518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Tory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podejściowe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A6670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Numeracja wejść na plażę.</w:t>
            </w:r>
          </w:p>
          <w:p w14:paraId="16E80C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6CAF4A9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1BCC5C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batymetryczne.</w:t>
            </w:r>
          </w:p>
          <w:p w14:paraId="7474AAD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3AC9EC0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Ortofotomapy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F712CD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3FEBAD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Decyzje o trwałym zarządzie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Wm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 xml:space="preserve"> (wody morskie)</w:t>
            </w:r>
          </w:p>
          <w:p w14:paraId="4F7DD46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CEB2473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3E2421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A0F59E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9F9E1E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25CC1C6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B8294C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4B91A96C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E1D70F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A84BB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11B22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90871E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405A09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6EF01F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A2A7E20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B3569F7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0B2F087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0455655" w14:textId="51ABE81B" w:rsidR="00F07774" w:rsidRPr="008F0C2B" w:rsidRDefault="00D50D7D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 w:rsidRPr="008F0C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1F0DC2F6" w14:textId="77777777" w:rsidR="00F07774" w:rsidRPr="00D07BD7" w:rsidRDefault="00F0777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D07BD7" w:rsidRDefault="00F0777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D07BD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07BD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18"/>
        </w:rPr>
        <w:t>&lt;maksymalnie 20</w:t>
      </w:r>
      <w:r w:rsidRPr="00D07BD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07BD7" w:rsidRPr="00D07BD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07B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D7" w:rsidRPr="00D07BD7" w14:paraId="50A66C72" w14:textId="77777777" w:rsidTr="009E747E">
        <w:tc>
          <w:tcPr>
            <w:tcW w:w="2547" w:type="dxa"/>
          </w:tcPr>
          <w:p w14:paraId="20B36869" w14:textId="7FA047F4" w:rsidR="00A86449" w:rsidRPr="00D07BD7" w:rsidRDefault="00787EE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73F2804A" w:rsidR="00A86449" w:rsidRPr="008F0C2B" w:rsidRDefault="00A53FE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668F33C7" w:rsidR="004C1D48" w:rsidRPr="00D07BD7" w:rsidRDefault="00D50D7D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85C120E" w14:textId="1D28DCDB" w:rsidR="004C1D48" w:rsidRPr="00D07BD7" w:rsidRDefault="001E4F0D" w:rsidP="001E4F0D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Geoportal2. Opracowanie cyfrowych, spójnych i zharmonizowanych zbiorów danych przestrzennych administracji mor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 xml:space="preserve">skiej, umożliwi włączenie ich i udostępnienie w 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Geoportalu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 xml:space="preserve">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na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geoportal.gov.pl </w:t>
            </w:r>
          </w:p>
          <w:p w14:paraId="43CDFE6D" w14:textId="19242BAC" w:rsidR="008E4D24" w:rsidRPr="00D07BD7" w:rsidRDefault="008E4D24" w:rsidP="0012005B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opracowywanym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przez administrację morską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rojektem planu zagospodaro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wania przestrzennego 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olskich obsza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rów m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or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wspierać podejmowanie właściwych decyzji planistycznych. Po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opracowaniu morskiego planu zagospodarowania przestrzennego, </w:t>
            </w:r>
            <w:r w:rsidRPr="00D07BD7">
              <w:rPr>
                <w:rFonts w:ascii="Arial" w:hAnsi="Arial" w:cs="Arial"/>
                <w:sz w:val="18"/>
                <w:szCs w:val="18"/>
              </w:rPr>
              <w:t>usługi zapewniające dostęp do rozstrzygnięć planu zostaną włączone do systemu informacji przestrzennej SIPAM, co zwiększy ich dostępność (możliwość szybkiej lokalizacji) i możliwość ponownego ich wykorzystania ("re-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use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>").</w:t>
            </w:r>
          </w:p>
        </w:tc>
      </w:tr>
      <w:tr w:rsidR="00D07BD7" w:rsidRPr="00D07BD7" w14:paraId="41A6864C" w14:textId="77777777" w:rsidTr="00DE1B02">
        <w:trPr>
          <w:trHeight w:val="1325"/>
        </w:trPr>
        <w:tc>
          <w:tcPr>
            <w:tcW w:w="2547" w:type="dxa"/>
          </w:tcPr>
          <w:p w14:paraId="0CFCC020" w14:textId="403CA96C" w:rsidR="00787EE6" w:rsidRPr="00D07BD7" w:rsidRDefault="00787EE6" w:rsidP="00787EE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57633ECD" w14:textId="18957CB8" w:rsidR="00787EE6" w:rsidRPr="008F0C2B" w:rsidRDefault="00A53FE7" w:rsidP="00787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156D1AA3" w14:textId="6CD38A79" w:rsidR="00787EE6" w:rsidRPr="00D07BD7" w:rsidRDefault="00787EE6" w:rsidP="00787EE6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5A3A2BA" w14:textId="307AA71F" w:rsidR="00787EE6" w:rsidRPr="00D07BD7" w:rsidRDefault="005E7606" w:rsidP="00DE1B0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</w:t>
            </w:r>
            <w:r w:rsidR="00DE1B02" w:rsidRPr="00D07BD7">
              <w:rPr>
                <w:rFonts w:ascii="Arial" w:hAnsi="Arial" w:cs="Arial"/>
                <w:sz w:val="18"/>
                <w:szCs w:val="18"/>
              </w:rPr>
              <w:t xml:space="preserve">systemom zewnętrznym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dostęp do danych aplikacji. </w:t>
            </w:r>
          </w:p>
        </w:tc>
      </w:tr>
    </w:tbl>
    <w:p w14:paraId="2AC8CEEF" w14:textId="73D2E2F8" w:rsidR="00BB059E" w:rsidRPr="00D07BD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07BD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07BD7">
        <w:rPr>
          <w:rFonts w:ascii="Arial" w:hAnsi="Arial" w:cs="Arial"/>
        </w:rPr>
        <w:t xml:space="preserve"> </w:t>
      </w:r>
      <w:r w:rsidR="00B41415" w:rsidRPr="00D07BD7">
        <w:rPr>
          <w:rFonts w:ascii="Arial" w:hAnsi="Arial" w:cs="Arial"/>
        </w:rPr>
        <w:t xml:space="preserve"> </w:t>
      </w:r>
      <w:r w:rsidR="00DA34DF" w:rsidRPr="00D07BD7">
        <w:rPr>
          <w:rFonts w:ascii="Arial" w:hAnsi="Arial" w:cs="Arial"/>
          <w:sz w:val="20"/>
          <w:szCs w:val="20"/>
        </w:rPr>
        <w:t>&lt;</w:t>
      </w:r>
      <w:r w:rsidR="00B41415" w:rsidRPr="00D07BD7">
        <w:rPr>
          <w:rFonts w:ascii="Arial" w:hAnsi="Arial" w:cs="Arial"/>
          <w:sz w:val="20"/>
          <w:szCs w:val="20"/>
        </w:rPr>
        <w:t>maksymalnie 20</w:t>
      </w:r>
      <w:r w:rsidR="00DA34DF" w:rsidRPr="00D07BD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D07BD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07BD7" w:rsidRPr="00D07BD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21703F85" w14:textId="77777777" w:rsidTr="009E747E">
        <w:tc>
          <w:tcPr>
            <w:tcW w:w="3265" w:type="dxa"/>
            <w:vAlign w:val="bottom"/>
          </w:tcPr>
          <w:p w14:paraId="149B3B2A" w14:textId="26E7FD4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D07BD7" w:rsidRPr="00D07BD7" w14:paraId="2D4CB487" w14:textId="77777777" w:rsidTr="009E747E">
        <w:tc>
          <w:tcPr>
            <w:tcW w:w="3265" w:type="dxa"/>
            <w:vAlign w:val="bottom"/>
          </w:tcPr>
          <w:p w14:paraId="7FAE4E4A" w14:textId="2CEB9FD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nałożenie kary finansowej dla podwykonawców odpowiedzialnych za opóźnienie 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projektu / zmiana podwykonawcy / tolerancja (w przypadku małych opóźnień nie zagrażających realizacji celów ogólnych</w:t>
            </w:r>
          </w:p>
        </w:tc>
      </w:tr>
      <w:tr w:rsidR="00D07BD7" w:rsidRPr="00D07BD7" w14:paraId="63490B5B" w14:textId="77777777" w:rsidTr="009E747E">
        <w:tc>
          <w:tcPr>
            <w:tcW w:w="3265" w:type="dxa"/>
            <w:vAlign w:val="bottom"/>
          </w:tcPr>
          <w:p w14:paraId="4B0F148E" w14:textId="66601D9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D07BD7" w:rsidRPr="00D07BD7" w14:paraId="0DFBA2C5" w14:textId="77777777" w:rsidTr="009E747E">
        <w:tc>
          <w:tcPr>
            <w:tcW w:w="3265" w:type="dxa"/>
            <w:vAlign w:val="bottom"/>
          </w:tcPr>
          <w:p w14:paraId="04458318" w14:textId="105D5C2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D07BD7" w:rsidRPr="00D07BD7" w14:paraId="79CCA993" w14:textId="77777777" w:rsidTr="009E747E">
        <w:tc>
          <w:tcPr>
            <w:tcW w:w="3265" w:type="dxa"/>
            <w:vAlign w:val="bottom"/>
          </w:tcPr>
          <w:p w14:paraId="687FD1C6" w14:textId="68A4A2D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40725C68" w14:textId="77777777" w:rsidTr="009E747E">
        <w:tc>
          <w:tcPr>
            <w:tcW w:w="3265" w:type="dxa"/>
            <w:vAlign w:val="bottom"/>
          </w:tcPr>
          <w:p w14:paraId="3B926171" w14:textId="0F07590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1EF7AD6E" w14:textId="77777777" w:rsidTr="009E747E">
        <w:tc>
          <w:tcPr>
            <w:tcW w:w="3265" w:type="dxa"/>
            <w:vAlign w:val="bottom"/>
          </w:tcPr>
          <w:p w14:paraId="7E4FE5F5" w14:textId="27EE923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</w:p>
        </w:tc>
      </w:tr>
      <w:tr w:rsidR="00D07BD7" w:rsidRPr="00D07BD7" w14:paraId="2EB50A4A" w14:textId="77777777" w:rsidTr="009E747E">
        <w:tc>
          <w:tcPr>
            <w:tcW w:w="3265" w:type="dxa"/>
            <w:vAlign w:val="bottom"/>
          </w:tcPr>
          <w:p w14:paraId="1EC51C5F" w14:textId="066B544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</w:p>
        </w:tc>
      </w:tr>
      <w:tr w:rsidR="00D07BD7" w:rsidRPr="00D07BD7" w14:paraId="6AFAA2C2" w14:textId="77777777" w:rsidTr="009E747E">
        <w:tc>
          <w:tcPr>
            <w:tcW w:w="3265" w:type="dxa"/>
            <w:vAlign w:val="bottom"/>
          </w:tcPr>
          <w:p w14:paraId="79F28A36" w14:textId="5E8D89B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D07BD7" w:rsidRPr="00D07BD7" w14:paraId="7E8A01DB" w14:textId="77777777" w:rsidTr="009E747E">
        <w:tc>
          <w:tcPr>
            <w:tcW w:w="3265" w:type="dxa"/>
            <w:vAlign w:val="bottom"/>
          </w:tcPr>
          <w:p w14:paraId="2C42CB90" w14:textId="52B5549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 w:rsidR="00D66E07">
              <w:rPr>
                <w:rFonts w:ascii="Arial" w:hAnsi="Arial" w:cs="Arial"/>
                <w:sz w:val="18"/>
                <w:szCs w:val="20"/>
              </w:rPr>
              <w:t xml:space="preserve"> (zamknięte)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D07BD7" w:rsidRDefault="00E7176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D07BD7" w:rsidRPr="00D07BD7" w14:paraId="32B9103F" w14:textId="77777777" w:rsidTr="009E747E">
        <w:tc>
          <w:tcPr>
            <w:tcW w:w="3265" w:type="dxa"/>
            <w:vAlign w:val="bottom"/>
          </w:tcPr>
          <w:p w14:paraId="0F762CF7" w14:textId="521C988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</w:tbl>
    <w:p w14:paraId="409CCC0F" w14:textId="77777777" w:rsidR="003B633E" w:rsidRDefault="003B633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07BD7" w:rsidRPr="00D07BD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07BD7" w:rsidRDefault="0091332C" w:rsidP="009E747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07BD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D07BD7" w:rsidRDefault="0091332C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6AA71FD7" w:rsidR="0091332C" w:rsidRPr="00D07BD7" w:rsidRDefault="00A53FE7" w:rsidP="00141A92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0FA2F07F" w14:textId="7F97B73C" w:rsidR="00BB059E" w:rsidRPr="00D07BD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07BD7">
        <w:rPr>
          <w:rFonts w:ascii="Arial" w:hAnsi="Arial" w:cs="Arial"/>
          <w:b/>
        </w:rPr>
        <w:t xml:space="preserve"> </w:t>
      </w:r>
      <w:r w:rsidR="00550C19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550C19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550C19" w:rsidRPr="00D07BD7">
        <w:rPr>
          <w:rFonts w:ascii="Arial" w:hAnsi="Arial" w:cs="Arial"/>
          <w:sz w:val="18"/>
        </w:rPr>
        <w:t xml:space="preserve">, </w:t>
      </w:r>
      <w:r w:rsidR="00550C19" w:rsidRPr="00D07BD7">
        <w:rPr>
          <w:rFonts w:ascii="Arial" w:hAnsi="Arial" w:cs="Arial"/>
          <w:sz w:val="18"/>
        </w:rPr>
        <w:br/>
        <w:t xml:space="preserve">Tel. (22) 583-58-68 </w:t>
      </w:r>
    </w:p>
    <w:sectPr w:rsidR="00BB059E" w:rsidRPr="00D07BD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52402" w14:textId="77777777" w:rsidR="00E07B3F" w:rsidRDefault="00E07B3F" w:rsidP="00BB2420">
      <w:pPr>
        <w:spacing w:after="0" w:line="240" w:lineRule="auto"/>
      </w:pPr>
      <w:r>
        <w:separator/>
      </w:r>
    </w:p>
  </w:endnote>
  <w:endnote w:type="continuationSeparator" w:id="0">
    <w:p w14:paraId="2CEB824E" w14:textId="77777777" w:rsidR="00E07B3F" w:rsidRDefault="00E07B3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C84A83" w:rsidRDefault="00C84A8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E4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E4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C84A83" w:rsidRDefault="00C84A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D9DF2" w14:textId="77777777" w:rsidR="00E07B3F" w:rsidRDefault="00E07B3F" w:rsidP="00BB2420">
      <w:pPr>
        <w:spacing w:after="0" w:line="240" w:lineRule="auto"/>
      </w:pPr>
      <w:r>
        <w:separator/>
      </w:r>
    </w:p>
  </w:footnote>
  <w:footnote w:type="continuationSeparator" w:id="0">
    <w:p w14:paraId="27C9CF43" w14:textId="77777777" w:rsidR="00E07B3F" w:rsidRDefault="00E07B3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84A83" w:rsidRDefault="00C84A8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745E0"/>
    <w:rsid w:val="00084E5B"/>
    <w:rsid w:val="00087231"/>
    <w:rsid w:val="00095944"/>
    <w:rsid w:val="00095F74"/>
    <w:rsid w:val="000A1DFB"/>
    <w:rsid w:val="000A2F32"/>
    <w:rsid w:val="000A3938"/>
    <w:rsid w:val="000B3E49"/>
    <w:rsid w:val="000C610D"/>
    <w:rsid w:val="000C74D2"/>
    <w:rsid w:val="000D2A8B"/>
    <w:rsid w:val="000D2DFB"/>
    <w:rsid w:val="000E0021"/>
    <w:rsid w:val="000E0060"/>
    <w:rsid w:val="000E1828"/>
    <w:rsid w:val="000E4BF8"/>
    <w:rsid w:val="000F20A9"/>
    <w:rsid w:val="000F307B"/>
    <w:rsid w:val="000F30B9"/>
    <w:rsid w:val="000F6981"/>
    <w:rsid w:val="001030C4"/>
    <w:rsid w:val="001120A7"/>
    <w:rsid w:val="00112EA0"/>
    <w:rsid w:val="0011693F"/>
    <w:rsid w:val="0012005B"/>
    <w:rsid w:val="0012138D"/>
    <w:rsid w:val="00122388"/>
    <w:rsid w:val="00124C3D"/>
    <w:rsid w:val="00141A92"/>
    <w:rsid w:val="00144BEE"/>
    <w:rsid w:val="00145E84"/>
    <w:rsid w:val="0015102C"/>
    <w:rsid w:val="00176FBB"/>
    <w:rsid w:val="00181E97"/>
    <w:rsid w:val="00182A08"/>
    <w:rsid w:val="00186892"/>
    <w:rsid w:val="001A2EF2"/>
    <w:rsid w:val="001A7228"/>
    <w:rsid w:val="001B7D43"/>
    <w:rsid w:val="001C2D74"/>
    <w:rsid w:val="001C4265"/>
    <w:rsid w:val="001C7FAC"/>
    <w:rsid w:val="001D500F"/>
    <w:rsid w:val="001E0CAC"/>
    <w:rsid w:val="001E16A3"/>
    <w:rsid w:val="001E1DEA"/>
    <w:rsid w:val="001E4F0D"/>
    <w:rsid w:val="001E7199"/>
    <w:rsid w:val="001F24A0"/>
    <w:rsid w:val="001F67EC"/>
    <w:rsid w:val="0020330A"/>
    <w:rsid w:val="00214CA5"/>
    <w:rsid w:val="002254F8"/>
    <w:rsid w:val="00230915"/>
    <w:rsid w:val="00237279"/>
    <w:rsid w:val="00240D69"/>
    <w:rsid w:val="00240E54"/>
    <w:rsid w:val="00241B5E"/>
    <w:rsid w:val="002424BF"/>
    <w:rsid w:val="00246E59"/>
    <w:rsid w:val="00252087"/>
    <w:rsid w:val="00260A19"/>
    <w:rsid w:val="00276C00"/>
    <w:rsid w:val="00294667"/>
    <w:rsid w:val="00296FD3"/>
    <w:rsid w:val="002A3C02"/>
    <w:rsid w:val="002A5452"/>
    <w:rsid w:val="002B4889"/>
    <w:rsid w:val="002B50C0"/>
    <w:rsid w:val="002B6F21"/>
    <w:rsid w:val="002D19B2"/>
    <w:rsid w:val="002D3D4A"/>
    <w:rsid w:val="002D7ADA"/>
    <w:rsid w:val="002E0C3F"/>
    <w:rsid w:val="00300D4F"/>
    <w:rsid w:val="0030196F"/>
    <w:rsid w:val="00302775"/>
    <w:rsid w:val="00304D04"/>
    <w:rsid w:val="0031072A"/>
    <w:rsid w:val="00310D8E"/>
    <w:rsid w:val="00316238"/>
    <w:rsid w:val="00316613"/>
    <w:rsid w:val="003221F2"/>
    <w:rsid w:val="00322614"/>
    <w:rsid w:val="00327F6D"/>
    <w:rsid w:val="00331C36"/>
    <w:rsid w:val="00334A24"/>
    <w:rsid w:val="003410FE"/>
    <w:rsid w:val="00343F99"/>
    <w:rsid w:val="00345864"/>
    <w:rsid w:val="003508E7"/>
    <w:rsid w:val="003542F1"/>
    <w:rsid w:val="00356A3E"/>
    <w:rsid w:val="003642B8"/>
    <w:rsid w:val="00386117"/>
    <w:rsid w:val="003A4115"/>
    <w:rsid w:val="003B5B7A"/>
    <w:rsid w:val="003B633E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44CE6"/>
    <w:rsid w:val="00450089"/>
    <w:rsid w:val="00476ABB"/>
    <w:rsid w:val="00485646"/>
    <w:rsid w:val="00487538"/>
    <w:rsid w:val="00494FE8"/>
    <w:rsid w:val="004964D7"/>
    <w:rsid w:val="004A4B58"/>
    <w:rsid w:val="004B7675"/>
    <w:rsid w:val="004C1D48"/>
    <w:rsid w:val="004D536C"/>
    <w:rsid w:val="004D65CA"/>
    <w:rsid w:val="004D76C7"/>
    <w:rsid w:val="004E6D91"/>
    <w:rsid w:val="004F6E89"/>
    <w:rsid w:val="004F73C8"/>
    <w:rsid w:val="005108D2"/>
    <w:rsid w:val="00517F12"/>
    <w:rsid w:val="0052102C"/>
    <w:rsid w:val="005237EB"/>
    <w:rsid w:val="005240C6"/>
    <w:rsid w:val="00524E6C"/>
    <w:rsid w:val="005332D6"/>
    <w:rsid w:val="00544DFE"/>
    <w:rsid w:val="00550C19"/>
    <w:rsid w:val="00561722"/>
    <w:rsid w:val="005734CE"/>
    <w:rsid w:val="00583F7E"/>
    <w:rsid w:val="00586664"/>
    <w:rsid w:val="00593290"/>
    <w:rsid w:val="005A0848"/>
    <w:rsid w:val="005A12F7"/>
    <w:rsid w:val="005A1B30"/>
    <w:rsid w:val="005B1A32"/>
    <w:rsid w:val="005B7E4D"/>
    <w:rsid w:val="005C0469"/>
    <w:rsid w:val="005C589B"/>
    <w:rsid w:val="005C6116"/>
    <w:rsid w:val="005C77BB"/>
    <w:rsid w:val="005D17CF"/>
    <w:rsid w:val="005D5AAB"/>
    <w:rsid w:val="005D6E12"/>
    <w:rsid w:val="005E0ED8"/>
    <w:rsid w:val="005E10CA"/>
    <w:rsid w:val="005E6ABD"/>
    <w:rsid w:val="005E7606"/>
    <w:rsid w:val="005E77FE"/>
    <w:rsid w:val="005F0AFD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02D4"/>
    <w:rsid w:val="006922C1"/>
    <w:rsid w:val="00694EA4"/>
    <w:rsid w:val="00697F9E"/>
    <w:rsid w:val="006A08E7"/>
    <w:rsid w:val="006A60AA"/>
    <w:rsid w:val="006B034F"/>
    <w:rsid w:val="006B5117"/>
    <w:rsid w:val="006C1EE0"/>
    <w:rsid w:val="006C606F"/>
    <w:rsid w:val="006E0CFA"/>
    <w:rsid w:val="006E6205"/>
    <w:rsid w:val="00700D80"/>
    <w:rsid w:val="00701800"/>
    <w:rsid w:val="00725708"/>
    <w:rsid w:val="0073499C"/>
    <w:rsid w:val="00740A47"/>
    <w:rsid w:val="00746ABD"/>
    <w:rsid w:val="007521D8"/>
    <w:rsid w:val="00766566"/>
    <w:rsid w:val="0077418F"/>
    <w:rsid w:val="00775C44"/>
    <w:rsid w:val="00787EE6"/>
    <w:rsid w:val="007924CE"/>
    <w:rsid w:val="007945E8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7F7C6B"/>
    <w:rsid w:val="00806134"/>
    <w:rsid w:val="008070F5"/>
    <w:rsid w:val="00823CC8"/>
    <w:rsid w:val="00830B70"/>
    <w:rsid w:val="00840749"/>
    <w:rsid w:val="008447CE"/>
    <w:rsid w:val="008667C5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20A2"/>
    <w:rsid w:val="008C4BCD"/>
    <w:rsid w:val="008C6721"/>
    <w:rsid w:val="008D3826"/>
    <w:rsid w:val="008E4D24"/>
    <w:rsid w:val="008F0C2B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532F0"/>
    <w:rsid w:val="00960AE9"/>
    <w:rsid w:val="00964BBF"/>
    <w:rsid w:val="009663A6"/>
    <w:rsid w:val="00971A40"/>
    <w:rsid w:val="00976434"/>
    <w:rsid w:val="009817CD"/>
    <w:rsid w:val="009848B1"/>
    <w:rsid w:val="00984901"/>
    <w:rsid w:val="00985156"/>
    <w:rsid w:val="00992EA3"/>
    <w:rsid w:val="009967CA"/>
    <w:rsid w:val="009A17FF"/>
    <w:rsid w:val="009A51A9"/>
    <w:rsid w:val="009B29EE"/>
    <w:rsid w:val="009B4423"/>
    <w:rsid w:val="009B5A11"/>
    <w:rsid w:val="009C2DE7"/>
    <w:rsid w:val="009C6140"/>
    <w:rsid w:val="009D2FA4"/>
    <w:rsid w:val="009D7322"/>
    <w:rsid w:val="009D7D8A"/>
    <w:rsid w:val="009E37DE"/>
    <w:rsid w:val="009E4C67"/>
    <w:rsid w:val="009E747E"/>
    <w:rsid w:val="009F09BF"/>
    <w:rsid w:val="009F0F00"/>
    <w:rsid w:val="009F1DC8"/>
    <w:rsid w:val="009F437E"/>
    <w:rsid w:val="00A026AA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3FE7"/>
    <w:rsid w:val="00A56D63"/>
    <w:rsid w:val="00A67685"/>
    <w:rsid w:val="00A6778C"/>
    <w:rsid w:val="00A728AE"/>
    <w:rsid w:val="00A72B27"/>
    <w:rsid w:val="00A804AE"/>
    <w:rsid w:val="00A822CA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D78"/>
    <w:rsid w:val="00AF09B8"/>
    <w:rsid w:val="00AF1E8A"/>
    <w:rsid w:val="00AF567D"/>
    <w:rsid w:val="00B02895"/>
    <w:rsid w:val="00B17709"/>
    <w:rsid w:val="00B33261"/>
    <w:rsid w:val="00B41415"/>
    <w:rsid w:val="00B440C3"/>
    <w:rsid w:val="00B50560"/>
    <w:rsid w:val="00B64B3C"/>
    <w:rsid w:val="00B673C6"/>
    <w:rsid w:val="00B74859"/>
    <w:rsid w:val="00B75E78"/>
    <w:rsid w:val="00B7613B"/>
    <w:rsid w:val="00B82FDA"/>
    <w:rsid w:val="00B87D3D"/>
    <w:rsid w:val="00BA3C39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00310"/>
    <w:rsid w:val="00C1085B"/>
    <w:rsid w:val="00C1106C"/>
    <w:rsid w:val="00C11293"/>
    <w:rsid w:val="00C26361"/>
    <w:rsid w:val="00C302F1"/>
    <w:rsid w:val="00C42AEA"/>
    <w:rsid w:val="00C57985"/>
    <w:rsid w:val="00C6751B"/>
    <w:rsid w:val="00C84A83"/>
    <w:rsid w:val="00C978FB"/>
    <w:rsid w:val="00CA516B"/>
    <w:rsid w:val="00CB0FE3"/>
    <w:rsid w:val="00CC7E21"/>
    <w:rsid w:val="00CE113A"/>
    <w:rsid w:val="00CE26A7"/>
    <w:rsid w:val="00CE74F9"/>
    <w:rsid w:val="00CE7777"/>
    <w:rsid w:val="00CF2E64"/>
    <w:rsid w:val="00D07BD7"/>
    <w:rsid w:val="00D10CCA"/>
    <w:rsid w:val="00D1474E"/>
    <w:rsid w:val="00D1772B"/>
    <w:rsid w:val="00D17B2F"/>
    <w:rsid w:val="00D25256"/>
    <w:rsid w:val="00D25CFE"/>
    <w:rsid w:val="00D335E9"/>
    <w:rsid w:val="00D45E48"/>
    <w:rsid w:val="00D4607F"/>
    <w:rsid w:val="00D47B01"/>
    <w:rsid w:val="00D50D7D"/>
    <w:rsid w:val="00D57025"/>
    <w:rsid w:val="00D57765"/>
    <w:rsid w:val="00D64B79"/>
    <w:rsid w:val="00D66E07"/>
    <w:rsid w:val="00D77F50"/>
    <w:rsid w:val="00D859F4"/>
    <w:rsid w:val="00D85A52"/>
    <w:rsid w:val="00D86D51"/>
    <w:rsid w:val="00D86FEC"/>
    <w:rsid w:val="00D9766E"/>
    <w:rsid w:val="00DA34DF"/>
    <w:rsid w:val="00DA52CC"/>
    <w:rsid w:val="00DB69FD"/>
    <w:rsid w:val="00DC0A8A"/>
    <w:rsid w:val="00DC1705"/>
    <w:rsid w:val="00DC39A9"/>
    <w:rsid w:val="00DC4C79"/>
    <w:rsid w:val="00DD3113"/>
    <w:rsid w:val="00DD7474"/>
    <w:rsid w:val="00DE1B02"/>
    <w:rsid w:val="00DE6249"/>
    <w:rsid w:val="00DE731D"/>
    <w:rsid w:val="00DF4162"/>
    <w:rsid w:val="00E0076D"/>
    <w:rsid w:val="00E07B3F"/>
    <w:rsid w:val="00E101FD"/>
    <w:rsid w:val="00E11B44"/>
    <w:rsid w:val="00E15DEB"/>
    <w:rsid w:val="00E1688D"/>
    <w:rsid w:val="00E203EB"/>
    <w:rsid w:val="00E21938"/>
    <w:rsid w:val="00E35401"/>
    <w:rsid w:val="00E375DB"/>
    <w:rsid w:val="00E41917"/>
    <w:rsid w:val="00E42938"/>
    <w:rsid w:val="00E47508"/>
    <w:rsid w:val="00E52786"/>
    <w:rsid w:val="00E55EB0"/>
    <w:rsid w:val="00E57BB7"/>
    <w:rsid w:val="00E61CB0"/>
    <w:rsid w:val="00E64978"/>
    <w:rsid w:val="00E663EC"/>
    <w:rsid w:val="00E71256"/>
    <w:rsid w:val="00E71766"/>
    <w:rsid w:val="00E71BCF"/>
    <w:rsid w:val="00E77AE4"/>
    <w:rsid w:val="00E81D7C"/>
    <w:rsid w:val="00E83FA4"/>
    <w:rsid w:val="00E86020"/>
    <w:rsid w:val="00EA01BA"/>
    <w:rsid w:val="00EA0B4F"/>
    <w:rsid w:val="00EA654F"/>
    <w:rsid w:val="00EB2CC2"/>
    <w:rsid w:val="00EC016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25B81"/>
    <w:rsid w:val="00F31240"/>
    <w:rsid w:val="00F329E6"/>
    <w:rsid w:val="00F4451D"/>
    <w:rsid w:val="00F45506"/>
    <w:rsid w:val="00F60062"/>
    <w:rsid w:val="00F613CC"/>
    <w:rsid w:val="00F76777"/>
    <w:rsid w:val="00F83F2F"/>
    <w:rsid w:val="00F86555"/>
    <w:rsid w:val="00F93B43"/>
    <w:rsid w:val="00F959DF"/>
    <w:rsid w:val="00FA0295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26E8A-B058-43A2-911D-7F0A8D84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2788</Words>
  <Characters>16734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2019-07-09T10:11:00Z</dcterms:created>
  <dcterms:modified xsi:type="dcterms:W3CDTF">2019-07-25T12:41:00Z</dcterms:modified>
</cp:coreProperties>
</file>