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38C70C49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1B5124">
        <w:rPr>
          <w:rFonts w:cstheme="minorHAnsi"/>
          <w:b/>
          <w:bCs/>
          <w:sz w:val="24"/>
          <w:szCs w:val="24"/>
        </w:rPr>
        <w:t>AS 2023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4726F0F5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1B5124" w:rsidRPr="001B5124">
        <w:rPr>
          <w:rFonts w:cstheme="minorHAnsi"/>
          <w:b/>
          <w:bCs/>
          <w:sz w:val="24"/>
          <w:szCs w:val="24"/>
        </w:rPr>
        <w:t>Aktywizacja i przeciwdziałanie marginalizacji osób starszych – edycja 2023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13</cp:revision>
  <cp:lastPrinted>2019-02-20T06:36:00Z</cp:lastPrinted>
  <dcterms:created xsi:type="dcterms:W3CDTF">2021-04-15T10:01:00Z</dcterms:created>
  <dcterms:modified xsi:type="dcterms:W3CDTF">2023-03-22T06:41:00Z</dcterms:modified>
</cp:coreProperties>
</file>