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39E1" w14:textId="77777777" w:rsidR="006A53F7" w:rsidRDefault="00E836DE" w:rsidP="0064039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4039D">
        <w:rPr>
          <w:rFonts w:ascii="Verdana" w:hAnsi="Verdana"/>
          <w:b/>
          <w:sz w:val="20"/>
          <w:szCs w:val="20"/>
        </w:rPr>
        <w:t>OPIS PRZEDMIOTU ZAMÓWIENIA</w:t>
      </w:r>
    </w:p>
    <w:p w14:paraId="3A5E2888" w14:textId="77777777" w:rsidR="0064039D" w:rsidRPr="0064039D" w:rsidRDefault="0064039D" w:rsidP="0064039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945C14C" w14:textId="77777777" w:rsidR="00AD23E2" w:rsidRPr="00003F07" w:rsidRDefault="00E836DE" w:rsidP="00003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4039D">
        <w:rPr>
          <w:rFonts w:ascii="Verdana" w:hAnsi="Verdana"/>
          <w:b/>
          <w:sz w:val="20"/>
          <w:szCs w:val="20"/>
        </w:rPr>
        <w:t>PRZEDMIOT ZAMÓWIENIA</w:t>
      </w:r>
    </w:p>
    <w:p w14:paraId="14155CED" w14:textId="77777777" w:rsidR="00E836DE" w:rsidRPr="0064039D" w:rsidRDefault="00E836DE" w:rsidP="000C1CC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039D">
        <w:rPr>
          <w:rFonts w:ascii="Verdana" w:hAnsi="Verdana"/>
          <w:sz w:val="20"/>
          <w:szCs w:val="20"/>
        </w:rPr>
        <w:t>Przedmiotem zamówienia jest sukcesywna dostawa materiałów eksploatacyjnych do urządzeń drukujących i kopiujących dla potrzeb GDDKiA w Opolu.</w:t>
      </w:r>
    </w:p>
    <w:p w14:paraId="129A9B2F" w14:textId="77777777" w:rsidR="00E836DE" w:rsidRPr="0064039D" w:rsidRDefault="00E836DE" w:rsidP="000C1CC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039D">
        <w:rPr>
          <w:rFonts w:ascii="Verdana" w:hAnsi="Verdana"/>
          <w:sz w:val="20"/>
          <w:szCs w:val="20"/>
        </w:rPr>
        <w:t xml:space="preserve">Ilościowy </w:t>
      </w:r>
      <w:r w:rsidR="0064039D">
        <w:rPr>
          <w:rFonts w:ascii="Verdana" w:hAnsi="Verdana"/>
          <w:sz w:val="20"/>
          <w:szCs w:val="20"/>
        </w:rPr>
        <w:t>zakres zamówienia określony został w Formularzu asortymentowo – cenowym.</w:t>
      </w:r>
    </w:p>
    <w:p w14:paraId="50401E8F" w14:textId="50782E71" w:rsidR="00E836DE" w:rsidRDefault="00E836DE" w:rsidP="000C1CC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478EB">
        <w:rPr>
          <w:rFonts w:ascii="Verdana" w:eastAsia="Times New Roman" w:hAnsi="Verdana"/>
          <w:sz w:val="20"/>
          <w:szCs w:val="20"/>
          <w:lang w:eastAsia="pl-PL"/>
        </w:rPr>
        <w:t>Dostawca zobowiąz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any będzie do </w:t>
      </w:r>
      <w:r w:rsidRPr="00F478EB">
        <w:rPr>
          <w:rFonts w:ascii="Verdana" w:eastAsia="Times New Roman" w:hAnsi="Verdana"/>
          <w:sz w:val="20"/>
          <w:szCs w:val="20"/>
          <w:lang w:eastAsia="pl-PL"/>
        </w:rPr>
        <w:t xml:space="preserve">systematycznego i kompletnego dostarczania towaru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00F478EB">
        <w:rPr>
          <w:rFonts w:ascii="Verdana" w:eastAsia="Times New Roman" w:hAnsi="Verdana"/>
          <w:sz w:val="20"/>
          <w:szCs w:val="20"/>
          <w:lang w:eastAsia="pl-PL"/>
        </w:rPr>
        <w:t xml:space="preserve">w ustalonych umową transzach. Zamawiający przewiduje dostawę do siedziby Oddziału </w:t>
      </w:r>
      <w:r w:rsidR="002F0B66">
        <w:rPr>
          <w:rFonts w:ascii="Verdana" w:eastAsia="Times New Roman" w:hAnsi="Verdana"/>
          <w:sz w:val="20"/>
          <w:szCs w:val="20"/>
          <w:lang w:eastAsia="pl-PL"/>
        </w:rPr>
        <w:t>w</w:t>
      </w:r>
      <w:r w:rsidR="00B94A67">
        <w:rPr>
          <w:rFonts w:ascii="Verdana" w:eastAsia="Times New Roman" w:hAnsi="Verdana"/>
          <w:sz w:val="20"/>
          <w:szCs w:val="20"/>
          <w:lang w:eastAsia="pl-PL"/>
        </w:rPr>
        <w:t xml:space="preserve"> 2 terminach </w:t>
      </w:r>
      <w:r w:rsidRPr="00F478EB">
        <w:rPr>
          <w:rFonts w:ascii="Verdana" w:eastAsia="Times New Roman" w:hAnsi="Verdana"/>
          <w:sz w:val="20"/>
          <w:szCs w:val="20"/>
          <w:lang w:eastAsia="pl-PL"/>
        </w:rPr>
        <w:t>(w zależności od potrzeby) w ciągu okresu trwan</w:t>
      </w:r>
      <w:r w:rsidR="0064039D">
        <w:rPr>
          <w:rFonts w:ascii="Verdana" w:eastAsia="Times New Roman" w:hAnsi="Verdana"/>
          <w:sz w:val="20"/>
          <w:szCs w:val="20"/>
          <w:lang w:eastAsia="pl-PL"/>
        </w:rPr>
        <w:t>ia umowy tzn. do końca roku 202</w:t>
      </w:r>
      <w:r w:rsidR="008711C3">
        <w:rPr>
          <w:rFonts w:ascii="Verdana" w:eastAsia="Times New Roman" w:hAnsi="Verdana"/>
          <w:sz w:val="20"/>
          <w:szCs w:val="20"/>
          <w:lang w:eastAsia="pl-PL"/>
        </w:rPr>
        <w:t>6</w:t>
      </w:r>
      <w:r w:rsidRPr="00F478EB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46E12E8A" w14:textId="77777777" w:rsidR="00AD23E2" w:rsidRDefault="00AD23E2" w:rsidP="000C1CC7">
      <w:pPr>
        <w:spacing w:after="0" w:line="240" w:lineRule="auto"/>
        <w:jc w:val="both"/>
      </w:pPr>
    </w:p>
    <w:p w14:paraId="47C32EC3" w14:textId="77777777" w:rsidR="00AD23E2" w:rsidRDefault="00AD23E2" w:rsidP="000C1CC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C346F">
        <w:rPr>
          <w:rFonts w:ascii="Verdana" w:eastAsia="Times New Roman" w:hAnsi="Verdana"/>
          <w:b/>
          <w:sz w:val="20"/>
          <w:szCs w:val="20"/>
          <w:lang w:eastAsia="pl-PL"/>
        </w:rPr>
        <w:t>WYMAGANIA TECHNICZNE I TECHNOLOGICZNE</w:t>
      </w:r>
    </w:p>
    <w:p w14:paraId="25E5C562" w14:textId="77777777" w:rsidR="00AD23E2" w:rsidRDefault="00AD23E2" w:rsidP="000C1C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Materiały eksploatacyjne będące prz</w:t>
      </w:r>
      <w:r w:rsidR="000C1CC7">
        <w:rPr>
          <w:rFonts w:ascii="Verdana" w:eastAsia="Times New Roman" w:hAnsi="Verdana"/>
          <w:sz w:val="20"/>
          <w:szCs w:val="20"/>
          <w:lang w:eastAsia="pl-PL"/>
        </w:rPr>
        <w:t>edmiotem zamówienia muszą być</w:t>
      </w:r>
    </w:p>
    <w:p w14:paraId="7AD21292" w14:textId="77777777" w:rsidR="00E836DE" w:rsidRDefault="00AD23E2" w:rsidP="000C1CC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fabrycznie nowe</w:t>
      </w:r>
      <w:r w:rsidR="000C1CC7">
        <w:rPr>
          <w:rFonts w:ascii="Verdana" w:hAnsi="Verdana" w:cs="Arial"/>
          <w:sz w:val="20"/>
          <w:szCs w:val="20"/>
        </w:rPr>
        <w:t xml:space="preserve">. </w:t>
      </w:r>
      <w:r w:rsidR="00E836DE" w:rsidRPr="00FF2B46">
        <w:rPr>
          <w:rFonts w:ascii="Verdana" w:hAnsi="Verdana" w:cs="Arial"/>
          <w:sz w:val="20"/>
          <w:szCs w:val="20"/>
        </w:rPr>
        <w:t xml:space="preserve">Pod pojęciem fabrycznie nowy zamawiający rozumie: produkt wykonany w całości </w:t>
      </w:r>
      <w:r w:rsidR="00E836DE">
        <w:rPr>
          <w:rFonts w:ascii="Verdana" w:hAnsi="Verdana" w:cs="Arial"/>
          <w:sz w:val="20"/>
          <w:szCs w:val="20"/>
        </w:rPr>
        <w:t xml:space="preserve"> </w:t>
      </w:r>
      <w:r w:rsidR="00E836DE" w:rsidRPr="00FF2B46">
        <w:rPr>
          <w:rFonts w:ascii="Verdana" w:hAnsi="Verdana" w:cs="Arial"/>
          <w:sz w:val="20"/>
          <w:szCs w:val="20"/>
        </w:rPr>
        <w:t xml:space="preserve">z elementów nowych, wcześniej nie używanych, nieregenerowanych, bez śladów uszkodzenia, umieszczone w opakowaniach producenta, chroniące produkt po wyjęciu z opakowania zewnętrznego (opakowanie wewnętrzne). Każdy produkt musi zawierać zabezpieczenie umożliwiające rozpoznanie czy dany produkt był wcześniej otwierany/używany. Wszystkie dostarczone materiały muszą być </w:t>
      </w:r>
      <w:r w:rsidR="00A64F40">
        <w:rPr>
          <w:rFonts w:ascii="Verdana" w:hAnsi="Verdana" w:cs="Arial"/>
          <w:sz w:val="20"/>
          <w:szCs w:val="20"/>
        </w:rPr>
        <w:t>zaopatrzone w zabezpieczenia</w:t>
      </w:r>
      <w:r w:rsidR="00D82689">
        <w:rPr>
          <w:rFonts w:ascii="Verdana" w:hAnsi="Verdana" w:cs="Arial"/>
          <w:sz w:val="20"/>
          <w:szCs w:val="20"/>
        </w:rPr>
        <w:t xml:space="preserve"> stosowane przez producenta (</w:t>
      </w:r>
      <w:r w:rsidR="00A64F40">
        <w:rPr>
          <w:rFonts w:ascii="Verdana" w:hAnsi="Verdana" w:cs="Arial"/>
          <w:sz w:val="20"/>
          <w:szCs w:val="20"/>
        </w:rPr>
        <w:t>hologram</w:t>
      </w:r>
      <w:r w:rsidR="00D82689">
        <w:rPr>
          <w:rFonts w:ascii="Verdana" w:hAnsi="Verdana" w:cs="Arial"/>
          <w:sz w:val="20"/>
          <w:szCs w:val="20"/>
        </w:rPr>
        <w:t>owa naklejka zabezpieczająca umieszczona na towarze i opakowaniu</w:t>
      </w:r>
      <w:r w:rsidR="00A64F40">
        <w:rPr>
          <w:rFonts w:ascii="Verdana" w:hAnsi="Verdana" w:cs="Arial"/>
          <w:sz w:val="20"/>
          <w:szCs w:val="20"/>
        </w:rPr>
        <w:t>)</w:t>
      </w:r>
      <w:r w:rsidR="00E836DE" w:rsidRPr="00FF2B46">
        <w:rPr>
          <w:rFonts w:ascii="Verdana" w:hAnsi="Verdana" w:cs="Arial"/>
          <w:sz w:val="20"/>
          <w:szCs w:val="20"/>
        </w:rPr>
        <w:t>.</w:t>
      </w:r>
      <w:r w:rsidR="00E836DE">
        <w:rPr>
          <w:rFonts w:ascii="Verdana" w:hAnsi="Verdana" w:cs="Arial"/>
          <w:sz w:val="20"/>
          <w:szCs w:val="20"/>
        </w:rPr>
        <w:t xml:space="preserve"> </w:t>
      </w:r>
    </w:p>
    <w:p w14:paraId="681F604D" w14:textId="77777777" w:rsidR="00A64F40" w:rsidRDefault="00A64F40" w:rsidP="00A64F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Jakość wydruku (kopii), szybkość schnięcia (ut</w:t>
      </w:r>
      <w:r w:rsidR="00003F07">
        <w:rPr>
          <w:rFonts w:ascii="Verdana" w:hAnsi="Verdana" w:cs="Arial"/>
          <w:sz w:val="20"/>
          <w:szCs w:val="20"/>
        </w:rPr>
        <w:t>rwalan</w:t>
      </w:r>
      <w:r>
        <w:rPr>
          <w:rFonts w:ascii="Verdana" w:hAnsi="Verdana" w:cs="Arial"/>
          <w:sz w:val="20"/>
          <w:szCs w:val="20"/>
        </w:rPr>
        <w:t xml:space="preserve">ia), nie zamazywania się </w:t>
      </w:r>
    </w:p>
    <w:p w14:paraId="16BE4E28" w14:textId="77777777" w:rsidR="00A64F40" w:rsidRPr="00A64F40" w:rsidRDefault="00A64F40" w:rsidP="00A64F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64F40">
        <w:rPr>
          <w:rFonts w:ascii="Verdana" w:hAnsi="Verdana" w:cs="Arial"/>
          <w:sz w:val="20"/>
          <w:szCs w:val="20"/>
        </w:rPr>
        <w:t>druku winna odpowiadać materiałowi producenta urządzenia, w tym również w zakresie bezawaryjnej pracy urządzenia, w którym będzie zainstalowany.</w:t>
      </w:r>
    </w:p>
    <w:p w14:paraId="1DC90264" w14:textId="77777777" w:rsidR="00A64F40" w:rsidRDefault="00A64F40" w:rsidP="00A64F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Tusze i tonery muszą być opakowane w typowe opakowania dla danego produktu, </w:t>
      </w:r>
    </w:p>
    <w:p w14:paraId="436D7019" w14:textId="77777777" w:rsidR="00A64F40" w:rsidRPr="00A64F40" w:rsidRDefault="00A64F40" w:rsidP="00A64F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64F40">
        <w:rPr>
          <w:rFonts w:ascii="Verdana" w:hAnsi="Verdana" w:cs="Arial"/>
          <w:sz w:val="20"/>
          <w:szCs w:val="20"/>
        </w:rPr>
        <w:t>zaopatrzone w etykiety identyfikujące dany produkt: nazwę producenta, symbol produktu, pojemność, model sprzętu, do którego materiał jest przeznaczony oraz termin jego ważności.</w:t>
      </w:r>
    </w:p>
    <w:p w14:paraId="58724AA5" w14:textId="77777777" w:rsidR="00A64F40" w:rsidRDefault="00A64F40" w:rsidP="00A64F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nie dopuszcza oferowania produktów regenerowanych, poddawanych </w:t>
      </w:r>
    </w:p>
    <w:p w14:paraId="33A6746F" w14:textId="77777777" w:rsidR="00A64F40" w:rsidRPr="00A64F40" w:rsidRDefault="00A64F40" w:rsidP="00A64F40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64F40">
        <w:rPr>
          <w:rFonts w:ascii="Verdana" w:hAnsi="Verdana" w:cs="Arial"/>
          <w:sz w:val="20"/>
          <w:szCs w:val="20"/>
        </w:rPr>
        <w:t>procesom ponownego napełniania bądź wymiany jakichkolwiek elementów.</w:t>
      </w:r>
    </w:p>
    <w:p w14:paraId="13CD8DA9" w14:textId="77777777" w:rsidR="00003F07" w:rsidRDefault="00003F07" w:rsidP="00A64F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dopuszcza złożenie oferty na materiały eksploatacyjne równoważne </w:t>
      </w:r>
    </w:p>
    <w:p w14:paraId="4FC03CDF" w14:textId="77777777" w:rsidR="00A64F40" w:rsidRPr="00003F07" w:rsidRDefault="00003F07" w:rsidP="00003F0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3F07">
        <w:rPr>
          <w:rFonts w:ascii="Verdana" w:hAnsi="Verdana" w:cs="Arial"/>
          <w:sz w:val="20"/>
          <w:szCs w:val="20"/>
        </w:rPr>
        <w:t>pod warunkiem, że produkty te posiadają identyczne lub lepsze parametry w odniesieniu do produktów oryginalnych – wykonanych przez producenta urządzeń i nie powodują negatywnych objawów i wyświetlania ostrzegawczych komunikatów.</w:t>
      </w:r>
    </w:p>
    <w:p w14:paraId="1CEC24DC" w14:textId="77777777" w:rsidR="003A2AF3" w:rsidRDefault="00003F07" w:rsidP="00A64F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</w:t>
      </w:r>
      <w:r w:rsidR="003A2AF3">
        <w:rPr>
          <w:rFonts w:ascii="Verdana" w:hAnsi="Verdana" w:cs="Arial"/>
          <w:sz w:val="20"/>
          <w:szCs w:val="20"/>
        </w:rPr>
        <w:t xml:space="preserve">ykonawca gwarantuje, że dostarczone materiały eksploatacyjne będą wysokiej </w:t>
      </w:r>
    </w:p>
    <w:p w14:paraId="2A4ECA57" w14:textId="77777777" w:rsidR="00003F07" w:rsidRPr="003A2AF3" w:rsidRDefault="003A2AF3" w:rsidP="003A2AF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A2AF3">
        <w:rPr>
          <w:rFonts w:ascii="Verdana" w:hAnsi="Verdana" w:cs="Arial"/>
          <w:sz w:val="20"/>
          <w:szCs w:val="20"/>
        </w:rPr>
        <w:t>jakości oraz zapewnią kompatybilność pracy z urządzeniami Zamawiającego, zapewnią należyte bezpieczeńst</w:t>
      </w:r>
      <w:r w:rsidR="00950287">
        <w:rPr>
          <w:rFonts w:ascii="Verdana" w:hAnsi="Verdana" w:cs="Arial"/>
          <w:sz w:val="20"/>
          <w:szCs w:val="20"/>
        </w:rPr>
        <w:t>wo, bezawaryjność, nie spowodują</w:t>
      </w:r>
      <w:r w:rsidRPr="003A2AF3">
        <w:rPr>
          <w:rFonts w:ascii="Verdana" w:hAnsi="Verdana" w:cs="Arial"/>
          <w:sz w:val="20"/>
          <w:szCs w:val="20"/>
        </w:rPr>
        <w:t xml:space="preserve"> utraty praw </w:t>
      </w:r>
      <w:r>
        <w:rPr>
          <w:rFonts w:ascii="Verdana" w:hAnsi="Verdana" w:cs="Arial"/>
          <w:sz w:val="20"/>
          <w:szCs w:val="20"/>
        </w:rPr>
        <w:t>gwarancyjnych</w:t>
      </w:r>
      <w:r w:rsidRPr="003A2AF3">
        <w:rPr>
          <w:rFonts w:ascii="Verdana" w:hAnsi="Verdana" w:cs="Arial"/>
          <w:sz w:val="20"/>
          <w:szCs w:val="20"/>
        </w:rPr>
        <w:t xml:space="preserve"> producenta urządzenia, do które</w:t>
      </w:r>
      <w:r>
        <w:rPr>
          <w:rFonts w:ascii="Verdana" w:hAnsi="Verdana" w:cs="Arial"/>
          <w:sz w:val="20"/>
          <w:szCs w:val="20"/>
        </w:rPr>
        <w:t>g</w:t>
      </w:r>
      <w:r w:rsidRPr="003A2AF3">
        <w:rPr>
          <w:rFonts w:ascii="Verdana" w:hAnsi="Verdana" w:cs="Arial"/>
          <w:sz w:val="20"/>
          <w:szCs w:val="20"/>
        </w:rPr>
        <w:t>o są przeznaczone i nie naruszą praw patentowych producentów materiałów eksploatacyjnych w trakcie trwania umowy.</w:t>
      </w:r>
    </w:p>
    <w:p w14:paraId="2BB52AD9" w14:textId="77777777" w:rsidR="003A2AF3" w:rsidRDefault="003A2AF3" w:rsidP="00A64F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który powołuje się na rozwiązania równoważne do opisywanych przez</w:t>
      </w:r>
    </w:p>
    <w:p w14:paraId="603985FF" w14:textId="77777777" w:rsidR="003A2AF3" w:rsidRPr="003A2AF3" w:rsidRDefault="003A2AF3" w:rsidP="003A2AF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A2AF3">
        <w:rPr>
          <w:rFonts w:ascii="Verdana" w:hAnsi="Verdana" w:cs="Arial"/>
          <w:sz w:val="20"/>
          <w:szCs w:val="20"/>
        </w:rPr>
        <w:t xml:space="preserve">Zamawiającego jest obowiązany wykazać, że oferowany przez niego przedmiot dostawy spełnia wymagania określone przez Zamawiającego. </w:t>
      </w:r>
    </w:p>
    <w:p w14:paraId="19D66633" w14:textId="77777777" w:rsidR="00CE5A7B" w:rsidRDefault="00E836DE" w:rsidP="00C90E4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Dla potwierdzenia zgodności oferowanych produktów z wymaganiami Zam</w:t>
      </w:r>
      <w:r w:rsidR="00C90E43">
        <w:rPr>
          <w:rFonts w:ascii="Verdana" w:hAnsi="Verdana" w:cs="Arial"/>
          <w:sz w:val="20"/>
          <w:szCs w:val="20"/>
        </w:rPr>
        <w:t xml:space="preserve">awiającego Wykonawca przedstawi </w:t>
      </w:r>
      <w:r w:rsidR="00E82897">
        <w:rPr>
          <w:rFonts w:ascii="Verdana" w:hAnsi="Verdana" w:cs="Arial"/>
          <w:sz w:val="20"/>
          <w:szCs w:val="20"/>
        </w:rPr>
        <w:t xml:space="preserve">wraz z ofertą </w:t>
      </w:r>
      <w:r w:rsidR="00CE5A7B" w:rsidRPr="00C90E43">
        <w:rPr>
          <w:rFonts w:ascii="Verdana" w:hAnsi="Verdana" w:cs="Arial"/>
          <w:sz w:val="20"/>
          <w:szCs w:val="20"/>
        </w:rPr>
        <w:t xml:space="preserve">zaświadczenie niezależnego podmiotu uprawnionego do kontroli jakości w postaci </w:t>
      </w:r>
      <w:r w:rsidR="00CE5A7B" w:rsidRPr="00CE5A7B">
        <w:rPr>
          <w:rFonts w:ascii="Verdana" w:hAnsi="Verdana" w:cs="Arial"/>
          <w:sz w:val="20"/>
          <w:szCs w:val="20"/>
        </w:rPr>
        <w:t>raportu z wykonanych badań (testów) potwierdzających, że wydajność oferowanych materiałów równoważnych jest taka sama lub wyższa od materiału oryginalnego, przeprowadzonych zgodnie z odpowiednimi normami:</w:t>
      </w:r>
    </w:p>
    <w:p w14:paraId="511B6ED8" w14:textId="77777777" w:rsidR="00CE5A7B" w:rsidRDefault="00CE5A7B" w:rsidP="00CE5A7B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CE5A7B">
        <w:rPr>
          <w:rFonts w:ascii="Verdana" w:hAnsi="Verdana" w:cs="Arial"/>
          <w:sz w:val="20"/>
          <w:szCs w:val="20"/>
        </w:rPr>
        <w:t>ISO/IEC 19752 – norma pomiarów wydajności dla kaset z tonerem do monochromatycznych drukarek las</w:t>
      </w:r>
      <w:r>
        <w:rPr>
          <w:rFonts w:ascii="Verdana" w:hAnsi="Verdana" w:cs="Arial"/>
          <w:sz w:val="20"/>
          <w:szCs w:val="20"/>
        </w:rPr>
        <w:t>e</w:t>
      </w:r>
      <w:r w:rsidRPr="00CE5A7B">
        <w:rPr>
          <w:rFonts w:ascii="Verdana" w:hAnsi="Verdana" w:cs="Arial"/>
          <w:sz w:val="20"/>
          <w:szCs w:val="20"/>
        </w:rPr>
        <w:t>rowych oraz do komponentów drukujących w dowolnym urządzeniu wielofunkcyjnym, które posiada cyfrową ścież</w:t>
      </w:r>
      <w:r>
        <w:rPr>
          <w:rFonts w:ascii="Verdana" w:hAnsi="Verdana" w:cs="Arial"/>
          <w:sz w:val="20"/>
          <w:szCs w:val="20"/>
        </w:rPr>
        <w:t>kę wydruku (np. wielofunkcyjne urządzenie posiadające komponenty drukarkowe);</w:t>
      </w:r>
    </w:p>
    <w:p w14:paraId="247836C7" w14:textId="77777777" w:rsidR="00CE5A7B" w:rsidRDefault="00CE5A7B" w:rsidP="00C90E4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E5A7B">
        <w:rPr>
          <w:rFonts w:ascii="Verdana" w:hAnsi="Verdana" w:cs="Arial"/>
          <w:sz w:val="20"/>
          <w:szCs w:val="20"/>
        </w:rPr>
        <w:t>ISO/IEC 197</w:t>
      </w:r>
      <w:r w:rsidR="004036A9">
        <w:rPr>
          <w:rFonts w:ascii="Verdana" w:hAnsi="Verdana" w:cs="Arial"/>
          <w:sz w:val="20"/>
          <w:szCs w:val="20"/>
        </w:rPr>
        <w:t>98</w:t>
      </w:r>
      <w:r w:rsidRPr="00CE5A7B">
        <w:rPr>
          <w:rFonts w:ascii="Verdana" w:hAnsi="Verdana" w:cs="Arial"/>
          <w:sz w:val="20"/>
          <w:szCs w:val="20"/>
        </w:rPr>
        <w:t xml:space="preserve"> – norma pomiarów wydajności dla kaset z tonerem do </w:t>
      </w:r>
      <w:r w:rsidR="004036A9">
        <w:rPr>
          <w:rFonts w:ascii="Verdana" w:hAnsi="Verdana" w:cs="Arial"/>
          <w:sz w:val="20"/>
          <w:szCs w:val="20"/>
        </w:rPr>
        <w:t>kolorowych drukarek laserowych</w:t>
      </w:r>
      <w:r w:rsidRPr="00CE5A7B">
        <w:rPr>
          <w:rFonts w:ascii="Verdana" w:hAnsi="Verdana" w:cs="Arial"/>
          <w:sz w:val="20"/>
          <w:szCs w:val="20"/>
        </w:rPr>
        <w:t xml:space="preserve"> oraz komponentów drukujących w dowolnym urządzeniu wielofunkcyjnym, które posiada cyfrową ścież</w:t>
      </w:r>
      <w:r>
        <w:rPr>
          <w:rFonts w:ascii="Verdana" w:hAnsi="Verdana" w:cs="Arial"/>
          <w:sz w:val="20"/>
          <w:szCs w:val="20"/>
        </w:rPr>
        <w:t>kę wydruku (np. wielofunkcyjne urządzenie posiadające komponenty drukarkowe);</w:t>
      </w:r>
    </w:p>
    <w:p w14:paraId="32DA2FC2" w14:textId="77777777" w:rsidR="004036A9" w:rsidRDefault="004036A9" w:rsidP="00C90E4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E5A7B">
        <w:rPr>
          <w:rFonts w:ascii="Verdana" w:hAnsi="Verdana" w:cs="Arial"/>
          <w:sz w:val="20"/>
          <w:szCs w:val="20"/>
        </w:rPr>
        <w:t xml:space="preserve">ISO/IEC </w:t>
      </w:r>
      <w:r>
        <w:rPr>
          <w:rFonts w:ascii="Verdana" w:hAnsi="Verdana" w:cs="Arial"/>
          <w:sz w:val="20"/>
          <w:szCs w:val="20"/>
        </w:rPr>
        <w:t>24711</w:t>
      </w:r>
      <w:r w:rsidRPr="00CE5A7B">
        <w:rPr>
          <w:rFonts w:ascii="Verdana" w:hAnsi="Verdana" w:cs="Arial"/>
          <w:sz w:val="20"/>
          <w:szCs w:val="20"/>
        </w:rPr>
        <w:t xml:space="preserve"> – norma pomiarów wydajności dla </w:t>
      </w:r>
      <w:r>
        <w:rPr>
          <w:rFonts w:ascii="Verdana" w:hAnsi="Verdana" w:cs="Arial"/>
          <w:sz w:val="20"/>
          <w:szCs w:val="20"/>
        </w:rPr>
        <w:t xml:space="preserve">kolorowych kartridży atramentowych </w:t>
      </w:r>
      <w:r w:rsidRPr="00CE5A7B">
        <w:rPr>
          <w:rFonts w:ascii="Verdana" w:hAnsi="Verdana" w:cs="Arial"/>
          <w:sz w:val="20"/>
          <w:szCs w:val="20"/>
        </w:rPr>
        <w:t xml:space="preserve"> oraz do komponentów drukujących w dowolnym urządzeniu wielofunkcyjnym, które </w:t>
      </w:r>
      <w:r w:rsidRPr="00CE5A7B">
        <w:rPr>
          <w:rFonts w:ascii="Verdana" w:hAnsi="Verdana" w:cs="Arial"/>
          <w:sz w:val="20"/>
          <w:szCs w:val="20"/>
        </w:rPr>
        <w:lastRenderedPageBreak/>
        <w:t>posiada cyfrową ścież</w:t>
      </w:r>
      <w:r>
        <w:rPr>
          <w:rFonts w:ascii="Verdana" w:hAnsi="Verdana" w:cs="Arial"/>
          <w:sz w:val="20"/>
          <w:szCs w:val="20"/>
        </w:rPr>
        <w:t>kę wydruku (np. wielofunkcyjne urządzenie posiadające komponenty drukarkowe);</w:t>
      </w:r>
    </w:p>
    <w:p w14:paraId="7766F98B" w14:textId="77777777" w:rsidR="004036A9" w:rsidRDefault="004036A9" w:rsidP="00C90E4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E5A7B">
        <w:rPr>
          <w:rFonts w:ascii="Verdana" w:hAnsi="Verdana" w:cs="Arial"/>
          <w:sz w:val="20"/>
          <w:szCs w:val="20"/>
        </w:rPr>
        <w:t xml:space="preserve">ISO/IEC </w:t>
      </w:r>
      <w:r>
        <w:rPr>
          <w:rFonts w:ascii="Verdana" w:hAnsi="Verdana" w:cs="Arial"/>
          <w:sz w:val="20"/>
          <w:szCs w:val="20"/>
        </w:rPr>
        <w:t>24712</w:t>
      </w:r>
      <w:r w:rsidRPr="00CE5A7B">
        <w:rPr>
          <w:rFonts w:ascii="Verdana" w:hAnsi="Verdana" w:cs="Arial"/>
          <w:sz w:val="20"/>
          <w:szCs w:val="20"/>
        </w:rPr>
        <w:t xml:space="preserve"> – norma pomiarów wydajności dla </w:t>
      </w:r>
      <w:r>
        <w:rPr>
          <w:rFonts w:ascii="Verdana" w:hAnsi="Verdana" w:cs="Arial"/>
          <w:sz w:val="20"/>
          <w:szCs w:val="20"/>
        </w:rPr>
        <w:t xml:space="preserve">kolorowych kartridży lub tonerów dla kolorowych drukarek atramentowych oraz </w:t>
      </w:r>
      <w:r w:rsidRPr="00CE5A7B">
        <w:rPr>
          <w:rFonts w:ascii="Verdana" w:hAnsi="Verdana" w:cs="Arial"/>
          <w:sz w:val="20"/>
          <w:szCs w:val="20"/>
        </w:rPr>
        <w:t>komponentów drukujących w dowolnym urządzeniu wielofunkcyjnym, które posiada cyfrową ścież</w:t>
      </w:r>
      <w:r>
        <w:rPr>
          <w:rFonts w:ascii="Verdana" w:hAnsi="Verdana" w:cs="Arial"/>
          <w:sz w:val="20"/>
          <w:szCs w:val="20"/>
        </w:rPr>
        <w:t>kę wydruku (np. wielofunkcyjne urządzenie posiadające komponenty drukarkowe);</w:t>
      </w:r>
    </w:p>
    <w:p w14:paraId="4480420E" w14:textId="77777777" w:rsidR="004036A9" w:rsidRDefault="00C90E43" w:rsidP="00C90E4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Wszystkie powyższe badania (testy) muszą być wykonane przez niezależny od producenta, importera i wykonawcy podmiot zajmujący się poświadczeniem zgodności, posiadający certyfikat potwierdzający spełnienie przez ten podmiot normy PN-EN ISO/IEC 17025:2005. Zamawiający nie dopuszcza wykonania badań przez podmiot inny niż ten, na który został wystawiony certyfikat. Wykonawca proponujący równoważne materiały eksploatacyjne załącza do oferty certyfikat spełnienia przez powyższy podmiot normy PN-EN ISO/IEC 17025:2005.</w:t>
      </w:r>
    </w:p>
    <w:p w14:paraId="0772F6F8" w14:textId="77777777" w:rsidR="009D10EC" w:rsidRDefault="00C90E43" w:rsidP="00C90E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Materiały eksploatacyjne równoważne nie mogą ograniczać pełnej współpracy </w:t>
      </w:r>
    </w:p>
    <w:p w14:paraId="60794070" w14:textId="77777777" w:rsidR="00C90E43" w:rsidRPr="009D10EC" w:rsidRDefault="00C90E43" w:rsidP="009D10E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D10EC">
        <w:rPr>
          <w:rFonts w:ascii="Verdana" w:hAnsi="Verdana" w:cs="Arial"/>
          <w:sz w:val="20"/>
          <w:szCs w:val="20"/>
        </w:rPr>
        <w:t>urządzenia z oprogramowaniem monitorującym stan zasobników z tuszem lub tonerem</w:t>
      </w:r>
      <w:r w:rsidR="009D10EC" w:rsidRPr="009D10EC">
        <w:rPr>
          <w:rFonts w:ascii="Verdana" w:hAnsi="Verdana" w:cs="Arial"/>
          <w:sz w:val="20"/>
          <w:szCs w:val="20"/>
        </w:rPr>
        <w:t xml:space="preserve"> np. po instalacji wyrobu w urządzeniu, na monitorze lub panelu kontrolnym nie mogą pojawić się żadne negatywne komunikaty lub błędy, a oprogramowanie powinno we właściwy sposób sygnalizować stan zużytego tuszu/tonera.</w:t>
      </w:r>
    </w:p>
    <w:p w14:paraId="26A9F94E" w14:textId="77777777" w:rsidR="00F206FB" w:rsidRDefault="009D10EC" w:rsidP="00C90E4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zobowiązuje się do pokrycia kosztów naprawy drukarki, kserokopiarki</w:t>
      </w:r>
    </w:p>
    <w:p w14:paraId="61CDFF66" w14:textId="77777777" w:rsidR="009D10EC" w:rsidRPr="00F206FB" w:rsidRDefault="009D10EC" w:rsidP="00F206F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F206FB">
        <w:rPr>
          <w:rFonts w:ascii="Verdana" w:hAnsi="Verdana" w:cs="Arial"/>
          <w:sz w:val="20"/>
          <w:szCs w:val="20"/>
        </w:rPr>
        <w:t xml:space="preserve">lub innego urządzenia gdy jego uszkodzenie powstało w wyniku stosowania tonera, tuszu itp. </w:t>
      </w:r>
      <w:r w:rsidR="00950287">
        <w:rPr>
          <w:rFonts w:ascii="Verdana" w:hAnsi="Verdana" w:cs="Arial"/>
          <w:sz w:val="20"/>
          <w:szCs w:val="20"/>
        </w:rPr>
        <w:t>d</w:t>
      </w:r>
      <w:r w:rsidRPr="00F206FB">
        <w:rPr>
          <w:rFonts w:ascii="Verdana" w:hAnsi="Verdana" w:cs="Arial"/>
          <w:sz w:val="20"/>
          <w:szCs w:val="20"/>
        </w:rPr>
        <w:t xml:space="preserve">ostarczonego przez Wykonawcę. Za podstawę żądania przez Zamawiającego naprawy takiego urządzenia (włączając w to wymianę bębna lub głowicy) uważa się pisemną opinię serwisu obsługującego dane urządzenie. Naprawa urządzenia wykonana będzie </w:t>
      </w:r>
      <w:r w:rsidR="00364398">
        <w:rPr>
          <w:rFonts w:ascii="Verdana" w:hAnsi="Verdana" w:cs="Arial"/>
          <w:sz w:val="20"/>
          <w:szCs w:val="20"/>
        </w:rPr>
        <w:t>przez</w:t>
      </w:r>
      <w:r w:rsidRPr="00F206FB">
        <w:rPr>
          <w:rFonts w:ascii="Verdana" w:hAnsi="Verdana" w:cs="Arial"/>
          <w:sz w:val="20"/>
          <w:szCs w:val="20"/>
        </w:rPr>
        <w:t xml:space="preserve"> autoryzowany serwis</w:t>
      </w:r>
      <w:r w:rsidR="00364398">
        <w:rPr>
          <w:rFonts w:ascii="Verdana" w:hAnsi="Verdana" w:cs="Arial"/>
          <w:sz w:val="20"/>
          <w:szCs w:val="20"/>
        </w:rPr>
        <w:t xml:space="preserve"> producenta urządzenia w ciągu 1</w:t>
      </w:r>
      <w:r w:rsidRPr="00F206FB">
        <w:rPr>
          <w:rFonts w:ascii="Verdana" w:hAnsi="Verdana" w:cs="Arial"/>
          <w:sz w:val="20"/>
          <w:szCs w:val="20"/>
        </w:rPr>
        <w:t xml:space="preserve"> dni</w:t>
      </w:r>
      <w:r w:rsidR="00364398">
        <w:rPr>
          <w:rFonts w:ascii="Verdana" w:hAnsi="Verdana" w:cs="Arial"/>
          <w:sz w:val="20"/>
          <w:szCs w:val="20"/>
        </w:rPr>
        <w:t>a</w:t>
      </w:r>
      <w:r w:rsidRPr="00F206FB">
        <w:rPr>
          <w:rFonts w:ascii="Verdana" w:hAnsi="Verdana" w:cs="Arial"/>
          <w:sz w:val="20"/>
          <w:szCs w:val="20"/>
        </w:rPr>
        <w:t xml:space="preserve"> robocz</w:t>
      </w:r>
      <w:r w:rsidR="00364398">
        <w:rPr>
          <w:rFonts w:ascii="Verdana" w:hAnsi="Verdana" w:cs="Arial"/>
          <w:sz w:val="20"/>
          <w:szCs w:val="20"/>
        </w:rPr>
        <w:t>ego</w:t>
      </w:r>
      <w:r w:rsidRPr="00F206FB">
        <w:rPr>
          <w:rFonts w:ascii="Verdana" w:hAnsi="Verdana" w:cs="Arial"/>
          <w:sz w:val="20"/>
          <w:szCs w:val="20"/>
        </w:rPr>
        <w:t xml:space="preserve"> od daty zgłoszenia (</w:t>
      </w:r>
      <w:r w:rsidR="00903319">
        <w:rPr>
          <w:rFonts w:ascii="Verdana" w:hAnsi="Verdana" w:cs="Arial"/>
          <w:sz w:val="20"/>
          <w:szCs w:val="20"/>
        </w:rPr>
        <w:t>e-</w:t>
      </w:r>
      <w:r w:rsidRPr="00F206FB">
        <w:rPr>
          <w:rFonts w:ascii="Verdana" w:hAnsi="Verdana" w:cs="Arial"/>
          <w:sz w:val="20"/>
          <w:szCs w:val="20"/>
        </w:rPr>
        <w:t>mailem lub faksem) Wykonawcy przez Zamawiającego konieczności wykonania naprawy. Koszty związane z naprawą ponosi Wykonawca. Jeżeli cza</w:t>
      </w:r>
      <w:r w:rsidR="00F206FB" w:rsidRPr="00F206FB">
        <w:rPr>
          <w:rFonts w:ascii="Verdana" w:hAnsi="Verdana" w:cs="Arial"/>
          <w:sz w:val="20"/>
          <w:szCs w:val="20"/>
        </w:rPr>
        <w:t>s</w:t>
      </w:r>
      <w:r w:rsidRPr="00F206FB">
        <w:rPr>
          <w:rFonts w:ascii="Verdana" w:hAnsi="Verdana" w:cs="Arial"/>
          <w:sz w:val="20"/>
          <w:szCs w:val="20"/>
        </w:rPr>
        <w:t xml:space="preserve"> naprawy będzie d</w:t>
      </w:r>
      <w:r w:rsidR="00F206FB" w:rsidRPr="00F206FB">
        <w:rPr>
          <w:rFonts w:ascii="Verdana" w:hAnsi="Verdana" w:cs="Arial"/>
          <w:sz w:val="20"/>
          <w:szCs w:val="20"/>
        </w:rPr>
        <w:t xml:space="preserve">łuższy niż </w:t>
      </w:r>
      <w:r w:rsidR="00364398">
        <w:rPr>
          <w:rFonts w:ascii="Verdana" w:hAnsi="Verdana" w:cs="Arial"/>
          <w:sz w:val="20"/>
          <w:szCs w:val="20"/>
        </w:rPr>
        <w:t>2</w:t>
      </w:r>
      <w:r w:rsidR="00F206FB" w:rsidRPr="00F206FB">
        <w:rPr>
          <w:rFonts w:ascii="Verdana" w:hAnsi="Verdana" w:cs="Arial"/>
          <w:sz w:val="20"/>
          <w:szCs w:val="20"/>
        </w:rPr>
        <w:t xml:space="preserve"> dni robocze Wykona</w:t>
      </w:r>
      <w:r w:rsidRPr="00F206FB">
        <w:rPr>
          <w:rFonts w:ascii="Verdana" w:hAnsi="Verdana" w:cs="Arial"/>
          <w:sz w:val="20"/>
          <w:szCs w:val="20"/>
        </w:rPr>
        <w:t>wca dostarczy na swój koszt sprzęt zastępczy o parametrach nie gorszych od przekazanych na naprawy. Zamawiający w przypadku nie dostarczenia przez Wykonawcę sprzętu zastępczego w terminie ma prawo wypożyczyć sprzęt zastępczy wg swojego uznania i kosztami obciążyć Wykonawcę. W</w:t>
      </w:r>
      <w:r w:rsidR="00F206FB" w:rsidRPr="00F206FB">
        <w:rPr>
          <w:rFonts w:ascii="Verdana" w:hAnsi="Verdana" w:cs="Arial"/>
          <w:sz w:val="20"/>
          <w:szCs w:val="20"/>
        </w:rPr>
        <w:t xml:space="preserve">szystkie </w:t>
      </w:r>
      <w:r w:rsidRPr="00F206FB">
        <w:rPr>
          <w:rFonts w:ascii="Verdana" w:hAnsi="Verdana" w:cs="Arial"/>
          <w:sz w:val="20"/>
          <w:szCs w:val="20"/>
        </w:rPr>
        <w:t>koszty związane z eksper</w:t>
      </w:r>
      <w:r w:rsidR="00F206FB" w:rsidRPr="00F206FB">
        <w:rPr>
          <w:rFonts w:ascii="Verdana" w:hAnsi="Verdana" w:cs="Arial"/>
          <w:sz w:val="20"/>
          <w:szCs w:val="20"/>
        </w:rPr>
        <w:t>t</w:t>
      </w:r>
      <w:r w:rsidRPr="00F206FB">
        <w:rPr>
          <w:rFonts w:ascii="Verdana" w:hAnsi="Verdana" w:cs="Arial"/>
          <w:sz w:val="20"/>
          <w:szCs w:val="20"/>
        </w:rPr>
        <w:t>yzą oraz naprawą, w tym dostawą i odbiorem sprzętu ponosi Wykonawca na podstawie refaktury. Jeżeli naprawa okaże się nieopłacalna lub niemożliwa do usunięcia Wykonawca zobowiązany będzie do wymiany sprzętu na nowy.</w:t>
      </w:r>
    </w:p>
    <w:p w14:paraId="36CBD2A2" w14:textId="77777777" w:rsidR="00C90E43" w:rsidRDefault="00E82897" w:rsidP="00C90E4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Jeżeli zaoferowane materiały eksploatacyjne nie będą spełniały w/w warunków i nie będą potwierdzone stosownymi dokumentami, oferta zostanie odrzucona.</w:t>
      </w:r>
    </w:p>
    <w:p w14:paraId="445C5DE1" w14:textId="77777777" w:rsidR="00E82897" w:rsidRDefault="00E82897" w:rsidP="00C90E4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68A5017" w14:textId="77777777" w:rsidR="00F206FB" w:rsidRPr="00F206FB" w:rsidRDefault="00F206FB" w:rsidP="00F2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206FB">
        <w:rPr>
          <w:rFonts w:ascii="Verdana" w:hAnsi="Verdana" w:cs="Arial"/>
          <w:b/>
          <w:sz w:val="20"/>
          <w:szCs w:val="20"/>
        </w:rPr>
        <w:t>OGÓLNE WARUNKI DOTYCZĄCE WYKONYWANIA USŁUG</w:t>
      </w:r>
    </w:p>
    <w:p w14:paraId="232F438C" w14:textId="77777777" w:rsidR="00F206FB" w:rsidRDefault="00F206FB" w:rsidP="00F206F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jest odpowiedzialny za jakość i terminowość realizowanych dostaw. Do wykonania dostaw objętych przedmiotem niniejszego zamówienia Wykonawca musi zapewnić personel posiadający odpowiednie kwalifikacje oraz doświadczenie zawodowe. Dostawa oznacza dostarczenie przedmiotu umowy do siedzib</w:t>
      </w:r>
      <w:r w:rsidR="00E82897">
        <w:rPr>
          <w:rFonts w:ascii="Verdana" w:hAnsi="Verdana" w:cs="Arial"/>
          <w:sz w:val="20"/>
          <w:szCs w:val="20"/>
        </w:rPr>
        <w:t>y Zamawiającego</w:t>
      </w:r>
      <w:r>
        <w:rPr>
          <w:rFonts w:ascii="Verdana" w:hAnsi="Verdana" w:cs="Arial"/>
          <w:sz w:val="20"/>
          <w:szCs w:val="20"/>
        </w:rPr>
        <w:t xml:space="preserve"> oraz wniesienie do miejsca wskazanego przez pracownika Zamawiającego.</w:t>
      </w:r>
    </w:p>
    <w:p w14:paraId="673F0662" w14:textId="77777777" w:rsidR="00F206FB" w:rsidRPr="00F206FB" w:rsidRDefault="00F206FB" w:rsidP="00F206F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Transport materiałów do magazynu w/w siedzib Zamawiającego będzie odbywał się przy użyciu sprzętu i sił Wykonawcy, na jego koszt i ryzyko. Zużyte materiały eksploatacyjne Wykonawca odbierze do utylizacji na własny koszt i przekaże Zamawiającemu kartę przekazania odpadu.</w:t>
      </w:r>
    </w:p>
    <w:p w14:paraId="77E4C41A" w14:textId="77777777" w:rsidR="00C90E43" w:rsidRDefault="00C90E43" w:rsidP="00C90E4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E4405DE" w14:textId="77777777" w:rsidR="00F206FB" w:rsidRDefault="00F206FB" w:rsidP="00F2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F206FB">
        <w:rPr>
          <w:rFonts w:ascii="Verdana" w:hAnsi="Verdana" w:cs="Arial"/>
          <w:b/>
          <w:sz w:val="20"/>
          <w:szCs w:val="20"/>
        </w:rPr>
        <w:t>REALIZACJA ZAMÓWIENIA</w:t>
      </w:r>
    </w:p>
    <w:p w14:paraId="32A1E932" w14:textId="77777777" w:rsidR="003908D1" w:rsidRDefault="003908D1" w:rsidP="003908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Przedmiot umowy będzie realizowany sukcesywnie na podstawie zamówień </w:t>
      </w:r>
    </w:p>
    <w:p w14:paraId="087BEAF3" w14:textId="77777777" w:rsidR="00F206FB" w:rsidRDefault="003908D1" w:rsidP="003908D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08D1">
        <w:rPr>
          <w:rFonts w:ascii="Verdana" w:hAnsi="Verdana" w:cs="Arial"/>
          <w:sz w:val="20"/>
          <w:szCs w:val="20"/>
        </w:rPr>
        <w:t>częściowych/jednostkowych, składanych e-mailem przez osoby wyznaczone przez Zamawiającego. W zamówieniu każdorazowo Zamawiający wskaże ilości i asortyment zamawianych materiałów, miejsce dostawy oraz osobę uprawnioną do odbioru zamówienia.</w:t>
      </w:r>
    </w:p>
    <w:p w14:paraId="14F12035" w14:textId="77777777" w:rsidR="003908D1" w:rsidRDefault="003908D1" w:rsidP="003908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Dostawę uważa się za zrealizowaną w terminie, jeżeli wszystkie pozycje z </w:t>
      </w:r>
    </w:p>
    <w:p w14:paraId="016D4003" w14:textId="77777777" w:rsidR="003908D1" w:rsidRPr="003908D1" w:rsidRDefault="003908D1" w:rsidP="003908D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08D1">
        <w:rPr>
          <w:rFonts w:ascii="Verdana" w:hAnsi="Verdana" w:cs="Arial"/>
          <w:sz w:val="20"/>
          <w:szCs w:val="20"/>
        </w:rPr>
        <w:t>zamówienia Zamawiającego znajdą się na miejscu dostawy w terminie wskazanym przez Wykonawcę.</w:t>
      </w:r>
    </w:p>
    <w:p w14:paraId="573D73C0" w14:textId="77777777" w:rsidR="003908D1" w:rsidRDefault="003908D1" w:rsidP="003908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Wykonawca udzieli gwarancji jakości na dostarczone materiały na co najmniej 24 </w:t>
      </w:r>
    </w:p>
    <w:p w14:paraId="6B8E8396" w14:textId="77777777" w:rsidR="003908D1" w:rsidRPr="003908D1" w:rsidRDefault="003908D1" w:rsidP="003908D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908D1">
        <w:rPr>
          <w:rFonts w:ascii="Verdana" w:hAnsi="Verdana" w:cs="Arial"/>
          <w:sz w:val="20"/>
          <w:szCs w:val="20"/>
        </w:rPr>
        <w:lastRenderedPageBreak/>
        <w:t>m-ce. Gwarancja Wykonawcy nie może ograniczać gwarancji producenta. Wszystkie koszty związane z wykonaniem obowiązków gwarancyjnych ponosi Wykonawca.</w:t>
      </w:r>
    </w:p>
    <w:p w14:paraId="555AF9F1" w14:textId="77777777" w:rsidR="000712FE" w:rsidRDefault="003908D1" w:rsidP="003908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Zamawiający zastrzega, że ilości materiałów eksploatacyjnych w Formularzu </w:t>
      </w:r>
    </w:p>
    <w:p w14:paraId="1E33747C" w14:textId="77777777" w:rsidR="000712FE" w:rsidRDefault="003908D1" w:rsidP="000712F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12FE">
        <w:rPr>
          <w:rFonts w:ascii="Verdana" w:hAnsi="Verdana" w:cs="Arial"/>
          <w:sz w:val="20"/>
          <w:szCs w:val="20"/>
        </w:rPr>
        <w:t xml:space="preserve">asortymentowo-cenowym są ilościami szacunkowymi, służącymi do </w:t>
      </w:r>
      <w:r w:rsidR="000712FE" w:rsidRPr="000712FE">
        <w:rPr>
          <w:rFonts w:ascii="Verdana" w:hAnsi="Verdana" w:cs="Arial"/>
          <w:sz w:val="20"/>
          <w:szCs w:val="20"/>
        </w:rPr>
        <w:t>skalkulowania ceny ofert, porówn</w:t>
      </w:r>
      <w:r w:rsidRPr="000712FE">
        <w:rPr>
          <w:rFonts w:ascii="Verdana" w:hAnsi="Verdana" w:cs="Arial"/>
          <w:sz w:val="20"/>
          <w:szCs w:val="20"/>
        </w:rPr>
        <w:t>ania ofert i wyboru najkorzystniejszej oferty.</w:t>
      </w:r>
      <w:r w:rsidR="000712FE" w:rsidRPr="000712FE">
        <w:rPr>
          <w:rFonts w:ascii="Verdana" w:hAnsi="Verdana" w:cs="Arial"/>
          <w:sz w:val="20"/>
          <w:szCs w:val="20"/>
        </w:rPr>
        <w:t xml:space="preserve"> </w:t>
      </w:r>
    </w:p>
    <w:p w14:paraId="37087C09" w14:textId="77777777" w:rsidR="003908D1" w:rsidRDefault="000712FE" w:rsidP="000712F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12FE">
        <w:rPr>
          <w:rFonts w:ascii="Verdana" w:hAnsi="Verdana" w:cs="Arial"/>
          <w:sz w:val="20"/>
          <w:szCs w:val="20"/>
        </w:rPr>
        <w:t>Wykonawcy, z którymi Zamawiający podpisze umowę nie przysługuje roszczenie o realizację dostaw w wielkościach podanych w formularzu oferty</w:t>
      </w:r>
      <w:r>
        <w:rPr>
          <w:rFonts w:ascii="Verdana" w:hAnsi="Verdana" w:cs="Arial"/>
          <w:sz w:val="20"/>
          <w:szCs w:val="20"/>
        </w:rPr>
        <w:t>. Zakupy dokonywane w trakcie obowiązywania umowy mogą dla poszczególnych pozycji różnić się ilościowo od wartości podanych w Formularzu asortymentowo-cenowym, jednak wartość zakupów nie przekroczy całkowitej ceny brutto przedstawionej w ofercie.</w:t>
      </w:r>
    </w:p>
    <w:p w14:paraId="5B8B2794" w14:textId="77777777" w:rsidR="006040B2" w:rsidRDefault="000712FE" w:rsidP="000712F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trakcie realizacji umowy, w przypadku stwierdzenia, że dostarczone towary nie </w:t>
      </w:r>
    </w:p>
    <w:p w14:paraId="047A4F75" w14:textId="77777777" w:rsidR="000712FE" w:rsidRDefault="000712FE" w:rsidP="006040B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040B2">
        <w:rPr>
          <w:rFonts w:ascii="Verdana" w:hAnsi="Verdana" w:cs="Arial"/>
          <w:sz w:val="20"/>
          <w:szCs w:val="20"/>
        </w:rPr>
        <w:t xml:space="preserve">spełniają warunków określonych przez zamawiającego, w szczególności parametrów i warunków określonych w załączniku do OPZ i Formularzu asortymentowo-cenowym, Wykonawca będzie zobowiązany na własny koszt wymienić materiały, które nie spełniają wymagań. Wymiana materiałów powinna nastąpić niezwłocznie, jednak nie później niż do 3 dni roboczych licząc od dnia zgłoszenia </w:t>
      </w:r>
      <w:r w:rsidR="006040B2" w:rsidRPr="006040B2">
        <w:rPr>
          <w:rFonts w:ascii="Verdana" w:hAnsi="Verdana" w:cs="Arial"/>
          <w:sz w:val="20"/>
          <w:szCs w:val="20"/>
        </w:rPr>
        <w:t>niezgodności towaru z wymaganiami (</w:t>
      </w:r>
      <w:r w:rsidRPr="006040B2">
        <w:rPr>
          <w:rFonts w:ascii="Verdana" w:hAnsi="Verdana" w:cs="Arial"/>
          <w:sz w:val="20"/>
          <w:szCs w:val="20"/>
        </w:rPr>
        <w:t>reklamacji</w:t>
      </w:r>
      <w:r w:rsidR="006040B2" w:rsidRPr="006040B2">
        <w:rPr>
          <w:rFonts w:ascii="Verdana" w:hAnsi="Verdana" w:cs="Arial"/>
          <w:sz w:val="20"/>
          <w:szCs w:val="20"/>
        </w:rPr>
        <w:t>).</w:t>
      </w:r>
    </w:p>
    <w:p w14:paraId="6346E430" w14:textId="77777777" w:rsidR="006040B2" w:rsidRDefault="006040B2" w:rsidP="006040B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Odbiór pojedynczej dostawy nastąpi na podstawie protokołu odbioru, który jest </w:t>
      </w:r>
    </w:p>
    <w:p w14:paraId="31ACF77B" w14:textId="77777777" w:rsidR="006040B2" w:rsidRDefault="006040B2" w:rsidP="006040B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040B2">
        <w:rPr>
          <w:rFonts w:ascii="Verdana" w:hAnsi="Verdana" w:cs="Arial"/>
          <w:sz w:val="20"/>
          <w:szCs w:val="20"/>
        </w:rPr>
        <w:t>podstawą do wystawienia FV.</w:t>
      </w:r>
    </w:p>
    <w:p w14:paraId="539EEEB1" w14:textId="77777777" w:rsidR="006040B2" w:rsidRDefault="006040B2" w:rsidP="006040B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337E14F" w14:textId="77777777" w:rsidR="006040B2" w:rsidRPr="006040B2" w:rsidRDefault="006040B2" w:rsidP="006040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040B2">
        <w:rPr>
          <w:rFonts w:ascii="Verdana" w:hAnsi="Verdana" w:cs="Arial"/>
          <w:b/>
          <w:sz w:val="20"/>
          <w:szCs w:val="20"/>
        </w:rPr>
        <w:t>ROZLICZENIE WYNAGRODZENIA</w:t>
      </w:r>
    </w:p>
    <w:p w14:paraId="4D9BE4D9" w14:textId="4BEBDCD1" w:rsidR="00100234" w:rsidRPr="00B2765A" w:rsidRDefault="006040B2" w:rsidP="00B2765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Wynagrodzenie rozliczane będzie na podstawie faktur VAT, wystawionych przez Wykonawcę oddzielnie dla każdego zamówienia częściowego na kwotę stanowiącą sumę iloczynów liczby </w:t>
      </w:r>
      <w:r w:rsidR="00376924">
        <w:rPr>
          <w:rFonts w:ascii="Verdana" w:hAnsi="Verdana" w:cs="Arial"/>
          <w:sz w:val="20"/>
          <w:szCs w:val="20"/>
        </w:rPr>
        <w:t>zamawianych materiałów eksploatacyjnych</w:t>
      </w:r>
      <w:r w:rsidR="00A64683">
        <w:rPr>
          <w:rFonts w:ascii="Verdana" w:hAnsi="Verdana" w:cs="Arial"/>
          <w:sz w:val="20"/>
          <w:szCs w:val="20"/>
        </w:rPr>
        <w:t xml:space="preserve"> i ich cen jednostkowych, określonych przez Wykonawcę w F</w:t>
      </w:r>
      <w:r w:rsidR="00100234">
        <w:rPr>
          <w:rFonts w:ascii="Verdana" w:hAnsi="Verdana" w:cs="Arial"/>
          <w:sz w:val="20"/>
          <w:szCs w:val="20"/>
        </w:rPr>
        <w:t>ormularzu asortymentowo-cenowym. Każdorazowo po otrzymaniu od Wykonawcy zamówionego towaru będzie wystawiona faktura VAT wg aktualnych adresów.</w:t>
      </w:r>
      <w:r w:rsidR="00B2765A">
        <w:rPr>
          <w:rFonts w:ascii="Verdana" w:hAnsi="Verdana" w:cs="Arial"/>
          <w:sz w:val="20"/>
          <w:szCs w:val="20"/>
        </w:rPr>
        <w:t xml:space="preserve"> </w:t>
      </w:r>
      <w:r w:rsidR="00100234">
        <w:rPr>
          <w:rFonts w:ascii="Verdana" w:hAnsi="Verdana" w:cs="Arial"/>
          <w:sz w:val="20"/>
          <w:szCs w:val="20"/>
        </w:rPr>
        <w:t>Zapłata za dostarczone towary dokonywana będzie przez Zamawiającego przelewem bankowym na rach</w:t>
      </w:r>
      <w:r w:rsidR="00971E40">
        <w:rPr>
          <w:rFonts w:ascii="Verdana" w:hAnsi="Verdana" w:cs="Arial"/>
          <w:sz w:val="20"/>
          <w:szCs w:val="20"/>
        </w:rPr>
        <w:t>unek Wykonawcy, w terminie do 14</w:t>
      </w:r>
      <w:r w:rsidR="00100234">
        <w:rPr>
          <w:rFonts w:ascii="Verdana" w:hAnsi="Verdana" w:cs="Arial"/>
          <w:sz w:val="20"/>
          <w:szCs w:val="20"/>
        </w:rPr>
        <w:t xml:space="preserve"> dni od daty otrzymania prawidłowo wystawionej faktury.</w:t>
      </w:r>
      <w:r w:rsidR="00B2765A" w:rsidRPr="00B2765A">
        <w:rPr>
          <w:rFonts w:ascii="Verdana" w:hAnsi="Verdana"/>
          <w:sz w:val="20"/>
          <w:szCs w:val="20"/>
        </w:rPr>
        <w:t xml:space="preserve"> </w:t>
      </w:r>
      <w:r w:rsidR="00B2765A" w:rsidRPr="0042426F">
        <w:rPr>
          <w:rFonts w:ascii="Verdana" w:hAnsi="Verdana"/>
          <w:sz w:val="20"/>
          <w:szCs w:val="20"/>
        </w:rPr>
        <w:t>Strony ustalają, ze od dnia wejścia w życie obowiązku wystawiania faktur ustrukturyzowanych w Krajowym Systemie e-Faktur (KSeF) wystawianie i doręczanie faktur VAT następuje z wykorzystaniem Krajowego Systemu e-Faktur (KSeF) zgodnie z ustawą z dnia 11 marca 2004 r. o podatku od towarów i usług oraz przepisami wykonawczymi</w:t>
      </w:r>
      <w:r w:rsidR="00B2765A">
        <w:rPr>
          <w:rFonts w:ascii="Verdana" w:hAnsi="Verdana"/>
          <w:sz w:val="20"/>
          <w:szCs w:val="20"/>
        </w:rPr>
        <w:t xml:space="preserve">. </w:t>
      </w:r>
      <w:r w:rsidR="00B2765A" w:rsidRPr="0042426F">
        <w:rPr>
          <w:rFonts w:ascii="Verdana" w:hAnsi="Verdana"/>
          <w:sz w:val="20"/>
          <w:szCs w:val="20"/>
        </w:rPr>
        <w:t xml:space="preserve">W przypadku awarii w Krajowym Systemie e-Faktur (KSeF) Strony stosują procedurę awaryjną zgodnie z przepisami prawa. W okresie awarii doręczenie faktury VAT następuje poprzez jej przesłanie drogą elektroniczną na adres e-mail: </w:t>
      </w:r>
      <w:hyperlink r:id="rId6" w:history="1">
        <w:r w:rsidR="00B2765A" w:rsidRPr="003E10DA">
          <w:rPr>
            <w:rStyle w:val="Hipercze"/>
            <w:rFonts w:ascii="Verdana" w:hAnsi="Verdana"/>
            <w:sz w:val="20"/>
            <w:szCs w:val="20"/>
          </w:rPr>
          <w:t>sekretariatopole@gddkia.gov.pl</w:t>
        </w:r>
      </w:hyperlink>
      <w:r w:rsidR="00B2765A" w:rsidRPr="0042426F">
        <w:rPr>
          <w:rFonts w:ascii="Verdana" w:hAnsi="Verdana"/>
          <w:sz w:val="20"/>
          <w:szCs w:val="20"/>
        </w:rPr>
        <w:t>.</w:t>
      </w:r>
      <w:r w:rsidR="00B2765A">
        <w:rPr>
          <w:rFonts w:ascii="Verdana" w:hAnsi="Verdana"/>
          <w:sz w:val="20"/>
          <w:szCs w:val="20"/>
        </w:rPr>
        <w:t xml:space="preserve"> </w:t>
      </w:r>
      <w:r w:rsidR="00B2765A" w:rsidRPr="0042426F">
        <w:rPr>
          <w:rFonts w:ascii="Verdana" w:hAnsi="Verdana"/>
          <w:sz w:val="20"/>
          <w:szCs w:val="20"/>
        </w:rPr>
        <w:t>Datę doręczenia faktury VAT określają przepisy ustawy z dnia 11 marca 2004 r. o podatku od towarów i usług</w:t>
      </w:r>
      <w:r w:rsidR="00B2765A">
        <w:rPr>
          <w:rFonts w:ascii="Verdana" w:hAnsi="Verdana"/>
          <w:sz w:val="20"/>
          <w:szCs w:val="20"/>
        </w:rPr>
        <w:t>.</w:t>
      </w:r>
    </w:p>
    <w:p w14:paraId="70A73883" w14:textId="77777777" w:rsidR="00F206FB" w:rsidRPr="00F206FB" w:rsidRDefault="00F206FB" w:rsidP="00F206F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A2FF811" w14:textId="77777777" w:rsidR="00E836DE" w:rsidRDefault="00E836DE" w:rsidP="00C90E43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</w:p>
    <w:p w14:paraId="7D4C9564" w14:textId="77777777" w:rsidR="00E836DE" w:rsidRPr="00E60B5D" w:rsidRDefault="00E836DE" w:rsidP="00C90E4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Oferty należy przesłać na </w:t>
      </w:r>
      <w:r w:rsidR="00E828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Formularzu ofertowym wraz z załączonym </w:t>
      </w:r>
      <w:r w:rsidR="00100234">
        <w:rPr>
          <w:rFonts w:ascii="Verdana" w:eastAsia="Times New Roman" w:hAnsi="Verdana" w:cs="Times New Roman"/>
          <w:sz w:val="20"/>
          <w:szCs w:val="20"/>
          <w:lang w:eastAsia="pl-PL"/>
        </w:rPr>
        <w:t>F</w:t>
      </w:r>
      <w:r w:rsidR="00E828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ormularzem 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100234">
        <w:rPr>
          <w:rFonts w:ascii="Verdana" w:eastAsia="Times New Roman" w:hAnsi="Verdana" w:cs="Times New Roman"/>
          <w:sz w:val="20"/>
          <w:szCs w:val="20"/>
          <w:lang w:eastAsia="pl-PL"/>
        </w:rPr>
        <w:t>asortymentowo-cenowym</w:t>
      </w:r>
      <w:r w:rsidRPr="00E60B5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E0C08C6" w14:textId="77777777" w:rsidR="00E836DE" w:rsidRPr="00E60B5D" w:rsidRDefault="00E836DE" w:rsidP="00C90E43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EB9800D" w14:textId="77777777" w:rsidR="00E836DE" w:rsidRPr="00E60B5D" w:rsidRDefault="00E836DE" w:rsidP="00C90E4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</w:p>
    <w:sectPr w:rsidR="00E836DE" w:rsidRPr="00E6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A1A"/>
    <w:multiLevelType w:val="hybridMultilevel"/>
    <w:tmpl w:val="50983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574C"/>
    <w:multiLevelType w:val="hybridMultilevel"/>
    <w:tmpl w:val="92DEF44E"/>
    <w:lvl w:ilvl="0" w:tplc="BCB60F6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332F41"/>
    <w:multiLevelType w:val="hybridMultilevel"/>
    <w:tmpl w:val="E702F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4956"/>
    <w:multiLevelType w:val="hybridMultilevel"/>
    <w:tmpl w:val="1682B9F4"/>
    <w:lvl w:ilvl="0" w:tplc="53EE3974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1079E"/>
    <w:multiLevelType w:val="hybridMultilevel"/>
    <w:tmpl w:val="22EAC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911FD"/>
    <w:multiLevelType w:val="hybridMultilevel"/>
    <w:tmpl w:val="E43EC712"/>
    <w:lvl w:ilvl="0" w:tplc="3C2CB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A5C48"/>
    <w:multiLevelType w:val="hybridMultilevel"/>
    <w:tmpl w:val="4E1E3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64601"/>
    <w:multiLevelType w:val="singleLevel"/>
    <w:tmpl w:val="B32E6E7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189780A"/>
    <w:multiLevelType w:val="hybridMultilevel"/>
    <w:tmpl w:val="37C4A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42E38"/>
    <w:multiLevelType w:val="hybridMultilevel"/>
    <w:tmpl w:val="4CACB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211">
    <w:abstractNumId w:val="9"/>
  </w:num>
  <w:num w:numId="2" w16cid:durableId="848249402">
    <w:abstractNumId w:val="7"/>
    <w:lvlOverride w:ilvl="0">
      <w:startOverride w:val="2"/>
    </w:lvlOverride>
  </w:num>
  <w:num w:numId="3" w16cid:durableId="188373860">
    <w:abstractNumId w:val="1"/>
  </w:num>
  <w:num w:numId="4" w16cid:durableId="1562015711">
    <w:abstractNumId w:val="8"/>
  </w:num>
  <w:num w:numId="5" w16cid:durableId="1226794388">
    <w:abstractNumId w:val="0"/>
  </w:num>
  <w:num w:numId="6" w16cid:durableId="2008172060">
    <w:abstractNumId w:val="5"/>
  </w:num>
  <w:num w:numId="7" w16cid:durableId="987397988">
    <w:abstractNumId w:val="2"/>
  </w:num>
  <w:num w:numId="8" w16cid:durableId="1761558892">
    <w:abstractNumId w:val="6"/>
  </w:num>
  <w:num w:numId="9" w16cid:durableId="190538556">
    <w:abstractNumId w:val="4"/>
  </w:num>
  <w:num w:numId="10" w16cid:durableId="1448620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DE"/>
    <w:rsid w:val="00003F07"/>
    <w:rsid w:val="00027FE9"/>
    <w:rsid w:val="000712FE"/>
    <w:rsid w:val="000C1CC7"/>
    <w:rsid w:val="00100234"/>
    <w:rsid w:val="00222C4C"/>
    <w:rsid w:val="002F0B66"/>
    <w:rsid w:val="00364398"/>
    <w:rsid w:val="00376924"/>
    <w:rsid w:val="003908D1"/>
    <w:rsid w:val="003A2AF3"/>
    <w:rsid w:val="004036A9"/>
    <w:rsid w:val="006040B2"/>
    <w:rsid w:val="0064039D"/>
    <w:rsid w:val="006A53F7"/>
    <w:rsid w:val="007D0341"/>
    <w:rsid w:val="008711C3"/>
    <w:rsid w:val="00903319"/>
    <w:rsid w:val="00950287"/>
    <w:rsid w:val="00971E40"/>
    <w:rsid w:val="009D10EC"/>
    <w:rsid w:val="00A64683"/>
    <w:rsid w:val="00A64F40"/>
    <w:rsid w:val="00AD23E2"/>
    <w:rsid w:val="00B2765A"/>
    <w:rsid w:val="00B7248E"/>
    <w:rsid w:val="00B94A67"/>
    <w:rsid w:val="00C90E43"/>
    <w:rsid w:val="00CE5A7B"/>
    <w:rsid w:val="00D16548"/>
    <w:rsid w:val="00D315BC"/>
    <w:rsid w:val="00D82689"/>
    <w:rsid w:val="00DC346F"/>
    <w:rsid w:val="00DC7575"/>
    <w:rsid w:val="00DC7B32"/>
    <w:rsid w:val="00DF735D"/>
    <w:rsid w:val="00E82897"/>
    <w:rsid w:val="00E836DE"/>
    <w:rsid w:val="00F2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C5C4"/>
  <w15:chartTrackingRefBased/>
  <w15:docId w15:val="{0D85740F-1D78-48B6-AA94-4CF49F3B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0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76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opole@gddki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850FF-5301-4DC6-A483-10E5D0BC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Żminkowska Barbara</dc:creator>
  <cp:keywords/>
  <dc:description/>
  <cp:lastModifiedBy>Mojsiejew Ewa</cp:lastModifiedBy>
  <cp:revision>3</cp:revision>
  <cp:lastPrinted>2021-04-26T09:32:00Z</cp:lastPrinted>
  <dcterms:created xsi:type="dcterms:W3CDTF">2026-02-23T12:04:00Z</dcterms:created>
  <dcterms:modified xsi:type="dcterms:W3CDTF">2026-02-25T06:57:00Z</dcterms:modified>
</cp:coreProperties>
</file>