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E24" w:rsidRDefault="005B2E24" w:rsidP="005547B2">
      <w:pPr>
        <w:pStyle w:val="Nagwek3"/>
        <w:spacing w:after="120"/>
      </w:pPr>
      <w:bookmarkStart w:id="0" w:name="_GoBack"/>
      <w:bookmarkEnd w:id="0"/>
      <w:r>
        <w:t>Measures in the field of family policy</w:t>
      </w:r>
    </w:p>
    <w:p w:rsidR="008C3363" w:rsidRPr="00B2559B" w:rsidRDefault="008C3363" w:rsidP="005547B2">
      <w:pPr>
        <w:spacing w:after="120"/>
        <w:jc w:val="left"/>
      </w:pPr>
    </w:p>
    <w:p w:rsidR="00721F05" w:rsidRPr="00A06740" w:rsidRDefault="00721F05" w:rsidP="00A06740">
      <w:pPr>
        <w:pStyle w:val="Akapitzlist"/>
        <w:numPr>
          <w:ilvl w:val="0"/>
          <w:numId w:val="33"/>
        </w:numPr>
        <w:spacing w:after="120"/>
        <w:rPr>
          <w:rFonts w:cs="Times New Roman"/>
          <w:sz w:val="28"/>
          <w:szCs w:val="24"/>
        </w:rPr>
      </w:pPr>
      <w:r>
        <w:rPr>
          <w:b/>
          <w:sz w:val="28"/>
        </w:rPr>
        <w:t>Demographic snapshot</w:t>
      </w:r>
    </w:p>
    <w:p w:rsidR="00721F05" w:rsidRPr="00721F05" w:rsidRDefault="00721F05" w:rsidP="005547B2">
      <w:pPr>
        <w:spacing w:after="120"/>
        <w:rPr>
          <w:rFonts w:cs="Times New Roman"/>
          <w:szCs w:val="24"/>
        </w:rPr>
      </w:pPr>
      <w:r>
        <w:t>Hungary's population has been decreasing continuously since 1981. In the last 3</w:t>
      </w:r>
      <w:r w:rsidR="000B34A8">
        <w:t>6</w:t>
      </w:r>
      <w:r>
        <w:t xml:space="preserve"> years, it has decreased by 8</w:t>
      </w:r>
      <w:r w:rsidR="000B34A8">
        <w:t>7</w:t>
      </w:r>
      <w:r>
        <w:t>5,000. A negative fact and a challenge for the next 15 years is that the number of women of child-bearing age will decrease by more than 20% ("negative Ratkó effect", a consequence of the fact that from 1950 and 1956 abortion was forbidden by legislation). This effect can be counterbalanced exclusively by the number of children per mother.</w:t>
      </w:r>
    </w:p>
    <w:p w:rsidR="00721F05" w:rsidRPr="00721F05" w:rsidRDefault="00721F05" w:rsidP="005547B2">
      <w:pPr>
        <w:spacing w:after="120"/>
        <w:rPr>
          <w:rFonts w:cs="Times New Roman"/>
          <w:szCs w:val="24"/>
        </w:rPr>
      </w:pPr>
      <w:r>
        <w:t xml:space="preserve">In case the current fertility data are sustained, then – calculated on the basis of the fertility data of the last five years – </w:t>
      </w:r>
      <w:r>
        <w:rPr>
          <w:b/>
        </w:rPr>
        <w:t>Hungary's population will decrease from the current 9,</w:t>
      </w:r>
      <w:r w:rsidR="001F0D42">
        <w:rPr>
          <w:b/>
        </w:rPr>
        <w:t>8 million</w:t>
      </w:r>
      <w:r>
        <w:rPr>
          <w:b/>
        </w:rPr>
        <w:t xml:space="preserve"> to</w:t>
      </w:r>
      <w:r>
        <w:t xml:space="preserve"> </w:t>
      </w:r>
      <w:r w:rsidR="008F0AA5">
        <w:rPr>
          <w:b/>
        </w:rPr>
        <w:t>6</w:t>
      </w:r>
      <w:r>
        <w:rPr>
          <w:b/>
        </w:rPr>
        <w:t>,</w:t>
      </w:r>
      <w:r w:rsidR="008F0AA5">
        <w:rPr>
          <w:b/>
        </w:rPr>
        <w:t>7</w:t>
      </w:r>
      <w:r w:rsidR="001F0D42">
        <w:rPr>
          <w:b/>
        </w:rPr>
        <w:t xml:space="preserve">million </w:t>
      </w:r>
      <w:r>
        <w:rPr>
          <w:b/>
        </w:rPr>
        <w:t>by 2060.</w:t>
      </w:r>
    </w:p>
    <w:p w:rsidR="00721F05" w:rsidRPr="0086502C" w:rsidRDefault="00721F05" w:rsidP="005547B2">
      <w:pPr>
        <w:spacing w:after="120"/>
        <w:rPr>
          <w:rFonts w:cs="Times New Roman"/>
          <w:szCs w:val="24"/>
        </w:rPr>
      </w:pPr>
      <w:r>
        <w:t xml:space="preserve">Like in many countries, in Hungary there is a detectable trend of parents deciding to have their first child at a later age than before. In </w:t>
      </w:r>
      <w:r w:rsidR="00F755A7">
        <w:t>2015</w:t>
      </w:r>
      <w:r>
        <w:t xml:space="preserve">, mothers and fathers had their first child at the </w:t>
      </w:r>
      <w:r w:rsidRPr="0086502C">
        <w:t>average age of 2</w:t>
      </w:r>
      <w:r w:rsidR="0086502C" w:rsidRPr="006933B0">
        <w:t>8</w:t>
      </w:r>
      <w:r w:rsidRPr="0021250B">
        <w:t>.</w:t>
      </w:r>
      <w:r w:rsidR="00F755A7">
        <w:t>4</w:t>
      </w:r>
      <w:r w:rsidR="00F755A7" w:rsidRPr="0021250B">
        <w:t xml:space="preserve"> </w:t>
      </w:r>
      <w:r w:rsidRPr="0021250B">
        <w:t>years and 3</w:t>
      </w:r>
      <w:r w:rsidR="0086502C" w:rsidRPr="006933B0">
        <w:t>2.</w:t>
      </w:r>
      <w:r w:rsidR="00F755A7">
        <w:t>6</w:t>
      </w:r>
      <w:r w:rsidR="00F755A7" w:rsidRPr="0021250B">
        <w:t xml:space="preserve"> </w:t>
      </w:r>
      <w:r w:rsidRPr="0021250B">
        <w:t>years, respectively.</w:t>
      </w:r>
    </w:p>
    <w:p w:rsidR="00721F05" w:rsidRPr="00721F05" w:rsidRDefault="00721F05" w:rsidP="005547B2">
      <w:pPr>
        <w:spacing w:after="120"/>
        <w:rPr>
          <w:rFonts w:cs="Times New Roman"/>
          <w:szCs w:val="24"/>
        </w:rPr>
      </w:pPr>
      <w:r>
        <w:rPr>
          <w:b/>
        </w:rPr>
        <w:t xml:space="preserve">In the period </w:t>
      </w:r>
      <w:r w:rsidR="00097787">
        <w:rPr>
          <w:b/>
        </w:rPr>
        <w:t xml:space="preserve">from </w:t>
      </w:r>
      <w:r>
        <w:rPr>
          <w:b/>
        </w:rPr>
        <w:t>2001 to 2011, the ratio of couples with two children in families based on partner relationships decreased by 22.5%.</w:t>
      </w:r>
      <w:r>
        <w:t xml:space="preserve"> It is highly likely that the ratio of those who decide to have two children will continue to decrease in the future, more citizens will not have children and, presumably, the ratio of citizens with one or three children will also grow. </w:t>
      </w:r>
    </w:p>
    <w:p w:rsidR="00721F05" w:rsidRPr="00721F05" w:rsidRDefault="00721F05" w:rsidP="005547B2">
      <w:pPr>
        <w:spacing w:after="120"/>
        <w:rPr>
          <w:rFonts w:cs="Times New Roman"/>
          <w:szCs w:val="24"/>
        </w:rPr>
      </w:pPr>
      <w:r>
        <w:rPr>
          <w:b/>
        </w:rPr>
        <w:t>A large number of planned children are not born</w:t>
      </w:r>
      <w:r>
        <w:t>: in Hungary, only one-third of the citizens concerned can implement their short-time plans to have children. This rate is considerably less favourable than that of Western Europe.</w:t>
      </w:r>
    </w:p>
    <w:p w:rsidR="00721F05" w:rsidRDefault="00721F05" w:rsidP="005547B2">
      <w:pPr>
        <w:spacing w:after="120"/>
        <w:rPr>
          <w:rFonts w:cs="Times New Roman"/>
          <w:szCs w:val="24"/>
        </w:rPr>
      </w:pPr>
      <w:r>
        <w:t xml:space="preserve">Given the above, the </w:t>
      </w:r>
      <w:r>
        <w:rPr>
          <w:b/>
        </w:rPr>
        <w:t>government's</w:t>
      </w:r>
      <w:r>
        <w:t xml:space="preserve"> prioritised </w:t>
      </w:r>
      <w:r>
        <w:rPr>
          <w:b/>
        </w:rPr>
        <w:t>objective</w:t>
      </w:r>
      <w:r>
        <w:t xml:space="preserve"> is to </w:t>
      </w:r>
      <w:r>
        <w:rPr>
          <w:b/>
        </w:rPr>
        <w:t>implement a lasting turn in demographic trends</w:t>
      </w:r>
      <w:r>
        <w:t>. Therefore, the government's family policy measures is governed, on the one hand, by demographic considerations and, on the other hand, by reducing the burden of having children.</w:t>
      </w:r>
    </w:p>
    <w:p w:rsidR="00721F05" w:rsidRPr="00721F05" w:rsidRDefault="005248A0" w:rsidP="005547B2">
      <w:pPr>
        <w:spacing w:after="120"/>
        <w:rPr>
          <w:rFonts w:cs="Times New Roman"/>
          <w:szCs w:val="24"/>
        </w:rPr>
      </w:pPr>
      <w:r>
        <w:t xml:space="preserve">The changes of the Hungarian demographic indicators that has taken place in the recent years are encouraging. </w:t>
      </w:r>
      <w:r>
        <w:rPr>
          <w:b/>
        </w:rPr>
        <w:t>The fertility rate increased from 1.26 in 2010 to 1.</w:t>
      </w:r>
      <w:r w:rsidR="001F0D42">
        <w:rPr>
          <w:b/>
        </w:rPr>
        <w:t xml:space="preserve">49 </w:t>
      </w:r>
      <w:r>
        <w:rPr>
          <w:b/>
        </w:rPr>
        <w:t xml:space="preserve">in </w:t>
      </w:r>
      <w:r w:rsidR="001F0D42">
        <w:rPr>
          <w:b/>
        </w:rPr>
        <w:t xml:space="preserve">2016 </w:t>
      </w:r>
      <w:r>
        <w:rPr>
          <w:b/>
        </w:rPr>
        <w:t xml:space="preserve">(the highest value since 1997). </w:t>
      </w:r>
      <w:r>
        <w:t>Obviously, for the reproduction of the population the much higher value of 2.1 would be necessary; still, the improvement achieved so far indicates that Hungary is on the right track.</w:t>
      </w:r>
    </w:p>
    <w:p w:rsidR="00721F05" w:rsidRPr="00F755A7" w:rsidRDefault="00F755A7" w:rsidP="005547B2">
      <w:pPr>
        <w:spacing w:after="120"/>
        <w:rPr>
          <w:rFonts w:cs="Times New Roman"/>
          <w:szCs w:val="24"/>
        </w:rPr>
      </w:pPr>
      <w:r>
        <w:rPr>
          <w:b/>
        </w:rPr>
        <w:t xml:space="preserve">The number of live births in </w:t>
      </w:r>
      <w:r w:rsidR="00680AEE">
        <w:rPr>
          <w:b/>
        </w:rPr>
        <w:t xml:space="preserve">2016 </w:t>
      </w:r>
      <w:r>
        <w:rPr>
          <w:b/>
        </w:rPr>
        <w:t xml:space="preserve">grew by </w:t>
      </w:r>
      <w:r w:rsidR="00680AEE">
        <w:rPr>
          <w:b/>
        </w:rPr>
        <w:t>1.5</w:t>
      </w:r>
      <w:r>
        <w:rPr>
          <w:b/>
        </w:rPr>
        <w:t xml:space="preserve">% if compared to that of the previous year. </w:t>
      </w:r>
      <w:r w:rsidR="00721F05" w:rsidRPr="00C66879">
        <w:t xml:space="preserve">The figure in </w:t>
      </w:r>
      <w:r w:rsidR="00680AEE" w:rsidRPr="00C66879">
        <w:t>201</w:t>
      </w:r>
      <w:r w:rsidR="00680AEE">
        <w:t>6</w:t>
      </w:r>
      <w:r w:rsidR="00680AEE" w:rsidRPr="00C66879">
        <w:t xml:space="preserve"> </w:t>
      </w:r>
      <w:r w:rsidR="006615A0">
        <w:t>was</w:t>
      </w:r>
      <w:r w:rsidR="006615A0" w:rsidRPr="00C66879">
        <w:t xml:space="preserve"> </w:t>
      </w:r>
      <w:r w:rsidR="00721F05" w:rsidRPr="00C66879">
        <w:t>the highest in the last 30 years, as it was in 1985 that the growth of birth rate was that high.</w:t>
      </w:r>
    </w:p>
    <w:p w:rsidR="00721F05" w:rsidRDefault="001053DC" w:rsidP="005547B2">
      <w:pPr>
        <w:spacing w:after="120"/>
        <w:rPr>
          <w:rFonts w:cs="Times New Roman"/>
          <w:szCs w:val="24"/>
        </w:rPr>
      </w:pPr>
      <w:r>
        <w:t xml:space="preserve">In addition, since 2010 a favourable trend has been detected in terms of marriages and divorces. In the period from 2002 to 2010 the number of marriages decreased by 23%, but then from 2010 to </w:t>
      </w:r>
      <w:r w:rsidR="00680AEE">
        <w:t xml:space="preserve">2016 </w:t>
      </w:r>
      <w:r>
        <w:t xml:space="preserve">it increased by </w:t>
      </w:r>
      <w:r w:rsidR="006A72C2">
        <w:t>46</w:t>
      </w:r>
      <w:r>
        <w:t xml:space="preserve">%.  Moreover, recent years have seen a greater decrease of the number of divorces: from 2002 to 2010 it decreased by 6%, from 2010 to </w:t>
      </w:r>
      <w:r w:rsidR="009019FE">
        <w:t xml:space="preserve">2016 </w:t>
      </w:r>
      <w:r>
        <w:t xml:space="preserve">by </w:t>
      </w:r>
      <w:r w:rsidR="006A72C2">
        <w:t>18</w:t>
      </w:r>
      <w:r>
        <w:t xml:space="preserve">%. </w:t>
      </w:r>
    </w:p>
    <w:p w:rsidR="002D5820" w:rsidRPr="00721F05" w:rsidRDefault="002D5820" w:rsidP="005547B2">
      <w:pPr>
        <w:spacing w:after="120"/>
        <w:rPr>
          <w:rFonts w:cs="Times New Roman"/>
          <w:szCs w:val="24"/>
        </w:rPr>
      </w:pPr>
    </w:p>
    <w:p w:rsidR="00721F05" w:rsidRDefault="00721F05" w:rsidP="005547B2">
      <w:pPr>
        <w:spacing w:after="120"/>
        <w:rPr>
          <w:rFonts w:cs="Times New Roman"/>
          <w:b/>
          <w:szCs w:val="24"/>
        </w:rPr>
      </w:pPr>
      <w:r>
        <w:t xml:space="preserve">A growing number of pregnant women decide not to terminate their pregnancy: </w:t>
      </w:r>
      <w:r>
        <w:rPr>
          <w:b/>
        </w:rPr>
        <w:t>the number of abortions has decreased considerably.</w:t>
      </w:r>
      <w:r>
        <w:t xml:space="preserve"> </w:t>
      </w:r>
      <w:r>
        <w:rPr>
          <w:b/>
        </w:rPr>
        <w:t xml:space="preserve"> Between 2010 and </w:t>
      </w:r>
      <w:r w:rsidR="006A72C2">
        <w:rPr>
          <w:b/>
        </w:rPr>
        <w:t>2016</w:t>
      </w:r>
      <w:r>
        <w:rPr>
          <w:b/>
        </w:rPr>
        <w:t xml:space="preserve">, the number of cases of deliberate termination of pregnancy decreased almost by </w:t>
      </w:r>
      <w:r w:rsidR="006A72C2" w:rsidRPr="009A58F4">
        <w:rPr>
          <w:b/>
        </w:rPr>
        <w:t>2</w:t>
      </w:r>
      <w:r w:rsidR="006A72C2">
        <w:rPr>
          <w:b/>
        </w:rPr>
        <w:t>5</w:t>
      </w:r>
      <w:r w:rsidRPr="009A58F4">
        <w:rPr>
          <w:b/>
        </w:rPr>
        <w:t xml:space="preserve">%.  </w:t>
      </w:r>
    </w:p>
    <w:p w:rsidR="00E87074" w:rsidRDefault="00E87074" w:rsidP="005547B2">
      <w:pPr>
        <w:spacing w:after="120"/>
        <w:rPr>
          <w:szCs w:val="24"/>
        </w:rPr>
      </w:pPr>
      <w:r>
        <w:t xml:space="preserve">However, the consequences resulting of the </w:t>
      </w:r>
      <w:r>
        <w:rPr>
          <w:b/>
        </w:rPr>
        <w:t>unfavourable demographic situation</w:t>
      </w:r>
      <w:r>
        <w:t xml:space="preserve"> still need to be taken into consideration.  Although from 2010 to </w:t>
      </w:r>
      <w:r w:rsidR="009019FE">
        <w:t>201</w:t>
      </w:r>
      <w:r w:rsidR="006A72C2">
        <w:t>7</w:t>
      </w:r>
      <w:r w:rsidR="009019FE">
        <w:t xml:space="preserve"> </w:t>
      </w:r>
      <w:r>
        <w:t xml:space="preserve">the pace of population decline decreased by approximately </w:t>
      </w:r>
      <w:r w:rsidR="006A72C2">
        <w:t>2,3</w:t>
      </w:r>
      <w:r>
        <w:t>%, Hungary's population is still declining by 35,000-40,000 per year.</w:t>
      </w:r>
    </w:p>
    <w:p w:rsidR="00D9304B" w:rsidRPr="005547B2" w:rsidRDefault="00E87074" w:rsidP="005547B2">
      <w:pPr>
        <w:spacing w:after="120"/>
        <w:rPr>
          <w:szCs w:val="24"/>
        </w:rPr>
      </w:pPr>
      <w:r>
        <w:t>Current data forecast an unfavourable future: as evidenced by the latest calculations of the Demographic Research Institute of the Hungarian Central Statistical Office (</w:t>
      </w:r>
      <w:r w:rsidR="0086503E">
        <w:t>2015</w:t>
      </w:r>
      <w:r>
        <w:t>), with the fertility rate of 1.</w:t>
      </w:r>
      <w:r w:rsidR="0086503E">
        <w:t>45</w:t>
      </w:r>
      <w:r>
        <w:t xml:space="preserve">, by 2060 the population will decrease to </w:t>
      </w:r>
      <w:r w:rsidR="0086503E">
        <w:t>6</w:t>
      </w:r>
      <w:r>
        <w:t>.</w:t>
      </w:r>
      <w:r w:rsidR="0086503E">
        <w:t xml:space="preserve">7  </w:t>
      </w:r>
      <w:r>
        <w:t xml:space="preserve">million. It is estimated that a fertility rate of 2.4 would be necessary to maintain the current population, which means that </w:t>
      </w:r>
      <w:r>
        <w:rPr>
          <w:b/>
        </w:rPr>
        <w:t>Hungary's current population could be maintained if each women of child-bearing age decided to have more child than she currently does.</w:t>
      </w:r>
    </w:p>
    <w:p w:rsidR="00E87074" w:rsidRDefault="00E87074" w:rsidP="005547B2">
      <w:pPr>
        <w:pStyle w:val="NormalnyWeb"/>
        <w:spacing w:before="0" w:beforeAutospacing="0" w:after="120" w:afterAutospacing="0" w:line="276" w:lineRule="auto"/>
      </w:pPr>
      <w:r>
        <w:rPr>
          <w:b/>
          <w:color w:val="000000"/>
        </w:rPr>
        <w:t>Despite a marked and dynamic increase</w:t>
      </w:r>
      <w:r>
        <w:rPr>
          <w:color w:val="000000"/>
        </w:rPr>
        <w:t xml:space="preserve"> in birth rate, </w:t>
      </w:r>
      <w:r>
        <w:rPr>
          <w:b/>
          <w:color w:val="000000"/>
        </w:rPr>
        <w:t>Hungary is still lagging behind the other EU member states.</w:t>
      </w:r>
      <w:r>
        <w:rPr>
          <w:color w:val="000000"/>
        </w:rPr>
        <w:t xml:space="preserve">  </w:t>
      </w:r>
      <w:r>
        <w:t xml:space="preserve">However, it is to be noted that in Hungary – despite the growing European trend of citizens deciding not to have children – </w:t>
      </w:r>
      <w:r>
        <w:rPr>
          <w:b/>
        </w:rPr>
        <w:t>the number of children planned by young persons</w:t>
      </w:r>
      <w:r>
        <w:t xml:space="preserve"> ("ideal number of children") </w:t>
      </w:r>
      <w:r>
        <w:rPr>
          <w:b/>
        </w:rPr>
        <w:t>is still close to the desirable 2.1 children per family value.</w:t>
      </w:r>
      <w:r>
        <w:t xml:space="preserve"> However, only a part of these couples have as many children as they wish to.</w:t>
      </w:r>
    </w:p>
    <w:p w:rsidR="00CE03B5" w:rsidRDefault="00CE03B5" w:rsidP="005547B2">
      <w:pPr>
        <w:pStyle w:val="NormalnyWeb"/>
        <w:spacing w:before="0" w:beforeAutospacing="0" w:after="120" w:afterAutospacing="0" w:line="276" w:lineRule="auto"/>
        <w:rPr>
          <w:b/>
          <w:bCs/>
          <w:color w:val="000000"/>
        </w:rPr>
      </w:pPr>
    </w:p>
    <w:p w:rsidR="00E87074" w:rsidRDefault="00E87074" w:rsidP="005547B2">
      <w:pPr>
        <w:pStyle w:val="NormalnyWeb"/>
        <w:spacing w:before="0" w:beforeAutospacing="0" w:after="120" w:afterAutospacing="0" w:line="276" w:lineRule="auto"/>
        <w:rPr>
          <w:b/>
          <w:bCs/>
          <w:color w:val="000000"/>
        </w:rPr>
      </w:pPr>
    </w:p>
    <w:p w:rsidR="00D9304B" w:rsidRPr="00A06740" w:rsidRDefault="00BB1E85" w:rsidP="00A06740">
      <w:pPr>
        <w:pStyle w:val="Akapitzlist"/>
        <w:numPr>
          <w:ilvl w:val="0"/>
          <w:numId w:val="33"/>
        </w:numPr>
        <w:spacing w:after="120"/>
        <w:rPr>
          <w:b/>
          <w:sz w:val="28"/>
          <w:szCs w:val="24"/>
          <w:u w:val="single"/>
        </w:rPr>
      </w:pPr>
      <w:r>
        <w:rPr>
          <w:b/>
          <w:sz w:val="28"/>
        </w:rPr>
        <w:t>Hungarian family policy</w:t>
      </w:r>
    </w:p>
    <w:p w:rsidR="003E6470" w:rsidRDefault="003E6470" w:rsidP="005547B2">
      <w:pPr>
        <w:spacing w:after="120"/>
        <w:rPr>
          <w:b/>
          <w:szCs w:val="24"/>
          <w:u w:val="single"/>
        </w:rPr>
      </w:pPr>
    </w:p>
    <w:p w:rsidR="00D9304B" w:rsidRPr="00BB1E85" w:rsidRDefault="00636983" w:rsidP="005547B2">
      <w:pPr>
        <w:spacing w:after="120"/>
        <w:rPr>
          <w:szCs w:val="24"/>
        </w:rPr>
      </w:pPr>
      <w:r>
        <w:t xml:space="preserve">A precondition of the medium and long-term social development of </w:t>
      </w:r>
      <w:r>
        <w:rPr>
          <w:b/>
        </w:rPr>
        <w:t>Hungary is a lasting turn in demographic trends.</w:t>
      </w:r>
      <w:r>
        <w:t xml:space="preserve"> The objective can be achieved with </w:t>
      </w:r>
      <w:r>
        <w:rPr>
          <w:b/>
        </w:rPr>
        <w:t>a stable, complex, targeted and flexible</w:t>
      </w:r>
      <w:r>
        <w:t xml:space="preserve"> family policy that is capable of adapting to changing needs and conditions.</w:t>
      </w:r>
    </w:p>
    <w:p w:rsidR="00BE397B" w:rsidRPr="00BB1E85" w:rsidRDefault="00BE397B" w:rsidP="005547B2">
      <w:pPr>
        <w:spacing w:after="120"/>
        <w:rPr>
          <w:szCs w:val="24"/>
        </w:rPr>
      </w:pPr>
      <w:r>
        <w:t xml:space="preserve">Parents and parents-to-be need long-term stability and a reliable financial situation. In this respect, </w:t>
      </w:r>
      <w:r>
        <w:rPr>
          <w:b/>
        </w:rPr>
        <w:t>employment and the easy reconciliation of work and family obligations</w:t>
      </w:r>
      <w:r>
        <w:t xml:space="preserve"> are of key importance. Therefore, we make attempts to help parents harmonise their career and raising children as much as we can. </w:t>
      </w:r>
    </w:p>
    <w:p w:rsidR="00BB1E85" w:rsidRPr="00B2559B" w:rsidRDefault="00BE397B" w:rsidP="005547B2">
      <w:pPr>
        <w:spacing w:after="120"/>
        <w:rPr>
          <w:szCs w:val="24"/>
        </w:rPr>
      </w:pPr>
      <w:r>
        <w:t>International experience shows that individuals are more willing to have more children in those countries where the employment rate is high and the state offers prioritised help to ensure that parents can reconcile work and private life.</w:t>
      </w:r>
    </w:p>
    <w:p w:rsidR="00BB1E85" w:rsidRPr="00B2559B" w:rsidRDefault="00BB1E85" w:rsidP="005547B2">
      <w:pPr>
        <w:spacing w:after="120"/>
        <w:rPr>
          <w:szCs w:val="24"/>
        </w:rPr>
      </w:pPr>
      <w:r>
        <w:t xml:space="preserve">The Hungarian family policy has complex toolkits to offer such help to families. A prioritised objective is to implement a lasting turn in demographic trends; for this reason, efforts are made </w:t>
      </w:r>
      <w:r>
        <w:rPr>
          <w:b/>
        </w:rPr>
        <w:t>to give all help to ensure that all children wished for are actually born.</w:t>
      </w:r>
      <w:r>
        <w:t xml:space="preserve"> In Hungary,</w:t>
      </w:r>
      <w:r>
        <w:rPr>
          <w:b/>
        </w:rPr>
        <w:t xml:space="preserve"> </w:t>
      </w:r>
      <w:r>
        <w:rPr>
          <w:b/>
        </w:rPr>
        <w:lastRenderedPageBreak/>
        <w:t>the average number of children parents wish for is approximately two</w:t>
      </w:r>
      <w:r>
        <w:t xml:space="preserve">; however, the number of children who are actually born is considerably lower.  </w:t>
      </w:r>
    </w:p>
    <w:p w:rsidR="00BB1E85" w:rsidRPr="00B2559B" w:rsidRDefault="00BB1E85" w:rsidP="005547B2">
      <w:pPr>
        <w:spacing w:after="120"/>
        <w:rPr>
          <w:szCs w:val="24"/>
        </w:rPr>
      </w:pPr>
      <w:r>
        <w:t xml:space="preserve">Our intention is to ensure that </w:t>
      </w:r>
      <w:r>
        <w:rPr>
          <w:b/>
        </w:rPr>
        <w:t>financial or labour market factors do not prevent individuals from having children.</w:t>
      </w:r>
      <w:r>
        <w:t xml:space="preserve"> To this end, special emphasis is laid on – besides the financial support of families – the promotion of the reconciliation of having children, raising children and participation in the labour market.</w:t>
      </w:r>
    </w:p>
    <w:p w:rsidR="00BB1E85" w:rsidRPr="00B2559B" w:rsidRDefault="00BB1E85" w:rsidP="005547B2">
      <w:pPr>
        <w:spacing w:after="120"/>
        <w:rPr>
          <w:szCs w:val="24"/>
        </w:rPr>
      </w:pPr>
      <w:r>
        <w:t xml:space="preserve">A principle of our family policy is that parents </w:t>
      </w:r>
      <w:r>
        <w:rPr>
          <w:b/>
        </w:rPr>
        <w:t xml:space="preserve">should be offered the opportunity to decide </w:t>
      </w:r>
      <w:r>
        <w:t>if they wish to stay at home and raise their children for a longer period of time or to return to the labour market as soon as possible. Therefore, citizens are offered, on the one hand, childcare support and family support on a normative basis and a social security basis and, on the other hand, benefits that promote return to the labour market and the development of daycare for children.</w:t>
      </w:r>
    </w:p>
    <w:p w:rsidR="00BB1E85" w:rsidRPr="00B2559B" w:rsidRDefault="00BB1E85" w:rsidP="005547B2">
      <w:pPr>
        <w:spacing w:after="120"/>
        <w:rPr>
          <w:szCs w:val="24"/>
        </w:rPr>
      </w:pPr>
      <w:r>
        <w:t xml:space="preserve">In Hungary, families are offered outstanding support: </w:t>
      </w:r>
      <w:r>
        <w:rPr>
          <w:b/>
        </w:rPr>
        <w:t xml:space="preserve">Hungary spends 4% of its GDP for such purposes as opposed to the OECD average of </w:t>
      </w:r>
      <w:r w:rsidR="00A57D67">
        <w:rPr>
          <w:b/>
        </w:rPr>
        <w:t>3.57</w:t>
      </w:r>
      <w:r>
        <w:rPr>
          <w:b/>
        </w:rPr>
        <w:t>%</w:t>
      </w:r>
      <w:r>
        <w:t xml:space="preserve"> </w:t>
      </w:r>
      <w:r>
        <w:rPr>
          <w:i/>
        </w:rPr>
        <w:t>(</w:t>
      </w:r>
      <w:r w:rsidR="00A57D67">
        <w:rPr>
          <w:i/>
        </w:rPr>
        <w:t>2013</w:t>
      </w:r>
      <w:r>
        <w:rPr>
          <w:i/>
        </w:rPr>
        <w:t>, Source: OECD Family Database</w:t>
      </w:r>
      <w:r>
        <w:t xml:space="preserve">).  More specifically, </w:t>
      </w:r>
      <w:r w:rsidR="00A57D67">
        <w:t>1.91</w:t>
      </w:r>
      <w:r>
        <w:t xml:space="preserve">% of the GDP is allocated to in-cash support, </w:t>
      </w:r>
      <w:r w:rsidR="00A57D67">
        <w:t>1.05</w:t>
      </w:r>
      <w:r>
        <w:t>% to services and 0.</w:t>
      </w:r>
      <w:r w:rsidR="00A57D67">
        <w:t>62</w:t>
      </w:r>
      <w:r>
        <w:t>% to tax allowances.</w:t>
      </w:r>
    </w:p>
    <w:p w:rsidR="00BB1E85" w:rsidRPr="00B2559B" w:rsidRDefault="00BB1E85" w:rsidP="005547B2">
      <w:pPr>
        <w:spacing w:after="120"/>
        <w:rPr>
          <w:szCs w:val="24"/>
        </w:rPr>
      </w:pPr>
      <w:r>
        <w:t>The forms of family support are either universal (given on the basis of a subjective right) or are conditional upon employment before the child's birth.</w:t>
      </w:r>
    </w:p>
    <w:p w:rsidR="00BB1E85" w:rsidRPr="00B2559B" w:rsidRDefault="00BB1E85" w:rsidP="005547B2">
      <w:pPr>
        <w:spacing w:after="120"/>
        <w:rPr>
          <w:szCs w:val="24"/>
        </w:rPr>
      </w:pPr>
      <w:r>
        <w:t xml:space="preserve">An emblematic tool of Hungary's family support system is the </w:t>
      </w:r>
      <w:r>
        <w:rPr>
          <w:b/>
        </w:rPr>
        <w:t>family tax benefit</w:t>
      </w:r>
      <w:r>
        <w:t xml:space="preserve">, offered gradually more and more citizens in recent years. However, the biggest budgetary item is the </w:t>
      </w:r>
      <w:r>
        <w:rPr>
          <w:b/>
        </w:rPr>
        <w:t>family allowance</w:t>
      </w:r>
      <w:r>
        <w:t>, offered on the basis of a subjective right and for each child; Hungary allocates approximately 1.1% of its GDP to this purpose.</w:t>
      </w:r>
    </w:p>
    <w:p w:rsidR="00BB1E85" w:rsidRPr="00B2559B" w:rsidRDefault="00BB1E85" w:rsidP="005547B2">
      <w:pPr>
        <w:spacing w:after="120"/>
        <w:rPr>
          <w:szCs w:val="24"/>
        </w:rPr>
      </w:pPr>
      <w:r w:rsidRPr="00D9292C">
        <w:t xml:space="preserve">On the basis of their subjective right, parents are entitled to </w:t>
      </w:r>
      <w:r w:rsidRPr="00D9292C">
        <w:rPr>
          <w:b/>
        </w:rPr>
        <w:t>paid childcare leave</w:t>
      </w:r>
      <w:r w:rsidRPr="00D9292C">
        <w:t xml:space="preserve"> for three years. In case the parent had social security coverage before the child was born, </w:t>
      </w:r>
      <w:r w:rsidRPr="00D9292C">
        <w:rPr>
          <w:b/>
        </w:rPr>
        <w:t>infant care fee</w:t>
      </w:r>
      <w:r w:rsidRPr="00D9292C">
        <w:t xml:space="preserve"> (Hungarian abbreviation: CSED) is offered for 168 days and, after that, </w:t>
      </w:r>
      <w:r w:rsidRPr="00D9292C">
        <w:rPr>
          <w:b/>
        </w:rPr>
        <w:t xml:space="preserve">child home care fee </w:t>
      </w:r>
      <w:r w:rsidRPr="00D9292C">
        <w:t xml:space="preserve">(GYED) until the child reaches two years of age. This is 70% of the salary earned before the child was born (a capped amount) and can be claimed instead of the </w:t>
      </w:r>
      <w:r w:rsidRPr="00D9292C">
        <w:rPr>
          <w:b/>
        </w:rPr>
        <w:t>child home care allowance</w:t>
      </w:r>
      <w:r w:rsidRPr="00D9292C">
        <w:t xml:space="preserve">.  </w:t>
      </w:r>
      <w:r>
        <w:t>Between the ages of 2 and 3 of the child, the parent is entitled to a benefit of a lower amount, granted on a the basis of a subjective right. In case the parent did not have social security coverage before the child was born, child home care allowance (a support based on subjective right) is granted until the child reaches 3 years of age.  (See Table 1) Mothers of three or more children are entitled to a benefit of the same amount until the youngest child reaches 8 years of age.</w:t>
      </w:r>
    </w:p>
    <w:p w:rsidR="00BB1E85" w:rsidRPr="00B2559B" w:rsidRDefault="00BB1E85" w:rsidP="005547B2">
      <w:pPr>
        <w:spacing w:after="120"/>
        <w:rPr>
          <w:szCs w:val="24"/>
        </w:rPr>
      </w:pPr>
      <w:r>
        <w:t xml:space="preserve">For each child, </w:t>
      </w:r>
      <w:r>
        <w:rPr>
          <w:b/>
        </w:rPr>
        <w:t>a family allowance</w:t>
      </w:r>
      <w:r>
        <w:t xml:space="preserve"> is granted until the completion of the child's secondary studies. The amount of the allowance varies depending on the beneficiary's situation, e.g. it is higher if there are more children, if the beneficiary is a single parent or in the case of disability.</w:t>
      </w:r>
      <w:r>
        <w:rPr>
          <w:color w:val="000000" w:themeColor="text1"/>
        </w:rPr>
        <w:t xml:space="preserve"> </w:t>
      </w:r>
      <w:r>
        <w:t xml:space="preserve">Another type of support granted on the basis of a subjective right is </w:t>
      </w:r>
      <w:r>
        <w:rPr>
          <w:b/>
        </w:rPr>
        <w:t>maternity support</w:t>
      </w:r>
      <w:r>
        <w:t>, a one-off payment offered when the child is born.</w:t>
      </w:r>
    </w:p>
    <w:p w:rsidR="00BB1E85" w:rsidRPr="00B2559B" w:rsidRDefault="00BB1E85" w:rsidP="005547B2">
      <w:pPr>
        <w:spacing w:after="120"/>
        <w:rPr>
          <w:szCs w:val="24"/>
        </w:rPr>
      </w:pPr>
      <w:r>
        <w:t xml:space="preserve">There are various targeted tools to offer support to children in need. Support is channelled to catering in the educational institutions and in the summer period; free textbooks are offered to </w:t>
      </w:r>
      <w:r>
        <w:lastRenderedPageBreak/>
        <w:t>children in several grades; special programmes are employed to involve parents and children alike (e.g. Sure Start Children's Centre, introduced on the basis of the British model).</w:t>
      </w:r>
    </w:p>
    <w:p w:rsidR="00BB1E85" w:rsidRPr="00B2559B" w:rsidRDefault="00BB1E85" w:rsidP="005547B2">
      <w:pPr>
        <w:spacing w:after="120"/>
        <w:rPr>
          <w:szCs w:val="24"/>
        </w:rPr>
      </w:pPr>
    </w:p>
    <w:p w:rsidR="00BB1E85" w:rsidRPr="00B2559B" w:rsidRDefault="00BB1E85" w:rsidP="005547B2">
      <w:pPr>
        <w:spacing w:after="120"/>
        <w:rPr>
          <w:szCs w:val="24"/>
        </w:rPr>
      </w:pPr>
      <w:r>
        <w:t xml:space="preserve">Families' financial situation is considerably improved with the </w:t>
      </w:r>
      <w:r>
        <w:rPr>
          <w:b/>
        </w:rPr>
        <w:t>decrease</w:t>
      </w:r>
      <w:r>
        <w:t xml:space="preserve"> </w:t>
      </w:r>
      <w:r>
        <w:rPr>
          <w:b/>
        </w:rPr>
        <w:t>of overheads</w:t>
      </w:r>
      <w:r>
        <w:t xml:space="preserve"> (costs of gas, district heating, electricity, water and water treatment, chimney sweeping and waste collection), introduced gradually. In the previous phase – between 1 January 2013 and 1 October 2014 – the cost of district heating was decreased by 22.6%, electricity by 24.6% and gas by 25.2%. </w:t>
      </w:r>
      <w:r>
        <w:rPr>
          <w:b/>
        </w:rPr>
        <w:t>Measures taken to help individuals with foreign-currency loans</w:t>
      </w:r>
      <w:r>
        <w:t xml:space="preserve"> (e.g. moratorium on eviction, the conversion of foreign-currency loans to local currency, opportunity for early loan repayment) improve the financial situation of indebted families.</w:t>
      </w:r>
    </w:p>
    <w:p w:rsidR="00BB1E85" w:rsidRPr="00B2559B" w:rsidRDefault="00BB1E85" w:rsidP="005547B2">
      <w:pPr>
        <w:spacing w:after="120"/>
        <w:rPr>
          <w:szCs w:val="24"/>
        </w:rPr>
      </w:pPr>
      <w:r>
        <w:rPr>
          <w:b/>
        </w:rPr>
        <w:t>Housing</w:t>
      </w:r>
      <w:r>
        <w:t xml:space="preserve"> is promoted with a non-repayable grant (housing allowance for families), loans with subsidized interest and state-supported housing savings programmes. </w:t>
      </w:r>
    </w:p>
    <w:p w:rsidR="00BB1E85" w:rsidRPr="00B2559B" w:rsidRDefault="00BB1E85" w:rsidP="005547B2">
      <w:pPr>
        <w:spacing w:after="120"/>
        <w:rPr>
          <w:szCs w:val="24"/>
        </w:rPr>
      </w:pPr>
      <w:r>
        <w:t xml:space="preserve">Another basic condition for a creating a financially firm background for the family is the individuals' stable labour market status.  To this end, </w:t>
      </w:r>
      <w:r>
        <w:rPr>
          <w:b/>
        </w:rPr>
        <w:t>contribution allowances are available to encourage employers to employ individuals with young children,</w:t>
      </w:r>
      <w:r>
        <w:t xml:space="preserve"> and, at the same time, various tools are employed to promote the reconciliation of family life and work. </w:t>
      </w:r>
      <w:r>
        <w:rPr>
          <w:b/>
        </w:rPr>
        <w:t>Flexible employment</w:t>
      </w:r>
      <w:r>
        <w:t xml:space="preserve"> is encouraged with legal instruments and special emphasis is laid on </w:t>
      </w:r>
      <w:r>
        <w:rPr>
          <w:b/>
        </w:rPr>
        <w:t>the improvement of daycare facilities for children</w:t>
      </w:r>
      <w:r>
        <w:t xml:space="preserve">. </w:t>
      </w:r>
    </w:p>
    <w:p w:rsidR="00BB1E85" w:rsidRDefault="00BB1E85" w:rsidP="005547B2">
      <w:pPr>
        <w:spacing w:after="120"/>
        <w:rPr>
          <w:b/>
          <w:szCs w:val="24"/>
        </w:rPr>
      </w:pPr>
    </w:p>
    <w:p w:rsidR="00BB1E85" w:rsidRPr="00780ECF" w:rsidRDefault="00780ECF" w:rsidP="00B0110A">
      <w:pPr>
        <w:pStyle w:val="Akapitzlist"/>
        <w:numPr>
          <w:ilvl w:val="0"/>
          <w:numId w:val="35"/>
        </w:numPr>
        <w:spacing w:after="120"/>
        <w:rPr>
          <w:rFonts w:cs="Times New Roman"/>
          <w:szCs w:val="24"/>
        </w:rPr>
      </w:pPr>
      <w:r>
        <w:t>Table : The system of major family support tools broken down by the child's age</w:t>
      </w:r>
    </w:p>
    <w:tbl>
      <w:tblPr>
        <w:tblW w:w="11214" w:type="dxa"/>
        <w:tblInd w:w="-1067" w:type="dxa"/>
        <w:tblCellMar>
          <w:left w:w="70" w:type="dxa"/>
          <w:right w:w="70" w:type="dxa"/>
        </w:tblCellMar>
        <w:tblLook w:val="04A0" w:firstRow="1" w:lastRow="0" w:firstColumn="1" w:lastColumn="0" w:noHBand="0" w:noVBand="1"/>
      </w:tblPr>
      <w:tblGrid>
        <w:gridCol w:w="1008"/>
        <w:gridCol w:w="992"/>
        <w:gridCol w:w="850"/>
        <w:gridCol w:w="426"/>
        <w:gridCol w:w="1134"/>
        <w:gridCol w:w="850"/>
        <w:gridCol w:w="709"/>
        <w:gridCol w:w="850"/>
        <w:gridCol w:w="709"/>
        <w:gridCol w:w="709"/>
        <w:gridCol w:w="567"/>
        <w:gridCol w:w="567"/>
        <w:gridCol w:w="567"/>
        <w:gridCol w:w="567"/>
        <w:gridCol w:w="709"/>
      </w:tblGrid>
      <w:tr w:rsidR="00BB1E85" w:rsidRPr="003D3B26" w:rsidTr="00BB1E85">
        <w:trPr>
          <w:trHeight w:val="300"/>
        </w:trPr>
        <w:tc>
          <w:tcPr>
            <w:tcW w:w="200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B1E85" w:rsidRPr="003D3B26" w:rsidRDefault="00BB1E85" w:rsidP="005547B2">
            <w:pPr>
              <w:spacing w:after="120"/>
              <w:rPr>
                <w:rFonts w:eastAsia="Times New Roman" w:cs="Times New Roman"/>
                <w:b/>
                <w:bCs/>
                <w:color w:val="000000"/>
                <w:sz w:val="16"/>
                <w:szCs w:val="16"/>
              </w:rPr>
            </w:pPr>
            <w:r>
              <w:rPr>
                <w:b/>
                <w:color w:val="000000"/>
                <w:sz w:val="16"/>
              </w:rPr>
              <w:t>Age of child (years)</w:t>
            </w:r>
          </w:p>
        </w:tc>
        <w:tc>
          <w:tcPr>
            <w:tcW w:w="1276" w:type="dxa"/>
            <w:gridSpan w:val="2"/>
            <w:tcBorders>
              <w:top w:val="single" w:sz="8" w:space="0" w:color="auto"/>
              <w:left w:val="nil"/>
              <w:bottom w:val="single" w:sz="4" w:space="0" w:color="auto"/>
              <w:right w:val="single" w:sz="4" w:space="0" w:color="000000"/>
            </w:tcBorders>
            <w:shd w:val="clear" w:color="auto" w:fill="auto"/>
            <w:noWrap/>
            <w:vAlign w:val="center"/>
            <w:hideMark/>
          </w:tcPr>
          <w:p w:rsidR="00BB1E85" w:rsidRPr="003D3B26" w:rsidRDefault="00BB1E85" w:rsidP="005547B2">
            <w:pPr>
              <w:spacing w:after="120"/>
              <w:jc w:val="center"/>
              <w:rPr>
                <w:rFonts w:eastAsia="Times New Roman" w:cs="Times New Roman"/>
                <w:color w:val="000000"/>
                <w:sz w:val="16"/>
                <w:szCs w:val="16"/>
              </w:rPr>
            </w:pPr>
            <w:r>
              <w:rPr>
                <w:color w:val="000000"/>
                <w:sz w:val="16"/>
              </w:rPr>
              <w:t>Conception</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BB1E85" w:rsidRPr="003D3B26" w:rsidRDefault="00BB1E85" w:rsidP="005547B2">
            <w:pPr>
              <w:spacing w:after="120"/>
              <w:rPr>
                <w:rFonts w:eastAsia="Times New Roman" w:cs="Times New Roman"/>
                <w:color w:val="000000"/>
                <w:sz w:val="16"/>
                <w:szCs w:val="16"/>
              </w:rPr>
            </w:pPr>
            <w:r>
              <w:rPr>
                <w:color w:val="000000"/>
                <w:sz w:val="16"/>
              </w:rPr>
              <w:t>0 (birth)</w:t>
            </w:r>
          </w:p>
        </w:tc>
        <w:tc>
          <w:tcPr>
            <w:tcW w:w="850" w:type="dxa"/>
            <w:tcBorders>
              <w:top w:val="single" w:sz="8" w:space="0" w:color="auto"/>
              <w:left w:val="nil"/>
              <w:bottom w:val="single" w:sz="4" w:space="0" w:color="auto"/>
              <w:right w:val="single" w:sz="4" w:space="0" w:color="000000"/>
            </w:tcBorders>
            <w:shd w:val="clear" w:color="auto" w:fill="auto"/>
            <w:noWrap/>
            <w:vAlign w:val="center"/>
            <w:hideMark/>
          </w:tcPr>
          <w:p w:rsidR="00BB1E85" w:rsidRPr="003D3B26" w:rsidRDefault="00BB1E85" w:rsidP="005547B2">
            <w:pPr>
              <w:spacing w:after="120"/>
              <w:jc w:val="center"/>
              <w:rPr>
                <w:rFonts w:eastAsia="Times New Roman" w:cs="Times New Roman"/>
                <w:color w:val="000000"/>
                <w:sz w:val="16"/>
                <w:szCs w:val="16"/>
              </w:rPr>
            </w:pPr>
            <w:r>
              <w:rPr>
                <w:color w:val="000000"/>
                <w:sz w:val="16"/>
              </w:rPr>
              <w:t>1</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BB1E85" w:rsidRPr="003D3B26" w:rsidRDefault="00BB1E85" w:rsidP="005547B2">
            <w:pPr>
              <w:spacing w:after="120"/>
              <w:jc w:val="right"/>
              <w:rPr>
                <w:rFonts w:eastAsia="Times New Roman" w:cs="Times New Roman"/>
                <w:color w:val="000000"/>
                <w:sz w:val="16"/>
                <w:szCs w:val="16"/>
              </w:rPr>
            </w:pPr>
            <w:r>
              <w:rPr>
                <w:color w:val="000000"/>
                <w:sz w:val="16"/>
              </w:rPr>
              <w:t>2</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BB1E85" w:rsidRPr="003D3B26" w:rsidRDefault="00BB1E85" w:rsidP="005547B2">
            <w:pPr>
              <w:spacing w:after="120"/>
              <w:jc w:val="right"/>
              <w:rPr>
                <w:rFonts w:eastAsia="Times New Roman" w:cs="Times New Roman"/>
                <w:color w:val="000000"/>
                <w:sz w:val="16"/>
                <w:szCs w:val="16"/>
              </w:rPr>
            </w:pPr>
            <w:r>
              <w:rPr>
                <w:color w:val="000000"/>
                <w:sz w:val="16"/>
              </w:rPr>
              <w:t>3</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BB1E85" w:rsidRPr="003D3B26" w:rsidRDefault="00BB1E85" w:rsidP="005547B2">
            <w:pPr>
              <w:spacing w:after="120"/>
              <w:jc w:val="right"/>
              <w:rPr>
                <w:rFonts w:eastAsia="Times New Roman" w:cs="Times New Roman"/>
                <w:color w:val="000000"/>
                <w:sz w:val="16"/>
                <w:szCs w:val="16"/>
              </w:rPr>
            </w:pPr>
            <w:r>
              <w:rPr>
                <w:color w:val="000000"/>
                <w:sz w:val="16"/>
              </w:rPr>
              <w:t>4</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BB1E85" w:rsidRPr="003D3B26" w:rsidRDefault="00BB1E85" w:rsidP="005547B2">
            <w:pPr>
              <w:spacing w:after="120"/>
              <w:jc w:val="right"/>
              <w:rPr>
                <w:rFonts w:eastAsia="Times New Roman" w:cs="Times New Roman"/>
                <w:color w:val="000000"/>
                <w:sz w:val="16"/>
                <w:szCs w:val="16"/>
              </w:rPr>
            </w:pPr>
            <w:r>
              <w:rPr>
                <w:color w:val="000000"/>
                <w:sz w:val="16"/>
              </w:rPr>
              <w:t>5</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BB1E85" w:rsidRPr="003D3B26" w:rsidRDefault="00BB1E85" w:rsidP="005547B2">
            <w:pPr>
              <w:spacing w:after="120"/>
              <w:jc w:val="right"/>
              <w:rPr>
                <w:rFonts w:eastAsia="Times New Roman" w:cs="Times New Roman"/>
                <w:color w:val="000000"/>
                <w:sz w:val="16"/>
                <w:szCs w:val="16"/>
              </w:rPr>
            </w:pPr>
            <w:r>
              <w:rPr>
                <w:color w:val="000000"/>
                <w:sz w:val="16"/>
              </w:rPr>
              <w:t>6</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BB1E85" w:rsidRPr="003D3B26" w:rsidRDefault="00BB1E85" w:rsidP="005547B2">
            <w:pPr>
              <w:spacing w:after="120"/>
              <w:jc w:val="right"/>
              <w:rPr>
                <w:rFonts w:eastAsia="Times New Roman" w:cs="Times New Roman"/>
                <w:color w:val="000000"/>
                <w:sz w:val="16"/>
                <w:szCs w:val="16"/>
              </w:rPr>
            </w:pPr>
            <w:r>
              <w:rPr>
                <w:color w:val="000000"/>
                <w:sz w:val="16"/>
              </w:rPr>
              <w:t>7</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BB1E85" w:rsidRPr="003D3B26" w:rsidRDefault="00BB1E85" w:rsidP="005547B2">
            <w:pPr>
              <w:spacing w:after="120"/>
              <w:jc w:val="right"/>
              <w:rPr>
                <w:rFonts w:eastAsia="Times New Roman" w:cs="Times New Roman"/>
                <w:color w:val="000000"/>
                <w:sz w:val="16"/>
                <w:szCs w:val="16"/>
              </w:rPr>
            </w:pPr>
            <w:r>
              <w:rPr>
                <w:color w:val="000000"/>
                <w:sz w:val="16"/>
              </w:rPr>
              <w:t>8</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BB1E85" w:rsidRPr="003D3B26" w:rsidRDefault="00BB1E85" w:rsidP="005547B2">
            <w:pPr>
              <w:spacing w:after="120"/>
              <w:rPr>
                <w:rFonts w:eastAsia="Times New Roman" w:cs="Times New Roman"/>
                <w:color w:val="000000"/>
                <w:sz w:val="16"/>
                <w:szCs w:val="16"/>
              </w:rPr>
            </w:pPr>
            <w:r>
              <w:rPr>
                <w:color w:val="000000"/>
                <w:sz w:val="16"/>
              </w:rPr>
              <w:t>…</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rsidR="00BB1E85" w:rsidRPr="003D3B26" w:rsidRDefault="00BB1E85" w:rsidP="005547B2">
            <w:pPr>
              <w:spacing w:after="120"/>
              <w:rPr>
                <w:rFonts w:eastAsia="Times New Roman" w:cs="Times New Roman"/>
                <w:color w:val="000000"/>
                <w:sz w:val="16"/>
                <w:szCs w:val="16"/>
              </w:rPr>
            </w:pPr>
            <w:r>
              <w:rPr>
                <w:color w:val="000000"/>
                <w:sz w:val="16"/>
              </w:rPr>
              <w:t>18 (23)</w:t>
            </w:r>
          </w:p>
        </w:tc>
      </w:tr>
      <w:tr w:rsidR="00BB1E85" w:rsidRPr="003D3B26" w:rsidTr="00BB1E85">
        <w:trPr>
          <w:trHeight w:val="615"/>
        </w:trPr>
        <w:tc>
          <w:tcPr>
            <w:tcW w:w="20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BB1E85" w:rsidRPr="003D3B26" w:rsidRDefault="00BB1E85" w:rsidP="005547B2">
            <w:pPr>
              <w:spacing w:after="120"/>
              <w:rPr>
                <w:rFonts w:eastAsia="Times New Roman" w:cs="Times New Roman"/>
                <w:b/>
                <w:bCs/>
                <w:color w:val="000000"/>
                <w:sz w:val="16"/>
                <w:szCs w:val="16"/>
              </w:rPr>
            </w:pPr>
            <w:r>
              <w:rPr>
                <w:b/>
                <w:color w:val="000000"/>
                <w:sz w:val="16"/>
              </w:rPr>
              <w:t>Support based on employment</w:t>
            </w:r>
          </w:p>
        </w:tc>
        <w:tc>
          <w:tcPr>
            <w:tcW w:w="850" w:type="dxa"/>
            <w:tcBorders>
              <w:top w:val="nil"/>
              <w:left w:val="nil"/>
              <w:bottom w:val="single" w:sz="4" w:space="0" w:color="auto"/>
              <w:right w:val="single" w:sz="4" w:space="0" w:color="auto"/>
            </w:tcBorders>
            <w:shd w:val="clear" w:color="auto" w:fill="auto"/>
            <w:noWrap/>
            <w:vAlign w:val="center"/>
            <w:hideMark/>
          </w:tcPr>
          <w:p w:rsidR="00BB1E85" w:rsidRPr="003D3B26" w:rsidRDefault="00BB1E85" w:rsidP="005547B2">
            <w:pPr>
              <w:spacing w:after="120"/>
              <w:jc w:val="center"/>
              <w:rPr>
                <w:rFonts w:eastAsia="Times New Roman" w:cs="Times New Roman"/>
                <w:b/>
                <w:bCs/>
                <w:color w:val="000000"/>
                <w:sz w:val="16"/>
                <w:szCs w:val="16"/>
              </w:rPr>
            </w:pPr>
            <w:r>
              <w:rPr>
                <w:b/>
                <w:color w:val="000000"/>
                <w:sz w:val="16"/>
              </w:rPr>
              <w:t> </w:t>
            </w:r>
          </w:p>
        </w:tc>
        <w:tc>
          <w:tcPr>
            <w:tcW w:w="8364" w:type="dxa"/>
            <w:gridSpan w:val="12"/>
            <w:tcBorders>
              <w:top w:val="single" w:sz="4" w:space="0" w:color="auto"/>
              <w:left w:val="nil"/>
              <w:bottom w:val="single" w:sz="4" w:space="0" w:color="auto"/>
              <w:right w:val="single" w:sz="8" w:space="0" w:color="000000"/>
            </w:tcBorders>
            <w:shd w:val="clear" w:color="000000" w:fill="B8CCE4"/>
            <w:noWrap/>
            <w:vAlign w:val="center"/>
            <w:hideMark/>
          </w:tcPr>
          <w:p w:rsidR="00BB1E85" w:rsidRPr="003D3B26" w:rsidRDefault="00BB1E85" w:rsidP="005547B2">
            <w:pPr>
              <w:spacing w:after="120"/>
              <w:jc w:val="center"/>
              <w:rPr>
                <w:rFonts w:eastAsia="Times New Roman" w:cs="Times New Roman"/>
                <w:color w:val="000000"/>
                <w:sz w:val="16"/>
                <w:szCs w:val="16"/>
              </w:rPr>
            </w:pPr>
            <w:r>
              <w:rPr>
                <w:color w:val="000000"/>
                <w:sz w:val="16"/>
              </w:rPr>
              <w:t>Tax and contribution allowances for families</w:t>
            </w:r>
          </w:p>
        </w:tc>
      </w:tr>
      <w:tr w:rsidR="00BB1E85" w:rsidRPr="003D3B26" w:rsidTr="00BB1E85">
        <w:trPr>
          <w:trHeight w:val="1575"/>
        </w:trPr>
        <w:tc>
          <w:tcPr>
            <w:tcW w:w="20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BB1E85" w:rsidRPr="003D3B26" w:rsidRDefault="00BB1E85" w:rsidP="005547B2">
            <w:pPr>
              <w:spacing w:after="120"/>
              <w:rPr>
                <w:rFonts w:eastAsia="Times New Roman" w:cs="Times New Roman"/>
                <w:b/>
                <w:bCs/>
                <w:color w:val="000000"/>
                <w:sz w:val="16"/>
                <w:szCs w:val="16"/>
              </w:rPr>
            </w:pPr>
            <w:r>
              <w:rPr>
                <w:b/>
                <w:color w:val="000000"/>
                <w:sz w:val="16"/>
              </w:rPr>
              <w:t xml:space="preserve">One-off payment when the child is born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B1E85" w:rsidRPr="003D3B26" w:rsidRDefault="00BB1E85" w:rsidP="005547B2">
            <w:pPr>
              <w:spacing w:after="120"/>
              <w:jc w:val="center"/>
              <w:rPr>
                <w:rFonts w:eastAsia="Times New Roman" w:cs="Times New Roman"/>
                <w:b/>
                <w:bCs/>
                <w:color w:val="000000"/>
                <w:sz w:val="16"/>
                <w:szCs w:val="16"/>
              </w:rPr>
            </w:pPr>
            <w:r>
              <w:rPr>
                <w:b/>
                <w:color w:val="000000"/>
                <w:sz w:val="16"/>
              </w:rPr>
              <w:t> </w:t>
            </w:r>
          </w:p>
        </w:tc>
        <w:tc>
          <w:tcPr>
            <w:tcW w:w="1134" w:type="dxa"/>
            <w:tcBorders>
              <w:top w:val="nil"/>
              <w:left w:val="nil"/>
              <w:bottom w:val="single" w:sz="4" w:space="0" w:color="auto"/>
              <w:right w:val="single" w:sz="4" w:space="0" w:color="auto"/>
            </w:tcBorders>
            <w:shd w:val="clear" w:color="000000" w:fill="B8CCE4"/>
            <w:vAlign w:val="center"/>
            <w:hideMark/>
          </w:tcPr>
          <w:p w:rsidR="00BB1E85" w:rsidRPr="003D3B26" w:rsidRDefault="00BB1E85" w:rsidP="005547B2">
            <w:pPr>
              <w:spacing w:after="120"/>
              <w:jc w:val="center"/>
              <w:rPr>
                <w:rFonts w:eastAsia="Times New Roman" w:cs="Times New Roman"/>
                <w:color w:val="000000"/>
                <w:sz w:val="16"/>
                <w:szCs w:val="16"/>
              </w:rPr>
            </w:pPr>
            <w:r>
              <w:rPr>
                <w:color w:val="000000"/>
                <w:sz w:val="16"/>
              </w:rPr>
              <w:t>Maternity support; local community or district support (optionally granted)</w:t>
            </w:r>
          </w:p>
        </w:tc>
        <w:tc>
          <w:tcPr>
            <w:tcW w:w="6804" w:type="dxa"/>
            <w:gridSpan w:val="10"/>
            <w:tcBorders>
              <w:top w:val="single" w:sz="4" w:space="0" w:color="auto"/>
              <w:left w:val="nil"/>
              <w:bottom w:val="single" w:sz="4" w:space="0" w:color="auto"/>
              <w:right w:val="single" w:sz="8" w:space="0" w:color="000000"/>
            </w:tcBorders>
            <w:shd w:val="clear" w:color="auto" w:fill="auto"/>
            <w:vAlign w:val="center"/>
            <w:hideMark/>
          </w:tcPr>
          <w:p w:rsidR="00BB1E85" w:rsidRPr="003D3B26" w:rsidRDefault="00BB1E85" w:rsidP="005547B2">
            <w:pPr>
              <w:spacing w:after="120"/>
              <w:jc w:val="center"/>
              <w:rPr>
                <w:rFonts w:eastAsia="Times New Roman" w:cs="Times New Roman"/>
                <w:color w:val="000000"/>
                <w:sz w:val="16"/>
                <w:szCs w:val="16"/>
              </w:rPr>
            </w:pPr>
            <w:r>
              <w:rPr>
                <w:color w:val="000000"/>
                <w:sz w:val="16"/>
              </w:rPr>
              <w:t> </w:t>
            </w:r>
          </w:p>
        </w:tc>
      </w:tr>
      <w:tr w:rsidR="00BB1E85" w:rsidRPr="003D3B26" w:rsidTr="00BB1E85">
        <w:trPr>
          <w:trHeight w:val="600"/>
        </w:trPr>
        <w:tc>
          <w:tcPr>
            <w:tcW w:w="20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BB1E85" w:rsidRPr="003D3B26" w:rsidRDefault="00BB1E85" w:rsidP="005547B2">
            <w:pPr>
              <w:spacing w:after="120"/>
              <w:rPr>
                <w:rFonts w:eastAsia="Times New Roman" w:cs="Times New Roman"/>
                <w:b/>
                <w:bCs/>
                <w:color w:val="000000"/>
                <w:sz w:val="16"/>
                <w:szCs w:val="16"/>
              </w:rPr>
            </w:pPr>
            <w:r>
              <w:rPr>
                <w:b/>
                <w:color w:val="000000"/>
                <w:sz w:val="16"/>
              </w:rPr>
              <w:t>Monthly allowances granted to families</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B1E85" w:rsidRPr="003D3B26" w:rsidRDefault="00BB1E85" w:rsidP="005547B2">
            <w:pPr>
              <w:spacing w:after="120"/>
              <w:jc w:val="center"/>
              <w:rPr>
                <w:rFonts w:eastAsia="Times New Roman" w:cs="Times New Roman"/>
                <w:b/>
                <w:bCs/>
                <w:color w:val="000000"/>
                <w:sz w:val="16"/>
                <w:szCs w:val="16"/>
              </w:rPr>
            </w:pPr>
            <w:r>
              <w:rPr>
                <w:b/>
                <w:color w:val="000000"/>
                <w:sz w:val="16"/>
              </w:rPr>
              <w:t> </w:t>
            </w:r>
          </w:p>
        </w:tc>
        <w:tc>
          <w:tcPr>
            <w:tcW w:w="4961" w:type="dxa"/>
            <w:gridSpan w:val="6"/>
            <w:tcBorders>
              <w:top w:val="single" w:sz="4" w:space="0" w:color="auto"/>
              <w:left w:val="nil"/>
              <w:bottom w:val="single" w:sz="4" w:space="0" w:color="auto"/>
              <w:right w:val="single" w:sz="4" w:space="0" w:color="000000"/>
            </w:tcBorders>
            <w:shd w:val="clear" w:color="000000" w:fill="B8CCE4"/>
            <w:noWrap/>
            <w:vAlign w:val="center"/>
            <w:hideMark/>
          </w:tcPr>
          <w:p w:rsidR="00BB1E85" w:rsidRPr="003D3B26" w:rsidRDefault="00BB1E85" w:rsidP="005547B2">
            <w:pPr>
              <w:spacing w:after="120"/>
              <w:jc w:val="center"/>
              <w:rPr>
                <w:rFonts w:eastAsia="Times New Roman" w:cs="Times New Roman"/>
                <w:color w:val="000000"/>
                <w:sz w:val="16"/>
                <w:szCs w:val="16"/>
              </w:rPr>
            </w:pPr>
            <w:r>
              <w:rPr>
                <w:color w:val="000000"/>
                <w:sz w:val="16"/>
              </w:rPr>
              <w:t>Family allowance (child-raising benefit)</w:t>
            </w:r>
          </w:p>
        </w:tc>
        <w:tc>
          <w:tcPr>
            <w:tcW w:w="2977" w:type="dxa"/>
            <w:gridSpan w:val="5"/>
            <w:tcBorders>
              <w:top w:val="single" w:sz="4" w:space="0" w:color="auto"/>
              <w:left w:val="nil"/>
              <w:bottom w:val="single" w:sz="4" w:space="0" w:color="auto"/>
              <w:right w:val="single" w:sz="8" w:space="0" w:color="000000"/>
            </w:tcBorders>
            <w:shd w:val="clear" w:color="000000" w:fill="B8CCE4"/>
            <w:noWrap/>
            <w:vAlign w:val="center"/>
            <w:hideMark/>
          </w:tcPr>
          <w:p w:rsidR="00BB1E85" w:rsidRPr="003D3B26" w:rsidRDefault="00BB1E85" w:rsidP="005547B2">
            <w:pPr>
              <w:spacing w:after="120"/>
              <w:jc w:val="center"/>
              <w:rPr>
                <w:rFonts w:eastAsia="Times New Roman" w:cs="Times New Roman"/>
                <w:color w:val="000000"/>
                <w:sz w:val="16"/>
                <w:szCs w:val="16"/>
              </w:rPr>
            </w:pPr>
            <w:r>
              <w:rPr>
                <w:color w:val="000000"/>
                <w:sz w:val="16"/>
              </w:rPr>
              <w:t>Family allowance (schooling benefit)</w:t>
            </w:r>
          </w:p>
        </w:tc>
      </w:tr>
      <w:tr w:rsidR="00BB1E85" w:rsidRPr="003D3B26" w:rsidTr="00BB1E85">
        <w:trPr>
          <w:trHeight w:val="630"/>
        </w:trPr>
        <w:tc>
          <w:tcPr>
            <w:tcW w:w="1008" w:type="dxa"/>
            <w:vMerge w:val="restart"/>
            <w:tcBorders>
              <w:top w:val="nil"/>
              <w:left w:val="single" w:sz="8" w:space="0" w:color="auto"/>
              <w:bottom w:val="single" w:sz="8" w:space="0" w:color="000000"/>
              <w:right w:val="single" w:sz="4" w:space="0" w:color="auto"/>
            </w:tcBorders>
            <w:shd w:val="clear" w:color="auto" w:fill="auto"/>
            <w:vAlign w:val="center"/>
            <w:hideMark/>
          </w:tcPr>
          <w:p w:rsidR="00BB1E85" w:rsidRPr="003D3B26" w:rsidRDefault="00BB1E85" w:rsidP="005547B2">
            <w:pPr>
              <w:spacing w:after="120"/>
              <w:jc w:val="center"/>
              <w:rPr>
                <w:rFonts w:eastAsia="Times New Roman" w:cs="Times New Roman"/>
                <w:b/>
                <w:bCs/>
                <w:color w:val="000000"/>
                <w:sz w:val="16"/>
                <w:szCs w:val="16"/>
              </w:rPr>
            </w:pPr>
            <w:r>
              <w:rPr>
                <w:b/>
                <w:color w:val="000000"/>
                <w:sz w:val="16"/>
              </w:rPr>
              <w:t>Allowances to support the home care of children</w:t>
            </w:r>
          </w:p>
        </w:tc>
        <w:tc>
          <w:tcPr>
            <w:tcW w:w="992" w:type="dxa"/>
            <w:tcBorders>
              <w:top w:val="nil"/>
              <w:left w:val="nil"/>
              <w:bottom w:val="single" w:sz="4" w:space="0" w:color="auto"/>
              <w:right w:val="single" w:sz="8" w:space="0" w:color="auto"/>
            </w:tcBorders>
            <w:shd w:val="clear" w:color="auto" w:fill="auto"/>
            <w:vAlign w:val="center"/>
            <w:hideMark/>
          </w:tcPr>
          <w:p w:rsidR="00BB1E85" w:rsidRPr="003D3B26" w:rsidRDefault="00BB1E85" w:rsidP="005547B2">
            <w:pPr>
              <w:spacing w:after="120"/>
              <w:jc w:val="center"/>
              <w:rPr>
                <w:rFonts w:eastAsia="Times New Roman" w:cs="Times New Roman"/>
                <w:b/>
                <w:bCs/>
                <w:color w:val="000000"/>
                <w:sz w:val="16"/>
                <w:szCs w:val="16"/>
              </w:rPr>
            </w:pPr>
            <w:r>
              <w:rPr>
                <w:b/>
                <w:color w:val="000000"/>
                <w:sz w:val="16"/>
              </w:rPr>
              <w:t xml:space="preserve">Applicant (mother) </w:t>
            </w:r>
            <w:r>
              <w:rPr>
                <w:b/>
                <w:color w:val="000000"/>
                <w:sz w:val="16"/>
                <w:u w:val="single"/>
              </w:rPr>
              <w:t>was not employed</w:t>
            </w:r>
            <w:r>
              <w:rPr>
                <w:b/>
                <w:color w:val="000000"/>
                <w:sz w:val="16"/>
              </w:rPr>
              <w:t xml:space="preserve"> before the child was born</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rsidR="00BB1E85" w:rsidRPr="003D3B26" w:rsidRDefault="00BB1E85" w:rsidP="005547B2">
            <w:pPr>
              <w:spacing w:after="120"/>
              <w:jc w:val="center"/>
              <w:rPr>
                <w:rFonts w:eastAsia="Times New Roman" w:cs="Times New Roman"/>
                <w:b/>
                <w:bCs/>
                <w:color w:val="000000"/>
                <w:sz w:val="16"/>
                <w:szCs w:val="16"/>
              </w:rPr>
            </w:pPr>
            <w:r>
              <w:rPr>
                <w:b/>
                <w:color w:val="000000"/>
                <w:sz w:val="16"/>
              </w:rPr>
              <w:t> </w:t>
            </w:r>
          </w:p>
        </w:tc>
        <w:tc>
          <w:tcPr>
            <w:tcW w:w="3543" w:type="dxa"/>
            <w:gridSpan w:val="4"/>
            <w:tcBorders>
              <w:top w:val="single" w:sz="4" w:space="0" w:color="auto"/>
              <w:left w:val="nil"/>
              <w:bottom w:val="single" w:sz="4" w:space="0" w:color="auto"/>
              <w:right w:val="single" w:sz="4" w:space="0" w:color="000000"/>
            </w:tcBorders>
            <w:shd w:val="clear" w:color="000000" w:fill="B8CCE4"/>
            <w:noWrap/>
            <w:vAlign w:val="center"/>
            <w:hideMark/>
          </w:tcPr>
          <w:p w:rsidR="00BB1E85" w:rsidRPr="003D3B26" w:rsidRDefault="00BB1E85" w:rsidP="005547B2">
            <w:pPr>
              <w:spacing w:after="120"/>
              <w:jc w:val="center"/>
              <w:rPr>
                <w:rFonts w:eastAsia="Times New Roman" w:cs="Times New Roman"/>
                <w:color w:val="000000"/>
                <w:sz w:val="16"/>
                <w:szCs w:val="16"/>
              </w:rPr>
            </w:pPr>
            <w:r>
              <w:rPr>
                <w:color w:val="000000"/>
                <w:sz w:val="16"/>
              </w:rPr>
              <w:t>Child home care allowance</w:t>
            </w:r>
          </w:p>
        </w:tc>
        <w:tc>
          <w:tcPr>
            <w:tcW w:w="3119" w:type="dxa"/>
            <w:gridSpan w:val="5"/>
            <w:vMerge w:val="restart"/>
            <w:tcBorders>
              <w:top w:val="single" w:sz="4" w:space="0" w:color="auto"/>
              <w:left w:val="single" w:sz="4" w:space="0" w:color="auto"/>
              <w:bottom w:val="single" w:sz="8" w:space="0" w:color="000000"/>
              <w:right w:val="single" w:sz="4" w:space="0" w:color="000000"/>
            </w:tcBorders>
            <w:shd w:val="clear" w:color="000000" w:fill="B8CCE4"/>
            <w:noWrap/>
            <w:vAlign w:val="center"/>
            <w:hideMark/>
          </w:tcPr>
          <w:p w:rsidR="00BB1E85" w:rsidRPr="003D3B26" w:rsidRDefault="00BB1E85" w:rsidP="005547B2">
            <w:pPr>
              <w:spacing w:after="120"/>
              <w:jc w:val="center"/>
              <w:rPr>
                <w:rFonts w:eastAsia="Times New Roman" w:cs="Times New Roman"/>
                <w:color w:val="000000"/>
                <w:sz w:val="16"/>
                <w:szCs w:val="16"/>
              </w:rPr>
            </w:pPr>
            <w:r>
              <w:rPr>
                <w:color w:val="000000"/>
                <w:sz w:val="16"/>
              </w:rPr>
              <w:t>Child-raising support</w:t>
            </w:r>
          </w:p>
        </w:tc>
        <w:tc>
          <w:tcPr>
            <w:tcW w:w="1276" w:type="dxa"/>
            <w:gridSpan w:val="2"/>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rsidR="00BB1E85" w:rsidRPr="003D3B26" w:rsidRDefault="00BB1E85" w:rsidP="005547B2">
            <w:pPr>
              <w:spacing w:after="120"/>
              <w:jc w:val="center"/>
              <w:rPr>
                <w:rFonts w:eastAsia="Times New Roman" w:cs="Times New Roman"/>
                <w:color w:val="000000"/>
                <w:sz w:val="16"/>
                <w:szCs w:val="16"/>
              </w:rPr>
            </w:pPr>
            <w:r>
              <w:rPr>
                <w:color w:val="000000"/>
                <w:sz w:val="16"/>
              </w:rPr>
              <w:t> </w:t>
            </w:r>
          </w:p>
        </w:tc>
      </w:tr>
      <w:tr w:rsidR="00BB1E85" w:rsidRPr="003D3B26" w:rsidTr="006933B0">
        <w:trPr>
          <w:trHeight w:val="645"/>
        </w:trPr>
        <w:tc>
          <w:tcPr>
            <w:tcW w:w="1008" w:type="dxa"/>
            <w:vMerge/>
            <w:tcBorders>
              <w:top w:val="nil"/>
              <w:left w:val="single" w:sz="8" w:space="0" w:color="auto"/>
              <w:bottom w:val="single" w:sz="8" w:space="0" w:color="000000"/>
              <w:right w:val="single" w:sz="4" w:space="0" w:color="auto"/>
            </w:tcBorders>
            <w:vAlign w:val="center"/>
            <w:hideMark/>
          </w:tcPr>
          <w:p w:rsidR="00BB1E85" w:rsidRPr="003D3B26" w:rsidRDefault="00BB1E85" w:rsidP="005547B2">
            <w:pPr>
              <w:spacing w:after="120"/>
              <w:rPr>
                <w:rFonts w:eastAsia="Times New Roman" w:cs="Times New Roman"/>
                <w:b/>
                <w:bCs/>
                <w:color w:val="000000"/>
                <w:sz w:val="16"/>
                <w:szCs w:val="16"/>
              </w:rPr>
            </w:pPr>
          </w:p>
        </w:tc>
        <w:tc>
          <w:tcPr>
            <w:tcW w:w="992" w:type="dxa"/>
            <w:tcBorders>
              <w:top w:val="nil"/>
              <w:left w:val="nil"/>
              <w:bottom w:val="single" w:sz="8" w:space="0" w:color="auto"/>
              <w:right w:val="single" w:sz="8" w:space="0" w:color="auto"/>
            </w:tcBorders>
            <w:shd w:val="clear" w:color="auto" w:fill="auto"/>
            <w:vAlign w:val="center"/>
            <w:hideMark/>
          </w:tcPr>
          <w:p w:rsidR="00BB1E85" w:rsidRPr="003D3B26" w:rsidRDefault="00BB1E85" w:rsidP="005547B2">
            <w:pPr>
              <w:spacing w:after="120"/>
              <w:jc w:val="center"/>
              <w:rPr>
                <w:rFonts w:eastAsia="Times New Roman" w:cs="Times New Roman"/>
                <w:b/>
                <w:bCs/>
                <w:color w:val="000000"/>
                <w:sz w:val="16"/>
                <w:szCs w:val="16"/>
              </w:rPr>
            </w:pPr>
            <w:r>
              <w:rPr>
                <w:b/>
                <w:color w:val="000000"/>
                <w:sz w:val="16"/>
              </w:rPr>
              <w:t xml:space="preserve">Applicant (mother) </w:t>
            </w:r>
            <w:r>
              <w:rPr>
                <w:b/>
                <w:color w:val="000000"/>
                <w:sz w:val="16"/>
                <w:u w:val="single"/>
              </w:rPr>
              <w:t>was employed</w:t>
            </w:r>
            <w:r>
              <w:rPr>
                <w:b/>
                <w:color w:val="000000"/>
                <w:sz w:val="16"/>
              </w:rPr>
              <w:t xml:space="preserve"> before the child was born</w:t>
            </w:r>
          </w:p>
        </w:tc>
        <w:tc>
          <w:tcPr>
            <w:tcW w:w="1276" w:type="dxa"/>
            <w:gridSpan w:val="2"/>
            <w:tcBorders>
              <w:top w:val="nil"/>
              <w:left w:val="nil"/>
              <w:bottom w:val="single" w:sz="8" w:space="0" w:color="auto"/>
              <w:right w:val="single" w:sz="4" w:space="0" w:color="auto"/>
            </w:tcBorders>
            <w:shd w:val="clear" w:color="auto" w:fill="auto"/>
            <w:vAlign w:val="center"/>
            <w:hideMark/>
          </w:tcPr>
          <w:p w:rsidR="00BB1E85" w:rsidRPr="003D3B26" w:rsidRDefault="00BB1E85" w:rsidP="005547B2">
            <w:pPr>
              <w:spacing w:after="120"/>
              <w:jc w:val="center"/>
              <w:rPr>
                <w:rFonts w:eastAsia="Times New Roman" w:cs="Times New Roman"/>
                <w:b/>
                <w:bCs/>
                <w:color w:val="000000"/>
                <w:sz w:val="16"/>
                <w:szCs w:val="16"/>
              </w:rPr>
            </w:pPr>
            <w:r>
              <w:rPr>
                <w:b/>
                <w:color w:val="000000"/>
                <w:sz w:val="16"/>
              </w:rPr>
              <w:t> </w:t>
            </w:r>
          </w:p>
        </w:tc>
        <w:tc>
          <w:tcPr>
            <w:tcW w:w="1134" w:type="dxa"/>
            <w:tcBorders>
              <w:top w:val="single" w:sz="4" w:space="0" w:color="auto"/>
              <w:left w:val="nil"/>
              <w:bottom w:val="single" w:sz="8" w:space="0" w:color="auto"/>
              <w:right w:val="single" w:sz="4" w:space="0" w:color="000000"/>
            </w:tcBorders>
            <w:shd w:val="clear" w:color="000000" w:fill="B8CCE4"/>
            <w:noWrap/>
            <w:vAlign w:val="center"/>
            <w:hideMark/>
          </w:tcPr>
          <w:p w:rsidR="00BB1E85" w:rsidRPr="003D3B26" w:rsidRDefault="00BB1E85" w:rsidP="005547B2">
            <w:pPr>
              <w:spacing w:after="120"/>
              <w:jc w:val="center"/>
              <w:rPr>
                <w:rFonts w:eastAsia="Times New Roman" w:cs="Times New Roman"/>
                <w:color w:val="000000"/>
                <w:sz w:val="16"/>
                <w:szCs w:val="16"/>
              </w:rPr>
            </w:pPr>
            <w:r>
              <w:rPr>
                <w:color w:val="000000"/>
                <w:sz w:val="16"/>
              </w:rPr>
              <w:t>Infant care fee</w:t>
            </w:r>
          </w:p>
        </w:tc>
        <w:tc>
          <w:tcPr>
            <w:tcW w:w="1559" w:type="dxa"/>
            <w:gridSpan w:val="2"/>
            <w:tcBorders>
              <w:top w:val="single" w:sz="4" w:space="0" w:color="auto"/>
              <w:left w:val="nil"/>
              <w:bottom w:val="single" w:sz="8" w:space="0" w:color="auto"/>
              <w:right w:val="single" w:sz="4" w:space="0" w:color="000000"/>
            </w:tcBorders>
            <w:shd w:val="clear" w:color="000000" w:fill="B8CCE4"/>
            <w:noWrap/>
            <w:vAlign w:val="center"/>
            <w:hideMark/>
          </w:tcPr>
          <w:p w:rsidR="00BB1E85" w:rsidRPr="003D3B26" w:rsidRDefault="00BB1E85" w:rsidP="005547B2">
            <w:pPr>
              <w:spacing w:after="120"/>
              <w:jc w:val="center"/>
              <w:rPr>
                <w:rFonts w:eastAsia="Times New Roman" w:cs="Times New Roman"/>
                <w:color w:val="000000"/>
                <w:sz w:val="16"/>
                <w:szCs w:val="16"/>
              </w:rPr>
            </w:pPr>
            <w:r>
              <w:rPr>
                <w:color w:val="000000"/>
                <w:sz w:val="16"/>
              </w:rPr>
              <w:t>Child home care fee</w:t>
            </w:r>
          </w:p>
        </w:tc>
        <w:tc>
          <w:tcPr>
            <w:tcW w:w="850" w:type="dxa"/>
            <w:tcBorders>
              <w:top w:val="nil"/>
              <w:left w:val="nil"/>
              <w:bottom w:val="single" w:sz="8" w:space="0" w:color="auto"/>
              <w:right w:val="single" w:sz="4" w:space="0" w:color="auto"/>
            </w:tcBorders>
            <w:shd w:val="clear" w:color="000000" w:fill="B8CCE4"/>
            <w:noWrap/>
            <w:vAlign w:val="center"/>
            <w:hideMark/>
          </w:tcPr>
          <w:p w:rsidR="00BB1E85" w:rsidRPr="003D3B26" w:rsidRDefault="00BB1E85" w:rsidP="005547B2">
            <w:pPr>
              <w:spacing w:after="120"/>
              <w:rPr>
                <w:rFonts w:eastAsia="Times New Roman" w:cs="Times New Roman"/>
                <w:color w:val="000000"/>
                <w:sz w:val="16"/>
                <w:szCs w:val="16"/>
              </w:rPr>
            </w:pPr>
            <w:r>
              <w:rPr>
                <w:color w:val="000000"/>
                <w:sz w:val="16"/>
              </w:rPr>
              <w:t>Child home care allowance</w:t>
            </w:r>
          </w:p>
        </w:tc>
        <w:tc>
          <w:tcPr>
            <w:tcW w:w="3119" w:type="dxa"/>
            <w:gridSpan w:val="5"/>
            <w:vMerge/>
            <w:tcBorders>
              <w:top w:val="nil"/>
              <w:left w:val="nil"/>
              <w:bottom w:val="single" w:sz="8" w:space="0" w:color="auto"/>
              <w:right w:val="single" w:sz="4" w:space="0" w:color="auto"/>
            </w:tcBorders>
            <w:vAlign w:val="center"/>
            <w:hideMark/>
          </w:tcPr>
          <w:p w:rsidR="00BB1E85" w:rsidRPr="003D3B26" w:rsidRDefault="00BB1E85" w:rsidP="005547B2">
            <w:pPr>
              <w:spacing w:after="120"/>
              <w:rPr>
                <w:rFonts w:eastAsia="Times New Roman" w:cs="Times New Roman"/>
                <w:color w:val="000000"/>
                <w:sz w:val="16"/>
                <w:szCs w:val="16"/>
              </w:rPr>
            </w:pPr>
          </w:p>
        </w:tc>
        <w:tc>
          <w:tcPr>
            <w:tcW w:w="1276" w:type="dxa"/>
            <w:gridSpan w:val="2"/>
            <w:vMerge/>
            <w:tcBorders>
              <w:top w:val="nil"/>
              <w:left w:val="nil"/>
              <w:bottom w:val="single" w:sz="8" w:space="0" w:color="auto"/>
              <w:right w:val="single" w:sz="4" w:space="0" w:color="auto"/>
            </w:tcBorders>
            <w:vAlign w:val="center"/>
            <w:hideMark/>
          </w:tcPr>
          <w:p w:rsidR="00BB1E85" w:rsidRPr="003D3B26" w:rsidRDefault="00BB1E85" w:rsidP="005547B2">
            <w:pPr>
              <w:spacing w:after="120"/>
              <w:rPr>
                <w:rFonts w:eastAsia="Times New Roman" w:cs="Times New Roman"/>
                <w:color w:val="000000"/>
                <w:sz w:val="16"/>
                <w:szCs w:val="16"/>
              </w:rPr>
            </w:pPr>
          </w:p>
        </w:tc>
      </w:tr>
    </w:tbl>
    <w:p w:rsidR="00BB1E85" w:rsidRDefault="00BB1E85" w:rsidP="005547B2">
      <w:pPr>
        <w:spacing w:after="120"/>
        <w:rPr>
          <w:b/>
          <w:szCs w:val="24"/>
        </w:rPr>
      </w:pPr>
    </w:p>
    <w:p w:rsidR="00BB1E85" w:rsidRDefault="00BB1E85" w:rsidP="005547B2">
      <w:pPr>
        <w:spacing w:after="120"/>
        <w:rPr>
          <w:szCs w:val="24"/>
        </w:rPr>
      </w:pPr>
      <w:r>
        <w:lastRenderedPageBreak/>
        <w:t xml:space="preserve">The government's family-centred system of values is reflected in </w:t>
      </w:r>
      <w:r>
        <w:rPr>
          <w:b/>
        </w:rPr>
        <w:t>legislation</w:t>
      </w:r>
      <w:r>
        <w:t xml:space="preserve"> as well. Within the framework of this approach, new elements were added to the </w:t>
      </w:r>
      <w:r>
        <w:rPr>
          <w:b/>
        </w:rPr>
        <w:t>Fundamental Law and the Act on the Protection of Families.</w:t>
      </w:r>
    </w:p>
    <w:p w:rsidR="00BB1E85" w:rsidRDefault="00BB1E85" w:rsidP="005547B2">
      <w:pPr>
        <w:spacing w:after="120"/>
        <w:rPr>
          <w:szCs w:val="24"/>
        </w:rPr>
      </w:pPr>
      <w:r>
        <w:t xml:space="preserve">The </w:t>
      </w:r>
      <w:r>
        <w:rPr>
          <w:b/>
        </w:rPr>
        <w:t>Fundamental Law</w:t>
      </w:r>
      <w:r>
        <w:t xml:space="preserve"> attaches special importance to the family, protects the institution of marriage and states that the foundation of family lies in marriage and in parent-child relationship. It declares that Hungary shall encourage the commitment to have children.</w:t>
      </w:r>
    </w:p>
    <w:p w:rsidR="00BB1E85" w:rsidRDefault="00BB1E85" w:rsidP="005547B2">
      <w:pPr>
        <w:spacing w:after="120"/>
        <w:rPr>
          <w:szCs w:val="24"/>
        </w:rPr>
      </w:pPr>
      <w:r>
        <w:t xml:space="preserve">A </w:t>
      </w:r>
      <w:r>
        <w:rPr>
          <w:b/>
        </w:rPr>
        <w:t>cardinal act</w:t>
      </w:r>
      <w:r>
        <w:t xml:space="preserve"> provides for the protection of families, which symbolises the fact that the objectives of family policy is shared by all governments. Pursuant to this act, in case of a legislative change that has an unfavourable effect on families, a preparation period of minimum 12 months are granted. The act also states that during the planning of the central budget the support of families is prioritised and that the state makes efforts to help citizens reconcile work and family responsibilities.</w:t>
      </w:r>
    </w:p>
    <w:p w:rsidR="00CE03B5" w:rsidRDefault="00CE03B5" w:rsidP="005547B2">
      <w:pPr>
        <w:spacing w:after="120"/>
        <w:rPr>
          <w:szCs w:val="24"/>
        </w:rPr>
      </w:pPr>
    </w:p>
    <w:p w:rsidR="00CE03B5" w:rsidRPr="00A06740" w:rsidRDefault="00CE03B5" w:rsidP="00A06740">
      <w:pPr>
        <w:pStyle w:val="Akapitzlist"/>
        <w:numPr>
          <w:ilvl w:val="0"/>
          <w:numId w:val="33"/>
        </w:numPr>
        <w:spacing w:after="120"/>
        <w:rPr>
          <w:b/>
          <w:sz w:val="28"/>
          <w:szCs w:val="24"/>
        </w:rPr>
      </w:pPr>
      <w:r>
        <w:rPr>
          <w:b/>
          <w:sz w:val="28"/>
        </w:rPr>
        <w:t>Institutional system</w:t>
      </w:r>
    </w:p>
    <w:p w:rsidR="00C61139" w:rsidRPr="00C61139" w:rsidRDefault="00C61139" w:rsidP="005547B2">
      <w:pPr>
        <w:spacing w:after="120"/>
        <w:rPr>
          <w:szCs w:val="24"/>
        </w:rPr>
      </w:pPr>
      <w:r>
        <w:t xml:space="preserve">In Hungary, </w:t>
      </w:r>
      <w:r>
        <w:rPr>
          <w:b/>
        </w:rPr>
        <w:t>the State Secretary's Office for Family and Youth Affairs of the Ministry of Human Capacities</w:t>
      </w:r>
      <w:r>
        <w:t xml:space="preserve"> is responsible for the professional control of family policy. After the general elections of 2014, in the new governmental period family affairs were separated from social affairs, as the connection of the two areas used to convey the message that having children equals to poverty. Although we are convinced that the main task of family policy is not fighting poverty but helping individuals to have as many as children they wish to, attention is paid to families which are in a socially unfavourable situation. Offering in-cash or in-kind support to families who, due to their specific life situation, face difficulties, promoting child protection and fighting child poverty calls for the cooperation of the social affairs and family policy sectors.</w:t>
      </w:r>
    </w:p>
    <w:p w:rsidR="00CE03B5" w:rsidRDefault="00C61139" w:rsidP="005547B2">
      <w:pPr>
        <w:spacing w:after="120"/>
        <w:rPr>
          <w:szCs w:val="24"/>
        </w:rPr>
      </w:pPr>
      <w:r>
        <w:t xml:space="preserve">The improvement of the general demographic situation is closely linked to family policy; for this reason, the two fields are connected in terms of structure and content alike.  Women's policy is also a part of family policy as gender equality is approached from the perspective of the family. We are convinced that </w:t>
      </w:r>
      <w:r>
        <w:rPr>
          <w:b/>
        </w:rPr>
        <w:t>an efficient women's policy requires an efficient family policy</w:t>
      </w:r>
      <w:r>
        <w:t xml:space="preserve"> and vice versa, as the significant majority of women are also mothers who use the services offered by family policy.</w:t>
      </w:r>
    </w:p>
    <w:p w:rsidR="005F3B76" w:rsidRDefault="005F3B76" w:rsidP="005547B2">
      <w:pPr>
        <w:spacing w:after="120"/>
        <w:rPr>
          <w:szCs w:val="24"/>
        </w:rPr>
      </w:pPr>
      <w:r>
        <w:t xml:space="preserve">During its work, the State Secretary's Office </w:t>
      </w:r>
      <w:r>
        <w:rPr>
          <w:b/>
        </w:rPr>
        <w:t>cooperates with other government actors</w:t>
      </w:r>
      <w:r>
        <w:t xml:space="preserve">, as the set of family policy tools covers various sectors. It maintains contact and cooperates on a regular basis with the Ministry for National Economy e.g. in the field of taxation, housing, job creation and the financial aspects of improving the institutional system of daycare for children and of measures intended to promote the achievement of family and population policy objectives, etc. The main areas of cooperation with the Ministry of Justice includes the family law sections of the Fundamental Law and the new Civil Code, and the sections of the Criminal Code on domestic violence. </w:t>
      </w:r>
    </w:p>
    <w:p w:rsidR="00C61139" w:rsidRPr="00C61139" w:rsidRDefault="005F3B76" w:rsidP="005547B2">
      <w:pPr>
        <w:spacing w:after="120"/>
        <w:rPr>
          <w:szCs w:val="24"/>
        </w:rPr>
      </w:pPr>
      <w:r>
        <w:t xml:space="preserve">In addition, the State Secretary for Family and Youth Affairs heads </w:t>
      </w:r>
      <w:r>
        <w:rPr>
          <w:b/>
        </w:rPr>
        <w:t>three thematic working groups of human rights</w:t>
      </w:r>
      <w:r>
        <w:t xml:space="preserve"> – thematic working groups on children's rights, women's rights and the elderly – related to the Human Rights Round Table established by the Ministry of Justice. </w:t>
      </w:r>
      <w:r>
        <w:lastRenderedPageBreak/>
        <w:t xml:space="preserve">The members of these working groups include (besides representatives of the responsible ministries) representatives of non-governmental organisations which are active in the given field. The dialogue between the involved organisations and the responsible ministries takes place within these working groups.  </w:t>
      </w:r>
    </w:p>
    <w:p w:rsidR="00C61139" w:rsidRPr="00C61139" w:rsidRDefault="00C61139" w:rsidP="005547B2">
      <w:pPr>
        <w:spacing w:after="120"/>
        <w:rPr>
          <w:szCs w:val="24"/>
        </w:rPr>
      </w:pPr>
      <w:r>
        <w:t xml:space="preserve">Close connection is maintained with all related ministerial sectors and other ministries when preparing for meeting obligations, for compiling reports, for performing commission tasks, for participation in conferences and for giving speeches, etc. for the EU, the Council of Europe, the UN, the OECD, etc. </w:t>
      </w:r>
    </w:p>
    <w:p w:rsidR="00C61139" w:rsidRPr="00C61139" w:rsidRDefault="005F3B76" w:rsidP="005547B2">
      <w:pPr>
        <w:spacing w:after="120"/>
        <w:rPr>
          <w:szCs w:val="24"/>
        </w:rPr>
      </w:pPr>
      <w:r>
        <w:rPr>
          <w:b/>
        </w:rPr>
        <w:t>Our background institution</w:t>
      </w:r>
      <w:r>
        <w:t xml:space="preserve">, the National Institute for Family and Social Policy also contributes to the implementation of our family policy. The Institute performs basic and decision support research, compiles surveys, studies and background materials, and organizes conferences and workshops on general and specific issues of family policy.  </w:t>
      </w:r>
    </w:p>
    <w:p w:rsidR="00C61139" w:rsidRPr="00B2559B" w:rsidRDefault="00C61139" w:rsidP="005547B2">
      <w:pPr>
        <w:spacing w:after="120"/>
        <w:rPr>
          <w:szCs w:val="24"/>
        </w:rPr>
      </w:pPr>
      <w:r>
        <w:rPr>
          <w:b/>
        </w:rPr>
        <w:t>We cooperate intensely with non-governmental organisations</w:t>
      </w:r>
      <w:r>
        <w:t xml:space="preserve"> that deal with family-related issues. They deliver opinions on draft legislation, submit their own proposals and recommendations. On certain issues we engage in a direct dialogue with them. Moreover, we participate in several events, conferences and family days organised by them. The Ministry of Human Capacities supports the programmes of these NGOs through calls for tenders and individual support.</w:t>
      </w:r>
    </w:p>
    <w:p w:rsidR="00BB1E85" w:rsidRDefault="00BB1E85" w:rsidP="005547B2">
      <w:pPr>
        <w:spacing w:after="120"/>
        <w:rPr>
          <w:b/>
          <w:szCs w:val="24"/>
        </w:rPr>
      </w:pPr>
    </w:p>
    <w:p w:rsidR="00BB1E85" w:rsidRPr="00A06740" w:rsidRDefault="00BB1E85" w:rsidP="00A06740">
      <w:pPr>
        <w:pStyle w:val="Akapitzlist"/>
        <w:numPr>
          <w:ilvl w:val="0"/>
          <w:numId w:val="33"/>
        </w:numPr>
        <w:spacing w:after="120"/>
        <w:rPr>
          <w:b/>
          <w:sz w:val="28"/>
          <w:szCs w:val="24"/>
        </w:rPr>
      </w:pPr>
      <w:r>
        <w:rPr>
          <w:b/>
          <w:sz w:val="28"/>
        </w:rPr>
        <w:t>Family policy measures</w:t>
      </w:r>
    </w:p>
    <w:p w:rsidR="00BB1E85" w:rsidRDefault="00BB1E85" w:rsidP="005547B2">
      <w:pPr>
        <w:spacing w:after="120"/>
        <w:rPr>
          <w:szCs w:val="24"/>
        </w:rPr>
      </w:pPr>
    </w:p>
    <w:p w:rsidR="00BE397B" w:rsidRDefault="00BE397B" w:rsidP="005547B2">
      <w:pPr>
        <w:spacing w:after="120"/>
        <w:rPr>
          <w:szCs w:val="24"/>
        </w:rPr>
      </w:pPr>
      <w:r>
        <w:t>The next section of the present document discusses the family policy measures of the last five years on the basis of the following major topics:</w:t>
      </w:r>
    </w:p>
    <w:p w:rsidR="00BE397B" w:rsidRDefault="00BE397B" w:rsidP="005547B2">
      <w:pPr>
        <w:pStyle w:val="Akapitzlist"/>
        <w:numPr>
          <w:ilvl w:val="0"/>
          <w:numId w:val="18"/>
        </w:numPr>
        <w:spacing w:after="120"/>
        <w:rPr>
          <w:szCs w:val="24"/>
        </w:rPr>
      </w:pPr>
      <w:r>
        <w:t>financial support of families</w:t>
      </w:r>
    </w:p>
    <w:p w:rsidR="00465F97" w:rsidRDefault="00465F97" w:rsidP="005547B2">
      <w:pPr>
        <w:pStyle w:val="Akapitzlist"/>
        <w:numPr>
          <w:ilvl w:val="0"/>
          <w:numId w:val="18"/>
        </w:numPr>
        <w:spacing w:after="120"/>
        <w:rPr>
          <w:szCs w:val="24"/>
        </w:rPr>
      </w:pPr>
      <w:r>
        <w:t>reconciliation of work and family</w:t>
      </w:r>
    </w:p>
    <w:p w:rsidR="00465F97" w:rsidRDefault="00465F97" w:rsidP="005547B2">
      <w:pPr>
        <w:pStyle w:val="Akapitzlist"/>
        <w:numPr>
          <w:ilvl w:val="0"/>
          <w:numId w:val="18"/>
        </w:numPr>
        <w:spacing w:after="120"/>
        <w:rPr>
          <w:szCs w:val="24"/>
        </w:rPr>
      </w:pPr>
      <w:r>
        <w:t>housing</w:t>
      </w:r>
    </w:p>
    <w:p w:rsidR="00BE397B" w:rsidRPr="00465F97" w:rsidRDefault="00BE397B" w:rsidP="005547B2">
      <w:pPr>
        <w:pStyle w:val="Akapitzlist"/>
        <w:numPr>
          <w:ilvl w:val="0"/>
          <w:numId w:val="18"/>
        </w:numPr>
        <w:spacing w:after="120"/>
        <w:rPr>
          <w:szCs w:val="24"/>
        </w:rPr>
      </w:pPr>
      <w:r>
        <w:t>fighting poverty; child welfare measures</w:t>
      </w:r>
    </w:p>
    <w:p w:rsidR="00BE397B" w:rsidRDefault="00BE397B" w:rsidP="005547B2">
      <w:pPr>
        <w:pStyle w:val="Akapitzlist"/>
        <w:numPr>
          <w:ilvl w:val="0"/>
          <w:numId w:val="18"/>
        </w:numPr>
        <w:spacing w:after="120"/>
        <w:rPr>
          <w:szCs w:val="24"/>
        </w:rPr>
      </w:pPr>
      <w:r>
        <w:t>awareness raising.</w:t>
      </w:r>
    </w:p>
    <w:p w:rsidR="00D31E4D" w:rsidRDefault="00D31E4D" w:rsidP="005547B2">
      <w:pPr>
        <w:spacing w:after="120"/>
        <w:jc w:val="left"/>
        <w:rPr>
          <w:highlight w:val="yellow"/>
        </w:rPr>
      </w:pPr>
    </w:p>
    <w:p w:rsidR="00D31E4D" w:rsidRPr="00B2559B" w:rsidRDefault="00A06740" w:rsidP="005547B2">
      <w:pPr>
        <w:spacing w:after="120"/>
        <w:jc w:val="left"/>
        <w:rPr>
          <w:rFonts w:cs="Times New Roman"/>
          <w:b/>
          <w:sz w:val="28"/>
        </w:rPr>
      </w:pPr>
      <w:r>
        <w:rPr>
          <w:b/>
          <w:sz w:val="28"/>
        </w:rPr>
        <w:t>IV.1. Financial support of families</w:t>
      </w:r>
    </w:p>
    <w:p w:rsidR="00C05BC1" w:rsidRPr="00907D3E" w:rsidRDefault="00C05BC1" w:rsidP="005547B2">
      <w:pPr>
        <w:pStyle w:val="Nagwek3"/>
        <w:spacing w:before="0" w:after="120"/>
      </w:pPr>
    </w:p>
    <w:p w:rsidR="00C05BC1" w:rsidRPr="00802668" w:rsidRDefault="00C05BC1" w:rsidP="005547B2">
      <w:pPr>
        <w:spacing w:after="120"/>
        <w:rPr>
          <w:b/>
          <w:szCs w:val="24"/>
        </w:rPr>
      </w:pPr>
      <w:r>
        <w:t xml:space="preserve">Recently, the system of </w:t>
      </w:r>
      <w:r>
        <w:rPr>
          <w:b/>
        </w:rPr>
        <w:t>family tax benefit</w:t>
      </w:r>
      <w:r>
        <w:t xml:space="preserve"> has undergone major changes. Before 2011, only families with three or more children were entitled to the benefit whose amount was a monthly </w:t>
      </w:r>
      <w:r w:rsidR="00670DDD">
        <w:t xml:space="preserve">12,9 </w:t>
      </w:r>
      <w:r w:rsidR="00475A8C">
        <w:t xml:space="preserve">Euro </w:t>
      </w:r>
      <w:r w:rsidR="00494E6E">
        <w:t xml:space="preserve">() </w:t>
      </w:r>
      <w:r>
        <w:t xml:space="preserve">per child.  </w:t>
      </w:r>
      <w:r>
        <w:rPr>
          <w:b/>
        </w:rPr>
        <w:t>However, as o</w:t>
      </w:r>
      <w:r w:rsidR="00FF26A9">
        <w:rPr>
          <w:b/>
        </w:rPr>
        <w:t>f</w:t>
      </w:r>
      <w:r>
        <w:rPr>
          <w:b/>
        </w:rPr>
        <w:t xml:space="preserve"> 1 January 2011, parents expecting their first child are eligible for the benefit</w:t>
      </w:r>
      <w:r>
        <w:t xml:space="preserve"> from the date onwards when the foetus is 91 days old. Before the calculation of the tax advance payment, the amount of the benefit is deducted from the private individual's combined tax base. </w:t>
      </w:r>
      <w:r w:rsidR="00475A8C">
        <w:t xml:space="preserve">The amount of the personal income tax can be reduced with for </w:t>
      </w:r>
      <w:r>
        <w:t>one</w:t>
      </w:r>
      <w:r w:rsidR="00475A8C">
        <w:t xml:space="preserve"> child </w:t>
      </w:r>
      <w:r w:rsidR="00A46BA6">
        <w:t xml:space="preserve">32.25 </w:t>
      </w:r>
      <w:r w:rsidR="00475A8C">
        <w:t>Euro,</w:t>
      </w:r>
      <w:r>
        <w:t xml:space="preserve"> two children, </w:t>
      </w:r>
      <w:r w:rsidR="00A46BA6">
        <w:t>40.32</w:t>
      </w:r>
      <w:r w:rsidR="00475A8C">
        <w:t xml:space="preserve"> Euro</w:t>
      </w:r>
      <w:r w:rsidR="002A74D3">
        <w:t xml:space="preserve"> </w:t>
      </w:r>
      <w:r w:rsidR="00494E6E">
        <w:t xml:space="preserve"> (</w:t>
      </w:r>
      <w:r>
        <w:t xml:space="preserve">per </w:t>
      </w:r>
      <w:r w:rsidR="009839BA">
        <w:t xml:space="preserve">month per </w:t>
      </w:r>
      <w:r>
        <w:t xml:space="preserve">child, for three or more children, with maximum </w:t>
      </w:r>
      <w:r w:rsidR="00A46BA6">
        <w:t xml:space="preserve">106,45 </w:t>
      </w:r>
      <w:r w:rsidR="009839BA">
        <w:t>Euro</w:t>
      </w:r>
      <w:r w:rsidR="009E3F16">
        <w:t xml:space="preserve"> </w:t>
      </w:r>
      <w:r w:rsidR="002A74D3">
        <w:t xml:space="preserve"> </w:t>
      </w:r>
      <w:r>
        <w:t xml:space="preserve">per month per child. </w:t>
      </w:r>
      <w:r w:rsidR="00A46BA6">
        <w:t xml:space="preserve">From </w:t>
      </w:r>
      <w:r w:rsidR="00A46BA6">
        <w:rPr>
          <w:b/>
        </w:rPr>
        <w:t>2014 the family tax benefit may be deducted from the pension and health care contributions besides personal income tax,</w:t>
      </w:r>
      <w:r w:rsidR="00A46BA6">
        <w:t xml:space="preserve"> which means that a greater number of individuals may benefit and </w:t>
      </w:r>
      <w:r w:rsidR="00A46BA6">
        <w:rPr>
          <w:b/>
        </w:rPr>
        <w:t xml:space="preserve">that citizens with a relatively low income are now in a more favourable position. </w:t>
      </w:r>
      <w:r>
        <w:t xml:space="preserve">As a result, </w:t>
      </w:r>
      <w:r>
        <w:rPr>
          <w:b/>
        </w:rPr>
        <w:t xml:space="preserve">in </w:t>
      </w:r>
      <w:r w:rsidR="00A46BA6">
        <w:rPr>
          <w:b/>
        </w:rPr>
        <w:t xml:space="preserve">2015 </w:t>
      </w:r>
      <w:r w:rsidR="00D81185">
        <w:rPr>
          <w:b/>
        </w:rPr>
        <w:t>the</w:t>
      </w:r>
      <w:r w:rsidRPr="00D81185">
        <w:rPr>
          <w:b/>
          <w:color w:val="FF0000"/>
        </w:rPr>
        <w:t xml:space="preserve"> </w:t>
      </w:r>
      <w:r w:rsidRPr="00C66879">
        <w:rPr>
          <w:b/>
        </w:rPr>
        <w:t xml:space="preserve">families with children </w:t>
      </w:r>
      <w:r>
        <w:rPr>
          <w:b/>
        </w:rPr>
        <w:t>enjoyed a total</w:t>
      </w:r>
      <w:r w:rsidR="00A46BA6">
        <w:rPr>
          <w:b/>
        </w:rPr>
        <w:t xml:space="preserve"> 777.5 </w:t>
      </w:r>
      <w:r w:rsidR="009839BA">
        <w:rPr>
          <w:b/>
        </w:rPr>
        <w:t xml:space="preserve">million Euro </w:t>
      </w:r>
      <w:r>
        <w:rPr>
          <w:b/>
        </w:rPr>
        <w:t xml:space="preserve">benefit, that is, an average </w:t>
      </w:r>
      <w:r w:rsidR="00A46BA6">
        <w:rPr>
          <w:b/>
        </w:rPr>
        <w:t xml:space="preserve">706 </w:t>
      </w:r>
      <w:r w:rsidR="009839BA">
        <w:rPr>
          <w:b/>
        </w:rPr>
        <w:t>Euro</w:t>
      </w:r>
      <w:r w:rsidR="009E3F16">
        <w:rPr>
          <w:b/>
        </w:rPr>
        <w:t xml:space="preserve"> </w:t>
      </w:r>
      <w:r>
        <w:rPr>
          <w:b/>
        </w:rPr>
        <w:t xml:space="preserve">per family. </w:t>
      </w:r>
    </w:p>
    <w:p w:rsidR="00D31E4D" w:rsidRPr="00907D3E" w:rsidRDefault="00D31E4D" w:rsidP="005547B2">
      <w:pPr>
        <w:spacing w:after="120"/>
        <w:rPr>
          <w:szCs w:val="24"/>
        </w:rPr>
      </w:pPr>
    </w:p>
    <w:p w:rsidR="00D31E4D" w:rsidRDefault="00C05BC1" w:rsidP="005547B2">
      <w:pPr>
        <w:spacing w:after="120"/>
        <w:rPr>
          <w:szCs w:val="24"/>
        </w:rPr>
      </w:pPr>
      <w:r>
        <w:rPr>
          <w:b/>
        </w:rPr>
        <w:t>From 2016 until 2019, the allowance for families with two children will be doubled gradually, in four phases.</w:t>
      </w:r>
      <w:r>
        <w:t xml:space="preserve"> The final maximum amount per child will be</w:t>
      </w:r>
      <w:r w:rsidR="001336A7">
        <w:t xml:space="preserve"> 64,5 </w:t>
      </w:r>
      <w:r w:rsidR="009839BA">
        <w:t>Euro</w:t>
      </w:r>
      <w:r w:rsidR="00502B43">
        <w:t xml:space="preserve"> (</w:t>
      </w:r>
      <w:r>
        <w:t xml:space="preserve">. Thus </w:t>
      </w:r>
      <w:r>
        <w:rPr>
          <w:b/>
        </w:rPr>
        <w:t>in 2019</w:t>
      </w:r>
      <w:r>
        <w:t xml:space="preserve"> the scheme leaves </w:t>
      </w:r>
      <w:r>
        <w:rPr>
          <w:b/>
        </w:rPr>
        <w:t>approximately a total of</w:t>
      </w:r>
      <w:r w:rsidR="00444E17">
        <w:t xml:space="preserve"> 967.7 </w:t>
      </w:r>
      <w:r w:rsidR="009839BA">
        <w:t>million Euro</w:t>
      </w:r>
      <w:r w:rsidR="00502B43">
        <w:t xml:space="preserve"> </w:t>
      </w:r>
      <w:r w:rsidR="002A74D3">
        <w:t xml:space="preserve"> </w:t>
      </w:r>
      <w:r>
        <w:t>with the families with children.</w:t>
      </w:r>
    </w:p>
    <w:p w:rsidR="00502B43" w:rsidRDefault="00D31E4D" w:rsidP="00CF3A98">
      <w:pPr>
        <w:rPr>
          <w:color w:val="000000" w:themeColor="text1"/>
        </w:rPr>
      </w:pPr>
      <w:r>
        <w:rPr>
          <w:b/>
        </w:rPr>
        <w:t>The tax allowance for first-wed new couples</w:t>
      </w:r>
      <w:r>
        <w:t xml:space="preserve">, a new tool to decrease the tax base, was introduced in 2015. This measure is intended to encourage young couples to marry: a newly wed couple </w:t>
      </w:r>
      <w:r>
        <w:rPr>
          <w:b/>
        </w:rPr>
        <w:t xml:space="preserve">is eligible for a tax allowance of </w:t>
      </w:r>
      <w:r w:rsidR="009839BA">
        <w:rPr>
          <w:b/>
        </w:rPr>
        <w:t>16 Euro</w:t>
      </w:r>
      <w:r w:rsidR="00502B43">
        <w:rPr>
          <w:b/>
        </w:rPr>
        <w:t xml:space="preserve"> ()</w:t>
      </w:r>
      <w:r w:rsidR="009839BA">
        <w:rPr>
          <w:b/>
        </w:rPr>
        <w:t xml:space="preserve"> </w:t>
      </w:r>
      <w:r>
        <w:rPr>
          <w:b/>
        </w:rPr>
        <w:t>per month,</w:t>
      </w:r>
      <w:r>
        <w:t xml:space="preserve"> provided that it is the first marriage of either of them. </w:t>
      </w:r>
      <w:r>
        <w:rPr>
          <w:color w:val="000000" w:themeColor="text1"/>
        </w:rPr>
        <w:t xml:space="preserve">The couple continues to be eligible for this allowance for maximum two years or until the birth of their first child. </w:t>
      </w:r>
      <w:r w:rsidR="00FF26A9">
        <w:rPr>
          <w:color w:val="000000" w:themeColor="text1"/>
        </w:rPr>
        <w:t xml:space="preserve">Until </w:t>
      </w:r>
      <w:r w:rsidR="00502B43">
        <w:rPr>
          <w:color w:val="000000" w:themeColor="text1"/>
        </w:rPr>
        <w:t xml:space="preserve">the end of </w:t>
      </w:r>
      <w:r w:rsidR="00FF26A9">
        <w:rPr>
          <w:color w:val="000000" w:themeColor="text1"/>
        </w:rPr>
        <w:t xml:space="preserve">2015, </w:t>
      </w:r>
      <w:r w:rsidR="00F65BC2">
        <w:rPr>
          <w:color w:val="000000" w:themeColor="text1"/>
        </w:rPr>
        <w:t>21,5</w:t>
      </w:r>
      <w:r w:rsidR="00502B43">
        <w:rPr>
          <w:color w:val="000000" w:themeColor="text1"/>
        </w:rPr>
        <w:t xml:space="preserve"> </w:t>
      </w:r>
      <w:r w:rsidR="00FF26A9">
        <w:rPr>
          <w:color w:val="000000" w:themeColor="text1"/>
        </w:rPr>
        <w:t xml:space="preserve">thousand </w:t>
      </w:r>
      <w:r w:rsidR="00F65BC2">
        <w:rPr>
          <w:color w:val="000000" w:themeColor="text1"/>
        </w:rPr>
        <w:t xml:space="preserve">couple </w:t>
      </w:r>
      <w:r w:rsidR="00FF26A9">
        <w:rPr>
          <w:color w:val="000000" w:themeColor="text1"/>
        </w:rPr>
        <w:t xml:space="preserve">could decrease </w:t>
      </w:r>
      <w:r w:rsidR="008C5CBD">
        <w:rPr>
          <w:color w:val="000000" w:themeColor="text1"/>
        </w:rPr>
        <w:t>their</w:t>
      </w:r>
      <w:r w:rsidR="00FF26A9">
        <w:rPr>
          <w:color w:val="000000" w:themeColor="text1"/>
        </w:rPr>
        <w:t xml:space="preserve"> tax base </w:t>
      </w:r>
      <w:r w:rsidR="009B7A1D">
        <w:rPr>
          <w:color w:val="000000" w:themeColor="text1"/>
        </w:rPr>
        <w:t xml:space="preserve">by </w:t>
      </w:r>
      <w:r w:rsidR="00FF26A9">
        <w:rPr>
          <w:color w:val="000000" w:themeColor="text1"/>
        </w:rPr>
        <w:t>a total of</w:t>
      </w:r>
      <w:r w:rsidR="007976B6">
        <w:rPr>
          <w:color w:val="000000" w:themeColor="text1"/>
        </w:rPr>
        <w:t xml:space="preserve"> </w:t>
      </w:r>
      <w:r w:rsidR="00671760">
        <w:rPr>
          <w:color w:val="000000" w:themeColor="text1"/>
        </w:rPr>
        <w:t>1</w:t>
      </w:r>
      <w:r w:rsidR="00F65BC2">
        <w:rPr>
          <w:color w:val="000000" w:themeColor="text1"/>
        </w:rPr>
        <w:t>.6</w:t>
      </w:r>
      <w:r w:rsidR="00671760">
        <w:rPr>
          <w:color w:val="000000" w:themeColor="text1"/>
        </w:rPr>
        <w:t xml:space="preserve"> </w:t>
      </w:r>
      <w:r w:rsidR="007850EE">
        <w:rPr>
          <w:color w:val="000000" w:themeColor="text1"/>
        </w:rPr>
        <w:t xml:space="preserve">million </w:t>
      </w:r>
      <w:r w:rsidR="00671760">
        <w:rPr>
          <w:color w:val="000000" w:themeColor="text1"/>
        </w:rPr>
        <w:t>Euro</w:t>
      </w:r>
      <w:r w:rsidR="002A74D3">
        <w:rPr>
          <w:color w:val="000000" w:themeColor="text1"/>
        </w:rPr>
        <w:t xml:space="preserve"> </w:t>
      </w:r>
      <w:r w:rsidR="00671760">
        <w:rPr>
          <w:color w:val="000000" w:themeColor="text1"/>
        </w:rPr>
        <w:t>.</w:t>
      </w:r>
    </w:p>
    <w:p w:rsidR="00502B43" w:rsidRPr="005547B2" w:rsidRDefault="00502B43" w:rsidP="006933B0">
      <w:pPr>
        <w:rPr>
          <w:szCs w:val="24"/>
        </w:rPr>
      </w:pPr>
    </w:p>
    <w:p w:rsidR="00A70346" w:rsidRPr="00067DA0" w:rsidRDefault="008B0344" w:rsidP="005547B2">
      <w:pPr>
        <w:pStyle w:val="Bezodstpw"/>
        <w:spacing w:after="120" w:line="276" w:lineRule="auto"/>
        <w:jc w:val="both"/>
        <w:rPr>
          <w:rFonts w:ascii="Times New Roman" w:hAnsi="Times New Roman"/>
          <w:sz w:val="24"/>
          <w:szCs w:val="24"/>
        </w:rPr>
      </w:pPr>
      <w:r>
        <w:rPr>
          <w:rFonts w:ascii="Times New Roman" w:hAnsi="Times New Roman"/>
          <w:b/>
          <w:sz w:val="24"/>
        </w:rPr>
        <w:t>GYED (child home care fee) Extra, introduced in 2014</w:t>
      </w:r>
      <w:r>
        <w:rPr>
          <w:rFonts w:ascii="Times New Roman" w:hAnsi="Times New Roman"/>
          <w:sz w:val="24"/>
        </w:rPr>
        <w:t xml:space="preserve"> offers significant support and marked a conceptual change. Its objective is to ensure that having children does not exclude individuals from the labour market and that mothers with children will not be forced to decide if they want to be at home with their children or to take up employment. In addition, this measure offers contribution allowance for employers to ensure that they have a positive approach to the employment of mothers with young children. The four key elements of the family support system introduced as of </w:t>
      </w:r>
      <w:r>
        <w:rPr>
          <w:rFonts w:ascii="Times New Roman" w:hAnsi="Times New Roman"/>
          <w:b/>
          <w:sz w:val="24"/>
        </w:rPr>
        <w:t xml:space="preserve">1 January 2014 </w:t>
      </w:r>
      <w:r>
        <w:rPr>
          <w:rFonts w:ascii="Times New Roman" w:hAnsi="Times New Roman"/>
          <w:sz w:val="24"/>
        </w:rPr>
        <w:t>are as follows:</w:t>
      </w:r>
    </w:p>
    <w:p w:rsidR="00A70346" w:rsidRPr="008D1FB9" w:rsidRDefault="00A70346" w:rsidP="005547B2">
      <w:pPr>
        <w:pStyle w:val="Bezodstpw"/>
        <w:numPr>
          <w:ilvl w:val="0"/>
          <w:numId w:val="24"/>
        </w:numPr>
        <w:spacing w:after="120" w:line="276" w:lineRule="auto"/>
        <w:jc w:val="both"/>
        <w:rPr>
          <w:rFonts w:ascii="Times New Roman" w:hAnsi="Times New Roman"/>
          <w:sz w:val="24"/>
          <w:szCs w:val="24"/>
        </w:rPr>
      </w:pPr>
      <w:r>
        <w:rPr>
          <w:rFonts w:ascii="Times New Roman" w:hAnsi="Times New Roman"/>
          <w:sz w:val="24"/>
        </w:rPr>
        <w:t xml:space="preserve">parents may take up employment when their child reaches 1 year of age without losing their eligibility for child home care allowance and child home care fee </w:t>
      </w:r>
      <w:r>
        <w:rPr>
          <w:rFonts w:ascii="Times New Roman" w:hAnsi="Times New Roman"/>
          <w:b/>
          <w:sz w:val="24"/>
        </w:rPr>
        <w:t>(GYED Extra)</w:t>
      </w:r>
      <w:r>
        <w:rPr>
          <w:rFonts w:ascii="Times New Roman" w:hAnsi="Times New Roman"/>
          <w:sz w:val="24"/>
        </w:rPr>
        <w:t xml:space="preserve">, and, as of </w:t>
      </w:r>
      <w:r>
        <w:rPr>
          <w:rFonts w:ascii="Times New Roman" w:hAnsi="Times New Roman"/>
          <w:b/>
          <w:sz w:val="24"/>
        </w:rPr>
        <w:t>1 January 2016</w:t>
      </w:r>
      <w:r>
        <w:rPr>
          <w:rFonts w:ascii="Times New Roman" w:hAnsi="Times New Roman"/>
          <w:sz w:val="24"/>
        </w:rPr>
        <w:t xml:space="preserve">, they may take up employment without restrictions </w:t>
      </w:r>
      <w:r>
        <w:rPr>
          <w:rFonts w:ascii="Times New Roman" w:hAnsi="Times New Roman"/>
          <w:b/>
          <w:sz w:val="24"/>
        </w:rPr>
        <w:t>when the child reaches 6 months of age.</w:t>
      </w:r>
    </w:p>
    <w:p w:rsidR="00A70346" w:rsidRDefault="00A70346" w:rsidP="005547B2">
      <w:pPr>
        <w:pStyle w:val="Bezodstpw"/>
        <w:numPr>
          <w:ilvl w:val="0"/>
          <w:numId w:val="24"/>
        </w:numPr>
        <w:spacing w:after="120" w:line="276" w:lineRule="auto"/>
        <w:jc w:val="both"/>
        <w:rPr>
          <w:rFonts w:ascii="Times New Roman" w:hAnsi="Times New Roman"/>
          <w:sz w:val="24"/>
          <w:szCs w:val="24"/>
        </w:rPr>
      </w:pPr>
      <w:r>
        <w:rPr>
          <w:rFonts w:ascii="Times New Roman" w:hAnsi="Times New Roman"/>
          <w:sz w:val="24"/>
        </w:rPr>
        <w:t xml:space="preserve">when a sibling is a born, the parents remain eligible for the previous allowances as well </w:t>
      </w:r>
      <w:r>
        <w:rPr>
          <w:rFonts w:ascii="Times New Roman" w:hAnsi="Times New Roman"/>
          <w:b/>
          <w:sz w:val="24"/>
        </w:rPr>
        <w:t>(sibling GYED)</w:t>
      </w:r>
      <w:r>
        <w:rPr>
          <w:rFonts w:ascii="Times New Roman" w:hAnsi="Times New Roman"/>
          <w:sz w:val="24"/>
        </w:rPr>
        <w:t>,</w:t>
      </w:r>
    </w:p>
    <w:p w:rsidR="00F95AB8" w:rsidRPr="00067DA0" w:rsidRDefault="00F95AB8" w:rsidP="005547B2">
      <w:pPr>
        <w:pStyle w:val="Bezodstpw"/>
        <w:numPr>
          <w:ilvl w:val="0"/>
          <w:numId w:val="24"/>
        </w:numPr>
        <w:spacing w:after="120" w:line="276" w:lineRule="auto"/>
        <w:jc w:val="both"/>
        <w:rPr>
          <w:rFonts w:ascii="Times New Roman" w:hAnsi="Times New Roman"/>
          <w:sz w:val="24"/>
          <w:szCs w:val="24"/>
        </w:rPr>
      </w:pPr>
      <w:r>
        <w:rPr>
          <w:rFonts w:ascii="Times New Roman" w:hAnsi="Times New Roman"/>
          <w:b/>
          <w:sz w:val="24"/>
        </w:rPr>
        <w:t>for twins</w:t>
      </w:r>
      <w:r>
        <w:rPr>
          <w:rFonts w:ascii="Times New Roman" w:hAnsi="Times New Roman"/>
          <w:sz w:val="24"/>
        </w:rPr>
        <w:t xml:space="preserve"> born in 2014 or later, </w:t>
      </w:r>
      <w:r>
        <w:rPr>
          <w:rFonts w:ascii="Times New Roman" w:hAnsi="Times New Roman"/>
          <w:b/>
          <w:sz w:val="24"/>
        </w:rPr>
        <w:t>the child home care fee period is one year longer,</w:t>
      </w:r>
      <w:r>
        <w:rPr>
          <w:rFonts w:ascii="Times New Roman" w:hAnsi="Times New Roman"/>
          <w:sz w:val="24"/>
        </w:rPr>
        <w:t xml:space="preserve"> that is, it expires when the child(children) reache(s) three years of age </w:t>
      </w:r>
      <w:r>
        <w:rPr>
          <w:rFonts w:ascii="Times New Roman" w:hAnsi="Times New Roman"/>
          <w:b/>
          <w:sz w:val="24"/>
        </w:rPr>
        <w:t>(twin GYED)</w:t>
      </w:r>
    </w:p>
    <w:p w:rsidR="00A70346" w:rsidRPr="00067DA0" w:rsidRDefault="00A70346" w:rsidP="005547B2">
      <w:pPr>
        <w:pStyle w:val="Bezodstpw"/>
        <w:numPr>
          <w:ilvl w:val="0"/>
          <w:numId w:val="24"/>
        </w:numPr>
        <w:spacing w:after="120" w:line="276" w:lineRule="auto"/>
        <w:jc w:val="both"/>
        <w:rPr>
          <w:rFonts w:ascii="Times New Roman" w:hAnsi="Times New Roman"/>
          <w:sz w:val="24"/>
          <w:szCs w:val="24"/>
        </w:rPr>
      </w:pPr>
      <w:r>
        <w:rPr>
          <w:rFonts w:ascii="Times New Roman" w:hAnsi="Times New Roman"/>
          <w:sz w:val="24"/>
        </w:rPr>
        <w:t xml:space="preserve">the institution of </w:t>
      </w:r>
      <w:r>
        <w:rPr>
          <w:rFonts w:ascii="Times New Roman" w:hAnsi="Times New Roman"/>
          <w:b/>
          <w:sz w:val="24"/>
        </w:rPr>
        <w:t xml:space="preserve">degree holder GYED </w:t>
      </w:r>
      <w:r>
        <w:rPr>
          <w:rFonts w:ascii="Times New Roman" w:hAnsi="Times New Roman"/>
          <w:sz w:val="24"/>
        </w:rPr>
        <w:t>is introduced (students of higher education are eligible for one year of childcare benefit),</w:t>
      </w:r>
    </w:p>
    <w:p w:rsidR="00A70346" w:rsidRDefault="00A70346" w:rsidP="005547B2">
      <w:pPr>
        <w:pStyle w:val="Bezodstpw"/>
        <w:numPr>
          <w:ilvl w:val="0"/>
          <w:numId w:val="24"/>
        </w:numPr>
        <w:spacing w:after="120" w:line="276" w:lineRule="auto"/>
        <w:jc w:val="both"/>
        <w:rPr>
          <w:rFonts w:ascii="Times New Roman" w:hAnsi="Times New Roman"/>
          <w:sz w:val="24"/>
          <w:szCs w:val="24"/>
        </w:rPr>
      </w:pPr>
      <w:r>
        <w:rPr>
          <w:rFonts w:ascii="Times New Roman" w:hAnsi="Times New Roman"/>
          <w:b/>
          <w:sz w:val="24"/>
        </w:rPr>
        <w:t xml:space="preserve">employers </w:t>
      </w:r>
      <w:r>
        <w:rPr>
          <w:rFonts w:ascii="Times New Roman" w:hAnsi="Times New Roman"/>
          <w:sz w:val="24"/>
        </w:rPr>
        <w:t xml:space="preserve">who employ mothers of three or more young children are eligible </w:t>
      </w:r>
      <w:r>
        <w:rPr>
          <w:rFonts w:ascii="Times New Roman" w:hAnsi="Times New Roman"/>
          <w:b/>
          <w:sz w:val="24"/>
        </w:rPr>
        <w:t>for further tax allowances</w:t>
      </w:r>
      <w:r>
        <w:rPr>
          <w:rFonts w:ascii="Times New Roman" w:hAnsi="Times New Roman"/>
          <w:sz w:val="24"/>
        </w:rPr>
        <w:t xml:space="preserve"> (see: Job Protection Action  Plan).</w:t>
      </w:r>
    </w:p>
    <w:p w:rsidR="00E54137" w:rsidRDefault="00457AAE" w:rsidP="005547B2">
      <w:pPr>
        <w:spacing w:after="120"/>
        <w:rPr>
          <w:rFonts w:cs="Times New Roman"/>
          <w:szCs w:val="24"/>
        </w:rPr>
      </w:pPr>
      <w:r>
        <w:t xml:space="preserve">As a result of the measure, </w:t>
      </w:r>
      <w:r>
        <w:rPr>
          <w:b/>
        </w:rPr>
        <w:t xml:space="preserve">in </w:t>
      </w:r>
      <w:r w:rsidR="001336A7">
        <w:rPr>
          <w:b/>
        </w:rPr>
        <w:t>201</w:t>
      </w:r>
      <w:r w:rsidR="009875C0">
        <w:rPr>
          <w:b/>
        </w:rPr>
        <w:t>6</w:t>
      </w:r>
      <w:r w:rsidR="001336A7">
        <w:rPr>
          <w:b/>
        </w:rPr>
        <w:t xml:space="preserve"> nearly </w:t>
      </w:r>
      <w:r w:rsidR="009875C0">
        <w:rPr>
          <w:b/>
        </w:rPr>
        <w:t>7</w:t>
      </w:r>
      <w:r w:rsidR="001336A7">
        <w:rPr>
          <w:b/>
        </w:rPr>
        <w:t>0,000</w:t>
      </w:r>
      <w:r>
        <w:rPr>
          <w:b/>
        </w:rPr>
        <w:t xml:space="preserve"> parents with young children</w:t>
      </w:r>
      <w:r>
        <w:t xml:space="preserve"> were beneficiaries of some measure of GYED Extra. Nearly </w:t>
      </w:r>
      <w:r w:rsidR="009875C0">
        <w:t>40</w:t>
      </w:r>
      <w:r>
        <w:t>,000 of them were employed while receiving child home care allowance/fee, and, as a result of GYED Extra, they continued to be eligible for childcare benefits.</w:t>
      </w:r>
      <w:r w:rsidR="00FF26A9">
        <w:t xml:space="preserve"> </w:t>
      </w:r>
      <w:r w:rsidR="00D31E4D">
        <w:t xml:space="preserve">The government introduced a major change by </w:t>
      </w:r>
      <w:r w:rsidR="00D31E4D">
        <w:rPr>
          <w:b/>
        </w:rPr>
        <w:t>restoring</w:t>
      </w:r>
      <w:r w:rsidR="00D31E4D">
        <w:t xml:space="preserve"> </w:t>
      </w:r>
      <w:r w:rsidR="00D31E4D">
        <w:rPr>
          <w:b/>
        </w:rPr>
        <w:t>the duration of the payment of the child care allowance</w:t>
      </w:r>
      <w:r w:rsidR="00D31E4D">
        <w:t xml:space="preserve"> (a benefit payable on the basis of a subjective right and independent of the beneficiary's income level) </w:t>
      </w:r>
      <w:r w:rsidR="00D31E4D">
        <w:rPr>
          <w:b/>
        </w:rPr>
        <w:t xml:space="preserve">from two years to three years. </w:t>
      </w:r>
      <w:r w:rsidR="00D31E4D">
        <w:t xml:space="preserve"> (Pursuant to a legislative amendment adopted in 2009, the duration of the payment of child home care allowance</w:t>
      </w:r>
      <w:r w:rsidR="005454C7">
        <w:rPr>
          <w:color w:val="FF0000"/>
        </w:rPr>
        <w:t xml:space="preserve"> </w:t>
      </w:r>
      <w:r w:rsidR="00D31E4D">
        <w:t xml:space="preserve">was reduced to two years.) </w:t>
      </w:r>
    </w:p>
    <w:p w:rsidR="00686917" w:rsidRDefault="00842EF4" w:rsidP="005547B2">
      <w:pPr>
        <w:spacing w:after="120"/>
        <w:rPr>
          <w:rFonts w:cs="Times New Roman"/>
          <w:szCs w:val="24"/>
        </w:rPr>
      </w:pPr>
      <w:r>
        <w:t>In the period 2010-</w:t>
      </w:r>
      <w:r w:rsidR="009839BA">
        <w:t>2016</w:t>
      </w:r>
      <w:r>
        <w:t xml:space="preserve">, the maximum gross amount of the </w:t>
      </w:r>
      <w:r>
        <w:rPr>
          <w:b/>
        </w:rPr>
        <w:t>child home care fee</w:t>
      </w:r>
      <w:r>
        <w:t xml:space="preserve"> </w:t>
      </w:r>
      <w:r>
        <w:rPr>
          <w:b/>
        </w:rPr>
        <w:t>was increased</w:t>
      </w:r>
      <w:r>
        <w:t xml:space="preserve"> </w:t>
      </w:r>
      <w:r>
        <w:rPr>
          <w:b/>
        </w:rPr>
        <w:t xml:space="preserve">by </w:t>
      </w:r>
      <w:r w:rsidR="009839BA">
        <w:rPr>
          <w:b/>
        </w:rPr>
        <w:t>51</w:t>
      </w:r>
      <w:r>
        <w:rPr>
          <w:b/>
        </w:rPr>
        <w:t>%,</w:t>
      </w:r>
      <w:r>
        <w:t xml:space="preserve"> from </w:t>
      </w:r>
      <w:r w:rsidR="001336A7" w:rsidRPr="00CF3A98">
        <w:rPr>
          <w:rFonts w:cs="Times New Roman"/>
          <w:szCs w:val="24"/>
        </w:rPr>
        <w:t>3</w:t>
      </w:r>
      <w:r w:rsidR="001336A7">
        <w:rPr>
          <w:rFonts w:cs="Times New Roman"/>
          <w:szCs w:val="24"/>
        </w:rPr>
        <w:t>32</w:t>
      </w:r>
      <w:r w:rsidR="001336A7" w:rsidRPr="00CF3A98">
        <w:rPr>
          <w:rFonts w:cs="Times New Roman"/>
          <w:szCs w:val="24"/>
        </w:rPr>
        <w:t xml:space="preserve"> </w:t>
      </w:r>
      <w:r w:rsidR="00057C4D" w:rsidRPr="00CF3A98">
        <w:rPr>
          <w:rFonts w:cs="Times New Roman"/>
          <w:szCs w:val="24"/>
        </w:rPr>
        <w:t xml:space="preserve">Euro </w:t>
      </w:r>
      <w:r w:rsidRPr="007976B6">
        <w:t>to</w:t>
      </w:r>
      <w:r w:rsidR="007976B6" w:rsidRPr="007976B6">
        <w:t xml:space="preserve"> </w:t>
      </w:r>
      <w:r w:rsidR="001336A7">
        <w:rPr>
          <w:rFonts w:cs="Times New Roman"/>
          <w:szCs w:val="24"/>
        </w:rPr>
        <w:t>474.5</w:t>
      </w:r>
      <w:r w:rsidR="001336A7" w:rsidRPr="00CF3A98">
        <w:rPr>
          <w:rFonts w:cs="Times New Roman"/>
          <w:szCs w:val="24"/>
        </w:rPr>
        <w:t> </w:t>
      </w:r>
      <w:r w:rsidR="00057C4D" w:rsidRPr="00CF3A98">
        <w:rPr>
          <w:rFonts w:cs="Times New Roman"/>
          <w:szCs w:val="24"/>
        </w:rPr>
        <w:t>Euro</w:t>
      </w:r>
      <w:r w:rsidR="00BF7CF0">
        <w:rPr>
          <w:rFonts w:cs="Times New Roman"/>
          <w:szCs w:val="24"/>
        </w:rPr>
        <w:t xml:space="preserve"> </w:t>
      </w:r>
      <w:r w:rsidR="001336A7">
        <w:rPr>
          <w:rFonts w:cs="Times New Roman"/>
          <w:szCs w:val="24"/>
        </w:rPr>
        <w:t>.</w:t>
      </w:r>
      <w:r w:rsidR="00671760" w:rsidRPr="00CF3A98">
        <w:rPr>
          <w:rFonts w:cs="Times New Roman"/>
          <w:szCs w:val="24"/>
        </w:rPr>
        <w:t xml:space="preserve"> </w:t>
      </w:r>
    </w:p>
    <w:p w:rsidR="00057C4D" w:rsidRPr="00057C4D" w:rsidRDefault="008032AD" w:rsidP="005547B2">
      <w:pPr>
        <w:spacing w:after="120"/>
      </w:pPr>
      <w:r>
        <w:t xml:space="preserve">As for in-cash forms of family support, </w:t>
      </w:r>
      <w:r>
        <w:rPr>
          <w:b/>
        </w:rPr>
        <w:t>family allowance</w:t>
      </w:r>
      <w:r>
        <w:t xml:space="preserve"> is the benefit (granted on the basis of a </w:t>
      </w:r>
      <w:r w:rsidR="00D81185">
        <w:t xml:space="preserve">subjective </w:t>
      </w:r>
      <w:r>
        <w:t xml:space="preserve">right) that affects most citizens. As a result of the government's measures, since 2010 the family allowance includes two benefit types: </w:t>
      </w:r>
      <w:r>
        <w:rPr>
          <w:b/>
        </w:rPr>
        <w:t>child-raising benefit and schooling support.</w:t>
      </w:r>
      <w:r>
        <w:t xml:space="preserve"> The child-raising benefit is granted for non-school-age children while the schooling support is given for school-age children or older children who continue their studies in institutions of public education, up to the child reaching 23 years of age. The net amount granted for families with one child and two parents </w:t>
      </w:r>
      <w:r w:rsidRPr="007976B6">
        <w:t xml:space="preserve">is </w:t>
      </w:r>
      <w:r w:rsidR="00057C4D" w:rsidRPr="00CF3A98">
        <w:rPr>
          <w:rFonts w:cs="Times New Roman"/>
          <w:szCs w:val="24"/>
        </w:rPr>
        <w:t>39</w:t>
      </w:r>
      <w:r w:rsidR="001336A7">
        <w:rPr>
          <w:rFonts w:cs="Times New Roman"/>
          <w:szCs w:val="24"/>
        </w:rPr>
        <w:t>.35</w:t>
      </w:r>
      <w:r w:rsidR="00057C4D" w:rsidRPr="00CF3A98">
        <w:rPr>
          <w:rFonts w:cs="Times New Roman"/>
          <w:szCs w:val="24"/>
        </w:rPr>
        <w:t xml:space="preserve"> Euro</w:t>
      </w:r>
      <w:r w:rsidR="00671760" w:rsidRPr="00CF3A98">
        <w:rPr>
          <w:rFonts w:cs="Times New Roman"/>
          <w:szCs w:val="24"/>
        </w:rPr>
        <w:t xml:space="preserve"> </w:t>
      </w:r>
      <w:r w:rsidR="00BF7CF0">
        <w:rPr>
          <w:rFonts w:cs="Times New Roman"/>
          <w:szCs w:val="24"/>
        </w:rPr>
        <w:t xml:space="preserve"> </w:t>
      </w:r>
      <w:r>
        <w:t xml:space="preserve">per month. The amount is increased when another child is born in the family and is higher for single parents or for children with disabilities. </w:t>
      </w:r>
    </w:p>
    <w:p w:rsidR="00CE3D33" w:rsidRPr="00207B72" w:rsidRDefault="008032AD" w:rsidP="005547B2">
      <w:pPr>
        <w:spacing w:after="120"/>
        <w:rPr>
          <w:rFonts w:cs="Times New Roman"/>
          <w:szCs w:val="24"/>
        </w:rPr>
      </w:pPr>
      <w:r>
        <w:rPr>
          <w:b/>
        </w:rPr>
        <w:t>The conditions of the payment of the family allowance</w:t>
      </w:r>
      <w:r>
        <w:t xml:space="preserve"> will be further modified in the future: a precondition of payment will be the child's </w:t>
      </w:r>
      <w:r>
        <w:rPr>
          <w:b/>
        </w:rPr>
        <w:t>kindergarten attendance</w:t>
      </w:r>
      <w:r>
        <w:t xml:space="preserve">. </w:t>
      </w:r>
      <w:r>
        <w:rPr>
          <w:b/>
        </w:rPr>
        <w:t xml:space="preserve">As of September 2015, mandatory nursery school-age </w:t>
      </w:r>
      <w:r w:rsidR="00E803A0">
        <w:rPr>
          <w:b/>
        </w:rPr>
        <w:t xml:space="preserve">has </w:t>
      </w:r>
      <w:r w:rsidR="00616D81">
        <w:rPr>
          <w:b/>
        </w:rPr>
        <w:t>been</w:t>
      </w:r>
      <w:r>
        <w:rPr>
          <w:b/>
        </w:rPr>
        <w:t xml:space="preserve"> reduced to 3 years from 5 years;</w:t>
      </w:r>
      <w:r>
        <w:t xml:space="preserve"> consequently, the number of children involved in nursery school education increased by approximately 20,000. In this context – employing the method that proved to be efficient for school absenteeism – as of 2016 unjustified absences from kindergarten (in case of 20 or more days of absence) will entail the possibility of the suspension of the payment of the family allowance.</w:t>
      </w:r>
    </w:p>
    <w:p w:rsidR="00D31E4D" w:rsidRPr="005547B2" w:rsidRDefault="008032AD" w:rsidP="005547B2">
      <w:pPr>
        <w:spacing w:after="120"/>
        <w:rPr>
          <w:rFonts w:cs="Times New Roman"/>
          <w:szCs w:val="24"/>
        </w:rPr>
      </w:pPr>
      <w:r>
        <w:t xml:space="preserve">Another change regarding the payment of the family allowance is that </w:t>
      </w:r>
      <w:r>
        <w:rPr>
          <w:b/>
        </w:rPr>
        <w:t>as of 1 January 2015, partners who raise their children of whom they are not biological parents are equally entitled to the family allowance and the family tax benefit.</w:t>
      </w:r>
      <w:r>
        <w:t xml:space="preserve"> It is estimated that parents of approximately 18,000-20,000 children living in reconstituted families are entitled to a higher benefit (this amounts only to 1% of the 1.8 million children whose parents are entitled to the family allowance).</w:t>
      </w:r>
    </w:p>
    <w:p w:rsidR="007D18C4" w:rsidRPr="005547B2" w:rsidRDefault="0024510F" w:rsidP="005547B2">
      <w:pPr>
        <w:spacing w:after="120"/>
        <w:rPr>
          <w:szCs w:val="24"/>
        </w:rPr>
      </w:pPr>
      <w:r>
        <w:rPr>
          <w:color w:val="000000" w:themeColor="text1"/>
        </w:rPr>
        <w:t xml:space="preserve">The parents have the opportunity to save money for their children with state support. </w:t>
      </w:r>
      <w:r>
        <w:rPr>
          <w:b/>
        </w:rPr>
        <w:t xml:space="preserve">The Baby Bond </w:t>
      </w:r>
      <w:r>
        <w:t xml:space="preserve">(currently managed by the Hungarian State Treasury) means that an amount – made up by the new start allowance of </w:t>
      </w:r>
      <w:r w:rsidR="003C68A8" w:rsidRPr="00CF3A98">
        <w:rPr>
          <w:szCs w:val="24"/>
        </w:rPr>
        <w:t>1</w:t>
      </w:r>
      <w:r w:rsidR="003C68A8">
        <w:rPr>
          <w:szCs w:val="24"/>
        </w:rPr>
        <w:t>37</w:t>
      </w:r>
      <w:r w:rsidR="003C68A8" w:rsidRPr="00CF3A98">
        <w:rPr>
          <w:szCs w:val="24"/>
        </w:rPr>
        <w:t xml:space="preserve"> </w:t>
      </w:r>
      <w:r w:rsidR="00057C4D" w:rsidRPr="00CF3A98">
        <w:rPr>
          <w:szCs w:val="24"/>
        </w:rPr>
        <w:t>Euro</w:t>
      </w:r>
      <w:r w:rsidR="00BF7CF0">
        <w:rPr>
          <w:szCs w:val="24"/>
        </w:rPr>
        <w:t xml:space="preserve"> </w:t>
      </w:r>
      <w:r w:rsidR="00671760" w:rsidRPr="00CF3A98">
        <w:rPr>
          <w:szCs w:val="24"/>
        </w:rPr>
        <w:t xml:space="preserve"> </w:t>
      </w:r>
      <w:r>
        <w:t>deposited by the state for each new</w:t>
      </w:r>
      <w:r w:rsidR="00D81185">
        <w:t xml:space="preserve"> </w:t>
      </w:r>
      <w:r>
        <w:t>born baby, by the amount optionally deposited by the parents and by the amount credited annually by the state every month for the first two payments (10% of their amount, but a maximum of</w:t>
      </w:r>
      <w:r w:rsidR="003C68A8">
        <w:t xml:space="preserve"> 19.35 </w:t>
      </w:r>
      <w:r w:rsidR="00057C4D">
        <w:t>Euro</w:t>
      </w:r>
      <w:r w:rsidR="00D81185">
        <w:t xml:space="preserve"> </w:t>
      </w:r>
      <w:r>
        <w:t xml:space="preserve">collected on </w:t>
      </w:r>
      <w:r>
        <w:rPr>
          <w:b/>
        </w:rPr>
        <w:t>the Start securities account opened at the Treasury</w:t>
      </w:r>
      <w:r>
        <w:t xml:space="preserve"> – is deposited on a bond of a maturity of 19 years. The success of the new construction is shown by the fact that during the year after its launch, the number of Start accounts have quadrupled, which means that the Treasury manages the accounts of approximately 70,000 children. The total amount deposited on the accounts is approximately </w:t>
      </w:r>
      <w:r w:rsidR="003C68A8">
        <w:t xml:space="preserve">35.5 </w:t>
      </w:r>
      <w:r w:rsidR="00057C4D">
        <w:t>million Euro</w:t>
      </w:r>
      <w:r w:rsidR="00D81185">
        <w:t>.</w:t>
      </w:r>
      <w:r w:rsidR="00671760">
        <w:t xml:space="preserve"> </w:t>
      </w:r>
    </w:p>
    <w:p w:rsidR="00027B39" w:rsidRPr="00D078ED" w:rsidRDefault="00027B39" w:rsidP="005547B2">
      <w:pPr>
        <w:spacing w:after="120"/>
        <w:rPr>
          <w:szCs w:val="24"/>
        </w:rPr>
      </w:pPr>
    </w:p>
    <w:p w:rsidR="00D9304B" w:rsidRPr="00B2559B" w:rsidRDefault="00A06740" w:rsidP="005547B2">
      <w:pPr>
        <w:pStyle w:val="Akapitzlist"/>
        <w:spacing w:after="120"/>
        <w:ind w:left="0"/>
        <w:rPr>
          <w:b/>
          <w:sz w:val="28"/>
          <w:szCs w:val="24"/>
        </w:rPr>
      </w:pPr>
      <w:r>
        <w:rPr>
          <w:b/>
          <w:sz w:val="28"/>
        </w:rPr>
        <w:t>IV.2. Child</w:t>
      </w:r>
      <w:r w:rsidR="00D81185">
        <w:rPr>
          <w:b/>
          <w:sz w:val="28"/>
        </w:rPr>
        <w:t>-</w:t>
      </w:r>
      <w:r>
        <w:rPr>
          <w:b/>
          <w:sz w:val="28"/>
        </w:rPr>
        <w:t>raising and employment</w:t>
      </w:r>
    </w:p>
    <w:p w:rsidR="00F43D7D" w:rsidRDefault="00F43D7D" w:rsidP="005547B2">
      <w:pPr>
        <w:pStyle w:val="Akapitzlist"/>
        <w:spacing w:after="120"/>
        <w:ind w:left="0"/>
        <w:rPr>
          <w:b/>
          <w:szCs w:val="24"/>
        </w:rPr>
      </w:pPr>
    </w:p>
    <w:p w:rsidR="00842EF4" w:rsidRDefault="00842EF4" w:rsidP="005547B2">
      <w:pPr>
        <w:spacing w:after="120"/>
        <w:rPr>
          <w:rFonts w:cs="Times New Roman"/>
          <w:szCs w:val="24"/>
        </w:rPr>
      </w:pPr>
      <w:r>
        <w:rPr>
          <w:b/>
        </w:rPr>
        <w:t>Since the government took office, it has prioritised</w:t>
      </w:r>
      <w:r>
        <w:t xml:space="preserve"> the increase in women's employment – and, especially, offering support to mothers with young children in entry to the labour market.  The results are clearly evidenced by the statistical data: </w:t>
      </w:r>
      <w:r>
        <w:rPr>
          <w:b/>
        </w:rPr>
        <w:t>the current employment rate of women is the highest in more than 20 years.</w:t>
      </w:r>
      <w:r>
        <w:t xml:space="preserve"> (In </w:t>
      </w:r>
      <w:r w:rsidR="00045AD1">
        <w:t>2016</w:t>
      </w:r>
      <w:r>
        <w:t xml:space="preserve">, the employment rate of women of 15-64 years of age was </w:t>
      </w:r>
      <w:r w:rsidR="00045AD1">
        <w:t>60.2</w:t>
      </w:r>
      <w:r>
        <w:t>%. At the time of the change of the government in 2010, it was around 50%).</w:t>
      </w:r>
    </w:p>
    <w:p w:rsidR="002D5820" w:rsidRDefault="002D5820" w:rsidP="005547B2">
      <w:pPr>
        <w:spacing w:after="120"/>
      </w:pPr>
      <w:r>
        <w:t xml:space="preserve">In women's employment, </w:t>
      </w:r>
      <w:r>
        <w:rPr>
          <w:b/>
        </w:rPr>
        <w:t>the greatest improvement is detectable in the category of women who raise children under the age of 6, more specifically, children between the age of 0 and 2.</w:t>
      </w:r>
      <w:r>
        <w:t xml:space="preserve"> If compared to the same period of 2010, in </w:t>
      </w:r>
      <w:r w:rsidR="00045AD1">
        <w:t xml:space="preserve">2016 </w:t>
      </w:r>
      <w:r>
        <w:t xml:space="preserve">the employment rate increased by almost one-fourth among individuals raising children under the age of 6. The targeted nature of our measures is evidenced by the fact that – if assessed on the basis of the number of children – the employment rate </w:t>
      </w:r>
      <w:r>
        <w:rPr>
          <w:b/>
        </w:rPr>
        <w:t>grew the most among mothers with three or more children.</w:t>
      </w:r>
      <w:r>
        <w:t xml:space="preserve"> If compared to 2010, the employment rate of mothers with three or more children increased by nearly </w:t>
      </w:r>
      <w:r w:rsidR="00981698">
        <w:t>18</w:t>
      </w:r>
      <w:r>
        <w:t xml:space="preserve">% in </w:t>
      </w:r>
      <w:r w:rsidR="00045AD1">
        <w:t>2016</w:t>
      </w:r>
      <w:r>
        <w:t>. Among women without children, or women with one or two children, the growth rate was approximately 50% lower.</w:t>
      </w:r>
    </w:p>
    <w:p w:rsidR="00616D81" w:rsidRDefault="00616D81" w:rsidP="006933B0">
      <w:pPr>
        <w:spacing w:after="120"/>
        <w:jc w:val="left"/>
      </w:pPr>
      <w:r>
        <w:t xml:space="preserve">The employment rate of </w:t>
      </w:r>
      <w:r w:rsidR="00D10FCB">
        <w:t xml:space="preserve">mothers age </w:t>
      </w:r>
      <w:r>
        <w:t xml:space="preserve">25-49 </w:t>
      </w:r>
      <w:r w:rsidR="00D10FCB">
        <w:t xml:space="preserve">with </w:t>
      </w:r>
      <w:r>
        <w:t xml:space="preserve">children </w:t>
      </w:r>
      <w:r w:rsidR="00C26F09">
        <w:t xml:space="preserve">under </w:t>
      </w:r>
      <w:r w:rsidR="00D10FCB">
        <w:t xml:space="preserve">the age </w:t>
      </w:r>
      <w:r w:rsidR="00961537">
        <w:t xml:space="preserve">of </w:t>
      </w:r>
      <w:r w:rsidR="00C26F09">
        <w:t xml:space="preserve">3 rose </w:t>
      </w:r>
      <w:r w:rsidR="00D10FCB">
        <w:t xml:space="preserve">to </w:t>
      </w:r>
      <w:r w:rsidR="00C26F09">
        <w:t>14,</w:t>
      </w:r>
      <w:r w:rsidR="00045AD1">
        <w:t>2</w:t>
      </w:r>
      <w:r w:rsidR="00C26F09">
        <w:t xml:space="preserve">% </w:t>
      </w:r>
      <w:r w:rsidR="00981698">
        <w:t xml:space="preserve"> in </w:t>
      </w:r>
      <w:r w:rsidR="00045AD1">
        <w:t>2016</w:t>
      </w:r>
      <w:r w:rsidR="00C26F09">
        <w:t xml:space="preserve">. </w:t>
      </w:r>
      <w:r w:rsidR="00961537">
        <w:t xml:space="preserve">During </w:t>
      </w:r>
      <w:r w:rsidR="00C26F09">
        <w:t>the s</w:t>
      </w:r>
      <w:r w:rsidR="00961537">
        <w:t>ame</w:t>
      </w:r>
      <w:r w:rsidR="00C26F09">
        <w:t xml:space="preserve"> period of 2010 it was 12,</w:t>
      </w:r>
      <w:r w:rsidR="00981698">
        <w:t>4</w:t>
      </w:r>
      <w:r w:rsidR="00C26F09">
        <w:t>%.</w:t>
      </w:r>
    </w:p>
    <w:p w:rsidR="00EF7A3B" w:rsidRPr="002C14E9" w:rsidRDefault="00EF7A3B" w:rsidP="005547B2">
      <w:pPr>
        <w:spacing w:after="120"/>
        <w:rPr>
          <w:rFonts w:cs="Times New Roman"/>
          <w:szCs w:val="24"/>
        </w:rPr>
      </w:pPr>
    </w:p>
    <w:p w:rsidR="00842EF4" w:rsidRDefault="00842EF4" w:rsidP="005547B2">
      <w:pPr>
        <w:spacing w:after="120"/>
        <w:rPr>
          <w:szCs w:val="24"/>
        </w:rPr>
      </w:pPr>
      <w:r>
        <w:t xml:space="preserve">With regard to (re)integration into the labour market, the prioritised support of mothers with young children is especially called for, given that in terms of employment theirs is one of the four groups highly exposed to risk (the other three being those younger than 25 years of age, those above 55 years of age and individuals with low qualification). To improve the labour market position of this group, since 2010 </w:t>
      </w:r>
      <w:r>
        <w:rPr>
          <w:b/>
        </w:rPr>
        <w:t xml:space="preserve">the government has taken several measures </w:t>
      </w:r>
      <w:r>
        <w:t>the most important ones of which include:</w:t>
      </w:r>
    </w:p>
    <w:p w:rsidR="00842EF4" w:rsidRDefault="00842EF4" w:rsidP="005547B2">
      <w:pPr>
        <w:pStyle w:val="Akapitzlist"/>
        <w:numPr>
          <w:ilvl w:val="0"/>
          <w:numId w:val="22"/>
        </w:numPr>
        <w:spacing w:after="120"/>
        <w:rPr>
          <w:szCs w:val="24"/>
        </w:rPr>
      </w:pPr>
      <w:r>
        <w:t>New Labour Code</w:t>
      </w:r>
    </w:p>
    <w:p w:rsidR="00842EF4" w:rsidRDefault="00842EF4" w:rsidP="005547B2">
      <w:pPr>
        <w:pStyle w:val="Akapitzlist"/>
        <w:numPr>
          <w:ilvl w:val="0"/>
          <w:numId w:val="22"/>
        </w:numPr>
        <w:spacing w:after="120"/>
        <w:rPr>
          <w:szCs w:val="24"/>
        </w:rPr>
      </w:pPr>
      <w:r>
        <w:t>Job Protection Action Plan</w:t>
      </w:r>
    </w:p>
    <w:p w:rsidR="00842EF4" w:rsidRDefault="00842EF4" w:rsidP="005547B2">
      <w:pPr>
        <w:pStyle w:val="Akapitzlist"/>
        <w:numPr>
          <w:ilvl w:val="0"/>
          <w:numId w:val="22"/>
        </w:numPr>
        <w:spacing w:after="120"/>
        <w:rPr>
          <w:szCs w:val="24"/>
        </w:rPr>
      </w:pPr>
      <w:r>
        <w:t>GYED (child home care allowance) Extra</w:t>
      </w:r>
    </w:p>
    <w:p w:rsidR="00842EF4" w:rsidRPr="00665F30" w:rsidRDefault="00842EF4" w:rsidP="005547B2">
      <w:pPr>
        <w:pStyle w:val="Akapitzlist"/>
        <w:numPr>
          <w:ilvl w:val="0"/>
          <w:numId w:val="22"/>
        </w:numPr>
        <w:spacing w:after="120"/>
        <w:rPr>
          <w:szCs w:val="24"/>
        </w:rPr>
      </w:pPr>
      <w:r>
        <w:t>Extension of capacities for daytime care of children</w:t>
      </w:r>
    </w:p>
    <w:p w:rsidR="00842EF4" w:rsidRDefault="00842EF4" w:rsidP="005547B2">
      <w:pPr>
        <w:pStyle w:val="Bezodstpw"/>
        <w:spacing w:after="120" w:line="276" w:lineRule="auto"/>
        <w:jc w:val="both"/>
        <w:rPr>
          <w:rFonts w:ascii="Times New Roman" w:hAnsi="Times New Roman"/>
          <w:sz w:val="24"/>
          <w:szCs w:val="24"/>
        </w:rPr>
      </w:pPr>
      <w:r>
        <w:rPr>
          <w:rFonts w:ascii="Times New Roman" w:hAnsi="Times New Roman"/>
          <w:b/>
          <w:sz w:val="24"/>
        </w:rPr>
        <w:t>To increase the employment of women with young children</w:t>
      </w:r>
      <w:r>
        <w:rPr>
          <w:rFonts w:ascii="Times New Roman" w:hAnsi="Times New Roman"/>
          <w:sz w:val="24"/>
        </w:rPr>
        <w:t xml:space="preserve"> and to help them reconcile family and job-related tasks, several </w:t>
      </w:r>
      <w:r>
        <w:rPr>
          <w:rFonts w:ascii="Times New Roman" w:hAnsi="Times New Roman"/>
          <w:b/>
          <w:sz w:val="24"/>
        </w:rPr>
        <w:t>governmental measures</w:t>
      </w:r>
      <w:r>
        <w:rPr>
          <w:rFonts w:ascii="Times New Roman" w:hAnsi="Times New Roman"/>
          <w:sz w:val="24"/>
        </w:rPr>
        <w:t xml:space="preserve"> have been introduced.</w:t>
      </w:r>
    </w:p>
    <w:p w:rsidR="00842EF4" w:rsidRDefault="00842EF4" w:rsidP="005547B2">
      <w:pPr>
        <w:pStyle w:val="Bezodstpw"/>
        <w:numPr>
          <w:ilvl w:val="0"/>
          <w:numId w:val="30"/>
        </w:numPr>
        <w:spacing w:after="120" w:line="276" w:lineRule="auto"/>
        <w:jc w:val="both"/>
        <w:rPr>
          <w:rFonts w:ascii="Times New Roman" w:hAnsi="Times New Roman"/>
          <w:sz w:val="24"/>
          <w:szCs w:val="24"/>
        </w:rPr>
      </w:pPr>
      <w:r>
        <w:rPr>
          <w:rFonts w:ascii="Times New Roman" w:hAnsi="Times New Roman"/>
          <w:b/>
          <w:sz w:val="24"/>
        </w:rPr>
        <w:t>The new Labour Code</w:t>
      </w:r>
      <w:r>
        <w:rPr>
          <w:rFonts w:ascii="Times New Roman" w:hAnsi="Times New Roman"/>
          <w:sz w:val="24"/>
        </w:rPr>
        <w:t xml:space="preserve"> brings to the fore </w:t>
      </w:r>
      <w:r>
        <w:rPr>
          <w:rFonts w:ascii="Times New Roman" w:hAnsi="Times New Roman"/>
          <w:b/>
          <w:sz w:val="24"/>
        </w:rPr>
        <w:t>flexible and atypical forms of employment</w:t>
      </w:r>
      <w:r>
        <w:rPr>
          <w:rFonts w:ascii="Times New Roman" w:hAnsi="Times New Roman"/>
          <w:sz w:val="24"/>
        </w:rPr>
        <w:t xml:space="preserve"> which ensure that the employment of women be as continuous as possible. These non-conventional forms of employment are promoted by a provision of </w:t>
      </w:r>
      <w:r>
        <w:rPr>
          <w:rFonts w:ascii="Times New Roman" w:hAnsi="Times New Roman"/>
          <w:b/>
          <w:sz w:val="24"/>
        </w:rPr>
        <w:t>the new Labour Code (in force as of 2012)</w:t>
      </w:r>
      <w:r>
        <w:rPr>
          <w:rFonts w:ascii="Times New Roman" w:hAnsi="Times New Roman"/>
          <w:sz w:val="24"/>
        </w:rPr>
        <w:t xml:space="preserve"> </w:t>
      </w:r>
      <w:r>
        <w:rPr>
          <w:rFonts w:ascii="Times New Roman" w:hAnsi="Times New Roman"/>
          <w:b/>
          <w:sz w:val="24"/>
        </w:rPr>
        <w:t>that obliges employers – should the parents so require – to continue employing parents part-time until the child reaches 3 years of age.</w:t>
      </w:r>
      <w:r>
        <w:rPr>
          <w:rFonts w:ascii="Times New Roman" w:hAnsi="Times New Roman"/>
          <w:sz w:val="24"/>
        </w:rPr>
        <w:t xml:space="preserve"> </w:t>
      </w:r>
    </w:p>
    <w:p w:rsidR="00842EF4" w:rsidRDefault="00842EF4" w:rsidP="005547B2">
      <w:pPr>
        <w:pStyle w:val="Bezodstpw"/>
        <w:spacing w:after="120" w:line="276" w:lineRule="auto"/>
        <w:ind w:left="735"/>
        <w:jc w:val="both"/>
        <w:rPr>
          <w:rFonts w:ascii="Times New Roman" w:hAnsi="Times New Roman"/>
          <w:sz w:val="24"/>
          <w:szCs w:val="24"/>
        </w:rPr>
      </w:pPr>
      <w:r>
        <w:rPr>
          <w:rFonts w:ascii="Times New Roman" w:hAnsi="Times New Roman"/>
          <w:b/>
          <w:sz w:val="24"/>
        </w:rPr>
        <w:t>As of 2015, the period of this obligation is extended to 5 years for large families.</w:t>
      </w:r>
    </w:p>
    <w:p w:rsidR="00842EF4" w:rsidRPr="001243A3" w:rsidRDefault="00842EF4" w:rsidP="005547B2">
      <w:pPr>
        <w:pStyle w:val="Bezodstpw"/>
        <w:numPr>
          <w:ilvl w:val="0"/>
          <w:numId w:val="30"/>
        </w:numPr>
        <w:spacing w:after="120" w:line="276" w:lineRule="auto"/>
        <w:jc w:val="both"/>
        <w:rPr>
          <w:rFonts w:ascii="Times New Roman" w:hAnsi="Times New Roman"/>
          <w:sz w:val="24"/>
          <w:szCs w:val="24"/>
        </w:rPr>
      </w:pPr>
      <w:r>
        <w:rPr>
          <w:rFonts w:ascii="Times New Roman" w:hAnsi="Times New Roman"/>
          <w:b/>
          <w:sz w:val="24"/>
        </w:rPr>
        <w:t>The part-time employment allowance introduced</w:t>
      </w:r>
      <w:r>
        <w:rPr>
          <w:rFonts w:ascii="Times New Roman" w:hAnsi="Times New Roman"/>
          <w:sz w:val="24"/>
        </w:rPr>
        <w:t xml:space="preserve"> </w:t>
      </w:r>
      <w:r>
        <w:rPr>
          <w:rFonts w:ascii="Times New Roman" w:hAnsi="Times New Roman"/>
          <w:b/>
          <w:sz w:val="24"/>
        </w:rPr>
        <w:t>as of 1 January 2011</w:t>
      </w:r>
      <w:r>
        <w:rPr>
          <w:rFonts w:ascii="Times New Roman" w:hAnsi="Times New Roman"/>
          <w:sz w:val="24"/>
        </w:rPr>
        <w:t xml:space="preserve"> offers contribution allowance for the part-time employment of parents returning from childcare leave and is also intended to promote flexible forms of employment. </w:t>
      </w:r>
    </w:p>
    <w:p w:rsidR="00842EF4" w:rsidRPr="001243A3" w:rsidRDefault="00842EF4" w:rsidP="005547B2">
      <w:pPr>
        <w:pStyle w:val="Bezodstpw"/>
        <w:numPr>
          <w:ilvl w:val="0"/>
          <w:numId w:val="30"/>
        </w:numPr>
        <w:spacing w:after="120" w:line="276" w:lineRule="auto"/>
        <w:jc w:val="both"/>
        <w:rPr>
          <w:rFonts w:ascii="Times New Roman" w:hAnsi="Times New Roman"/>
          <w:bCs/>
          <w:color w:val="000000"/>
          <w:sz w:val="24"/>
          <w:szCs w:val="24"/>
        </w:rPr>
      </w:pPr>
      <w:r>
        <w:rPr>
          <w:rFonts w:ascii="Times New Roman" w:hAnsi="Times New Roman"/>
          <w:b/>
          <w:sz w:val="24"/>
        </w:rPr>
        <w:t>The Job Protection Action Plan</w:t>
      </w:r>
      <w:r>
        <w:rPr>
          <w:rFonts w:ascii="Times New Roman" w:hAnsi="Times New Roman"/>
          <w:sz w:val="24"/>
        </w:rPr>
        <w:t xml:space="preserve"> intends to incentivise employers to use female labour force. Within the framework of the Job Protection Action Plan, </w:t>
      </w:r>
      <w:r>
        <w:rPr>
          <w:rFonts w:ascii="Times New Roman" w:hAnsi="Times New Roman"/>
          <w:b/>
          <w:sz w:val="24"/>
        </w:rPr>
        <w:t>as of 1 January 2013</w:t>
      </w:r>
      <w:r>
        <w:rPr>
          <w:rFonts w:ascii="Times New Roman" w:hAnsi="Times New Roman"/>
          <w:sz w:val="24"/>
        </w:rPr>
        <w:t xml:space="preserve"> </w:t>
      </w:r>
      <w:r>
        <w:rPr>
          <w:rFonts w:ascii="Times New Roman" w:hAnsi="Times New Roman"/>
          <w:b/>
          <w:sz w:val="24"/>
        </w:rPr>
        <w:t>employers are eligible for contribution allowance in case they employ</w:t>
      </w:r>
      <w:r>
        <w:rPr>
          <w:rFonts w:ascii="Times New Roman" w:hAnsi="Times New Roman"/>
          <w:sz w:val="24"/>
        </w:rPr>
        <w:t xml:space="preserve"> individuals who belong to the most vulnerable groups: individuals above the age of 55 or under the age of 25, </w:t>
      </w:r>
      <w:r>
        <w:rPr>
          <w:rFonts w:ascii="Times New Roman" w:hAnsi="Times New Roman"/>
          <w:b/>
          <w:sz w:val="24"/>
        </w:rPr>
        <w:t>women with young children,</w:t>
      </w:r>
      <w:r>
        <w:rPr>
          <w:rFonts w:ascii="Times New Roman" w:hAnsi="Times New Roman"/>
          <w:sz w:val="24"/>
        </w:rPr>
        <w:t xml:space="preserve"> long-term unemployed (persons out of employment for 6 months or longer).</w:t>
      </w:r>
    </w:p>
    <w:p w:rsidR="00842EF4" w:rsidRDefault="00842EF4" w:rsidP="00D81185">
      <w:pPr>
        <w:pStyle w:val="Akapitzlist"/>
        <w:spacing w:after="120"/>
        <w:rPr>
          <w:szCs w:val="24"/>
        </w:rPr>
      </w:pPr>
      <w:r>
        <w:rPr>
          <w:b/>
        </w:rPr>
        <w:t>In the first two years of employment, the social contribution tax is 0% (instead of 27%); in the third year, a reduction of 14.5% is available</w:t>
      </w:r>
      <w:r>
        <w:t xml:space="preserve"> after the payment period of child home care fee, or during the payment period of child home care allowance and child-raising support, or during the employment of the individual employed after the end of such payment periods. The base of the allowance is maximised in the gross amount of the salary (without the deduction of the public dues and other amounts payable by the employee), and cannot be higher </w:t>
      </w:r>
      <w:r w:rsidR="007852A8">
        <w:t>than</w:t>
      </w:r>
      <w:r w:rsidR="00444E17">
        <w:t xml:space="preserve"> </w:t>
      </w:r>
      <w:r w:rsidR="007852A8">
        <w:t xml:space="preserve">322.6 </w:t>
      </w:r>
      <w:r w:rsidR="006F4536">
        <w:t>Euro</w:t>
      </w:r>
      <w:r w:rsidR="007852A8">
        <w:t>.</w:t>
      </w:r>
      <w:r w:rsidR="00671760">
        <w:t xml:space="preserve"> </w:t>
      </w:r>
      <w:r>
        <w:rPr>
          <w:b/>
        </w:rPr>
        <w:t>As of 1 January 2014,</w:t>
      </w:r>
      <w:r w:rsidR="00452C63">
        <w:rPr>
          <w:b/>
        </w:rPr>
        <w:t xml:space="preserve"> </w:t>
      </w:r>
      <w:r>
        <w:t xml:space="preserve">the system differentiates parents returning from parental leave on the basis of the number of children. </w:t>
      </w:r>
      <w:r>
        <w:rPr>
          <w:b/>
        </w:rPr>
        <w:t>For three or more children,</w:t>
      </w:r>
      <w:r>
        <w:t xml:space="preserve"> the period of eligibility for the above allowance is </w:t>
      </w:r>
      <w:r>
        <w:rPr>
          <w:b/>
        </w:rPr>
        <w:t>extended by 1-1 year</w:t>
      </w:r>
      <w:r>
        <w:t>.</w:t>
      </w:r>
    </w:p>
    <w:p w:rsidR="00842EF4" w:rsidRPr="005A348A" w:rsidRDefault="00842EF4" w:rsidP="005547B2">
      <w:pPr>
        <w:pStyle w:val="Bezodstpw"/>
        <w:numPr>
          <w:ilvl w:val="0"/>
          <w:numId w:val="23"/>
        </w:numPr>
        <w:spacing w:after="120" w:line="276" w:lineRule="auto"/>
        <w:jc w:val="both"/>
        <w:rPr>
          <w:rFonts w:ascii="Times New Roman" w:hAnsi="Times New Roman"/>
          <w:sz w:val="24"/>
          <w:szCs w:val="24"/>
        </w:rPr>
      </w:pPr>
      <w:r>
        <w:rPr>
          <w:rFonts w:ascii="Times New Roman" w:hAnsi="Times New Roman"/>
          <w:b/>
          <w:sz w:val="24"/>
        </w:rPr>
        <w:t>As of 2015,</w:t>
      </w:r>
      <w:r>
        <w:rPr>
          <w:rFonts w:ascii="Times New Roman" w:hAnsi="Times New Roman"/>
          <w:sz w:val="24"/>
        </w:rPr>
        <w:t xml:space="preserve"> the gross</w:t>
      </w:r>
      <w:r w:rsidR="007852A8">
        <w:rPr>
          <w:rFonts w:ascii="Times New Roman" w:hAnsi="Times New Roman"/>
          <w:sz w:val="24"/>
        </w:rPr>
        <w:t xml:space="preserve"> 322.6 </w:t>
      </w:r>
      <w:r w:rsidR="006F4536">
        <w:rPr>
          <w:rFonts w:ascii="Times New Roman" w:hAnsi="Times New Roman"/>
          <w:sz w:val="24"/>
        </w:rPr>
        <w:t xml:space="preserve">Euro </w:t>
      </w:r>
      <w:r>
        <w:rPr>
          <w:rFonts w:ascii="Times New Roman" w:hAnsi="Times New Roman"/>
          <w:sz w:val="24"/>
        </w:rPr>
        <w:t xml:space="preserve">maximum income level can be applied for parents with young children in case of full employment and </w:t>
      </w:r>
      <w:r>
        <w:rPr>
          <w:rFonts w:ascii="Times New Roman" w:hAnsi="Times New Roman"/>
          <w:b/>
          <w:sz w:val="24"/>
        </w:rPr>
        <w:t>part-time employment</w:t>
      </w:r>
      <w:r>
        <w:rPr>
          <w:rFonts w:ascii="Times New Roman" w:hAnsi="Times New Roman"/>
          <w:sz w:val="24"/>
        </w:rPr>
        <w:t xml:space="preserve"> alike.</w:t>
      </w:r>
    </w:p>
    <w:p w:rsidR="00842EF4" w:rsidRDefault="00842EF4" w:rsidP="005547B2">
      <w:pPr>
        <w:pStyle w:val="Bezodstpw"/>
        <w:spacing w:after="120" w:line="276" w:lineRule="auto"/>
        <w:jc w:val="both"/>
        <w:rPr>
          <w:rFonts w:ascii="Times New Roman" w:hAnsi="Times New Roman"/>
          <w:b/>
          <w:sz w:val="24"/>
          <w:szCs w:val="24"/>
        </w:rPr>
      </w:pPr>
      <w:r>
        <w:rPr>
          <w:rFonts w:ascii="Times New Roman" w:hAnsi="Times New Roman"/>
          <w:b/>
          <w:sz w:val="24"/>
        </w:rPr>
        <w:t xml:space="preserve">In </w:t>
      </w:r>
      <w:r w:rsidR="001D11A4">
        <w:rPr>
          <w:rFonts w:ascii="Times New Roman" w:hAnsi="Times New Roman"/>
          <w:b/>
          <w:sz w:val="24"/>
        </w:rPr>
        <w:t>2016</w:t>
      </w:r>
      <w:r>
        <w:rPr>
          <w:rFonts w:ascii="Times New Roman" w:hAnsi="Times New Roman"/>
          <w:b/>
          <w:sz w:val="24"/>
        </w:rPr>
        <w:t xml:space="preserve">, allowances of a total amount of </w:t>
      </w:r>
      <w:r w:rsidR="007852A8">
        <w:rPr>
          <w:rFonts w:ascii="Times New Roman" w:hAnsi="Times New Roman"/>
          <w:b/>
          <w:sz w:val="24"/>
        </w:rPr>
        <w:t xml:space="preserve">32.8 </w:t>
      </w:r>
      <w:r w:rsidR="006F4536">
        <w:rPr>
          <w:rFonts w:ascii="Times New Roman" w:hAnsi="Times New Roman"/>
          <w:b/>
          <w:sz w:val="24"/>
        </w:rPr>
        <w:t>million Euro</w:t>
      </w:r>
      <w:r w:rsidR="00671760">
        <w:rPr>
          <w:rFonts w:ascii="Times New Roman" w:hAnsi="Times New Roman"/>
          <w:b/>
          <w:sz w:val="24"/>
        </w:rPr>
        <w:t xml:space="preserve"> </w:t>
      </w:r>
      <w:r>
        <w:rPr>
          <w:rFonts w:ascii="Times New Roman" w:hAnsi="Times New Roman"/>
          <w:b/>
          <w:sz w:val="24"/>
        </w:rPr>
        <w:t xml:space="preserve">were granted for a total number of </w:t>
      </w:r>
      <w:r w:rsidR="001D11A4">
        <w:rPr>
          <w:rFonts w:ascii="Times New Roman" w:hAnsi="Times New Roman"/>
          <w:b/>
          <w:sz w:val="24"/>
        </w:rPr>
        <w:t>37,272</w:t>
      </w:r>
      <w:r w:rsidR="007852A8">
        <w:rPr>
          <w:rFonts w:ascii="Times New Roman" w:hAnsi="Times New Roman"/>
          <w:b/>
          <w:sz w:val="24"/>
        </w:rPr>
        <w:t xml:space="preserve"> </w:t>
      </w:r>
      <w:r>
        <w:rPr>
          <w:rFonts w:ascii="Times New Roman" w:hAnsi="Times New Roman"/>
          <w:b/>
          <w:sz w:val="24"/>
        </w:rPr>
        <w:t>parents with young children.</w:t>
      </w:r>
      <w:r w:rsidR="007852A8">
        <w:rPr>
          <w:rFonts w:ascii="Times New Roman" w:hAnsi="Times New Roman"/>
          <w:b/>
          <w:sz w:val="24"/>
        </w:rPr>
        <w:t xml:space="preserve"> This rate is </w:t>
      </w:r>
      <w:r w:rsidR="001D11A4">
        <w:rPr>
          <w:rFonts w:ascii="Times New Roman" w:hAnsi="Times New Roman"/>
          <w:b/>
          <w:sz w:val="24"/>
        </w:rPr>
        <w:t xml:space="preserve">4.9 </w:t>
      </w:r>
      <w:r w:rsidR="007852A8">
        <w:rPr>
          <w:rFonts w:ascii="Times New Roman" w:hAnsi="Times New Roman"/>
          <w:b/>
          <w:sz w:val="24"/>
        </w:rPr>
        <w:t xml:space="preserve">% </w:t>
      </w:r>
      <w:r w:rsidR="001D11A4">
        <w:rPr>
          <w:rFonts w:ascii="Times New Roman" w:hAnsi="Times New Roman"/>
          <w:b/>
          <w:sz w:val="24"/>
        </w:rPr>
        <w:t xml:space="preserve">lower </w:t>
      </w:r>
      <w:r w:rsidR="007852A8">
        <w:rPr>
          <w:rFonts w:ascii="Times New Roman" w:hAnsi="Times New Roman"/>
          <w:sz w:val="24"/>
        </w:rPr>
        <w:t>than it was previous year.</w:t>
      </w:r>
    </w:p>
    <w:p w:rsidR="00FE4C4A" w:rsidRDefault="00FE4C4A" w:rsidP="005547B2">
      <w:pPr>
        <w:pStyle w:val="Nagwek3"/>
        <w:spacing w:before="0" w:after="120"/>
        <w:rPr>
          <w:rFonts w:ascii="Times New Roman" w:hAnsi="Times New Roman"/>
          <w:color w:val="auto"/>
          <w:szCs w:val="24"/>
        </w:rPr>
      </w:pPr>
    </w:p>
    <w:p w:rsidR="00BA681C" w:rsidRPr="00B2559B" w:rsidRDefault="00D9304B" w:rsidP="005547B2">
      <w:pPr>
        <w:pStyle w:val="Nagwek3"/>
        <w:spacing w:before="0" w:after="120"/>
        <w:rPr>
          <w:rFonts w:asciiTheme="minorHAnsi" w:hAnsiTheme="minorHAnsi"/>
          <w:color w:val="auto"/>
          <w:sz w:val="22"/>
        </w:rPr>
      </w:pPr>
      <w:r>
        <w:rPr>
          <w:rFonts w:ascii="Times New Roman" w:hAnsi="Times New Roman"/>
          <w:color w:val="auto"/>
        </w:rPr>
        <w:t>Daytime Care of Young Children</w:t>
      </w:r>
    </w:p>
    <w:p w:rsidR="00447CAF" w:rsidRPr="00447CAF" w:rsidRDefault="00447CAF" w:rsidP="005547B2">
      <w:pPr>
        <w:spacing w:after="120"/>
        <w:rPr>
          <w:rFonts w:cs="Times New Roman"/>
          <w:szCs w:val="24"/>
        </w:rPr>
      </w:pPr>
      <w:r>
        <w:t>The timing of taking up employment after the birth of a child is strongly determined by the availability of institutionalised care facilities for young children. In Hungary, the most frequent forms of childcare are nurseries and family daycare facilities. Children are admitted to nurseries from the age of 20 weeks onwards; in practice, however – and this fact is related to the timing of the expiry of the payment of child home care fee – parents normally enrol their children after they reach the age of 2.</w:t>
      </w:r>
    </w:p>
    <w:p w:rsidR="00842EF4" w:rsidRPr="00842EF4" w:rsidRDefault="00842EF4" w:rsidP="005547B2">
      <w:pPr>
        <w:spacing w:after="120"/>
        <w:rPr>
          <w:szCs w:val="24"/>
        </w:rPr>
      </w:pPr>
      <w:r>
        <w:rPr>
          <w:b/>
        </w:rPr>
        <w:t>Compulsory kindergarten attendance,</w:t>
      </w:r>
      <w:r>
        <w:t xml:space="preserve"> to be introduced </w:t>
      </w:r>
      <w:r w:rsidR="00E15507">
        <w:t xml:space="preserve">last </w:t>
      </w:r>
      <w:r>
        <w:t xml:space="preserve">year, is expected to facilitate the entry of women with children younger than 6 years of age into the labour market.  As of September 2015, mandatory nursery school-age </w:t>
      </w:r>
      <w:r w:rsidR="00E803A0">
        <w:t xml:space="preserve">has </w:t>
      </w:r>
      <w:r w:rsidR="00452C63">
        <w:t>been</w:t>
      </w:r>
      <w:r>
        <w:t xml:space="preserve"> reduced to 3 years from 5 years. A precondition of the payment of the family allowance is kindergarten attendance, which introduces another incentive for parents. We are convinced that an early entry into a community promotes a child's development.</w:t>
      </w:r>
    </w:p>
    <w:p w:rsidR="00001AEC" w:rsidRPr="00D078ED" w:rsidRDefault="00842EF4" w:rsidP="005547B2">
      <w:pPr>
        <w:spacing w:after="120"/>
        <w:rPr>
          <w:szCs w:val="24"/>
        </w:rPr>
      </w:pPr>
      <w:r>
        <w:rPr>
          <w:b/>
        </w:rPr>
        <w:t>The number of nursery and family daycare places</w:t>
      </w:r>
      <w:r>
        <w:t xml:space="preserve"> available for children under the age of 3 </w:t>
      </w:r>
      <w:r w:rsidR="009B7A1D">
        <w:rPr>
          <w:b/>
        </w:rPr>
        <w:t>has</w:t>
      </w:r>
      <w:r>
        <w:rPr>
          <w:b/>
        </w:rPr>
        <w:t xml:space="preserve"> continuously increased</w:t>
      </w:r>
      <w:r>
        <w:t xml:space="preserve">.  In the period from 2010 to 2014, the number of nursery places was increased by 20% (from 37,000 to 47,000), and approximately </w:t>
      </w:r>
      <w:r w:rsidR="00444E17" w:rsidRPr="00A431F6">
        <w:rPr>
          <w:b/>
        </w:rPr>
        <w:t>90</w:t>
      </w:r>
      <w:r w:rsidR="00A431F6">
        <w:rPr>
          <w:b/>
        </w:rPr>
        <w:t>.</w:t>
      </w:r>
      <w:r w:rsidR="00444E17" w:rsidRPr="00A431F6">
        <w:rPr>
          <w:b/>
        </w:rPr>
        <w:t xml:space="preserve">3 </w:t>
      </w:r>
      <w:r w:rsidR="006F4536" w:rsidRPr="00A431F6">
        <w:rPr>
          <w:b/>
        </w:rPr>
        <w:t>million Euro</w:t>
      </w:r>
      <w:r w:rsidR="002C7A9B">
        <w:t xml:space="preserve"> </w:t>
      </w:r>
      <w:r w:rsidR="00E35340">
        <w:t xml:space="preserve"> </w:t>
      </w:r>
      <w:r>
        <w:t>was channelled to that purpose. As a result of the improvements, daycare in some form is available for 16.5% of children under 3 years of age.</w:t>
      </w:r>
    </w:p>
    <w:tbl>
      <w:tblPr>
        <w:tblW w:w="0" w:type="auto"/>
        <w:tblInd w:w="1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701"/>
        <w:gridCol w:w="2693"/>
      </w:tblGrid>
      <w:tr w:rsidR="00D9304B" w:rsidRPr="00D078ED" w:rsidTr="00D9304B">
        <w:tc>
          <w:tcPr>
            <w:tcW w:w="2093" w:type="dxa"/>
            <w:shd w:val="clear" w:color="auto" w:fill="FDE9D9"/>
          </w:tcPr>
          <w:p w:rsidR="00D9304B" w:rsidRPr="005631A8" w:rsidRDefault="00D9304B" w:rsidP="005547B2">
            <w:pPr>
              <w:spacing w:after="120"/>
              <w:rPr>
                <w:b/>
                <w:szCs w:val="24"/>
              </w:rPr>
            </w:pPr>
            <w:r>
              <w:rPr>
                <w:b/>
              </w:rPr>
              <w:t xml:space="preserve">Capacity of day nurseries and family day-care </w:t>
            </w:r>
          </w:p>
        </w:tc>
        <w:tc>
          <w:tcPr>
            <w:tcW w:w="1276" w:type="dxa"/>
            <w:shd w:val="clear" w:color="auto" w:fill="FDE9D9"/>
          </w:tcPr>
          <w:p w:rsidR="00D9304B" w:rsidRPr="005631A8" w:rsidRDefault="00D9304B" w:rsidP="005547B2">
            <w:pPr>
              <w:spacing w:after="120"/>
              <w:rPr>
                <w:szCs w:val="24"/>
              </w:rPr>
            </w:pPr>
            <w:r>
              <w:t>number</w:t>
            </w:r>
          </w:p>
        </w:tc>
        <w:tc>
          <w:tcPr>
            <w:tcW w:w="1701" w:type="dxa"/>
            <w:shd w:val="clear" w:color="auto" w:fill="FDE9D9"/>
          </w:tcPr>
          <w:p w:rsidR="00D9304B" w:rsidRPr="005631A8" w:rsidRDefault="00D9304B" w:rsidP="005547B2">
            <w:pPr>
              <w:spacing w:after="120"/>
              <w:rPr>
                <w:szCs w:val="24"/>
              </w:rPr>
            </w:pPr>
            <w:r>
              <w:t>growth</w:t>
            </w:r>
          </w:p>
        </w:tc>
        <w:tc>
          <w:tcPr>
            <w:tcW w:w="2693" w:type="dxa"/>
            <w:shd w:val="clear" w:color="auto" w:fill="FDE9D9"/>
          </w:tcPr>
          <w:p w:rsidR="00D9304B" w:rsidRPr="005631A8" w:rsidRDefault="00D9304B" w:rsidP="005547B2">
            <w:pPr>
              <w:spacing w:after="120"/>
              <w:rPr>
                <w:szCs w:val="24"/>
              </w:rPr>
            </w:pPr>
            <w:r>
              <w:rPr>
                <w:b/>
              </w:rPr>
              <w:t>Participating children under 3 years of age</w:t>
            </w:r>
          </w:p>
        </w:tc>
      </w:tr>
      <w:tr w:rsidR="00D9304B" w:rsidRPr="00D078ED" w:rsidTr="00D9304B">
        <w:tc>
          <w:tcPr>
            <w:tcW w:w="2093" w:type="dxa"/>
            <w:shd w:val="clear" w:color="auto" w:fill="auto"/>
          </w:tcPr>
          <w:p w:rsidR="00D9304B" w:rsidRPr="005631A8" w:rsidRDefault="00D9304B" w:rsidP="005547B2">
            <w:pPr>
              <w:spacing w:after="120"/>
              <w:rPr>
                <w:szCs w:val="24"/>
              </w:rPr>
            </w:pPr>
            <w:r>
              <w:t>2010</w:t>
            </w:r>
          </w:p>
        </w:tc>
        <w:tc>
          <w:tcPr>
            <w:tcW w:w="1276" w:type="dxa"/>
            <w:shd w:val="clear" w:color="auto" w:fill="auto"/>
          </w:tcPr>
          <w:p w:rsidR="00D9304B" w:rsidRPr="005631A8" w:rsidRDefault="00D9304B" w:rsidP="005547B2">
            <w:pPr>
              <w:spacing w:after="120"/>
              <w:rPr>
                <w:szCs w:val="24"/>
              </w:rPr>
            </w:pPr>
            <w:r>
              <w:t>37,000</w:t>
            </w:r>
          </w:p>
        </w:tc>
        <w:tc>
          <w:tcPr>
            <w:tcW w:w="1701" w:type="dxa"/>
            <w:shd w:val="clear" w:color="auto" w:fill="auto"/>
          </w:tcPr>
          <w:p w:rsidR="00D9304B" w:rsidRPr="005631A8" w:rsidRDefault="00D9304B" w:rsidP="005547B2">
            <w:pPr>
              <w:spacing w:after="120"/>
              <w:rPr>
                <w:szCs w:val="24"/>
              </w:rPr>
            </w:pPr>
            <w:r>
              <w:t>100%</w:t>
            </w:r>
          </w:p>
        </w:tc>
        <w:tc>
          <w:tcPr>
            <w:tcW w:w="2693" w:type="dxa"/>
            <w:shd w:val="clear" w:color="auto" w:fill="auto"/>
          </w:tcPr>
          <w:p w:rsidR="00D9304B" w:rsidRPr="005631A8" w:rsidRDefault="00D9304B" w:rsidP="005547B2">
            <w:pPr>
              <w:spacing w:after="120"/>
              <w:rPr>
                <w:szCs w:val="24"/>
              </w:rPr>
            </w:pPr>
            <w:r>
              <w:t>13.4%</w:t>
            </w:r>
          </w:p>
        </w:tc>
      </w:tr>
      <w:tr w:rsidR="00D9304B" w:rsidRPr="00D078ED" w:rsidTr="00D9304B">
        <w:tc>
          <w:tcPr>
            <w:tcW w:w="2093" w:type="dxa"/>
            <w:shd w:val="clear" w:color="auto" w:fill="auto"/>
          </w:tcPr>
          <w:p w:rsidR="00D9304B" w:rsidRPr="005631A8" w:rsidRDefault="00D9304B" w:rsidP="005547B2">
            <w:pPr>
              <w:spacing w:after="120"/>
              <w:rPr>
                <w:szCs w:val="24"/>
              </w:rPr>
            </w:pPr>
            <w:r>
              <w:t>2014</w:t>
            </w:r>
          </w:p>
        </w:tc>
        <w:tc>
          <w:tcPr>
            <w:tcW w:w="1276" w:type="dxa"/>
            <w:shd w:val="clear" w:color="auto" w:fill="auto"/>
          </w:tcPr>
          <w:p w:rsidR="00D9304B" w:rsidRPr="005631A8" w:rsidRDefault="00D9304B" w:rsidP="005547B2">
            <w:pPr>
              <w:spacing w:after="120"/>
              <w:rPr>
                <w:szCs w:val="24"/>
              </w:rPr>
            </w:pPr>
            <w:r>
              <w:t>47,000</w:t>
            </w:r>
          </w:p>
        </w:tc>
        <w:tc>
          <w:tcPr>
            <w:tcW w:w="1701" w:type="dxa"/>
            <w:shd w:val="clear" w:color="auto" w:fill="auto"/>
          </w:tcPr>
          <w:p w:rsidR="00D9304B" w:rsidRPr="005631A8" w:rsidRDefault="00D9304B" w:rsidP="005547B2">
            <w:pPr>
              <w:spacing w:after="120"/>
              <w:rPr>
                <w:b/>
                <w:szCs w:val="24"/>
                <w:u w:val="single"/>
              </w:rPr>
            </w:pPr>
            <w:r>
              <w:rPr>
                <w:b/>
                <w:u w:val="single"/>
              </w:rPr>
              <w:t>125%</w:t>
            </w:r>
          </w:p>
        </w:tc>
        <w:tc>
          <w:tcPr>
            <w:tcW w:w="2693" w:type="dxa"/>
            <w:shd w:val="clear" w:color="auto" w:fill="auto"/>
          </w:tcPr>
          <w:p w:rsidR="00D9304B" w:rsidRPr="005631A8" w:rsidRDefault="00D9304B" w:rsidP="005547B2">
            <w:pPr>
              <w:spacing w:after="120"/>
              <w:rPr>
                <w:szCs w:val="24"/>
              </w:rPr>
            </w:pPr>
            <w:r>
              <w:t xml:space="preserve">16.5% </w:t>
            </w:r>
          </w:p>
        </w:tc>
      </w:tr>
    </w:tbl>
    <w:p w:rsidR="00D9304B" w:rsidRDefault="00D9304B" w:rsidP="005547B2">
      <w:pPr>
        <w:spacing w:after="120"/>
        <w:rPr>
          <w:szCs w:val="24"/>
        </w:rPr>
      </w:pPr>
    </w:p>
    <w:p w:rsidR="00447CAF" w:rsidRDefault="00CE3D33" w:rsidP="005547B2">
      <w:pPr>
        <w:spacing w:after="120"/>
        <w:rPr>
          <w:szCs w:val="24"/>
        </w:rPr>
      </w:pPr>
      <w:r>
        <w:t xml:space="preserve">The government is currently planning to increase the number of daycare places available for children under 3 years of age from </w:t>
      </w:r>
      <w:r>
        <w:rPr>
          <w:b/>
        </w:rPr>
        <w:t xml:space="preserve">42,000 to 60,000 </w:t>
      </w:r>
      <w:r>
        <w:t>in the period from 2014 to 2018 and, thus, to help mothers returning to the labour market.</w:t>
      </w:r>
    </w:p>
    <w:p w:rsidR="005547B2" w:rsidRDefault="005547B2" w:rsidP="005547B2">
      <w:pPr>
        <w:spacing w:after="120"/>
        <w:rPr>
          <w:rFonts w:cs="Times New Roman"/>
          <w:b/>
          <w:szCs w:val="24"/>
        </w:rPr>
      </w:pPr>
    </w:p>
    <w:p w:rsidR="005547B2" w:rsidRDefault="00A06740" w:rsidP="005547B2">
      <w:pPr>
        <w:spacing w:after="120"/>
        <w:rPr>
          <w:b/>
          <w:sz w:val="28"/>
        </w:rPr>
      </w:pPr>
      <w:r>
        <w:rPr>
          <w:b/>
          <w:sz w:val="28"/>
        </w:rPr>
        <w:t>IV.3. Housing</w:t>
      </w:r>
    </w:p>
    <w:p w:rsidR="00025EFE" w:rsidRPr="00025EFE" w:rsidRDefault="00025EFE" w:rsidP="005547B2">
      <w:pPr>
        <w:spacing w:after="120"/>
        <w:rPr>
          <w:rFonts w:cs="Times New Roman"/>
          <w:b/>
          <w:sz w:val="28"/>
          <w:szCs w:val="24"/>
        </w:rPr>
      </w:pPr>
    </w:p>
    <w:p w:rsidR="00025EFE" w:rsidRDefault="00025EFE" w:rsidP="005547B2">
      <w:pPr>
        <w:spacing w:after="120"/>
        <w:rPr>
          <w:b/>
          <w:szCs w:val="24"/>
        </w:rPr>
      </w:pPr>
      <w:r w:rsidRPr="00025EFE">
        <w:t xml:space="preserve">Owning a home of an adequate size is a key factor for having children. For this reason, supporting the housing of young couples planning to have children and families with children is of high priority. As of 2012, a </w:t>
      </w:r>
      <w:r w:rsidRPr="00025EFE">
        <w:rPr>
          <w:b/>
        </w:rPr>
        <w:t>renewed one-off in-cash support</w:t>
      </w:r>
      <w:r w:rsidRPr="00025EFE">
        <w:t xml:space="preserve"> (social housing subsidy) is provided. </w:t>
      </w:r>
    </w:p>
    <w:p w:rsidR="007F6135" w:rsidRPr="006933B0" w:rsidRDefault="00D967C1" w:rsidP="005547B2">
      <w:pPr>
        <w:spacing w:after="120"/>
        <w:rPr>
          <w:b/>
        </w:rPr>
      </w:pPr>
      <w:r>
        <w:rPr>
          <w:b/>
        </w:rPr>
        <w:t>Youth home-start subsidy</w:t>
      </w:r>
    </w:p>
    <w:p w:rsidR="006F4536" w:rsidRDefault="00D9304B" w:rsidP="005547B2">
      <w:pPr>
        <w:spacing w:after="120"/>
      </w:pPr>
      <w:r>
        <w:rPr>
          <w:b/>
        </w:rPr>
        <w:t>As of 1 July 2015,</w:t>
      </w:r>
      <w:r>
        <w:t xml:space="preserve"> the social housing subsidy is replaced by </w:t>
      </w:r>
      <w:r>
        <w:rPr>
          <w:b/>
        </w:rPr>
        <w:t>the youth home-start subsidy (Hungarian abbreviation: CSOK)</w:t>
      </w:r>
      <w:r>
        <w:t xml:space="preserve"> which is now offered to a wider range of beneficiaries to promote the achievement of housing-related objectives of families which have or bring up children. </w:t>
      </w:r>
    </w:p>
    <w:p w:rsidR="00D10FCB" w:rsidRDefault="00D10FCB" w:rsidP="005547B2">
      <w:pPr>
        <w:spacing w:after="120"/>
        <w:rPr>
          <w:rFonts w:cs="Times New Roman"/>
          <w:b/>
          <w:szCs w:val="24"/>
        </w:rPr>
      </w:pPr>
      <w:r>
        <w:rPr>
          <w:rFonts w:cs="Times New Roman"/>
          <w:b/>
          <w:szCs w:val="24"/>
        </w:rPr>
        <w:t xml:space="preserve">As of 1 January 2016 families that are currently raising three or more children, or that </w:t>
      </w:r>
      <w:r w:rsidR="00A41E16">
        <w:rPr>
          <w:rFonts w:cs="Times New Roman"/>
          <w:b/>
          <w:szCs w:val="24"/>
        </w:rPr>
        <w:t xml:space="preserve">undertake to raise at least three children in future (including the children they already have) may </w:t>
      </w:r>
      <w:r w:rsidR="00DB7152">
        <w:rPr>
          <w:rFonts w:cs="Times New Roman"/>
          <w:b/>
          <w:szCs w:val="24"/>
        </w:rPr>
        <w:t xml:space="preserve">uniformly </w:t>
      </w:r>
      <w:r w:rsidR="00A41E16">
        <w:rPr>
          <w:rFonts w:cs="Times New Roman"/>
          <w:b/>
          <w:szCs w:val="24"/>
        </w:rPr>
        <w:t xml:space="preserve">receive a </w:t>
      </w:r>
      <w:r w:rsidR="00A41E16" w:rsidRPr="00A41E16">
        <w:rPr>
          <w:rFonts w:cs="Times New Roman"/>
          <w:b/>
          <w:szCs w:val="24"/>
        </w:rPr>
        <w:t>one-off in-cash support</w:t>
      </w:r>
      <w:r w:rsidR="00A41E16">
        <w:rPr>
          <w:rFonts w:cs="Times New Roman"/>
          <w:b/>
          <w:szCs w:val="24"/>
        </w:rPr>
        <w:t xml:space="preserve"> of </w:t>
      </w:r>
      <w:r w:rsidR="006F4536">
        <w:rPr>
          <w:rFonts w:cs="Times New Roman"/>
          <w:b/>
          <w:szCs w:val="24"/>
        </w:rPr>
        <w:t>32</w:t>
      </w:r>
      <w:r w:rsidR="00E35340">
        <w:rPr>
          <w:rFonts w:cs="Times New Roman"/>
          <w:b/>
          <w:szCs w:val="24"/>
        </w:rPr>
        <w:t>.</w:t>
      </w:r>
      <w:r w:rsidR="007852A8">
        <w:rPr>
          <w:rFonts w:cs="Times New Roman"/>
          <w:b/>
          <w:szCs w:val="24"/>
        </w:rPr>
        <w:t xml:space="preserve">260 </w:t>
      </w:r>
      <w:r w:rsidR="006F4536">
        <w:rPr>
          <w:rFonts w:cs="Times New Roman"/>
          <w:b/>
          <w:szCs w:val="24"/>
        </w:rPr>
        <w:t>Euro</w:t>
      </w:r>
      <w:r w:rsidR="002C7A9B">
        <w:rPr>
          <w:rFonts w:cs="Times New Roman"/>
          <w:b/>
          <w:szCs w:val="24"/>
        </w:rPr>
        <w:t xml:space="preserve"> </w:t>
      </w:r>
      <w:r w:rsidR="00DB7152">
        <w:rPr>
          <w:rFonts w:cs="Times New Roman"/>
          <w:b/>
          <w:szCs w:val="24"/>
        </w:rPr>
        <w:t xml:space="preserve">when building or buying a new housing. </w:t>
      </w:r>
      <w:r w:rsidR="00545546" w:rsidRPr="007976B6">
        <w:rPr>
          <w:rFonts w:cs="Times New Roman"/>
          <w:b/>
          <w:szCs w:val="24"/>
        </w:rPr>
        <w:t xml:space="preserve">In addition the mentioned families are eligible to a </w:t>
      </w:r>
      <w:r w:rsidR="00CD38A3" w:rsidRPr="00CF3A98">
        <w:rPr>
          <w:rFonts w:cs="Times New Roman"/>
          <w:b/>
          <w:szCs w:val="24"/>
        </w:rPr>
        <w:t>32</w:t>
      </w:r>
      <w:r w:rsidR="003C5FDF">
        <w:rPr>
          <w:rFonts w:cs="Times New Roman"/>
          <w:b/>
          <w:szCs w:val="24"/>
        </w:rPr>
        <w:t>,</w:t>
      </w:r>
      <w:r w:rsidR="00DD1A2F" w:rsidRPr="00CF3A98">
        <w:rPr>
          <w:rFonts w:cs="Times New Roman"/>
          <w:b/>
          <w:szCs w:val="24"/>
        </w:rPr>
        <w:t>2</w:t>
      </w:r>
      <w:r w:rsidR="00DD1A2F">
        <w:rPr>
          <w:rFonts w:cs="Times New Roman"/>
          <w:b/>
          <w:szCs w:val="24"/>
        </w:rPr>
        <w:t>6</w:t>
      </w:r>
      <w:r w:rsidR="00DD1A2F" w:rsidRPr="00CF3A98">
        <w:rPr>
          <w:rFonts w:cs="Times New Roman"/>
          <w:b/>
          <w:szCs w:val="24"/>
        </w:rPr>
        <w:t>0</w:t>
      </w:r>
      <w:r w:rsidR="00DD1A2F">
        <w:rPr>
          <w:rFonts w:cs="Times New Roman"/>
          <w:b/>
          <w:szCs w:val="24"/>
        </w:rPr>
        <w:t xml:space="preserve"> </w:t>
      </w:r>
      <w:r w:rsidR="00CD38A3" w:rsidRPr="00CF3A98">
        <w:rPr>
          <w:rFonts w:cs="Times New Roman"/>
          <w:b/>
          <w:szCs w:val="24"/>
        </w:rPr>
        <w:t>Euro</w:t>
      </w:r>
      <w:r w:rsidR="002C7A9B" w:rsidRPr="00CF3A98">
        <w:rPr>
          <w:rFonts w:cs="Times New Roman"/>
          <w:b/>
          <w:szCs w:val="24"/>
        </w:rPr>
        <w:t xml:space="preserve"> </w:t>
      </w:r>
      <w:r w:rsidR="00E35340">
        <w:rPr>
          <w:rFonts w:cs="Times New Roman"/>
          <w:b/>
          <w:szCs w:val="24"/>
        </w:rPr>
        <w:t xml:space="preserve"> </w:t>
      </w:r>
      <w:r w:rsidR="002C7A9B" w:rsidRPr="00CF3A98">
        <w:rPr>
          <w:rFonts w:cs="Times New Roman"/>
          <w:b/>
          <w:szCs w:val="24"/>
        </w:rPr>
        <w:t>HUF 10 million)</w:t>
      </w:r>
      <w:r w:rsidR="00CD38A3" w:rsidRPr="00CF3A98">
        <w:rPr>
          <w:rFonts w:cs="Times New Roman"/>
          <w:b/>
          <w:szCs w:val="24"/>
        </w:rPr>
        <w:t xml:space="preserve"> </w:t>
      </w:r>
      <w:r w:rsidR="00406DAB">
        <w:rPr>
          <w:rFonts w:cs="Times New Roman"/>
          <w:b/>
          <w:szCs w:val="24"/>
        </w:rPr>
        <w:t xml:space="preserve">reduced residential loan with a State </w:t>
      </w:r>
      <w:r w:rsidR="00545546" w:rsidRPr="00545546">
        <w:rPr>
          <w:rFonts w:cs="Times New Roman"/>
          <w:b/>
          <w:szCs w:val="24"/>
        </w:rPr>
        <w:t>interest-rate subsidy</w:t>
      </w:r>
      <w:r w:rsidR="00406DAB">
        <w:rPr>
          <w:rFonts w:cs="Times New Roman"/>
          <w:b/>
          <w:szCs w:val="24"/>
        </w:rPr>
        <w:t>.</w:t>
      </w:r>
      <w:r>
        <w:rPr>
          <w:rFonts w:cs="Times New Roman"/>
          <w:b/>
          <w:szCs w:val="24"/>
        </w:rPr>
        <w:t xml:space="preserve"> </w:t>
      </w:r>
    </w:p>
    <w:p w:rsidR="003C5FDF" w:rsidRDefault="003C5FDF" w:rsidP="005547B2">
      <w:pPr>
        <w:spacing w:after="120"/>
        <w:rPr>
          <w:rFonts w:cs="Times New Roman"/>
          <w:b/>
          <w:szCs w:val="24"/>
        </w:rPr>
      </w:pPr>
    </w:p>
    <w:p w:rsidR="007750E3" w:rsidRDefault="007750E3" w:rsidP="007750E3">
      <w:r w:rsidRPr="00DB1704">
        <w:t>The government has set minimum space requirements for the homes purchased of 40m2 if the family has one child, 50m2 for two, 60m2 for three and 70m2 for those families with four children.</w:t>
      </w:r>
      <w:r>
        <w:t xml:space="preserve"> </w:t>
      </w:r>
      <w:r w:rsidRPr="00DB1704">
        <w:t>The subsidy will not be dependent on the size of the home purchased</w:t>
      </w:r>
      <w:r>
        <w:t xml:space="preserve">. </w:t>
      </w:r>
      <w:r w:rsidRPr="00DB1704">
        <w:t xml:space="preserve">The subsidies for buying </w:t>
      </w:r>
      <w:r w:rsidRPr="00CF3A98">
        <w:rPr>
          <w:b/>
        </w:rPr>
        <w:t>existing homes</w:t>
      </w:r>
      <w:r w:rsidRPr="00DB1704">
        <w:t xml:space="preserve"> will be </w:t>
      </w:r>
      <w:r w:rsidR="005B6A7E">
        <w:t xml:space="preserve">maximum (according to the flat size) </w:t>
      </w:r>
      <w:r w:rsidR="005B6A7E" w:rsidRPr="00CF3A98">
        <w:rPr>
          <w:b/>
        </w:rPr>
        <w:t>193</w:t>
      </w:r>
      <w:r w:rsidR="0089133F">
        <w:rPr>
          <w:b/>
        </w:rPr>
        <w:t>0</w:t>
      </w:r>
      <w:r w:rsidR="005B6A7E" w:rsidRPr="00CF3A98">
        <w:rPr>
          <w:b/>
        </w:rPr>
        <w:t xml:space="preserve"> </w:t>
      </w:r>
      <w:r w:rsidR="00494E6E" w:rsidRPr="00CF3A98">
        <w:rPr>
          <w:b/>
        </w:rPr>
        <w:t>Euro</w:t>
      </w:r>
      <w:r w:rsidR="00E35340">
        <w:rPr>
          <w:b/>
        </w:rPr>
        <w:t xml:space="preserve"> </w:t>
      </w:r>
      <w:r w:rsidRPr="00DB1704">
        <w:t xml:space="preserve"> for one-child families, </w:t>
      </w:r>
      <w:r w:rsidR="005B6A7E">
        <w:t xml:space="preserve">maximum </w:t>
      </w:r>
      <w:r w:rsidR="00494E6E" w:rsidRPr="00CF3A98">
        <w:rPr>
          <w:b/>
        </w:rPr>
        <w:t>/</w:t>
      </w:r>
      <w:r w:rsidR="005B6A7E" w:rsidRPr="00CF3A98">
        <w:rPr>
          <w:b/>
        </w:rPr>
        <w:t>46</w:t>
      </w:r>
      <w:r w:rsidR="0089133F">
        <w:rPr>
          <w:b/>
        </w:rPr>
        <w:t>10</w:t>
      </w:r>
      <w:r w:rsidR="005B6A7E" w:rsidRPr="00CF3A98">
        <w:rPr>
          <w:b/>
        </w:rPr>
        <w:t xml:space="preserve"> </w:t>
      </w:r>
      <w:r w:rsidR="00494E6E" w:rsidRPr="00CF3A98">
        <w:rPr>
          <w:b/>
        </w:rPr>
        <w:t>Euro</w:t>
      </w:r>
      <w:r w:rsidRPr="00DB1704">
        <w:t xml:space="preserve"> for two children, </w:t>
      </w:r>
      <w:r w:rsidR="00444E17" w:rsidRPr="00CF3A98">
        <w:rPr>
          <w:b/>
        </w:rPr>
        <w:t>7</w:t>
      </w:r>
      <w:r w:rsidR="0089133F">
        <w:rPr>
          <w:b/>
        </w:rPr>
        <w:t>100</w:t>
      </w:r>
      <w:r w:rsidR="00444E17" w:rsidRPr="00CF3A98">
        <w:rPr>
          <w:b/>
        </w:rPr>
        <w:t xml:space="preserve"> </w:t>
      </w:r>
      <w:r w:rsidR="00494E6E" w:rsidRPr="00CF3A98">
        <w:rPr>
          <w:b/>
        </w:rPr>
        <w:t>Euro</w:t>
      </w:r>
      <w:r w:rsidRPr="00DB1704">
        <w:t xml:space="preserve"> for three children and </w:t>
      </w:r>
      <w:r w:rsidR="00494E6E" w:rsidRPr="00CF3A98">
        <w:rPr>
          <w:b/>
        </w:rPr>
        <w:t>8870 Euro</w:t>
      </w:r>
      <w:r w:rsidR="00E35340">
        <w:rPr>
          <w:b/>
        </w:rPr>
        <w:t xml:space="preserve"> </w:t>
      </w:r>
      <w:r w:rsidRPr="00DB1704">
        <w:t>for families with four children.</w:t>
      </w:r>
    </w:p>
    <w:p w:rsidR="003C5FDF" w:rsidRDefault="003C5FDF" w:rsidP="007750E3">
      <w:r>
        <w:t xml:space="preserve">The </w:t>
      </w:r>
      <w:r w:rsidRPr="00DB1704">
        <w:t xml:space="preserve">subsidies for buying </w:t>
      </w:r>
      <w:r w:rsidRPr="00CF3A98">
        <w:rPr>
          <w:b/>
        </w:rPr>
        <w:t>new homes</w:t>
      </w:r>
      <w:r w:rsidRPr="00DB1704">
        <w:t xml:space="preserve"> will be</w:t>
      </w:r>
      <w:r>
        <w:t xml:space="preserve"> </w:t>
      </w:r>
      <w:r w:rsidR="00444E17" w:rsidRPr="00D21231">
        <w:rPr>
          <w:b/>
        </w:rPr>
        <w:t>193</w:t>
      </w:r>
      <w:r w:rsidR="0089133F">
        <w:rPr>
          <w:b/>
        </w:rPr>
        <w:t>0</w:t>
      </w:r>
      <w:r w:rsidR="00444E17" w:rsidRPr="00D21231">
        <w:rPr>
          <w:b/>
        </w:rPr>
        <w:t xml:space="preserve"> </w:t>
      </w:r>
      <w:r w:rsidRPr="00D21231">
        <w:rPr>
          <w:b/>
        </w:rPr>
        <w:t>Euro</w:t>
      </w:r>
      <w:r w:rsidRPr="00DB1704">
        <w:t xml:space="preserve"> for one-child families,</w:t>
      </w:r>
      <w:r>
        <w:t xml:space="preserve"> </w:t>
      </w:r>
      <w:r w:rsidRPr="00CF3A98">
        <w:rPr>
          <w:b/>
        </w:rPr>
        <w:t>8,3</w:t>
      </w:r>
      <w:r w:rsidR="0089133F">
        <w:rPr>
          <w:b/>
        </w:rPr>
        <w:t>90</w:t>
      </w:r>
      <w:r w:rsidRPr="00CF3A98">
        <w:rPr>
          <w:b/>
        </w:rPr>
        <w:t xml:space="preserve"> Euro</w:t>
      </w:r>
      <w:r>
        <w:t xml:space="preserve"> </w:t>
      </w:r>
      <w:r w:rsidR="00E35340">
        <w:rPr>
          <w:rFonts w:cs="Times New Roman"/>
          <w:color w:val="000000" w:themeColor="text1"/>
        </w:rPr>
        <w:t xml:space="preserve"> </w:t>
      </w:r>
      <w:r>
        <w:t xml:space="preserve">for two children, </w:t>
      </w:r>
      <w:r w:rsidRPr="00CF3A98">
        <w:rPr>
          <w:b/>
        </w:rPr>
        <w:t>32,</w:t>
      </w:r>
      <w:r w:rsidR="005B6A7E" w:rsidRPr="00CF3A98">
        <w:rPr>
          <w:b/>
        </w:rPr>
        <w:t>2</w:t>
      </w:r>
      <w:r w:rsidR="0089133F">
        <w:rPr>
          <w:b/>
        </w:rPr>
        <w:t>00</w:t>
      </w:r>
      <w:r w:rsidR="005B6A7E" w:rsidRPr="00CF3A98">
        <w:rPr>
          <w:b/>
        </w:rPr>
        <w:t xml:space="preserve"> </w:t>
      </w:r>
      <w:r w:rsidRPr="00CF3A98">
        <w:rPr>
          <w:b/>
        </w:rPr>
        <w:t>Euro</w:t>
      </w:r>
      <w:r>
        <w:t xml:space="preserve"> for three or more children.</w:t>
      </w:r>
    </w:p>
    <w:p w:rsidR="00CD38A3" w:rsidRDefault="00CD38A3" w:rsidP="005547B2">
      <w:pPr>
        <w:spacing w:after="120"/>
        <w:rPr>
          <w:rFonts w:cs="Times New Roman"/>
          <w:b/>
          <w:szCs w:val="24"/>
        </w:rPr>
      </w:pPr>
    </w:p>
    <w:p w:rsidR="007F6135" w:rsidRDefault="007F6135" w:rsidP="00A06740">
      <w:pPr>
        <w:spacing w:after="120"/>
        <w:rPr>
          <w:b/>
          <w:sz w:val="28"/>
        </w:rPr>
      </w:pPr>
    </w:p>
    <w:p w:rsidR="009172C2" w:rsidRPr="00A06740" w:rsidRDefault="00A06740" w:rsidP="00A06740">
      <w:pPr>
        <w:spacing w:after="120"/>
        <w:rPr>
          <w:b/>
          <w:sz w:val="28"/>
          <w:szCs w:val="24"/>
        </w:rPr>
      </w:pPr>
      <w:r>
        <w:rPr>
          <w:b/>
          <w:sz w:val="28"/>
        </w:rPr>
        <w:t>IV.4. Fighting poverty; child welfare</w:t>
      </w:r>
    </w:p>
    <w:p w:rsidR="005547B2" w:rsidRDefault="005547B2" w:rsidP="005547B2">
      <w:pPr>
        <w:spacing w:after="120"/>
      </w:pPr>
    </w:p>
    <w:p w:rsidR="00686917" w:rsidRPr="00B2559B" w:rsidRDefault="00686917" w:rsidP="005547B2">
      <w:pPr>
        <w:spacing w:after="120"/>
        <w:rPr>
          <w:b/>
        </w:rPr>
      </w:pPr>
      <w:r>
        <w:t xml:space="preserve">In Hungary families with children are currently more exposed to the risk of poverty than families without children are. Therefore, family policy tools are employed to make sure </w:t>
      </w:r>
      <w:r>
        <w:rPr>
          <w:b/>
        </w:rPr>
        <w:t>that having children does not constitute a risk of poverty.</w:t>
      </w:r>
    </w:p>
    <w:p w:rsidR="00686917" w:rsidRDefault="00686917" w:rsidP="005547B2">
      <w:pPr>
        <w:spacing w:after="120"/>
      </w:pPr>
      <w:r>
        <w:t>In 201</w:t>
      </w:r>
      <w:r w:rsidR="00E273A0">
        <w:t>5</w:t>
      </w:r>
      <w:r>
        <w:t xml:space="preserve">, nearly </w:t>
      </w:r>
      <w:r w:rsidR="00E273A0">
        <w:t>30</w:t>
      </w:r>
      <w:r w:rsidR="00EB57BA">
        <w:t xml:space="preserve">% of </w:t>
      </w:r>
      <w:r w:rsidR="009B7A1D">
        <w:t xml:space="preserve">the </w:t>
      </w:r>
      <w:r>
        <w:t>1,</w:t>
      </w:r>
      <w:r w:rsidR="00C038F0">
        <w:t>251</w:t>
      </w:r>
      <w:r>
        <w:t xml:space="preserve">,000 </w:t>
      </w:r>
      <w:r w:rsidR="009B7A1D">
        <w:t xml:space="preserve">were with children. </w:t>
      </w:r>
      <w:r>
        <w:t>In 201</w:t>
      </w:r>
      <w:r w:rsidR="00E273A0">
        <w:t>5</w:t>
      </w:r>
      <w:r>
        <w:t xml:space="preserve">, </w:t>
      </w:r>
      <w:r w:rsidR="00E273A0">
        <w:t>29</w:t>
      </w:r>
      <w:r>
        <w:t>.</w:t>
      </w:r>
      <w:r w:rsidR="00E273A0">
        <w:t>7</w:t>
      </w:r>
      <w:r>
        <w:t xml:space="preserve">% of </w:t>
      </w:r>
      <w:r w:rsidR="009B7A1D">
        <w:t xml:space="preserve">the </w:t>
      </w:r>
      <w:r>
        <w:t>families with children and 25.</w:t>
      </w:r>
      <w:r w:rsidR="00C038F0">
        <w:t>2</w:t>
      </w:r>
      <w:r>
        <w:t xml:space="preserve">% of </w:t>
      </w:r>
      <w:r w:rsidR="009B7A1D">
        <w:t xml:space="preserve">the </w:t>
      </w:r>
      <w:r>
        <w:t>families without children were exposed to the risk of poverty and exclusion.</w:t>
      </w:r>
    </w:p>
    <w:p w:rsidR="00686917" w:rsidRDefault="00686917" w:rsidP="005547B2">
      <w:pPr>
        <w:spacing w:after="120"/>
      </w:pPr>
      <w:r>
        <w:t>Having one or two children does not constitute a major risk of poverty; if compared to families without children, no significant difference is detected in this respect. Approximately one-</w:t>
      </w:r>
      <w:r w:rsidR="00E273A0">
        <w:t xml:space="preserve">fifth </w:t>
      </w:r>
      <w:r>
        <w:t xml:space="preserve">of families with one or two children qualify as poor on the basis of some criterion (the national average rate being one-third). However, it is evident that families with three or more children and individuals raising their children alone are the most exposed to the risk of poverty. Almost </w:t>
      </w:r>
      <w:r w:rsidR="00E273A0">
        <w:t>two out of five</w:t>
      </w:r>
      <w:r>
        <w:t xml:space="preserve">  </w:t>
      </w:r>
      <w:r w:rsidR="002458FD">
        <w:t xml:space="preserve">families </w:t>
      </w:r>
      <w:r>
        <w:t xml:space="preserve">with three or more children and </w:t>
      </w:r>
      <w:r w:rsidR="00E273A0">
        <w:t>56</w:t>
      </w:r>
      <w:r>
        <w:t>% of individuals raising their children alone are affected.</w:t>
      </w:r>
    </w:p>
    <w:p w:rsidR="00127C27" w:rsidRPr="008D796D" w:rsidRDefault="00686917" w:rsidP="005547B2">
      <w:pPr>
        <w:spacing w:after="120"/>
        <w:rPr>
          <w:rFonts w:cs="Times New Roman"/>
          <w:szCs w:val="24"/>
        </w:rPr>
      </w:pPr>
      <w:r>
        <w:t>Still, from 201</w:t>
      </w:r>
      <w:r w:rsidR="0084284D">
        <w:t>4</w:t>
      </w:r>
      <w:r>
        <w:t xml:space="preserve"> to 201</w:t>
      </w:r>
      <w:r w:rsidR="0084284D">
        <w:t>5</w:t>
      </w:r>
      <w:r>
        <w:t xml:space="preserve"> </w:t>
      </w:r>
      <w:r>
        <w:rPr>
          <w:b/>
        </w:rPr>
        <w:t>we successfully decreased the risk of poverty of households with children</w:t>
      </w:r>
      <w:r>
        <w:t xml:space="preserve"> by </w:t>
      </w:r>
      <w:r w:rsidR="0084284D">
        <w:t>almost 2</w:t>
      </w:r>
      <w:r>
        <w:t xml:space="preserve"> percentage points.  The poverty risk of families with three or more children decreased </w:t>
      </w:r>
      <w:r w:rsidR="0084284D">
        <w:t>almost 4</w:t>
      </w:r>
      <w:r>
        <w:t xml:space="preserve"> percentage points (!),Among social transfers, pensions – making up more than 80% of social benefits – play a crucial role in reducing poverty. At the same time, it is to be noted that the family support system also contributes significantly to reducing poverty, </w:t>
      </w:r>
      <w:r>
        <w:rPr>
          <w:b/>
        </w:rPr>
        <w:t>as the poverty rate of single-parent families and families with three or more children would be more than 1.5 times higher without social benefits.</w:t>
      </w:r>
      <w:r>
        <w:t xml:space="preserve"> </w:t>
      </w:r>
      <w:r w:rsidR="00127C27">
        <w:t xml:space="preserve">The most important </w:t>
      </w:r>
      <w:r w:rsidR="00127C27">
        <w:rPr>
          <w:b/>
        </w:rPr>
        <w:t>poverty reduction</w:t>
      </w:r>
      <w:r w:rsidR="00127C27">
        <w:t xml:space="preserve"> measures implemented to help families in the period </w:t>
      </w:r>
      <w:r w:rsidR="00127C27">
        <w:rPr>
          <w:b/>
        </w:rPr>
        <w:t xml:space="preserve">from 2010 to 2015 </w:t>
      </w:r>
      <w:r w:rsidR="00127C27">
        <w:t xml:space="preserve">are as follows: </w:t>
      </w:r>
    </w:p>
    <w:p w:rsidR="00127C27" w:rsidRPr="00686917" w:rsidRDefault="00241C50" w:rsidP="005547B2">
      <w:pPr>
        <w:spacing w:after="120"/>
        <w:rPr>
          <w:rFonts w:cs="Times New Roman"/>
          <w:szCs w:val="24"/>
        </w:rPr>
      </w:pPr>
      <w:r>
        <w:t xml:space="preserve">- </w:t>
      </w:r>
      <w:r>
        <w:rPr>
          <w:b/>
        </w:rPr>
        <w:t>The extension of family tax benefits to contributions</w:t>
      </w:r>
      <w:r>
        <w:t xml:space="preserve"> to ensure that families with a lower income can benefit from a higher amount of support.</w:t>
      </w:r>
    </w:p>
    <w:p w:rsidR="00241C50" w:rsidRDefault="00241C50" w:rsidP="005547B2">
      <w:pPr>
        <w:spacing w:after="120"/>
        <w:rPr>
          <w:rFonts w:cs="Times New Roman"/>
          <w:szCs w:val="24"/>
        </w:rPr>
      </w:pPr>
      <w:r>
        <w:t xml:space="preserve">- </w:t>
      </w:r>
      <w:r>
        <w:rPr>
          <w:b/>
        </w:rPr>
        <w:t xml:space="preserve">The reduction of the overheads of housing </w:t>
      </w:r>
      <w:r>
        <w:t>(reduced by the government by 10-10% as of 1 January 2013 for the first time). After that, as of 1 July the costs of water and water treatment, LPG, waste collection and chimney sweeping</w:t>
      </w:r>
      <w:r w:rsidR="00D81185">
        <w:t xml:space="preserve"> </w:t>
      </w:r>
      <w:r>
        <w:t>was reduced by 10% each.</w:t>
      </w:r>
      <w:r>
        <w:br/>
        <w:t xml:space="preserve">In the second phase of the overheads reduction, as of 1 November 2013 (at the beginning of the heating period), the price of natural gas, electricity and district heating was reduced by another 11.1%. </w:t>
      </w:r>
      <w:r>
        <w:rPr>
          <w:b/>
        </w:rPr>
        <w:t>As a result of the reduction of overhead expenses, in 2013 residential customers paid 20% less for these utility services.</w:t>
      </w:r>
      <w:r>
        <w:t xml:space="preserve"> </w:t>
      </w:r>
    </w:p>
    <w:p w:rsidR="00241C50" w:rsidRDefault="00A82A8D" w:rsidP="005547B2">
      <w:pPr>
        <w:spacing w:after="120"/>
        <w:rPr>
          <w:rFonts w:cs="Times New Roman"/>
          <w:szCs w:val="24"/>
        </w:rPr>
      </w:pPr>
      <w:r>
        <w:t xml:space="preserve">The process of overheads reduction continued in 2014. The first step was to reduce the price of gas by another 6.5% as of 1 April. As of 1 September, the price of electricity was reduced by another 5.7%. In the final phase of the process, the costs of district heating were reduced by 3.3%.  </w:t>
      </w:r>
    </w:p>
    <w:p w:rsidR="00127C27" w:rsidRPr="00241C50" w:rsidRDefault="00A82A8D" w:rsidP="005547B2">
      <w:pPr>
        <w:spacing w:after="120"/>
        <w:rPr>
          <w:rFonts w:cs="Times New Roman"/>
          <w:szCs w:val="24"/>
        </w:rPr>
      </w:pPr>
      <w:r>
        <w:rPr>
          <w:b/>
        </w:rPr>
        <w:t>As a result of the overheads reduction, since 1 January 2013 residential customers have saved a total of</w:t>
      </w:r>
      <w:r w:rsidR="0020045C">
        <w:rPr>
          <w:b/>
        </w:rPr>
        <w:t xml:space="preserve"> </w:t>
      </w:r>
      <w:r w:rsidR="00D72159">
        <w:rPr>
          <w:b/>
        </w:rPr>
        <w:t>1.</w:t>
      </w:r>
      <w:r w:rsidR="0020045C">
        <w:rPr>
          <w:b/>
        </w:rPr>
        <w:t xml:space="preserve">07 </w:t>
      </w:r>
      <w:r w:rsidR="00D72159">
        <w:rPr>
          <w:b/>
        </w:rPr>
        <w:t>billion Euro</w:t>
      </w:r>
      <w:r>
        <w:rPr>
          <w:b/>
        </w:rPr>
        <w:t>.</w:t>
      </w:r>
      <w:r>
        <w:t xml:space="preserve"> Consumers saved the highest amount (a total</w:t>
      </w:r>
      <w:r w:rsidR="0020045C">
        <w:t xml:space="preserve"> 516 </w:t>
      </w:r>
      <w:r w:rsidR="00D72159">
        <w:t>million Euro</w:t>
      </w:r>
      <w:r>
        <w:t xml:space="preserve">) due to the reduction of the fee of electricity. As for gas and district heating, the total amounts saved by residential customers were </w:t>
      </w:r>
      <w:r w:rsidR="00D72159">
        <w:t> </w:t>
      </w:r>
      <w:r w:rsidR="0020045C">
        <w:t xml:space="preserve">448 </w:t>
      </w:r>
      <w:r w:rsidR="00D72159">
        <w:t>million Euro</w:t>
      </w:r>
      <w:r w:rsidR="00963169">
        <w:t xml:space="preserve"> </w:t>
      </w:r>
      <w:r w:rsidR="0020045C">
        <w:t>and</w:t>
      </w:r>
      <w:r w:rsidR="00963169">
        <w:t xml:space="preserve"> </w:t>
      </w:r>
      <w:r w:rsidR="0020045C">
        <w:t xml:space="preserve">113 </w:t>
      </w:r>
      <w:r w:rsidR="00D72159">
        <w:t>million Euro</w:t>
      </w:r>
      <w:r>
        <w:t>, respectively.</w:t>
      </w:r>
    </w:p>
    <w:p w:rsidR="00127C27" w:rsidRPr="00686917" w:rsidRDefault="00241C50" w:rsidP="005547B2">
      <w:pPr>
        <w:spacing w:after="120"/>
        <w:rPr>
          <w:rFonts w:cs="Times New Roman"/>
          <w:szCs w:val="24"/>
        </w:rPr>
      </w:pPr>
      <w:r>
        <w:rPr>
          <w:b/>
        </w:rPr>
        <w:t>- The extension of daycare provision for children</w:t>
      </w:r>
      <w:r>
        <w:t xml:space="preserve"> (compulsory kindergarten attendance, all-day school, infrastructure development; for details, see above.)</w:t>
      </w:r>
    </w:p>
    <w:p w:rsidR="00127C27" w:rsidRDefault="00241C50" w:rsidP="005547B2">
      <w:pPr>
        <w:spacing w:after="120"/>
      </w:pPr>
      <w:r>
        <w:rPr>
          <w:b/>
        </w:rPr>
        <w:t>- Reinforcing early intervention</w:t>
      </w:r>
      <w:r>
        <w:t xml:space="preserve"> – The government attaches priority to the detection of disorders of early development. For this reason, the governmental report of 2015 identifies the Hungarian situation in this respect and sets out measures to ensure efficient further prevention. With the compilation of the action plan, the government accepted a cross-sectoral document on the status of experts who help children with late development or psychological disorders, offer support to their families, and promote prevention and development. Consequently, the salaries of nursery employees with higher education qualification and pre-adoption counsellors were increased, and the extension of the human capacities of the pedagogical assistance services started.</w:t>
      </w:r>
    </w:p>
    <w:p w:rsidR="003A6E32" w:rsidRPr="00B2559B" w:rsidRDefault="00EE27ED" w:rsidP="006933B0">
      <w:pPr>
        <w:rPr>
          <w:rFonts w:cs="Times New Roman"/>
          <w:szCs w:val="24"/>
        </w:rPr>
      </w:pPr>
      <w:r>
        <w:rPr>
          <w:rFonts w:cs="Times New Roman"/>
          <w:szCs w:val="24"/>
        </w:rPr>
        <w:t xml:space="preserve">As of 2016 the </w:t>
      </w:r>
      <w:r w:rsidRPr="00EE27ED">
        <w:rPr>
          <w:rFonts w:cs="Times New Roman"/>
          <w:szCs w:val="24"/>
        </w:rPr>
        <w:t>new career path model for teachers</w:t>
      </w:r>
      <w:r>
        <w:rPr>
          <w:rFonts w:cs="Times New Roman"/>
          <w:szCs w:val="24"/>
        </w:rPr>
        <w:t xml:space="preserve"> has been expanded to </w:t>
      </w:r>
      <w:r w:rsidR="003630AC">
        <w:rPr>
          <w:rFonts w:cs="Times New Roman"/>
          <w:szCs w:val="24"/>
        </w:rPr>
        <w:t xml:space="preserve">those </w:t>
      </w:r>
      <w:r w:rsidR="00F851EA">
        <w:rPr>
          <w:rFonts w:cs="Times New Roman"/>
          <w:szCs w:val="24"/>
        </w:rPr>
        <w:t xml:space="preserve">adoption counsellors </w:t>
      </w:r>
      <w:r w:rsidR="003630AC">
        <w:rPr>
          <w:rFonts w:cs="Times New Roman"/>
          <w:szCs w:val="24"/>
        </w:rPr>
        <w:t xml:space="preserve">and </w:t>
      </w:r>
      <w:r w:rsidR="00F851EA">
        <w:rPr>
          <w:rFonts w:cs="Times New Roman"/>
          <w:szCs w:val="24"/>
        </w:rPr>
        <w:t>early childhood e</w:t>
      </w:r>
      <w:r w:rsidR="00F851EA" w:rsidRPr="00EE27ED">
        <w:rPr>
          <w:rFonts w:cs="Times New Roman"/>
          <w:szCs w:val="24"/>
        </w:rPr>
        <w:t>ducator</w:t>
      </w:r>
      <w:r w:rsidR="00F851EA">
        <w:rPr>
          <w:rFonts w:cs="Times New Roman"/>
          <w:szCs w:val="24"/>
        </w:rPr>
        <w:t xml:space="preserve">s working in nurseries </w:t>
      </w:r>
      <w:r w:rsidR="003630AC">
        <w:rPr>
          <w:rFonts w:cs="Times New Roman"/>
          <w:szCs w:val="24"/>
        </w:rPr>
        <w:t xml:space="preserve">who </w:t>
      </w:r>
      <w:r w:rsidR="00644522">
        <w:rPr>
          <w:rFonts w:cs="Times New Roman"/>
          <w:szCs w:val="24"/>
        </w:rPr>
        <w:t>have a university degree.</w:t>
      </w:r>
      <w:r w:rsidR="00F851EA">
        <w:rPr>
          <w:rFonts w:cs="Times New Roman"/>
          <w:szCs w:val="24"/>
        </w:rPr>
        <w:t xml:space="preserve"> Due to this amendment  a more equitable salary system has been introduced that takes into consideration both the degree and the professional experience of the given employee.</w:t>
      </w:r>
    </w:p>
    <w:p w:rsidR="00B2559B" w:rsidRPr="00963169" w:rsidRDefault="00241C50" w:rsidP="005547B2">
      <w:pPr>
        <w:spacing w:after="120"/>
      </w:pPr>
      <w:r>
        <w:rPr>
          <w:b/>
        </w:rPr>
        <w:t>- Child catering</w:t>
      </w:r>
      <w:r>
        <w:t xml:space="preserve"> – The government has been extending the opportunity for free or subsidised child catering. In the period from 2010 to </w:t>
      </w:r>
      <w:r w:rsidR="00633BF0">
        <w:t xml:space="preserve">2016 </w:t>
      </w:r>
      <w:r>
        <w:t xml:space="preserve">the budgetary resources allocated to child catering was doubled (from </w:t>
      </w:r>
      <w:r w:rsidR="00674B9F">
        <w:t xml:space="preserve">93.5 </w:t>
      </w:r>
      <w:r w:rsidR="00D72159">
        <w:t xml:space="preserve">million Euro </w:t>
      </w:r>
      <w:r w:rsidR="00633BF0">
        <w:t xml:space="preserve">to 233 </w:t>
      </w:r>
      <w:r w:rsidR="00D72159">
        <w:t>million Euro</w:t>
      </w:r>
      <w:r w:rsidR="002C7A9B">
        <w:t>/HUF 58 billion</w:t>
      </w:r>
      <w:r>
        <w:t xml:space="preserve">). As of September 2015, free catering in nurseries and kindergartens </w:t>
      </w:r>
      <w:r w:rsidR="00E803A0">
        <w:t xml:space="preserve">has </w:t>
      </w:r>
      <w:r w:rsidR="00C038F0">
        <w:t>been</w:t>
      </w:r>
      <w:r>
        <w:t xml:space="preserve"> extended to almost 90% of children, involving 230,000 more children in the scheme. As of 1 September 2015, free catering </w:t>
      </w:r>
      <w:r w:rsidR="00C038F0">
        <w:t>is</w:t>
      </w:r>
      <w:r>
        <w:t xml:space="preserve"> available for those children living in large families and severely sick/disabled children who are currently entitled for half-price catering, provided that the family’s per capita net income does not exceed 130% of the minimum net salary, that is</w:t>
      </w:r>
      <w:r w:rsidR="00D81185">
        <w:t xml:space="preserve"> </w:t>
      </w:r>
      <w:r w:rsidR="00D72159">
        <w:t>288 Euro</w:t>
      </w:r>
      <w:r w:rsidR="00D81185">
        <w:t>.</w:t>
      </w:r>
      <w:r w:rsidR="002C7A9B">
        <w:t xml:space="preserve"> </w:t>
      </w:r>
      <w:r>
        <w:t>The extension of the obligation to attend kindergarten has yet another favourable consequence, namely, more children will enjoy nursery education and, thus, the opportunity for free catering.</w:t>
      </w:r>
    </w:p>
    <w:p w:rsidR="00127C27" w:rsidRPr="00B2559B" w:rsidRDefault="00241C50" w:rsidP="005547B2">
      <w:pPr>
        <w:spacing w:after="120"/>
        <w:rPr>
          <w:rFonts w:cs="Times New Roman"/>
          <w:szCs w:val="24"/>
        </w:rPr>
      </w:pPr>
      <w:r>
        <w:rPr>
          <w:b/>
        </w:rPr>
        <w:t>- Improving the quality of public catering</w:t>
      </w:r>
      <w:r>
        <w:t xml:space="preserve"> - Another important step forward is the quality reform of public catering, introduced in 2015, which ensures that children are offered healthier and more nourishing food in public institutions. </w:t>
      </w:r>
      <w:r>
        <w:rPr>
          <w:b/>
        </w:rPr>
        <w:t>The objective</w:t>
      </w:r>
      <w:r>
        <w:t xml:space="preserve"> of the draft legislation prepared by the Ministry of Agriculture is </w:t>
      </w:r>
      <w:r>
        <w:rPr>
          <w:b/>
        </w:rPr>
        <w:t>to improve the quality of public catering</w:t>
      </w:r>
      <w:r>
        <w:t xml:space="preserve"> and thus, to facilitate the betterment of general quality of life and well-being. The legislation also defines the obligations of public catering service providers and suppliers, the terms and conditions of contracts of service and the conditions of consumption. It also sets out that </w:t>
      </w:r>
      <w:r>
        <w:rPr>
          <w:b/>
        </w:rPr>
        <w:t>an adequate environment and conditions for eating need to be provided</w:t>
      </w:r>
      <w:r>
        <w:t xml:space="preserve"> at schools and that </w:t>
      </w:r>
      <w:r>
        <w:rPr>
          <w:b/>
        </w:rPr>
        <w:t>opportunity needs to be offered to store and heat food taken from home</w:t>
      </w:r>
      <w:r>
        <w:t>.</w:t>
      </w:r>
      <w:r>
        <w:rPr>
          <w:b/>
        </w:rPr>
        <w:t xml:space="preserve"> </w:t>
      </w:r>
      <w:r>
        <w:t>At schools,</w:t>
      </w:r>
      <w:r>
        <w:rPr>
          <w:b/>
        </w:rPr>
        <w:t xml:space="preserve"> meal breaks need to be provided</w:t>
      </w:r>
      <w:r>
        <w:t xml:space="preserve">, while in kindergartens and nurseries meals </w:t>
      </w:r>
      <w:r>
        <w:rPr>
          <w:b/>
        </w:rPr>
        <w:t>are embedded in the daily schedule, and the minimum duration of lunch is 30 minutes.</w:t>
      </w:r>
    </w:p>
    <w:p w:rsidR="00127C27" w:rsidRPr="00686917" w:rsidRDefault="00241C50" w:rsidP="005547B2">
      <w:pPr>
        <w:spacing w:after="120"/>
        <w:rPr>
          <w:rFonts w:cs="Times New Roman"/>
          <w:szCs w:val="24"/>
        </w:rPr>
      </w:pPr>
      <w:r>
        <w:rPr>
          <w:b/>
        </w:rPr>
        <w:t>- The extension of the free supply of textbooks</w:t>
      </w:r>
      <w:r>
        <w:t xml:space="preserve"> - As of academic year 2014-2015, primary school pupils who start their 1st or 2nd year and, as of September  2016, those whose start their 3rd year have access to textbooks free of charge. At the same time, textbooks continue to be supplied free of charge to children in need (e.g. children living in large families or children with disabilities). </w:t>
      </w:r>
    </w:p>
    <w:p w:rsidR="00127C27" w:rsidRPr="00B2559B" w:rsidRDefault="00241C50" w:rsidP="005547B2">
      <w:pPr>
        <w:spacing w:after="120"/>
        <w:rPr>
          <w:rFonts w:cs="Times New Roman"/>
          <w:szCs w:val="24"/>
        </w:rPr>
      </w:pPr>
      <w:r>
        <w:rPr>
          <w:b/>
        </w:rPr>
        <w:t>- Elizabeth Programme</w:t>
      </w:r>
      <w:r>
        <w:t xml:space="preserve"> - the government introduced the programme of </w:t>
      </w:r>
      <w:r w:rsidR="00A66633">
        <w:t>social</w:t>
      </w:r>
      <w:r>
        <w:t xml:space="preserve"> vacation to ensure that those in need have available holiday opportunities. Every year, the major target groups include pensioners, large families, persons with disabilities and children. The two pillars of programmes are subsidised vacations and the organisation of summer camps for children. The Elizabeth Programme offers and opportunity for Hungarian children living in neighbouring countries to participate in summer camps in Hungary. Thus, children belonging to the Hungarian national minority or diasporas in countries of the Carpathian basin can familiarise with Hungarian culture, cross-border friendships can form and schools can start professional cooperation.</w:t>
      </w:r>
    </w:p>
    <w:p w:rsidR="00127C27" w:rsidRPr="00686917" w:rsidRDefault="00241C50" w:rsidP="005547B2">
      <w:pPr>
        <w:spacing w:after="120"/>
        <w:rPr>
          <w:rFonts w:cs="Times New Roman"/>
          <w:szCs w:val="24"/>
        </w:rPr>
      </w:pPr>
      <w:r>
        <w:t xml:space="preserve">- The continuous provision of </w:t>
      </w:r>
      <w:r>
        <w:rPr>
          <w:b/>
        </w:rPr>
        <w:t>family support service</w:t>
      </w:r>
      <w:r>
        <w:t xml:space="preserve"> for disadvantaged families (e.g. </w:t>
      </w:r>
      <w:r>
        <w:rPr>
          <w:b/>
        </w:rPr>
        <w:t>Sure Start Children's Home</w:t>
      </w:r>
      <w:r>
        <w:t>). The main objective of the Sure Start Programme is to establish cooperation with parents, parents-to-be, children and professional partners in order to promote children's physical, intellectual and social development.</w:t>
      </w:r>
    </w:p>
    <w:p w:rsidR="004A58A1" w:rsidRDefault="00241C50" w:rsidP="005547B2">
      <w:pPr>
        <w:spacing w:after="120"/>
        <w:rPr>
          <w:rFonts w:cs="Times New Roman"/>
          <w:szCs w:val="24"/>
        </w:rPr>
      </w:pPr>
      <w:r>
        <w:t xml:space="preserve">- The reform of the institutional system of child protection and the </w:t>
      </w:r>
      <w:r>
        <w:rPr>
          <w:b/>
        </w:rPr>
        <w:t>extension</w:t>
      </w:r>
      <w:r>
        <w:t xml:space="preserve"> of the network of foster parents. We find it important to ensure that as many children grow up in families as possible; to this end, a provision states that as of 2014 children under 12 years of age shall be placed at foster parents. A standardised employment relationship of foster parents was introduced, which created a unified framework for them. In 2015, the government increased the financial assistance of the operation of Sure Start Children's Home by more than two times, to</w:t>
      </w:r>
      <w:r w:rsidR="0020045C">
        <w:t xml:space="preserve"> nearly </w:t>
      </w:r>
      <w:r w:rsidR="00D72159">
        <w:t>2 million Euro</w:t>
      </w:r>
      <w:r w:rsidR="007B3BC9">
        <w:t xml:space="preserve"> </w:t>
      </w:r>
      <w:r w:rsidR="0020045C">
        <w:t>.</w:t>
      </w:r>
      <w:r w:rsidR="002C7A9B">
        <w:t xml:space="preserve"> </w:t>
      </w:r>
    </w:p>
    <w:p w:rsidR="004A58A1" w:rsidRDefault="004A58A1" w:rsidP="005547B2">
      <w:pPr>
        <w:spacing w:after="120"/>
        <w:rPr>
          <w:rFonts w:cs="Times New Roman"/>
          <w:szCs w:val="24"/>
        </w:rPr>
      </w:pPr>
    </w:p>
    <w:p w:rsidR="004A58A1" w:rsidRDefault="004A58A1" w:rsidP="004A58A1">
      <w:pPr>
        <w:spacing w:after="120"/>
        <w:rPr>
          <w:rFonts w:cs="Times New Roman"/>
          <w:szCs w:val="24"/>
        </w:rPr>
      </w:pPr>
    </w:p>
    <w:p w:rsidR="004A58A1" w:rsidRPr="00BB3E15" w:rsidRDefault="004A58A1" w:rsidP="004A58A1">
      <w:r w:rsidRPr="00BB3E15">
        <w:t xml:space="preserve"> </w:t>
      </w:r>
    </w:p>
    <w:sectPr w:rsidR="004A58A1" w:rsidRPr="00BB3E1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D92" w:rsidRDefault="00505D92" w:rsidP="00D67BB6">
      <w:pPr>
        <w:spacing w:after="0" w:line="240" w:lineRule="auto"/>
      </w:pPr>
      <w:r>
        <w:separator/>
      </w:r>
    </w:p>
  </w:endnote>
  <w:endnote w:type="continuationSeparator" w:id="0">
    <w:p w:rsidR="00505D92" w:rsidRDefault="00505D92" w:rsidP="00D6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72183"/>
      <w:docPartObj>
        <w:docPartGallery w:val="Page Numbers (Bottom of Page)"/>
        <w:docPartUnique/>
      </w:docPartObj>
    </w:sdtPr>
    <w:sdtEndPr/>
    <w:sdtContent>
      <w:p w:rsidR="00E0647A" w:rsidRDefault="00E0647A">
        <w:pPr>
          <w:pStyle w:val="Stopka"/>
          <w:jc w:val="center"/>
        </w:pPr>
        <w:r>
          <w:fldChar w:fldCharType="begin"/>
        </w:r>
        <w:r>
          <w:instrText>PAGE   \* MERGEFORMAT</w:instrText>
        </w:r>
        <w:r>
          <w:fldChar w:fldCharType="separate"/>
        </w:r>
        <w:r w:rsidR="00A71E3A">
          <w:rPr>
            <w:noProof/>
          </w:rPr>
          <w:t>2</w:t>
        </w:r>
        <w:r>
          <w:fldChar w:fldCharType="end"/>
        </w:r>
      </w:p>
    </w:sdtContent>
  </w:sdt>
  <w:p w:rsidR="00E0647A" w:rsidRDefault="00E064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D92" w:rsidRDefault="00505D92" w:rsidP="00D67BB6">
      <w:pPr>
        <w:spacing w:after="0" w:line="240" w:lineRule="auto"/>
      </w:pPr>
      <w:r>
        <w:separator/>
      </w:r>
    </w:p>
  </w:footnote>
  <w:footnote w:type="continuationSeparator" w:id="0">
    <w:p w:rsidR="00505D92" w:rsidRDefault="00505D92" w:rsidP="00D67B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44E26"/>
    <w:multiLevelType w:val="hybridMultilevel"/>
    <w:tmpl w:val="F066403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4B37780"/>
    <w:multiLevelType w:val="hybridMultilevel"/>
    <w:tmpl w:val="5F908B84"/>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085D76BF"/>
    <w:multiLevelType w:val="hybridMultilevel"/>
    <w:tmpl w:val="BA2E2D86"/>
    <w:lvl w:ilvl="0" w:tplc="BEA0BB68">
      <w:start w:val="1"/>
      <w:numFmt w:val="bullet"/>
      <w:lvlText w:val=""/>
      <w:lvlJc w:val="left"/>
      <w:pPr>
        <w:tabs>
          <w:tab w:val="num" w:pos="720"/>
        </w:tabs>
        <w:ind w:left="720" w:hanging="360"/>
      </w:pPr>
      <w:rPr>
        <w:rFonts w:ascii="Wingdings 2" w:hAnsi="Wingdings 2" w:hint="default"/>
      </w:rPr>
    </w:lvl>
    <w:lvl w:ilvl="1" w:tplc="18A01ED6" w:tentative="1">
      <w:start w:val="1"/>
      <w:numFmt w:val="bullet"/>
      <w:lvlText w:val=""/>
      <w:lvlJc w:val="left"/>
      <w:pPr>
        <w:tabs>
          <w:tab w:val="num" w:pos="1440"/>
        </w:tabs>
        <w:ind w:left="1440" w:hanging="360"/>
      </w:pPr>
      <w:rPr>
        <w:rFonts w:ascii="Wingdings 2" w:hAnsi="Wingdings 2" w:hint="default"/>
      </w:rPr>
    </w:lvl>
    <w:lvl w:ilvl="2" w:tplc="7DBE6D24" w:tentative="1">
      <w:start w:val="1"/>
      <w:numFmt w:val="bullet"/>
      <w:lvlText w:val=""/>
      <w:lvlJc w:val="left"/>
      <w:pPr>
        <w:tabs>
          <w:tab w:val="num" w:pos="2160"/>
        </w:tabs>
        <w:ind w:left="2160" w:hanging="360"/>
      </w:pPr>
      <w:rPr>
        <w:rFonts w:ascii="Wingdings 2" w:hAnsi="Wingdings 2" w:hint="default"/>
      </w:rPr>
    </w:lvl>
    <w:lvl w:ilvl="3" w:tplc="60006A2E" w:tentative="1">
      <w:start w:val="1"/>
      <w:numFmt w:val="bullet"/>
      <w:lvlText w:val=""/>
      <w:lvlJc w:val="left"/>
      <w:pPr>
        <w:tabs>
          <w:tab w:val="num" w:pos="2880"/>
        </w:tabs>
        <w:ind w:left="2880" w:hanging="360"/>
      </w:pPr>
      <w:rPr>
        <w:rFonts w:ascii="Wingdings 2" w:hAnsi="Wingdings 2" w:hint="default"/>
      </w:rPr>
    </w:lvl>
    <w:lvl w:ilvl="4" w:tplc="E8A80AA6" w:tentative="1">
      <w:start w:val="1"/>
      <w:numFmt w:val="bullet"/>
      <w:lvlText w:val=""/>
      <w:lvlJc w:val="left"/>
      <w:pPr>
        <w:tabs>
          <w:tab w:val="num" w:pos="3600"/>
        </w:tabs>
        <w:ind w:left="3600" w:hanging="360"/>
      </w:pPr>
      <w:rPr>
        <w:rFonts w:ascii="Wingdings 2" w:hAnsi="Wingdings 2" w:hint="default"/>
      </w:rPr>
    </w:lvl>
    <w:lvl w:ilvl="5" w:tplc="E87800F4" w:tentative="1">
      <w:start w:val="1"/>
      <w:numFmt w:val="bullet"/>
      <w:lvlText w:val=""/>
      <w:lvlJc w:val="left"/>
      <w:pPr>
        <w:tabs>
          <w:tab w:val="num" w:pos="4320"/>
        </w:tabs>
        <w:ind w:left="4320" w:hanging="360"/>
      </w:pPr>
      <w:rPr>
        <w:rFonts w:ascii="Wingdings 2" w:hAnsi="Wingdings 2" w:hint="default"/>
      </w:rPr>
    </w:lvl>
    <w:lvl w:ilvl="6" w:tplc="133AD6A2" w:tentative="1">
      <w:start w:val="1"/>
      <w:numFmt w:val="bullet"/>
      <w:lvlText w:val=""/>
      <w:lvlJc w:val="left"/>
      <w:pPr>
        <w:tabs>
          <w:tab w:val="num" w:pos="5040"/>
        </w:tabs>
        <w:ind w:left="5040" w:hanging="360"/>
      </w:pPr>
      <w:rPr>
        <w:rFonts w:ascii="Wingdings 2" w:hAnsi="Wingdings 2" w:hint="default"/>
      </w:rPr>
    </w:lvl>
    <w:lvl w:ilvl="7" w:tplc="A886A47A" w:tentative="1">
      <w:start w:val="1"/>
      <w:numFmt w:val="bullet"/>
      <w:lvlText w:val=""/>
      <w:lvlJc w:val="left"/>
      <w:pPr>
        <w:tabs>
          <w:tab w:val="num" w:pos="5760"/>
        </w:tabs>
        <w:ind w:left="5760" w:hanging="360"/>
      </w:pPr>
      <w:rPr>
        <w:rFonts w:ascii="Wingdings 2" w:hAnsi="Wingdings 2" w:hint="default"/>
      </w:rPr>
    </w:lvl>
    <w:lvl w:ilvl="8" w:tplc="7298B174" w:tentative="1">
      <w:start w:val="1"/>
      <w:numFmt w:val="bullet"/>
      <w:lvlText w:val=""/>
      <w:lvlJc w:val="left"/>
      <w:pPr>
        <w:tabs>
          <w:tab w:val="num" w:pos="6480"/>
        </w:tabs>
        <w:ind w:left="6480" w:hanging="360"/>
      </w:pPr>
      <w:rPr>
        <w:rFonts w:ascii="Wingdings 2" w:hAnsi="Wingdings 2" w:hint="default"/>
      </w:rPr>
    </w:lvl>
  </w:abstractNum>
  <w:abstractNum w:abstractNumId="3">
    <w:nsid w:val="10826C46"/>
    <w:multiLevelType w:val="hybridMultilevel"/>
    <w:tmpl w:val="11B25A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3222BEB"/>
    <w:multiLevelType w:val="hybridMultilevel"/>
    <w:tmpl w:val="6F5A604E"/>
    <w:lvl w:ilvl="0" w:tplc="FEF21168">
      <w:start w:val="1"/>
      <w:numFmt w:val="decimal"/>
      <w:lvlText w:val="%1."/>
      <w:lvlJc w:val="left"/>
      <w:pPr>
        <w:ind w:left="720" w:hanging="360"/>
      </w:pPr>
      <w:rPr>
        <w:rFonts w:hint="default"/>
        <w:b/>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5296DD8"/>
    <w:multiLevelType w:val="hybridMultilevel"/>
    <w:tmpl w:val="A8FC4C1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5D8455A"/>
    <w:multiLevelType w:val="hybridMultilevel"/>
    <w:tmpl w:val="92FAE38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nsid w:val="18523280"/>
    <w:multiLevelType w:val="hybridMultilevel"/>
    <w:tmpl w:val="2DC8DE5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1F233F39"/>
    <w:multiLevelType w:val="hybridMultilevel"/>
    <w:tmpl w:val="4A04E11C"/>
    <w:lvl w:ilvl="0" w:tplc="87264C30">
      <w:start w:val="201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8714212"/>
    <w:multiLevelType w:val="hybridMultilevel"/>
    <w:tmpl w:val="26F04544"/>
    <w:lvl w:ilvl="0" w:tplc="8990E296">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5717951"/>
    <w:multiLevelType w:val="hybridMultilevel"/>
    <w:tmpl w:val="EC90DB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73D5226"/>
    <w:multiLevelType w:val="multilevel"/>
    <w:tmpl w:val="D84EB49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2">
    <w:nsid w:val="38B655DE"/>
    <w:multiLevelType w:val="hybridMultilevel"/>
    <w:tmpl w:val="B3601A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C1C3410"/>
    <w:multiLevelType w:val="hybridMultilevel"/>
    <w:tmpl w:val="377C1A3A"/>
    <w:lvl w:ilvl="0" w:tplc="8F22721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CD91FC4"/>
    <w:multiLevelType w:val="hybridMultilevel"/>
    <w:tmpl w:val="5A3C27F4"/>
    <w:lvl w:ilvl="0" w:tplc="C898F2E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3B837AA"/>
    <w:multiLevelType w:val="hybridMultilevel"/>
    <w:tmpl w:val="76681896"/>
    <w:lvl w:ilvl="0" w:tplc="EBDA872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4093F06"/>
    <w:multiLevelType w:val="hybridMultilevel"/>
    <w:tmpl w:val="B8901D06"/>
    <w:lvl w:ilvl="0" w:tplc="EFFE8786">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7">
    <w:nsid w:val="447507A4"/>
    <w:multiLevelType w:val="hybridMultilevel"/>
    <w:tmpl w:val="ABB4A6D2"/>
    <w:lvl w:ilvl="0" w:tplc="0A167352">
      <w:start w:val="1"/>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7402CF0"/>
    <w:multiLevelType w:val="hybridMultilevel"/>
    <w:tmpl w:val="5D8ADE0C"/>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9">
    <w:nsid w:val="48436AF0"/>
    <w:multiLevelType w:val="hybridMultilevel"/>
    <w:tmpl w:val="E2BE418C"/>
    <w:lvl w:ilvl="0" w:tplc="E4C2686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86347EC"/>
    <w:multiLevelType w:val="hybridMultilevel"/>
    <w:tmpl w:val="BFD4D8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48DE26D5"/>
    <w:multiLevelType w:val="hybridMultilevel"/>
    <w:tmpl w:val="C59A45DA"/>
    <w:lvl w:ilvl="0" w:tplc="E0F2697A">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4F5C4342"/>
    <w:multiLevelType w:val="hybridMultilevel"/>
    <w:tmpl w:val="5A84F6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2D0297D"/>
    <w:multiLevelType w:val="multilevel"/>
    <w:tmpl w:val="15B2C17A"/>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508604F"/>
    <w:multiLevelType w:val="hybridMultilevel"/>
    <w:tmpl w:val="7C462B42"/>
    <w:lvl w:ilvl="0" w:tplc="1766268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5C271926"/>
    <w:multiLevelType w:val="hybridMultilevel"/>
    <w:tmpl w:val="BCB864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5C62764A"/>
    <w:multiLevelType w:val="hybridMultilevel"/>
    <w:tmpl w:val="7CE6DF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5CE5781E"/>
    <w:multiLevelType w:val="hybridMultilevel"/>
    <w:tmpl w:val="B32403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C50100C"/>
    <w:multiLevelType w:val="hybridMultilevel"/>
    <w:tmpl w:val="7EF88D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6E852AB9"/>
    <w:multiLevelType w:val="hybridMultilevel"/>
    <w:tmpl w:val="911A1770"/>
    <w:lvl w:ilvl="0" w:tplc="040E000F">
      <w:start w:val="1"/>
      <w:numFmt w:val="decimal"/>
      <w:lvlText w:val="%1."/>
      <w:lvlJc w:val="left"/>
      <w:pPr>
        <w:ind w:left="1065" w:hanging="705"/>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74AC2EC4"/>
    <w:multiLevelType w:val="hybridMultilevel"/>
    <w:tmpl w:val="8F649B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74F357D5"/>
    <w:multiLevelType w:val="hybridMultilevel"/>
    <w:tmpl w:val="8C52A7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75505756"/>
    <w:multiLevelType w:val="hybridMultilevel"/>
    <w:tmpl w:val="9D60081E"/>
    <w:lvl w:ilvl="0" w:tplc="040E0001">
      <w:start w:val="1"/>
      <w:numFmt w:val="bullet"/>
      <w:lvlText w:val=""/>
      <w:lvlJc w:val="left"/>
      <w:pPr>
        <w:ind w:left="1065" w:hanging="705"/>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7926D69"/>
    <w:multiLevelType w:val="hybridMultilevel"/>
    <w:tmpl w:val="1422BD46"/>
    <w:lvl w:ilvl="0" w:tplc="77D0019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7B2C07F9"/>
    <w:multiLevelType w:val="hybridMultilevel"/>
    <w:tmpl w:val="F9CE0D08"/>
    <w:lvl w:ilvl="0" w:tplc="6BB0B2DC">
      <w:start w:val="3"/>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7BE26660"/>
    <w:multiLevelType w:val="hybridMultilevel"/>
    <w:tmpl w:val="CCD6A5CE"/>
    <w:lvl w:ilvl="0" w:tplc="68CCE99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7D12636E"/>
    <w:multiLevelType w:val="hybridMultilevel"/>
    <w:tmpl w:val="F26CB55C"/>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6"/>
  </w:num>
  <w:num w:numId="4">
    <w:abstractNumId w:val="21"/>
  </w:num>
  <w:num w:numId="5">
    <w:abstractNumId w:val="32"/>
  </w:num>
  <w:num w:numId="6">
    <w:abstractNumId w:val="20"/>
  </w:num>
  <w:num w:numId="7">
    <w:abstractNumId w:val="33"/>
  </w:num>
  <w:num w:numId="8">
    <w:abstractNumId w:val="9"/>
  </w:num>
  <w:num w:numId="9">
    <w:abstractNumId w:val="11"/>
  </w:num>
  <w:num w:numId="10">
    <w:abstractNumId w:val="23"/>
  </w:num>
  <w:num w:numId="11">
    <w:abstractNumId w:val="22"/>
  </w:num>
  <w:num w:numId="12">
    <w:abstractNumId w:val="27"/>
  </w:num>
  <w:num w:numId="13">
    <w:abstractNumId w:val="30"/>
  </w:num>
  <w:num w:numId="14">
    <w:abstractNumId w:val="4"/>
  </w:num>
  <w:num w:numId="15">
    <w:abstractNumId w:val="24"/>
  </w:num>
  <w:num w:numId="16">
    <w:abstractNumId w:val="1"/>
  </w:num>
  <w:num w:numId="17">
    <w:abstractNumId w:val="28"/>
  </w:num>
  <w:num w:numId="18">
    <w:abstractNumId w:val="19"/>
  </w:num>
  <w:num w:numId="19">
    <w:abstractNumId w:val="2"/>
  </w:num>
  <w:num w:numId="20">
    <w:abstractNumId w:val="18"/>
  </w:num>
  <w:num w:numId="21">
    <w:abstractNumId w:val="35"/>
  </w:num>
  <w:num w:numId="22">
    <w:abstractNumId w:val="34"/>
  </w:num>
  <w:num w:numId="23">
    <w:abstractNumId w:val="25"/>
  </w:num>
  <w:num w:numId="24">
    <w:abstractNumId w:val="3"/>
  </w:num>
  <w:num w:numId="25">
    <w:abstractNumId w:val="6"/>
  </w:num>
  <w:num w:numId="26">
    <w:abstractNumId w:val="26"/>
  </w:num>
  <w:num w:numId="27">
    <w:abstractNumId w:val="36"/>
  </w:num>
  <w:num w:numId="28">
    <w:abstractNumId w:val="10"/>
  </w:num>
  <w:num w:numId="29">
    <w:abstractNumId w:val="14"/>
  </w:num>
  <w:num w:numId="30">
    <w:abstractNumId w:val="17"/>
  </w:num>
  <w:num w:numId="31">
    <w:abstractNumId w:val="15"/>
  </w:num>
  <w:num w:numId="32">
    <w:abstractNumId w:val="8"/>
  </w:num>
  <w:num w:numId="33">
    <w:abstractNumId w:val="13"/>
  </w:num>
  <w:num w:numId="34">
    <w:abstractNumId w:val="5"/>
  </w:num>
  <w:num w:numId="35">
    <w:abstractNumId w:val="12"/>
  </w:num>
  <w:num w:numId="36">
    <w:abstractNumId w:val="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24"/>
    <w:rsid w:val="00000278"/>
    <w:rsid w:val="00001AEC"/>
    <w:rsid w:val="00006575"/>
    <w:rsid w:val="00012816"/>
    <w:rsid w:val="00025EFE"/>
    <w:rsid w:val="00027B39"/>
    <w:rsid w:val="00045AD1"/>
    <w:rsid w:val="00056D6F"/>
    <w:rsid w:val="00057C4D"/>
    <w:rsid w:val="0006537B"/>
    <w:rsid w:val="00074F14"/>
    <w:rsid w:val="00076B68"/>
    <w:rsid w:val="00095A72"/>
    <w:rsid w:val="00097787"/>
    <w:rsid w:val="000B34A8"/>
    <w:rsid w:val="000C65F5"/>
    <w:rsid w:val="000D43C1"/>
    <w:rsid w:val="000D50BB"/>
    <w:rsid w:val="000D6355"/>
    <w:rsid w:val="000E257D"/>
    <w:rsid w:val="000F5087"/>
    <w:rsid w:val="001053DC"/>
    <w:rsid w:val="0010605B"/>
    <w:rsid w:val="00112725"/>
    <w:rsid w:val="00114D5D"/>
    <w:rsid w:val="00121A67"/>
    <w:rsid w:val="00127C27"/>
    <w:rsid w:val="001336A7"/>
    <w:rsid w:val="001A29D5"/>
    <w:rsid w:val="001A3662"/>
    <w:rsid w:val="001D11A4"/>
    <w:rsid w:val="001D4B4C"/>
    <w:rsid w:val="001F0D42"/>
    <w:rsid w:val="001F629E"/>
    <w:rsid w:val="0020045C"/>
    <w:rsid w:val="00207B72"/>
    <w:rsid w:val="0021250B"/>
    <w:rsid w:val="00237F5D"/>
    <w:rsid w:val="00241C50"/>
    <w:rsid w:val="0024510F"/>
    <w:rsid w:val="002458FD"/>
    <w:rsid w:val="00247DE8"/>
    <w:rsid w:val="00261901"/>
    <w:rsid w:val="00261CBD"/>
    <w:rsid w:val="002721B8"/>
    <w:rsid w:val="00290CC3"/>
    <w:rsid w:val="002A21A8"/>
    <w:rsid w:val="002A74D3"/>
    <w:rsid w:val="002C7A9B"/>
    <w:rsid w:val="002D2F68"/>
    <w:rsid w:val="002D5820"/>
    <w:rsid w:val="002E6B17"/>
    <w:rsid w:val="002E6B6A"/>
    <w:rsid w:val="002F177A"/>
    <w:rsid w:val="002F5271"/>
    <w:rsid w:val="003119E2"/>
    <w:rsid w:val="003255CD"/>
    <w:rsid w:val="00343CA5"/>
    <w:rsid w:val="00346F27"/>
    <w:rsid w:val="003630AC"/>
    <w:rsid w:val="00373A28"/>
    <w:rsid w:val="00381AF1"/>
    <w:rsid w:val="003A6E32"/>
    <w:rsid w:val="003C294C"/>
    <w:rsid w:val="003C5FDF"/>
    <w:rsid w:val="003C68A8"/>
    <w:rsid w:val="003E6470"/>
    <w:rsid w:val="003F04EC"/>
    <w:rsid w:val="003F759D"/>
    <w:rsid w:val="00406DAB"/>
    <w:rsid w:val="00423C47"/>
    <w:rsid w:val="00444E17"/>
    <w:rsid w:val="00447CAF"/>
    <w:rsid w:val="00452C63"/>
    <w:rsid w:val="0045614D"/>
    <w:rsid w:val="00457AAE"/>
    <w:rsid w:val="004633C0"/>
    <w:rsid w:val="00465F97"/>
    <w:rsid w:val="0047346C"/>
    <w:rsid w:val="00475A8C"/>
    <w:rsid w:val="00493418"/>
    <w:rsid w:val="00494E6E"/>
    <w:rsid w:val="00497B1D"/>
    <w:rsid w:val="004A58A1"/>
    <w:rsid w:val="004B05F8"/>
    <w:rsid w:val="004C0426"/>
    <w:rsid w:val="004E661D"/>
    <w:rsid w:val="004F03A3"/>
    <w:rsid w:val="00502B43"/>
    <w:rsid w:val="00505D92"/>
    <w:rsid w:val="005160EE"/>
    <w:rsid w:val="00523BBC"/>
    <w:rsid w:val="005248A0"/>
    <w:rsid w:val="00532F62"/>
    <w:rsid w:val="005368F1"/>
    <w:rsid w:val="005454C7"/>
    <w:rsid w:val="00545546"/>
    <w:rsid w:val="00546203"/>
    <w:rsid w:val="005547B2"/>
    <w:rsid w:val="005625BA"/>
    <w:rsid w:val="00581994"/>
    <w:rsid w:val="00591766"/>
    <w:rsid w:val="00595B94"/>
    <w:rsid w:val="005A6C7C"/>
    <w:rsid w:val="005B2E24"/>
    <w:rsid w:val="005B6A7E"/>
    <w:rsid w:val="005E463B"/>
    <w:rsid w:val="005F3B76"/>
    <w:rsid w:val="00614C48"/>
    <w:rsid w:val="00616D81"/>
    <w:rsid w:val="00631EA2"/>
    <w:rsid w:val="00633BF0"/>
    <w:rsid w:val="00634838"/>
    <w:rsid w:val="00636983"/>
    <w:rsid w:val="00644522"/>
    <w:rsid w:val="00654AAB"/>
    <w:rsid w:val="006615A0"/>
    <w:rsid w:val="00666207"/>
    <w:rsid w:val="00670DDD"/>
    <w:rsid w:val="00671760"/>
    <w:rsid w:val="00674B9F"/>
    <w:rsid w:val="0067731D"/>
    <w:rsid w:val="00680AEE"/>
    <w:rsid w:val="0068612A"/>
    <w:rsid w:val="00686917"/>
    <w:rsid w:val="006900CF"/>
    <w:rsid w:val="006933B0"/>
    <w:rsid w:val="006A1B89"/>
    <w:rsid w:val="006A72C2"/>
    <w:rsid w:val="006B0965"/>
    <w:rsid w:val="006F33FC"/>
    <w:rsid w:val="006F4536"/>
    <w:rsid w:val="006F54BF"/>
    <w:rsid w:val="006F729C"/>
    <w:rsid w:val="00713850"/>
    <w:rsid w:val="00721F05"/>
    <w:rsid w:val="00733798"/>
    <w:rsid w:val="007475C0"/>
    <w:rsid w:val="00772B6E"/>
    <w:rsid w:val="007750E3"/>
    <w:rsid w:val="00780ECF"/>
    <w:rsid w:val="00783DD7"/>
    <w:rsid w:val="007850EE"/>
    <w:rsid w:val="007852A8"/>
    <w:rsid w:val="007976B6"/>
    <w:rsid w:val="007A6418"/>
    <w:rsid w:val="007B3ACE"/>
    <w:rsid w:val="007B3BC9"/>
    <w:rsid w:val="007B7231"/>
    <w:rsid w:val="007C08D2"/>
    <w:rsid w:val="007D18C4"/>
    <w:rsid w:val="007F6135"/>
    <w:rsid w:val="008032AD"/>
    <w:rsid w:val="00803BF0"/>
    <w:rsid w:val="00827EE4"/>
    <w:rsid w:val="0084284D"/>
    <w:rsid w:val="00842EF4"/>
    <w:rsid w:val="00851602"/>
    <w:rsid w:val="0085423F"/>
    <w:rsid w:val="0086502C"/>
    <w:rsid w:val="0086503E"/>
    <w:rsid w:val="00871976"/>
    <w:rsid w:val="008873E6"/>
    <w:rsid w:val="008877DF"/>
    <w:rsid w:val="0089133F"/>
    <w:rsid w:val="008B0344"/>
    <w:rsid w:val="008C3363"/>
    <w:rsid w:val="008C5CBD"/>
    <w:rsid w:val="008D7DC2"/>
    <w:rsid w:val="008E1E8D"/>
    <w:rsid w:val="008F0AA5"/>
    <w:rsid w:val="008F1417"/>
    <w:rsid w:val="008F469A"/>
    <w:rsid w:val="009019FE"/>
    <w:rsid w:val="00904080"/>
    <w:rsid w:val="009172C2"/>
    <w:rsid w:val="00950957"/>
    <w:rsid w:val="009558BB"/>
    <w:rsid w:val="00961537"/>
    <w:rsid w:val="00963169"/>
    <w:rsid w:val="00981698"/>
    <w:rsid w:val="009839BA"/>
    <w:rsid w:val="009875C0"/>
    <w:rsid w:val="009A58F4"/>
    <w:rsid w:val="009B6360"/>
    <w:rsid w:val="009B6A5B"/>
    <w:rsid w:val="009B7A1D"/>
    <w:rsid w:val="009E3F16"/>
    <w:rsid w:val="00A03F64"/>
    <w:rsid w:val="00A0426F"/>
    <w:rsid w:val="00A06740"/>
    <w:rsid w:val="00A128F8"/>
    <w:rsid w:val="00A14C8A"/>
    <w:rsid w:val="00A15240"/>
    <w:rsid w:val="00A31D6C"/>
    <w:rsid w:val="00A41E16"/>
    <w:rsid w:val="00A431F6"/>
    <w:rsid w:val="00A46BA6"/>
    <w:rsid w:val="00A57D67"/>
    <w:rsid w:val="00A619FD"/>
    <w:rsid w:val="00A66633"/>
    <w:rsid w:val="00A70346"/>
    <w:rsid w:val="00A71E3A"/>
    <w:rsid w:val="00A770AF"/>
    <w:rsid w:val="00A77B1D"/>
    <w:rsid w:val="00A82A8D"/>
    <w:rsid w:val="00AA229E"/>
    <w:rsid w:val="00AB3D2D"/>
    <w:rsid w:val="00AB5B15"/>
    <w:rsid w:val="00AD7DE7"/>
    <w:rsid w:val="00AE618E"/>
    <w:rsid w:val="00B0110A"/>
    <w:rsid w:val="00B102B6"/>
    <w:rsid w:val="00B1301D"/>
    <w:rsid w:val="00B2559B"/>
    <w:rsid w:val="00B62C04"/>
    <w:rsid w:val="00B717D5"/>
    <w:rsid w:val="00B71DFF"/>
    <w:rsid w:val="00B86D89"/>
    <w:rsid w:val="00B95152"/>
    <w:rsid w:val="00BA681C"/>
    <w:rsid w:val="00BB1E85"/>
    <w:rsid w:val="00BB338D"/>
    <w:rsid w:val="00BB3D84"/>
    <w:rsid w:val="00BB3E15"/>
    <w:rsid w:val="00BB4159"/>
    <w:rsid w:val="00BD2C02"/>
    <w:rsid w:val="00BD5D1C"/>
    <w:rsid w:val="00BD76C2"/>
    <w:rsid w:val="00BE060F"/>
    <w:rsid w:val="00BE2A08"/>
    <w:rsid w:val="00BE397B"/>
    <w:rsid w:val="00BE3B2A"/>
    <w:rsid w:val="00BF4419"/>
    <w:rsid w:val="00BF6487"/>
    <w:rsid w:val="00BF67F1"/>
    <w:rsid w:val="00BF7CF0"/>
    <w:rsid w:val="00C01A4D"/>
    <w:rsid w:val="00C038F0"/>
    <w:rsid w:val="00C05BC1"/>
    <w:rsid w:val="00C12E6B"/>
    <w:rsid w:val="00C26F09"/>
    <w:rsid w:val="00C61139"/>
    <w:rsid w:val="00C66879"/>
    <w:rsid w:val="00C66D5B"/>
    <w:rsid w:val="00C82CBB"/>
    <w:rsid w:val="00CB144C"/>
    <w:rsid w:val="00CC194A"/>
    <w:rsid w:val="00CD38A3"/>
    <w:rsid w:val="00CE03B5"/>
    <w:rsid w:val="00CE3D33"/>
    <w:rsid w:val="00CE73BE"/>
    <w:rsid w:val="00CF3A98"/>
    <w:rsid w:val="00D10FCB"/>
    <w:rsid w:val="00D31E4D"/>
    <w:rsid w:val="00D34DD1"/>
    <w:rsid w:val="00D60B44"/>
    <w:rsid w:val="00D622A5"/>
    <w:rsid w:val="00D67BB6"/>
    <w:rsid w:val="00D72159"/>
    <w:rsid w:val="00D769F0"/>
    <w:rsid w:val="00D81185"/>
    <w:rsid w:val="00D915F1"/>
    <w:rsid w:val="00D9292C"/>
    <w:rsid w:val="00D9304B"/>
    <w:rsid w:val="00D967C1"/>
    <w:rsid w:val="00DA0125"/>
    <w:rsid w:val="00DB17E9"/>
    <w:rsid w:val="00DB7152"/>
    <w:rsid w:val="00DC4566"/>
    <w:rsid w:val="00DD1A2F"/>
    <w:rsid w:val="00DE5426"/>
    <w:rsid w:val="00DF5269"/>
    <w:rsid w:val="00E02F13"/>
    <w:rsid w:val="00E0647A"/>
    <w:rsid w:val="00E142D1"/>
    <w:rsid w:val="00E15507"/>
    <w:rsid w:val="00E27049"/>
    <w:rsid w:val="00E273A0"/>
    <w:rsid w:val="00E30388"/>
    <w:rsid w:val="00E35340"/>
    <w:rsid w:val="00E51B06"/>
    <w:rsid w:val="00E54137"/>
    <w:rsid w:val="00E5507A"/>
    <w:rsid w:val="00E748FB"/>
    <w:rsid w:val="00E7512C"/>
    <w:rsid w:val="00E803A0"/>
    <w:rsid w:val="00E847C7"/>
    <w:rsid w:val="00E85242"/>
    <w:rsid w:val="00E87074"/>
    <w:rsid w:val="00E926C6"/>
    <w:rsid w:val="00EB12BA"/>
    <w:rsid w:val="00EB57BA"/>
    <w:rsid w:val="00EC6735"/>
    <w:rsid w:val="00ED0B60"/>
    <w:rsid w:val="00ED6920"/>
    <w:rsid w:val="00EE27ED"/>
    <w:rsid w:val="00EF1336"/>
    <w:rsid w:val="00EF7A3B"/>
    <w:rsid w:val="00F00D4B"/>
    <w:rsid w:val="00F030BA"/>
    <w:rsid w:val="00F11052"/>
    <w:rsid w:val="00F17B1E"/>
    <w:rsid w:val="00F305F7"/>
    <w:rsid w:val="00F34733"/>
    <w:rsid w:val="00F40F6E"/>
    <w:rsid w:val="00F43D7D"/>
    <w:rsid w:val="00F63B27"/>
    <w:rsid w:val="00F65BC2"/>
    <w:rsid w:val="00F755A7"/>
    <w:rsid w:val="00F77739"/>
    <w:rsid w:val="00F77872"/>
    <w:rsid w:val="00F851EA"/>
    <w:rsid w:val="00F91414"/>
    <w:rsid w:val="00F9559A"/>
    <w:rsid w:val="00F95AB8"/>
    <w:rsid w:val="00F96069"/>
    <w:rsid w:val="00F965A7"/>
    <w:rsid w:val="00FB05EF"/>
    <w:rsid w:val="00FC44D8"/>
    <w:rsid w:val="00FD7613"/>
    <w:rsid w:val="00FE2E85"/>
    <w:rsid w:val="00FE4C4A"/>
    <w:rsid w:val="00FE64D1"/>
    <w:rsid w:val="00FF0447"/>
    <w:rsid w:val="00FF26A9"/>
  </w:rsids>
  <m:mathPr>
    <m:mathFont m:val="Cambria Math"/>
    <m:brkBin m:val="before"/>
    <m:brkBinSub m:val="--"/>
    <m:smallFrac m:val="0"/>
    <m:dispDef/>
    <m:lMargin m:val="0"/>
    <m:rMargin m:val="0"/>
    <m:defJc m:val="centerGroup"/>
    <m:wrapIndent m:val="1440"/>
    <m:intLim m:val="subSup"/>
    <m:naryLim m:val="undOvr"/>
  </m:mathPr>
  <w:themeFontLang w:val="hu-H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290E0-74E8-4320-9302-02EC1746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6917"/>
    <w:pPr>
      <w:jc w:val="both"/>
    </w:pPr>
    <w:rPr>
      <w:rFonts w:ascii="Times New Roman" w:hAnsi="Times New Roman"/>
      <w:sz w:val="24"/>
    </w:rPr>
  </w:style>
  <w:style w:type="paragraph" w:styleId="Nagwek2">
    <w:name w:val="heading 2"/>
    <w:basedOn w:val="Normalny"/>
    <w:next w:val="Normalny"/>
    <w:link w:val="Nagwek2Znak"/>
    <w:uiPriority w:val="9"/>
    <w:unhideWhenUsed/>
    <w:qFormat/>
    <w:rsid w:val="00D67B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D930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67BB6"/>
    <w:rPr>
      <w:rFonts w:asciiTheme="majorHAnsi" w:eastAsiaTheme="majorEastAsia" w:hAnsiTheme="majorHAnsi" w:cstheme="majorBidi"/>
      <w:b/>
      <w:bCs/>
      <w:color w:val="4F81BD" w:themeColor="accent1"/>
      <w:sz w:val="26"/>
      <w:szCs w:val="26"/>
    </w:rPr>
  </w:style>
  <w:style w:type="paragraph" w:styleId="Akapitzlist">
    <w:name w:val="List Paragraph"/>
    <w:aliases w:val="LISTA,List Paragraph à moi,Dot pt,No Spacing1,List Paragraph Char Char Char,Indicator Text,Numbered Para 1,lista_2,Számozott lista 1,Eszeri felsorolás,List Paragraph"/>
    <w:basedOn w:val="Normalny"/>
    <w:link w:val="AkapitzlistZnak"/>
    <w:uiPriority w:val="34"/>
    <w:qFormat/>
    <w:rsid w:val="00D67BB6"/>
    <w:pPr>
      <w:ind w:left="720"/>
      <w:contextualSpacing/>
    </w:pPr>
  </w:style>
  <w:style w:type="paragraph" w:styleId="Tekstprzypisudolnego">
    <w:name w:val="footnote text"/>
    <w:aliases w:val=" Char1,Char1,Footnote text,Footnote Text Char Char Char Char,Footnote Text Char Char,Footnote Text Char Char Char Char Char,Footnote Text Char Char Char Char Char Char Char Char,Footnote Text Char Char Char,Footnote Text Char1"/>
    <w:basedOn w:val="Normalny"/>
    <w:link w:val="TekstprzypisudolnegoZnak"/>
    <w:uiPriority w:val="99"/>
    <w:unhideWhenUsed/>
    <w:rsid w:val="00D67BB6"/>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aliases w:val=" Char1 Znak,Char1 Znak,Footnote text Znak,Footnote Text Char Char Char Char Znak,Footnote Text Char Char Znak,Footnote Text Char Char Char Char Char Znak,Footnote Text Char Char Char Char Char Char Char Char Znak"/>
    <w:basedOn w:val="Domylnaczcionkaakapitu"/>
    <w:link w:val="Tekstprzypisudolnego"/>
    <w:uiPriority w:val="99"/>
    <w:rsid w:val="00D67BB6"/>
    <w:rPr>
      <w:rFonts w:ascii="Calibri" w:eastAsia="Times New Roman" w:hAnsi="Calibri" w:cs="Times New Roman"/>
      <w:sz w:val="20"/>
      <w:szCs w:val="20"/>
      <w:lang w:eastAsia="en-GB"/>
    </w:rPr>
  </w:style>
  <w:style w:type="character" w:styleId="Odwoanieprzypisudolnego">
    <w:name w:val="footnote reference"/>
    <w:aliases w:val="Footnote reference number,Footnote symbol,note TESI,SUPERS,EN Footnote Reference,Footnote,Times 10 Point,Exposant 3 Point,Ref,de nota al pie, Exposant 3 Point,Footnote Reference Number,Footnote Refernece,Footnotes refss,4_G"/>
    <w:uiPriority w:val="99"/>
    <w:unhideWhenUsed/>
    <w:rsid w:val="00D67BB6"/>
    <w:rPr>
      <w:vertAlign w:val="superscript"/>
    </w:rPr>
  </w:style>
  <w:style w:type="character" w:customStyle="1" w:styleId="AkapitzlistZnak">
    <w:name w:val="Akapit z listą Znak"/>
    <w:aliases w:val="LISTA Znak,List Paragraph à moi Znak,Dot pt Znak,No Spacing1 Znak,List Paragraph Char Char Char Znak,Indicator Text Znak,Numbered Para 1 Znak,lista_2 Znak,Számozott lista 1 Znak,Eszeri felsorolás Znak,List Paragraph Znak"/>
    <w:basedOn w:val="Domylnaczcionkaakapitu"/>
    <w:link w:val="Akapitzlist"/>
    <w:uiPriority w:val="34"/>
    <w:rsid w:val="00D67BB6"/>
  </w:style>
  <w:style w:type="paragraph" w:styleId="Bezodstpw">
    <w:name w:val="No Spacing"/>
    <w:uiPriority w:val="1"/>
    <w:qFormat/>
    <w:rsid w:val="00D67BB6"/>
    <w:pPr>
      <w:spacing w:after="0" w:line="240" w:lineRule="auto"/>
    </w:pPr>
    <w:rPr>
      <w:rFonts w:ascii="Calibri" w:eastAsia="Calibri" w:hAnsi="Calibri" w:cs="Times New Roman"/>
    </w:rPr>
  </w:style>
  <w:style w:type="character" w:styleId="Wyrnienieintensywne">
    <w:name w:val="Intense Emphasis"/>
    <w:basedOn w:val="Domylnaczcionkaakapitu"/>
    <w:uiPriority w:val="21"/>
    <w:qFormat/>
    <w:rsid w:val="00D67BB6"/>
    <w:rPr>
      <w:b/>
      <w:bCs/>
      <w:i/>
      <w:iCs/>
      <w:color w:val="4F81BD" w:themeColor="accent1"/>
    </w:rPr>
  </w:style>
  <w:style w:type="paragraph" w:styleId="NormalnyWeb">
    <w:name w:val="Normal (Web)"/>
    <w:basedOn w:val="Normalny"/>
    <w:uiPriority w:val="99"/>
    <w:unhideWhenUsed/>
    <w:rsid w:val="00E87074"/>
    <w:pPr>
      <w:spacing w:before="100" w:beforeAutospacing="1" w:after="100" w:afterAutospacing="1" w:line="240" w:lineRule="auto"/>
    </w:pPr>
    <w:rPr>
      <w:rFonts w:eastAsia="Times New Roman" w:cs="Times New Roman"/>
      <w:szCs w:val="24"/>
    </w:rPr>
  </w:style>
  <w:style w:type="character" w:customStyle="1" w:styleId="Nagwek3Znak">
    <w:name w:val="Nagłówek 3 Znak"/>
    <w:basedOn w:val="Domylnaczcionkaakapitu"/>
    <w:link w:val="Nagwek3"/>
    <w:uiPriority w:val="9"/>
    <w:rsid w:val="00D9304B"/>
    <w:rPr>
      <w:rFonts w:asciiTheme="majorHAnsi" w:eastAsiaTheme="majorEastAsia" w:hAnsiTheme="majorHAnsi" w:cstheme="majorBidi"/>
      <w:b/>
      <w:bCs/>
      <w:color w:val="4F81BD" w:themeColor="accent1"/>
    </w:rPr>
  </w:style>
  <w:style w:type="paragraph" w:styleId="Nagwek">
    <w:name w:val="header"/>
    <w:basedOn w:val="Normalny"/>
    <w:link w:val="NagwekZnak"/>
    <w:uiPriority w:val="99"/>
    <w:unhideWhenUsed/>
    <w:rsid w:val="00B951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5152"/>
  </w:style>
  <w:style w:type="paragraph" w:styleId="Stopka">
    <w:name w:val="footer"/>
    <w:basedOn w:val="Normalny"/>
    <w:link w:val="StopkaZnak"/>
    <w:uiPriority w:val="99"/>
    <w:unhideWhenUsed/>
    <w:rsid w:val="00B951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5152"/>
  </w:style>
  <w:style w:type="character" w:styleId="Odwoaniedokomentarza">
    <w:name w:val="annotation reference"/>
    <w:basedOn w:val="Domylnaczcionkaakapitu"/>
    <w:uiPriority w:val="99"/>
    <w:semiHidden/>
    <w:unhideWhenUsed/>
    <w:rsid w:val="00F11052"/>
    <w:rPr>
      <w:sz w:val="16"/>
      <w:szCs w:val="16"/>
    </w:rPr>
  </w:style>
  <w:style w:type="paragraph" w:styleId="Tekstkomentarza">
    <w:name w:val="annotation text"/>
    <w:basedOn w:val="Normalny"/>
    <w:link w:val="TekstkomentarzaZnak"/>
    <w:uiPriority w:val="99"/>
    <w:semiHidden/>
    <w:unhideWhenUsed/>
    <w:rsid w:val="00F110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1052"/>
    <w:rPr>
      <w:sz w:val="20"/>
      <w:szCs w:val="20"/>
    </w:rPr>
  </w:style>
  <w:style w:type="paragraph" w:styleId="Tematkomentarza">
    <w:name w:val="annotation subject"/>
    <w:basedOn w:val="Tekstkomentarza"/>
    <w:next w:val="Tekstkomentarza"/>
    <w:link w:val="TematkomentarzaZnak"/>
    <w:uiPriority w:val="99"/>
    <w:semiHidden/>
    <w:unhideWhenUsed/>
    <w:rsid w:val="00F11052"/>
    <w:rPr>
      <w:b/>
      <w:bCs/>
    </w:rPr>
  </w:style>
  <w:style w:type="character" w:customStyle="1" w:styleId="TematkomentarzaZnak">
    <w:name w:val="Temat komentarza Znak"/>
    <w:basedOn w:val="TekstkomentarzaZnak"/>
    <w:link w:val="Tematkomentarza"/>
    <w:uiPriority w:val="99"/>
    <w:semiHidden/>
    <w:rsid w:val="00F11052"/>
    <w:rPr>
      <w:b/>
      <w:bCs/>
      <w:sz w:val="20"/>
      <w:szCs w:val="20"/>
    </w:rPr>
  </w:style>
  <w:style w:type="paragraph" w:styleId="Tekstdymka">
    <w:name w:val="Balloon Text"/>
    <w:basedOn w:val="Normalny"/>
    <w:link w:val="TekstdymkaZnak"/>
    <w:uiPriority w:val="99"/>
    <w:semiHidden/>
    <w:unhideWhenUsed/>
    <w:rsid w:val="00F110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1052"/>
    <w:rPr>
      <w:rFonts w:ascii="Tahoma" w:hAnsi="Tahoma" w:cs="Tahoma"/>
      <w:sz w:val="16"/>
      <w:szCs w:val="16"/>
    </w:rPr>
  </w:style>
  <w:style w:type="paragraph" w:styleId="Poprawka">
    <w:name w:val="Revision"/>
    <w:hidden/>
    <w:uiPriority w:val="99"/>
    <w:semiHidden/>
    <w:rsid w:val="002721B8"/>
    <w:pPr>
      <w:spacing w:after="0" w:line="240" w:lineRule="auto"/>
    </w:pPr>
  </w:style>
  <w:style w:type="paragraph" w:customStyle="1" w:styleId="Listaszerbekezds2">
    <w:name w:val="Listaszerű bekezdés2"/>
    <w:basedOn w:val="Normalny"/>
    <w:rsid w:val="00CE03B5"/>
    <w:pPr>
      <w:suppressAutoHyphens/>
      <w:spacing w:after="0" w:line="100" w:lineRule="atLeast"/>
      <w:ind w:left="708"/>
      <w:jc w:val="left"/>
    </w:pPr>
    <w:rPr>
      <w:rFonts w:ascii="Bookman Old Style" w:eastAsia="Times New Roman" w:hAnsi="Bookman Old Style" w:cs="Times New Roman"/>
      <w:kern w:val="1"/>
      <w:szCs w:val="24"/>
    </w:rPr>
  </w:style>
  <w:style w:type="character" w:customStyle="1" w:styleId="apple-converted-space">
    <w:name w:val="apple-converted-space"/>
    <w:basedOn w:val="Domylnaczcionkaakapitu"/>
    <w:rsid w:val="0031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1505">
      <w:bodyDiv w:val="1"/>
      <w:marLeft w:val="0"/>
      <w:marRight w:val="0"/>
      <w:marTop w:val="0"/>
      <w:marBottom w:val="0"/>
      <w:divBdr>
        <w:top w:val="none" w:sz="0" w:space="0" w:color="auto"/>
        <w:left w:val="none" w:sz="0" w:space="0" w:color="auto"/>
        <w:bottom w:val="none" w:sz="0" w:space="0" w:color="auto"/>
        <w:right w:val="none" w:sz="0" w:space="0" w:color="auto"/>
      </w:divBdr>
    </w:div>
    <w:div w:id="284239567">
      <w:bodyDiv w:val="1"/>
      <w:marLeft w:val="0"/>
      <w:marRight w:val="0"/>
      <w:marTop w:val="0"/>
      <w:marBottom w:val="0"/>
      <w:divBdr>
        <w:top w:val="none" w:sz="0" w:space="0" w:color="auto"/>
        <w:left w:val="none" w:sz="0" w:space="0" w:color="auto"/>
        <w:bottom w:val="none" w:sz="0" w:space="0" w:color="auto"/>
        <w:right w:val="none" w:sz="0" w:space="0" w:color="auto"/>
      </w:divBdr>
    </w:div>
    <w:div w:id="322466105">
      <w:bodyDiv w:val="1"/>
      <w:marLeft w:val="0"/>
      <w:marRight w:val="0"/>
      <w:marTop w:val="0"/>
      <w:marBottom w:val="0"/>
      <w:divBdr>
        <w:top w:val="none" w:sz="0" w:space="0" w:color="auto"/>
        <w:left w:val="none" w:sz="0" w:space="0" w:color="auto"/>
        <w:bottom w:val="none" w:sz="0" w:space="0" w:color="auto"/>
        <w:right w:val="none" w:sz="0" w:space="0" w:color="auto"/>
      </w:divBdr>
    </w:div>
    <w:div w:id="468475614">
      <w:bodyDiv w:val="1"/>
      <w:marLeft w:val="0"/>
      <w:marRight w:val="0"/>
      <w:marTop w:val="0"/>
      <w:marBottom w:val="0"/>
      <w:divBdr>
        <w:top w:val="none" w:sz="0" w:space="0" w:color="auto"/>
        <w:left w:val="none" w:sz="0" w:space="0" w:color="auto"/>
        <w:bottom w:val="none" w:sz="0" w:space="0" w:color="auto"/>
        <w:right w:val="none" w:sz="0" w:space="0" w:color="auto"/>
      </w:divBdr>
      <w:divsChild>
        <w:div w:id="55859514">
          <w:marLeft w:val="576"/>
          <w:marRight w:val="0"/>
          <w:marTop w:val="120"/>
          <w:marBottom w:val="0"/>
          <w:divBdr>
            <w:top w:val="none" w:sz="0" w:space="0" w:color="auto"/>
            <w:left w:val="none" w:sz="0" w:space="0" w:color="auto"/>
            <w:bottom w:val="none" w:sz="0" w:space="0" w:color="auto"/>
            <w:right w:val="none" w:sz="0" w:space="0" w:color="auto"/>
          </w:divBdr>
        </w:div>
      </w:divsChild>
    </w:div>
    <w:div w:id="1300257746">
      <w:bodyDiv w:val="1"/>
      <w:marLeft w:val="0"/>
      <w:marRight w:val="0"/>
      <w:marTop w:val="0"/>
      <w:marBottom w:val="0"/>
      <w:divBdr>
        <w:top w:val="none" w:sz="0" w:space="0" w:color="auto"/>
        <w:left w:val="none" w:sz="0" w:space="0" w:color="auto"/>
        <w:bottom w:val="none" w:sz="0" w:space="0" w:color="auto"/>
        <w:right w:val="none" w:sz="0" w:space="0" w:color="auto"/>
      </w:divBdr>
    </w:div>
    <w:div w:id="1332022930">
      <w:bodyDiv w:val="1"/>
      <w:marLeft w:val="0"/>
      <w:marRight w:val="0"/>
      <w:marTop w:val="0"/>
      <w:marBottom w:val="0"/>
      <w:divBdr>
        <w:top w:val="none" w:sz="0" w:space="0" w:color="auto"/>
        <w:left w:val="none" w:sz="0" w:space="0" w:color="auto"/>
        <w:bottom w:val="none" w:sz="0" w:space="0" w:color="auto"/>
        <w:right w:val="none" w:sz="0" w:space="0" w:color="auto"/>
      </w:divBdr>
      <w:divsChild>
        <w:div w:id="564534566">
          <w:marLeft w:val="576"/>
          <w:marRight w:val="0"/>
          <w:marTop w:val="120"/>
          <w:marBottom w:val="0"/>
          <w:divBdr>
            <w:top w:val="none" w:sz="0" w:space="0" w:color="auto"/>
            <w:left w:val="none" w:sz="0" w:space="0" w:color="auto"/>
            <w:bottom w:val="none" w:sz="0" w:space="0" w:color="auto"/>
            <w:right w:val="none" w:sz="0" w:space="0" w:color="auto"/>
          </w:divBdr>
        </w:div>
        <w:div w:id="318733394">
          <w:marLeft w:val="576"/>
          <w:marRight w:val="0"/>
          <w:marTop w:val="120"/>
          <w:marBottom w:val="0"/>
          <w:divBdr>
            <w:top w:val="none" w:sz="0" w:space="0" w:color="auto"/>
            <w:left w:val="none" w:sz="0" w:space="0" w:color="auto"/>
            <w:bottom w:val="none" w:sz="0" w:space="0" w:color="auto"/>
            <w:right w:val="none" w:sz="0" w:space="0" w:color="auto"/>
          </w:divBdr>
        </w:div>
        <w:div w:id="909385093">
          <w:marLeft w:val="576"/>
          <w:marRight w:val="0"/>
          <w:marTop w:val="120"/>
          <w:marBottom w:val="0"/>
          <w:divBdr>
            <w:top w:val="none" w:sz="0" w:space="0" w:color="auto"/>
            <w:left w:val="none" w:sz="0" w:space="0" w:color="auto"/>
            <w:bottom w:val="none" w:sz="0" w:space="0" w:color="auto"/>
            <w:right w:val="none" w:sz="0" w:space="0" w:color="auto"/>
          </w:divBdr>
        </w:div>
        <w:div w:id="1465658390">
          <w:marLeft w:val="576"/>
          <w:marRight w:val="0"/>
          <w:marTop w:val="120"/>
          <w:marBottom w:val="0"/>
          <w:divBdr>
            <w:top w:val="none" w:sz="0" w:space="0" w:color="auto"/>
            <w:left w:val="none" w:sz="0" w:space="0" w:color="auto"/>
            <w:bottom w:val="none" w:sz="0" w:space="0" w:color="auto"/>
            <w:right w:val="none" w:sz="0" w:space="0" w:color="auto"/>
          </w:divBdr>
        </w:div>
        <w:div w:id="147668248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F44EE-C72A-4B94-A61A-597096C4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5633</Words>
  <Characters>33801</Characters>
  <Application>Microsoft Office Word</Application>
  <DocSecurity>0</DocSecurity>
  <Lines>281</Lines>
  <Paragraphs>78</Paragraphs>
  <ScaleCrop>false</ScaleCrop>
  <HeadingPairs>
    <vt:vector size="6" baseType="variant">
      <vt:variant>
        <vt:lpstr>Tytuł</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KD</Company>
  <LinksUpToDate>false</LinksUpToDate>
  <CharactersWithSpaces>39356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Dadányiné Tóth Andrea</dc:creator>
  <cp:lastModifiedBy>Paweł</cp:lastModifiedBy>
  <cp:revision>2</cp:revision>
  <cp:lastPrinted>2017-01-13T09:15:00Z</cp:lastPrinted>
  <dcterms:created xsi:type="dcterms:W3CDTF">2018-09-20T10:16:00Z</dcterms:created>
  <dcterms:modified xsi:type="dcterms:W3CDTF">2018-09-20T10:16:00Z</dcterms:modified>
</cp:coreProperties>
</file>