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170" w:type="dxa"/>
        <w:jc w:val="right"/>
        <w:tblLayout w:type="fixed"/>
        <w:tblCellMar>
          <w:left w:w="0" w:type="dxa"/>
          <w:right w:w="0" w:type="dxa"/>
        </w:tblCellMar>
        <w:tblLook w:val="00A0" w:firstRow="1" w:lastRow="0" w:firstColumn="1" w:lastColumn="0" w:noHBand="0" w:noVBand="0"/>
      </w:tblPr>
      <w:tblGrid>
        <w:gridCol w:w="6170"/>
      </w:tblGrid>
      <w:tr w:rsidR="00BA0236" w:rsidRPr="00B32914" w14:paraId="26FE3738" w14:textId="77777777" w:rsidTr="001002DE">
        <w:trPr>
          <w:cantSplit/>
          <w:trHeight w:hRule="exact" w:val="851"/>
          <w:jc w:val="right"/>
        </w:trPr>
        <w:tc>
          <w:tcPr>
            <w:tcW w:w="6170" w:type="dxa"/>
          </w:tcPr>
          <w:p w14:paraId="353F3FD0" w14:textId="77777777" w:rsidR="00BA0236" w:rsidRPr="00B32914" w:rsidRDefault="00BA0236" w:rsidP="00B25682">
            <w:bookmarkStart w:id="0" w:name="_GoBack"/>
            <w:bookmarkEnd w:id="0"/>
          </w:p>
          <w:p w14:paraId="567FD226" w14:textId="77777777" w:rsidR="00BA0236" w:rsidRPr="00B32914" w:rsidRDefault="00BA0236" w:rsidP="001002DE">
            <w:pPr>
              <w:spacing w:line="20" w:lineRule="exact"/>
              <w:jc w:val="right"/>
              <w:rPr>
                <w:spacing w:val="-200"/>
                <w:w w:val="50"/>
                <w:sz w:val="2"/>
                <w:szCs w:val="2"/>
              </w:rPr>
            </w:pPr>
          </w:p>
          <w:p w14:paraId="00ADCF81" w14:textId="77777777" w:rsidR="00BA0236" w:rsidRPr="00B32914" w:rsidRDefault="00BA0236" w:rsidP="001002DE">
            <w:pPr>
              <w:spacing w:line="20" w:lineRule="exact"/>
              <w:jc w:val="right"/>
              <w:rPr>
                <w:spacing w:val="-200"/>
                <w:w w:val="50"/>
                <w:sz w:val="2"/>
                <w:szCs w:val="2"/>
              </w:rPr>
            </w:pPr>
          </w:p>
        </w:tc>
      </w:tr>
      <w:tr w:rsidR="00BA0236" w:rsidRPr="00B32914" w14:paraId="5718A82F" w14:textId="77777777" w:rsidTr="001002DE">
        <w:trPr>
          <w:cantSplit/>
          <w:trHeight w:hRule="exact" w:val="4539"/>
          <w:jc w:val="right"/>
        </w:trPr>
        <w:tc>
          <w:tcPr>
            <w:tcW w:w="6170" w:type="dxa"/>
          </w:tcPr>
          <w:tbl>
            <w:tblPr>
              <w:tblW w:w="4808" w:type="dxa"/>
              <w:tblInd w:w="669" w:type="dxa"/>
              <w:tblBorders>
                <w:top w:val="single" w:sz="4" w:space="0" w:color="auto"/>
              </w:tblBorders>
              <w:tblLayout w:type="fixed"/>
              <w:tblCellMar>
                <w:left w:w="0" w:type="dxa"/>
                <w:right w:w="0" w:type="dxa"/>
              </w:tblCellMar>
              <w:tblLook w:val="0000" w:firstRow="0" w:lastRow="0" w:firstColumn="0" w:lastColumn="0" w:noHBand="0" w:noVBand="0"/>
            </w:tblPr>
            <w:tblGrid>
              <w:gridCol w:w="4808"/>
            </w:tblGrid>
            <w:tr w:rsidR="00BA0236" w:rsidRPr="00B32914" w14:paraId="6D08AAB2" w14:textId="77777777" w:rsidTr="001002DE">
              <w:tc>
                <w:tcPr>
                  <w:tcW w:w="4810" w:type="dxa"/>
                  <w:tcBorders>
                    <w:top w:val="single" w:sz="4" w:space="0" w:color="auto"/>
                    <w:bottom w:val="nil"/>
                  </w:tcBorders>
                  <w:vAlign w:val="center"/>
                </w:tcPr>
                <w:p w14:paraId="01993165" w14:textId="77777777" w:rsidR="00BA0236" w:rsidRPr="00B32914" w:rsidRDefault="00BA0236" w:rsidP="00AC4CE3">
                  <w:pPr>
                    <w:pStyle w:val="Cover-TitleBlock"/>
                  </w:pPr>
                  <w:r w:rsidRPr="00B32914">
                    <w:t>Ministerstwo Infrastruktury</w:t>
                  </w:r>
                </w:p>
              </w:tc>
            </w:tr>
            <w:tr w:rsidR="00BA0236" w:rsidRPr="00B32914" w14:paraId="30CD0626" w14:textId="77777777" w:rsidTr="001002DE">
              <w:tc>
                <w:tcPr>
                  <w:tcW w:w="4810" w:type="dxa"/>
                  <w:tcBorders>
                    <w:top w:val="nil"/>
                    <w:bottom w:val="nil"/>
                  </w:tcBorders>
                  <w:vAlign w:val="center"/>
                </w:tcPr>
                <w:p w14:paraId="00895D4D" w14:textId="77777777" w:rsidR="00BA0236" w:rsidRPr="00B32914" w:rsidRDefault="00BA0236" w:rsidP="007C28CC">
                  <w:pPr>
                    <w:pStyle w:val="Cover-JobTitle"/>
                  </w:pPr>
                  <w:r w:rsidRPr="00B32914">
                    <w:rPr>
                      <w:sz w:val="28"/>
                      <w:szCs w:val="28"/>
                    </w:rPr>
                    <w:t>Przegląd i aktualizacja planów zarządzania ryzykiem powodziowym od strony morza, w tym morskich wód wewnętrznych Nr projektu: POIS.02.01.00-00-0023/18</w:t>
                  </w:r>
                </w:p>
              </w:tc>
            </w:tr>
            <w:tr w:rsidR="00BA0236" w:rsidRPr="00B32914" w14:paraId="5A44E81B" w14:textId="77777777" w:rsidTr="001002DE">
              <w:tc>
                <w:tcPr>
                  <w:tcW w:w="4810" w:type="dxa"/>
                  <w:tcBorders>
                    <w:top w:val="nil"/>
                    <w:bottom w:val="nil"/>
                  </w:tcBorders>
                  <w:vAlign w:val="center"/>
                </w:tcPr>
                <w:p w14:paraId="4471BBF8" w14:textId="600DB493" w:rsidR="00BA0236" w:rsidRPr="00B32914" w:rsidRDefault="000C4D7E" w:rsidP="00AC4CE3">
                  <w:pPr>
                    <w:pStyle w:val="Cover-TitleBlock"/>
                  </w:pPr>
                  <w:r>
                    <w:rPr>
                      <w:sz w:val="24"/>
                      <w:szCs w:val="24"/>
                    </w:rPr>
                    <w:t>Projekt aktualizacji planu zarządzania ryzykiem powodziowym od strony morza, w tym morskich wód wewnętrznych dla obszaru dorzecza Dolnej Wisły</w:t>
                  </w:r>
                </w:p>
              </w:tc>
            </w:tr>
            <w:tr w:rsidR="00BA0236" w:rsidRPr="00B32914" w14:paraId="49E56843" w14:textId="77777777" w:rsidTr="001002DE">
              <w:trPr>
                <w:trHeight w:val="394"/>
              </w:trPr>
              <w:tc>
                <w:tcPr>
                  <w:tcW w:w="4810" w:type="dxa"/>
                  <w:tcBorders>
                    <w:top w:val="nil"/>
                    <w:bottom w:val="nil"/>
                  </w:tcBorders>
                  <w:tcMar>
                    <w:top w:w="0" w:type="dxa"/>
                  </w:tcMar>
                  <w:vAlign w:val="center"/>
                </w:tcPr>
                <w:p w14:paraId="20892F39" w14:textId="22B43830" w:rsidR="00BA0236" w:rsidRPr="00B32914" w:rsidRDefault="00BA0236" w:rsidP="00AC4CE3">
                  <w:pPr>
                    <w:pStyle w:val="Cover-Ref"/>
                    <w:spacing w:after="0"/>
                  </w:pPr>
                </w:p>
              </w:tc>
            </w:tr>
            <w:tr w:rsidR="00BA0236" w:rsidRPr="00B32914" w14:paraId="5199641A" w14:textId="77777777" w:rsidTr="001002DE">
              <w:trPr>
                <w:trHeight w:val="394"/>
              </w:trPr>
              <w:tc>
                <w:tcPr>
                  <w:tcW w:w="4810" w:type="dxa"/>
                  <w:tcBorders>
                    <w:top w:val="nil"/>
                  </w:tcBorders>
                  <w:tcMar>
                    <w:top w:w="0" w:type="dxa"/>
                  </w:tcMar>
                  <w:vAlign w:val="center"/>
                </w:tcPr>
                <w:p w14:paraId="00DDA1EB" w14:textId="76DC5F3A" w:rsidR="00BA0236" w:rsidRPr="00B32914" w:rsidRDefault="00BA0236" w:rsidP="00AC4CE3">
                  <w:pPr>
                    <w:pStyle w:val="Cover-Ref"/>
                    <w:spacing w:after="0"/>
                  </w:pPr>
                </w:p>
              </w:tc>
            </w:tr>
          </w:tbl>
          <w:p w14:paraId="04A207FA" w14:textId="77777777" w:rsidR="00BA0236" w:rsidRPr="00B32914" w:rsidRDefault="00BA0236" w:rsidP="001002DE">
            <w:pPr>
              <w:ind w:left="-28"/>
            </w:pPr>
          </w:p>
        </w:tc>
      </w:tr>
    </w:tbl>
    <w:p w14:paraId="67F8ECE9" w14:textId="77777777" w:rsidR="00BA0236" w:rsidRPr="007C28CC" w:rsidRDefault="00BA0236" w:rsidP="007C28CC">
      <w:pPr>
        <w:sectPr w:rsidR="00BA0236" w:rsidRPr="007C28CC" w:rsidSect="007C28CC">
          <w:pgSz w:w="11907" w:h="16839" w:code="9"/>
          <w:pgMar w:top="1701" w:right="907" w:bottom="851" w:left="1134" w:header="284" w:footer="0" w:gutter="0"/>
          <w:pgNumType w:start="1"/>
          <w:cols w:space="708"/>
          <w:formProt w:val="0"/>
          <w:titlePg/>
          <w:docGrid w:linePitch="326"/>
        </w:sectPr>
      </w:pPr>
    </w:p>
    <w:p w14:paraId="53A59EAE" w14:textId="77777777" w:rsidR="00BA0236" w:rsidRPr="007C28CC" w:rsidRDefault="00BA0236" w:rsidP="002D76EE">
      <w:pPr>
        <w:framePr w:hSpace="181" w:wrap="around" w:hAnchor="text" w:xAlign="right" w:yAlign="bottom"/>
        <w:suppressOverlap/>
      </w:pPr>
    </w:p>
    <w:tbl>
      <w:tblPr>
        <w:tblpPr w:leftFromText="181" w:rightFromText="181" w:tblpXSpec="right" w:tblpYSpec="bottom"/>
        <w:tblOverlap w:val="never"/>
        <w:tblW w:w="9923" w:type="dxa"/>
        <w:tblLayout w:type="fixed"/>
        <w:tblCellMar>
          <w:left w:w="0" w:type="dxa"/>
          <w:right w:w="0" w:type="dxa"/>
        </w:tblCellMar>
        <w:tblLook w:val="01E0" w:firstRow="1" w:lastRow="1" w:firstColumn="1" w:lastColumn="1" w:noHBand="0" w:noVBand="0"/>
      </w:tblPr>
      <w:tblGrid>
        <w:gridCol w:w="4047"/>
        <w:gridCol w:w="3429"/>
        <w:gridCol w:w="2447"/>
      </w:tblGrid>
      <w:tr w:rsidR="00BA0236" w:rsidRPr="00B32914" w14:paraId="21324B19" w14:textId="77777777" w:rsidTr="001002DE">
        <w:trPr>
          <w:cantSplit/>
          <w:trHeight w:val="679"/>
        </w:trPr>
        <w:tc>
          <w:tcPr>
            <w:tcW w:w="2039" w:type="pct"/>
            <w:tcBorders>
              <w:bottom w:val="nil"/>
            </w:tcBorders>
          </w:tcPr>
          <w:p w14:paraId="13FEAC2C" w14:textId="7F3E3372" w:rsidR="00BA0236" w:rsidRPr="00B32914" w:rsidRDefault="00BA0236" w:rsidP="00DA3EC1">
            <w:pPr>
              <w:rPr>
                <w:sz w:val="18"/>
                <w:szCs w:val="18"/>
              </w:rPr>
            </w:pPr>
          </w:p>
        </w:tc>
        <w:tc>
          <w:tcPr>
            <w:tcW w:w="1728" w:type="pct"/>
            <w:vMerge w:val="restart"/>
            <w:vAlign w:val="bottom"/>
          </w:tcPr>
          <w:p w14:paraId="2C1FDFBD" w14:textId="77777777" w:rsidR="00BA0236" w:rsidRPr="00B32914" w:rsidRDefault="00BA0236" w:rsidP="001002DE">
            <w:pPr>
              <w:spacing w:before="80"/>
              <w:jc w:val="right"/>
              <w:rPr>
                <w:sz w:val="18"/>
                <w:szCs w:val="18"/>
              </w:rPr>
            </w:pPr>
          </w:p>
        </w:tc>
        <w:tc>
          <w:tcPr>
            <w:tcW w:w="1233" w:type="pct"/>
            <w:vMerge w:val="restart"/>
            <w:vAlign w:val="bottom"/>
          </w:tcPr>
          <w:p w14:paraId="5DD721A3" w14:textId="7D3BCF55" w:rsidR="00BA0236" w:rsidRPr="00B32914" w:rsidRDefault="00BA0236" w:rsidP="001002DE">
            <w:pPr>
              <w:jc w:val="right"/>
            </w:pPr>
          </w:p>
        </w:tc>
      </w:tr>
      <w:tr w:rsidR="00BA0236" w:rsidRPr="00B32914" w14:paraId="3B8E94D0" w14:textId="77777777" w:rsidTr="001002DE">
        <w:trPr>
          <w:cantSplit/>
          <w:trHeight w:val="679"/>
        </w:trPr>
        <w:tc>
          <w:tcPr>
            <w:tcW w:w="2039" w:type="pct"/>
            <w:tcBorders>
              <w:bottom w:val="nil"/>
            </w:tcBorders>
          </w:tcPr>
          <w:p w14:paraId="2177D29A" w14:textId="77777777" w:rsidR="00BA0236" w:rsidRPr="00B32914" w:rsidRDefault="00BA0236" w:rsidP="001002DE">
            <w:bookmarkStart w:id="1" w:name="RegInfo"/>
            <w:bookmarkEnd w:id="1"/>
          </w:p>
        </w:tc>
        <w:tc>
          <w:tcPr>
            <w:tcW w:w="1728" w:type="pct"/>
            <w:vMerge/>
            <w:vAlign w:val="bottom"/>
          </w:tcPr>
          <w:p w14:paraId="0CD73398" w14:textId="77777777" w:rsidR="00BA0236" w:rsidRPr="00B32914" w:rsidRDefault="00BA0236" w:rsidP="001002DE">
            <w:pPr>
              <w:spacing w:before="80"/>
              <w:jc w:val="right"/>
              <w:rPr>
                <w:sz w:val="18"/>
                <w:szCs w:val="18"/>
              </w:rPr>
            </w:pPr>
          </w:p>
        </w:tc>
        <w:tc>
          <w:tcPr>
            <w:tcW w:w="1233" w:type="pct"/>
            <w:vMerge/>
            <w:vAlign w:val="bottom"/>
          </w:tcPr>
          <w:p w14:paraId="36E2F2EF" w14:textId="77777777" w:rsidR="00BA0236" w:rsidRPr="00B32914" w:rsidRDefault="00BA0236" w:rsidP="001002DE">
            <w:pPr>
              <w:jc w:val="right"/>
              <w:rPr>
                <w:noProof/>
                <w:lang w:eastAsia="en-GB"/>
              </w:rPr>
            </w:pPr>
          </w:p>
        </w:tc>
      </w:tr>
      <w:tr w:rsidR="00BA0236" w:rsidRPr="00B32914" w14:paraId="368D3D9E" w14:textId="77777777" w:rsidTr="001002DE">
        <w:trPr>
          <w:cantSplit/>
          <w:trHeight w:val="907"/>
        </w:trPr>
        <w:tc>
          <w:tcPr>
            <w:tcW w:w="2039" w:type="pct"/>
            <w:tcBorders>
              <w:bottom w:val="nil"/>
            </w:tcBorders>
            <w:vAlign w:val="bottom"/>
          </w:tcPr>
          <w:p w14:paraId="7BE6B403" w14:textId="10489487" w:rsidR="00BA0236" w:rsidRPr="00B32914" w:rsidRDefault="00BA0236" w:rsidP="001002DE">
            <w:pPr>
              <w:pStyle w:val="Cover-AddressBlock"/>
              <w:framePr w:wrap="auto" w:xAlign="left" w:yAlign="inline"/>
              <w:suppressOverlap w:val="0"/>
            </w:pPr>
            <w:bookmarkStart w:id="2" w:name="Website"/>
            <w:bookmarkEnd w:id="2"/>
          </w:p>
        </w:tc>
        <w:tc>
          <w:tcPr>
            <w:tcW w:w="1728" w:type="pct"/>
            <w:vMerge/>
            <w:tcBorders>
              <w:bottom w:val="nil"/>
            </w:tcBorders>
            <w:vAlign w:val="bottom"/>
          </w:tcPr>
          <w:p w14:paraId="5C94E0CE" w14:textId="77777777" w:rsidR="00BA0236" w:rsidRPr="00B32914" w:rsidRDefault="00BA0236" w:rsidP="001002DE">
            <w:pPr>
              <w:rPr>
                <w:rStyle w:val="HR-8"/>
                <w:sz w:val="14"/>
                <w:szCs w:val="14"/>
              </w:rPr>
            </w:pPr>
          </w:p>
        </w:tc>
        <w:tc>
          <w:tcPr>
            <w:tcW w:w="1233" w:type="pct"/>
            <w:vMerge/>
            <w:tcBorders>
              <w:bottom w:val="nil"/>
            </w:tcBorders>
          </w:tcPr>
          <w:p w14:paraId="568139A4" w14:textId="77777777" w:rsidR="00BA0236" w:rsidRPr="00B32914" w:rsidRDefault="00BA0236" w:rsidP="001002DE">
            <w:pPr>
              <w:spacing w:line="200" w:lineRule="atLeast"/>
              <w:rPr>
                <w:rStyle w:val="HR-8"/>
                <w:sz w:val="14"/>
                <w:szCs w:val="14"/>
              </w:rPr>
            </w:pPr>
          </w:p>
        </w:tc>
      </w:tr>
    </w:tbl>
    <w:p w14:paraId="6381A599" w14:textId="77777777" w:rsidR="00BA0236" w:rsidRPr="007C28CC" w:rsidRDefault="00BA0236" w:rsidP="002D76EE">
      <w:pPr>
        <w:rPr>
          <w:szCs w:val="22"/>
        </w:rPr>
        <w:sectPr w:rsidR="00BA0236" w:rsidRPr="007C28CC" w:rsidSect="007C28CC">
          <w:headerReference w:type="default" r:id="rId8"/>
          <w:type w:val="continuous"/>
          <w:pgSz w:w="11907" w:h="16839" w:code="9"/>
          <w:pgMar w:top="1701" w:right="851" w:bottom="851" w:left="1134" w:header="284" w:footer="0" w:gutter="0"/>
          <w:cols w:space="708"/>
          <w:formProt w:val="0"/>
          <w:docGrid w:linePitch="326"/>
        </w:sectPr>
      </w:pPr>
    </w:p>
    <w:p w14:paraId="7FBAB831" w14:textId="77777777" w:rsidR="00BA0236" w:rsidRPr="007C28CC" w:rsidRDefault="00BA0236" w:rsidP="002D76EE">
      <w:pPr>
        <w:spacing w:line="20" w:lineRule="exact"/>
        <w:rPr>
          <w:vanish/>
          <w:color w:val="FFFFFF"/>
          <w:sz w:val="2"/>
          <w:szCs w:val="2"/>
        </w:rPr>
      </w:pPr>
    </w:p>
    <w:p w14:paraId="3939394C" w14:textId="77777777" w:rsidR="00BA0236" w:rsidRPr="007C28CC" w:rsidRDefault="00BA0236" w:rsidP="002D76EE">
      <w:pPr>
        <w:pStyle w:val="ReportContentsMain"/>
      </w:pPr>
      <w:bookmarkStart w:id="3" w:name="Contents"/>
      <w:r>
        <w:t>Spis Treści</w:t>
      </w:r>
      <w:bookmarkEnd w:id="3"/>
    </w:p>
    <w:p w14:paraId="6357D812" w14:textId="77777777" w:rsidR="00BA0236" w:rsidRPr="007C28CC" w:rsidRDefault="00BA0236" w:rsidP="002D76EE"/>
    <w:p w14:paraId="3C0924F9" w14:textId="77777777" w:rsidR="00BA0236" w:rsidRPr="007C28CC" w:rsidRDefault="00BA0236" w:rsidP="002D76EE">
      <w:pPr>
        <w:tabs>
          <w:tab w:val="right" w:pos="7937"/>
        </w:tabs>
        <w:rPr>
          <w:rStyle w:val="Style10pt"/>
        </w:rPr>
      </w:pPr>
      <w:r w:rsidRPr="007C28CC">
        <w:rPr>
          <w:rStyle w:val="Style10pt"/>
        </w:rPr>
        <w:tab/>
      </w:r>
      <w:bookmarkStart w:id="4" w:name="P42"/>
      <w:r>
        <w:rPr>
          <w:rStyle w:val="Style10pt"/>
        </w:rPr>
        <w:t>Strona</w:t>
      </w:r>
      <w:bookmarkEnd w:id="4"/>
    </w:p>
    <w:p w14:paraId="0E5BBEAF" w14:textId="70688461" w:rsidR="00B55B9B" w:rsidRDefault="00BA0236">
      <w:pPr>
        <w:pStyle w:val="Spistreci1"/>
        <w:rPr>
          <w:rFonts w:asciiTheme="minorHAnsi" w:eastAsiaTheme="minorEastAsia" w:hAnsiTheme="minorHAnsi" w:cstheme="minorBidi"/>
          <w:b w:val="0"/>
          <w:sz w:val="22"/>
          <w:szCs w:val="22"/>
          <w:lang w:eastAsia="pl-PL"/>
        </w:rPr>
      </w:pPr>
      <w:r>
        <w:fldChar w:fldCharType="begin"/>
      </w:r>
      <w:r>
        <w:instrText xml:space="preserve"> TOC \h \z \t "Report Level 1;1;Report Level 2;2;Report Exec Summary;9" </w:instrText>
      </w:r>
      <w:r>
        <w:fldChar w:fldCharType="separate"/>
      </w:r>
      <w:hyperlink w:anchor="_Toc80604847" w:history="1">
        <w:r w:rsidR="00B55B9B" w:rsidRPr="00E83258">
          <w:rPr>
            <w:rStyle w:val="Hipercze"/>
            <w:rFonts w:eastAsia="MS Gothic"/>
          </w:rPr>
          <w:t>1</w:t>
        </w:r>
        <w:r w:rsidR="00B55B9B">
          <w:rPr>
            <w:rFonts w:asciiTheme="minorHAnsi" w:eastAsiaTheme="minorEastAsia" w:hAnsiTheme="minorHAnsi" w:cstheme="minorBidi"/>
            <w:b w:val="0"/>
            <w:sz w:val="22"/>
            <w:szCs w:val="22"/>
            <w:lang w:eastAsia="pl-PL"/>
          </w:rPr>
          <w:tab/>
        </w:r>
        <w:r w:rsidR="00B55B9B" w:rsidRPr="00E83258">
          <w:rPr>
            <w:rStyle w:val="Hipercze"/>
          </w:rPr>
          <w:t>Wstęp</w:t>
        </w:r>
        <w:r w:rsidR="00B55B9B">
          <w:rPr>
            <w:webHidden/>
          </w:rPr>
          <w:tab/>
        </w:r>
        <w:r w:rsidR="00B55B9B">
          <w:rPr>
            <w:webHidden/>
          </w:rPr>
          <w:fldChar w:fldCharType="begin"/>
        </w:r>
        <w:r w:rsidR="00B55B9B">
          <w:rPr>
            <w:webHidden/>
          </w:rPr>
          <w:instrText xml:space="preserve"> PAGEREF _Toc80604847 \h </w:instrText>
        </w:r>
        <w:r w:rsidR="00B55B9B">
          <w:rPr>
            <w:webHidden/>
          </w:rPr>
        </w:r>
        <w:r w:rsidR="00B55B9B">
          <w:rPr>
            <w:webHidden/>
          </w:rPr>
          <w:fldChar w:fldCharType="separate"/>
        </w:r>
        <w:r w:rsidR="00FD3F9A">
          <w:rPr>
            <w:webHidden/>
          </w:rPr>
          <w:t>1</w:t>
        </w:r>
        <w:r w:rsidR="00B55B9B">
          <w:rPr>
            <w:webHidden/>
          </w:rPr>
          <w:fldChar w:fldCharType="end"/>
        </w:r>
      </w:hyperlink>
    </w:p>
    <w:p w14:paraId="70AEFFDC" w14:textId="6F26AA2E" w:rsidR="00B55B9B" w:rsidRDefault="004C4DA7">
      <w:pPr>
        <w:pStyle w:val="Spistreci2"/>
        <w:tabs>
          <w:tab w:val="left" w:pos="1815"/>
        </w:tabs>
        <w:rPr>
          <w:rFonts w:asciiTheme="minorHAnsi" w:eastAsiaTheme="minorEastAsia" w:hAnsiTheme="minorHAnsi" w:cstheme="minorBidi"/>
          <w:sz w:val="22"/>
          <w:szCs w:val="22"/>
          <w:lang w:eastAsia="pl-PL"/>
        </w:rPr>
      </w:pPr>
      <w:hyperlink w:anchor="_Toc80604848" w:history="1">
        <w:r w:rsidR="00B55B9B" w:rsidRPr="00E83258">
          <w:rPr>
            <w:rStyle w:val="Hipercze"/>
            <w:rFonts w:eastAsia="MS Gothic"/>
          </w:rPr>
          <w:t>1.1</w:t>
        </w:r>
        <w:r w:rsidR="00B55B9B">
          <w:rPr>
            <w:rFonts w:asciiTheme="minorHAnsi" w:eastAsiaTheme="minorEastAsia" w:hAnsiTheme="minorHAnsi" w:cstheme="minorBidi"/>
            <w:sz w:val="22"/>
            <w:szCs w:val="22"/>
            <w:lang w:eastAsia="pl-PL"/>
          </w:rPr>
          <w:tab/>
        </w:r>
        <w:r w:rsidR="00B55B9B" w:rsidRPr="00E83258">
          <w:rPr>
            <w:rStyle w:val="Hipercze"/>
          </w:rPr>
          <w:t>Zidentyfikowane obszary problemowe</w:t>
        </w:r>
        <w:r w:rsidR="00B55B9B">
          <w:rPr>
            <w:webHidden/>
          </w:rPr>
          <w:tab/>
        </w:r>
        <w:r w:rsidR="00B55B9B">
          <w:rPr>
            <w:webHidden/>
          </w:rPr>
          <w:fldChar w:fldCharType="begin"/>
        </w:r>
        <w:r w:rsidR="00B55B9B">
          <w:rPr>
            <w:webHidden/>
          </w:rPr>
          <w:instrText xml:space="preserve"> PAGEREF _Toc80604848 \h </w:instrText>
        </w:r>
        <w:r w:rsidR="00B55B9B">
          <w:rPr>
            <w:webHidden/>
          </w:rPr>
        </w:r>
        <w:r w:rsidR="00B55B9B">
          <w:rPr>
            <w:webHidden/>
          </w:rPr>
          <w:fldChar w:fldCharType="separate"/>
        </w:r>
        <w:r w:rsidR="00FD3F9A">
          <w:rPr>
            <w:webHidden/>
          </w:rPr>
          <w:t>2</w:t>
        </w:r>
        <w:r w:rsidR="00B55B9B">
          <w:rPr>
            <w:webHidden/>
          </w:rPr>
          <w:fldChar w:fldCharType="end"/>
        </w:r>
      </w:hyperlink>
    </w:p>
    <w:p w14:paraId="049A9549" w14:textId="0BDA33DD" w:rsidR="00B55B9B" w:rsidRDefault="004C4DA7">
      <w:pPr>
        <w:pStyle w:val="Spistreci1"/>
        <w:rPr>
          <w:rFonts w:asciiTheme="minorHAnsi" w:eastAsiaTheme="minorEastAsia" w:hAnsiTheme="minorHAnsi" w:cstheme="minorBidi"/>
          <w:b w:val="0"/>
          <w:sz w:val="22"/>
          <w:szCs w:val="22"/>
          <w:lang w:eastAsia="pl-PL"/>
        </w:rPr>
      </w:pPr>
      <w:hyperlink w:anchor="_Toc80604849" w:history="1">
        <w:r w:rsidR="00B55B9B" w:rsidRPr="00E83258">
          <w:rPr>
            <w:rStyle w:val="Hipercze"/>
            <w:rFonts w:eastAsia="MS Gothic"/>
          </w:rPr>
          <w:t>2</w:t>
        </w:r>
        <w:r w:rsidR="00B55B9B">
          <w:rPr>
            <w:rFonts w:asciiTheme="minorHAnsi" w:eastAsiaTheme="minorEastAsia" w:hAnsiTheme="minorHAnsi" w:cstheme="minorBidi"/>
            <w:b w:val="0"/>
            <w:sz w:val="22"/>
            <w:szCs w:val="22"/>
            <w:lang w:eastAsia="pl-PL"/>
          </w:rPr>
          <w:tab/>
        </w:r>
        <w:r w:rsidR="00B55B9B" w:rsidRPr="00E83258">
          <w:rPr>
            <w:rStyle w:val="Hipercze"/>
          </w:rPr>
          <w:t>Opracowanie wstępnej listy działań</w:t>
        </w:r>
        <w:r w:rsidR="00B55B9B">
          <w:rPr>
            <w:webHidden/>
          </w:rPr>
          <w:tab/>
        </w:r>
        <w:r w:rsidR="00B55B9B">
          <w:rPr>
            <w:webHidden/>
          </w:rPr>
          <w:fldChar w:fldCharType="begin"/>
        </w:r>
        <w:r w:rsidR="00B55B9B">
          <w:rPr>
            <w:webHidden/>
          </w:rPr>
          <w:instrText xml:space="preserve"> PAGEREF _Toc80604849 \h </w:instrText>
        </w:r>
        <w:r w:rsidR="00B55B9B">
          <w:rPr>
            <w:webHidden/>
          </w:rPr>
        </w:r>
        <w:r w:rsidR="00B55B9B">
          <w:rPr>
            <w:webHidden/>
          </w:rPr>
          <w:fldChar w:fldCharType="separate"/>
        </w:r>
        <w:r w:rsidR="00FD3F9A">
          <w:rPr>
            <w:webHidden/>
          </w:rPr>
          <w:t>7</w:t>
        </w:r>
        <w:r w:rsidR="00B55B9B">
          <w:rPr>
            <w:webHidden/>
          </w:rPr>
          <w:fldChar w:fldCharType="end"/>
        </w:r>
      </w:hyperlink>
    </w:p>
    <w:p w14:paraId="395DB676" w14:textId="395B3332" w:rsidR="00B55B9B" w:rsidRDefault="004C4DA7">
      <w:pPr>
        <w:pStyle w:val="Spistreci1"/>
        <w:rPr>
          <w:rFonts w:asciiTheme="minorHAnsi" w:eastAsiaTheme="minorEastAsia" w:hAnsiTheme="minorHAnsi" w:cstheme="minorBidi"/>
          <w:b w:val="0"/>
          <w:sz w:val="22"/>
          <w:szCs w:val="22"/>
          <w:lang w:eastAsia="pl-PL"/>
        </w:rPr>
      </w:pPr>
      <w:hyperlink w:anchor="_Toc80604850" w:history="1">
        <w:r w:rsidR="00B55B9B" w:rsidRPr="00E83258">
          <w:rPr>
            <w:rStyle w:val="Hipercze"/>
            <w:rFonts w:eastAsia="MS Gothic"/>
          </w:rPr>
          <w:t>3</w:t>
        </w:r>
        <w:r w:rsidR="00B55B9B">
          <w:rPr>
            <w:rFonts w:asciiTheme="minorHAnsi" w:eastAsiaTheme="minorEastAsia" w:hAnsiTheme="minorHAnsi" w:cstheme="minorBidi"/>
            <w:b w:val="0"/>
            <w:sz w:val="22"/>
            <w:szCs w:val="22"/>
            <w:lang w:eastAsia="pl-PL"/>
          </w:rPr>
          <w:tab/>
        </w:r>
        <w:r w:rsidR="00B55B9B" w:rsidRPr="00E83258">
          <w:rPr>
            <w:rStyle w:val="Hipercze"/>
          </w:rPr>
          <w:t>Weryfikacja wstępnej listy działań i utworzenie listy bazowej</w:t>
        </w:r>
        <w:r w:rsidR="00B55B9B">
          <w:rPr>
            <w:webHidden/>
          </w:rPr>
          <w:tab/>
        </w:r>
        <w:r w:rsidR="00B55B9B">
          <w:rPr>
            <w:webHidden/>
          </w:rPr>
          <w:fldChar w:fldCharType="begin"/>
        </w:r>
        <w:r w:rsidR="00B55B9B">
          <w:rPr>
            <w:webHidden/>
          </w:rPr>
          <w:instrText xml:space="preserve"> PAGEREF _Toc80604850 \h </w:instrText>
        </w:r>
        <w:r w:rsidR="00B55B9B">
          <w:rPr>
            <w:webHidden/>
          </w:rPr>
        </w:r>
        <w:r w:rsidR="00B55B9B">
          <w:rPr>
            <w:webHidden/>
          </w:rPr>
          <w:fldChar w:fldCharType="separate"/>
        </w:r>
        <w:r w:rsidR="00FD3F9A">
          <w:rPr>
            <w:webHidden/>
          </w:rPr>
          <w:t>9</w:t>
        </w:r>
        <w:r w:rsidR="00B55B9B">
          <w:rPr>
            <w:webHidden/>
          </w:rPr>
          <w:fldChar w:fldCharType="end"/>
        </w:r>
      </w:hyperlink>
    </w:p>
    <w:p w14:paraId="5B2D9565" w14:textId="5FDFE540" w:rsidR="00B55B9B" w:rsidRDefault="004C4DA7">
      <w:pPr>
        <w:pStyle w:val="Spistreci1"/>
        <w:rPr>
          <w:rFonts w:asciiTheme="minorHAnsi" w:eastAsiaTheme="minorEastAsia" w:hAnsiTheme="minorHAnsi" w:cstheme="minorBidi"/>
          <w:b w:val="0"/>
          <w:sz w:val="22"/>
          <w:szCs w:val="22"/>
          <w:lang w:eastAsia="pl-PL"/>
        </w:rPr>
      </w:pPr>
      <w:hyperlink w:anchor="_Toc80604851" w:history="1">
        <w:r w:rsidR="00B55B9B" w:rsidRPr="00E83258">
          <w:rPr>
            <w:rStyle w:val="Hipercze"/>
            <w:rFonts w:eastAsia="MS Gothic"/>
          </w:rPr>
          <w:t>4</w:t>
        </w:r>
        <w:r w:rsidR="00B55B9B">
          <w:rPr>
            <w:rFonts w:asciiTheme="minorHAnsi" w:eastAsiaTheme="minorEastAsia" w:hAnsiTheme="minorHAnsi" w:cstheme="minorBidi"/>
            <w:b w:val="0"/>
            <w:sz w:val="22"/>
            <w:szCs w:val="22"/>
            <w:lang w:eastAsia="pl-PL"/>
          </w:rPr>
          <w:tab/>
        </w:r>
        <w:r w:rsidR="00B55B9B" w:rsidRPr="00E83258">
          <w:rPr>
            <w:rStyle w:val="Hipercze"/>
          </w:rPr>
          <w:t>Sformułowanie wariantów planistycznych</w:t>
        </w:r>
        <w:r w:rsidR="00B55B9B">
          <w:rPr>
            <w:webHidden/>
          </w:rPr>
          <w:tab/>
        </w:r>
        <w:r w:rsidR="00B55B9B">
          <w:rPr>
            <w:webHidden/>
          </w:rPr>
          <w:fldChar w:fldCharType="begin"/>
        </w:r>
        <w:r w:rsidR="00B55B9B">
          <w:rPr>
            <w:webHidden/>
          </w:rPr>
          <w:instrText xml:space="preserve"> PAGEREF _Toc80604851 \h </w:instrText>
        </w:r>
        <w:r w:rsidR="00B55B9B">
          <w:rPr>
            <w:webHidden/>
          </w:rPr>
        </w:r>
        <w:r w:rsidR="00B55B9B">
          <w:rPr>
            <w:webHidden/>
          </w:rPr>
          <w:fldChar w:fldCharType="separate"/>
        </w:r>
        <w:r w:rsidR="00FD3F9A">
          <w:rPr>
            <w:webHidden/>
          </w:rPr>
          <w:t>12</w:t>
        </w:r>
        <w:r w:rsidR="00B55B9B">
          <w:rPr>
            <w:webHidden/>
          </w:rPr>
          <w:fldChar w:fldCharType="end"/>
        </w:r>
      </w:hyperlink>
    </w:p>
    <w:p w14:paraId="7EC93D4C" w14:textId="37967E79" w:rsidR="00B55B9B" w:rsidRDefault="004C4DA7">
      <w:pPr>
        <w:pStyle w:val="Spistreci2"/>
        <w:tabs>
          <w:tab w:val="left" w:pos="1815"/>
        </w:tabs>
        <w:rPr>
          <w:rFonts w:asciiTheme="minorHAnsi" w:eastAsiaTheme="minorEastAsia" w:hAnsiTheme="minorHAnsi" w:cstheme="minorBidi"/>
          <w:sz w:val="22"/>
          <w:szCs w:val="22"/>
          <w:lang w:eastAsia="pl-PL"/>
        </w:rPr>
      </w:pPr>
      <w:hyperlink w:anchor="_Toc80604852" w:history="1">
        <w:r w:rsidR="00B55B9B" w:rsidRPr="00E83258">
          <w:rPr>
            <w:rStyle w:val="Hipercze"/>
            <w:rFonts w:eastAsia="MS Gothic"/>
          </w:rPr>
          <w:t>4.1</w:t>
        </w:r>
        <w:r w:rsidR="00B55B9B">
          <w:rPr>
            <w:rFonts w:asciiTheme="minorHAnsi" w:eastAsiaTheme="minorEastAsia" w:hAnsiTheme="minorHAnsi" w:cstheme="minorBidi"/>
            <w:sz w:val="22"/>
            <w:szCs w:val="22"/>
            <w:lang w:eastAsia="pl-PL"/>
          </w:rPr>
          <w:tab/>
        </w:r>
        <w:r w:rsidR="00B55B9B" w:rsidRPr="00E83258">
          <w:rPr>
            <w:rStyle w:val="Hipercze"/>
          </w:rPr>
          <w:t>IOP_1 Miasto Gdańsk</w:t>
        </w:r>
        <w:r w:rsidR="00B55B9B">
          <w:rPr>
            <w:webHidden/>
          </w:rPr>
          <w:tab/>
        </w:r>
        <w:r w:rsidR="00B55B9B">
          <w:rPr>
            <w:webHidden/>
          </w:rPr>
          <w:fldChar w:fldCharType="begin"/>
        </w:r>
        <w:r w:rsidR="00B55B9B">
          <w:rPr>
            <w:webHidden/>
          </w:rPr>
          <w:instrText xml:space="preserve"> PAGEREF _Toc80604852 \h </w:instrText>
        </w:r>
        <w:r w:rsidR="00B55B9B">
          <w:rPr>
            <w:webHidden/>
          </w:rPr>
        </w:r>
        <w:r w:rsidR="00B55B9B">
          <w:rPr>
            <w:webHidden/>
          </w:rPr>
          <w:fldChar w:fldCharType="separate"/>
        </w:r>
        <w:r w:rsidR="00FD3F9A">
          <w:rPr>
            <w:webHidden/>
          </w:rPr>
          <w:t>13</w:t>
        </w:r>
        <w:r w:rsidR="00B55B9B">
          <w:rPr>
            <w:webHidden/>
          </w:rPr>
          <w:fldChar w:fldCharType="end"/>
        </w:r>
      </w:hyperlink>
    </w:p>
    <w:p w14:paraId="0941853F" w14:textId="4F95CF86" w:rsidR="00B55B9B" w:rsidRDefault="004C4DA7">
      <w:pPr>
        <w:pStyle w:val="Spistreci2"/>
        <w:tabs>
          <w:tab w:val="left" w:pos="1815"/>
        </w:tabs>
        <w:rPr>
          <w:rFonts w:asciiTheme="minorHAnsi" w:eastAsiaTheme="minorEastAsia" w:hAnsiTheme="minorHAnsi" w:cstheme="minorBidi"/>
          <w:sz w:val="22"/>
          <w:szCs w:val="22"/>
          <w:lang w:eastAsia="pl-PL"/>
        </w:rPr>
      </w:pPr>
      <w:hyperlink w:anchor="_Toc80604853" w:history="1">
        <w:r w:rsidR="00B55B9B" w:rsidRPr="00E83258">
          <w:rPr>
            <w:rStyle w:val="Hipercze"/>
            <w:rFonts w:eastAsia="MS Gothic"/>
          </w:rPr>
          <w:t>4.2</w:t>
        </w:r>
        <w:r w:rsidR="00B55B9B">
          <w:rPr>
            <w:rFonts w:asciiTheme="minorHAnsi" w:eastAsiaTheme="minorEastAsia" w:hAnsiTheme="minorHAnsi" w:cstheme="minorBidi"/>
            <w:sz w:val="22"/>
            <w:szCs w:val="22"/>
            <w:lang w:eastAsia="pl-PL"/>
          </w:rPr>
          <w:tab/>
        </w:r>
        <w:r w:rsidR="00B55B9B" w:rsidRPr="00E83258">
          <w:rPr>
            <w:rStyle w:val="Hipercze"/>
          </w:rPr>
          <w:t>IOP_2 Mierzeja Helska - Jastarnia, Hel - Chałupy</w:t>
        </w:r>
        <w:r w:rsidR="00B55B9B">
          <w:rPr>
            <w:webHidden/>
          </w:rPr>
          <w:tab/>
        </w:r>
        <w:r w:rsidR="00B55B9B">
          <w:rPr>
            <w:webHidden/>
          </w:rPr>
          <w:fldChar w:fldCharType="begin"/>
        </w:r>
        <w:r w:rsidR="00B55B9B">
          <w:rPr>
            <w:webHidden/>
          </w:rPr>
          <w:instrText xml:space="preserve"> PAGEREF _Toc80604853 \h </w:instrText>
        </w:r>
        <w:r w:rsidR="00B55B9B">
          <w:rPr>
            <w:webHidden/>
          </w:rPr>
        </w:r>
        <w:r w:rsidR="00B55B9B">
          <w:rPr>
            <w:webHidden/>
          </w:rPr>
          <w:fldChar w:fldCharType="separate"/>
        </w:r>
        <w:r w:rsidR="00FD3F9A">
          <w:rPr>
            <w:webHidden/>
          </w:rPr>
          <w:t>16</w:t>
        </w:r>
        <w:r w:rsidR="00B55B9B">
          <w:rPr>
            <w:webHidden/>
          </w:rPr>
          <w:fldChar w:fldCharType="end"/>
        </w:r>
      </w:hyperlink>
    </w:p>
    <w:p w14:paraId="31A18673" w14:textId="6236AD78" w:rsidR="00B55B9B" w:rsidRDefault="004C4DA7">
      <w:pPr>
        <w:pStyle w:val="Spistreci2"/>
        <w:tabs>
          <w:tab w:val="left" w:pos="1815"/>
        </w:tabs>
        <w:rPr>
          <w:rFonts w:asciiTheme="minorHAnsi" w:eastAsiaTheme="minorEastAsia" w:hAnsiTheme="minorHAnsi" w:cstheme="minorBidi"/>
          <w:sz w:val="22"/>
          <w:szCs w:val="22"/>
          <w:lang w:eastAsia="pl-PL"/>
        </w:rPr>
      </w:pPr>
      <w:hyperlink w:anchor="_Toc80604854" w:history="1">
        <w:r w:rsidR="00B55B9B" w:rsidRPr="00E83258">
          <w:rPr>
            <w:rStyle w:val="Hipercze"/>
            <w:rFonts w:eastAsia="MS Gothic"/>
          </w:rPr>
          <w:t>4.3</w:t>
        </w:r>
        <w:r w:rsidR="00B55B9B">
          <w:rPr>
            <w:rFonts w:asciiTheme="minorHAnsi" w:eastAsiaTheme="minorEastAsia" w:hAnsiTheme="minorHAnsi" w:cstheme="minorBidi"/>
            <w:sz w:val="22"/>
            <w:szCs w:val="22"/>
            <w:lang w:eastAsia="pl-PL"/>
          </w:rPr>
          <w:tab/>
        </w:r>
        <w:r w:rsidR="00B55B9B" w:rsidRPr="00E83258">
          <w:rPr>
            <w:rStyle w:val="Hipercze"/>
          </w:rPr>
          <w:t>IOP_2 Mierzeja Helska - Jastarnia, Hel - Kuźnica</w:t>
        </w:r>
        <w:r w:rsidR="00B55B9B">
          <w:rPr>
            <w:webHidden/>
          </w:rPr>
          <w:tab/>
        </w:r>
        <w:r w:rsidR="00B55B9B">
          <w:rPr>
            <w:webHidden/>
          </w:rPr>
          <w:fldChar w:fldCharType="begin"/>
        </w:r>
        <w:r w:rsidR="00B55B9B">
          <w:rPr>
            <w:webHidden/>
          </w:rPr>
          <w:instrText xml:space="preserve"> PAGEREF _Toc80604854 \h </w:instrText>
        </w:r>
        <w:r w:rsidR="00B55B9B">
          <w:rPr>
            <w:webHidden/>
          </w:rPr>
        </w:r>
        <w:r w:rsidR="00B55B9B">
          <w:rPr>
            <w:webHidden/>
          </w:rPr>
          <w:fldChar w:fldCharType="separate"/>
        </w:r>
        <w:r w:rsidR="00FD3F9A">
          <w:rPr>
            <w:webHidden/>
          </w:rPr>
          <w:t>19</w:t>
        </w:r>
        <w:r w:rsidR="00B55B9B">
          <w:rPr>
            <w:webHidden/>
          </w:rPr>
          <w:fldChar w:fldCharType="end"/>
        </w:r>
      </w:hyperlink>
    </w:p>
    <w:p w14:paraId="1CAFA4F9" w14:textId="17256388" w:rsidR="00B55B9B" w:rsidRDefault="004C4DA7">
      <w:pPr>
        <w:pStyle w:val="Spistreci2"/>
        <w:tabs>
          <w:tab w:val="left" w:pos="1815"/>
        </w:tabs>
        <w:rPr>
          <w:rFonts w:asciiTheme="minorHAnsi" w:eastAsiaTheme="minorEastAsia" w:hAnsiTheme="minorHAnsi" w:cstheme="minorBidi"/>
          <w:sz w:val="22"/>
          <w:szCs w:val="22"/>
          <w:lang w:eastAsia="pl-PL"/>
        </w:rPr>
      </w:pPr>
      <w:hyperlink w:anchor="_Toc80604855" w:history="1">
        <w:r w:rsidR="00B55B9B" w:rsidRPr="00E83258">
          <w:rPr>
            <w:rStyle w:val="Hipercze"/>
            <w:rFonts w:eastAsia="MS Gothic"/>
          </w:rPr>
          <w:t>4.4</w:t>
        </w:r>
        <w:r w:rsidR="00B55B9B">
          <w:rPr>
            <w:rFonts w:asciiTheme="minorHAnsi" w:eastAsiaTheme="minorEastAsia" w:hAnsiTheme="minorHAnsi" w:cstheme="minorBidi"/>
            <w:sz w:val="22"/>
            <w:szCs w:val="22"/>
            <w:lang w:eastAsia="pl-PL"/>
          </w:rPr>
          <w:tab/>
        </w:r>
        <w:r w:rsidR="00B55B9B" w:rsidRPr="00E83258">
          <w:rPr>
            <w:rStyle w:val="Hipercze"/>
          </w:rPr>
          <w:t>IOP_2 Mierzeja Helska - Jastarnia, Hel - Jastarnia</w:t>
        </w:r>
        <w:r w:rsidR="00B55B9B">
          <w:rPr>
            <w:webHidden/>
          </w:rPr>
          <w:tab/>
        </w:r>
        <w:r w:rsidR="00B55B9B">
          <w:rPr>
            <w:webHidden/>
          </w:rPr>
          <w:fldChar w:fldCharType="begin"/>
        </w:r>
        <w:r w:rsidR="00B55B9B">
          <w:rPr>
            <w:webHidden/>
          </w:rPr>
          <w:instrText xml:space="preserve"> PAGEREF _Toc80604855 \h </w:instrText>
        </w:r>
        <w:r w:rsidR="00B55B9B">
          <w:rPr>
            <w:webHidden/>
          </w:rPr>
        </w:r>
        <w:r w:rsidR="00B55B9B">
          <w:rPr>
            <w:webHidden/>
          </w:rPr>
          <w:fldChar w:fldCharType="separate"/>
        </w:r>
        <w:r w:rsidR="00FD3F9A">
          <w:rPr>
            <w:webHidden/>
          </w:rPr>
          <w:t>21</w:t>
        </w:r>
        <w:r w:rsidR="00B55B9B">
          <w:rPr>
            <w:webHidden/>
          </w:rPr>
          <w:fldChar w:fldCharType="end"/>
        </w:r>
      </w:hyperlink>
    </w:p>
    <w:p w14:paraId="1958AAF8" w14:textId="062905E9" w:rsidR="00B55B9B" w:rsidRDefault="004C4DA7">
      <w:pPr>
        <w:pStyle w:val="Spistreci2"/>
        <w:tabs>
          <w:tab w:val="left" w:pos="1815"/>
        </w:tabs>
        <w:rPr>
          <w:rFonts w:asciiTheme="minorHAnsi" w:eastAsiaTheme="minorEastAsia" w:hAnsiTheme="minorHAnsi" w:cstheme="minorBidi"/>
          <w:sz w:val="22"/>
          <w:szCs w:val="22"/>
          <w:lang w:eastAsia="pl-PL"/>
        </w:rPr>
      </w:pPr>
      <w:hyperlink w:anchor="_Toc80604856" w:history="1">
        <w:r w:rsidR="00B55B9B" w:rsidRPr="00E83258">
          <w:rPr>
            <w:rStyle w:val="Hipercze"/>
            <w:rFonts w:eastAsia="MS Gothic"/>
          </w:rPr>
          <w:t>4.5</w:t>
        </w:r>
        <w:r w:rsidR="00B55B9B">
          <w:rPr>
            <w:rFonts w:asciiTheme="minorHAnsi" w:eastAsiaTheme="minorEastAsia" w:hAnsiTheme="minorHAnsi" w:cstheme="minorBidi"/>
            <w:sz w:val="22"/>
            <w:szCs w:val="22"/>
            <w:lang w:eastAsia="pl-PL"/>
          </w:rPr>
          <w:tab/>
        </w:r>
        <w:r w:rsidR="00B55B9B" w:rsidRPr="00E83258">
          <w:rPr>
            <w:rStyle w:val="Hipercze"/>
          </w:rPr>
          <w:t>IOP_5 Krynica Morska - Zalew Wiślany – Nowa Karczma</w:t>
        </w:r>
        <w:r w:rsidR="00B55B9B">
          <w:rPr>
            <w:webHidden/>
          </w:rPr>
          <w:tab/>
        </w:r>
        <w:r w:rsidR="00B55B9B">
          <w:rPr>
            <w:webHidden/>
          </w:rPr>
          <w:fldChar w:fldCharType="begin"/>
        </w:r>
        <w:r w:rsidR="00B55B9B">
          <w:rPr>
            <w:webHidden/>
          </w:rPr>
          <w:instrText xml:space="preserve"> PAGEREF _Toc80604856 \h </w:instrText>
        </w:r>
        <w:r w:rsidR="00B55B9B">
          <w:rPr>
            <w:webHidden/>
          </w:rPr>
        </w:r>
        <w:r w:rsidR="00B55B9B">
          <w:rPr>
            <w:webHidden/>
          </w:rPr>
          <w:fldChar w:fldCharType="separate"/>
        </w:r>
        <w:r w:rsidR="00FD3F9A">
          <w:rPr>
            <w:webHidden/>
          </w:rPr>
          <w:t>24</w:t>
        </w:r>
        <w:r w:rsidR="00B55B9B">
          <w:rPr>
            <w:webHidden/>
          </w:rPr>
          <w:fldChar w:fldCharType="end"/>
        </w:r>
      </w:hyperlink>
    </w:p>
    <w:p w14:paraId="79A39CA5" w14:textId="66F70716" w:rsidR="00B55B9B" w:rsidRDefault="004C4DA7">
      <w:pPr>
        <w:pStyle w:val="Spistreci2"/>
        <w:tabs>
          <w:tab w:val="left" w:pos="1815"/>
        </w:tabs>
        <w:rPr>
          <w:rFonts w:asciiTheme="minorHAnsi" w:eastAsiaTheme="minorEastAsia" w:hAnsiTheme="minorHAnsi" w:cstheme="minorBidi"/>
          <w:sz w:val="22"/>
          <w:szCs w:val="22"/>
          <w:lang w:eastAsia="pl-PL"/>
        </w:rPr>
      </w:pPr>
      <w:hyperlink w:anchor="_Toc80604857" w:history="1">
        <w:r w:rsidR="00B55B9B" w:rsidRPr="00E83258">
          <w:rPr>
            <w:rStyle w:val="Hipercze"/>
            <w:rFonts w:eastAsia="MS Gothic"/>
          </w:rPr>
          <w:t>4.6</w:t>
        </w:r>
        <w:r w:rsidR="00B55B9B">
          <w:rPr>
            <w:rFonts w:asciiTheme="minorHAnsi" w:eastAsiaTheme="minorEastAsia" w:hAnsiTheme="minorHAnsi" w:cstheme="minorBidi"/>
            <w:sz w:val="22"/>
            <w:szCs w:val="22"/>
            <w:lang w:eastAsia="pl-PL"/>
          </w:rPr>
          <w:tab/>
        </w:r>
        <w:r w:rsidR="00B55B9B" w:rsidRPr="00E83258">
          <w:rPr>
            <w:rStyle w:val="Hipercze"/>
          </w:rPr>
          <w:t>IOP_5 Krynica Morska - Zalew Wiślany - Frombork</w:t>
        </w:r>
        <w:r w:rsidR="00B55B9B">
          <w:rPr>
            <w:webHidden/>
          </w:rPr>
          <w:tab/>
        </w:r>
        <w:r w:rsidR="00B55B9B">
          <w:rPr>
            <w:webHidden/>
          </w:rPr>
          <w:fldChar w:fldCharType="begin"/>
        </w:r>
        <w:r w:rsidR="00B55B9B">
          <w:rPr>
            <w:webHidden/>
          </w:rPr>
          <w:instrText xml:space="preserve"> PAGEREF _Toc80604857 \h </w:instrText>
        </w:r>
        <w:r w:rsidR="00B55B9B">
          <w:rPr>
            <w:webHidden/>
          </w:rPr>
        </w:r>
        <w:r w:rsidR="00B55B9B">
          <w:rPr>
            <w:webHidden/>
          </w:rPr>
          <w:fldChar w:fldCharType="separate"/>
        </w:r>
        <w:r w:rsidR="00FD3F9A">
          <w:rPr>
            <w:webHidden/>
          </w:rPr>
          <w:t>27</w:t>
        </w:r>
        <w:r w:rsidR="00B55B9B">
          <w:rPr>
            <w:webHidden/>
          </w:rPr>
          <w:fldChar w:fldCharType="end"/>
        </w:r>
      </w:hyperlink>
    </w:p>
    <w:p w14:paraId="14BD5AC2" w14:textId="4A3F83AB" w:rsidR="00B55B9B" w:rsidRDefault="004C4DA7">
      <w:pPr>
        <w:pStyle w:val="Spistreci2"/>
        <w:tabs>
          <w:tab w:val="left" w:pos="1815"/>
        </w:tabs>
        <w:rPr>
          <w:rFonts w:asciiTheme="minorHAnsi" w:eastAsiaTheme="minorEastAsia" w:hAnsiTheme="minorHAnsi" w:cstheme="minorBidi"/>
          <w:sz w:val="22"/>
          <w:szCs w:val="22"/>
          <w:lang w:eastAsia="pl-PL"/>
        </w:rPr>
      </w:pPr>
      <w:hyperlink w:anchor="_Toc80604858" w:history="1">
        <w:r w:rsidR="00B55B9B" w:rsidRPr="00E83258">
          <w:rPr>
            <w:rStyle w:val="Hipercze"/>
            <w:rFonts w:eastAsia="MS Gothic"/>
          </w:rPr>
          <w:t>4.7</w:t>
        </w:r>
        <w:r w:rsidR="00B55B9B">
          <w:rPr>
            <w:rFonts w:asciiTheme="minorHAnsi" w:eastAsiaTheme="minorEastAsia" w:hAnsiTheme="minorHAnsi" w:cstheme="minorBidi"/>
            <w:sz w:val="22"/>
            <w:szCs w:val="22"/>
            <w:lang w:eastAsia="pl-PL"/>
          </w:rPr>
          <w:tab/>
        </w:r>
        <w:r w:rsidR="00B55B9B" w:rsidRPr="00E83258">
          <w:rPr>
            <w:rStyle w:val="Hipercze"/>
          </w:rPr>
          <w:t>IOP_7 Ustka - ujście Słupi</w:t>
        </w:r>
        <w:r w:rsidR="00B55B9B">
          <w:rPr>
            <w:webHidden/>
          </w:rPr>
          <w:tab/>
        </w:r>
        <w:r w:rsidR="00B55B9B">
          <w:rPr>
            <w:webHidden/>
          </w:rPr>
          <w:fldChar w:fldCharType="begin"/>
        </w:r>
        <w:r w:rsidR="00B55B9B">
          <w:rPr>
            <w:webHidden/>
          </w:rPr>
          <w:instrText xml:space="preserve"> PAGEREF _Toc80604858 \h </w:instrText>
        </w:r>
        <w:r w:rsidR="00B55B9B">
          <w:rPr>
            <w:webHidden/>
          </w:rPr>
        </w:r>
        <w:r w:rsidR="00B55B9B">
          <w:rPr>
            <w:webHidden/>
          </w:rPr>
          <w:fldChar w:fldCharType="separate"/>
        </w:r>
        <w:r w:rsidR="00FD3F9A">
          <w:rPr>
            <w:webHidden/>
          </w:rPr>
          <w:t>29</w:t>
        </w:r>
        <w:r w:rsidR="00B55B9B">
          <w:rPr>
            <w:webHidden/>
          </w:rPr>
          <w:fldChar w:fldCharType="end"/>
        </w:r>
      </w:hyperlink>
    </w:p>
    <w:p w14:paraId="3F4F7ED9" w14:textId="187D58A6" w:rsidR="00B55B9B" w:rsidRDefault="004C4DA7">
      <w:pPr>
        <w:pStyle w:val="Spistreci2"/>
        <w:tabs>
          <w:tab w:val="left" w:pos="1815"/>
        </w:tabs>
        <w:rPr>
          <w:rFonts w:asciiTheme="minorHAnsi" w:eastAsiaTheme="minorEastAsia" w:hAnsiTheme="minorHAnsi" w:cstheme="minorBidi"/>
          <w:sz w:val="22"/>
          <w:szCs w:val="22"/>
          <w:lang w:eastAsia="pl-PL"/>
        </w:rPr>
      </w:pPr>
      <w:hyperlink w:anchor="_Toc80604859" w:history="1">
        <w:r w:rsidR="00B55B9B" w:rsidRPr="00E83258">
          <w:rPr>
            <w:rStyle w:val="Hipercze"/>
            <w:rFonts w:eastAsia="MS Gothic"/>
          </w:rPr>
          <w:t>4.8</w:t>
        </w:r>
        <w:r w:rsidR="00B55B9B">
          <w:rPr>
            <w:rFonts w:asciiTheme="minorHAnsi" w:eastAsiaTheme="minorEastAsia" w:hAnsiTheme="minorHAnsi" w:cstheme="minorBidi"/>
            <w:sz w:val="22"/>
            <w:szCs w:val="22"/>
            <w:lang w:eastAsia="pl-PL"/>
          </w:rPr>
          <w:tab/>
        </w:r>
        <w:r w:rsidR="00B55B9B" w:rsidRPr="00E83258">
          <w:rPr>
            <w:rStyle w:val="Hipercze"/>
          </w:rPr>
          <w:t>IOP_8 Dębki</w:t>
        </w:r>
        <w:r w:rsidR="00B55B9B">
          <w:rPr>
            <w:webHidden/>
          </w:rPr>
          <w:tab/>
        </w:r>
        <w:r w:rsidR="00B55B9B">
          <w:rPr>
            <w:webHidden/>
          </w:rPr>
          <w:fldChar w:fldCharType="begin"/>
        </w:r>
        <w:r w:rsidR="00B55B9B">
          <w:rPr>
            <w:webHidden/>
          </w:rPr>
          <w:instrText xml:space="preserve"> PAGEREF _Toc80604859 \h </w:instrText>
        </w:r>
        <w:r w:rsidR="00B55B9B">
          <w:rPr>
            <w:webHidden/>
          </w:rPr>
        </w:r>
        <w:r w:rsidR="00B55B9B">
          <w:rPr>
            <w:webHidden/>
          </w:rPr>
          <w:fldChar w:fldCharType="separate"/>
        </w:r>
        <w:r w:rsidR="00FD3F9A">
          <w:rPr>
            <w:webHidden/>
          </w:rPr>
          <w:t>32</w:t>
        </w:r>
        <w:r w:rsidR="00B55B9B">
          <w:rPr>
            <w:webHidden/>
          </w:rPr>
          <w:fldChar w:fldCharType="end"/>
        </w:r>
      </w:hyperlink>
    </w:p>
    <w:p w14:paraId="67C2116A" w14:textId="7980CF42" w:rsidR="00B55B9B" w:rsidRDefault="004C4DA7">
      <w:pPr>
        <w:pStyle w:val="Spistreci2"/>
        <w:tabs>
          <w:tab w:val="left" w:pos="1815"/>
        </w:tabs>
        <w:rPr>
          <w:rFonts w:asciiTheme="minorHAnsi" w:eastAsiaTheme="minorEastAsia" w:hAnsiTheme="minorHAnsi" w:cstheme="minorBidi"/>
          <w:sz w:val="22"/>
          <w:szCs w:val="22"/>
          <w:lang w:eastAsia="pl-PL"/>
        </w:rPr>
      </w:pPr>
      <w:hyperlink w:anchor="_Toc80604860" w:history="1">
        <w:r w:rsidR="00B55B9B" w:rsidRPr="00E83258">
          <w:rPr>
            <w:rStyle w:val="Hipercze"/>
            <w:rFonts w:eastAsia="MS Gothic"/>
          </w:rPr>
          <w:t>4.9</w:t>
        </w:r>
        <w:r w:rsidR="00B55B9B">
          <w:rPr>
            <w:rFonts w:asciiTheme="minorHAnsi" w:eastAsiaTheme="minorEastAsia" w:hAnsiTheme="minorHAnsi" w:cstheme="minorBidi"/>
            <w:sz w:val="22"/>
            <w:szCs w:val="22"/>
            <w:lang w:eastAsia="pl-PL"/>
          </w:rPr>
          <w:tab/>
        </w:r>
        <w:r w:rsidR="00B55B9B" w:rsidRPr="00E83258">
          <w:rPr>
            <w:rStyle w:val="Hipercze"/>
          </w:rPr>
          <w:t>IOP_12 Łeba od Mielnickiego Kanału do Chełstu (p)</w:t>
        </w:r>
        <w:r w:rsidR="00B55B9B">
          <w:rPr>
            <w:webHidden/>
          </w:rPr>
          <w:tab/>
        </w:r>
        <w:r w:rsidR="00B55B9B">
          <w:rPr>
            <w:webHidden/>
          </w:rPr>
          <w:fldChar w:fldCharType="begin"/>
        </w:r>
        <w:r w:rsidR="00B55B9B">
          <w:rPr>
            <w:webHidden/>
          </w:rPr>
          <w:instrText xml:space="preserve"> PAGEREF _Toc80604860 \h </w:instrText>
        </w:r>
        <w:r w:rsidR="00B55B9B">
          <w:rPr>
            <w:webHidden/>
          </w:rPr>
        </w:r>
        <w:r w:rsidR="00B55B9B">
          <w:rPr>
            <w:webHidden/>
          </w:rPr>
          <w:fldChar w:fldCharType="separate"/>
        </w:r>
        <w:r w:rsidR="00FD3F9A">
          <w:rPr>
            <w:webHidden/>
          </w:rPr>
          <w:t>35</w:t>
        </w:r>
        <w:r w:rsidR="00B55B9B">
          <w:rPr>
            <w:webHidden/>
          </w:rPr>
          <w:fldChar w:fldCharType="end"/>
        </w:r>
      </w:hyperlink>
    </w:p>
    <w:p w14:paraId="1B22ED65" w14:textId="45BC8DB5" w:rsidR="00B55B9B" w:rsidRDefault="004C4DA7">
      <w:pPr>
        <w:pStyle w:val="Spistreci2"/>
        <w:tabs>
          <w:tab w:val="left" w:pos="1815"/>
        </w:tabs>
        <w:rPr>
          <w:rFonts w:asciiTheme="minorHAnsi" w:eastAsiaTheme="minorEastAsia" w:hAnsiTheme="minorHAnsi" w:cstheme="minorBidi"/>
          <w:sz w:val="22"/>
          <w:szCs w:val="22"/>
          <w:lang w:eastAsia="pl-PL"/>
        </w:rPr>
      </w:pPr>
      <w:hyperlink w:anchor="_Toc80604861" w:history="1">
        <w:r w:rsidR="00B55B9B" w:rsidRPr="00E83258">
          <w:rPr>
            <w:rStyle w:val="Hipercze"/>
            <w:rFonts w:eastAsia="MS Gothic"/>
          </w:rPr>
          <w:t>4.10</w:t>
        </w:r>
        <w:r w:rsidR="00B55B9B">
          <w:rPr>
            <w:rFonts w:asciiTheme="minorHAnsi" w:eastAsiaTheme="minorEastAsia" w:hAnsiTheme="minorHAnsi" w:cstheme="minorBidi"/>
            <w:sz w:val="22"/>
            <w:szCs w:val="22"/>
            <w:lang w:eastAsia="pl-PL"/>
          </w:rPr>
          <w:tab/>
        </w:r>
        <w:r w:rsidR="00B55B9B" w:rsidRPr="00E83258">
          <w:rPr>
            <w:rStyle w:val="Hipercze"/>
          </w:rPr>
          <w:t>MR_1 Żuławy Wiślane</w:t>
        </w:r>
        <w:r w:rsidR="00B55B9B">
          <w:rPr>
            <w:webHidden/>
          </w:rPr>
          <w:tab/>
        </w:r>
        <w:r w:rsidR="00B55B9B">
          <w:rPr>
            <w:webHidden/>
          </w:rPr>
          <w:fldChar w:fldCharType="begin"/>
        </w:r>
        <w:r w:rsidR="00B55B9B">
          <w:rPr>
            <w:webHidden/>
          </w:rPr>
          <w:instrText xml:space="preserve"> PAGEREF _Toc80604861 \h </w:instrText>
        </w:r>
        <w:r w:rsidR="00B55B9B">
          <w:rPr>
            <w:webHidden/>
          </w:rPr>
        </w:r>
        <w:r w:rsidR="00B55B9B">
          <w:rPr>
            <w:webHidden/>
          </w:rPr>
          <w:fldChar w:fldCharType="separate"/>
        </w:r>
        <w:r w:rsidR="00FD3F9A">
          <w:rPr>
            <w:webHidden/>
          </w:rPr>
          <w:t>38</w:t>
        </w:r>
        <w:r w:rsidR="00B55B9B">
          <w:rPr>
            <w:webHidden/>
          </w:rPr>
          <w:fldChar w:fldCharType="end"/>
        </w:r>
      </w:hyperlink>
    </w:p>
    <w:p w14:paraId="25FA0606" w14:textId="0CF70319" w:rsidR="00B55B9B" w:rsidRDefault="004C4DA7">
      <w:pPr>
        <w:pStyle w:val="Spistreci2"/>
        <w:tabs>
          <w:tab w:val="left" w:pos="1815"/>
        </w:tabs>
        <w:rPr>
          <w:rFonts w:asciiTheme="minorHAnsi" w:eastAsiaTheme="minorEastAsia" w:hAnsiTheme="minorHAnsi" w:cstheme="minorBidi"/>
          <w:sz w:val="22"/>
          <w:szCs w:val="22"/>
          <w:lang w:eastAsia="pl-PL"/>
        </w:rPr>
      </w:pPr>
      <w:hyperlink w:anchor="_Toc80604862" w:history="1">
        <w:r w:rsidR="00B55B9B" w:rsidRPr="00E83258">
          <w:rPr>
            <w:rStyle w:val="Hipercze"/>
            <w:rFonts w:eastAsia="MS Gothic"/>
          </w:rPr>
          <w:t>4.11</w:t>
        </w:r>
        <w:r w:rsidR="00B55B9B">
          <w:rPr>
            <w:rFonts w:asciiTheme="minorHAnsi" w:eastAsiaTheme="minorEastAsia" w:hAnsiTheme="minorHAnsi" w:cstheme="minorBidi"/>
            <w:sz w:val="22"/>
            <w:szCs w:val="22"/>
            <w:lang w:eastAsia="pl-PL"/>
          </w:rPr>
          <w:tab/>
        </w:r>
        <w:r w:rsidR="00B55B9B" w:rsidRPr="00E83258">
          <w:rPr>
            <w:rStyle w:val="Hipercze"/>
          </w:rPr>
          <w:t>MR_2 Mechelinki, Rewa, Mosty, Połchowo - ujście Redy</w:t>
        </w:r>
        <w:r w:rsidR="00B55B9B">
          <w:rPr>
            <w:webHidden/>
          </w:rPr>
          <w:tab/>
        </w:r>
        <w:r w:rsidR="00B55B9B">
          <w:rPr>
            <w:webHidden/>
          </w:rPr>
          <w:fldChar w:fldCharType="begin"/>
        </w:r>
        <w:r w:rsidR="00B55B9B">
          <w:rPr>
            <w:webHidden/>
          </w:rPr>
          <w:instrText xml:space="preserve"> PAGEREF _Toc80604862 \h </w:instrText>
        </w:r>
        <w:r w:rsidR="00B55B9B">
          <w:rPr>
            <w:webHidden/>
          </w:rPr>
        </w:r>
        <w:r w:rsidR="00B55B9B">
          <w:rPr>
            <w:webHidden/>
          </w:rPr>
          <w:fldChar w:fldCharType="separate"/>
        </w:r>
        <w:r w:rsidR="00FD3F9A">
          <w:rPr>
            <w:webHidden/>
          </w:rPr>
          <w:t>42</w:t>
        </w:r>
        <w:r w:rsidR="00B55B9B">
          <w:rPr>
            <w:webHidden/>
          </w:rPr>
          <w:fldChar w:fldCharType="end"/>
        </w:r>
      </w:hyperlink>
    </w:p>
    <w:p w14:paraId="03C5CEDA" w14:textId="27AED5F4" w:rsidR="00B55B9B" w:rsidRDefault="004C4DA7">
      <w:pPr>
        <w:pStyle w:val="Spistreci1"/>
        <w:rPr>
          <w:rFonts w:asciiTheme="minorHAnsi" w:eastAsiaTheme="minorEastAsia" w:hAnsiTheme="minorHAnsi" w:cstheme="minorBidi"/>
          <w:b w:val="0"/>
          <w:sz w:val="22"/>
          <w:szCs w:val="22"/>
          <w:lang w:eastAsia="pl-PL"/>
        </w:rPr>
      </w:pPr>
      <w:hyperlink w:anchor="_Toc80604863" w:history="1">
        <w:r w:rsidR="00B55B9B" w:rsidRPr="00E83258">
          <w:rPr>
            <w:rStyle w:val="Hipercze"/>
            <w:rFonts w:eastAsia="MS Gothic"/>
          </w:rPr>
          <w:t>5</w:t>
        </w:r>
        <w:r w:rsidR="00B55B9B">
          <w:rPr>
            <w:rFonts w:asciiTheme="minorHAnsi" w:eastAsiaTheme="minorEastAsia" w:hAnsiTheme="minorHAnsi" w:cstheme="minorBidi"/>
            <w:b w:val="0"/>
            <w:sz w:val="22"/>
            <w:szCs w:val="22"/>
            <w:lang w:eastAsia="pl-PL"/>
          </w:rPr>
          <w:tab/>
        </w:r>
        <w:r w:rsidR="00B55B9B" w:rsidRPr="00E83258">
          <w:rPr>
            <w:rStyle w:val="Hipercze"/>
          </w:rPr>
          <w:t>Aktualizacja i utworzenie Ostatecznej Listy Działań - analizy</w:t>
        </w:r>
        <w:r w:rsidR="00B55B9B">
          <w:rPr>
            <w:webHidden/>
          </w:rPr>
          <w:tab/>
        </w:r>
        <w:r w:rsidR="00B55B9B">
          <w:rPr>
            <w:webHidden/>
          </w:rPr>
          <w:fldChar w:fldCharType="begin"/>
        </w:r>
        <w:r w:rsidR="00B55B9B">
          <w:rPr>
            <w:webHidden/>
          </w:rPr>
          <w:instrText xml:space="preserve"> PAGEREF _Toc80604863 \h </w:instrText>
        </w:r>
        <w:r w:rsidR="00B55B9B">
          <w:rPr>
            <w:webHidden/>
          </w:rPr>
        </w:r>
        <w:r w:rsidR="00B55B9B">
          <w:rPr>
            <w:webHidden/>
          </w:rPr>
          <w:fldChar w:fldCharType="separate"/>
        </w:r>
        <w:r w:rsidR="00FD3F9A">
          <w:rPr>
            <w:webHidden/>
          </w:rPr>
          <w:t>45</w:t>
        </w:r>
        <w:r w:rsidR="00B55B9B">
          <w:rPr>
            <w:webHidden/>
          </w:rPr>
          <w:fldChar w:fldCharType="end"/>
        </w:r>
      </w:hyperlink>
    </w:p>
    <w:p w14:paraId="569D3D49" w14:textId="74C8A838" w:rsidR="00B55B9B" w:rsidRDefault="004C4DA7">
      <w:pPr>
        <w:pStyle w:val="Spistreci2"/>
        <w:tabs>
          <w:tab w:val="left" w:pos="1815"/>
        </w:tabs>
        <w:rPr>
          <w:rFonts w:asciiTheme="minorHAnsi" w:eastAsiaTheme="minorEastAsia" w:hAnsiTheme="minorHAnsi" w:cstheme="minorBidi"/>
          <w:sz w:val="22"/>
          <w:szCs w:val="22"/>
          <w:lang w:eastAsia="pl-PL"/>
        </w:rPr>
      </w:pPr>
      <w:hyperlink w:anchor="_Toc80604864" w:history="1">
        <w:r w:rsidR="00B55B9B" w:rsidRPr="00E83258">
          <w:rPr>
            <w:rStyle w:val="Hipercze"/>
            <w:rFonts w:eastAsia="MS Gothic"/>
          </w:rPr>
          <w:t>5.1</w:t>
        </w:r>
        <w:r w:rsidR="00B55B9B">
          <w:rPr>
            <w:rFonts w:asciiTheme="minorHAnsi" w:eastAsiaTheme="minorEastAsia" w:hAnsiTheme="minorHAnsi" w:cstheme="minorBidi"/>
            <w:sz w:val="22"/>
            <w:szCs w:val="22"/>
            <w:lang w:eastAsia="pl-PL"/>
          </w:rPr>
          <w:tab/>
        </w:r>
        <w:r w:rsidR="00B55B9B" w:rsidRPr="00E83258">
          <w:rPr>
            <w:rStyle w:val="Hipercze"/>
          </w:rPr>
          <w:t>Analizy hydrauliczne</w:t>
        </w:r>
        <w:r w:rsidR="00B55B9B">
          <w:rPr>
            <w:webHidden/>
          </w:rPr>
          <w:tab/>
        </w:r>
        <w:r w:rsidR="00B55B9B">
          <w:rPr>
            <w:webHidden/>
          </w:rPr>
          <w:fldChar w:fldCharType="begin"/>
        </w:r>
        <w:r w:rsidR="00B55B9B">
          <w:rPr>
            <w:webHidden/>
          </w:rPr>
          <w:instrText xml:space="preserve"> PAGEREF _Toc80604864 \h </w:instrText>
        </w:r>
        <w:r w:rsidR="00B55B9B">
          <w:rPr>
            <w:webHidden/>
          </w:rPr>
        </w:r>
        <w:r w:rsidR="00B55B9B">
          <w:rPr>
            <w:webHidden/>
          </w:rPr>
          <w:fldChar w:fldCharType="separate"/>
        </w:r>
        <w:r w:rsidR="00FD3F9A">
          <w:rPr>
            <w:webHidden/>
          </w:rPr>
          <w:t>46</w:t>
        </w:r>
        <w:r w:rsidR="00B55B9B">
          <w:rPr>
            <w:webHidden/>
          </w:rPr>
          <w:fldChar w:fldCharType="end"/>
        </w:r>
      </w:hyperlink>
    </w:p>
    <w:p w14:paraId="69450D48" w14:textId="4BF70CBF" w:rsidR="00B55B9B" w:rsidRDefault="004C4DA7">
      <w:pPr>
        <w:pStyle w:val="Spistreci2"/>
        <w:tabs>
          <w:tab w:val="left" w:pos="1815"/>
        </w:tabs>
        <w:rPr>
          <w:rFonts w:asciiTheme="minorHAnsi" w:eastAsiaTheme="minorEastAsia" w:hAnsiTheme="minorHAnsi" w:cstheme="minorBidi"/>
          <w:sz w:val="22"/>
          <w:szCs w:val="22"/>
          <w:lang w:eastAsia="pl-PL"/>
        </w:rPr>
      </w:pPr>
      <w:hyperlink w:anchor="_Toc80604865" w:history="1">
        <w:r w:rsidR="00B55B9B" w:rsidRPr="00E83258">
          <w:rPr>
            <w:rStyle w:val="Hipercze"/>
            <w:rFonts w:eastAsia="MS Gothic"/>
          </w:rPr>
          <w:t>5.2</w:t>
        </w:r>
        <w:r w:rsidR="00B55B9B">
          <w:rPr>
            <w:rFonts w:asciiTheme="minorHAnsi" w:eastAsiaTheme="minorEastAsia" w:hAnsiTheme="minorHAnsi" w:cstheme="minorBidi"/>
            <w:sz w:val="22"/>
            <w:szCs w:val="22"/>
            <w:lang w:eastAsia="pl-PL"/>
          </w:rPr>
          <w:tab/>
        </w:r>
        <w:r w:rsidR="00B55B9B" w:rsidRPr="00E83258">
          <w:rPr>
            <w:rStyle w:val="Hipercze"/>
          </w:rPr>
          <w:t>Analizy kosztów i korzyści</w:t>
        </w:r>
        <w:r w:rsidR="00B55B9B">
          <w:rPr>
            <w:webHidden/>
          </w:rPr>
          <w:tab/>
        </w:r>
        <w:r w:rsidR="00B55B9B">
          <w:rPr>
            <w:webHidden/>
          </w:rPr>
          <w:fldChar w:fldCharType="begin"/>
        </w:r>
        <w:r w:rsidR="00B55B9B">
          <w:rPr>
            <w:webHidden/>
          </w:rPr>
          <w:instrText xml:space="preserve"> PAGEREF _Toc80604865 \h </w:instrText>
        </w:r>
        <w:r w:rsidR="00B55B9B">
          <w:rPr>
            <w:webHidden/>
          </w:rPr>
        </w:r>
        <w:r w:rsidR="00B55B9B">
          <w:rPr>
            <w:webHidden/>
          </w:rPr>
          <w:fldChar w:fldCharType="separate"/>
        </w:r>
        <w:r w:rsidR="00FD3F9A">
          <w:rPr>
            <w:webHidden/>
          </w:rPr>
          <w:t>47</w:t>
        </w:r>
        <w:r w:rsidR="00B55B9B">
          <w:rPr>
            <w:webHidden/>
          </w:rPr>
          <w:fldChar w:fldCharType="end"/>
        </w:r>
      </w:hyperlink>
    </w:p>
    <w:p w14:paraId="191B755A" w14:textId="1BAF1DBD" w:rsidR="00B55B9B" w:rsidRDefault="004C4DA7">
      <w:pPr>
        <w:pStyle w:val="Spistreci2"/>
        <w:tabs>
          <w:tab w:val="left" w:pos="1815"/>
        </w:tabs>
        <w:rPr>
          <w:rFonts w:asciiTheme="minorHAnsi" w:eastAsiaTheme="minorEastAsia" w:hAnsiTheme="minorHAnsi" w:cstheme="minorBidi"/>
          <w:sz w:val="22"/>
          <w:szCs w:val="22"/>
          <w:lang w:eastAsia="pl-PL"/>
        </w:rPr>
      </w:pPr>
      <w:hyperlink w:anchor="_Toc80604866" w:history="1">
        <w:r w:rsidR="00B55B9B" w:rsidRPr="00E83258">
          <w:rPr>
            <w:rStyle w:val="Hipercze"/>
            <w:rFonts w:eastAsia="MS Gothic"/>
          </w:rPr>
          <w:t>5.3</w:t>
        </w:r>
        <w:r w:rsidR="00B55B9B">
          <w:rPr>
            <w:rFonts w:asciiTheme="minorHAnsi" w:eastAsiaTheme="minorEastAsia" w:hAnsiTheme="minorHAnsi" w:cstheme="minorBidi"/>
            <w:sz w:val="22"/>
            <w:szCs w:val="22"/>
            <w:lang w:eastAsia="pl-PL"/>
          </w:rPr>
          <w:tab/>
        </w:r>
        <w:r w:rsidR="00B55B9B" w:rsidRPr="00E83258">
          <w:rPr>
            <w:rStyle w:val="Hipercze"/>
          </w:rPr>
          <w:t>Analiza wielokryterialna</w:t>
        </w:r>
        <w:r w:rsidR="00B55B9B">
          <w:rPr>
            <w:webHidden/>
          </w:rPr>
          <w:tab/>
        </w:r>
        <w:r w:rsidR="00B55B9B">
          <w:rPr>
            <w:webHidden/>
          </w:rPr>
          <w:fldChar w:fldCharType="begin"/>
        </w:r>
        <w:r w:rsidR="00B55B9B">
          <w:rPr>
            <w:webHidden/>
          </w:rPr>
          <w:instrText xml:space="preserve"> PAGEREF _Toc80604866 \h </w:instrText>
        </w:r>
        <w:r w:rsidR="00B55B9B">
          <w:rPr>
            <w:webHidden/>
          </w:rPr>
        </w:r>
        <w:r w:rsidR="00B55B9B">
          <w:rPr>
            <w:webHidden/>
          </w:rPr>
          <w:fldChar w:fldCharType="separate"/>
        </w:r>
        <w:r w:rsidR="00FD3F9A">
          <w:rPr>
            <w:webHidden/>
          </w:rPr>
          <w:t>60</w:t>
        </w:r>
        <w:r w:rsidR="00B55B9B">
          <w:rPr>
            <w:webHidden/>
          </w:rPr>
          <w:fldChar w:fldCharType="end"/>
        </w:r>
      </w:hyperlink>
    </w:p>
    <w:p w14:paraId="4D71AA47" w14:textId="3B19BCFA" w:rsidR="00B55B9B" w:rsidRDefault="004C4DA7">
      <w:pPr>
        <w:pStyle w:val="Spistreci1"/>
        <w:rPr>
          <w:rFonts w:asciiTheme="minorHAnsi" w:eastAsiaTheme="minorEastAsia" w:hAnsiTheme="minorHAnsi" w:cstheme="minorBidi"/>
          <w:b w:val="0"/>
          <w:sz w:val="22"/>
          <w:szCs w:val="22"/>
          <w:lang w:eastAsia="pl-PL"/>
        </w:rPr>
      </w:pPr>
      <w:hyperlink w:anchor="_Toc80604867" w:history="1">
        <w:r w:rsidR="00B55B9B" w:rsidRPr="00E83258">
          <w:rPr>
            <w:rStyle w:val="Hipercze"/>
            <w:rFonts w:eastAsia="MS Gothic"/>
          </w:rPr>
          <w:t>6</w:t>
        </w:r>
        <w:r w:rsidR="00B55B9B">
          <w:rPr>
            <w:rFonts w:asciiTheme="minorHAnsi" w:eastAsiaTheme="minorEastAsia" w:hAnsiTheme="minorHAnsi" w:cstheme="minorBidi"/>
            <w:b w:val="0"/>
            <w:sz w:val="22"/>
            <w:szCs w:val="22"/>
            <w:lang w:eastAsia="pl-PL"/>
          </w:rPr>
          <w:tab/>
        </w:r>
        <w:r w:rsidR="00B55B9B" w:rsidRPr="00E83258">
          <w:rPr>
            <w:rStyle w:val="Hipercze"/>
          </w:rPr>
          <w:t>Aktualizacja i utworzenie ostatecznej listy działań</w:t>
        </w:r>
        <w:r w:rsidR="00B55B9B">
          <w:rPr>
            <w:webHidden/>
          </w:rPr>
          <w:tab/>
        </w:r>
        <w:r w:rsidR="00B55B9B">
          <w:rPr>
            <w:webHidden/>
          </w:rPr>
          <w:fldChar w:fldCharType="begin"/>
        </w:r>
        <w:r w:rsidR="00B55B9B">
          <w:rPr>
            <w:webHidden/>
          </w:rPr>
          <w:instrText xml:space="preserve"> PAGEREF _Toc80604867 \h </w:instrText>
        </w:r>
        <w:r w:rsidR="00B55B9B">
          <w:rPr>
            <w:webHidden/>
          </w:rPr>
        </w:r>
        <w:r w:rsidR="00B55B9B">
          <w:rPr>
            <w:webHidden/>
          </w:rPr>
          <w:fldChar w:fldCharType="separate"/>
        </w:r>
        <w:r w:rsidR="00FD3F9A">
          <w:rPr>
            <w:webHidden/>
          </w:rPr>
          <w:t>68</w:t>
        </w:r>
        <w:r w:rsidR="00B55B9B">
          <w:rPr>
            <w:webHidden/>
          </w:rPr>
          <w:fldChar w:fldCharType="end"/>
        </w:r>
      </w:hyperlink>
    </w:p>
    <w:p w14:paraId="1C9E428F" w14:textId="1FC96B82" w:rsidR="00B55B9B" w:rsidRDefault="004C4DA7">
      <w:pPr>
        <w:pStyle w:val="Spistreci2"/>
        <w:tabs>
          <w:tab w:val="left" w:pos="1815"/>
        </w:tabs>
        <w:rPr>
          <w:rFonts w:asciiTheme="minorHAnsi" w:eastAsiaTheme="minorEastAsia" w:hAnsiTheme="minorHAnsi" w:cstheme="minorBidi"/>
          <w:sz w:val="22"/>
          <w:szCs w:val="22"/>
          <w:lang w:eastAsia="pl-PL"/>
        </w:rPr>
      </w:pPr>
      <w:hyperlink w:anchor="_Toc80604868" w:history="1">
        <w:r w:rsidR="00B55B9B" w:rsidRPr="00E83258">
          <w:rPr>
            <w:rStyle w:val="Hipercze"/>
            <w:rFonts w:eastAsia="MS Gothic"/>
          </w:rPr>
          <w:t>6.1</w:t>
        </w:r>
        <w:r w:rsidR="00B55B9B">
          <w:rPr>
            <w:rFonts w:asciiTheme="minorHAnsi" w:eastAsiaTheme="minorEastAsia" w:hAnsiTheme="minorHAnsi" w:cstheme="minorBidi"/>
            <w:sz w:val="22"/>
            <w:szCs w:val="22"/>
            <w:lang w:eastAsia="pl-PL"/>
          </w:rPr>
          <w:tab/>
        </w:r>
        <w:r w:rsidR="00B55B9B" w:rsidRPr="00E83258">
          <w:rPr>
            <w:rStyle w:val="Hipercze"/>
          </w:rPr>
          <w:t>Źródła finansowania planowanych działań</w:t>
        </w:r>
        <w:r w:rsidR="00B55B9B">
          <w:rPr>
            <w:webHidden/>
          </w:rPr>
          <w:tab/>
        </w:r>
        <w:r w:rsidR="00B55B9B">
          <w:rPr>
            <w:webHidden/>
          </w:rPr>
          <w:fldChar w:fldCharType="begin"/>
        </w:r>
        <w:r w:rsidR="00B55B9B">
          <w:rPr>
            <w:webHidden/>
          </w:rPr>
          <w:instrText xml:space="preserve"> PAGEREF _Toc80604868 \h </w:instrText>
        </w:r>
        <w:r w:rsidR="00B55B9B">
          <w:rPr>
            <w:webHidden/>
          </w:rPr>
        </w:r>
        <w:r w:rsidR="00B55B9B">
          <w:rPr>
            <w:webHidden/>
          </w:rPr>
          <w:fldChar w:fldCharType="separate"/>
        </w:r>
        <w:r w:rsidR="00FD3F9A">
          <w:rPr>
            <w:webHidden/>
          </w:rPr>
          <w:t>73</w:t>
        </w:r>
        <w:r w:rsidR="00B55B9B">
          <w:rPr>
            <w:webHidden/>
          </w:rPr>
          <w:fldChar w:fldCharType="end"/>
        </w:r>
      </w:hyperlink>
    </w:p>
    <w:p w14:paraId="7E6C167A" w14:textId="3CEFCB9F" w:rsidR="00B55B9B" w:rsidRDefault="004C4DA7">
      <w:pPr>
        <w:pStyle w:val="Spistreci2"/>
        <w:tabs>
          <w:tab w:val="left" w:pos="1815"/>
        </w:tabs>
        <w:rPr>
          <w:rFonts w:asciiTheme="minorHAnsi" w:eastAsiaTheme="minorEastAsia" w:hAnsiTheme="minorHAnsi" w:cstheme="minorBidi"/>
          <w:sz w:val="22"/>
          <w:szCs w:val="22"/>
          <w:lang w:eastAsia="pl-PL"/>
        </w:rPr>
      </w:pPr>
      <w:hyperlink w:anchor="_Toc80604869" w:history="1">
        <w:r w:rsidR="00B55B9B" w:rsidRPr="00E83258">
          <w:rPr>
            <w:rStyle w:val="Hipercze"/>
            <w:rFonts w:eastAsia="MS Gothic"/>
          </w:rPr>
          <w:t>6.2</w:t>
        </w:r>
        <w:r w:rsidR="00B55B9B">
          <w:rPr>
            <w:rFonts w:asciiTheme="minorHAnsi" w:eastAsiaTheme="minorEastAsia" w:hAnsiTheme="minorHAnsi" w:cstheme="minorBidi"/>
            <w:sz w:val="22"/>
            <w:szCs w:val="22"/>
            <w:lang w:eastAsia="pl-PL"/>
          </w:rPr>
          <w:tab/>
        </w:r>
        <w:r w:rsidR="00B55B9B" w:rsidRPr="00E83258">
          <w:rPr>
            <w:rStyle w:val="Hipercze"/>
          </w:rPr>
          <w:t>Analiza i ocena zgodności przyjętych ostatecznych wariantów działań z wymogami prawnymi i środowiskowymi</w:t>
        </w:r>
        <w:r w:rsidR="00B55B9B">
          <w:rPr>
            <w:webHidden/>
          </w:rPr>
          <w:tab/>
        </w:r>
        <w:r w:rsidR="00B55B9B">
          <w:rPr>
            <w:webHidden/>
          </w:rPr>
          <w:fldChar w:fldCharType="begin"/>
        </w:r>
        <w:r w:rsidR="00B55B9B">
          <w:rPr>
            <w:webHidden/>
          </w:rPr>
          <w:instrText xml:space="preserve"> PAGEREF _Toc80604869 \h </w:instrText>
        </w:r>
        <w:r w:rsidR="00B55B9B">
          <w:rPr>
            <w:webHidden/>
          </w:rPr>
        </w:r>
        <w:r w:rsidR="00B55B9B">
          <w:rPr>
            <w:webHidden/>
          </w:rPr>
          <w:fldChar w:fldCharType="separate"/>
        </w:r>
        <w:r w:rsidR="00FD3F9A">
          <w:rPr>
            <w:webHidden/>
          </w:rPr>
          <w:t>77</w:t>
        </w:r>
        <w:r w:rsidR="00B55B9B">
          <w:rPr>
            <w:webHidden/>
          </w:rPr>
          <w:fldChar w:fldCharType="end"/>
        </w:r>
      </w:hyperlink>
    </w:p>
    <w:p w14:paraId="13A73ECF" w14:textId="3D7B5670" w:rsidR="00B55B9B" w:rsidRDefault="004C4DA7">
      <w:pPr>
        <w:pStyle w:val="Spistreci2"/>
        <w:tabs>
          <w:tab w:val="left" w:pos="1815"/>
        </w:tabs>
        <w:rPr>
          <w:rFonts w:asciiTheme="minorHAnsi" w:eastAsiaTheme="minorEastAsia" w:hAnsiTheme="minorHAnsi" w:cstheme="minorBidi"/>
          <w:sz w:val="22"/>
          <w:szCs w:val="22"/>
          <w:lang w:eastAsia="pl-PL"/>
        </w:rPr>
      </w:pPr>
      <w:hyperlink w:anchor="_Toc80604870" w:history="1">
        <w:r w:rsidR="00B55B9B" w:rsidRPr="00E83258">
          <w:rPr>
            <w:rStyle w:val="Hipercze"/>
            <w:rFonts w:eastAsia="MS Gothic"/>
          </w:rPr>
          <w:t>6.3</w:t>
        </w:r>
        <w:r w:rsidR="00B55B9B">
          <w:rPr>
            <w:rFonts w:asciiTheme="minorHAnsi" w:eastAsiaTheme="minorEastAsia" w:hAnsiTheme="minorHAnsi" w:cstheme="minorBidi"/>
            <w:sz w:val="22"/>
            <w:szCs w:val="22"/>
            <w:lang w:eastAsia="pl-PL"/>
          </w:rPr>
          <w:tab/>
        </w:r>
        <w:r w:rsidR="00B55B9B" w:rsidRPr="00E83258">
          <w:rPr>
            <w:rStyle w:val="Hipercze"/>
          </w:rPr>
          <w:t>Możliwe konflikty społeczne związane z realizacją działań</w:t>
        </w:r>
        <w:r w:rsidR="00B55B9B">
          <w:rPr>
            <w:webHidden/>
          </w:rPr>
          <w:tab/>
        </w:r>
        <w:r w:rsidR="00B55B9B">
          <w:rPr>
            <w:webHidden/>
          </w:rPr>
          <w:fldChar w:fldCharType="begin"/>
        </w:r>
        <w:r w:rsidR="00B55B9B">
          <w:rPr>
            <w:webHidden/>
          </w:rPr>
          <w:instrText xml:space="preserve"> PAGEREF _Toc80604870 \h </w:instrText>
        </w:r>
        <w:r w:rsidR="00B55B9B">
          <w:rPr>
            <w:webHidden/>
          </w:rPr>
        </w:r>
        <w:r w:rsidR="00B55B9B">
          <w:rPr>
            <w:webHidden/>
          </w:rPr>
          <w:fldChar w:fldCharType="separate"/>
        </w:r>
        <w:r w:rsidR="00FD3F9A">
          <w:rPr>
            <w:webHidden/>
          </w:rPr>
          <w:t>109</w:t>
        </w:r>
        <w:r w:rsidR="00B55B9B">
          <w:rPr>
            <w:webHidden/>
          </w:rPr>
          <w:fldChar w:fldCharType="end"/>
        </w:r>
      </w:hyperlink>
    </w:p>
    <w:p w14:paraId="122141AD" w14:textId="5AE639F6" w:rsidR="00B55B9B" w:rsidRDefault="004C4DA7">
      <w:pPr>
        <w:pStyle w:val="Spistreci1"/>
        <w:rPr>
          <w:rFonts w:asciiTheme="minorHAnsi" w:eastAsiaTheme="minorEastAsia" w:hAnsiTheme="minorHAnsi" w:cstheme="minorBidi"/>
          <w:b w:val="0"/>
          <w:sz w:val="22"/>
          <w:szCs w:val="22"/>
          <w:lang w:eastAsia="pl-PL"/>
        </w:rPr>
      </w:pPr>
      <w:hyperlink w:anchor="_Toc80604871" w:history="1">
        <w:r w:rsidR="00B55B9B" w:rsidRPr="00E83258">
          <w:rPr>
            <w:rStyle w:val="Hipercze"/>
            <w:rFonts w:eastAsia="MS Gothic"/>
          </w:rPr>
          <w:t>7</w:t>
        </w:r>
        <w:r w:rsidR="00B55B9B">
          <w:rPr>
            <w:rFonts w:asciiTheme="minorHAnsi" w:eastAsiaTheme="minorEastAsia" w:hAnsiTheme="minorHAnsi" w:cstheme="minorBidi"/>
            <w:b w:val="0"/>
            <w:sz w:val="22"/>
            <w:szCs w:val="22"/>
            <w:lang w:eastAsia="pl-PL"/>
          </w:rPr>
          <w:tab/>
        </w:r>
        <w:r w:rsidR="00B55B9B" w:rsidRPr="00E83258">
          <w:rPr>
            <w:rStyle w:val="Hipercze"/>
          </w:rPr>
          <w:t>Aktualizacja katalogu działań przypisanych celom szczegółowym</w:t>
        </w:r>
        <w:r w:rsidR="00B55B9B">
          <w:rPr>
            <w:webHidden/>
          </w:rPr>
          <w:tab/>
        </w:r>
        <w:r w:rsidR="00B55B9B">
          <w:rPr>
            <w:webHidden/>
          </w:rPr>
          <w:fldChar w:fldCharType="begin"/>
        </w:r>
        <w:r w:rsidR="00B55B9B">
          <w:rPr>
            <w:webHidden/>
          </w:rPr>
          <w:instrText xml:space="preserve"> PAGEREF _Toc80604871 \h </w:instrText>
        </w:r>
        <w:r w:rsidR="00B55B9B">
          <w:rPr>
            <w:webHidden/>
          </w:rPr>
        </w:r>
        <w:r w:rsidR="00B55B9B">
          <w:rPr>
            <w:webHidden/>
          </w:rPr>
          <w:fldChar w:fldCharType="separate"/>
        </w:r>
        <w:r w:rsidR="00FD3F9A">
          <w:rPr>
            <w:webHidden/>
          </w:rPr>
          <w:t>115</w:t>
        </w:r>
        <w:r w:rsidR="00B55B9B">
          <w:rPr>
            <w:webHidden/>
          </w:rPr>
          <w:fldChar w:fldCharType="end"/>
        </w:r>
      </w:hyperlink>
    </w:p>
    <w:p w14:paraId="20E13F59" w14:textId="3D8483A3" w:rsidR="00B55B9B" w:rsidRDefault="004C4DA7">
      <w:pPr>
        <w:pStyle w:val="Spistreci1"/>
        <w:rPr>
          <w:rFonts w:asciiTheme="minorHAnsi" w:eastAsiaTheme="minorEastAsia" w:hAnsiTheme="minorHAnsi" w:cstheme="minorBidi"/>
          <w:b w:val="0"/>
          <w:sz w:val="22"/>
          <w:szCs w:val="22"/>
          <w:lang w:eastAsia="pl-PL"/>
        </w:rPr>
      </w:pPr>
      <w:hyperlink w:anchor="_Toc80604872" w:history="1">
        <w:r w:rsidR="00B55B9B" w:rsidRPr="00E83258">
          <w:rPr>
            <w:rStyle w:val="Hipercze"/>
            <w:rFonts w:eastAsia="MS Gothic"/>
          </w:rPr>
          <w:t>8</w:t>
        </w:r>
        <w:r w:rsidR="00B55B9B">
          <w:rPr>
            <w:rFonts w:asciiTheme="minorHAnsi" w:eastAsiaTheme="minorEastAsia" w:hAnsiTheme="minorHAnsi" w:cstheme="minorBidi"/>
            <w:b w:val="0"/>
            <w:sz w:val="22"/>
            <w:szCs w:val="22"/>
            <w:lang w:eastAsia="pl-PL"/>
          </w:rPr>
          <w:tab/>
        </w:r>
        <w:r w:rsidR="00B55B9B" w:rsidRPr="00E83258">
          <w:rPr>
            <w:rStyle w:val="Hipercze"/>
          </w:rPr>
          <w:t>Opis sposobu przypisania priorytetów działaniom służącym osiągnięciu celów zarządzania ryzykiem powodziowym</w:t>
        </w:r>
        <w:r w:rsidR="00B55B9B">
          <w:rPr>
            <w:webHidden/>
          </w:rPr>
          <w:tab/>
        </w:r>
        <w:r w:rsidR="00B55B9B">
          <w:rPr>
            <w:webHidden/>
          </w:rPr>
          <w:fldChar w:fldCharType="begin"/>
        </w:r>
        <w:r w:rsidR="00B55B9B">
          <w:rPr>
            <w:webHidden/>
          </w:rPr>
          <w:instrText xml:space="preserve"> PAGEREF _Toc80604872 \h </w:instrText>
        </w:r>
        <w:r w:rsidR="00B55B9B">
          <w:rPr>
            <w:webHidden/>
          </w:rPr>
        </w:r>
        <w:r w:rsidR="00B55B9B">
          <w:rPr>
            <w:webHidden/>
          </w:rPr>
          <w:fldChar w:fldCharType="separate"/>
        </w:r>
        <w:r w:rsidR="00FD3F9A">
          <w:rPr>
            <w:webHidden/>
          </w:rPr>
          <w:t>116</w:t>
        </w:r>
        <w:r w:rsidR="00B55B9B">
          <w:rPr>
            <w:webHidden/>
          </w:rPr>
          <w:fldChar w:fldCharType="end"/>
        </w:r>
      </w:hyperlink>
    </w:p>
    <w:p w14:paraId="7C480754" w14:textId="60BFDB6B" w:rsidR="00B55B9B" w:rsidRDefault="004C4DA7">
      <w:pPr>
        <w:pStyle w:val="Spistreci1"/>
        <w:rPr>
          <w:rFonts w:asciiTheme="minorHAnsi" w:eastAsiaTheme="minorEastAsia" w:hAnsiTheme="minorHAnsi" w:cstheme="minorBidi"/>
          <w:b w:val="0"/>
          <w:sz w:val="22"/>
          <w:szCs w:val="22"/>
          <w:lang w:eastAsia="pl-PL"/>
        </w:rPr>
      </w:pPr>
      <w:hyperlink w:anchor="_Toc80604873" w:history="1">
        <w:r w:rsidR="00B55B9B" w:rsidRPr="00E83258">
          <w:rPr>
            <w:rStyle w:val="Hipercze"/>
            <w:rFonts w:eastAsia="MS Gothic"/>
          </w:rPr>
          <w:t>9</w:t>
        </w:r>
        <w:r w:rsidR="00B55B9B">
          <w:rPr>
            <w:rFonts w:asciiTheme="minorHAnsi" w:eastAsiaTheme="minorEastAsia" w:hAnsiTheme="minorHAnsi" w:cstheme="minorBidi"/>
            <w:b w:val="0"/>
            <w:sz w:val="22"/>
            <w:szCs w:val="22"/>
            <w:lang w:eastAsia="pl-PL"/>
          </w:rPr>
          <w:tab/>
        </w:r>
        <w:r w:rsidR="00B55B9B" w:rsidRPr="00E83258">
          <w:rPr>
            <w:rStyle w:val="Hipercze"/>
          </w:rPr>
          <w:t>Podsumowanie działań prowadzonych podczas prac nad aPZRPM</w:t>
        </w:r>
        <w:r w:rsidR="00B55B9B">
          <w:rPr>
            <w:webHidden/>
          </w:rPr>
          <w:tab/>
        </w:r>
        <w:r w:rsidR="00B55B9B">
          <w:rPr>
            <w:webHidden/>
          </w:rPr>
          <w:fldChar w:fldCharType="begin"/>
        </w:r>
        <w:r w:rsidR="00B55B9B">
          <w:rPr>
            <w:webHidden/>
          </w:rPr>
          <w:instrText xml:space="preserve"> PAGEREF _Toc80604873 \h </w:instrText>
        </w:r>
        <w:r w:rsidR="00B55B9B">
          <w:rPr>
            <w:webHidden/>
          </w:rPr>
        </w:r>
        <w:r w:rsidR="00B55B9B">
          <w:rPr>
            <w:webHidden/>
          </w:rPr>
          <w:fldChar w:fldCharType="separate"/>
        </w:r>
        <w:r w:rsidR="00FD3F9A">
          <w:rPr>
            <w:webHidden/>
          </w:rPr>
          <w:t>118</w:t>
        </w:r>
        <w:r w:rsidR="00B55B9B">
          <w:rPr>
            <w:webHidden/>
          </w:rPr>
          <w:fldChar w:fldCharType="end"/>
        </w:r>
      </w:hyperlink>
    </w:p>
    <w:p w14:paraId="724E2516" w14:textId="40083355" w:rsidR="00B55B9B" w:rsidRDefault="004C4DA7">
      <w:pPr>
        <w:pStyle w:val="Spistreci2"/>
        <w:tabs>
          <w:tab w:val="left" w:pos="1815"/>
        </w:tabs>
        <w:rPr>
          <w:rFonts w:asciiTheme="minorHAnsi" w:eastAsiaTheme="minorEastAsia" w:hAnsiTheme="minorHAnsi" w:cstheme="minorBidi"/>
          <w:sz w:val="22"/>
          <w:szCs w:val="22"/>
          <w:lang w:eastAsia="pl-PL"/>
        </w:rPr>
      </w:pPr>
      <w:hyperlink w:anchor="_Toc80604874" w:history="1">
        <w:r w:rsidR="00B55B9B" w:rsidRPr="00E83258">
          <w:rPr>
            <w:rStyle w:val="Hipercze"/>
            <w:rFonts w:eastAsia="MS Gothic"/>
          </w:rPr>
          <w:t>9.1</w:t>
        </w:r>
        <w:r w:rsidR="00B55B9B">
          <w:rPr>
            <w:rFonts w:asciiTheme="minorHAnsi" w:eastAsiaTheme="minorEastAsia" w:hAnsiTheme="minorHAnsi" w:cstheme="minorBidi"/>
            <w:sz w:val="22"/>
            <w:szCs w:val="22"/>
            <w:lang w:eastAsia="pl-PL"/>
          </w:rPr>
          <w:tab/>
        </w:r>
        <w:r w:rsidR="00B55B9B" w:rsidRPr="00E83258">
          <w:rPr>
            <w:rStyle w:val="Hipercze"/>
          </w:rPr>
          <w:t>Podsumowanie przeglądu i aktualizacji MZP i MRP</w:t>
        </w:r>
        <w:r w:rsidR="00B55B9B">
          <w:rPr>
            <w:webHidden/>
          </w:rPr>
          <w:tab/>
        </w:r>
        <w:r w:rsidR="00B55B9B">
          <w:rPr>
            <w:webHidden/>
          </w:rPr>
          <w:fldChar w:fldCharType="begin"/>
        </w:r>
        <w:r w:rsidR="00B55B9B">
          <w:rPr>
            <w:webHidden/>
          </w:rPr>
          <w:instrText xml:space="preserve"> PAGEREF _Toc80604874 \h </w:instrText>
        </w:r>
        <w:r w:rsidR="00B55B9B">
          <w:rPr>
            <w:webHidden/>
          </w:rPr>
        </w:r>
        <w:r w:rsidR="00B55B9B">
          <w:rPr>
            <w:webHidden/>
          </w:rPr>
          <w:fldChar w:fldCharType="separate"/>
        </w:r>
        <w:r w:rsidR="00FD3F9A">
          <w:rPr>
            <w:webHidden/>
          </w:rPr>
          <w:t>118</w:t>
        </w:r>
        <w:r w:rsidR="00B55B9B">
          <w:rPr>
            <w:webHidden/>
          </w:rPr>
          <w:fldChar w:fldCharType="end"/>
        </w:r>
      </w:hyperlink>
    </w:p>
    <w:p w14:paraId="3AF1BBB2" w14:textId="1DDAEF88" w:rsidR="00B55B9B" w:rsidRDefault="004C4DA7">
      <w:pPr>
        <w:pStyle w:val="Spistreci1"/>
        <w:rPr>
          <w:rFonts w:asciiTheme="minorHAnsi" w:eastAsiaTheme="minorEastAsia" w:hAnsiTheme="minorHAnsi" w:cstheme="minorBidi"/>
          <w:b w:val="0"/>
          <w:sz w:val="22"/>
          <w:szCs w:val="22"/>
          <w:lang w:eastAsia="pl-PL"/>
        </w:rPr>
      </w:pPr>
      <w:hyperlink w:anchor="_Toc80604875" w:history="1">
        <w:r w:rsidR="00B55B9B" w:rsidRPr="00E83258">
          <w:rPr>
            <w:rStyle w:val="Hipercze"/>
            <w:rFonts w:eastAsia="MS Gothic"/>
          </w:rPr>
          <w:t>10</w:t>
        </w:r>
        <w:r w:rsidR="00B55B9B">
          <w:rPr>
            <w:rFonts w:asciiTheme="minorHAnsi" w:eastAsiaTheme="minorEastAsia" w:hAnsiTheme="minorHAnsi" w:cstheme="minorBidi"/>
            <w:b w:val="0"/>
            <w:sz w:val="22"/>
            <w:szCs w:val="22"/>
            <w:lang w:eastAsia="pl-PL"/>
          </w:rPr>
          <w:tab/>
        </w:r>
        <w:r w:rsidR="00B55B9B" w:rsidRPr="00E83258">
          <w:rPr>
            <w:rStyle w:val="Hipercze"/>
          </w:rPr>
          <w:t>Podsumowanie działań służących ustaleniu celów i działań w aPZRPM</w:t>
        </w:r>
        <w:r w:rsidR="00B55B9B">
          <w:rPr>
            <w:webHidden/>
          </w:rPr>
          <w:tab/>
        </w:r>
        <w:r w:rsidR="00B55B9B">
          <w:rPr>
            <w:webHidden/>
          </w:rPr>
          <w:fldChar w:fldCharType="begin"/>
        </w:r>
        <w:r w:rsidR="00B55B9B">
          <w:rPr>
            <w:webHidden/>
          </w:rPr>
          <w:instrText xml:space="preserve"> PAGEREF _Toc80604875 \h </w:instrText>
        </w:r>
        <w:r w:rsidR="00B55B9B">
          <w:rPr>
            <w:webHidden/>
          </w:rPr>
        </w:r>
        <w:r w:rsidR="00B55B9B">
          <w:rPr>
            <w:webHidden/>
          </w:rPr>
          <w:fldChar w:fldCharType="separate"/>
        </w:r>
        <w:r w:rsidR="00FD3F9A">
          <w:rPr>
            <w:webHidden/>
          </w:rPr>
          <w:t>121</w:t>
        </w:r>
        <w:r w:rsidR="00B55B9B">
          <w:rPr>
            <w:webHidden/>
          </w:rPr>
          <w:fldChar w:fldCharType="end"/>
        </w:r>
      </w:hyperlink>
    </w:p>
    <w:p w14:paraId="66BA7B7F" w14:textId="44E52ADE" w:rsidR="00B55B9B" w:rsidRDefault="004C4DA7">
      <w:pPr>
        <w:pStyle w:val="Spistreci2"/>
        <w:tabs>
          <w:tab w:val="left" w:pos="1815"/>
        </w:tabs>
        <w:rPr>
          <w:rFonts w:asciiTheme="minorHAnsi" w:eastAsiaTheme="minorEastAsia" w:hAnsiTheme="minorHAnsi" w:cstheme="minorBidi"/>
          <w:sz w:val="22"/>
          <w:szCs w:val="22"/>
          <w:lang w:eastAsia="pl-PL"/>
        </w:rPr>
      </w:pPr>
      <w:hyperlink w:anchor="_Toc80604876" w:history="1">
        <w:r w:rsidR="00B55B9B" w:rsidRPr="00E83258">
          <w:rPr>
            <w:rStyle w:val="Hipercze"/>
            <w:rFonts w:eastAsia="MS Gothic"/>
          </w:rPr>
          <w:t>10.1</w:t>
        </w:r>
        <w:r w:rsidR="00B55B9B">
          <w:rPr>
            <w:rFonts w:asciiTheme="minorHAnsi" w:eastAsiaTheme="minorEastAsia" w:hAnsiTheme="minorHAnsi" w:cstheme="minorBidi"/>
            <w:sz w:val="22"/>
            <w:szCs w:val="22"/>
            <w:lang w:eastAsia="pl-PL"/>
          </w:rPr>
          <w:tab/>
        </w:r>
        <w:r w:rsidR="00B55B9B" w:rsidRPr="00E83258">
          <w:rPr>
            <w:rStyle w:val="Hipercze"/>
          </w:rPr>
          <w:t>Ankietyzacja</w:t>
        </w:r>
        <w:r w:rsidR="00B55B9B">
          <w:rPr>
            <w:webHidden/>
          </w:rPr>
          <w:tab/>
        </w:r>
        <w:r w:rsidR="00B55B9B">
          <w:rPr>
            <w:webHidden/>
          </w:rPr>
          <w:fldChar w:fldCharType="begin"/>
        </w:r>
        <w:r w:rsidR="00B55B9B">
          <w:rPr>
            <w:webHidden/>
          </w:rPr>
          <w:instrText xml:space="preserve"> PAGEREF _Toc80604876 \h </w:instrText>
        </w:r>
        <w:r w:rsidR="00B55B9B">
          <w:rPr>
            <w:webHidden/>
          </w:rPr>
        </w:r>
        <w:r w:rsidR="00B55B9B">
          <w:rPr>
            <w:webHidden/>
          </w:rPr>
          <w:fldChar w:fldCharType="separate"/>
        </w:r>
        <w:r w:rsidR="00FD3F9A">
          <w:rPr>
            <w:webHidden/>
          </w:rPr>
          <w:t>121</w:t>
        </w:r>
        <w:r w:rsidR="00B55B9B">
          <w:rPr>
            <w:webHidden/>
          </w:rPr>
          <w:fldChar w:fldCharType="end"/>
        </w:r>
      </w:hyperlink>
    </w:p>
    <w:p w14:paraId="1B209D31" w14:textId="6FFCBBD3" w:rsidR="00B55B9B" w:rsidRDefault="004C4DA7">
      <w:pPr>
        <w:pStyle w:val="Spistreci2"/>
        <w:tabs>
          <w:tab w:val="left" w:pos="1815"/>
        </w:tabs>
        <w:rPr>
          <w:rFonts w:asciiTheme="minorHAnsi" w:eastAsiaTheme="minorEastAsia" w:hAnsiTheme="minorHAnsi" w:cstheme="minorBidi"/>
          <w:sz w:val="22"/>
          <w:szCs w:val="22"/>
          <w:lang w:eastAsia="pl-PL"/>
        </w:rPr>
      </w:pPr>
      <w:hyperlink w:anchor="_Toc80604877" w:history="1">
        <w:r w:rsidR="00B55B9B" w:rsidRPr="00E83258">
          <w:rPr>
            <w:rStyle w:val="Hipercze"/>
            <w:rFonts w:eastAsia="MS Gothic"/>
          </w:rPr>
          <w:t>10.2</w:t>
        </w:r>
        <w:r w:rsidR="00B55B9B">
          <w:rPr>
            <w:rFonts w:asciiTheme="minorHAnsi" w:eastAsiaTheme="minorEastAsia" w:hAnsiTheme="minorHAnsi" w:cstheme="minorBidi"/>
            <w:sz w:val="22"/>
            <w:szCs w:val="22"/>
            <w:lang w:eastAsia="pl-PL"/>
          </w:rPr>
          <w:tab/>
        </w:r>
        <w:r w:rsidR="00B55B9B" w:rsidRPr="00E83258">
          <w:rPr>
            <w:rStyle w:val="Hipercze"/>
          </w:rPr>
          <w:t>Spotkania warsztatowe</w:t>
        </w:r>
        <w:r w:rsidR="00B55B9B">
          <w:rPr>
            <w:webHidden/>
          </w:rPr>
          <w:tab/>
        </w:r>
        <w:r w:rsidR="00B55B9B">
          <w:rPr>
            <w:webHidden/>
          </w:rPr>
          <w:fldChar w:fldCharType="begin"/>
        </w:r>
        <w:r w:rsidR="00B55B9B">
          <w:rPr>
            <w:webHidden/>
          </w:rPr>
          <w:instrText xml:space="preserve"> PAGEREF _Toc80604877 \h </w:instrText>
        </w:r>
        <w:r w:rsidR="00B55B9B">
          <w:rPr>
            <w:webHidden/>
          </w:rPr>
        </w:r>
        <w:r w:rsidR="00B55B9B">
          <w:rPr>
            <w:webHidden/>
          </w:rPr>
          <w:fldChar w:fldCharType="separate"/>
        </w:r>
        <w:r w:rsidR="00FD3F9A">
          <w:rPr>
            <w:webHidden/>
          </w:rPr>
          <w:t>123</w:t>
        </w:r>
        <w:r w:rsidR="00B55B9B">
          <w:rPr>
            <w:webHidden/>
          </w:rPr>
          <w:fldChar w:fldCharType="end"/>
        </w:r>
      </w:hyperlink>
    </w:p>
    <w:p w14:paraId="4D3B2369" w14:textId="1DEE0F01" w:rsidR="00B55B9B" w:rsidRDefault="004C4DA7">
      <w:pPr>
        <w:pStyle w:val="Spistreci2"/>
        <w:tabs>
          <w:tab w:val="left" w:pos="1815"/>
        </w:tabs>
        <w:rPr>
          <w:rFonts w:asciiTheme="minorHAnsi" w:eastAsiaTheme="minorEastAsia" w:hAnsiTheme="minorHAnsi" w:cstheme="minorBidi"/>
          <w:sz w:val="22"/>
          <w:szCs w:val="22"/>
          <w:lang w:eastAsia="pl-PL"/>
        </w:rPr>
      </w:pPr>
      <w:hyperlink w:anchor="_Toc80604878" w:history="1">
        <w:r w:rsidR="00B55B9B" w:rsidRPr="00E83258">
          <w:rPr>
            <w:rStyle w:val="Hipercze"/>
            <w:rFonts w:eastAsia="MS Gothic"/>
          </w:rPr>
          <w:t>10.3</w:t>
        </w:r>
        <w:r w:rsidR="00B55B9B">
          <w:rPr>
            <w:rFonts w:asciiTheme="minorHAnsi" w:eastAsiaTheme="minorEastAsia" w:hAnsiTheme="minorHAnsi" w:cstheme="minorBidi"/>
            <w:sz w:val="22"/>
            <w:szCs w:val="22"/>
            <w:lang w:eastAsia="pl-PL"/>
          </w:rPr>
          <w:tab/>
        </w:r>
        <w:r w:rsidR="00B55B9B" w:rsidRPr="00E83258">
          <w:rPr>
            <w:rStyle w:val="Hipercze"/>
          </w:rPr>
          <w:t>Ocena postępów w realizacji celów zarządzania ryzykiem powodziowym</w:t>
        </w:r>
        <w:r w:rsidR="00B55B9B">
          <w:rPr>
            <w:webHidden/>
          </w:rPr>
          <w:tab/>
        </w:r>
        <w:r w:rsidR="00B55B9B">
          <w:rPr>
            <w:webHidden/>
          </w:rPr>
          <w:fldChar w:fldCharType="begin"/>
        </w:r>
        <w:r w:rsidR="00B55B9B">
          <w:rPr>
            <w:webHidden/>
          </w:rPr>
          <w:instrText xml:space="preserve"> PAGEREF _Toc80604878 \h </w:instrText>
        </w:r>
        <w:r w:rsidR="00B55B9B">
          <w:rPr>
            <w:webHidden/>
          </w:rPr>
        </w:r>
        <w:r w:rsidR="00B55B9B">
          <w:rPr>
            <w:webHidden/>
          </w:rPr>
          <w:fldChar w:fldCharType="separate"/>
        </w:r>
        <w:r w:rsidR="00FD3F9A">
          <w:rPr>
            <w:webHidden/>
          </w:rPr>
          <w:t>123</w:t>
        </w:r>
        <w:r w:rsidR="00B55B9B">
          <w:rPr>
            <w:webHidden/>
          </w:rPr>
          <w:fldChar w:fldCharType="end"/>
        </w:r>
      </w:hyperlink>
    </w:p>
    <w:p w14:paraId="70CA5F57" w14:textId="4AA5B349" w:rsidR="00B55B9B" w:rsidRDefault="004C4DA7">
      <w:pPr>
        <w:pStyle w:val="Spistreci1"/>
        <w:rPr>
          <w:rFonts w:asciiTheme="minorHAnsi" w:eastAsiaTheme="minorEastAsia" w:hAnsiTheme="minorHAnsi" w:cstheme="minorBidi"/>
          <w:b w:val="0"/>
          <w:sz w:val="22"/>
          <w:szCs w:val="22"/>
          <w:lang w:eastAsia="pl-PL"/>
        </w:rPr>
      </w:pPr>
      <w:hyperlink w:anchor="_Toc80604879" w:history="1">
        <w:r w:rsidR="00B55B9B" w:rsidRPr="00E83258">
          <w:rPr>
            <w:rStyle w:val="Hipercze"/>
            <w:rFonts w:eastAsia="MS Gothic"/>
          </w:rPr>
          <w:t>11</w:t>
        </w:r>
        <w:r w:rsidR="00B55B9B">
          <w:rPr>
            <w:rFonts w:asciiTheme="minorHAnsi" w:eastAsiaTheme="minorEastAsia" w:hAnsiTheme="minorHAnsi" w:cstheme="minorBidi"/>
            <w:b w:val="0"/>
            <w:sz w:val="22"/>
            <w:szCs w:val="22"/>
            <w:lang w:eastAsia="pl-PL"/>
          </w:rPr>
          <w:tab/>
        </w:r>
        <w:r w:rsidR="00B55B9B" w:rsidRPr="00E83258">
          <w:rPr>
            <w:rStyle w:val="Hipercze"/>
          </w:rPr>
          <w:t>Podsumowanie działań służących informowaniu społeczeństwa i prowadzeniu konsultacji społecznych</w:t>
        </w:r>
        <w:r w:rsidR="00B55B9B">
          <w:rPr>
            <w:webHidden/>
          </w:rPr>
          <w:tab/>
        </w:r>
        <w:r w:rsidR="00B55B9B">
          <w:rPr>
            <w:webHidden/>
          </w:rPr>
          <w:fldChar w:fldCharType="begin"/>
        </w:r>
        <w:r w:rsidR="00B55B9B">
          <w:rPr>
            <w:webHidden/>
          </w:rPr>
          <w:instrText xml:space="preserve"> PAGEREF _Toc80604879 \h </w:instrText>
        </w:r>
        <w:r w:rsidR="00B55B9B">
          <w:rPr>
            <w:webHidden/>
          </w:rPr>
        </w:r>
        <w:r w:rsidR="00B55B9B">
          <w:rPr>
            <w:webHidden/>
          </w:rPr>
          <w:fldChar w:fldCharType="separate"/>
        </w:r>
        <w:r w:rsidR="00FD3F9A">
          <w:rPr>
            <w:webHidden/>
          </w:rPr>
          <w:t>127</w:t>
        </w:r>
        <w:r w:rsidR="00B55B9B">
          <w:rPr>
            <w:webHidden/>
          </w:rPr>
          <w:fldChar w:fldCharType="end"/>
        </w:r>
      </w:hyperlink>
    </w:p>
    <w:p w14:paraId="1EB87189" w14:textId="76D680CB" w:rsidR="00B55B9B" w:rsidRDefault="004C4DA7">
      <w:pPr>
        <w:pStyle w:val="Spistreci2"/>
        <w:tabs>
          <w:tab w:val="left" w:pos="1815"/>
        </w:tabs>
        <w:rPr>
          <w:rFonts w:asciiTheme="minorHAnsi" w:eastAsiaTheme="minorEastAsia" w:hAnsiTheme="minorHAnsi" w:cstheme="minorBidi"/>
          <w:sz w:val="22"/>
          <w:szCs w:val="22"/>
          <w:lang w:eastAsia="pl-PL"/>
        </w:rPr>
      </w:pPr>
      <w:hyperlink w:anchor="_Toc80604880" w:history="1">
        <w:r w:rsidR="00B55B9B" w:rsidRPr="00E83258">
          <w:rPr>
            <w:rStyle w:val="Hipercze"/>
            <w:rFonts w:eastAsia="MS Gothic"/>
          </w:rPr>
          <w:t>11.1</w:t>
        </w:r>
        <w:r w:rsidR="00B55B9B">
          <w:rPr>
            <w:rFonts w:asciiTheme="minorHAnsi" w:eastAsiaTheme="minorEastAsia" w:hAnsiTheme="minorHAnsi" w:cstheme="minorBidi"/>
            <w:sz w:val="22"/>
            <w:szCs w:val="22"/>
            <w:lang w:eastAsia="pl-PL"/>
          </w:rPr>
          <w:tab/>
        </w:r>
        <w:r w:rsidR="00B55B9B" w:rsidRPr="00E83258">
          <w:rPr>
            <w:rStyle w:val="Hipercze"/>
          </w:rPr>
          <w:t>Udział społeczeństwa w opracowaniu planów zarządzania ryzykiem powodziowym</w:t>
        </w:r>
        <w:r w:rsidR="00B55B9B">
          <w:rPr>
            <w:webHidden/>
          </w:rPr>
          <w:tab/>
        </w:r>
        <w:r w:rsidR="00B55B9B">
          <w:rPr>
            <w:webHidden/>
          </w:rPr>
          <w:fldChar w:fldCharType="begin"/>
        </w:r>
        <w:r w:rsidR="00B55B9B">
          <w:rPr>
            <w:webHidden/>
          </w:rPr>
          <w:instrText xml:space="preserve"> PAGEREF _Toc80604880 \h </w:instrText>
        </w:r>
        <w:r w:rsidR="00B55B9B">
          <w:rPr>
            <w:webHidden/>
          </w:rPr>
        </w:r>
        <w:r w:rsidR="00B55B9B">
          <w:rPr>
            <w:webHidden/>
          </w:rPr>
          <w:fldChar w:fldCharType="separate"/>
        </w:r>
        <w:r w:rsidR="00FD3F9A">
          <w:rPr>
            <w:webHidden/>
          </w:rPr>
          <w:t>127</w:t>
        </w:r>
        <w:r w:rsidR="00B55B9B">
          <w:rPr>
            <w:webHidden/>
          </w:rPr>
          <w:fldChar w:fldCharType="end"/>
        </w:r>
      </w:hyperlink>
    </w:p>
    <w:p w14:paraId="24E86206" w14:textId="13EC5BD2" w:rsidR="00B55B9B" w:rsidRDefault="004C4DA7">
      <w:pPr>
        <w:pStyle w:val="Spistreci2"/>
        <w:tabs>
          <w:tab w:val="left" w:pos="1815"/>
        </w:tabs>
        <w:rPr>
          <w:rFonts w:asciiTheme="minorHAnsi" w:eastAsiaTheme="minorEastAsia" w:hAnsiTheme="minorHAnsi" w:cstheme="minorBidi"/>
          <w:sz w:val="22"/>
          <w:szCs w:val="22"/>
          <w:lang w:eastAsia="pl-PL"/>
        </w:rPr>
      </w:pPr>
      <w:hyperlink w:anchor="_Toc80604881" w:history="1">
        <w:r w:rsidR="00B55B9B" w:rsidRPr="00E83258">
          <w:rPr>
            <w:rStyle w:val="Hipercze"/>
            <w:rFonts w:eastAsia="MS Gothic"/>
          </w:rPr>
          <w:t>11.2</w:t>
        </w:r>
        <w:r w:rsidR="00B55B9B">
          <w:rPr>
            <w:rFonts w:asciiTheme="minorHAnsi" w:eastAsiaTheme="minorEastAsia" w:hAnsiTheme="minorHAnsi" w:cstheme="minorBidi"/>
            <w:sz w:val="22"/>
            <w:szCs w:val="22"/>
            <w:lang w:eastAsia="pl-PL"/>
          </w:rPr>
          <w:tab/>
        </w:r>
        <w:r w:rsidR="00B55B9B" w:rsidRPr="00E83258">
          <w:rPr>
            <w:rStyle w:val="Hipercze"/>
          </w:rPr>
          <w:t>Cele strategiczne konsultacji społecznych i działań informacyjno – promocyjnych</w:t>
        </w:r>
        <w:r w:rsidR="00B55B9B">
          <w:rPr>
            <w:webHidden/>
          </w:rPr>
          <w:tab/>
        </w:r>
        <w:r w:rsidR="00B55B9B">
          <w:rPr>
            <w:webHidden/>
          </w:rPr>
          <w:fldChar w:fldCharType="begin"/>
        </w:r>
        <w:r w:rsidR="00B55B9B">
          <w:rPr>
            <w:webHidden/>
          </w:rPr>
          <w:instrText xml:space="preserve"> PAGEREF _Toc80604881 \h </w:instrText>
        </w:r>
        <w:r w:rsidR="00B55B9B">
          <w:rPr>
            <w:webHidden/>
          </w:rPr>
        </w:r>
        <w:r w:rsidR="00B55B9B">
          <w:rPr>
            <w:webHidden/>
          </w:rPr>
          <w:fldChar w:fldCharType="separate"/>
        </w:r>
        <w:r w:rsidR="00FD3F9A">
          <w:rPr>
            <w:webHidden/>
          </w:rPr>
          <w:t>127</w:t>
        </w:r>
        <w:r w:rsidR="00B55B9B">
          <w:rPr>
            <w:webHidden/>
          </w:rPr>
          <w:fldChar w:fldCharType="end"/>
        </w:r>
      </w:hyperlink>
    </w:p>
    <w:p w14:paraId="02053E13" w14:textId="14653FD5" w:rsidR="00B55B9B" w:rsidRDefault="004C4DA7">
      <w:pPr>
        <w:pStyle w:val="Spistreci2"/>
        <w:tabs>
          <w:tab w:val="left" w:pos="1815"/>
        </w:tabs>
        <w:rPr>
          <w:rFonts w:asciiTheme="minorHAnsi" w:eastAsiaTheme="minorEastAsia" w:hAnsiTheme="minorHAnsi" w:cstheme="minorBidi"/>
          <w:sz w:val="22"/>
          <w:szCs w:val="22"/>
          <w:lang w:eastAsia="pl-PL"/>
        </w:rPr>
      </w:pPr>
      <w:hyperlink w:anchor="_Toc80604882" w:history="1">
        <w:r w:rsidR="00B55B9B" w:rsidRPr="00E83258">
          <w:rPr>
            <w:rStyle w:val="Hipercze"/>
            <w:rFonts w:eastAsia="MS Gothic"/>
          </w:rPr>
          <w:t>11.3</w:t>
        </w:r>
        <w:r w:rsidR="00B55B9B">
          <w:rPr>
            <w:rFonts w:asciiTheme="minorHAnsi" w:eastAsiaTheme="minorEastAsia" w:hAnsiTheme="minorHAnsi" w:cstheme="minorBidi"/>
            <w:sz w:val="22"/>
            <w:szCs w:val="22"/>
            <w:lang w:eastAsia="pl-PL"/>
          </w:rPr>
          <w:tab/>
        </w:r>
        <w:r w:rsidR="00B55B9B" w:rsidRPr="00E83258">
          <w:rPr>
            <w:rStyle w:val="Hipercze"/>
          </w:rPr>
          <w:t>Grupy docelowe</w:t>
        </w:r>
        <w:r w:rsidR="00B55B9B">
          <w:rPr>
            <w:webHidden/>
          </w:rPr>
          <w:tab/>
        </w:r>
        <w:r w:rsidR="00B55B9B">
          <w:rPr>
            <w:webHidden/>
          </w:rPr>
          <w:fldChar w:fldCharType="begin"/>
        </w:r>
        <w:r w:rsidR="00B55B9B">
          <w:rPr>
            <w:webHidden/>
          </w:rPr>
          <w:instrText xml:space="preserve"> PAGEREF _Toc80604882 \h </w:instrText>
        </w:r>
        <w:r w:rsidR="00B55B9B">
          <w:rPr>
            <w:webHidden/>
          </w:rPr>
        </w:r>
        <w:r w:rsidR="00B55B9B">
          <w:rPr>
            <w:webHidden/>
          </w:rPr>
          <w:fldChar w:fldCharType="separate"/>
        </w:r>
        <w:r w:rsidR="00FD3F9A">
          <w:rPr>
            <w:webHidden/>
          </w:rPr>
          <w:t>128</w:t>
        </w:r>
        <w:r w:rsidR="00B55B9B">
          <w:rPr>
            <w:webHidden/>
          </w:rPr>
          <w:fldChar w:fldCharType="end"/>
        </w:r>
      </w:hyperlink>
    </w:p>
    <w:p w14:paraId="1E2B13BB" w14:textId="5D26483F" w:rsidR="00B55B9B" w:rsidRDefault="004C4DA7">
      <w:pPr>
        <w:pStyle w:val="Spistreci1"/>
        <w:rPr>
          <w:rFonts w:asciiTheme="minorHAnsi" w:eastAsiaTheme="minorEastAsia" w:hAnsiTheme="minorHAnsi" w:cstheme="minorBidi"/>
          <w:b w:val="0"/>
          <w:sz w:val="22"/>
          <w:szCs w:val="22"/>
          <w:lang w:eastAsia="pl-PL"/>
        </w:rPr>
      </w:pPr>
      <w:hyperlink w:anchor="_Toc80604883" w:history="1">
        <w:r w:rsidR="00B55B9B" w:rsidRPr="00E83258">
          <w:rPr>
            <w:rStyle w:val="Hipercze"/>
            <w:rFonts w:eastAsia="MS Gothic"/>
          </w:rPr>
          <w:t>12</w:t>
        </w:r>
        <w:r w:rsidR="00B55B9B">
          <w:rPr>
            <w:rFonts w:asciiTheme="minorHAnsi" w:eastAsiaTheme="minorEastAsia" w:hAnsiTheme="minorHAnsi" w:cstheme="minorBidi"/>
            <w:b w:val="0"/>
            <w:sz w:val="22"/>
            <w:szCs w:val="22"/>
            <w:lang w:eastAsia="pl-PL"/>
          </w:rPr>
          <w:tab/>
        </w:r>
        <w:r w:rsidR="00B55B9B" w:rsidRPr="00E83258">
          <w:rPr>
            <w:rStyle w:val="Hipercze"/>
          </w:rPr>
          <w:t>Wykaz organów właściwych w sprawach zarządzania ryzykiem powodziowym</w:t>
        </w:r>
        <w:r w:rsidR="00B55B9B">
          <w:rPr>
            <w:webHidden/>
          </w:rPr>
          <w:tab/>
        </w:r>
        <w:r w:rsidR="00B55B9B">
          <w:rPr>
            <w:webHidden/>
          </w:rPr>
          <w:fldChar w:fldCharType="begin"/>
        </w:r>
        <w:r w:rsidR="00B55B9B">
          <w:rPr>
            <w:webHidden/>
          </w:rPr>
          <w:instrText xml:space="preserve"> PAGEREF _Toc80604883 \h </w:instrText>
        </w:r>
        <w:r w:rsidR="00B55B9B">
          <w:rPr>
            <w:webHidden/>
          </w:rPr>
        </w:r>
        <w:r w:rsidR="00B55B9B">
          <w:rPr>
            <w:webHidden/>
          </w:rPr>
          <w:fldChar w:fldCharType="separate"/>
        </w:r>
        <w:r w:rsidR="00FD3F9A">
          <w:rPr>
            <w:webHidden/>
          </w:rPr>
          <w:t>129</w:t>
        </w:r>
        <w:r w:rsidR="00B55B9B">
          <w:rPr>
            <w:webHidden/>
          </w:rPr>
          <w:fldChar w:fldCharType="end"/>
        </w:r>
      </w:hyperlink>
    </w:p>
    <w:p w14:paraId="75A0A295" w14:textId="632E704E" w:rsidR="00B55B9B" w:rsidRDefault="004C4DA7">
      <w:pPr>
        <w:pStyle w:val="Spistreci1"/>
        <w:rPr>
          <w:rFonts w:asciiTheme="minorHAnsi" w:eastAsiaTheme="minorEastAsia" w:hAnsiTheme="minorHAnsi" w:cstheme="minorBidi"/>
          <w:b w:val="0"/>
          <w:sz w:val="22"/>
          <w:szCs w:val="22"/>
          <w:lang w:eastAsia="pl-PL"/>
        </w:rPr>
      </w:pPr>
      <w:hyperlink w:anchor="_Toc80604884" w:history="1">
        <w:r w:rsidR="00B55B9B" w:rsidRPr="00E83258">
          <w:rPr>
            <w:rStyle w:val="Hipercze"/>
            <w:rFonts w:eastAsia="MS Gothic"/>
          </w:rPr>
          <w:t>13</w:t>
        </w:r>
        <w:r w:rsidR="00B55B9B">
          <w:rPr>
            <w:rFonts w:asciiTheme="minorHAnsi" w:eastAsiaTheme="minorEastAsia" w:hAnsiTheme="minorHAnsi" w:cstheme="minorBidi"/>
            <w:b w:val="0"/>
            <w:sz w:val="22"/>
            <w:szCs w:val="22"/>
            <w:lang w:eastAsia="pl-PL"/>
          </w:rPr>
          <w:tab/>
        </w:r>
        <w:r w:rsidR="00B55B9B" w:rsidRPr="00E83258">
          <w:rPr>
            <w:rStyle w:val="Hipercze"/>
          </w:rPr>
          <w:t>Koordynacja prac nad aPZRPM z innymi dokumentami planistycznymi w zakresie gospodarki wodnej</w:t>
        </w:r>
        <w:r w:rsidR="00B55B9B">
          <w:rPr>
            <w:webHidden/>
          </w:rPr>
          <w:tab/>
        </w:r>
        <w:r w:rsidR="00B55B9B">
          <w:rPr>
            <w:webHidden/>
          </w:rPr>
          <w:fldChar w:fldCharType="begin"/>
        </w:r>
        <w:r w:rsidR="00B55B9B">
          <w:rPr>
            <w:webHidden/>
          </w:rPr>
          <w:instrText xml:space="preserve"> PAGEREF _Toc80604884 \h </w:instrText>
        </w:r>
        <w:r w:rsidR="00B55B9B">
          <w:rPr>
            <w:webHidden/>
          </w:rPr>
        </w:r>
        <w:r w:rsidR="00B55B9B">
          <w:rPr>
            <w:webHidden/>
          </w:rPr>
          <w:fldChar w:fldCharType="separate"/>
        </w:r>
        <w:r w:rsidR="00FD3F9A">
          <w:rPr>
            <w:webHidden/>
          </w:rPr>
          <w:t>133</w:t>
        </w:r>
        <w:r w:rsidR="00B55B9B">
          <w:rPr>
            <w:webHidden/>
          </w:rPr>
          <w:fldChar w:fldCharType="end"/>
        </w:r>
      </w:hyperlink>
    </w:p>
    <w:p w14:paraId="2E8A2112" w14:textId="517CCC8D" w:rsidR="00B55B9B" w:rsidRDefault="004C4DA7">
      <w:pPr>
        <w:pStyle w:val="Spistreci2"/>
        <w:tabs>
          <w:tab w:val="left" w:pos="1815"/>
        </w:tabs>
        <w:rPr>
          <w:rFonts w:asciiTheme="minorHAnsi" w:eastAsiaTheme="minorEastAsia" w:hAnsiTheme="minorHAnsi" w:cstheme="minorBidi"/>
          <w:sz w:val="22"/>
          <w:szCs w:val="22"/>
          <w:lang w:eastAsia="pl-PL"/>
        </w:rPr>
      </w:pPr>
      <w:hyperlink w:anchor="_Toc80604885" w:history="1">
        <w:r w:rsidR="00B55B9B" w:rsidRPr="00E83258">
          <w:rPr>
            <w:rStyle w:val="Hipercze"/>
            <w:rFonts w:eastAsia="MS Gothic"/>
          </w:rPr>
          <w:t>13.1</w:t>
        </w:r>
        <w:r w:rsidR="00B55B9B">
          <w:rPr>
            <w:rFonts w:asciiTheme="minorHAnsi" w:eastAsiaTheme="minorEastAsia" w:hAnsiTheme="minorHAnsi" w:cstheme="minorBidi"/>
            <w:sz w:val="22"/>
            <w:szCs w:val="22"/>
            <w:lang w:eastAsia="pl-PL"/>
          </w:rPr>
          <w:tab/>
        </w:r>
        <w:r w:rsidR="00B55B9B" w:rsidRPr="00E83258">
          <w:rPr>
            <w:rStyle w:val="Hipercze"/>
          </w:rPr>
          <w:t>Koordynacja z II aPGW</w:t>
        </w:r>
        <w:r w:rsidR="00B55B9B">
          <w:rPr>
            <w:webHidden/>
          </w:rPr>
          <w:tab/>
        </w:r>
        <w:r w:rsidR="00B55B9B">
          <w:rPr>
            <w:webHidden/>
          </w:rPr>
          <w:fldChar w:fldCharType="begin"/>
        </w:r>
        <w:r w:rsidR="00B55B9B">
          <w:rPr>
            <w:webHidden/>
          </w:rPr>
          <w:instrText xml:space="preserve"> PAGEREF _Toc80604885 \h </w:instrText>
        </w:r>
        <w:r w:rsidR="00B55B9B">
          <w:rPr>
            <w:webHidden/>
          </w:rPr>
        </w:r>
        <w:r w:rsidR="00B55B9B">
          <w:rPr>
            <w:webHidden/>
          </w:rPr>
          <w:fldChar w:fldCharType="separate"/>
        </w:r>
        <w:r w:rsidR="00FD3F9A">
          <w:rPr>
            <w:webHidden/>
          </w:rPr>
          <w:t>133</w:t>
        </w:r>
        <w:r w:rsidR="00B55B9B">
          <w:rPr>
            <w:webHidden/>
          </w:rPr>
          <w:fldChar w:fldCharType="end"/>
        </w:r>
      </w:hyperlink>
    </w:p>
    <w:p w14:paraId="04237B98" w14:textId="54278823" w:rsidR="00B55B9B" w:rsidRDefault="004C4DA7">
      <w:pPr>
        <w:pStyle w:val="Spistreci2"/>
        <w:tabs>
          <w:tab w:val="left" w:pos="1815"/>
        </w:tabs>
        <w:rPr>
          <w:rFonts w:asciiTheme="minorHAnsi" w:eastAsiaTheme="minorEastAsia" w:hAnsiTheme="minorHAnsi" w:cstheme="minorBidi"/>
          <w:sz w:val="22"/>
          <w:szCs w:val="22"/>
          <w:lang w:eastAsia="pl-PL"/>
        </w:rPr>
      </w:pPr>
      <w:hyperlink w:anchor="_Toc80604886" w:history="1">
        <w:r w:rsidR="00B55B9B" w:rsidRPr="00E83258">
          <w:rPr>
            <w:rStyle w:val="Hipercze"/>
            <w:rFonts w:eastAsia="MS Gothic"/>
          </w:rPr>
          <w:t>13.2</w:t>
        </w:r>
        <w:r w:rsidR="00B55B9B">
          <w:rPr>
            <w:rFonts w:asciiTheme="minorHAnsi" w:eastAsiaTheme="minorEastAsia" w:hAnsiTheme="minorHAnsi" w:cstheme="minorBidi"/>
            <w:sz w:val="22"/>
            <w:szCs w:val="22"/>
            <w:lang w:eastAsia="pl-PL"/>
          </w:rPr>
          <w:tab/>
        </w:r>
        <w:r w:rsidR="00B55B9B" w:rsidRPr="00E83258">
          <w:rPr>
            <w:rStyle w:val="Hipercze"/>
          </w:rPr>
          <w:t>Koordynacja z PPSS</w:t>
        </w:r>
        <w:r w:rsidR="00B55B9B">
          <w:rPr>
            <w:webHidden/>
          </w:rPr>
          <w:tab/>
        </w:r>
        <w:r w:rsidR="00B55B9B">
          <w:rPr>
            <w:webHidden/>
          </w:rPr>
          <w:fldChar w:fldCharType="begin"/>
        </w:r>
        <w:r w:rsidR="00B55B9B">
          <w:rPr>
            <w:webHidden/>
          </w:rPr>
          <w:instrText xml:space="preserve"> PAGEREF _Toc80604886 \h </w:instrText>
        </w:r>
        <w:r w:rsidR="00B55B9B">
          <w:rPr>
            <w:webHidden/>
          </w:rPr>
        </w:r>
        <w:r w:rsidR="00B55B9B">
          <w:rPr>
            <w:webHidden/>
          </w:rPr>
          <w:fldChar w:fldCharType="separate"/>
        </w:r>
        <w:r w:rsidR="00FD3F9A">
          <w:rPr>
            <w:webHidden/>
          </w:rPr>
          <w:t>137</w:t>
        </w:r>
        <w:r w:rsidR="00B55B9B">
          <w:rPr>
            <w:webHidden/>
          </w:rPr>
          <w:fldChar w:fldCharType="end"/>
        </w:r>
      </w:hyperlink>
    </w:p>
    <w:p w14:paraId="604937B4" w14:textId="5CFB3F22" w:rsidR="00B55B9B" w:rsidRDefault="004C4DA7">
      <w:pPr>
        <w:pStyle w:val="Spistreci2"/>
        <w:tabs>
          <w:tab w:val="left" w:pos="1815"/>
        </w:tabs>
        <w:rPr>
          <w:rFonts w:asciiTheme="minorHAnsi" w:eastAsiaTheme="minorEastAsia" w:hAnsiTheme="minorHAnsi" w:cstheme="minorBidi"/>
          <w:sz w:val="22"/>
          <w:szCs w:val="22"/>
          <w:lang w:eastAsia="pl-PL"/>
        </w:rPr>
      </w:pPr>
      <w:hyperlink w:anchor="_Toc80604887" w:history="1">
        <w:r w:rsidR="00B55B9B" w:rsidRPr="00E83258">
          <w:rPr>
            <w:rStyle w:val="Hipercze"/>
            <w:rFonts w:eastAsia="MS Gothic"/>
          </w:rPr>
          <w:t>13.3</w:t>
        </w:r>
        <w:r w:rsidR="00B55B9B">
          <w:rPr>
            <w:rFonts w:asciiTheme="minorHAnsi" w:eastAsiaTheme="minorEastAsia" w:hAnsiTheme="minorHAnsi" w:cstheme="minorBidi"/>
            <w:sz w:val="22"/>
            <w:szCs w:val="22"/>
            <w:lang w:eastAsia="pl-PL"/>
          </w:rPr>
          <w:tab/>
        </w:r>
        <w:r w:rsidR="00B55B9B" w:rsidRPr="00E83258">
          <w:rPr>
            <w:rStyle w:val="Hipercze"/>
          </w:rPr>
          <w:t>Koordynacja z innymi dokumentami planistycznymi</w:t>
        </w:r>
        <w:r w:rsidR="00B55B9B">
          <w:rPr>
            <w:webHidden/>
          </w:rPr>
          <w:tab/>
        </w:r>
        <w:r w:rsidR="00B55B9B">
          <w:rPr>
            <w:webHidden/>
          </w:rPr>
          <w:fldChar w:fldCharType="begin"/>
        </w:r>
        <w:r w:rsidR="00B55B9B">
          <w:rPr>
            <w:webHidden/>
          </w:rPr>
          <w:instrText xml:space="preserve"> PAGEREF _Toc80604887 \h </w:instrText>
        </w:r>
        <w:r w:rsidR="00B55B9B">
          <w:rPr>
            <w:webHidden/>
          </w:rPr>
        </w:r>
        <w:r w:rsidR="00B55B9B">
          <w:rPr>
            <w:webHidden/>
          </w:rPr>
          <w:fldChar w:fldCharType="separate"/>
        </w:r>
        <w:r w:rsidR="00FD3F9A">
          <w:rPr>
            <w:webHidden/>
          </w:rPr>
          <w:t>138</w:t>
        </w:r>
        <w:r w:rsidR="00B55B9B">
          <w:rPr>
            <w:webHidden/>
          </w:rPr>
          <w:fldChar w:fldCharType="end"/>
        </w:r>
      </w:hyperlink>
    </w:p>
    <w:p w14:paraId="73EAEB26" w14:textId="1BF5F756" w:rsidR="00B55B9B" w:rsidRDefault="004C4DA7">
      <w:pPr>
        <w:pStyle w:val="Spistreci1"/>
        <w:rPr>
          <w:rFonts w:asciiTheme="minorHAnsi" w:eastAsiaTheme="minorEastAsia" w:hAnsiTheme="minorHAnsi" w:cstheme="minorBidi"/>
          <w:b w:val="0"/>
          <w:sz w:val="22"/>
          <w:szCs w:val="22"/>
          <w:lang w:eastAsia="pl-PL"/>
        </w:rPr>
      </w:pPr>
      <w:hyperlink w:anchor="_Toc80604888" w:history="1">
        <w:r w:rsidR="00B55B9B" w:rsidRPr="00E83258">
          <w:rPr>
            <w:rStyle w:val="Hipercze"/>
            <w:rFonts w:eastAsia="MS Gothic"/>
          </w:rPr>
          <w:t>14</w:t>
        </w:r>
        <w:r w:rsidR="00B55B9B">
          <w:rPr>
            <w:rFonts w:asciiTheme="minorHAnsi" w:eastAsiaTheme="minorEastAsia" w:hAnsiTheme="minorHAnsi" w:cstheme="minorBidi"/>
            <w:b w:val="0"/>
            <w:sz w:val="22"/>
            <w:szCs w:val="22"/>
            <w:lang w:eastAsia="pl-PL"/>
          </w:rPr>
          <w:tab/>
        </w:r>
        <w:r w:rsidR="00B55B9B" w:rsidRPr="00E83258">
          <w:rPr>
            <w:rStyle w:val="Hipercze"/>
          </w:rPr>
          <w:t>Opis uwzględnienia zmian klimatu w opracowaniu aPZRPM</w:t>
        </w:r>
        <w:r w:rsidR="00B55B9B">
          <w:rPr>
            <w:webHidden/>
          </w:rPr>
          <w:tab/>
        </w:r>
        <w:r w:rsidR="00B55B9B">
          <w:rPr>
            <w:webHidden/>
          </w:rPr>
          <w:fldChar w:fldCharType="begin"/>
        </w:r>
        <w:r w:rsidR="00B55B9B">
          <w:rPr>
            <w:webHidden/>
          </w:rPr>
          <w:instrText xml:space="preserve"> PAGEREF _Toc80604888 \h </w:instrText>
        </w:r>
        <w:r w:rsidR="00B55B9B">
          <w:rPr>
            <w:webHidden/>
          </w:rPr>
        </w:r>
        <w:r w:rsidR="00B55B9B">
          <w:rPr>
            <w:webHidden/>
          </w:rPr>
          <w:fldChar w:fldCharType="separate"/>
        </w:r>
        <w:r w:rsidR="00FD3F9A">
          <w:rPr>
            <w:webHidden/>
          </w:rPr>
          <w:t>141</w:t>
        </w:r>
        <w:r w:rsidR="00B55B9B">
          <w:rPr>
            <w:webHidden/>
          </w:rPr>
          <w:fldChar w:fldCharType="end"/>
        </w:r>
      </w:hyperlink>
    </w:p>
    <w:p w14:paraId="164C0D30" w14:textId="14B60B92" w:rsidR="00B55B9B" w:rsidRDefault="004C4DA7">
      <w:pPr>
        <w:pStyle w:val="Spistreci1"/>
        <w:rPr>
          <w:rFonts w:asciiTheme="minorHAnsi" w:eastAsiaTheme="minorEastAsia" w:hAnsiTheme="minorHAnsi" w:cstheme="minorBidi"/>
          <w:b w:val="0"/>
          <w:sz w:val="22"/>
          <w:szCs w:val="22"/>
          <w:lang w:eastAsia="pl-PL"/>
        </w:rPr>
      </w:pPr>
      <w:hyperlink w:anchor="_Toc80604889" w:history="1">
        <w:r w:rsidR="00B55B9B" w:rsidRPr="00E83258">
          <w:rPr>
            <w:rStyle w:val="Hipercze"/>
            <w:rFonts w:eastAsia="MS Gothic"/>
          </w:rPr>
          <w:t>15</w:t>
        </w:r>
        <w:r w:rsidR="00B55B9B">
          <w:rPr>
            <w:rFonts w:asciiTheme="minorHAnsi" w:eastAsiaTheme="minorEastAsia" w:hAnsiTheme="minorHAnsi" w:cstheme="minorBidi"/>
            <w:b w:val="0"/>
            <w:sz w:val="22"/>
            <w:szCs w:val="22"/>
            <w:lang w:eastAsia="pl-PL"/>
          </w:rPr>
          <w:tab/>
        </w:r>
        <w:r w:rsidR="00B55B9B" w:rsidRPr="00E83258">
          <w:rPr>
            <w:rStyle w:val="Hipercze"/>
          </w:rPr>
          <w:t>Wykaz skrótów</w:t>
        </w:r>
        <w:r w:rsidR="00B55B9B">
          <w:rPr>
            <w:webHidden/>
          </w:rPr>
          <w:tab/>
        </w:r>
        <w:r w:rsidR="00B55B9B">
          <w:rPr>
            <w:webHidden/>
          </w:rPr>
          <w:fldChar w:fldCharType="begin"/>
        </w:r>
        <w:r w:rsidR="00B55B9B">
          <w:rPr>
            <w:webHidden/>
          </w:rPr>
          <w:instrText xml:space="preserve"> PAGEREF _Toc80604889 \h </w:instrText>
        </w:r>
        <w:r w:rsidR="00B55B9B">
          <w:rPr>
            <w:webHidden/>
          </w:rPr>
        </w:r>
        <w:r w:rsidR="00B55B9B">
          <w:rPr>
            <w:webHidden/>
          </w:rPr>
          <w:fldChar w:fldCharType="separate"/>
        </w:r>
        <w:r w:rsidR="00FD3F9A">
          <w:rPr>
            <w:webHidden/>
          </w:rPr>
          <w:t>143</w:t>
        </w:r>
        <w:r w:rsidR="00B55B9B">
          <w:rPr>
            <w:webHidden/>
          </w:rPr>
          <w:fldChar w:fldCharType="end"/>
        </w:r>
      </w:hyperlink>
    </w:p>
    <w:p w14:paraId="7EA2B1FE" w14:textId="76FAFD85" w:rsidR="00B55B9B" w:rsidRDefault="004C4DA7">
      <w:pPr>
        <w:pStyle w:val="Spistreci9"/>
        <w:rPr>
          <w:rFonts w:asciiTheme="minorHAnsi" w:eastAsiaTheme="minorEastAsia" w:hAnsiTheme="minorHAnsi" w:cstheme="minorBidi"/>
          <w:b w:val="0"/>
          <w:sz w:val="22"/>
          <w:szCs w:val="22"/>
          <w:lang w:eastAsia="pl-PL"/>
        </w:rPr>
      </w:pPr>
      <w:hyperlink w:anchor="_Toc80604890" w:history="1">
        <w:r w:rsidR="00B55B9B" w:rsidRPr="00E83258">
          <w:rPr>
            <w:rStyle w:val="Hipercze"/>
          </w:rPr>
          <w:t>Spis Tabel</w:t>
        </w:r>
        <w:r w:rsidR="00B55B9B">
          <w:rPr>
            <w:webHidden/>
          </w:rPr>
          <w:tab/>
        </w:r>
        <w:r w:rsidR="00B55B9B">
          <w:rPr>
            <w:webHidden/>
          </w:rPr>
          <w:fldChar w:fldCharType="begin"/>
        </w:r>
        <w:r w:rsidR="00B55B9B">
          <w:rPr>
            <w:webHidden/>
          </w:rPr>
          <w:instrText xml:space="preserve"> PAGEREF _Toc80604890 \h </w:instrText>
        </w:r>
        <w:r w:rsidR="00B55B9B">
          <w:rPr>
            <w:webHidden/>
          </w:rPr>
        </w:r>
        <w:r w:rsidR="00B55B9B">
          <w:rPr>
            <w:webHidden/>
          </w:rPr>
          <w:fldChar w:fldCharType="separate"/>
        </w:r>
        <w:r w:rsidR="00FD3F9A">
          <w:rPr>
            <w:webHidden/>
          </w:rPr>
          <w:t>144</w:t>
        </w:r>
        <w:r w:rsidR="00B55B9B">
          <w:rPr>
            <w:webHidden/>
          </w:rPr>
          <w:fldChar w:fldCharType="end"/>
        </w:r>
      </w:hyperlink>
    </w:p>
    <w:p w14:paraId="42934905" w14:textId="50E0C21E" w:rsidR="00B55B9B" w:rsidRDefault="004C4DA7">
      <w:pPr>
        <w:pStyle w:val="Spistreci9"/>
        <w:rPr>
          <w:rFonts w:asciiTheme="minorHAnsi" w:eastAsiaTheme="minorEastAsia" w:hAnsiTheme="minorHAnsi" w:cstheme="minorBidi"/>
          <w:b w:val="0"/>
          <w:sz w:val="22"/>
          <w:szCs w:val="22"/>
          <w:lang w:eastAsia="pl-PL"/>
        </w:rPr>
      </w:pPr>
      <w:hyperlink w:anchor="_Toc80604891" w:history="1">
        <w:r w:rsidR="00B55B9B" w:rsidRPr="00E83258">
          <w:rPr>
            <w:rStyle w:val="Hipercze"/>
          </w:rPr>
          <w:t>Spis Rysunków</w:t>
        </w:r>
        <w:r w:rsidR="00B55B9B">
          <w:rPr>
            <w:webHidden/>
          </w:rPr>
          <w:tab/>
        </w:r>
        <w:r w:rsidR="00B55B9B">
          <w:rPr>
            <w:webHidden/>
          </w:rPr>
          <w:fldChar w:fldCharType="begin"/>
        </w:r>
        <w:r w:rsidR="00B55B9B">
          <w:rPr>
            <w:webHidden/>
          </w:rPr>
          <w:instrText xml:space="preserve"> PAGEREF _Toc80604891 \h </w:instrText>
        </w:r>
        <w:r w:rsidR="00B55B9B">
          <w:rPr>
            <w:webHidden/>
          </w:rPr>
        </w:r>
        <w:r w:rsidR="00B55B9B">
          <w:rPr>
            <w:webHidden/>
          </w:rPr>
          <w:fldChar w:fldCharType="separate"/>
        </w:r>
        <w:r w:rsidR="00FD3F9A">
          <w:rPr>
            <w:webHidden/>
          </w:rPr>
          <w:t>146</w:t>
        </w:r>
        <w:r w:rsidR="00B55B9B">
          <w:rPr>
            <w:webHidden/>
          </w:rPr>
          <w:fldChar w:fldCharType="end"/>
        </w:r>
      </w:hyperlink>
    </w:p>
    <w:p w14:paraId="37ADD873" w14:textId="27652673" w:rsidR="00BA0236" w:rsidRDefault="00BA0236" w:rsidP="002D76EE">
      <w:r>
        <w:fldChar w:fldCharType="end"/>
      </w:r>
    </w:p>
    <w:p w14:paraId="14401CCA" w14:textId="77777777" w:rsidR="00B55A5C" w:rsidRPr="007C28CC" w:rsidRDefault="00B55A5C" w:rsidP="002D76EE"/>
    <w:p w14:paraId="23557CAF" w14:textId="77777777" w:rsidR="00BA0236" w:rsidRPr="007C28CC" w:rsidRDefault="00BA0236" w:rsidP="007C28CC">
      <w:pPr>
        <w:pStyle w:val="ReportContentsSub"/>
        <w:rPr>
          <w:noProof/>
          <w:vanish/>
        </w:rPr>
      </w:pPr>
      <w:bookmarkStart w:id="5" w:name="Appendices"/>
    </w:p>
    <w:bookmarkEnd w:id="5"/>
    <w:p w14:paraId="402A96ED" w14:textId="77777777" w:rsidR="00A67C98" w:rsidRDefault="00BA0236" w:rsidP="00A67C98">
      <w:pPr>
        <w:spacing w:after="120"/>
        <w:jc w:val="both"/>
        <w:rPr>
          <w:b/>
          <w:bCs/>
          <w:i/>
          <w:iCs/>
          <w:u w:val="single"/>
        </w:rPr>
      </w:pPr>
      <w:r w:rsidRPr="007C28CC">
        <w:rPr>
          <w:rStyle w:val="Tekstzastpczy"/>
        </w:rPr>
        <w:t xml:space="preserve"> </w:t>
      </w:r>
      <w:r w:rsidR="00A67C98">
        <w:rPr>
          <w:b/>
          <w:bCs/>
          <w:i/>
          <w:iCs/>
          <w:u w:val="single"/>
        </w:rPr>
        <w:t xml:space="preserve">Załączniki: </w:t>
      </w:r>
    </w:p>
    <w:p w14:paraId="3CECD006" w14:textId="5A076E41" w:rsidR="00A67C98" w:rsidRPr="00D178B9" w:rsidRDefault="00A67C98" w:rsidP="00A67C98">
      <w:pPr>
        <w:pStyle w:val="Akapitzlist"/>
        <w:numPr>
          <w:ilvl w:val="0"/>
          <w:numId w:val="69"/>
        </w:numPr>
        <w:ind w:left="284"/>
        <w:jc w:val="both"/>
        <w:rPr>
          <w:sz w:val="24"/>
          <w:szCs w:val="24"/>
        </w:rPr>
      </w:pPr>
      <w:r w:rsidRPr="00D178B9">
        <w:rPr>
          <w:sz w:val="24"/>
          <w:szCs w:val="24"/>
        </w:rPr>
        <w:t xml:space="preserve">Załącznik 1– Ostateczna lista działań ograniczających ryzyko powodziowe od strony morza w tym morskich wód wewnętrznych dla zlewni planistycznej Dolnej </w:t>
      </w:r>
      <w:r>
        <w:rPr>
          <w:sz w:val="24"/>
          <w:szCs w:val="24"/>
        </w:rPr>
        <w:t>Wisły wraz z harmonogramem rzeczowo-finansowym</w:t>
      </w:r>
    </w:p>
    <w:p w14:paraId="219D154D" w14:textId="63F54C6C" w:rsidR="00BA0236" w:rsidRPr="007C28CC" w:rsidRDefault="00BA0236" w:rsidP="002D76EE">
      <w:pPr>
        <w:sectPr w:rsidR="00BA0236" w:rsidRPr="007C28CC" w:rsidSect="008362D5">
          <w:headerReference w:type="default" r:id="rId9"/>
          <w:footerReference w:type="default" r:id="rId10"/>
          <w:pgSz w:w="11907" w:h="16839" w:code="9"/>
          <w:pgMar w:top="1701" w:right="1985" w:bottom="1418" w:left="1985" w:header="567" w:footer="1008" w:gutter="0"/>
          <w:pgNumType w:start="1"/>
          <w:cols w:space="708"/>
          <w:formProt w:val="0"/>
          <w:docGrid w:linePitch="326"/>
        </w:sectPr>
      </w:pPr>
    </w:p>
    <w:p w14:paraId="2246E8A4" w14:textId="77777777" w:rsidR="00BA0236" w:rsidRPr="007C28CC" w:rsidRDefault="00BA0236" w:rsidP="00E8074C">
      <w:pPr>
        <w:pStyle w:val="ReportLevel1"/>
        <w:numPr>
          <w:ilvl w:val="0"/>
          <w:numId w:val="9"/>
        </w:numPr>
      </w:pPr>
      <w:bookmarkStart w:id="7" w:name="_Toc342563262"/>
      <w:bookmarkStart w:id="8" w:name="Text"/>
      <w:bookmarkStart w:id="9" w:name="ExecSummary"/>
      <w:bookmarkStart w:id="10" w:name="_Toc79511667"/>
      <w:bookmarkStart w:id="11" w:name="_Toc80604847"/>
      <w:bookmarkEnd w:id="7"/>
      <w:bookmarkEnd w:id="8"/>
      <w:bookmarkEnd w:id="9"/>
      <w:r w:rsidRPr="007C28CC">
        <w:lastRenderedPageBreak/>
        <w:t>Wstęp</w:t>
      </w:r>
      <w:bookmarkEnd w:id="10"/>
      <w:bookmarkEnd w:id="11"/>
    </w:p>
    <w:p w14:paraId="1123825C" w14:textId="77777777" w:rsidR="002D736F" w:rsidRDefault="002D736F" w:rsidP="002D736F">
      <w:pPr>
        <w:pStyle w:val="ReportText"/>
      </w:pPr>
      <w:r>
        <w:t xml:space="preserve">Niniejszy dokument stanowi przegląd i aktualizację planu zarządzania ryzykiem powodziowym </w:t>
      </w:r>
      <w:r w:rsidRPr="002212CA">
        <w:t xml:space="preserve">od strony morza, w tym morskich wód wewnętrznych </w:t>
      </w:r>
      <w:r>
        <w:t xml:space="preserve">dla obszaru dorzecza Wisły będącego częścią </w:t>
      </w:r>
      <w:r w:rsidRPr="002212CA">
        <w:t>plan</w:t>
      </w:r>
      <w:r>
        <w:t>ów</w:t>
      </w:r>
      <w:r w:rsidRPr="002212CA">
        <w:t xml:space="preserve"> zarządzania ryzykiem powodziowym przyjętych </w:t>
      </w:r>
      <w:r>
        <w:t>do realizacji w 2016 roku, w formie rozporządzenia Rady Ministrów z dnia 18 października 2016 r. w sprawie przyjęcia planów zarządzania ryzykiem powodziowym dla obszarów dorzeczy Wisły. Celem Planu Zarządzania Ryzykiem Powodziowym jest stworzenie skutecznego zarządzania ryzykiem powodziowym w przyszłości, stwarzając jednocześnie szanse na proaktywne podejście w inicjowaniu i wdrażaniu działań inwestycyjnych oraz instrumentów wspomagających.</w:t>
      </w:r>
    </w:p>
    <w:p w14:paraId="1A4CCE6D" w14:textId="77777777" w:rsidR="002D736F" w:rsidRPr="00FA756D" w:rsidRDefault="002D736F" w:rsidP="002D736F">
      <w:pPr>
        <w:pStyle w:val="ReportText"/>
      </w:pPr>
      <w:r w:rsidRPr="00FA756D">
        <w:t xml:space="preserve">Podstawy prawne dla </w:t>
      </w:r>
      <w:r>
        <w:t xml:space="preserve">opracowania </w:t>
      </w:r>
      <w:r w:rsidRPr="00FA756D">
        <w:t>planów zarządzania ryzykiem powodziowym, w tym ich przeglądu i aktualizacji, tworzą:</w:t>
      </w:r>
    </w:p>
    <w:p w14:paraId="0F97FE9F" w14:textId="77777777" w:rsidR="002D736F" w:rsidRPr="00FA756D" w:rsidRDefault="002D736F" w:rsidP="002D736F">
      <w:pPr>
        <w:pStyle w:val="ReportText"/>
        <w:numPr>
          <w:ilvl w:val="0"/>
          <w:numId w:val="14"/>
        </w:numPr>
        <w:spacing w:before="120" w:after="120"/>
      </w:pPr>
      <w:r w:rsidRPr="00FA756D">
        <w:t>Ustawa z dnia 20 lipca 2017 r. Prawo wodne (</w:t>
      </w:r>
      <w:r w:rsidRPr="004D32D9">
        <w:t>Dz. U. z 2021 r. poz. 624</w:t>
      </w:r>
      <w:r w:rsidRPr="001A7FC6">
        <w:t xml:space="preserve"> ze zm.</w:t>
      </w:r>
      <w:r w:rsidRPr="00FA756D">
        <w:t>)</w:t>
      </w:r>
      <w:r>
        <w:t>;</w:t>
      </w:r>
    </w:p>
    <w:p w14:paraId="550FD721" w14:textId="77777777" w:rsidR="002D736F" w:rsidRPr="00FA756D" w:rsidRDefault="002D736F" w:rsidP="002D736F">
      <w:pPr>
        <w:pStyle w:val="ReportText"/>
        <w:numPr>
          <w:ilvl w:val="0"/>
          <w:numId w:val="14"/>
        </w:numPr>
        <w:spacing w:before="120" w:after="120"/>
      </w:pPr>
      <w:r w:rsidRPr="00FA756D">
        <w:t>Dyrektywa 2007/60/WE Parlamentu Europejskiego i Rady z dnia 23 października 2007 r. w sprawie oceny ryzyka powodziowego i zarządzania nim (</w:t>
      </w:r>
      <w:r>
        <w:t>DP</w:t>
      </w:r>
      <w:r w:rsidRPr="00FA756D">
        <w:t>)</w:t>
      </w:r>
      <w:r>
        <w:t>;</w:t>
      </w:r>
    </w:p>
    <w:p w14:paraId="5BBCDDC2" w14:textId="77777777" w:rsidR="002D736F" w:rsidRPr="00FA756D" w:rsidRDefault="002D736F" w:rsidP="002D736F">
      <w:pPr>
        <w:pStyle w:val="ReportText"/>
        <w:numPr>
          <w:ilvl w:val="0"/>
          <w:numId w:val="14"/>
        </w:numPr>
        <w:spacing w:before="120" w:after="120"/>
      </w:pPr>
      <w:r w:rsidRPr="00FA756D">
        <w:t>Rozporządzenie Ministra Gospodarki Morskiej i Żeglugi Śródlądowej z dnia 4 października 2018 roku w sprawie opracowywania map zagrożenia powodziowego oraz map ryzyka powodziowego (Dz.U. z 2018 r. poz. 2031).</w:t>
      </w:r>
    </w:p>
    <w:p w14:paraId="77945455" w14:textId="77777777" w:rsidR="002D736F" w:rsidRPr="00FA756D" w:rsidRDefault="002D736F" w:rsidP="002D736F">
      <w:pPr>
        <w:pStyle w:val="ReportText"/>
      </w:pPr>
      <w:r w:rsidRPr="00FA756D">
        <w:t xml:space="preserve">Innymi istotnymi aktami prawnymi dla procesu przygotowania, przeglądu i aktualizacji PZRP są: </w:t>
      </w:r>
    </w:p>
    <w:p w14:paraId="1074408F" w14:textId="77777777" w:rsidR="002D736F" w:rsidRPr="00FA756D" w:rsidRDefault="002D736F" w:rsidP="002D736F">
      <w:pPr>
        <w:pStyle w:val="ReportText"/>
        <w:numPr>
          <w:ilvl w:val="0"/>
          <w:numId w:val="14"/>
        </w:numPr>
        <w:spacing w:before="120" w:after="120"/>
      </w:pPr>
      <w:r w:rsidRPr="00FA756D">
        <w:t>Dyrektywa 2000/60/WE Parlamentu Europejskiego i Rady z dnia 23 października 2000 r. ustanawiająca ramy wspólnotowego działania w dziedzinie polityki wodnej (Ramowa Dyrektywa Wodna)</w:t>
      </w:r>
      <w:r>
        <w:t>;</w:t>
      </w:r>
    </w:p>
    <w:p w14:paraId="56DD7534" w14:textId="77777777" w:rsidR="002D736F" w:rsidRPr="00FA756D" w:rsidRDefault="002D736F" w:rsidP="002D736F">
      <w:pPr>
        <w:pStyle w:val="ReportText"/>
        <w:numPr>
          <w:ilvl w:val="0"/>
          <w:numId w:val="14"/>
        </w:numPr>
        <w:spacing w:before="120" w:after="120"/>
      </w:pPr>
      <w:r w:rsidRPr="00FA756D">
        <w:t>Ustawa z dnia 3 października 2008 r. o udostępnianiu informacji o środowisku i jego ochronie, udziale społeczeństwa w ochronie środowiska oraz o ocenach oddziaływania na środowisko (</w:t>
      </w:r>
      <w:r w:rsidRPr="001A7FC6">
        <w:t xml:space="preserve">Dz.U. 2021 poz. 247 </w:t>
      </w:r>
      <w:r w:rsidRPr="00FA756D">
        <w:t>ze zm.)</w:t>
      </w:r>
      <w:r>
        <w:t>;</w:t>
      </w:r>
    </w:p>
    <w:p w14:paraId="08E64222" w14:textId="77777777" w:rsidR="002D736F" w:rsidRPr="00FA756D" w:rsidRDefault="002D736F" w:rsidP="002D736F">
      <w:pPr>
        <w:pStyle w:val="ReportText"/>
        <w:numPr>
          <w:ilvl w:val="0"/>
          <w:numId w:val="14"/>
        </w:numPr>
        <w:spacing w:before="120" w:after="120"/>
      </w:pPr>
      <w:r w:rsidRPr="00FA756D">
        <w:t>Dyrektywa 2009/147/WE z 30 listopada 2009 r. w sprawie ochrony dzikiego ptactwa</w:t>
      </w:r>
      <w:r>
        <w:t>;</w:t>
      </w:r>
    </w:p>
    <w:p w14:paraId="0483B798" w14:textId="77777777" w:rsidR="002D736F" w:rsidRPr="00FA756D" w:rsidRDefault="002D736F" w:rsidP="002D736F">
      <w:pPr>
        <w:pStyle w:val="ReportText"/>
        <w:numPr>
          <w:ilvl w:val="0"/>
          <w:numId w:val="14"/>
        </w:numPr>
        <w:spacing w:before="120" w:after="120"/>
      </w:pPr>
      <w:r w:rsidRPr="00FA756D">
        <w:t>Dyrektywa 92/43/EWG w sprawie ochrony siedlisk przyrodniczych oraz dzikiej fauny i flory</w:t>
      </w:r>
      <w:r>
        <w:t>;</w:t>
      </w:r>
    </w:p>
    <w:p w14:paraId="4C270042" w14:textId="77777777" w:rsidR="002D736F" w:rsidRPr="00FA756D" w:rsidRDefault="002D736F" w:rsidP="002D736F">
      <w:pPr>
        <w:pStyle w:val="ReportText"/>
        <w:numPr>
          <w:ilvl w:val="0"/>
          <w:numId w:val="14"/>
        </w:numPr>
        <w:spacing w:before="120" w:after="120"/>
      </w:pPr>
      <w:r w:rsidRPr="00FA756D">
        <w:t>Ustawa o infrastrukturze informacji przestrzennej z dnia 4 marca 2010 r. (Dz.U. 2020 poz. 177 ze zm.)</w:t>
      </w:r>
      <w:r>
        <w:t>;</w:t>
      </w:r>
    </w:p>
    <w:p w14:paraId="0F41CD1B" w14:textId="77777777" w:rsidR="002D736F" w:rsidRPr="00FA756D" w:rsidRDefault="002D736F" w:rsidP="002D736F">
      <w:pPr>
        <w:pStyle w:val="ReportText"/>
        <w:numPr>
          <w:ilvl w:val="0"/>
          <w:numId w:val="14"/>
        </w:numPr>
        <w:spacing w:before="120" w:after="120"/>
      </w:pPr>
      <w:r w:rsidRPr="00FA756D">
        <w:t>Dyrektywa 2007/2/WE Parlamentu Europejskiego i Rady z dnia 14 marca 2007 r. ustanawiająca infrastrukturę informacji przestrzennej we Wspólnocie Europejskiej (Dyrektywa INSPIRE).</w:t>
      </w:r>
    </w:p>
    <w:p w14:paraId="6A663236" w14:textId="77777777" w:rsidR="002D736F" w:rsidRPr="00FA756D" w:rsidRDefault="002D736F" w:rsidP="002D736F">
      <w:pPr>
        <w:pStyle w:val="ReportText"/>
      </w:pPr>
      <w:r>
        <w:t>Realizacja p</w:t>
      </w:r>
      <w:r w:rsidRPr="00FA756D">
        <w:t>lan</w:t>
      </w:r>
      <w:r>
        <w:t>ów</w:t>
      </w:r>
      <w:r w:rsidRPr="00FA756D">
        <w:t xml:space="preserve"> zarządzania ryzykiem powodziowym </w:t>
      </w:r>
      <w:r>
        <w:t>od strony morza, w tym od morskich wód wewnętrznych wymaga przeprowadzenia kilkuetapowych prac przygotowawczych</w:t>
      </w:r>
      <w:r w:rsidRPr="00FA756D">
        <w:t xml:space="preserve">. Zgodnie z Dyrektywą Powodziową oraz ustawą Prawo wodne, plany zarządzania ryzykiem powodziowym </w:t>
      </w:r>
      <w:r>
        <w:t xml:space="preserve">od strony morza </w:t>
      </w:r>
      <w:r w:rsidRPr="00FA756D">
        <w:t>muszą być poprzedzone opracowaniem</w:t>
      </w:r>
      <w:r>
        <w:t xml:space="preserve"> (art. 315 </w:t>
      </w:r>
      <w:r w:rsidRPr="007E36FE">
        <w:t>Prawo wodne (Dz. U. z 2021 r. poz. 624 ze zm.)</w:t>
      </w:r>
      <w:r>
        <w:t>)</w:t>
      </w:r>
      <w:r w:rsidRPr="00FA756D">
        <w:t>:</w:t>
      </w:r>
    </w:p>
    <w:p w14:paraId="6DA144AA" w14:textId="77777777" w:rsidR="002D736F" w:rsidRPr="00FA756D" w:rsidRDefault="002D736F" w:rsidP="002D736F">
      <w:pPr>
        <w:pStyle w:val="ReportText"/>
        <w:numPr>
          <w:ilvl w:val="0"/>
          <w:numId w:val="14"/>
        </w:numPr>
        <w:spacing w:before="120" w:after="120"/>
      </w:pPr>
      <w:r w:rsidRPr="00FA756D">
        <w:lastRenderedPageBreak/>
        <w:t>Wstępnej oceny ryzyka powodziowego od strony morza, w tym morskich wód wewnętrznych (WORP), której zadaniem jest określenie obszarów narażonych na niebezpieczeństwo powodzi, dla których w pierwszej kolejności opracowane zostaną mapy zagrożenia powodziowego i mapy ryzyka powodziowego</w:t>
      </w:r>
      <w:r>
        <w:t xml:space="preserve"> art. 168 pkt. </w:t>
      </w:r>
    </w:p>
    <w:p w14:paraId="5ED4220C" w14:textId="77777777" w:rsidR="002D736F" w:rsidRPr="00FA756D" w:rsidRDefault="002D736F" w:rsidP="002D736F">
      <w:pPr>
        <w:pStyle w:val="ReportText"/>
        <w:numPr>
          <w:ilvl w:val="0"/>
          <w:numId w:val="14"/>
        </w:numPr>
        <w:spacing w:before="120" w:after="120"/>
      </w:pPr>
      <w:r w:rsidRPr="00FA756D">
        <w:t>Map zagrożenia powodziowego od strony morza, w tym morskich wód wewnętrznych</w:t>
      </w:r>
      <w:r w:rsidRPr="001A7FC6">
        <w:t xml:space="preserve"> </w:t>
      </w:r>
      <w:r w:rsidRPr="00FA756D">
        <w:t>(MZ</w:t>
      </w:r>
      <w:r>
        <w:t>P</w:t>
      </w:r>
      <w:r w:rsidRPr="00FA756D">
        <w:t>), przedstawiających zasięgi obszarów, na których prawdopodobieństwo wystąpienia powodzi jest niskie i wynosi p = 0,2% lub na których istnieje prawdopodobieństwo wystąpienia zdarzenia ekstremalnego, obszary szczególnego zagrożenia powodzią oraz obszary obejmujące tereny narażone na zalanie w przypadku uszkodzenia lub zniszczenia wału przeciwpowodziowego, wału przeciwsztormowego lub budowli piętrzącej</w:t>
      </w:r>
      <w:r>
        <w:t>.</w:t>
      </w:r>
    </w:p>
    <w:p w14:paraId="0B2AFC9B" w14:textId="77777777" w:rsidR="002D736F" w:rsidRPr="00FA756D" w:rsidRDefault="002D736F" w:rsidP="002D736F">
      <w:pPr>
        <w:pStyle w:val="ReportText"/>
        <w:numPr>
          <w:ilvl w:val="0"/>
          <w:numId w:val="14"/>
        </w:numPr>
        <w:spacing w:before="120" w:after="120"/>
      </w:pPr>
      <w:r w:rsidRPr="00FA756D">
        <w:t>Map ryzyka powodziowego</w:t>
      </w:r>
      <w:r>
        <w:t xml:space="preserve"> </w:t>
      </w:r>
      <w:r w:rsidRPr="00FA756D">
        <w:t>od strony morza, w tym morskich wód wewnętrznych</w:t>
      </w:r>
      <w:r>
        <w:t xml:space="preserve"> </w:t>
      </w:r>
      <w:r w:rsidRPr="00FA756D">
        <w:t>(MRP), przedstawiających potencjalne negatywne skutki związane z powodzią na obszarach przedstawionych na mapach zagrożenia powodziowego.</w:t>
      </w:r>
    </w:p>
    <w:p w14:paraId="1557A1DD" w14:textId="24A2C7A8" w:rsidR="00BA0236" w:rsidRPr="007C28CC" w:rsidRDefault="002D736F" w:rsidP="007C28CC">
      <w:pPr>
        <w:pStyle w:val="ReportText"/>
      </w:pPr>
      <w:r>
        <w:t xml:space="preserve">Ustawa </w:t>
      </w:r>
      <w:r w:rsidRPr="00725707">
        <w:t>Praw</w:t>
      </w:r>
      <w:r>
        <w:t>o</w:t>
      </w:r>
      <w:r w:rsidRPr="00725707">
        <w:t xml:space="preserve"> wodne (Dz. U. z 2021 r. poz. 624 ze zm.)</w:t>
      </w:r>
      <w:r>
        <w:t xml:space="preserve"> w art. 168 pkt. 10 oraz art. 171 pkt. 8 wskazuje na potrzebę aktualizacji w/w dokumentów co 6 lat. W art. 168 pkt. 12 oraz art. 171 pkt. 10 PW wskazano, że p</w:t>
      </w:r>
      <w:r w:rsidRPr="00FA756D">
        <w:t>odobny tryb postępowania ma miejsce</w:t>
      </w:r>
      <w:r>
        <w:br/>
      </w:r>
      <w:r w:rsidRPr="00FA756D">
        <w:t>w przypadku przeglądu i aktualizacji wymienionych powyżej dokumentów.</w:t>
      </w:r>
    </w:p>
    <w:p w14:paraId="5DE95D4C" w14:textId="77777777" w:rsidR="00BA0236" w:rsidRPr="007C28CC" w:rsidRDefault="00BA0236" w:rsidP="00E8074C">
      <w:pPr>
        <w:pStyle w:val="ReportLevel2"/>
        <w:numPr>
          <w:ilvl w:val="1"/>
          <w:numId w:val="9"/>
        </w:numPr>
      </w:pPr>
      <w:bookmarkStart w:id="12" w:name="_Toc79511668"/>
      <w:bookmarkStart w:id="13" w:name="_Toc80604848"/>
      <w:r w:rsidRPr="007C28CC">
        <w:t>Zidentyfikowane obszary problemowe</w:t>
      </w:r>
      <w:bookmarkEnd w:id="12"/>
      <w:bookmarkEnd w:id="13"/>
    </w:p>
    <w:p w14:paraId="4C7F3CBB" w14:textId="5AA524E8" w:rsidR="002D736F" w:rsidRDefault="002D736F" w:rsidP="002D736F">
      <w:pPr>
        <w:pStyle w:val="ReportText"/>
      </w:pPr>
      <w:r>
        <w:t>Podczas prac nad projektem zdefiniowane zostały obszary problemowe dla zlewni planistycznej Dolnej Wisły, dla których, w następnych krokach definiowano warianty planistyczne ochrony przeciwpowodziowej.</w:t>
      </w:r>
    </w:p>
    <w:p w14:paraId="5CAD076C" w14:textId="7ED8E9EE" w:rsidR="00BA0236" w:rsidRPr="007C28CC" w:rsidRDefault="00BA0236" w:rsidP="007C28CC">
      <w:pPr>
        <w:pStyle w:val="ReportText"/>
      </w:pPr>
      <w:r w:rsidRPr="007C28CC">
        <w:t xml:space="preserve">Zidentyfikowano sześć obszarów problemowych, dla których prowadzono analizy mające na celu opracowanie listy zadań ograniczających zagrożenie powodziowe od strony morza, w tym morskich wód wewnętrznych. Zestawienie przedmiotowych obszarów przedstawia </w:t>
      </w:r>
      <w:r w:rsidRPr="007C28CC">
        <w:fldChar w:fldCharType="begin"/>
      </w:r>
      <w:r w:rsidRPr="007C28CC">
        <w:instrText xml:space="preserve"> REF _Ref70537230 \h </w:instrText>
      </w:r>
      <w:r w:rsidRPr="007C28CC">
        <w:fldChar w:fldCharType="separate"/>
      </w:r>
      <w:r w:rsidR="00FD3F9A" w:rsidRPr="00E32F23">
        <w:t xml:space="preserve">Tabela </w:t>
      </w:r>
      <w:r w:rsidR="00FD3F9A">
        <w:rPr>
          <w:noProof/>
        </w:rPr>
        <w:t>1</w:t>
      </w:r>
      <w:r w:rsidRPr="007C28CC">
        <w:fldChar w:fldCharType="end"/>
      </w:r>
      <w:r w:rsidRPr="007C28CC">
        <w:t>. Lokalizację obszarów problemowych pokazują rysunki przedstawione poniżej (</w:t>
      </w:r>
      <w:r w:rsidRPr="007C28CC">
        <w:fldChar w:fldCharType="begin"/>
      </w:r>
      <w:r w:rsidRPr="007C28CC">
        <w:instrText xml:space="preserve"> REF _Ref76549980 \h </w:instrText>
      </w:r>
      <w:r w:rsidRPr="007C28CC">
        <w:fldChar w:fldCharType="separate"/>
      </w:r>
      <w:r w:rsidR="00FD3F9A" w:rsidRPr="007C28CC">
        <w:t xml:space="preserve">Rysunek </w:t>
      </w:r>
      <w:r w:rsidR="00FD3F9A">
        <w:rPr>
          <w:noProof/>
        </w:rPr>
        <w:t>1</w:t>
      </w:r>
      <w:r w:rsidRPr="007C28CC">
        <w:fldChar w:fldCharType="end"/>
      </w:r>
      <w:r w:rsidRPr="007C28CC">
        <w:t xml:space="preserve"> - </w:t>
      </w:r>
      <w:r w:rsidRPr="007C28CC">
        <w:fldChar w:fldCharType="begin"/>
      </w:r>
      <w:r w:rsidRPr="007C28CC">
        <w:instrText xml:space="preserve"> REF _Ref76549988 \h </w:instrText>
      </w:r>
      <w:r w:rsidRPr="007C28CC">
        <w:fldChar w:fldCharType="separate"/>
      </w:r>
      <w:r w:rsidR="00FD3F9A">
        <w:t>R</w:t>
      </w:r>
      <w:r w:rsidR="00FD3F9A" w:rsidRPr="007C28CC">
        <w:t xml:space="preserve">ysunek </w:t>
      </w:r>
      <w:r w:rsidR="00FD3F9A">
        <w:rPr>
          <w:noProof/>
        </w:rPr>
        <w:t>6</w:t>
      </w:r>
      <w:r w:rsidRPr="007C28CC">
        <w:fldChar w:fldCharType="end"/>
      </w:r>
      <w:r w:rsidRPr="007C28CC">
        <w:t>)</w:t>
      </w:r>
    </w:p>
    <w:p w14:paraId="750299C4" w14:textId="287910C2" w:rsidR="00BA0236" w:rsidRPr="00E32F23" w:rsidRDefault="00BA0236" w:rsidP="00E32F23">
      <w:pPr>
        <w:pStyle w:val="Legenda"/>
        <w:tabs>
          <w:tab w:val="clear" w:pos="1080"/>
        </w:tabs>
        <w:ind w:left="1134" w:hanging="1134"/>
        <w:rPr>
          <w:sz w:val="24"/>
        </w:rPr>
      </w:pPr>
      <w:bookmarkStart w:id="14" w:name="_Ref70537230"/>
      <w:bookmarkStart w:id="15" w:name="_Toc76734797"/>
      <w:bookmarkStart w:id="16" w:name="_Toc80604811"/>
      <w:r w:rsidRPr="00E32F23">
        <w:rPr>
          <w:sz w:val="24"/>
        </w:rPr>
        <w:t xml:space="preserve">Tabela </w:t>
      </w:r>
      <w:r w:rsidR="00295C25" w:rsidRPr="00E32F23">
        <w:rPr>
          <w:sz w:val="24"/>
        </w:rPr>
        <w:fldChar w:fldCharType="begin"/>
      </w:r>
      <w:r w:rsidR="00295C25" w:rsidRPr="00E32F23">
        <w:rPr>
          <w:sz w:val="24"/>
        </w:rPr>
        <w:instrText xml:space="preserve"> SEQ Tabela \* ARABIC </w:instrText>
      </w:r>
      <w:r w:rsidR="00295C25" w:rsidRPr="00E32F23">
        <w:rPr>
          <w:sz w:val="24"/>
        </w:rPr>
        <w:fldChar w:fldCharType="separate"/>
      </w:r>
      <w:r w:rsidR="00FD3F9A">
        <w:rPr>
          <w:noProof/>
          <w:sz w:val="24"/>
        </w:rPr>
        <w:t>1</w:t>
      </w:r>
      <w:r w:rsidR="00295C25" w:rsidRPr="00E32F23">
        <w:rPr>
          <w:noProof/>
          <w:sz w:val="24"/>
        </w:rPr>
        <w:fldChar w:fldCharType="end"/>
      </w:r>
      <w:bookmarkEnd w:id="14"/>
      <w:r w:rsidRPr="00E32F23">
        <w:rPr>
          <w:sz w:val="24"/>
        </w:rPr>
        <w:tab/>
        <w:t>Zidentyfikowane obszary problemowe w obszarze zlewni planistycznej Dolnej Wisły (II cykl planistyczny)</w:t>
      </w:r>
      <w:bookmarkEnd w:id="15"/>
      <w:bookmarkEnd w:id="16"/>
    </w:p>
    <w:tbl>
      <w:tblPr>
        <w:tblW w:w="7928" w:type="dxa"/>
        <w:tblCellMar>
          <w:left w:w="0" w:type="dxa"/>
          <w:right w:w="0" w:type="dxa"/>
        </w:tblCellMar>
        <w:tblLook w:val="0000" w:firstRow="0" w:lastRow="0" w:firstColumn="0" w:lastColumn="0" w:noHBand="0" w:noVBand="0"/>
      </w:tblPr>
      <w:tblGrid>
        <w:gridCol w:w="840"/>
        <w:gridCol w:w="7088"/>
      </w:tblGrid>
      <w:tr w:rsidR="00BA0236" w:rsidRPr="00B32914" w14:paraId="0D3F8734" w14:textId="77777777" w:rsidTr="007C28CC">
        <w:trPr>
          <w:trHeight w:val="263"/>
        </w:trPr>
        <w:tc>
          <w:tcPr>
            <w:tcW w:w="840" w:type="dxa"/>
            <w:tcBorders>
              <w:top w:val="single" w:sz="8" w:space="0" w:color="E61E28"/>
              <w:left w:val="single" w:sz="8" w:space="0" w:color="E61E28"/>
              <w:bottom w:val="single" w:sz="8" w:space="0" w:color="E61E28"/>
              <w:right w:val="single" w:sz="8" w:space="0" w:color="E61E28"/>
            </w:tcBorders>
            <w:shd w:val="clear" w:color="auto" w:fill="FAD2D4"/>
            <w:tcMar>
              <w:top w:w="72" w:type="dxa"/>
              <w:left w:w="144" w:type="dxa"/>
              <w:bottom w:w="72" w:type="dxa"/>
              <w:right w:w="144" w:type="dxa"/>
            </w:tcMar>
          </w:tcPr>
          <w:p w14:paraId="7FD1E4BE" w14:textId="77777777" w:rsidR="00BA0236" w:rsidRPr="007C28CC" w:rsidRDefault="00BA0236" w:rsidP="001002DE">
            <w:pPr>
              <w:pStyle w:val="NormalnyWeb"/>
              <w:spacing w:before="0" w:beforeAutospacing="0"/>
              <w:jc w:val="center"/>
              <w:textAlignment w:val="center"/>
              <w:rPr>
                <w:rFonts w:ascii="Arial" w:hAnsi="Arial" w:cs="Arial"/>
                <w:lang w:eastAsia="pl-PL"/>
              </w:rPr>
            </w:pPr>
            <w:r w:rsidRPr="00B32914">
              <w:rPr>
                <w:color w:val="000000"/>
                <w:kern w:val="24"/>
              </w:rPr>
              <w:t>Lp.</w:t>
            </w:r>
          </w:p>
        </w:tc>
        <w:tc>
          <w:tcPr>
            <w:tcW w:w="7088" w:type="dxa"/>
            <w:tcBorders>
              <w:top w:val="single" w:sz="8" w:space="0" w:color="E61E28"/>
              <w:left w:val="single" w:sz="8" w:space="0" w:color="E61E28"/>
              <w:bottom w:val="single" w:sz="8" w:space="0" w:color="E61E28"/>
              <w:right w:val="single" w:sz="8" w:space="0" w:color="E61E28"/>
            </w:tcBorders>
            <w:shd w:val="clear" w:color="auto" w:fill="FAD2D4"/>
            <w:tcMar>
              <w:top w:w="15" w:type="dxa"/>
              <w:left w:w="15" w:type="dxa"/>
              <w:bottom w:w="0" w:type="dxa"/>
              <w:right w:w="15" w:type="dxa"/>
            </w:tcMar>
            <w:vAlign w:val="center"/>
          </w:tcPr>
          <w:p w14:paraId="324146A2" w14:textId="77777777" w:rsidR="00BA0236" w:rsidRPr="00B32914" w:rsidRDefault="00BA0236" w:rsidP="001002DE">
            <w:pPr>
              <w:pStyle w:val="NormalnyWeb"/>
              <w:spacing w:before="0" w:beforeAutospacing="0"/>
              <w:jc w:val="center"/>
              <w:textAlignment w:val="bottom"/>
              <w:rPr>
                <w:rFonts w:ascii="Arial" w:hAnsi="Arial" w:cs="Arial"/>
              </w:rPr>
            </w:pPr>
            <w:r w:rsidRPr="00B32914">
              <w:rPr>
                <w:color w:val="000000"/>
                <w:kern w:val="24"/>
              </w:rPr>
              <w:t>Nazwa obszaru problemowego</w:t>
            </w:r>
          </w:p>
        </w:tc>
      </w:tr>
      <w:tr w:rsidR="00BA0236" w:rsidRPr="00B32914" w14:paraId="5DF8F8C7" w14:textId="77777777" w:rsidTr="007C28CC">
        <w:trPr>
          <w:trHeight w:val="326"/>
        </w:trPr>
        <w:tc>
          <w:tcPr>
            <w:tcW w:w="840" w:type="dxa"/>
            <w:tcBorders>
              <w:top w:val="single" w:sz="8" w:space="0" w:color="E61E28"/>
              <w:left w:val="single" w:sz="8" w:space="0" w:color="E61E28"/>
              <w:bottom w:val="single" w:sz="8" w:space="0" w:color="E61E28"/>
              <w:right w:val="single" w:sz="8" w:space="0" w:color="E61E28"/>
            </w:tcBorders>
            <w:tcMar>
              <w:top w:w="15" w:type="dxa"/>
              <w:left w:w="15" w:type="dxa"/>
              <w:bottom w:w="0" w:type="dxa"/>
              <w:right w:w="15" w:type="dxa"/>
            </w:tcMar>
            <w:vAlign w:val="center"/>
          </w:tcPr>
          <w:p w14:paraId="59327AE7" w14:textId="77777777" w:rsidR="00BA0236" w:rsidRPr="00B32914" w:rsidRDefault="00BA0236" w:rsidP="001002DE">
            <w:pPr>
              <w:pStyle w:val="NormalnyWeb"/>
              <w:spacing w:before="0" w:beforeAutospacing="0"/>
              <w:jc w:val="center"/>
              <w:textAlignment w:val="center"/>
              <w:rPr>
                <w:rFonts w:ascii="Arial" w:hAnsi="Arial" w:cs="Arial"/>
              </w:rPr>
            </w:pPr>
            <w:r w:rsidRPr="00B32914">
              <w:rPr>
                <w:color w:val="000000"/>
                <w:kern w:val="24"/>
              </w:rPr>
              <w:t>1</w:t>
            </w:r>
          </w:p>
        </w:tc>
        <w:tc>
          <w:tcPr>
            <w:tcW w:w="7088" w:type="dxa"/>
            <w:tcBorders>
              <w:top w:val="single" w:sz="8" w:space="0" w:color="E61E28"/>
              <w:left w:val="single" w:sz="8" w:space="0" w:color="E61E28"/>
              <w:bottom w:val="single" w:sz="8" w:space="0" w:color="E61E28"/>
              <w:right w:val="single" w:sz="8" w:space="0" w:color="E61E28"/>
            </w:tcBorders>
            <w:tcMar>
              <w:top w:w="15" w:type="dxa"/>
              <w:left w:w="15" w:type="dxa"/>
              <w:bottom w:w="0" w:type="dxa"/>
              <w:right w:w="15" w:type="dxa"/>
            </w:tcMar>
            <w:vAlign w:val="center"/>
          </w:tcPr>
          <w:p w14:paraId="00A1E5C9" w14:textId="77777777" w:rsidR="00BA0236" w:rsidRPr="00B32914" w:rsidRDefault="00BA0236" w:rsidP="001002DE">
            <w:pPr>
              <w:pStyle w:val="NormalnyWeb"/>
              <w:tabs>
                <w:tab w:val="left" w:pos="1553"/>
              </w:tabs>
              <w:spacing w:before="0" w:beforeAutospacing="0"/>
              <w:ind w:firstLine="144"/>
              <w:textAlignment w:val="center"/>
              <w:rPr>
                <w:rFonts w:ascii="Arial" w:hAnsi="Arial" w:cs="Arial"/>
              </w:rPr>
            </w:pPr>
            <w:r w:rsidRPr="00B32914">
              <w:rPr>
                <w:color w:val="000000"/>
                <w:kern w:val="24"/>
              </w:rPr>
              <w:t>IOP_1   Miasto Gdańsk</w:t>
            </w:r>
          </w:p>
        </w:tc>
      </w:tr>
      <w:tr w:rsidR="00BA0236" w:rsidRPr="00B32914" w14:paraId="3689844D" w14:textId="77777777" w:rsidTr="007C28CC">
        <w:trPr>
          <w:trHeight w:val="388"/>
        </w:trPr>
        <w:tc>
          <w:tcPr>
            <w:tcW w:w="840" w:type="dxa"/>
            <w:tcBorders>
              <w:top w:val="single" w:sz="8" w:space="0" w:color="E61E28"/>
              <w:left w:val="single" w:sz="8" w:space="0" w:color="E61E28"/>
              <w:bottom w:val="single" w:sz="8" w:space="0" w:color="E61E28"/>
              <w:right w:val="single" w:sz="8" w:space="0" w:color="E61E28"/>
            </w:tcBorders>
            <w:tcMar>
              <w:top w:w="15" w:type="dxa"/>
              <w:left w:w="15" w:type="dxa"/>
              <w:bottom w:w="0" w:type="dxa"/>
              <w:right w:w="15" w:type="dxa"/>
            </w:tcMar>
            <w:vAlign w:val="center"/>
          </w:tcPr>
          <w:p w14:paraId="336CE34E" w14:textId="77777777" w:rsidR="00BA0236" w:rsidRPr="00B32914" w:rsidRDefault="00BA0236" w:rsidP="001002DE">
            <w:pPr>
              <w:pStyle w:val="NormalnyWeb"/>
              <w:spacing w:before="0" w:beforeAutospacing="0"/>
              <w:jc w:val="center"/>
              <w:textAlignment w:val="center"/>
              <w:rPr>
                <w:rFonts w:ascii="Arial" w:hAnsi="Arial" w:cs="Arial"/>
              </w:rPr>
            </w:pPr>
            <w:r w:rsidRPr="00B32914">
              <w:rPr>
                <w:color w:val="000000"/>
                <w:kern w:val="24"/>
              </w:rPr>
              <w:t>2</w:t>
            </w:r>
          </w:p>
        </w:tc>
        <w:tc>
          <w:tcPr>
            <w:tcW w:w="7088" w:type="dxa"/>
            <w:tcBorders>
              <w:top w:val="single" w:sz="8" w:space="0" w:color="E61E28"/>
              <w:left w:val="single" w:sz="8" w:space="0" w:color="E61E28"/>
              <w:bottom w:val="single" w:sz="8" w:space="0" w:color="E61E28"/>
              <w:right w:val="single" w:sz="8" w:space="0" w:color="E61E28"/>
            </w:tcBorders>
            <w:tcMar>
              <w:top w:w="15" w:type="dxa"/>
              <w:left w:w="15" w:type="dxa"/>
              <w:bottom w:w="0" w:type="dxa"/>
              <w:right w:w="15" w:type="dxa"/>
            </w:tcMar>
            <w:vAlign w:val="center"/>
          </w:tcPr>
          <w:p w14:paraId="7358F3AF" w14:textId="77777777" w:rsidR="00BA0236" w:rsidRPr="00B32914" w:rsidRDefault="00BA0236" w:rsidP="001002DE">
            <w:pPr>
              <w:pStyle w:val="NormalnyWeb"/>
              <w:tabs>
                <w:tab w:val="left" w:pos="1553"/>
              </w:tabs>
              <w:spacing w:before="0" w:beforeAutospacing="0"/>
              <w:ind w:firstLine="144"/>
              <w:textAlignment w:val="center"/>
              <w:rPr>
                <w:rFonts w:ascii="Arial" w:hAnsi="Arial" w:cs="Arial"/>
              </w:rPr>
            </w:pPr>
            <w:r w:rsidRPr="00B32914">
              <w:rPr>
                <w:color w:val="000000"/>
                <w:kern w:val="24"/>
              </w:rPr>
              <w:t>IOP_2   Mierzeja Helska - Jastarnia, Hel</w:t>
            </w:r>
          </w:p>
        </w:tc>
      </w:tr>
      <w:tr w:rsidR="00BA0236" w:rsidRPr="00B32914" w14:paraId="430CC4CC" w14:textId="77777777" w:rsidTr="007C28CC">
        <w:trPr>
          <w:trHeight w:val="433"/>
        </w:trPr>
        <w:tc>
          <w:tcPr>
            <w:tcW w:w="840" w:type="dxa"/>
            <w:tcBorders>
              <w:top w:val="single" w:sz="8" w:space="0" w:color="E61E28"/>
              <w:left w:val="single" w:sz="8" w:space="0" w:color="E61E28"/>
              <w:bottom w:val="single" w:sz="8" w:space="0" w:color="E61E28"/>
              <w:right w:val="single" w:sz="8" w:space="0" w:color="E61E28"/>
            </w:tcBorders>
            <w:tcMar>
              <w:top w:w="15" w:type="dxa"/>
              <w:left w:w="15" w:type="dxa"/>
              <w:bottom w:w="0" w:type="dxa"/>
              <w:right w:w="15" w:type="dxa"/>
            </w:tcMar>
            <w:vAlign w:val="center"/>
          </w:tcPr>
          <w:p w14:paraId="54A53E09" w14:textId="77777777" w:rsidR="00BA0236" w:rsidRPr="00B32914" w:rsidRDefault="00BA0236" w:rsidP="001002DE">
            <w:pPr>
              <w:pStyle w:val="NormalnyWeb"/>
              <w:spacing w:before="0" w:beforeAutospacing="0"/>
              <w:jc w:val="center"/>
              <w:textAlignment w:val="center"/>
              <w:rPr>
                <w:rFonts w:ascii="Arial" w:hAnsi="Arial" w:cs="Arial"/>
              </w:rPr>
            </w:pPr>
            <w:r w:rsidRPr="00B32914">
              <w:rPr>
                <w:color w:val="000000"/>
                <w:kern w:val="24"/>
              </w:rPr>
              <w:t>3</w:t>
            </w:r>
          </w:p>
        </w:tc>
        <w:tc>
          <w:tcPr>
            <w:tcW w:w="7088" w:type="dxa"/>
            <w:tcBorders>
              <w:top w:val="single" w:sz="8" w:space="0" w:color="E61E28"/>
              <w:left w:val="single" w:sz="8" w:space="0" w:color="E61E28"/>
              <w:bottom w:val="single" w:sz="8" w:space="0" w:color="E61E28"/>
              <w:right w:val="single" w:sz="8" w:space="0" w:color="E61E28"/>
            </w:tcBorders>
            <w:tcMar>
              <w:top w:w="15" w:type="dxa"/>
              <w:left w:w="15" w:type="dxa"/>
              <w:bottom w:w="0" w:type="dxa"/>
              <w:right w:w="15" w:type="dxa"/>
            </w:tcMar>
            <w:vAlign w:val="center"/>
          </w:tcPr>
          <w:p w14:paraId="6249C4B8" w14:textId="77777777" w:rsidR="00BA0236" w:rsidRPr="00B32914" w:rsidRDefault="00BA0236" w:rsidP="001002DE">
            <w:pPr>
              <w:pStyle w:val="NormalnyWeb"/>
              <w:tabs>
                <w:tab w:val="left" w:pos="1553"/>
              </w:tabs>
              <w:spacing w:before="0" w:beforeAutospacing="0"/>
              <w:ind w:firstLine="144"/>
              <w:textAlignment w:val="center"/>
              <w:rPr>
                <w:rFonts w:ascii="Arial" w:hAnsi="Arial" w:cs="Arial"/>
              </w:rPr>
            </w:pPr>
            <w:r w:rsidRPr="00B32914">
              <w:rPr>
                <w:color w:val="000000"/>
                <w:kern w:val="24"/>
              </w:rPr>
              <w:t>IOP_5   Krynica Morska - Zalew Wiślany</w:t>
            </w:r>
          </w:p>
        </w:tc>
      </w:tr>
      <w:tr w:rsidR="00BA0236" w:rsidRPr="00B32914" w14:paraId="5CE118C0" w14:textId="77777777" w:rsidTr="007C28CC">
        <w:trPr>
          <w:trHeight w:val="398"/>
        </w:trPr>
        <w:tc>
          <w:tcPr>
            <w:tcW w:w="840" w:type="dxa"/>
            <w:tcBorders>
              <w:top w:val="single" w:sz="8" w:space="0" w:color="E61E28"/>
              <w:left w:val="single" w:sz="8" w:space="0" w:color="E61E28"/>
              <w:bottom w:val="single" w:sz="8" w:space="0" w:color="E61E28"/>
              <w:right w:val="single" w:sz="8" w:space="0" w:color="E61E28"/>
            </w:tcBorders>
            <w:tcMar>
              <w:top w:w="15" w:type="dxa"/>
              <w:left w:w="15" w:type="dxa"/>
              <w:bottom w:w="0" w:type="dxa"/>
              <w:right w:w="15" w:type="dxa"/>
            </w:tcMar>
            <w:vAlign w:val="center"/>
          </w:tcPr>
          <w:p w14:paraId="5BE6ACE9" w14:textId="77777777" w:rsidR="00BA0236" w:rsidRPr="00B32914" w:rsidRDefault="00BA0236" w:rsidP="001002DE">
            <w:pPr>
              <w:pStyle w:val="NormalnyWeb"/>
              <w:spacing w:before="0" w:beforeAutospacing="0"/>
              <w:jc w:val="center"/>
              <w:textAlignment w:val="center"/>
              <w:rPr>
                <w:rFonts w:ascii="Arial" w:hAnsi="Arial" w:cs="Arial"/>
              </w:rPr>
            </w:pPr>
            <w:r w:rsidRPr="00B32914">
              <w:rPr>
                <w:color w:val="000000"/>
                <w:kern w:val="24"/>
              </w:rPr>
              <w:t>4</w:t>
            </w:r>
          </w:p>
        </w:tc>
        <w:tc>
          <w:tcPr>
            <w:tcW w:w="7088" w:type="dxa"/>
            <w:tcBorders>
              <w:top w:val="single" w:sz="8" w:space="0" w:color="E61E28"/>
              <w:left w:val="single" w:sz="8" w:space="0" w:color="E61E28"/>
              <w:bottom w:val="single" w:sz="8" w:space="0" w:color="E61E28"/>
              <w:right w:val="single" w:sz="8" w:space="0" w:color="E61E28"/>
            </w:tcBorders>
            <w:tcMar>
              <w:top w:w="15" w:type="dxa"/>
              <w:left w:w="15" w:type="dxa"/>
              <w:bottom w:w="0" w:type="dxa"/>
              <w:right w:w="15" w:type="dxa"/>
            </w:tcMar>
            <w:vAlign w:val="center"/>
          </w:tcPr>
          <w:p w14:paraId="3B844894" w14:textId="77777777" w:rsidR="00BA0236" w:rsidRPr="00B32914" w:rsidRDefault="00BA0236" w:rsidP="001002DE">
            <w:pPr>
              <w:pStyle w:val="NormalnyWeb"/>
              <w:tabs>
                <w:tab w:val="left" w:pos="1553"/>
              </w:tabs>
              <w:spacing w:before="0" w:beforeAutospacing="0"/>
              <w:ind w:firstLine="144"/>
              <w:textAlignment w:val="center"/>
              <w:rPr>
                <w:rFonts w:ascii="Arial" w:hAnsi="Arial" w:cs="Arial"/>
              </w:rPr>
            </w:pPr>
            <w:r w:rsidRPr="00B32914">
              <w:rPr>
                <w:color w:val="000000"/>
                <w:kern w:val="24"/>
              </w:rPr>
              <w:t>IOP_7   Ustka - ujście Słupi</w:t>
            </w:r>
          </w:p>
        </w:tc>
      </w:tr>
      <w:tr w:rsidR="00BA0236" w:rsidRPr="00B32914" w14:paraId="2699B3C9" w14:textId="77777777" w:rsidTr="007C28CC">
        <w:trPr>
          <w:trHeight w:val="390"/>
        </w:trPr>
        <w:tc>
          <w:tcPr>
            <w:tcW w:w="840" w:type="dxa"/>
            <w:tcBorders>
              <w:top w:val="single" w:sz="8" w:space="0" w:color="E61E28"/>
              <w:left w:val="single" w:sz="8" w:space="0" w:color="E61E28"/>
              <w:bottom w:val="single" w:sz="8" w:space="0" w:color="E61E28"/>
              <w:right w:val="single" w:sz="8" w:space="0" w:color="E61E28"/>
            </w:tcBorders>
            <w:tcMar>
              <w:top w:w="15" w:type="dxa"/>
              <w:left w:w="15" w:type="dxa"/>
              <w:bottom w:w="0" w:type="dxa"/>
              <w:right w:w="15" w:type="dxa"/>
            </w:tcMar>
            <w:vAlign w:val="center"/>
          </w:tcPr>
          <w:p w14:paraId="427F666D" w14:textId="77777777" w:rsidR="00BA0236" w:rsidRPr="00B32914" w:rsidRDefault="00BA0236" w:rsidP="001002DE">
            <w:pPr>
              <w:pStyle w:val="NormalnyWeb"/>
              <w:spacing w:before="0" w:beforeAutospacing="0"/>
              <w:jc w:val="center"/>
              <w:textAlignment w:val="center"/>
              <w:rPr>
                <w:rFonts w:ascii="Arial" w:hAnsi="Arial" w:cs="Arial"/>
              </w:rPr>
            </w:pPr>
            <w:r w:rsidRPr="00B32914">
              <w:rPr>
                <w:color w:val="000000"/>
                <w:kern w:val="24"/>
              </w:rPr>
              <w:t>5</w:t>
            </w:r>
          </w:p>
        </w:tc>
        <w:tc>
          <w:tcPr>
            <w:tcW w:w="7088" w:type="dxa"/>
            <w:tcBorders>
              <w:top w:val="single" w:sz="8" w:space="0" w:color="E61E28"/>
              <w:left w:val="single" w:sz="8" w:space="0" w:color="E61E28"/>
              <w:bottom w:val="single" w:sz="8" w:space="0" w:color="E61E28"/>
              <w:right w:val="single" w:sz="8" w:space="0" w:color="E61E28"/>
            </w:tcBorders>
            <w:tcMar>
              <w:top w:w="15" w:type="dxa"/>
              <w:left w:w="15" w:type="dxa"/>
              <w:bottom w:w="0" w:type="dxa"/>
              <w:right w:w="15" w:type="dxa"/>
            </w:tcMar>
            <w:vAlign w:val="center"/>
          </w:tcPr>
          <w:p w14:paraId="2C8933EC" w14:textId="0DA6C85E" w:rsidR="00BA0236" w:rsidRPr="00B32914" w:rsidRDefault="00BA0236" w:rsidP="001002DE">
            <w:pPr>
              <w:pStyle w:val="NormalnyWeb"/>
              <w:tabs>
                <w:tab w:val="left" w:pos="1553"/>
              </w:tabs>
              <w:spacing w:before="0" w:beforeAutospacing="0"/>
              <w:ind w:left="144"/>
              <w:textAlignment w:val="center"/>
              <w:rPr>
                <w:rFonts w:ascii="Arial" w:hAnsi="Arial" w:cs="Arial"/>
              </w:rPr>
            </w:pPr>
            <w:r w:rsidRPr="00B32914">
              <w:rPr>
                <w:color w:val="000000"/>
                <w:kern w:val="24"/>
              </w:rPr>
              <w:t>IOP_8   Dębki</w:t>
            </w:r>
          </w:p>
        </w:tc>
      </w:tr>
      <w:tr w:rsidR="00BA0236" w:rsidRPr="00B32914" w14:paraId="504CAF59" w14:textId="77777777" w:rsidTr="007C28CC">
        <w:trPr>
          <w:trHeight w:val="470"/>
        </w:trPr>
        <w:tc>
          <w:tcPr>
            <w:tcW w:w="840" w:type="dxa"/>
            <w:tcBorders>
              <w:top w:val="single" w:sz="8" w:space="0" w:color="E61E28"/>
              <w:left w:val="single" w:sz="8" w:space="0" w:color="E61E28"/>
              <w:bottom w:val="single" w:sz="8" w:space="0" w:color="E61E28"/>
              <w:right w:val="single" w:sz="8" w:space="0" w:color="E61E28"/>
            </w:tcBorders>
            <w:tcMar>
              <w:top w:w="15" w:type="dxa"/>
              <w:left w:w="15" w:type="dxa"/>
              <w:bottom w:w="0" w:type="dxa"/>
              <w:right w:w="15" w:type="dxa"/>
            </w:tcMar>
            <w:vAlign w:val="center"/>
          </w:tcPr>
          <w:p w14:paraId="7192F1B2" w14:textId="77777777" w:rsidR="00BA0236" w:rsidRPr="00B32914" w:rsidRDefault="00BA0236" w:rsidP="001002DE">
            <w:pPr>
              <w:pStyle w:val="NormalnyWeb"/>
              <w:spacing w:before="0" w:beforeAutospacing="0"/>
              <w:jc w:val="center"/>
              <w:textAlignment w:val="center"/>
              <w:rPr>
                <w:rFonts w:ascii="Arial" w:hAnsi="Arial" w:cs="Arial"/>
              </w:rPr>
            </w:pPr>
            <w:r w:rsidRPr="00B32914">
              <w:rPr>
                <w:color w:val="000000"/>
                <w:kern w:val="24"/>
              </w:rPr>
              <w:t>6</w:t>
            </w:r>
          </w:p>
        </w:tc>
        <w:tc>
          <w:tcPr>
            <w:tcW w:w="7088" w:type="dxa"/>
            <w:tcBorders>
              <w:top w:val="single" w:sz="8" w:space="0" w:color="E61E28"/>
              <w:left w:val="single" w:sz="8" w:space="0" w:color="E61E28"/>
              <w:bottom w:val="single" w:sz="8" w:space="0" w:color="E61E28"/>
              <w:right w:val="single" w:sz="8" w:space="0" w:color="E61E28"/>
            </w:tcBorders>
            <w:tcMar>
              <w:top w:w="15" w:type="dxa"/>
              <w:left w:w="15" w:type="dxa"/>
              <w:bottom w:w="0" w:type="dxa"/>
              <w:right w:w="15" w:type="dxa"/>
            </w:tcMar>
            <w:vAlign w:val="center"/>
          </w:tcPr>
          <w:p w14:paraId="2D4F250A" w14:textId="77777777" w:rsidR="00BA0236" w:rsidRPr="00B32914" w:rsidRDefault="00BA0236" w:rsidP="001002DE">
            <w:pPr>
              <w:pStyle w:val="NormalnyWeb"/>
              <w:tabs>
                <w:tab w:val="left" w:pos="1553"/>
              </w:tabs>
              <w:spacing w:before="0" w:beforeAutospacing="0"/>
              <w:ind w:firstLine="144"/>
              <w:textAlignment w:val="center"/>
              <w:rPr>
                <w:rFonts w:ascii="Arial" w:hAnsi="Arial" w:cs="Arial"/>
              </w:rPr>
            </w:pPr>
            <w:r w:rsidRPr="00B32914">
              <w:rPr>
                <w:color w:val="000000"/>
                <w:kern w:val="24"/>
              </w:rPr>
              <w:t>IOP_12 Łeba od Mielnickiego Kanału do Chełstu (p)</w:t>
            </w:r>
          </w:p>
        </w:tc>
      </w:tr>
      <w:tr w:rsidR="00BA0236" w:rsidRPr="00B32914" w14:paraId="49AD4E90" w14:textId="77777777" w:rsidTr="007C28CC">
        <w:trPr>
          <w:trHeight w:val="376"/>
        </w:trPr>
        <w:tc>
          <w:tcPr>
            <w:tcW w:w="840" w:type="dxa"/>
            <w:tcBorders>
              <w:top w:val="single" w:sz="8" w:space="0" w:color="E61E28"/>
              <w:left w:val="single" w:sz="8" w:space="0" w:color="E61E28"/>
              <w:bottom w:val="single" w:sz="8" w:space="0" w:color="E61E28"/>
              <w:right w:val="single" w:sz="8" w:space="0" w:color="E61E28"/>
            </w:tcBorders>
            <w:tcMar>
              <w:top w:w="15" w:type="dxa"/>
              <w:left w:w="15" w:type="dxa"/>
              <w:bottom w:w="0" w:type="dxa"/>
              <w:right w:w="15" w:type="dxa"/>
            </w:tcMar>
            <w:vAlign w:val="center"/>
          </w:tcPr>
          <w:p w14:paraId="28EFC472" w14:textId="77777777" w:rsidR="00BA0236" w:rsidRPr="00B32914" w:rsidRDefault="00BA0236" w:rsidP="001002DE">
            <w:pPr>
              <w:pStyle w:val="NormalnyWeb"/>
              <w:spacing w:before="0" w:beforeAutospacing="0"/>
              <w:jc w:val="center"/>
              <w:textAlignment w:val="center"/>
              <w:rPr>
                <w:rFonts w:ascii="Arial" w:hAnsi="Arial" w:cs="Arial"/>
              </w:rPr>
            </w:pPr>
            <w:r w:rsidRPr="00B32914">
              <w:rPr>
                <w:color w:val="000000"/>
                <w:kern w:val="24"/>
              </w:rPr>
              <w:t>7</w:t>
            </w:r>
          </w:p>
        </w:tc>
        <w:tc>
          <w:tcPr>
            <w:tcW w:w="7088" w:type="dxa"/>
            <w:tcBorders>
              <w:top w:val="single" w:sz="8" w:space="0" w:color="E61E28"/>
              <w:left w:val="single" w:sz="8" w:space="0" w:color="E61E28"/>
              <w:bottom w:val="single" w:sz="8" w:space="0" w:color="E61E28"/>
              <w:right w:val="single" w:sz="8" w:space="0" w:color="E61E28"/>
            </w:tcBorders>
            <w:tcMar>
              <w:top w:w="15" w:type="dxa"/>
              <w:left w:w="15" w:type="dxa"/>
              <w:bottom w:w="0" w:type="dxa"/>
              <w:right w:w="15" w:type="dxa"/>
            </w:tcMar>
            <w:vAlign w:val="center"/>
          </w:tcPr>
          <w:p w14:paraId="11501E76" w14:textId="77777777" w:rsidR="00BA0236" w:rsidRPr="00B32914" w:rsidRDefault="00BA0236" w:rsidP="001002DE">
            <w:pPr>
              <w:pStyle w:val="NormalnyWeb"/>
              <w:tabs>
                <w:tab w:val="left" w:pos="1553"/>
              </w:tabs>
              <w:spacing w:before="0" w:beforeAutospacing="0"/>
              <w:ind w:firstLine="144"/>
              <w:textAlignment w:val="center"/>
              <w:rPr>
                <w:rFonts w:ascii="Arial" w:hAnsi="Arial" w:cs="Arial"/>
              </w:rPr>
            </w:pPr>
            <w:r w:rsidRPr="00B32914">
              <w:rPr>
                <w:color w:val="000000"/>
                <w:kern w:val="24"/>
              </w:rPr>
              <w:t>MR_1   Żuławy Wiślane</w:t>
            </w:r>
          </w:p>
        </w:tc>
      </w:tr>
      <w:tr w:rsidR="00BA0236" w:rsidRPr="00B32914" w14:paraId="795A6625" w14:textId="77777777" w:rsidTr="007C28CC">
        <w:trPr>
          <w:trHeight w:val="412"/>
        </w:trPr>
        <w:tc>
          <w:tcPr>
            <w:tcW w:w="840" w:type="dxa"/>
            <w:tcBorders>
              <w:top w:val="single" w:sz="8" w:space="0" w:color="E61E28"/>
              <w:left w:val="single" w:sz="8" w:space="0" w:color="E61E28"/>
              <w:bottom w:val="single" w:sz="8" w:space="0" w:color="E61E28"/>
              <w:right w:val="single" w:sz="8" w:space="0" w:color="E61E28"/>
            </w:tcBorders>
            <w:tcMar>
              <w:top w:w="15" w:type="dxa"/>
              <w:left w:w="15" w:type="dxa"/>
              <w:bottom w:w="0" w:type="dxa"/>
              <w:right w:w="15" w:type="dxa"/>
            </w:tcMar>
            <w:vAlign w:val="center"/>
          </w:tcPr>
          <w:p w14:paraId="18ABBEE9" w14:textId="77777777" w:rsidR="00BA0236" w:rsidRPr="00B32914" w:rsidRDefault="00BA0236" w:rsidP="001002DE">
            <w:pPr>
              <w:pStyle w:val="NormalnyWeb"/>
              <w:spacing w:before="0" w:beforeAutospacing="0"/>
              <w:jc w:val="center"/>
              <w:textAlignment w:val="center"/>
              <w:rPr>
                <w:rFonts w:ascii="Arial" w:hAnsi="Arial" w:cs="Arial"/>
              </w:rPr>
            </w:pPr>
            <w:r w:rsidRPr="00B32914">
              <w:rPr>
                <w:color w:val="000000"/>
                <w:kern w:val="24"/>
              </w:rPr>
              <w:t>8</w:t>
            </w:r>
          </w:p>
        </w:tc>
        <w:tc>
          <w:tcPr>
            <w:tcW w:w="7088" w:type="dxa"/>
            <w:tcBorders>
              <w:top w:val="single" w:sz="8" w:space="0" w:color="E61E28"/>
              <w:left w:val="single" w:sz="8" w:space="0" w:color="E61E28"/>
              <w:bottom w:val="single" w:sz="8" w:space="0" w:color="E61E28"/>
              <w:right w:val="single" w:sz="8" w:space="0" w:color="E61E28"/>
            </w:tcBorders>
            <w:tcMar>
              <w:top w:w="15" w:type="dxa"/>
              <w:left w:w="15" w:type="dxa"/>
              <w:bottom w:w="0" w:type="dxa"/>
              <w:right w:w="15" w:type="dxa"/>
            </w:tcMar>
            <w:vAlign w:val="center"/>
          </w:tcPr>
          <w:p w14:paraId="0FC7A6E5" w14:textId="77777777" w:rsidR="00BA0236" w:rsidRPr="00B32914" w:rsidRDefault="00BA0236" w:rsidP="001002DE">
            <w:pPr>
              <w:pStyle w:val="NormalnyWeb"/>
              <w:tabs>
                <w:tab w:val="left" w:pos="1553"/>
              </w:tabs>
              <w:spacing w:before="0" w:beforeAutospacing="0"/>
              <w:ind w:left="130"/>
              <w:textAlignment w:val="center"/>
              <w:rPr>
                <w:rFonts w:ascii="Arial" w:hAnsi="Arial" w:cs="Arial"/>
              </w:rPr>
            </w:pPr>
            <w:r w:rsidRPr="00B32914">
              <w:rPr>
                <w:color w:val="000000"/>
                <w:kern w:val="24"/>
              </w:rPr>
              <w:t>MR_2   Mechelinki, Rewa, Mosty, Połchowo - ujście Redy</w:t>
            </w:r>
          </w:p>
        </w:tc>
      </w:tr>
    </w:tbl>
    <w:p w14:paraId="50E03FDB" w14:textId="0ED9E546" w:rsidR="00BA0236" w:rsidRDefault="00E8074C" w:rsidP="007C28CC">
      <w:pPr>
        <w:pStyle w:val="ReportText"/>
        <w:spacing w:before="120"/>
        <w:jc w:val="center"/>
      </w:pPr>
      <w:bookmarkStart w:id="17" w:name="_Hlk68805291"/>
      <w:r>
        <w:rPr>
          <w:noProof/>
          <w:lang w:eastAsia="pl-PL"/>
        </w:rPr>
        <w:lastRenderedPageBreak/>
        <w:drawing>
          <wp:inline distT="0" distB="0" distL="0" distR="0" wp14:anchorId="7A2FF485" wp14:editId="1ADF9814">
            <wp:extent cx="3781425" cy="3781425"/>
            <wp:effectExtent l="0" t="0" r="0" b="0"/>
            <wp:docPr id="2" name="Obraz 12" descr="Obraz zawierający mapa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2" descr="Obraz zawierający mapaOpis wygenerowany automatyczni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81425" cy="3781425"/>
                    </a:xfrm>
                    <a:prstGeom prst="rect">
                      <a:avLst/>
                    </a:prstGeom>
                    <a:noFill/>
                    <a:ln>
                      <a:noFill/>
                    </a:ln>
                  </pic:spPr>
                </pic:pic>
              </a:graphicData>
            </a:graphic>
          </wp:inline>
        </w:drawing>
      </w:r>
    </w:p>
    <w:p w14:paraId="45FEA567" w14:textId="1A6C2516" w:rsidR="00BA0236" w:rsidRPr="007C28CC" w:rsidRDefault="00BA0236" w:rsidP="00E32F23">
      <w:pPr>
        <w:pStyle w:val="ReportText"/>
        <w:spacing w:before="120"/>
        <w:ind w:left="1418" w:hanging="1418"/>
      </w:pPr>
      <w:bookmarkStart w:id="18" w:name="_Ref76549980"/>
      <w:bookmarkStart w:id="19" w:name="_Toc76734806"/>
      <w:bookmarkStart w:id="20" w:name="_Toc80604774"/>
      <w:r w:rsidRPr="007C28CC">
        <w:t xml:space="preserve">Rysunek </w:t>
      </w:r>
      <w:r w:rsidR="00677743">
        <w:rPr>
          <w:noProof/>
        </w:rPr>
        <w:fldChar w:fldCharType="begin"/>
      </w:r>
      <w:r w:rsidR="00677743">
        <w:rPr>
          <w:noProof/>
        </w:rPr>
        <w:instrText xml:space="preserve"> SEQ Rysunek \* ARABIC </w:instrText>
      </w:r>
      <w:r w:rsidR="00677743">
        <w:rPr>
          <w:noProof/>
        </w:rPr>
        <w:fldChar w:fldCharType="separate"/>
      </w:r>
      <w:r w:rsidR="00FD3F9A">
        <w:rPr>
          <w:noProof/>
        </w:rPr>
        <w:t>1</w:t>
      </w:r>
      <w:r w:rsidR="00677743">
        <w:rPr>
          <w:noProof/>
        </w:rPr>
        <w:fldChar w:fldCharType="end"/>
      </w:r>
      <w:bookmarkEnd w:id="18"/>
      <w:r w:rsidRPr="007C28CC">
        <w:tab/>
        <w:t xml:space="preserve">Lokalizacja obszaru problemowego </w:t>
      </w:r>
      <w:bookmarkEnd w:id="19"/>
      <w:r w:rsidRPr="007C28CC">
        <w:rPr>
          <w:color w:val="000000"/>
          <w:kern w:val="24"/>
        </w:rPr>
        <w:t>IOP_1   Miasto Gdańsk</w:t>
      </w:r>
      <w:bookmarkEnd w:id="20"/>
    </w:p>
    <w:p w14:paraId="551C2906" w14:textId="3B392523" w:rsidR="00BA0236" w:rsidRDefault="00E8074C" w:rsidP="007C28CC">
      <w:pPr>
        <w:pStyle w:val="ReportText"/>
        <w:spacing w:before="120"/>
        <w:jc w:val="center"/>
      </w:pPr>
      <w:r>
        <w:rPr>
          <w:noProof/>
          <w:lang w:eastAsia="pl-PL"/>
        </w:rPr>
        <w:drawing>
          <wp:inline distT="0" distB="0" distL="0" distR="0" wp14:anchorId="1CC4796C" wp14:editId="11992550">
            <wp:extent cx="3781425" cy="3781425"/>
            <wp:effectExtent l="0" t="0" r="0" b="0"/>
            <wp:docPr id="3"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81425" cy="3781425"/>
                    </a:xfrm>
                    <a:prstGeom prst="rect">
                      <a:avLst/>
                    </a:prstGeom>
                    <a:noFill/>
                    <a:ln>
                      <a:noFill/>
                    </a:ln>
                  </pic:spPr>
                </pic:pic>
              </a:graphicData>
            </a:graphic>
          </wp:inline>
        </w:drawing>
      </w:r>
    </w:p>
    <w:p w14:paraId="345EA565" w14:textId="77478261" w:rsidR="00BA0236" w:rsidRPr="007C28CC" w:rsidRDefault="00BA0236" w:rsidP="006E4A04">
      <w:pPr>
        <w:pStyle w:val="ReportText"/>
        <w:spacing w:before="120"/>
        <w:ind w:left="1418" w:hanging="1418"/>
      </w:pPr>
      <w:bookmarkStart w:id="21" w:name="_Toc76734807"/>
      <w:bookmarkStart w:id="22" w:name="_Toc80604775"/>
      <w:r w:rsidRPr="007C28CC">
        <w:t xml:space="preserve">Rysunek </w:t>
      </w:r>
      <w:r w:rsidR="00677743">
        <w:rPr>
          <w:noProof/>
        </w:rPr>
        <w:fldChar w:fldCharType="begin"/>
      </w:r>
      <w:r w:rsidR="00677743">
        <w:rPr>
          <w:noProof/>
        </w:rPr>
        <w:instrText xml:space="preserve"> SEQ Rysunek \* ARABIC </w:instrText>
      </w:r>
      <w:r w:rsidR="00677743">
        <w:rPr>
          <w:noProof/>
        </w:rPr>
        <w:fldChar w:fldCharType="separate"/>
      </w:r>
      <w:r w:rsidR="00FD3F9A">
        <w:rPr>
          <w:noProof/>
        </w:rPr>
        <w:t>2</w:t>
      </w:r>
      <w:r w:rsidR="00677743">
        <w:rPr>
          <w:noProof/>
        </w:rPr>
        <w:fldChar w:fldCharType="end"/>
      </w:r>
      <w:r w:rsidRPr="007C28CC">
        <w:tab/>
        <w:t xml:space="preserve">Lokalizacja obszaru problemowego </w:t>
      </w:r>
      <w:bookmarkEnd w:id="21"/>
      <w:r w:rsidRPr="007C28CC">
        <w:rPr>
          <w:color w:val="000000"/>
          <w:kern w:val="24"/>
        </w:rPr>
        <w:t>IOP_2   Mierzeja Helska - Jastarnia, Hel</w:t>
      </w:r>
      <w:bookmarkEnd w:id="22"/>
    </w:p>
    <w:p w14:paraId="2DFBE1D8" w14:textId="56DE724E" w:rsidR="00BA0236" w:rsidRPr="007C28CC" w:rsidRDefault="00E8074C" w:rsidP="007C28CC">
      <w:pPr>
        <w:jc w:val="center"/>
        <w:rPr>
          <w:b/>
          <w:color w:val="28AAE1"/>
          <w:sz w:val="36"/>
          <w:szCs w:val="20"/>
          <w:lang w:eastAsia="en-US"/>
        </w:rPr>
      </w:pPr>
      <w:r>
        <w:rPr>
          <w:b/>
          <w:noProof/>
          <w:color w:val="28AAE1"/>
          <w:sz w:val="36"/>
          <w:szCs w:val="20"/>
          <w:lang w:eastAsia="pl-PL"/>
        </w:rPr>
        <w:lastRenderedPageBreak/>
        <w:drawing>
          <wp:inline distT="0" distB="0" distL="0" distR="0" wp14:anchorId="3872E3B3" wp14:editId="73CE92B0">
            <wp:extent cx="3781425" cy="3781425"/>
            <wp:effectExtent l="0" t="0" r="0" b="0"/>
            <wp:docPr id="4"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81425" cy="3781425"/>
                    </a:xfrm>
                    <a:prstGeom prst="rect">
                      <a:avLst/>
                    </a:prstGeom>
                    <a:noFill/>
                    <a:ln>
                      <a:noFill/>
                    </a:ln>
                  </pic:spPr>
                </pic:pic>
              </a:graphicData>
            </a:graphic>
          </wp:inline>
        </w:drawing>
      </w:r>
    </w:p>
    <w:p w14:paraId="3313E041" w14:textId="47AA747F" w:rsidR="00BA0236" w:rsidRPr="007C28CC" w:rsidRDefault="00BA0236" w:rsidP="006E4A04">
      <w:pPr>
        <w:pStyle w:val="ReportText"/>
        <w:spacing w:before="120"/>
        <w:ind w:left="1418" w:hanging="1418"/>
      </w:pPr>
      <w:bookmarkStart w:id="23" w:name="_Toc76734808"/>
      <w:bookmarkStart w:id="24" w:name="_Toc80604776"/>
      <w:r w:rsidRPr="007C28CC">
        <w:t xml:space="preserve">Rysunek </w:t>
      </w:r>
      <w:r w:rsidR="00677743">
        <w:rPr>
          <w:noProof/>
        </w:rPr>
        <w:fldChar w:fldCharType="begin"/>
      </w:r>
      <w:r w:rsidR="00677743">
        <w:rPr>
          <w:noProof/>
        </w:rPr>
        <w:instrText xml:space="preserve"> SEQ Rysunek \* ARABIC </w:instrText>
      </w:r>
      <w:r w:rsidR="00677743">
        <w:rPr>
          <w:noProof/>
        </w:rPr>
        <w:fldChar w:fldCharType="separate"/>
      </w:r>
      <w:r w:rsidR="00FD3F9A">
        <w:rPr>
          <w:noProof/>
        </w:rPr>
        <w:t>3</w:t>
      </w:r>
      <w:r w:rsidR="00677743">
        <w:rPr>
          <w:noProof/>
        </w:rPr>
        <w:fldChar w:fldCharType="end"/>
      </w:r>
      <w:r w:rsidRPr="007C28CC">
        <w:tab/>
        <w:t xml:space="preserve">Lokalizacja obszaru problemowego </w:t>
      </w:r>
      <w:bookmarkEnd w:id="23"/>
      <w:r w:rsidRPr="007C28CC">
        <w:rPr>
          <w:color w:val="000000"/>
          <w:kern w:val="24"/>
        </w:rPr>
        <w:t>IOP_5 Krynica Morska - Zalew Wiślany</w:t>
      </w:r>
      <w:bookmarkEnd w:id="24"/>
    </w:p>
    <w:p w14:paraId="1C8EEDB7" w14:textId="0F79493E" w:rsidR="00BA0236" w:rsidRDefault="00E8074C" w:rsidP="007C28CC">
      <w:pPr>
        <w:pStyle w:val="ReportText"/>
        <w:spacing w:before="120"/>
        <w:jc w:val="center"/>
      </w:pPr>
      <w:r>
        <w:rPr>
          <w:noProof/>
          <w:lang w:eastAsia="pl-PL"/>
        </w:rPr>
        <w:drawing>
          <wp:inline distT="0" distB="0" distL="0" distR="0" wp14:anchorId="2A961E19" wp14:editId="200F8BF7">
            <wp:extent cx="3781425" cy="3781425"/>
            <wp:effectExtent l="0" t="0" r="0" b="0"/>
            <wp:docPr id="5" name="Obraz 28" descr="Obraz zawierający mapa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8" descr="Obraz zawierający mapaOpis wygenerowany automatyczni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81425" cy="3781425"/>
                    </a:xfrm>
                    <a:prstGeom prst="rect">
                      <a:avLst/>
                    </a:prstGeom>
                    <a:noFill/>
                    <a:ln>
                      <a:noFill/>
                    </a:ln>
                  </pic:spPr>
                </pic:pic>
              </a:graphicData>
            </a:graphic>
          </wp:inline>
        </w:drawing>
      </w:r>
      <w:bookmarkStart w:id="25" w:name="_Toc76734809"/>
    </w:p>
    <w:p w14:paraId="32423FA0" w14:textId="696732A9" w:rsidR="00BA0236" w:rsidRPr="007C28CC" w:rsidRDefault="00BA0236" w:rsidP="00E32F23">
      <w:pPr>
        <w:pStyle w:val="ReportText"/>
        <w:spacing w:before="120"/>
        <w:ind w:left="1418" w:hanging="1418"/>
      </w:pPr>
      <w:bookmarkStart w:id="26" w:name="_Toc80604777"/>
      <w:r w:rsidRPr="007C28CC">
        <w:t xml:space="preserve">Rysunek </w:t>
      </w:r>
      <w:r w:rsidR="00677743">
        <w:rPr>
          <w:noProof/>
        </w:rPr>
        <w:fldChar w:fldCharType="begin"/>
      </w:r>
      <w:r w:rsidR="00677743">
        <w:rPr>
          <w:noProof/>
        </w:rPr>
        <w:instrText xml:space="preserve"> SEQ Rysunek \* ARABIC </w:instrText>
      </w:r>
      <w:r w:rsidR="00677743">
        <w:rPr>
          <w:noProof/>
        </w:rPr>
        <w:fldChar w:fldCharType="separate"/>
      </w:r>
      <w:r w:rsidR="00FD3F9A">
        <w:rPr>
          <w:noProof/>
        </w:rPr>
        <w:t>4</w:t>
      </w:r>
      <w:r w:rsidR="00677743">
        <w:rPr>
          <w:noProof/>
        </w:rPr>
        <w:fldChar w:fldCharType="end"/>
      </w:r>
      <w:r w:rsidRPr="007C28CC">
        <w:tab/>
        <w:t xml:space="preserve">Lokalizacja obszaru problemowego </w:t>
      </w:r>
      <w:bookmarkEnd w:id="25"/>
      <w:r w:rsidRPr="007C28CC">
        <w:rPr>
          <w:color w:val="000000"/>
          <w:kern w:val="24"/>
        </w:rPr>
        <w:t>IOP_7   Ustka - ujście Słupi</w:t>
      </w:r>
      <w:bookmarkEnd w:id="26"/>
    </w:p>
    <w:p w14:paraId="328FB52B" w14:textId="4FDFC348" w:rsidR="00BA0236" w:rsidRDefault="00E8074C" w:rsidP="001002DE">
      <w:pPr>
        <w:pStyle w:val="ReportText"/>
        <w:spacing w:before="0" w:after="120"/>
        <w:ind w:left="1440" w:hanging="1440"/>
        <w:jc w:val="center"/>
      </w:pPr>
      <w:r>
        <w:rPr>
          <w:noProof/>
          <w:lang w:eastAsia="pl-PL"/>
        </w:rPr>
        <w:lastRenderedPageBreak/>
        <w:drawing>
          <wp:inline distT="0" distB="0" distL="0" distR="0" wp14:anchorId="5C0D7747" wp14:editId="2BCF6EF0">
            <wp:extent cx="3781425" cy="3781425"/>
            <wp:effectExtent l="0" t="0" r="0" b="0"/>
            <wp:docPr id="6" name="Obraz 33" descr="Obraz zawierający mapa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3" descr="Obraz zawierający mapaOpis wygenerowany automatyczni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81425" cy="3781425"/>
                    </a:xfrm>
                    <a:prstGeom prst="rect">
                      <a:avLst/>
                    </a:prstGeom>
                    <a:noFill/>
                    <a:ln>
                      <a:noFill/>
                    </a:ln>
                  </pic:spPr>
                </pic:pic>
              </a:graphicData>
            </a:graphic>
          </wp:inline>
        </w:drawing>
      </w:r>
      <w:bookmarkStart w:id="27" w:name="_Toc76734810"/>
    </w:p>
    <w:p w14:paraId="4E25F681" w14:textId="44BDC95C" w:rsidR="00BA0236" w:rsidRPr="007C28CC" w:rsidRDefault="00BA0236" w:rsidP="00E32F23">
      <w:pPr>
        <w:pStyle w:val="ReportText"/>
        <w:spacing w:before="0" w:after="120"/>
        <w:ind w:left="1418" w:hanging="1418"/>
      </w:pPr>
      <w:bookmarkStart w:id="28" w:name="_Toc80604778"/>
      <w:r w:rsidRPr="007C28CC">
        <w:t xml:space="preserve">Rysunek </w:t>
      </w:r>
      <w:r w:rsidR="00677743">
        <w:rPr>
          <w:noProof/>
        </w:rPr>
        <w:fldChar w:fldCharType="begin"/>
      </w:r>
      <w:r w:rsidR="00677743">
        <w:rPr>
          <w:noProof/>
        </w:rPr>
        <w:instrText xml:space="preserve"> SEQ Rysunek \* ARABIC </w:instrText>
      </w:r>
      <w:r w:rsidR="00677743">
        <w:rPr>
          <w:noProof/>
        </w:rPr>
        <w:fldChar w:fldCharType="separate"/>
      </w:r>
      <w:r w:rsidR="00FD3F9A">
        <w:rPr>
          <w:noProof/>
        </w:rPr>
        <w:t>5</w:t>
      </w:r>
      <w:r w:rsidR="00677743">
        <w:rPr>
          <w:noProof/>
        </w:rPr>
        <w:fldChar w:fldCharType="end"/>
      </w:r>
      <w:r w:rsidRPr="007C28CC">
        <w:tab/>
        <w:t xml:space="preserve">Lokalizacja obszaru problemowego </w:t>
      </w:r>
      <w:bookmarkEnd w:id="27"/>
      <w:r w:rsidRPr="007C28CC">
        <w:rPr>
          <w:color w:val="000000"/>
          <w:kern w:val="24"/>
        </w:rPr>
        <w:t>IOP_8 Dębki</w:t>
      </w:r>
      <w:bookmarkEnd w:id="28"/>
    </w:p>
    <w:p w14:paraId="475EAF76" w14:textId="77777777" w:rsidR="00B55A5C" w:rsidRDefault="00E8074C" w:rsidP="00B55A5C">
      <w:pPr>
        <w:pStyle w:val="ReportText"/>
        <w:spacing w:before="120"/>
        <w:jc w:val="center"/>
      </w:pPr>
      <w:r>
        <w:rPr>
          <w:noProof/>
          <w:lang w:eastAsia="pl-PL"/>
        </w:rPr>
        <w:drawing>
          <wp:inline distT="0" distB="0" distL="0" distR="0" wp14:anchorId="0BA5C29A" wp14:editId="0A0109A9">
            <wp:extent cx="3781425" cy="3781425"/>
            <wp:effectExtent l="0" t="0" r="0" b="0"/>
            <wp:docPr id="7" name="Obraz 34" descr="Obraz zawierający mapa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4" descr="Obraz zawierający mapaOpis wygenerowany automatyczni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81425" cy="3781425"/>
                    </a:xfrm>
                    <a:prstGeom prst="rect">
                      <a:avLst/>
                    </a:prstGeom>
                    <a:noFill/>
                    <a:ln>
                      <a:noFill/>
                    </a:ln>
                  </pic:spPr>
                </pic:pic>
              </a:graphicData>
            </a:graphic>
          </wp:inline>
        </w:drawing>
      </w:r>
    </w:p>
    <w:p w14:paraId="2C5A418F" w14:textId="4C030B3E" w:rsidR="00BA0236" w:rsidRPr="00B55A5C" w:rsidRDefault="00B55A5C" w:rsidP="00B55A5C">
      <w:pPr>
        <w:pStyle w:val="ReportText"/>
        <w:spacing w:before="120"/>
        <w:ind w:left="1418" w:hanging="1418"/>
      </w:pPr>
      <w:bookmarkStart w:id="29" w:name="_Ref76549988"/>
      <w:bookmarkStart w:id="30" w:name="_Toc76734811"/>
      <w:bookmarkStart w:id="31" w:name="_Toc80604779"/>
      <w:r>
        <w:t>R</w:t>
      </w:r>
      <w:r w:rsidR="00BA0236" w:rsidRPr="007C28CC">
        <w:t xml:space="preserve">ysunek </w:t>
      </w:r>
      <w:r w:rsidR="00677743">
        <w:rPr>
          <w:noProof/>
        </w:rPr>
        <w:fldChar w:fldCharType="begin"/>
      </w:r>
      <w:r w:rsidR="00677743">
        <w:rPr>
          <w:noProof/>
        </w:rPr>
        <w:instrText xml:space="preserve"> SEQ Rysunek \* ARABIC </w:instrText>
      </w:r>
      <w:r w:rsidR="00677743">
        <w:rPr>
          <w:noProof/>
        </w:rPr>
        <w:fldChar w:fldCharType="separate"/>
      </w:r>
      <w:r w:rsidR="00FD3F9A">
        <w:rPr>
          <w:noProof/>
        </w:rPr>
        <w:t>6</w:t>
      </w:r>
      <w:r w:rsidR="00677743">
        <w:rPr>
          <w:noProof/>
        </w:rPr>
        <w:fldChar w:fldCharType="end"/>
      </w:r>
      <w:bookmarkEnd w:id="29"/>
      <w:r w:rsidR="00BA0236" w:rsidRPr="007C28CC">
        <w:tab/>
        <w:t xml:space="preserve">Lokalizacja obszaru problemowego </w:t>
      </w:r>
      <w:bookmarkEnd w:id="30"/>
      <w:r w:rsidR="00BA0236" w:rsidRPr="007C28CC">
        <w:rPr>
          <w:color w:val="000000"/>
          <w:kern w:val="24"/>
        </w:rPr>
        <w:t>IOP_12 Łeba od Mielnickiego Kanału do Chełstu (p)</w:t>
      </w:r>
      <w:bookmarkEnd w:id="31"/>
    </w:p>
    <w:p w14:paraId="1D91DE7F" w14:textId="32EEF025" w:rsidR="00BA0236" w:rsidRDefault="00E8074C" w:rsidP="00C34EB7">
      <w:pPr>
        <w:pStyle w:val="ReportText"/>
        <w:keepNext/>
        <w:spacing w:before="120"/>
        <w:jc w:val="center"/>
      </w:pPr>
      <w:r>
        <w:rPr>
          <w:noProof/>
          <w:lang w:eastAsia="pl-PL"/>
        </w:rPr>
        <w:lastRenderedPageBreak/>
        <w:drawing>
          <wp:inline distT="0" distB="0" distL="0" distR="0" wp14:anchorId="71273F52" wp14:editId="5EFD3534">
            <wp:extent cx="3781425" cy="3781425"/>
            <wp:effectExtent l="0" t="0" r="0" b="0"/>
            <wp:docPr id="8" name="Obraz 35" descr="Obraz zawierający tekst, drzewo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5" descr="Obraz zawierający tekst, drzewoOpis wygenerowany automatyczni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81425" cy="3781425"/>
                    </a:xfrm>
                    <a:prstGeom prst="rect">
                      <a:avLst/>
                    </a:prstGeom>
                    <a:noFill/>
                    <a:ln>
                      <a:noFill/>
                    </a:ln>
                  </pic:spPr>
                </pic:pic>
              </a:graphicData>
            </a:graphic>
          </wp:inline>
        </w:drawing>
      </w:r>
    </w:p>
    <w:p w14:paraId="001175EC" w14:textId="1981AF91" w:rsidR="00BA0236" w:rsidRPr="00E32F23" w:rsidRDefault="00BA0236" w:rsidP="00E32F23">
      <w:pPr>
        <w:pStyle w:val="Legenda"/>
        <w:tabs>
          <w:tab w:val="clear" w:pos="1080"/>
        </w:tabs>
        <w:ind w:left="1418" w:hanging="1418"/>
        <w:jc w:val="both"/>
        <w:rPr>
          <w:sz w:val="24"/>
          <w:szCs w:val="28"/>
        </w:rPr>
      </w:pPr>
      <w:bookmarkStart w:id="32" w:name="_Toc80604780"/>
      <w:r w:rsidRPr="00E32F23">
        <w:rPr>
          <w:sz w:val="24"/>
          <w:szCs w:val="28"/>
        </w:rPr>
        <w:t xml:space="preserve">Rysunek </w:t>
      </w:r>
      <w:r w:rsidR="00295C25" w:rsidRPr="00E32F23">
        <w:rPr>
          <w:sz w:val="24"/>
          <w:szCs w:val="28"/>
        </w:rPr>
        <w:fldChar w:fldCharType="begin"/>
      </w:r>
      <w:r w:rsidR="00295C25" w:rsidRPr="00E32F23">
        <w:rPr>
          <w:sz w:val="24"/>
          <w:szCs w:val="28"/>
        </w:rPr>
        <w:instrText xml:space="preserve"> SEQ Rysunek \* ARABIC </w:instrText>
      </w:r>
      <w:r w:rsidR="00295C25" w:rsidRPr="00E32F23">
        <w:rPr>
          <w:sz w:val="24"/>
          <w:szCs w:val="28"/>
        </w:rPr>
        <w:fldChar w:fldCharType="separate"/>
      </w:r>
      <w:r w:rsidR="00FD3F9A">
        <w:rPr>
          <w:noProof/>
          <w:sz w:val="24"/>
          <w:szCs w:val="28"/>
        </w:rPr>
        <w:t>7</w:t>
      </w:r>
      <w:r w:rsidR="00295C25" w:rsidRPr="00E32F23">
        <w:rPr>
          <w:noProof/>
          <w:sz w:val="24"/>
          <w:szCs w:val="28"/>
        </w:rPr>
        <w:fldChar w:fldCharType="end"/>
      </w:r>
      <w:r w:rsidR="00E32F23">
        <w:rPr>
          <w:sz w:val="24"/>
          <w:szCs w:val="28"/>
        </w:rPr>
        <w:tab/>
      </w:r>
      <w:r w:rsidRPr="00E32F23">
        <w:rPr>
          <w:sz w:val="24"/>
          <w:szCs w:val="28"/>
        </w:rPr>
        <w:t xml:space="preserve">Lokalizacja obszaru problemowego </w:t>
      </w:r>
      <w:r w:rsidRPr="00E32F23">
        <w:rPr>
          <w:color w:val="000000"/>
          <w:kern w:val="24"/>
          <w:sz w:val="24"/>
          <w:szCs w:val="28"/>
        </w:rPr>
        <w:t>MR_1 Żuławy Wiślane</w:t>
      </w:r>
      <w:bookmarkEnd w:id="32"/>
    </w:p>
    <w:p w14:paraId="38E592A9" w14:textId="7A8DC74C" w:rsidR="00BA0236" w:rsidRDefault="00E8074C" w:rsidP="00C34EB7">
      <w:pPr>
        <w:pStyle w:val="ReportText"/>
        <w:keepNext/>
        <w:spacing w:before="120"/>
        <w:jc w:val="center"/>
      </w:pPr>
      <w:r>
        <w:rPr>
          <w:noProof/>
          <w:color w:val="000000"/>
          <w:kern w:val="24"/>
          <w:lang w:eastAsia="pl-PL"/>
        </w:rPr>
        <w:drawing>
          <wp:inline distT="0" distB="0" distL="0" distR="0" wp14:anchorId="09B52188" wp14:editId="3975E2E2">
            <wp:extent cx="3781425" cy="3781425"/>
            <wp:effectExtent l="0" t="0" r="0" b="0"/>
            <wp:docPr id="9" name="Obraz 36" descr="Obraz zawierający mapa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6" descr="Obraz zawierający mapaOpis wygenerowany automatyczni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81425" cy="3781425"/>
                    </a:xfrm>
                    <a:prstGeom prst="rect">
                      <a:avLst/>
                    </a:prstGeom>
                    <a:noFill/>
                    <a:ln>
                      <a:noFill/>
                    </a:ln>
                  </pic:spPr>
                </pic:pic>
              </a:graphicData>
            </a:graphic>
          </wp:inline>
        </w:drawing>
      </w:r>
    </w:p>
    <w:p w14:paraId="5A383283" w14:textId="3EDE30A5" w:rsidR="00BA0236" w:rsidRPr="00E32F23" w:rsidRDefault="00BA0236" w:rsidP="00E32F23">
      <w:pPr>
        <w:pStyle w:val="Legenda"/>
        <w:tabs>
          <w:tab w:val="clear" w:pos="1080"/>
          <w:tab w:val="left" w:pos="1418"/>
        </w:tabs>
        <w:ind w:left="1418" w:hanging="1418"/>
        <w:jc w:val="both"/>
        <w:rPr>
          <w:color w:val="000000"/>
          <w:kern w:val="24"/>
          <w:sz w:val="24"/>
        </w:rPr>
      </w:pPr>
      <w:bookmarkStart w:id="33" w:name="_Toc80604781"/>
      <w:r w:rsidRPr="00E32F23">
        <w:rPr>
          <w:sz w:val="24"/>
        </w:rPr>
        <w:t xml:space="preserve">Rysunek </w:t>
      </w:r>
      <w:r w:rsidR="00295C25" w:rsidRPr="00E32F23">
        <w:rPr>
          <w:sz w:val="24"/>
        </w:rPr>
        <w:fldChar w:fldCharType="begin"/>
      </w:r>
      <w:r w:rsidR="00295C25" w:rsidRPr="00E32F23">
        <w:rPr>
          <w:sz w:val="24"/>
        </w:rPr>
        <w:instrText xml:space="preserve"> SEQ Rysunek \* ARABIC </w:instrText>
      </w:r>
      <w:r w:rsidR="00295C25" w:rsidRPr="00E32F23">
        <w:rPr>
          <w:sz w:val="24"/>
        </w:rPr>
        <w:fldChar w:fldCharType="separate"/>
      </w:r>
      <w:r w:rsidR="00FD3F9A">
        <w:rPr>
          <w:noProof/>
          <w:sz w:val="24"/>
        </w:rPr>
        <w:t>8</w:t>
      </w:r>
      <w:r w:rsidR="00295C25" w:rsidRPr="00E32F23">
        <w:rPr>
          <w:noProof/>
          <w:sz w:val="24"/>
        </w:rPr>
        <w:fldChar w:fldCharType="end"/>
      </w:r>
      <w:r w:rsidR="00E32F23">
        <w:rPr>
          <w:sz w:val="24"/>
        </w:rPr>
        <w:tab/>
      </w:r>
      <w:r w:rsidRPr="00E32F23">
        <w:rPr>
          <w:sz w:val="24"/>
        </w:rPr>
        <w:t xml:space="preserve">Lokalizacja obszaru problemowego </w:t>
      </w:r>
      <w:r w:rsidRPr="00E32F23">
        <w:rPr>
          <w:color w:val="000000"/>
          <w:kern w:val="24"/>
          <w:sz w:val="24"/>
        </w:rPr>
        <w:t>MR_2 Mechelinki, Rewa, Mosty, Połchowo - ujście Redy</w:t>
      </w:r>
      <w:bookmarkEnd w:id="33"/>
    </w:p>
    <w:p w14:paraId="38F6C041" w14:textId="77777777" w:rsidR="00BA0236" w:rsidRPr="007C28CC" w:rsidRDefault="00BA0236" w:rsidP="00E8074C">
      <w:pPr>
        <w:pStyle w:val="ReportLevel1"/>
        <w:numPr>
          <w:ilvl w:val="0"/>
          <w:numId w:val="9"/>
        </w:numPr>
      </w:pPr>
      <w:bookmarkStart w:id="34" w:name="_Toc79511669"/>
      <w:bookmarkStart w:id="35" w:name="_Toc80604849"/>
      <w:r w:rsidRPr="007C28CC">
        <w:lastRenderedPageBreak/>
        <w:t>Opracowanie wstępnej listy działań</w:t>
      </w:r>
      <w:bookmarkEnd w:id="34"/>
      <w:bookmarkEnd w:id="35"/>
    </w:p>
    <w:p w14:paraId="6D3A5055" w14:textId="66B5A33A" w:rsidR="00BA0236" w:rsidRPr="007C28CC" w:rsidRDefault="00BA0236" w:rsidP="007C28CC">
      <w:pPr>
        <w:pStyle w:val="ReportText"/>
      </w:pPr>
      <w:r w:rsidRPr="007C28CC">
        <w:t>Podczas opracowania wstępnej listy działań zidentyfikowano działania zawarte</w:t>
      </w:r>
      <w:r w:rsidR="00E32F23">
        <w:t xml:space="preserve"> </w:t>
      </w:r>
      <w:r w:rsidRPr="007C28CC">
        <w:t>m.in. w</w:t>
      </w:r>
      <w:r w:rsidR="00E32F23">
        <w:t> </w:t>
      </w:r>
      <w:r w:rsidRPr="007C28CC">
        <w:t>dokumentach planistycznych i programach strategicznych, którym można przypisać realizację celów zarządzania ryzykiem powodziowym od strony morza, w tym morskich wód wewnętrznych. Na wstępie dokonano przeglądu i weryfikacji listy zadań zamieszczonych w PZRP z I cyklu, wykorzystując do tego m.in. przeprowadzoną</w:t>
      </w:r>
      <w:r w:rsidR="00E32F23">
        <w:t xml:space="preserve"> </w:t>
      </w:r>
      <w:r w:rsidRPr="007C28CC">
        <w:t>w</w:t>
      </w:r>
      <w:r w:rsidR="00E32F23">
        <w:t> </w:t>
      </w:r>
      <w:r w:rsidRPr="007C28CC">
        <w:t>ramach zadania 1.4 ocenę postępów realizacji działań ujętych na listach z PZRP z I cyklu planistycznego. Powyższa lista powstała z uwzględnieniem możliwości inwestycyjnych. Na listę wstępną zostały zakwalifikowane inwestycje, których realizacja może rozpocząć się w najbliższej perspektywie finansowej (2022-2027). Listę tych zadań nazwano listą „I”.</w:t>
      </w:r>
    </w:p>
    <w:p w14:paraId="7128BB19" w14:textId="1C7FBCEB" w:rsidR="00BA0236" w:rsidRPr="007C28CC" w:rsidRDefault="00BA0236" w:rsidP="007C28CC">
      <w:pPr>
        <w:pStyle w:val="ReportText"/>
      </w:pPr>
      <w:r w:rsidRPr="007C28CC">
        <w:t>W kolejnym kroku dokonano przeglądu planowanych działań w zakresie ochrony brzegów morskich oraz ochrony przeciwpowodziowej. Były to następujące dokumenty: „Program ochrony brzegów morskich” (POBM) oraz Program Planowanych Inwestycji</w:t>
      </w:r>
      <w:r w:rsidR="00E32F23">
        <w:t xml:space="preserve"> </w:t>
      </w:r>
      <w:r w:rsidRPr="007C28CC">
        <w:t>w Gospodarce Wodnej PGW WP, w zakresie powodzi od strony morza, w tym morskich wód wewnętrznych. Stworzono jedną listę działań w zakresie powodzi od strony morza, w tym morskich wód wewnętrznych (Lista działań morskich – LDM). Zadania figurujące w LDM zostały przeanalizowane pod względem uzasadnienia i realności wykonania działań. Na etapie formowania przedmiotowej listy nastąpiły spotkania konsultacyjne</w:t>
      </w:r>
      <w:r w:rsidR="00E32F23">
        <w:t xml:space="preserve"> </w:t>
      </w:r>
      <w:r w:rsidRPr="007C28CC">
        <w:t>z</w:t>
      </w:r>
      <w:r w:rsidR="00E32F23">
        <w:t> </w:t>
      </w:r>
      <w:r w:rsidRPr="007C28CC">
        <w:t>przedstawicielami Urzędu Morskiego w Gdyni i Urzędu Morskiego w Szczecinie</w:t>
      </w:r>
      <w:r w:rsidR="00E80985">
        <w:br/>
      </w:r>
      <w:r w:rsidRPr="007C28CC">
        <w:t>w celu omówienia zakresów działań proponowanych POBM oraz możliwości ich kwalifikacji do przedmiotowej listy. Powstałą listę planowanych zadań nazwano listą „II”.</w:t>
      </w:r>
    </w:p>
    <w:p w14:paraId="429E8F6A" w14:textId="65D0A6F4" w:rsidR="00BA0236" w:rsidRPr="007C28CC" w:rsidRDefault="00BA0236" w:rsidP="007C28CC">
      <w:pPr>
        <w:pStyle w:val="ReportText"/>
      </w:pPr>
      <w:r w:rsidRPr="007C28CC">
        <w:t>Następnym krokiem były analizy i przegląd pozostałych inwestycji planowanych</w:t>
      </w:r>
      <w:r w:rsidR="00E32F23">
        <w:t xml:space="preserve"> </w:t>
      </w:r>
      <w:r w:rsidRPr="007C28CC">
        <w:t>w</w:t>
      </w:r>
      <w:r w:rsidR="00E32F23">
        <w:t> </w:t>
      </w:r>
      <w:r w:rsidRPr="007C28CC">
        <w:t xml:space="preserve">gospodarce morskiej oraz wodnej (w zakresie przeciwdziałania powodziom od strony morza, w tym morskich wód wewnętrznych), a niekoniecznie związanych stricte z celem przeciwpowodziowym (inwestycje portowe, inwestycje dostępowe do portów), inwestycji planowanych w ramach </w:t>
      </w:r>
      <w:r>
        <w:t>Programu przeciwdziałania niedoborom wody, Projektu planu przeciwdziałania skutkom suszy</w:t>
      </w:r>
      <w:r w:rsidRPr="007C28CC">
        <w:t xml:space="preserve">, a także innych strategiach i programach (żegluga, energetyka, środowisko). Analizowano także </w:t>
      </w:r>
      <w:r>
        <w:t>Miejskie Plany</w:t>
      </w:r>
      <w:r w:rsidRPr="005F5E63">
        <w:t xml:space="preserve"> Adaptacji do Zmian Klimatu</w:t>
      </w:r>
      <w:r>
        <w:t xml:space="preserve"> dla miast</w:t>
      </w:r>
      <w:r w:rsidRPr="007C28CC">
        <w:t>: Elbląg, Gdańsk, Gdynia, Sopot i Szczecin. Listę tych zadań nazwano listą „III”.</w:t>
      </w:r>
    </w:p>
    <w:p w14:paraId="57F0AD8C" w14:textId="7F6C6FB2" w:rsidR="00BA0236" w:rsidRPr="007C28CC" w:rsidRDefault="00BA0236" w:rsidP="007C28CC">
      <w:pPr>
        <w:pStyle w:val="ReportText"/>
      </w:pPr>
      <w:r w:rsidRPr="007C28CC">
        <w:t>Na podstawie wyników ankietyzacji dotyczącej zrealizowanych, realizowanych</w:t>
      </w:r>
      <w:r w:rsidR="00E32F23">
        <w:t xml:space="preserve"> </w:t>
      </w:r>
      <w:r w:rsidRPr="007C28CC">
        <w:t>i</w:t>
      </w:r>
      <w:r w:rsidR="00E32F23">
        <w:t> </w:t>
      </w:r>
      <w:r w:rsidRPr="007C28CC">
        <w:t>planowanych działań podejmowanych przez podmioty odpowiedzialne za poszczególne elementy zarządzania ryzykiem powodziowym od strony morza w tym morskich wód wewnętrznych (podzadanie 1.4.2) oraz serii spotkań konsultacyjnych z Urzędami Morskimi (UM Gdynia, UM Szczecin) i Regionalnymi Zarządami Gospodarki Wodnej (RZGW Gdańsk i RZGW Szczecin) mających na celu weryfikację i uzupełnienie zebranych informacji, utworzono listę „IV”.</w:t>
      </w:r>
    </w:p>
    <w:p w14:paraId="3BA7E89E" w14:textId="03FCCE71" w:rsidR="00FD3F9A" w:rsidRPr="004D6635" w:rsidRDefault="00BA0236" w:rsidP="00012DD3">
      <w:pPr>
        <w:pStyle w:val="ReportText"/>
        <w:keepNext/>
        <w:spacing w:before="120"/>
      </w:pPr>
      <w:r w:rsidRPr="007C28CC">
        <w:lastRenderedPageBreak/>
        <w:t>Z tak opisanych powyżej list stworzono wstępną listę działań stanowiącą sumę zadań</w:t>
      </w:r>
      <w:r w:rsidR="00E32F23">
        <w:t xml:space="preserve"> </w:t>
      </w:r>
      <w:r w:rsidRPr="007C28CC">
        <w:t>z</w:t>
      </w:r>
      <w:r w:rsidR="00E32F23">
        <w:t> </w:t>
      </w:r>
      <w:r w:rsidRPr="007C28CC">
        <w:t xml:space="preserve">list I, II, III i IV. Schemat procesu opracowania wstępnej listy działań przedstawia </w:t>
      </w:r>
      <w:r>
        <w:t>poniższy rysunek.</w:t>
      </w:r>
      <w:r w:rsidRPr="007C28CC">
        <w:fldChar w:fldCharType="begin"/>
      </w:r>
      <w:r w:rsidRPr="007C28CC">
        <w:instrText xml:space="preserve"> REF _Ref70081704 \h </w:instrText>
      </w:r>
      <w:r w:rsidRPr="007C28CC">
        <w:fldChar w:fldCharType="separate"/>
      </w:r>
    </w:p>
    <w:p w14:paraId="65AACB10" w14:textId="35D7F391" w:rsidR="00FD3F9A" w:rsidRPr="004D6635" w:rsidRDefault="00BA0236" w:rsidP="00012DD3">
      <w:pPr>
        <w:pStyle w:val="ReportText"/>
        <w:keepNext/>
        <w:spacing w:before="120"/>
      </w:pPr>
      <w:r w:rsidRPr="007C28CC">
        <w:fldChar w:fldCharType="end"/>
      </w:r>
      <w:r w:rsidRPr="007C28CC">
        <w:fldChar w:fldCharType="begin"/>
      </w:r>
      <w:r w:rsidRPr="007C28CC">
        <w:instrText xml:space="preserve"> REF _Ref70081700 \h </w:instrText>
      </w:r>
      <w:r w:rsidRPr="007C28CC">
        <w:fldChar w:fldCharType="separate"/>
      </w:r>
    </w:p>
    <w:p w14:paraId="7A11AB78" w14:textId="09D7047A" w:rsidR="00BA0236" w:rsidRDefault="00BA0236" w:rsidP="00C34EB7">
      <w:pPr>
        <w:pStyle w:val="ReportText"/>
        <w:keepNext/>
        <w:spacing w:before="120"/>
      </w:pPr>
      <w:r w:rsidRPr="007C28CC">
        <w:fldChar w:fldCharType="end"/>
      </w:r>
      <w:r w:rsidR="00E8074C">
        <w:rPr>
          <w:noProof/>
          <w:lang w:eastAsia="pl-PL"/>
        </w:rPr>
        <w:drawing>
          <wp:inline distT="0" distB="0" distL="0" distR="0" wp14:anchorId="04D411E3" wp14:editId="4D4C7951">
            <wp:extent cx="3629025" cy="3781425"/>
            <wp:effectExtent l="0" t="0" r="0" b="0"/>
            <wp:docPr id="10"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29025" cy="3781425"/>
                    </a:xfrm>
                    <a:prstGeom prst="rect">
                      <a:avLst/>
                    </a:prstGeom>
                    <a:noFill/>
                    <a:ln>
                      <a:noFill/>
                    </a:ln>
                  </pic:spPr>
                </pic:pic>
              </a:graphicData>
            </a:graphic>
          </wp:inline>
        </w:drawing>
      </w:r>
      <w:bookmarkStart w:id="36" w:name="_Ref70081704"/>
      <w:bookmarkStart w:id="37" w:name="_Ref70081700"/>
      <w:bookmarkStart w:id="38" w:name="_Toc76734812"/>
    </w:p>
    <w:p w14:paraId="12EC1481" w14:textId="778E3B5F" w:rsidR="00BA0236" w:rsidRPr="004D6635" w:rsidRDefault="00BA0236" w:rsidP="004D6635">
      <w:pPr>
        <w:pStyle w:val="Legenda"/>
        <w:tabs>
          <w:tab w:val="clear" w:pos="1080"/>
          <w:tab w:val="left" w:pos="1418"/>
        </w:tabs>
        <w:ind w:left="1418" w:hanging="1418"/>
        <w:jc w:val="both"/>
        <w:rPr>
          <w:sz w:val="24"/>
        </w:rPr>
      </w:pPr>
      <w:bookmarkStart w:id="39" w:name="_Toc80604782"/>
      <w:r w:rsidRPr="004D6635">
        <w:rPr>
          <w:sz w:val="24"/>
        </w:rPr>
        <w:t xml:space="preserve">Rysunek </w:t>
      </w:r>
      <w:r w:rsidR="00295C25" w:rsidRPr="004D6635">
        <w:rPr>
          <w:sz w:val="24"/>
        </w:rPr>
        <w:fldChar w:fldCharType="begin"/>
      </w:r>
      <w:r w:rsidR="00295C25" w:rsidRPr="004D6635">
        <w:rPr>
          <w:sz w:val="24"/>
        </w:rPr>
        <w:instrText xml:space="preserve"> SEQ Rysunek \* ARABIC </w:instrText>
      </w:r>
      <w:r w:rsidR="00295C25" w:rsidRPr="004D6635">
        <w:rPr>
          <w:sz w:val="24"/>
        </w:rPr>
        <w:fldChar w:fldCharType="separate"/>
      </w:r>
      <w:r w:rsidR="00FD3F9A">
        <w:rPr>
          <w:noProof/>
          <w:sz w:val="24"/>
        </w:rPr>
        <w:t>9</w:t>
      </w:r>
      <w:r w:rsidR="00295C25" w:rsidRPr="004D6635">
        <w:rPr>
          <w:noProof/>
          <w:sz w:val="24"/>
        </w:rPr>
        <w:fldChar w:fldCharType="end"/>
      </w:r>
      <w:r w:rsidR="004D6635">
        <w:rPr>
          <w:sz w:val="24"/>
        </w:rPr>
        <w:tab/>
      </w:r>
      <w:r w:rsidRPr="004D6635">
        <w:rPr>
          <w:sz w:val="24"/>
        </w:rPr>
        <w:t>Schemat opracowania wstępnej listy działań</w:t>
      </w:r>
      <w:bookmarkEnd w:id="39"/>
    </w:p>
    <w:bookmarkEnd w:id="36"/>
    <w:bookmarkEnd w:id="37"/>
    <w:bookmarkEnd w:id="38"/>
    <w:p w14:paraId="4C1A541A" w14:textId="77777777" w:rsidR="00BA0236" w:rsidRPr="007C28CC" w:rsidRDefault="00BA0236" w:rsidP="007C28CC">
      <w:pPr>
        <w:pStyle w:val="ReportText"/>
      </w:pPr>
      <w:r w:rsidRPr="007C28CC">
        <w:t>Wstępna lista działań ograniczających ryzyko powodziowe od strony morza, w tym morskich wód wewnętrznych zawiera 119 zadań. Źródłem 13 działań jest lista „I”, kolejnych 22 dopisano z listy „II”, 72 z listy „III” oraz 12 z listy „IV”.</w:t>
      </w:r>
      <w:r w:rsidRPr="007C28CC">
        <w:rPr>
          <w:b/>
          <w:bCs/>
          <w:color w:val="FF0000"/>
        </w:rPr>
        <w:br w:type="page"/>
      </w:r>
    </w:p>
    <w:p w14:paraId="29193A72" w14:textId="77777777" w:rsidR="00BA0236" w:rsidRPr="007C28CC" w:rsidRDefault="00BA0236" w:rsidP="00E8074C">
      <w:pPr>
        <w:pStyle w:val="ReportLevel1"/>
        <w:numPr>
          <w:ilvl w:val="0"/>
          <w:numId w:val="9"/>
        </w:numPr>
      </w:pPr>
      <w:bookmarkStart w:id="40" w:name="_Toc79511670"/>
      <w:bookmarkStart w:id="41" w:name="_Toc80604850"/>
      <w:r w:rsidRPr="007C28CC">
        <w:lastRenderedPageBreak/>
        <w:t>Weryfikacja wstępnej listy działań i utworzenie listy bazowej</w:t>
      </w:r>
      <w:bookmarkEnd w:id="40"/>
      <w:bookmarkEnd w:id="41"/>
    </w:p>
    <w:p w14:paraId="47E3E874" w14:textId="19E45FA4" w:rsidR="00BA0236" w:rsidRPr="007C28CC" w:rsidRDefault="00BA0236" w:rsidP="007C28CC">
      <w:pPr>
        <w:pStyle w:val="ReportText"/>
        <w:spacing w:before="120"/>
      </w:pPr>
      <w:r w:rsidRPr="007C28CC">
        <w:t>Tworzenie bazowej listy zadań aPZRPM zostało przeprowadzone zgodnie z założeniami reguły S.M.A.R.T. W tym celu określono wartości wszystkich kryteriów oceny dla każdego zadania. Za pozytywny wynik weryfikacji wskazanego działania uznawano jedynie w przypadku, gdy otrzymało ono pozytywne oceny dla każdego</w:t>
      </w:r>
      <w:r w:rsidR="004D6635">
        <w:t xml:space="preserve"> </w:t>
      </w:r>
      <w:r w:rsidRPr="007C28CC">
        <w:t>z badanych kryteriów. W przebiegu analizy S.M.A.R.T. uwzględniano</w:t>
      </w:r>
      <w:r w:rsidR="00D93E27">
        <w:t xml:space="preserve"> </w:t>
      </w:r>
      <w:r w:rsidRPr="007C28CC">
        <w:t>następujące czynniki:</w:t>
      </w:r>
    </w:p>
    <w:p w14:paraId="0D597718" w14:textId="77777777" w:rsidR="00BA0236" w:rsidRPr="007C28CC" w:rsidRDefault="00BA0236" w:rsidP="007C28CC">
      <w:pPr>
        <w:pStyle w:val="ReportText"/>
        <w:spacing w:before="120"/>
      </w:pPr>
      <w:r w:rsidRPr="007C28CC">
        <w:t xml:space="preserve">W zakresie kryterium „Skonkretyzowany (Specific)” zadanie zawierało odpowiedź na pytania: co się chce osiągnąć i gdzie, jaki jest powód realizacji działania, kto to zrobi oraz jakie mogą być ograniczenia i problemy. W ramach opisywanych analiz rozpoznano i ustalono: </w:t>
      </w:r>
    </w:p>
    <w:p w14:paraId="3C3A9C1A" w14:textId="77777777" w:rsidR="00BA0236" w:rsidRPr="007C28CC" w:rsidRDefault="00BA0236" w:rsidP="004D6635">
      <w:pPr>
        <w:pStyle w:val="ReportText"/>
        <w:numPr>
          <w:ilvl w:val="0"/>
          <w:numId w:val="17"/>
        </w:numPr>
        <w:spacing w:before="120" w:after="120"/>
        <w:ind w:left="567" w:hanging="425"/>
      </w:pPr>
      <w:r w:rsidRPr="007C28CC">
        <w:t>Podmioty odpowiedzialne za wykonanie działań;</w:t>
      </w:r>
    </w:p>
    <w:p w14:paraId="2F8356C1" w14:textId="77777777" w:rsidR="00BA0236" w:rsidRPr="007C28CC" w:rsidRDefault="00BA0236" w:rsidP="004D6635">
      <w:pPr>
        <w:pStyle w:val="ReportText"/>
        <w:numPr>
          <w:ilvl w:val="0"/>
          <w:numId w:val="17"/>
        </w:numPr>
        <w:spacing w:before="120" w:after="120"/>
        <w:ind w:left="567" w:hanging="425"/>
      </w:pPr>
      <w:r w:rsidRPr="007C28CC">
        <w:t>Sposób koordynacji realizacji działania w przypadku, gdy obowiązek jego realizacji dotyczy więcej niż jednego podmiotu;</w:t>
      </w:r>
    </w:p>
    <w:p w14:paraId="5CA404A0" w14:textId="77777777" w:rsidR="00BA0236" w:rsidRPr="007C28CC" w:rsidRDefault="00BA0236" w:rsidP="004D6635">
      <w:pPr>
        <w:pStyle w:val="ReportText"/>
        <w:numPr>
          <w:ilvl w:val="0"/>
          <w:numId w:val="17"/>
        </w:numPr>
        <w:spacing w:before="120" w:after="120"/>
        <w:ind w:left="567" w:hanging="425"/>
      </w:pPr>
      <w:r w:rsidRPr="007C28CC">
        <w:t>Potwierdzenie zamiaru ich realizacji</w:t>
      </w:r>
      <w:r w:rsidRPr="007C28CC" w:rsidDel="00D9783C">
        <w:t xml:space="preserve"> </w:t>
      </w:r>
      <w:r w:rsidRPr="007C28CC">
        <w:t>przez podmioty wskazane do realizacji działań;</w:t>
      </w:r>
    </w:p>
    <w:p w14:paraId="1B525827" w14:textId="77777777" w:rsidR="00BA0236" w:rsidRPr="007C28CC" w:rsidRDefault="00BA0236" w:rsidP="004D6635">
      <w:pPr>
        <w:pStyle w:val="ReportText"/>
        <w:numPr>
          <w:ilvl w:val="0"/>
          <w:numId w:val="17"/>
        </w:numPr>
        <w:spacing w:before="120" w:after="120"/>
        <w:ind w:left="567" w:hanging="425"/>
      </w:pPr>
      <w:r w:rsidRPr="007C28CC">
        <w:t xml:space="preserve">Lokalizację, w której realizowane będzie działanie. </w:t>
      </w:r>
    </w:p>
    <w:p w14:paraId="410C8478" w14:textId="77777777" w:rsidR="00BA0236" w:rsidRPr="007C28CC" w:rsidRDefault="00BA0236" w:rsidP="004D6635">
      <w:pPr>
        <w:pStyle w:val="ReportText"/>
        <w:spacing w:before="120"/>
        <w:ind w:left="567" w:hanging="425"/>
      </w:pPr>
      <w:r w:rsidRPr="007C28CC">
        <w:t xml:space="preserve">W zakresie kryterium „Mierzalny (Measurable)” do zadań przypisano efekty, jakie jego wdrożenie przyniesie oraz miary kontroli osiągania tych efektów, czyli: </w:t>
      </w:r>
    </w:p>
    <w:p w14:paraId="1842C132" w14:textId="77777777" w:rsidR="00BA0236" w:rsidRPr="007C28CC" w:rsidRDefault="00BA0236" w:rsidP="004D6635">
      <w:pPr>
        <w:pStyle w:val="ReportText"/>
        <w:numPr>
          <w:ilvl w:val="0"/>
          <w:numId w:val="17"/>
        </w:numPr>
        <w:spacing w:before="120" w:after="120"/>
        <w:ind w:left="567" w:hanging="425"/>
      </w:pPr>
      <w:r w:rsidRPr="007C28CC">
        <w:t>Konieczność zapewnienia możliwości monitorowania efektów działania za pomocą miernika powiązanego z celem zarządzania ryzykiem powodziowym.</w:t>
      </w:r>
    </w:p>
    <w:p w14:paraId="53FA4739" w14:textId="77777777" w:rsidR="00BA0236" w:rsidRPr="007C28CC" w:rsidRDefault="00BA0236" w:rsidP="007C28CC">
      <w:pPr>
        <w:pStyle w:val="ReportText"/>
        <w:spacing w:before="120"/>
      </w:pPr>
      <w:r w:rsidRPr="007C28CC">
        <w:t xml:space="preserve">W zakresie kryterium „Osiągalny (Achievable)” zadania oceniono pod kątem sprawdzenia, czy są odpowiednie środki i siły, które pozwalają na ich osiągnięcie, a otoczenie społeczne pozwala na ich wdrożenie. W ramach opisywanych analiz potwierdzono, że: </w:t>
      </w:r>
    </w:p>
    <w:p w14:paraId="438B280E" w14:textId="77777777" w:rsidR="00BA0236" w:rsidRPr="007C28CC" w:rsidRDefault="00BA0236" w:rsidP="004D6635">
      <w:pPr>
        <w:pStyle w:val="ReportText"/>
        <w:numPr>
          <w:ilvl w:val="0"/>
          <w:numId w:val="17"/>
        </w:numPr>
        <w:spacing w:before="120" w:after="120"/>
        <w:ind w:left="567" w:hanging="425"/>
      </w:pPr>
      <w:r w:rsidRPr="007C28CC">
        <w:t>Realizacja działań jest możliwa w aktualnie obowiązującym systemie prawnym;</w:t>
      </w:r>
    </w:p>
    <w:p w14:paraId="4C8C6C77" w14:textId="77777777" w:rsidR="00BA0236" w:rsidRPr="007C28CC" w:rsidRDefault="00BA0236" w:rsidP="004D6635">
      <w:pPr>
        <w:pStyle w:val="ReportText"/>
        <w:numPr>
          <w:ilvl w:val="0"/>
          <w:numId w:val="17"/>
        </w:numPr>
        <w:spacing w:before="120" w:after="120"/>
        <w:ind w:left="567" w:hanging="425"/>
      </w:pPr>
      <w:r w:rsidRPr="007C28CC">
        <w:t>Podmioty wskazane do realizacji działań są do nich prawnie zobowiązane lub upoważnione;</w:t>
      </w:r>
    </w:p>
    <w:p w14:paraId="4229E0BB" w14:textId="77777777" w:rsidR="00BA0236" w:rsidRPr="007C28CC" w:rsidRDefault="00BA0236" w:rsidP="004D6635">
      <w:pPr>
        <w:pStyle w:val="ReportText"/>
        <w:numPr>
          <w:ilvl w:val="0"/>
          <w:numId w:val="17"/>
        </w:numPr>
        <w:spacing w:before="120" w:after="120"/>
        <w:ind w:left="567" w:hanging="425"/>
      </w:pPr>
      <w:r w:rsidRPr="007C28CC">
        <w:t>Działania mają ustalone źródła finansowania lub zaplanowany sposób pozyskania źródła finansowania.</w:t>
      </w:r>
    </w:p>
    <w:p w14:paraId="5B9F350E" w14:textId="77777777" w:rsidR="00BA0236" w:rsidRPr="007C28CC" w:rsidRDefault="00BA0236" w:rsidP="007C28CC">
      <w:pPr>
        <w:pStyle w:val="ReportText"/>
        <w:spacing w:before="120"/>
      </w:pPr>
      <w:r w:rsidRPr="007C28CC">
        <w:t xml:space="preserve">W zakresie kryterium „Istotny (Relevant)” potwierdzone zostało to, czy działanie jest adekwatne i ważne dla realizacji celu jaki założono osiągnąć, a w szczególności: </w:t>
      </w:r>
    </w:p>
    <w:p w14:paraId="05C35319" w14:textId="77777777" w:rsidR="00BA0236" w:rsidRPr="007C28CC" w:rsidRDefault="00BA0236" w:rsidP="004D6635">
      <w:pPr>
        <w:pStyle w:val="ReportText"/>
        <w:numPr>
          <w:ilvl w:val="0"/>
          <w:numId w:val="17"/>
        </w:numPr>
        <w:spacing w:before="120" w:after="120"/>
        <w:ind w:left="567" w:hanging="425"/>
      </w:pPr>
      <w:r w:rsidRPr="007C28CC">
        <w:t>Spełnia co do istoty funkcję związaną z ograniczeniem ryzyka powodziowego;</w:t>
      </w:r>
    </w:p>
    <w:p w14:paraId="3157A6F9" w14:textId="344847C2" w:rsidR="00BA0236" w:rsidRPr="007C28CC" w:rsidRDefault="00BA0236" w:rsidP="004D6635">
      <w:pPr>
        <w:pStyle w:val="ReportText"/>
        <w:numPr>
          <w:ilvl w:val="0"/>
          <w:numId w:val="17"/>
        </w:numPr>
        <w:spacing w:before="120" w:after="120"/>
        <w:ind w:left="567" w:hanging="425"/>
      </w:pPr>
      <w:r w:rsidRPr="007C28CC">
        <w:t>Istotność działań pod względem ochrony przed powodzią wynika z</w:t>
      </w:r>
      <w:r w:rsidR="004D6635">
        <w:t xml:space="preserve"> </w:t>
      </w:r>
      <w:r w:rsidRPr="007C28CC">
        <w:t>przeglądu diagnozy problemów zarządzania ryzykiem powodziowym oraz wyników przeglądu oraz aktualizacji WORP, MZP i MRP.</w:t>
      </w:r>
    </w:p>
    <w:p w14:paraId="0AAD5D7A" w14:textId="30803D8A" w:rsidR="00BA0236" w:rsidRPr="007C28CC" w:rsidRDefault="006E4A04" w:rsidP="007C28CC">
      <w:pPr>
        <w:pStyle w:val="ReportText"/>
        <w:spacing w:before="120"/>
      </w:pPr>
      <w:r>
        <w:br w:type="column"/>
      </w:r>
      <w:r w:rsidR="00BA0236" w:rsidRPr="007C28CC">
        <w:lastRenderedPageBreak/>
        <w:t xml:space="preserve">W zakresie kryterium „Określony w czasie (Time-bound)” weryfikowane były ramy czasowe realizacji zadania, gdyż działanie musi mieć pewien harmonogram wdrożenia i w konsekwencji osiągnięcia celu, dla którego został opracowany. Przyjęto następujący warunek czasowy: </w:t>
      </w:r>
    </w:p>
    <w:p w14:paraId="37E7BB95" w14:textId="7184E834" w:rsidR="00BA0236" w:rsidRPr="007C28CC" w:rsidRDefault="00BA0236" w:rsidP="004D6635">
      <w:pPr>
        <w:pStyle w:val="ReportText"/>
        <w:numPr>
          <w:ilvl w:val="0"/>
          <w:numId w:val="17"/>
        </w:numPr>
        <w:spacing w:before="120" w:after="120"/>
        <w:ind w:left="567" w:hanging="425"/>
      </w:pPr>
      <w:r w:rsidRPr="007C28CC">
        <w:t>Realizacja zadań (a przynajmniej opracowanie dokumentacji technicznej) powinna być realna w horyzoncie czasowym najbliższej perspektywy finansowej (lata 202</w:t>
      </w:r>
      <w:r w:rsidR="00DC3CAB">
        <w:t>2</w:t>
      </w:r>
      <w:r w:rsidRPr="007C28CC">
        <w:t xml:space="preserve">-2027). </w:t>
      </w:r>
    </w:p>
    <w:p w14:paraId="501407B0" w14:textId="77777777" w:rsidR="00BA0236" w:rsidRPr="007C28CC" w:rsidRDefault="00BA0236" w:rsidP="007C28CC">
      <w:pPr>
        <w:pStyle w:val="ReportText"/>
        <w:spacing w:before="120"/>
      </w:pPr>
      <w:r w:rsidRPr="007C28CC">
        <w:t xml:space="preserve">Zastosowanie reguły S.M.A.R.T. ma na celu dokonanie selekcji, dzięki której wybrane działania będą przemyślane, przygotowane, adekwatne do celów i możliwe do wdrożenia. Kluczowymi wymaganiami stawianymi potencjalnym działaniom było, aby były one dobrze zdefiniowane i realistyczne, co jest rozumiane następująco: </w:t>
      </w:r>
    </w:p>
    <w:p w14:paraId="2B77CC7F" w14:textId="77777777" w:rsidR="00BA0236" w:rsidRPr="007C28CC" w:rsidRDefault="00BA0236" w:rsidP="004D6635">
      <w:pPr>
        <w:pStyle w:val="ReportText"/>
        <w:numPr>
          <w:ilvl w:val="0"/>
          <w:numId w:val="15"/>
        </w:numPr>
        <w:ind w:left="567" w:hanging="425"/>
      </w:pPr>
      <w:r w:rsidRPr="007C28CC">
        <w:t xml:space="preserve">Działanie jest „dobrze zdefiniowane”, jeżeli wiadomo: </w:t>
      </w:r>
    </w:p>
    <w:p w14:paraId="2DECEAA5" w14:textId="77777777" w:rsidR="00BA0236" w:rsidRPr="007C28CC" w:rsidRDefault="00BA0236" w:rsidP="004D6635">
      <w:pPr>
        <w:pStyle w:val="ReportText"/>
        <w:numPr>
          <w:ilvl w:val="1"/>
          <w:numId w:val="15"/>
        </w:numPr>
        <w:ind w:left="1134" w:hanging="283"/>
      </w:pPr>
      <w:r w:rsidRPr="007C28CC">
        <w:t>jaki jest zakres działania (działanie ma konkretną lokalizację i parametry);</w:t>
      </w:r>
    </w:p>
    <w:p w14:paraId="74F292DB" w14:textId="77777777" w:rsidR="00BA0236" w:rsidRPr="007C28CC" w:rsidRDefault="00BA0236" w:rsidP="004D6635">
      <w:pPr>
        <w:pStyle w:val="ReportText"/>
        <w:numPr>
          <w:ilvl w:val="1"/>
          <w:numId w:val="15"/>
        </w:numPr>
        <w:ind w:left="1134" w:hanging="283"/>
      </w:pPr>
      <w:r w:rsidRPr="007C28CC">
        <w:t>kto jest odpowiedzialny za wykonanie zadania (znana jest jednostka lub jednostki potencjalnie odpowiedzialne za wdrożenie);</w:t>
      </w:r>
    </w:p>
    <w:p w14:paraId="18F8D060" w14:textId="77777777" w:rsidR="00BA0236" w:rsidRPr="007C28CC" w:rsidRDefault="00BA0236" w:rsidP="004D6635">
      <w:pPr>
        <w:pStyle w:val="ReportText"/>
        <w:numPr>
          <w:ilvl w:val="1"/>
          <w:numId w:val="15"/>
        </w:numPr>
        <w:ind w:left="1134" w:hanging="283"/>
      </w:pPr>
      <w:r w:rsidRPr="007C28CC">
        <w:t>jaki problem rozwiązuje działanie (do jakiego celu się odnosi);</w:t>
      </w:r>
    </w:p>
    <w:p w14:paraId="1C5EAD3F" w14:textId="77777777" w:rsidR="00BA0236" w:rsidRPr="007C28CC" w:rsidRDefault="00BA0236" w:rsidP="004D6635">
      <w:pPr>
        <w:pStyle w:val="ReportText"/>
        <w:numPr>
          <w:ilvl w:val="1"/>
          <w:numId w:val="15"/>
        </w:numPr>
        <w:ind w:left="1134" w:hanging="283"/>
      </w:pPr>
      <w:r w:rsidRPr="007C28CC">
        <w:t xml:space="preserve">jakie efekty da realizacja działania tj. jaki będzie wpływ działania na ograniczenie ryzyka powodziowego określony w miarę możliwości ilościowo tak, aby zapewnić możliwość oceny działania. </w:t>
      </w:r>
    </w:p>
    <w:p w14:paraId="77291077" w14:textId="77777777" w:rsidR="00BA0236" w:rsidRPr="007C28CC" w:rsidRDefault="00BA0236" w:rsidP="004D6635">
      <w:pPr>
        <w:pStyle w:val="ReportText"/>
        <w:numPr>
          <w:ilvl w:val="0"/>
          <w:numId w:val="15"/>
        </w:numPr>
        <w:ind w:left="567" w:hanging="425"/>
      </w:pPr>
      <w:r w:rsidRPr="007C28CC">
        <w:t>Działanie jest „realistyczne”, jeżeli:</w:t>
      </w:r>
    </w:p>
    <w:p w14:paraId="7D69A97A" w14:textId="77777777" w:rsidR="00BA0236" w:rsidRPr="007C28CC" w:rsidRDefault="00BA0236" w:rsidP="004D6635">
      <w:pPr>
        <w:pStyle w:val="ReportText"/>
        <w:numPr>
          <w:ilvl w:val="1"/>
          <w:numId w:val="15"/>
        </w:numPr>
        <w:ind w:left="1134" w:hanging="283"/>
      </w:pPr>
      <w:r w:rsidRPr="007C28CC">
        <w:t>są zapewnione odpowiednie siły i środki na jego realizację (lub prawdopodobieństwo ich uzyskania jest duże);</w:t>
      </w:r>
    </w:p>
    <w:p w14:paraId="59979E16" w14:textId="77777777" w:rsidR="00BA0236" w:rsidRPr="007C28CC" w:rsidRDefault="00BA0236" w:rsidP="004D6635">
      <w:pPr>
        <w:pStyle w:val="ReportText"/>
        <w:numPr>
          <w:ilvl w:val="1"/>
          <w:numId w:val="15"/>
        </w:numPr>
        <w:ind w:left="1134" w:hanging="283"/>
      </w:pPr>
      <w:r w:rsidRPr="007C28CC">
        <w:t>jest zgoda społeczna na jego wdrożenie (potencjalnie konfliktowe działania były konsultowane z interesariuszami).</w:t>
      </w:r>
    </w:p>
    <w:p w14:paraId="28989A12" w14:textId="15539A17" w:rsidR="00BA0236" w:rsidRPr="007C28CC" w:rsidRDefault="00BA0236" w:rsidP="007C28CC">
      <w:pPr>
        <w:pStyle w:val="ReportText"/>
        <w:spacing w:before="120"/>
      </w:pPr>
      <w:r w:rsidRPr="007C28CC">
        <w:t>Ponadto propozycje działań uwzględniały obowiązujące wymagania prawne,</w:t>
      </w:r>
      <w:r w:rsidR="004D6635">
        <w:t xml:space="preserve"> </w:t>
      </w:r>
      <w:r w:rsidRPr="007C28CC">
        <w:t>a więc wymagały, w szczególności:</w:t>
      </w:r>
    </w:p>
    <w:p w14:paraId="015B637C" w14:textId="77777777" w:rsidR="00BA0236" w:rsidRPr="007C28CC" w:rsidRDefault="00BA0236" w:rsidP="004D6635">
      <w:pPr>
        <w:pStyle w:val="ReportText"/>
        <w:numPr>
          <w:ilvl w:val="0"/>
          <w:numId w:val="16"/>
        </w:numPr>
        <w:ind w:left="567" w:hanging="425"/>
      </w:pPr>
      <w:r w:rsidRPr="007C28CC">
        <w:t>wykonania analiz czy działanie może spowodować nieosiągnięcie dobrego stanu wód lub pogorszenie dobrego stanu wód,</w:t>
      </w:r>
    </w:p>
    <w:p w14:paraId="2A042F57" w14:textId="77777777" w:rsidR="00BA0236" w:rsidRPr="007C28CC" w:rsidRDefault="00BA0236" w:rsidP="004D6635">
      <w:pPr>
        <w:pStyle w:val="ReportText"/>
        <w:numPr>
          <w:ilvl w:val="0"/>
          <w:numId w:val="16"/>
        </w:numPr>
        <w:ind w:left="567" w:hanging="425"/>
      </w:pPr>
      <w:r w:rsidRPr="007C28CC">
        <w:t>sprawdzenia czy działania będące w konflikcie z celami środowiskowymi ustalonymi dla wód, których dotyczy działanie mają odpowiednie uzasadnienie, zgodnie</w:t>
      </w:r>
      <w:r w:rsidRPr="007C28CC">
        <w:br/>
        <w:t>z wymogami Ramowej Dyrektywy Wodnej, uwzględniające Zasady weryfikacji przesłanek z art. 4 ust. 7 RDW w odniesieniu do przedsięwzięć przeciwpowodziowych,</w:t>
      </w:r>
    </w:p>
    <w:p w14:paraId="7D98E549" w14:textId="39FD4D4E" w:rsidR="00BA0236" w:rsidRPr="007C28CC" w:rsidRDefault="00BA0236" w:rsidP="004D6635">
      <w:pPr>
        <w:pStyle w:val="ReportText"/>
        <w:numPr>
          <w:ilvl w:val="0"/>
          <w:numId w:val="16"/>
        </w:numPr>
        <w:ind w:left="567" w:hanging="425"/>
      </w:pPr>
      <w:r w:rsidRPr="007C28CC">
        <w:t>sprawdzenia czy działania wpływające na obszary siedliskowe lub inne formy ochrony przyrody mają zaproponowane działania kompensujące (m.in. zgodnie</w:t>
      </w:r>
      <w:r w:rsidR="004D6635">
        <w:t xml:space="preserve"> </w:t>
      </w:r>
      <w:r w:rsidRPr="007C28CC">
        <w:t>z</w:t>
      </w:r>
      <w:r w:rsidR="004D6635">
        <w:t> </w:t>
      </w:r>
      <w:r w:rsidRPr="007C28CC">
        <w:t>Dyrektywą Siedliskową, Dyrektywą Ptasią).</w:t>
      </w:r>
    </w:p>
    <w:p w14:paraId="6DA10E33" w14:textId="42C5B338" w:rsidR="00BA0236" w:rsidRPr="007C28CC" w:rsidRDefault="006E4A04" w:rsidP="007C28CC">
      <w:pPr>
        <w:pStyle w:val="ReportText"/>
        <w:spacing w:before="120"/>
        <w:rPr>
          <w:b/>
          <w:bCs/>
        </w:rPr>
      </w:pPr>
      <w:r>
        <w:br w:type="column"/>
      </w:r>
      <w:r w:rsidR="00BA0236" w:rsidRPr="007C28CC">
        <w:lastRenderedPageBreak/>
        <w:t>Bazowa lista działań stanowi zbiór działań, które spełniają wymagania reguły S.M.A.R.T. Schemat procesu opracowania bazowej listy działań przedstawia</w:t>
      </w:r>
      <w:r w:rsidR="00BA0236">
        <w:t xml:space="preserve"> poniższy rysunek</w:t>
      </w:r>
      <w:r w:rsidR="00BA0236" w:rsidRPr="007C28CC">
        <w:t>.</w:t>
      </w:r>
    </w:p>
    <w:p w14:paraId="56AAB9AE" w14:textId="25AEEC1D" w:rsidR="00BA0236" w:rsidRPr="007C28CC" w:rsidRDefault="00E8074C" w:rsidP="007C28CC">
      <w:pPr>
        <w:pStyle w:val="ReportText"/>
      </w:pPr>
      <w:bookmarkStart w:id="42" w:name="_Ref70082045"/>
      <w:r>
        <w:rPr>
          <w:noProof/>
          <w:lang w:eastAsia="pl-PL"/>
        </w:rPr>
        <w:drawing>
          <wp:inline distT="0" distB="0" distL="0" distR="0" wp14:anchorId="56BEDCC6" wp14:editId="19211853">
            <wp:extent cx="5153025" cy="2390775"/>
            <wp:effectExtent l="0" t="0" r="0" b="0"/>
            <wp:docPr id="11" name="Obraz 18" descr="Obraz zawierający tekst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 descr="Obraz zawierający tekstOpis wygenerowany automatyczni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53025" cy="2390775"/>
                    </a:xfrm>
                    <a:prstGeom prst="rect">
                      <a:avLst/>
                    </a:prstGeom>
                    <a:noFill/>
                    <a:ln>
                      <a:noFill/>
                    </a:ln>
                  </pic:spPr>
                </pic:pic>
              </a:graphicData>
            </a:graphic>
          </wp:inline>
        </w:drawing>
      </w:r>
    </w:p>
    <w:p w14:paraId="6EA22B7D" w14:textId="6C0D83EF" w:rsidR="00BA0236" w:rsidRPr="007C28CC" w:rsidRDefault="00BA0236" w:rsidP="004D6635">
      <w:pPr>
        <w:pStyle w:val="ReportText"/>
        <w:ind w:left="1418" w:hanging="1418"/>
      </w:pPr>
      <w:bookmarkStart w:id="43" w:name="_Ref76483655"/>
      <w:bookmarkStart w:id="44" w:name="_Toc76734813"/>
      <w:bookmarkStart w:id="45" w:name="_Toc80604783"/>
      <w:r w:rsidRPr="007C28CC">
        <w:t xml:space="preserve">Rysunek </w:t>
      </w:r>
      <w:r w:rsidR="00677743">
        <w:rPr>
          <w:noProof/>
        </w:rPr>
        <w:fldChar w:fldCharType="begin"/>
      </w:r>
      <w:r w:rsidR="00677743">
        <w:rPr>
          <w:noProof/>
        </w:rPr>
        <w:instrText xml:space="preserve"> SEQ Rysunek \* ARABIC </w:instrText>
      </w:r>
      <w:r w:rsidR="00677743">
        <w:rPr>
          <w:noProof/>
        </w:rPr>
        <w:fldChar w:fldCharType="separate"/>
      </w:r>
      <w:r w:rsidR="00FD3F9A">
        <w:rPr>
          <w:noProof/>
        </w:rPr>
        <w:t>10</w:t>
      </w:r>
      <w:r w:rsidR="00677743">
        <w:rPr>
          <w:noProof/>
        </w:rPr>
        <w:fldChar w:fldCharType="end"/>
      </w:r>
      <w:bookmarkEnd w:id="42"/>
      <w:bookmarkEnd w:id="43"/>
      <w:r w:rsidRPr="007C28CC">
        <w:tab/>
        <w:t>Schemat opracowania wstępnej i bazowej listy działań</w:t>
      </w:r>
      <w:bookmarkEnd w:id="44"/>
      <w:bookmarkEnd w:id="45"/>
    </w:p>
    <w:p w14:paraId="5E6B4E19" w14:textId="6EBC7E5A" w:rsidR="00BA0236" w:rsidRPr="007C28CC" w:rsidRDefault="00BA0236" w:rsidP="007C28CC">
      <w:pPr>
        <w:pStyle w:val="ReportText"/>
        <w:spacing w:before="120"/>
      </w:pPr>
      <w:r w:rsidRPr="007C28CC">
        <w:t xml:space="preserve">Po weryfikacji zadań znajdujących się na wstępnej liście działań ograniczających ryzyko powodziowe od strony morza, w tym morskich wód wewnętrznych pozostało 5 zadań, które zostały wpisane bezpośrednio na Ostateczną Listę Działań II cyklu aPZRPM. Schemat kwalifikacji działań na Ostateczną Listę Działań II cyklu aPZRPM przedstawia </w:t>
      </w:r>
      <w:r w:rsidRPr="007C28CC">
        <w:fldChar w:fldCharType="begin"/>
      </w:r>
      <w:r w:rsidRPr="007C28CC">
        <w:instrText xml:space="preserve"> REF _Ref76551397 \h </w:instrText>
      </w:r>
      <w:r w:rsidRPr="007C28CC">
        <w:fldChar w:fldCharType="separate"/>
      </w:r>
      <w:r w:rsidR="00FD3F9A" w:rsidRPr="007C28CC">
        <w:t xml:space="preserve">Rysunek </w:t>
      </w:r>
      <w:r w:rsidR="00FD3F9A">
        <w:rPr>
          <w:noProof/>
        </w:rPr>
        <w:t>37</w:t>
      </w:r>
      <w:r w:rsidRPr="007C28CC">
        <w:fldChar w:fldCharType="end"/>
      </w:r>
      <w:r w:rsidRPr="007C28CC">
        <w:t xml:space="preserve"> przedstawiony w rozdziale </w:t>
      </w:r>
      <w:r w:rsidRPr="007C28CC">
        <w:fldChar w:fldCharType="begin"/>
      </w:r>
      <w:r w:rsidRPr="007C28CC">
        <w:instrText xml:space="preserve"> REF _Ref76548478 \w \h </w:instrText>
      </w:r>
      <w:r w:rsidRPr="007C28CC">
        <w:fldChar w:fldCharType="separate"/>
      </w:r>
      <w:r w:rsidR="00FD3F9A">
        <w:t>0</w:t>
      </w:r>
      <w:r w:rsidRPr="007C28CC">
        <w:fldChar w:fldCharType="end"/>
      </w:r>
      <w:r w:rsidRPr="007C28CC">
        <w:t>.</w:t>
      </w:r>
    </w:p>
    <w:p w14:paraId="55A0004E" w14:textId="77777777" w:rsidR="00BA0236" w:rsidRPr="007C28CC" w:rsidRDefault="00BA0236" w:rsidP="007C28CC">
      <w:pPr>
        <w:rPr>
          <w:b/>
          <w:color w:val="28AAE1"/>
          <w:sz w:val="36"/>
          <w:szCs w:val="20"/>
          <w:lang w:eastAsia="en-US"/>
        </w:rPr>
      </w:pPr>
      <w:r w:rsidRPr="007C28CC">
        <w:br w:type="page"/>
      </w:r>
    </w:p>
    <w:p w14:paraId="76388766" w14:textId="77777777" w:rsidR="00BA0236" w:rsidRPr="007C28CC" w:rsidRDefault="00BA0236" w:rsidP="00E8074C">
      <w:pPr>
        <w:pStyle w:val="ReportLevel1"/>
        <w:numPr>
          <w:ilvl w:val="0"/>
          <w:numId w:val="9"/>
        </w:numPr>
      </w:pPr>
      <w:bookmarkStart w:id="46" w:name="_Toc79511671"/>
      <w:bookmarkStart w:id="47" w:name="_Toc80604851"/>
      <w:r w:rsidRPr="007C28CC">
        <w:lastRenderedPageBreak/>
        <w:t>Sformułowanie wariantów planistycznych</w:t>
      </w:r>
      <w:bookmarkEnd w:id="46"/>
      <w:bookmarkEnd w:id="47"/>
    </w:p>
    <w:p w14:paraId="71AF56CD" w14:textId="77777777" w:rsidR="00BA0236" w:rsidRPr="007C28CC" w:rsidRDefault="00BA0236" w:rsidP="007C28CC">
      <w:pPr>
        <w:pStyle w:val="ReportText"/>
        <w:spacing w:before="120"/>
      </w:pPr>
      <w:r w:rsidRPr="007C28CC">
        <w:t>Następnym etapem po sformułowaniu bazowej listy działań były analizy prowadzące do zdefiniowania wariantów planistycznych zawierających działania obniżające istniejące ryzyko powodziowe. Według poczynionych założeń wariant planistyczny, to zestaw niezależnych lub powiązanych z sobą działań, prowadzących do osiągnięcia wskazanych celów ochrony powodziowej w obrębie obszaru problemowego. W procesie formułowania wariantów oraz prowadzenia analiz mających na celu dobór działań intencją było, aby zdefiniowany wariant planu w ograniczonym, możliwie jak najmniejszym stopniu oddziaływał niekorzystnie na środowisko, społeczeństwo i gospodarkę, przy jak największym obniżeniu ryzyka powodziowego.</w:t>
      </w:r>
      <w:bookmarkStart w:id="48" w:name="_Ref76548478"/>
      <w:r w:rsidRPr="007C28CC">
        <w:t xml:space="preserve"> W związku z powyższym przyłożono szczególną wagę do procesu identyfikacji problemów i wyboru działań na poziomie lokalnym. </w:t>
      </w:r>
    </w:p>
    <w:p w14:paraId="6EA1F553" w14:textId="77777777" w:rsidR="00BA0236" w:rsidRPr="007C28CC" w:rsidRDefault="00BA0236" w:rsidP="007C28CC">
      <w:pPr>
        <w:pStyle w:val="ReportText"/>
        <w:spacing w:before="120"/>
      </w:pPr>
      <w:r w:rsidRPr="007C28CC">
        <w:t xml:space="preserve">W przedmiotowym przypadku bazowa lista działań była niewystarczająca do zdefiniowania wariantu planistycznego, którego realizacja gwarantowałaby osiągnięcie zakładanych celów zarządzania ryzykiem powodziowym, ponieważ nie zawierała dostatecznej liczby działań możliwych do stworzenia wariantów planistycznych. Wobec powyższego uzupełniono bazową listę działań o dodatkowe działania, które nie były wskazywane we wcześniejszych listach działań (lista „V”). Na liście „V” znalazły się działania zaproponowane przez Urzędy Morskie, RZGW i Wykonawcę. Zostały one zatwierdzone podczas spotkań konsultacyjnych z Urzędami Morskimi (UM Gdynia, UM Szczecin) i Regionalnymi Zarządami Gospodarki Wodnej (RZGW Gdańsk i RZGW Szczecin), a następnie zostały przedstawione Zamawiającemu do weryfikacji i akceptacji. </w:t>
      </w:r>
    </w:p>
    <w:p w14:paraId="564D5EEC" w14:textId="77777777" w:rsidR="00BA0236" w:rsidRPr="007C28CC" w:rsidRDefault="00BA0236" w:rsidP="007C28CC">
      <w:pPr>
        <w:pStyle w:val="ReportText"/>
        <w:spacing w:before="120" w:after="120"/>
      </w:pPr>
      <w:r w:rsidRPr="007C28CC">
        <w:t>Podczas formułowania wariantów planistycznych zwracano uwagę na następujące kwestie:</w:t>
      </w:r>
    </w:p>
    <w:p w14:paraId="713F619E" w14:textId="77777777" w:rsidR="00BA0236" w:rsidRPr="007C28CC" w:rsidRDefault="00BA0236" w:rsidP="004D6635">
      <w:pPr>
        <w:pStyle w:val="ReportText"/>
        <w:numPr>
          <w:ilvl w:val="0"/>
          <w:numId w:val="14"/>
        </w:numPr>
        <w:spacing w:before="120" w:after="120"/>
        <w:ind w:left="567" w:hanging="425"/>
      </w:pPr>
      <w:r w:rsidRPr="007C28CC">
        <w:t>proponowane warianty w miarę możliwości powinny różnić się od siebie – warianty powinny być przeciwstawne lub rozbudowywane o kolejne działania w stosunku do wariantu wcześniejszego;</w:t>
      </w:r>
    </w:p>
    <w:p w14:paraId="2790DB18" w14:textId="77777777" w:rsidR="00BA0236" w:rsidRPr="007C28CC" w:rsidRDefault="00BA0236" w:rsidP="004D6635">
      <w:pPr>
        <w:pStyle w:val="ReportText"/>
        <w:numPr>
          <w:ilvl w:val="0"/>
          <w:numId w:val="14"/>
        </w:numPr>
        <w:spacing w:before="120" w:after="120"/>
        <w:ind w:left="567" w:hanging="425"/>
      </w:pPr>
      <w:r w:rsidRPr="007C28CC">
        <w:t>działania proponowane w wariantach powinny być zgodne z obowiązującym prawem;</w:t>
      </w:r>
    </w:p>
    <w:p w14:paraId="7B31E262" w14:textId="77777777" w:rsidR="00BA0236" w:rsidRPr="007C28CC" w:rsidRDefault="00BA0236" w:rsidP="004D6635">
      <w:pPr>
        <w:pStyle w:val="ReportText"/>
        <w:numPr>
          <w:ilvl w:val="0"/>
          <w:numId w:val="14"/>
        </w:numPr>
        <w:spacing w:before="120" w:after="120"/>
        <w:ind w:left="567" w:hanging="425"/>
      </w:pPr>
      <w:r w:rsidRPr="007C28CC">
        <w:t>działania proponowane w wariantach powinny mieć zapewnioną funkcjonalność</w:t>
      </w:r>
      <w:r w:rsidRPr="007C28CC">
        <w:br/>
        <w:t xml:space="preserve">w sytuacji zmieniających się warunków klimatycznych i zmian wrażliwości na powódź obszarów chronionych. </w:t>
      </w:r>
    </w:p>
    <w:p w14:paraId="43C6D26C" w14:textId="77777777" w:rsidR="00BA0236" w:rsidRPr="007C28CC" w:rsidRDefault="00BA0236" w:rsidP="007C28CC">
      <w:pPr>
        <w:pStyle w:val="ReportText"/>
        <w:spacing w:before="120" w:after="120"/>
      </w:pPr>
      <w:r w:rsidRPr="007C28CC">
        <w:t>W procesie formułowania wariantów planistycznych opracowano warianty reprezentujące różne strategie podejścia do redukcji ryzyka powodziowego. Zostały one sformułowanie niezależnie dla każdej zlewni planistycznej i dla każdego obszaru problemowego i zawierały działania z listy bazowej i z listy „V”. Zakres wariantów planistycznych obejmował:</w:t>
      </w:r>
    </w:p>
    <w:p w14:paraId="3D8346C9" w14:textId="77777777" w:rsidR="00BA0236" w:rsidRPr="007C28CC" w:rsidRDefault="00BA0236" w:rsidP="004D6635">
      <w:pPr>
        <w:pStyle w:val="ReportText"/>
        <w:numPr>
          <w:ilvl w:val="0"/>
          <w:numId w:val="20"/>
        </w:numPr>
        <w:spacing w:before="120" w:after="120"/>
        <w:ind w:left="567" w:hanging="425"/>
      </w:pPr>
      <w:r w:rsidRPr="007C28CC">
        <w:t>Wariant „0” obejmujący istniejący na koniec roku 2019 stan zabudowy hydrotechnicznej (zgodnie z wynikami przeglądu i aktualizacji map zagrożenia powodziowego i map ryzyka powodziowego, od strony morza w tym morskich wód wewnętrznych);</w:t>
      </w:r>
    </w:p>
    <w:p w14:paraId="703F66C8" w14:textId="77777777" w:rsidR="00BA0236" w:rsidRPr="007C28CC" w:rsidRDefault="00BA0236" w:rsidP="004D6635">
      <w:pPr>
        <w:pStyle w:val="ReportText"/>
        <w:numPr>
          <w:ilvl w:val="0"/>
          <w:numId w:val="20"/>
        </w:numPr>
        <w:spacing w:before="120" w:after="120"/>
        <w:ind w:left="567" w:hanging="425"/>
      </w:pPr>
      <w:r w:rsidRPr="007C28CC">
        <w:t>Wariant „1” – mieszany (działania nietechniczne i techniczne) „miękki” z przewagą działań wymagających mniejszego zakresu prac budowlanych;</w:t>
      </w:r>
    </w:p>
    <w:p w14:paraId="179F5ED5" w14:textId="5021D097" w:rsidR="00BA0236" w:rsidRPr="007C28CC" w:rsidRDefault="00BA0236" w:rsidP="004D6635">
      <w:pPr>
        <w:pStyle w:val="ReportText"/>
        <w:numPr>
          <w:ilvl w:val="0"/>
          <w:numId w:val="20"/>
        </w:numPr>
        <w:spacing w:before="120" w:after="120"/>
        <w:ind w:left="567" w:hanging="425"/>
      </w:pPr>
      <w:r w:rsidRPr="007C28CC">
        <w:lastRenderedPageBreak/>
        <w:t>Wariant „2” – mieszany (działania nietechniczne i techniczne) „twardy” z przewagą działań wymagających poważniejszych prac budowlanych niż w Wariancie 1.</w:t>
      </w:r>
    </w:p>
    <w:p w14:paraId="716EEAF1" w14:textId="4E3DE3D2" w:rsidR="00BA0236" w:rsidRPr="007C28CC" w:rsidRDefault="00BA0236" w:rsidP="006E4A04">
      <w:pPr>
        <w:rPr>
          <w:lang w:eastAsia="en-US"/>
        </w:rPr>
      </w:pPr>
    </w:p>
    <w:p w14:paraId="47381770" w14:textId="77777777" w:rsidR="00BA0236" w:rsidRPr="007C28CC" w:rsidRDefault="00BA0236" w:rsidP="00E8074C">
      <w:pPr>
        <w:pStyle w:val="ReportLevel2"/>
        <w:numPr>
          <w:ilvl w:val="1"/>
          <w:numId w:val="9"/>
        </w:numPr>
      </w:pPr>
      <w:bookmarkStart w:id="49" w:name="_Toc79511672"/>
      <w:bookmarkStart w:id="50" w:name="_Toc80604852"/>
      <w:r w:rsidRPr="007C28CC">
        <w:t>IOP_1 Miasto Gdańsk</w:t>
      </w:r>
      <w:bookmarkEnd w:id="49"/>
      <w:bookmarkEnd w:id="50"/>
    </w:p>
    <w:p w14:paraId="4DE7EF24" w14:textId="77777777" w:rsidR="00BA0236" w:rsidRPr="007C28CC" w:rsidRDefault="00BA0236" w:rsidP="007C28CC">
      <w:pPr>
        <w:pStyle w:val="ReportText"/>
        <w:spacing w:before="120" w:after="120"/>
      </w:pPr>
      <w:r w:rsidRPr="007C28CC">
        <w:t xml:space="preserve">Dla obszaru problemowego IOP_1 Miasto Gdańsk zdefiniowano zagrożenie powodziowe dla obszaru w rejonie ul. Kutnowskiej na Wyspie Stogi. Dla przedmiotowego rejonu zaproponowano trzy warianty obniżenia istniejącego ryzyka powodziowego: </w:t>
      </w:r>
    </w:p>
    <w:p w14:paraId="55CE0E8B" w14:textId="57F34EEE" w:rsidR="00BA0236" w:rsidRPr="007C28CC" w:rsidRDefault="00BA0236" w:rsidP="004D6635">
      <w:pPr>
        <w:pStyle w:val="ReportText"/>
        <w:numPr>
          <w:ilvl w:val="0"/>
          <w:numId w:val="20"/>
        </w:numPr>
        <w:spacing w:before="120" w:after="120"/>
        <w:ind w:left="567" w:hanging="425"/>
      </w:pPr>
      <w:r w:rsidRPr="007C28CC">
        <w:t>Wariant „0</w:t>
      </w:r>
      <w:r w:rsidR="005C243A">
        <w:t>bis</w:t>
      </w:r>
      <w:r w:rsidRPr="007C28CC">
        <w:t xml:space="preserve">” </w:t>
      </w:r>
      <w:r w:rsidRPr="00475541">
        <w:t>obejm</w:t>
      </w:r>
      <w:r>
        <w:t>ował</w:t>
      </w:r>
      <w:r w:rsidRPr="00475541">
        <w:t xml:space="preserve"> istniejący stan zabudowy hydrotechnicznej</w:t>
      </w:r>
      <w:r>
        <w:t xml:space="preserve"> </w:t>
      </w:r>
      <w:r w:rsidRPr="00475541">
        <w:t>(zgodnie z</w:t>
      </w:r>
      <w:r w:rsidR="00A26088">
        <w:t> </w:t>
      </w:r>
      <w:r w:rsidRPr="00475541">
        <w:t>wynikami przeglądu i aktualizacji map zagrożenia powodziowego i map ryzyka</w:t>
      </w:r>
      <w:r>
        <w:t xml:space="preserve"> </w:t>
      </w:r>
      <w:r w:rsidRPr="00475541">
        <w:t>powodziowego</w:t>
      </w:r>
      <w:r>
        <w:t xml:space="preserve"> </w:t>
      </w:r>
      <w:r w:rsidRPr="00475541">
        <w:t>od strony morza w tym morskich wód wewnętrznych</w:t>
      </w:r>
      <w:r>
        <w:t xml:space="preserve"> </w:t>
      </w:r>
      <w:r w:rsidRPr="00475541">
        <w:t>na koniec roku 2019</w:t>
      </w:r>
      <w:r>
        <w:t xml:space="preserve"> z</w:t>
      </w:r>
      <w:r w:rsidRPr="00791A72">
        <w:t>aktualiz</w:t>
      </w:r>
      <w:r>
        <w:t xml:space="preserve">owany </w:t>
      </w:r>
      <w:r w:rsidRPr="00791A72">
        <w:t xml:space="preserve">o działania będące w realizacji lub planowane do rozpoczęcia </w:t>
      </w:r>
      <w:r>
        <w:t>do</w:t>
      </w:r>
      <w:r w:rsidRPr="00791A72">
        <w:t xml:space="preserve"> 2022 r., lub zakończone po 2019 r</w:t>
      </w:r>
      <w:r>
        <w:t>.</w:t>
      </w:r>
      <w:r w:rsidRPr="00475541">
        <w:t>)</w:t>
      </w:r>
      <w:r>
        <w:t xml:space="preserve"> </w:t>
      </w:r>
      <w:r w:rsidRPr="007C28CC">
        <w:t xml:space="preserve">czyli </w:t>
      </w:r>
      <w:r w:rsidR="005C243A">
        <w:t xml:space="preserve">zadanie </w:t>
      </w:r>
      <w:r w:rsidR="005C243A" w:rsidRPr="005C243A">
        <w:t>W_DW_15</w:t>
      </w:r>
      <w:r w:rsidR="005C243A">
        <w:t xml:space="preserve"> (</w:t>
      </w:r>
      <w:r w:rsidR="005C243A" w:rsidRPr="005C243A">
        <w:t>budow</w:t>
      </w:r>
      <w:r w:rsidR="005C243A">
        <w:t>a</w:t>
      </w:r>
      <w:r w:rsidR="005C243A" w:rsidRPr="005C243A">
        <w:t xml:space="preserve"> wału przeciwpowodziowego Opływu Motławy o długości 600 m</w:t>
      </w:r>
      <w:r w:rsidR="005C243A">
        <w:t>)</w:t>
      </w:r>
      <w:r w:rsidRPr="007C28CC">
        <w:t xml:space="preserve">. </w:t>
      </w:r>
    </w:p>
    <w:p w14:paraId="5D10DBDC" w14:textId="249F6C1F" w:rsidR="00BA0236" w:rsidRPr="007C28CC" w:rsidRDefault="00BA0236" w:rsidP="004D6635">
      <w:pPr>
        <w:pStyle w:val="ReportText"/>
        <w:numPr>
          <w:ilvl w:val="0"/>
          <w:numId w:val="20"/>
        </w:numPr>
        <w:spacing w:before="120" w:after="120"/>
        <w:ind w:left="567" w:hanging="425"/>
      </w:pPr>
      <w:r w:rsidRPr="007C28CC">
        <w:t xml:space="preserve">Wariant „1” </w:t>
      </w:r>
      <w:r w:rsidRPr="007C28CC">
        <w:rPr>
          <w:szCs w:val="24"/>
        </w:rPr>
        <w:t xml:space="preserve">obejmował </w:t>
      </w:r>
      <w:r w:rsidRPr="007C28CC">
        <w:rPr>
          <w:rFonts w:eastAsia="Times New Roman"/>
          <w:szCs w:val="24"/>
          <w:lang w:eastAsia="pl-PL"/>
        </w:rPr>
        <w:t xml:space="preserve">ochronę przeciwpowodziową wyspy Stogi (Górki Zachodnie) przy pomocy systemu mobilnych przegród przeciwpowodziowych wzdłuż ul. Kutnowskiej (dł. 1500 m wraz z budową 500 m drogi) </w:t>
      </w:r>
      <w:r w:rsidRPr="007C28CC">
        <w:rPr>
          <w:szCs w:val="24"/>
        </w:rPr>
        <w:t>wr</w:t>
      </w:r>
      <w:r w:rsidRPr="007C28CC">
        <w:t xml:space="preserve">az z rozwojem lokalnego systemu ostrzegania przed powodziami i prognozowania zagrożeń na terenie miasta (Zadanie W_AR_10). Lokalizację działania zaproponowanego w wariancie „1” przedstawia </w:t>
      </w:r>
      <w:r w:rsidRPr="007C28CC">
        <w:fldChar w:fldCharType="begin"/>
      </w:r>
      <w:r w:rsidRPr="007C28CC">
        <w:instrText xml:space="preserve"> REF _Ref76564774 \h </w:instrText>
      </w:r>
      <w:r w:rsidRPr="007C28CC">
        <w:fldChar w:fldCharType="separate"/>
      </w:r>
      <w:r w:rsidR="00FD3F9A" w:rsidRPr="007C28CC">
        <w:t xml:space="preserve">Rysunek </w:t>
      </w:r>
      <w:r w:rsidR="00FD3F9A">
        <w:rPr>
          <w:noProof/>
        </w:rPr>
        <w:t>11</w:t>
      </w:r>
      <w:r w:rsidRPr="007C28CC">
        <w:fldChar w:fldCharType="end"/>
      </w:r>
      <w:r w:rsidRPr="007C28CC">
        <w:t xml:space="preserve">. </w:t>
      </w:r>
    </w:p>
    <w:p w14:paraId="6ACF804E" w14:textId="77777777" w:rsidR="00BA0236" w:rsidRPr="007C28CC" w:rsidRDefault="00BA0236" w:rsidP="004D6635">
      <w:pPr>
        <w:pStyle w:val="ReportText"/>
        <w:numPr>
          <w:ilvl w:val="2"/>
          <w:numId w:val="21"/>
        </w:numPr>
        <w:spacing w:before="120" w:after="120"/>
        <w:ind w:left="1134" w:hanging="283"/>
      </w:pPr>
      <w:r w:rsidRPr="007C28CC">
        <w:t xml:space="preserve"> Typ ochrony: mobilne przegrody przeciwpowodziowe (belki zaporowe - szandory);</w:t>
      </w:r>
    </w:p>
    <w:p w14:paraId="357A1411" w14:textId="77777777" w:rsidR="00BA0236" w:rsidRPr="007C28CC" w:rsidRDefault="00BA0236" w:rsidP="004D6635">
      <w:pPr>
        <w:pStyle w:val="ReportText"/>
        <w:numPr>
          <w:ilvl w:val="2"/>
          <w:numId w:val="21"/>
        </w:numPr>
        <w:spacing w:before="120" w:after="120"/>
        <w:ind w:left="1134" w:hanging="283"/>
      </w:pPr>
      <w:r w:rsidRPr="007C28CC">
        <w:t xml:space="preserve"> Długość: 1,50 km;</w:t>
      </w:r>
    </w:p>
    <w:p w14:paraId="2760A106" w14:textId="77777777" w:rsidR="00BA0236" w:rsidRPr="007C28CC" w:rsidRDefault="00BA0236" w:rsidP="004D6635">
      <w:pPr>
        <w:pStyle w:val="ReportText"/>
        <w:numPr>
          <w:ilvl w:val="2"/>
          <w:numId w:val="21"/>
        </w:numPr>
        <w:spacing w:before="120" w:after="120"/>
        <w:ind w:left="1134" w:hanging="283"/>
      </w:pPr>
      <w:r w:rsidRPr="007C28CC">
        <w:t xml:space="preserve"> Średnia wysokość: 1,35 m;</w:t>
      </w:r>
    </w:p>
    <w:p w14:paraId="410E3CA5" w14:textId="77777777" w:rsidR="00BA0236" w:rsidRPr="007C28CC" w:rsidRDefault="00BA0236" w:rsidP="004D6635">
      <w:pPr>
        <w:pStyle w:val="ReportText"/>
        <w:numPr>
          <w:ilvl w:val="2"/>
          <w:numId w:val="21"/>
        </w:numPr>
        <w:spacing w:before="120" w:after="120"/>
        <w:ind w:left="1134" w:hanging="283"/>
      </w:pPr>
      <w:r w:rsidRPr="007C28CC">
        <w:t>Rzędna wody miarodajnej (przy wezbraniu 1%): 1,80 m n.p.m.;</w:t>
      </w:r>
    </w:p>
    <w:p w14:paraId="5A395B22" w14:textId="77777777" w:rsidR="00BA0236" w:rsidRPr="007C28CC" w:rsidRDefault="00BA0236" w:rsidP="004D6635">
      <w:pPr>
        <w:pStyle w:val="ReportText"/>
        <w:numPr>
          <w:ilvl w:val="2"/>
          <w:numId w:val="21"/>
        </w:numPr>
        <w:spacing w:before="120" w:after="120"/>
        <w:ind w:left="1134" w:hanging="283"/>
      </w:pPr>
      <w:r w:rsidRPr="007C28CC">
        <w:t>Rzędna wody kontrolnej (przy wezbraniu 0,2%): 2,12 m n.p.m.;</w:t>
      </w:r>
    </w:p>
    <w:p w14:paraId="656A1558" w14:textId="77777777" w:rsidR="00BA0236" w:rsidRPr="007C28CC" w:rsidRDefault="00BA0236" w:rsidP="004D6635">
      <w:pPr>
        <w:pStyle w:val="ReportText"/>
        <w:numPr>
          <w:ilvl w:val="2"/>
          <w:numId w:val="21"/>
        </w:numPr>
        <w:spacing w:before="120" w:after="0"/>
        <w:ind w:left="1134" w:hanging="283"/>
      </w:pPr>
      <w:r w:rsidRPr="007C28CC">
        <w:t>Wymagana minimalna rzędna górnej krawędzi: 2,42 m n.p.m. (0,30 m nad poziom lustra wody 0,2%).</w:t>
      </w:r>
    </w:p>
    <w:p w14:paraId="31C1C3AF" w14:textId="0E280629" w:rsidR="00BA0236" w:rsidRPr="007C28CC" w:rsidRDefault="00E8074C" w:rsidP="007C28CC">
      <w:pPr>
        <w:pStyle w:val="ReportText"/>
        <w:spacing w:before="0" w:after="0"/>
        <w:ind w:left="360"/>
        <w:jc w:val="center"/>
      </w:pPr>
      <w:r>
        <w:rPr>
          <w:noProof/>
          <w:lang w:eastAsia="pl-PL"/>
        </w:rPr>
        <w:lastRenderedPageBreak/>
        <w:drawing>
          <wp:inline distT="0" distB="0" distL="0" distR="0" wp14:anchorId="73287151" wp14:editId="193E82AE">
            <wp:extent cx="4314825" cy="4314825"/>
            <wp:effectExtent l="0" t="0" r="0" b="0"/>
            <wp:docPr id="12" name="Obraz 41" descr="Obraz zawierający mapa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1" descr="Obraz zawierający mapaOpis wygenerowany automatyczni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14825" cy="4314825"/>
                    </a:xfrm>
                    <a:prstGeom prst="rect">
                      <a:avLst/>
                    </a:prstGeom>
                    <a:noFill/>
                    <a:ln>
                      <a:noFill/>
                    </a:ln>
                  </pic:spPr>
                </pic:pic>
              </a:graphicData>
            </a:graphic>
          </wp:inline>
        </w:drawing>
      </w:r>
    </w:p>
    <w:p w14:paraId="717CEDEF" w14:textId="5A7C61B1" w:rsidR="00BA0236" w:rsidRDefault="00BA0236" w:rsidP="004D6635">
      <w:pPr>
        <w:pStyle w:val="ReportText"/>
        <w:spacing w:before="0"/>
        <w:ind w:left="1418" w:hanging="1418"/>
      </w:pPr>
      <w:bookmarkStart w:id="51" w:name="_Ref76564774"/>
      <w:bookmarkStart w:id="52" w:name="_Toc76734814"/>
      <w:bookmarkStart w:id="53" w:name="_Toc80604784"/>
      <w:r w:rsidRPr="007C28CC">
        <w:t xml:space="preserve">Rysunek </w:t>
      </w:r>
      <w:r w:rsidR="00677743">
        <w:rPr>
          <w:noProof/>
        </w:rPr>
        <w:fldChar w:fldCharType="begin"/>
      </w:r>
      <w:r w:rsidR="00677743">
        <w:rPr>
          <w:noProof/>
        </w:rPr>
        <w:instrText xml:space="preserve"> SEQ Rysunek \* ARABIC </w:instrText>
      </w:r>
      <w:r w:rsidR="00677743">
        <w:rPr>
          <w:noProof/>
        </w:rPr>
        <w:fldChar w:fldCharType="separate"/>
      </w:r>
      <w:r w:rsidR="00FD3F9A">
        <w:rPr>
          <w:noProof/>
        </w:rPr>
        <w:t>11</w:t>
      </w:r>
      <w:r w:rsidR="00677743">
        <w:rPr>
          <w:noProof/>
        </w:rPr>
        <w:fldChar w:fldCharType="end"/>
      </w:r>
      <w:bookmarkEnd w:id="51"/>
      <w:r w:rsidRPr="007C28CC">
        <w:tab/>
        <w:t xml:space="preserve">Lokalizacja działań zaproponowanych w wariancie „1” dla obszaru problemowego </w:t>
      </w:r>
      <w:bookmarkEnd w:id="52"/>
      <w:r w:rsidRPr="007C28CC">
        <w:t>IOP_1 Miasto Gdańsk</w:t>
      </w:r>
      <w:bookmarkEnd w:id="53"/>
    </w:p>
    <w:p w14:paraId="78D7C9F0" w14:textId="77777777" w:rsidR="006E4A04" w:rsidRPr="007C28CC" w:rsidRDefault="006E4A04" w:rsidP="007C28CC">
      <w:pPr>
        <w:pStyle w:val="ReportText"/>
        <w:spacing w:before="0"/>
      </w:pPr>
    </w:p>
    <w:p w14:paraId="60C0D01A" w14:textId="740D8C49" w:rsidR="00BA0236" w:rsidRPr="007C28CC" w:rsidRDefault="00BA0236" w:rsidP="004D6635">
      <w:pPr>
        <w:pStyle w:val="ReportText"/>
        <w:numPr>
          <w:ilvl w:val="0"/>
          <w:numId w:val="20"/>
        </w:numPr>
        <w:spacing w:before="120" w:after="120"/>
        <w:ind w:left="567" w:hanging="425"/>
      </w:pPr>
      <w:r w:rsidRPr="007C28CC">
        <w:t xml:space="preserve">Wariant „2” obejmował ochronę przeciwpowodziową polegającą na </w:t>
      </w:r>
      <w:r w:rsidRPr="007C28CC">
        <w:rPr>
          <w:szCs w:val="24"/>
        </w:rPr>
        <w:t>p</w:t>
      </w:r>
      <w:r w:rsidRPr="007C28CC">
        <w:rPr>
          <w:rFonts w:eastAsia="Times New Roman"/>
          <w:szCs w:val="24"/>
          <w:lang w:eastAsia="pl-PL"/>
        </w:rPr>
        <w:t>rzebudowie nabrzeża od długości 1500 m wzdłuż ul. Kutnowskiej (Górki Zachodnie)</w:t>
      </w:r>
      <w:r w:rsidRPr="007C28CC">
        <w:rPr>
          <w:rFonts w:eastAsia="Times New Roman"/>
          <w:sz w:val="22"/>
          <w:szCs w:val="22"/>
          <w:lang w:eastAsia="pl-PL"/>
        </w:rPr>
        <w:t xml:space="preserve"> </w:t>
      </w:r>
      <w:r w:rsidRPr="007C28CC">
        <w:t xml:space="preserve">(Zadanie W_AR_11). Lokalizację działania zaproponowanego w wariancie „2” przedstawia </w:t>
      </w:r>
      <w:r w:rsidRPr="007C28CC">
        <w:fldChar w:fldCharType="begin"/>
      </w:r>
      <w:r w:rsidRPr="007C28CC">
        <w:instrText xml:space="preserve"> REF _Ref76565686 \h </w:instrText>
      </w:r>
      <w:r w:rsidRPr="007C28CC">
        <w:fldChar w:fldCharType="separate"/>
      </w:r>
      <w:r w:rsidR="00FD3F9A" w:rsidRPr="007C28CC">
        <w:t xml:space="preserve">Rysunek </w:t>
      </w:r>
      <w:r w:rsidR="00FD3F9A">
        <w:rPr>
          <w:noProof/>
        </w:rPr>
        <w:t>12</w:t>
      </w:r>
      <w:r w:rsidRPr="007C28CC">
        <w:fldChar w:fldCharType="end"/>
      </w:r>
      <w:r w:rsidRPr="007C28CC">
        <w:t>.</w:t>
      </w:r>
    </w:p>
    <w:p w14:paraId="5FFC4D09" w14:textId="77777777" w:rsidR="00BA0236" w:rsidRPr="007C28CC" w:rsidRDefault="00BA0236" w:rsidP="004D6635">
      <w:pPr>
        <w:pStyle w:val="ReportText"/>
        <w:numPr>
          <w:ilvl w:val="2"/>
          <w:numId w:val="21"/>
        </w:numPr>
        <w:spacing w:before="120" w:after="120"/>
        <w:ind w:left="1134" w:hanging="283"/>
      </w:pPr>
      <w:r w:rsidRPr="007C28CC">
        <w:t xml:space="preserve"> Podniesienie nabrzeża;</w:t>
      </w:r>
    </w:p>
    <w:p w14:paraId="6D243912" w14:textId="77777777" w:rsidR="00BA0236" w:rsidRPr="007C28CC" w:rsidRDefault="00BA0236" w:rsidP="004D6635">
      <w:pPr>
        <w:pStyle w:val="ReportText"/>
        <w:numPr>
          <w:ilvl w:val="2"/>
          <w:numId w:val="21"/>
        </w:numPr>
        <w:spacing w:before="120" w:after="120"/>
        <w:ind w:left="1134" w:hanging="283"/>
      </w:pPr>
      <w:r w:rsidRPr="007C28CC">
        <w:t xml:space="preserve"> Długość: 1,50 km;</w:t>
      </w:r>
    </w:p>
    <w:p w14:paraId="21AE4979" w14:textId="77777777" w:rsidR="00BA0236" w:rsidRPr="007C28CC" w:rsidRDefault="00BA0236" w:rsidP="004D6635">
      <w:pPr>
        <w:pStyle w:val="ReportText"/>
        <w:numPr>
          <w:ilvl w:val="2"/>
          <w:numId w:val="21"/>
        </w:numPr>
        <w:spacing w:before="120" w:after="120"/>
        <w:ind w:left="1134" w:hanging="283"/>
      </w:pPr>
      <w:r w:rsidRPr="007C28CC">
        <w:t xml:space="preserve"> Średnia wysokość: 1,35 m;</w:t>
      </w:r>
    </w:p>
    <w:p w14:paraId="36456A05" w14:textId="77777777" w:rsidR="00BA0236" w:rsidRPr="007C28CC" w:rsidRDefault="00BA0236" w:rsidP="004D6635">
      <w:pPr>
        <w:pStyle w:val="ReportText"/>
        <w:numPr>
          <w:ilvl w:val="2"/>
          <w:numId w:val="21"/>
        </w:numPr>
        <w:spacing w:before="120" w:after="120"/>
        <w:ind w:left="1134" w:hanging="283"/>
      </w:pPr>
      <w:r w:rsidRPr="007C28CC">
        <w:t>Rzędna wody miarodajnej (przy wezbraniu 1%): 1,80 m n.p.m.;</w:t>
      </w:r>
    </w:p>
    <w:p w14:paraId="20010B19" w14:textId="77777777" w:rsidR="00BA0236" w:rsidRPr="007C28CC" w:rsidRDefault="00BA0236" w:rsidP="004D6635">
      <w:pPr>
        <w:pStyle w:val="ReportText"/>
        <w:numPr>
          <w:ilvl w:val="2"/>
          <w:numId w:val="21"/>
        </w:numPr>
        <w:spacing w:before="120" w:after="120"/>
        <w:ind w:left="1134" w:hanging="283"/>
      </w:pPr>
      <w:r w:rsidRPr="007C28CC">
        <w:t>Rzędna wody kontrolnej (przy wezbraniu 0,2%): 2,12 m n.p.m.;</w:t>
      </w:r>
    </w:p>
    <w:p w14:paraId="63138A48" w14:textId="77777777" w:rsidR="00BA0236" w:rsidRPr="007C28CC" w:rsidRDefault="00BA0236" w:rsidP="004D6635">
      <w:pPr>
        <w:pStyle w:val="ReportText"/>
        <w:numPr>
          <w:ilvl w:val="2"/>
          <w:numId w:val="21"/>
        </w:numPr>
        <w:spacing w:before="120" w:after="0"/>
        <w:ind w:left="1134" w:hanging="283"/>
      </w:pPr>
      <w:r w:rsidRPr="007C28CC">
        <w:t>Wymagana minimalna rzędna górnej krawędzi: 2,42 m n.p.m. (0,30 m nad poziom lustra wody 0,2%).</w:t>
      </w:r>
    </w:p>
    <w:p w14:paraId="7FACE1F1" w14:textId="753B197B" w:rsidR="00BA0236" w:rsidRPr="007C28CC" w:rsidRDefault="00E8074C" w:rsidP="007C28CC">
      <w:pPr>
        <w:pStyle w:val="ReportText"/>
        <w:spacing w:before="120" w:after="120"/>
        <w:ind w:left="360"/>
        <w:jc w:val="center"/>
      </w:pPr>
      <w:r>
        <w:rPr>
          <w:noProof/>
          <w:lang w:eastAsia="pl-PL"/>
        </w:rPr>
        <w:lastRenderedPageBreak/>
        <w:drawing>
          <wp:inline distT="0" distB="0" distL="0" distR="0" wp14:anchorId="71902503" wp14:editId="059D0E52">
            <wp:extent cx="4314825" cy="4314825"/>
            <wp:effectExtent l="0" t="0" r="0" b="0"/>
            <wp:docPr id="13" name="Obraz 42" descr="Obraz zawierający tekst, drzewo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2" descr="Obraz zawierający tekst, drzewoOpis wygenerowany automatyczni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14825" cy="4314825"/>
                    </a:xfrm>
                    <a:prstGeom prst="rect">
                      <a:avLst/>
                    </a:prstGeom>
                    <a:noFill/>
                    <a:ln>
                      <a:noFill/>
                    </a:ln>
                  </pic:spPr>
                </pic:pic>
              </a:graphicData>
            </a:graphic>
          </wp:inline>
        </w:drawing>
      </w:r>
    </w:p>
    <w:p w14:paraId="2664C912" w14:textId="55C8DFA9" w:rsidR="00BA0236" w:rsidRPr="007C28CC" w:rsidRDefault="00BA0236" w:rsidP="004D6635">
      <w:pPr>
        <w:pStyle w:val="ReportText"/>
        <w:spacing w:before="0"/>
        <w:ind w:left="1418" w:hanging="1418"/>
      </w:pPr>
      <w:bookmarkStart w:id="54" w:name="_Ref76565686"/>
      <w:bookmarkStart w:id="55" w:name="_Toc76734815"/>
      <w:bookmarkStart w:id="56" w:name="_Toc80604785"/>
      <w:r w:rsidRPr="007C28CC">
        <w:t xml:space="preserve">Rysunek </w:t>
      </w:r>
      <w:r w:rsidR="00677743">
        <w:rPr>
          <w:noProof/>
        </w:rPr>
        <w:fldChar w:fldCharType="begin"/>
      </w:r>
      <w:r w:rsidR="00677743">
        <w:rPr>
          <w:noProof/>
        </w:rPr>
        <w:instrText xml:space="preserve"> SEQ Rysunek \* ARABIC </w:instrText>
      </w:r>
      <w:r w:rsidR="00677743">
        <w:rPr>
          <w:noProof/>
        </w:rPr>
        <w:fldChar w:fldCharType="separate"/>
      </w:r>
      <w:r w:rsidR="00FD3F9A">
        <w:rPr>
          <w:noProof/>
        </w:rPr>
        <w:t>12</w:t>
      </w:r>
      <w:r w:rsidR="00677743">
        <w:rPr>
          <w:noProof/>
        </w:rPr>
        <w:fldChar w:fldCharType="end"/>
      </w:r>
      <w:bookmarkEnd w:id="54"/>
      <w:r w:rsidRPr="007C28CC">
        <w:tab/>
        <w:t xml:space="preserve">Lokalizacja działań zaproponowanych w wariancie „2” dla obszaru problemowego </w:t>
      </w:r>
      <w:bookmarkEnd w:id="55"/>
      <w:r w:rsidRPr="007C28CC">
        <w:t>IOP_1 Miasto Gdańsk</w:t>
      </w:r>
      <w:bookmarkEnd w:id="56"/>
    </w:p>
    <w:p w14:paraId="03828E63" w14:textId="77777777" w:rsidR="00BA0236" w:rsidRPr="007C28CC" w:rsidRDefault="00BA0236" w:rsidP="007C28CC">
      <w:pPr>
        <w:rPr>
          <w:b/>
          <w:color w:val="28AAE1"/>
          <w:sz w:val="32"/>
          <w:szCs w:val="20"/>
          <w:lang w:eastAsia="en-US"/>
        </w:rPr>
      </w:pPr>
      <w:r w:rsidRPr="007C28CC">
        <w:br w:type="page"/>
      </w:r>
    </w:p>
    <w:p w14:paraId="429D0D15" w14:textId="77777777" w:rsidR="00BA0236" w:rsidRPr="007C28CC" w:rsidRDefault="00BA0236" w:rsidP="00E8074C">
      <w:pPr>
        <w:pStyle w:val="ReportLevel2"/>
        <w:numPr>
          <w:ilvl w:val="1"/>
          <w:numId w:val="9"/>
        </w:numPr>
      </w:pPr>
      <w:bookmarkStart w:id="57" w:name="_Toc79511673"/>
      <w:bookmarkStart w:id="58" w:name="_Toc80604853"/>
      <w:r w:rsidRPr="007C28CC">
        <w:lastRenderedPageBreak/>
        <w:t>IOP_2 Mierzeja Helska - Jastarnia, Hel - Chałupy</w:t>
      </w:r>
      <w:bookmarkEnd w:id="57"/>
      <w:bookmarkEnd w:id="58"/>
    </w:p>
    <w:p w14:paraId="1E0BC369" w14:textId="77777777" w:rsidR="00BA0236" w:rsidRPr="007C28CC" w:rsidRDefault="00BA0236" w:rsidP="007C28CC">
      <w:pPr>
        <w:pStyle w:val="ReportText"/>
        <w:spacing w:before="120" w:after="120"/>
      </w:pPr>
      <w:r w:rsidRPr="007C28CC">
        <w:t xml:space="preserve">Dla obszaru problemowego IOP_2 Mierzeja Helska – Jastarnia, Hel zdefiniowano zagrożenie powodziowe w miejscowości Chałupy. Dla przedmiotowego rejonu zaproponowano trzy warianty obniżenia istniejącego ryzyka powodziowego: </w:t>
      </w:r>
    </w:p>
    <w:p w14:paraId="44545262" w14:textId="77777777" w:rsidR="00BA0236" w:rsidRPr="007C28CC" w:rsidRDefault="00BA0236" w:rsidP="004D6635">
      <w:pPr>
        <w:pStyle w:val="ReportText"/>
        <w:numPr>
          <w:ilvl w:val="0"/>
          <w:numId w:val="20"/>
        </w:numPr>
        <w:spacing w:before="120" w:after="120"/>
        <w:ind w:left="567" w:hanging="425"/>
      </w:pPr>
      <w:r w:rsidRPr="007C28CC">
        <w:t xml:space="preserve">Wariant „0” </w:t>
      </w:r>
      <w:r w:rsidRPr="00475541">
        <w:t>obejm</w:t>
      </w:r>
      <w:r>
        <w:t>ował</w:t>
      </w:r>
      <w:r w:rsidRPr="00475541">
        <w:t xml:space="preserve"> istniejący stan zabudowy hydrotechnicznej</w:t>
      </w:r>
      <w:r>
        <w:t xml:space="preserve"> </w:t>
      </w:r>
      <w:r w:rsidRPr="00475541">
        <w:t>(zgodnie z wynikami przeglądu i aktualizacji map zagrożenia powodziowego i map ryzyka</w:t>
      </w:r>
      <w:r>
        <w:t xml:space="preserve"> </w:t>
      </w:r>
      <w:r w:rsidRPr="00475541">
        <w:t>powodziowego</w:t>
      </w:r>
      <w:r>
        <w:t xml:space="preserve"> </w:t>
      </w:r>
      <w:r w:rsidRPr="00475541">
        <w:t>od strony morza w tym morskich wód wewnętrznych</w:t>
      </w:r>
      <w:r>
        <w:t xml:space="preserve"> </w:t>
      </w:r>
      <w:r w:rsidRPr="00475541">
        <w:t>na koniec roku 2019</w:t>
      </w:r>
      <w:r>
        <w:t xml:space="preserve"> z</w:t>
      </w:r>
      <w:r w:rsidRPr="00791A72">
        <w:t>aktualiz</w:t>
      </w:r>
      <w:r>
        <w:t xml:space="preserve">owany </w:t>
      </w:r>
      <w:r w:rsidRPr="00791A72">
        <w:t xml:space="preserve">o działania będące w realizacji lub planowane do rozpoczęcia </w:t>
      </w:r>
      <w:r>
        <w:t>do</w:t>
      </w:r>
      <w:r w:rsidRPr="00791A72">
        <w:t xml:space="preserve"> 2022 r., lub zakończone po 2019 r</w:t>
      </w:r>
      <w:r>
        <w:t>.</w:t>
      </w:r>
      <w:r w:rsidRPr="00475541">
        <w:t>)</w:t>
      </w:r>
      <w:r>
        <w:t xml:space="preserve"> </w:t>
      </w:r>
      <w:r w:rsidRPr="007C28CC">
        <w:t xml:space="preserve">czyli istniejące obwałowanie przeciwpowodziowe. </w:t>
      </w:r>
    </w:p>
    <w:p w14:paraId="71E95F20" w14:textId="0EE8A37E" w:rsidR="00BA0236" w:rsidRPr="007C28CC" w:rsidRDefault="00BA0236" w:rsidP="004D6635">
      <w:pPr>
        <w:pStyle w:val="ReportText"/>
        <w:numPr>
          <w:ilvl w:val="0"/>
          <w:numId w:val="20"/>
        </w:numPr>
        <w:spacing w:before="120" w:after="120"/>
        <w:ind w:left="567" w:hanging="425"/>
      </w:pPr>
      <w:r w:rsidRPr="007C28CC">
        <w:t>Wariant „1” obejmował ochronę przeciwpowodziową polegająca na p</w:t>
      </w:r>
      <w:r w:rsidRPr="007C28CC">
        <w:rPr>
          <w:rFonts w:eastAsia="Times New Roman"/>
          <w:lang w:eastAsia="pl-PL"/>
        </w:rPr>
        <w:t>rzedłużeniu wału w m. Chałupy wraz z wyniesieniem rzędnej drogi DW216 ponad poziom wody powodziowej w sąsiedztwie podniesionego wału.</w:t>
      </w:r>
      <w:r w:rsidRPr="007C28CC">
        <w:t xml:space="preserve"> (Zadanie W_AR_20). Lokalizację działania zaproponowanego w wariancie „1” przedstawia </w:t>
      </w:r>
      <w:r w:rsidRPr="007C28CC">
        <w:fldChar w:fldCharType="begin"/>
      </w:r>
      <w:r w:rsidRPr="007C28CC">
        <w:instrText xml:space="preserve"> REF _Ref76567466 \h </w:instrText>
      </w:r>
      <w:r w:rsidRPr="007C28CC">
        <w:fldChar w:fldCharType="separate"/>
      </w:r>
      <w:r w:rsidR="00FD3F9A" w:rsidRPr="007C28CC">
        <w:t xml:space="preserve">Rysunek </w:t>
      </w:r>
      <w:r w:rsidR="00FD3F9A">
        <w:rPr>
          <w:noProof/>
        </w:rPr>
        <w:t>13</w:t>
      </w:r>
      <w:r w:rsidRPr="007C28CC">
        <w:fldChar w:fldCharType="end"/>
      </w:r>
      <w:r w:rsidRPr="007C28CC">
        <w:t>.</w:t>
      </w:r>
    </w:p>
    <w:p w14:paraId="20F3538D" w14:textId="77777777" w:rsidR="00BA0236" w:rsidRPr="007C28CC" w:rsidRDefault="00BA0236" w:rsidP="004D6635">
      <w:pPr>
        <w:pStyle w:val="ReportText"/>
        <w:numPr>
          <w:ilvl w:val="2"/>
          <w:numId w:val="21"/>
        </w:numPr>
        <w:spacing w:before="120" w:after="120"/>
        <w:ind w:left="1134" w:hanging="283"/>
      </w:pPr>
      <w:r w:rsidRPr="007C28CC">
        <w:t>Typ ochrony: Przedłużenie wału przeciwpowodziowego;</w:t>
      </w:r>
    </w:p>
    <w:p w14:paraId="31D904B1" w14:textId="77777777" w:rsidR="00BA0236" w:rsidRPr="007C28CC" w:rsidRDefault="00BA0236" w:rsidP="004D6635">
      <w:pPr>
        <w:pStyle w:val="ReportText"/>
        <w:numPr>
          <w:ilvl w:val="2"/>
          <w:numId w:val="21"/>
        </w:numPr>
        <w:spacing w:before="120" w:after="120"/>
        <w:ind w:left="1134" w:hanging="283"/>
      </w:pPr>
      <w:r w:rsidRPr="007C28CC">
        <w:t xml:space="preserve"> Długość: 0,029 km i 0,037 km;</w:t>
      </w:r>
    </w:p>
    <w:p w14:paraId="6D95C42D" w14:textId="77777777" w:rsidR="00BA0236" w:rsidRPr="007C28CC" w:rsidRDefault="00BA0236" w:rsidP="004D6635">
      <w:pPr>
        <w:pStyle w:val="ReportText"/>
        <w:numPr>
          <w:ilvl w:val="2"/>
          <w:numId w:val="21"/>
        </w:numPr>
        <w:spacing w:before="120" w:after="120"/>
        <w:ind w:left="1134" w:hanging="283"/>
      </w:pPr>
      <w:r w:rsidRPr="007C28CC">
        <w:t xml:space="preserve"> Średnia wysokość: 1,1 m i 1,3 m;</w:t>
      </w:r>
    </w:p>
    <w:p w14:paraId="2593F64C" w14:textId="77777777" w:rsidR="00BA0236" w:rsidRPr="007C28CC" w:rsidRDefault="00BA0236" w:rsidP="004D6635">
      <w:pPr>
        <w:pStyle w:val="ReportText"/>
        <w:numPr>
          <w:ilvl w:val="2"/>
          <w:numId w:val="21"/>
        </w:numPr>
        <w:spacing w:before="120" w:after="120"/>
        <w:ind w:left="1134" w:hanging="283"/>
      </w:pPr>
      <w:r w:rsidRPr="007C28CC">
        <w:t xml:space="preserve"> Typ ochrony: Podniesienie rzędnej drogi;</w:t>
      </w:r>
    </w:p>
    <w:p w14:paraId="385C9681" w14:textId="77777777" w:rsidR="00BA0236" w:rsidRPr="007C28CC" w:rsidRDefault="00BA0236" w:rsidP="004D6635">
      <w:pPr>
        <w:pStyle w:val="ReportText"/>
        <w:numPr>
          <w:ilvl w:val="2"/>
          <w:numId w:val="21"/>
        </w:numPr>
        <w:spacing w:before="120" w:after="120"/>
        <w:ind w:left="1134" w:hanging="283"/>
      </w:pPr>
      <w:r w:rsidRPr="007C28CC">
        <w:t xml:space="preserve"> Długość: 0,21 km;</w:t>
      </w:r>
    </w:p>
    <w:p w14:paraId="5306A4FC" w14:textId="77777777" w:rsidR="00BA0236" w:rsidRPr="007C28CC" w:rsidRDefault="00BA0236" w:rsidP="004D6635">
      <w:pPr>
        <w:pStyle w:val="ReportText"/>
        <w:numPr>
          <w:ilvl w:val="2"/>
          <w:numId w:val="21"/>
        </w:numPr>
        <w:spacing w:before="120" w:after="120"/>
        <w:ind w:left="1134" w:hanging="283"/>
      </w:pPr>
      <w:r w:rsidRPr="007C28CC">
        <w:t xml:space="preserve"> Średnia wysokość: 1,3 m;</w:t>
      </w:r>
    </w:p>
    <w:p w14:paraId="40F43462" w14:textId="77777777" w:rsidR="00BA0236" w:rsidRPr="007C28CC" w:rsidRDefault="00BA0236" w:rsidP="004D6635">
      <w:pPr>
        <w:pStyle w:val="ReportText"/>
        <w:numPr>
          <w:ilvl w:val="2"/>
          <w:numId w:val="21"/>
        </w:numPr>
        <w:spacing w:before="120" w:after="120"/>
        <w:ind w:left="1134" w:hanging="283"/>
      </w:pPr>
      <w:r w:rsidRPr="007C28CC">
        <w:t>Rzędna wody miarodajnej (przy wezbraniu 1%): 1,82 m n.p.m.;</w:t>
      </w:r>
    </w:p>
    <w:p w14:paraId="738A6F76" w14:textId="77777777" w:rsidR="00BA0236" w:rsidRPr="007C28CC" w:rsidRDefault="00BA0236" w:rsidP="004D6635">
      <w:pPr>
        <w:pStyle w:val="ReportText"/>
        <w:numPr>
          <w:ilvl w:val="2"/>
          <w:numId w:val="21"/>
        </w:numPr>
        <w:spacing w:before="120" w:after="120"/>
        <w:ind w:left="1134" w:hanging="283"/>
      </w:pPr>
      <w:r w:rsidRPr="007C28CC">
        <w:t>Rzędna wody kontrolnej (przy wezbraniu 0,2%): 2,31 m n.p.m.;</w:t>
      </w:r>
    </w:p>
    <w:p w14:paraId="20E2F63C" w14:textId="77777777" w:rsidR="00BA0236" w:rsidRPr="007C28CC" w:rsidRDefault="00BA0236" w:rsidP="004D6635">
      <w:pPr>
        <w:pStyle w:val="ReportText"/>
        <w:numPr>
          <w:ilvl w:val="2"/>
          <w:numId w:val="21"/>
        </w:numPr>
        <w:spacing w:before="120" w:after="0"/>
        <w:ind w:left="1134" w:hanging="283"/>
      </w:pPr>
      <w:r w:rsidRPr="007C28CC">
        <w:t>Wymagana minimalna rzędna górnej krawędzi: 2,61 m n.p.m. (0,30 m nad poziom lustra wody 0,2%).</w:t>
      </w:r>
    </w:p>
    <w:p w14:paraId="3E0D12B8" w14:textId="7685AE9C" w:rsidR="00BA0236" w:rsidRPr="007C28CC" w:rsidRDefault="00E8074C" w:rsidP="007C28CC">
      <w:pPr>
        <w:pStyle w:val="ReportText"/>
        <w:spacing w:before="120" w:after="0"/>
        <w:jc w:val="center"/>
      </w:pPr>
      <w:r>
        <w:rPr>
          <w:noProof/>
          <w:lang w:eastAsia="pl-PL"/>
        </w:rPr>
        <w:lastRenderedPageBreak/>
        <w:drawing>
          <wp:inline distT="0" distB="0" distL="0" distR="0" wp14:anchorId="41E8D635" wp14:editId="77D6624A">
            <wp:extent cx="4314825" cy="4152900"/>
            <wp:effectExtent l="0" t="0" r="0" b="0"/>
            <wp:docPr id="14"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4"/>
                    <pic:cNvPicPr>
                      <a:picLocks noChangeAspect="1" noChangeArrowheads="1"/>
                    </pic:cNvPicPr>
                  </pic:nvPicPr>
                  <pic:blipFill>
                    <a:blip r:embed="rId23">
                      <a:extLst>
                        <a:ext uri="{28A0092B-C50C-407E-A947-70E740481C1C}">
                          <a14:useLocalDpi xmlns:a14="http://schemas.microsoft.com/office/drawing/2010/main" val="0"/>
                        </a:ext>
                      </a:extLst>
                    </a:blip>
                    <a:srcRect t="1906"/>
                    <a:stretch>
                      <a:fillRect/>
                    </a:stretch>
                  </pic:blipFill>
                  <pic:spPr bwMode="auto">
                    <a:xfrm>
                      <a:off x="0" y="0"/>
                      <a:ext cx="4314825" cy="4152900"/>
                    </a:xfrm>
                    <a:prstGeom prst="rect">
                      <a:avLst/>
                    </a:prstGeom>
                    <a:noFill/>
                    <a:ln>
                      <a:noFill/>
                    </a:ln>
                  </pic:spPr>
                </pic:pic>
              </a:graphicData>
            </a:graphic>
          </wp:inline>
        </w:drawing>
      </w:r>
    </w:p>
    <w:p w14:paraId="1693FC28" w14:textId="76429509" w:rsidR="00BA0236" w:rsidRDefault="00BA0236" w:rsidP="004D6635">
      <w:pPr>
        <w:pStyle w:val="ReportText"/>
        <w:spacing w:before="0"/>
        <w:ind w:left="1418" w:hanging="1418"/>
      </w:pPr>
      <w:bookmarkStart w:id="59" w:name="_Ref76567466"/>
      <w:bookmarkStart w:id="60" w:name="_Toc76734817"/>
      <w:bookmarkStart w:id="61" w:name="_Toc80604786"/>
      <w:r w:rsidRPr="007C28CC">
        <w:t xml:space="preserve">Rysunek </w:t>
      </w:r>
      <w:r w:rsidR="00677743">
        <w:rPr>
          <w:noProof/>
        </w:rPr>
        <w:fldChar w:fldCharType="begin"/>
      </w:r>
      <w:r w:rsidR="00677743">
        <w:rPr>
          <w:noProof/>
        </w:rPr>
        <w:instrText xml:space="preserve"> SEQ Rysunek \* ARABIC </w:instrText>
      </w:r>
      <w:r w:rsidR="00677743">
        <w:rPr>
          <w:noProof/>
        </w:rPr>
        <w:fldChar w:fldCharType="separate"/>
      </w:r>
      <w:r w:rsidR="00FD3F9A">
        <w:rPr>
          <w:noProof/>
        </w:rPr>
        <w:t>13</w:t>
      </w:r>
      <w:r w:rsidR="00677743">
        <w:rPr>
          <w:noProof/>
        </w:rPr>
        <w:fldChar w:fldCharType="end"/>
      </w:r>
      <w:bookmarkEnd w:id="59"/>
      <w:r w:rsidRPr="007C28CC">
        <w:tab/>
        <w:t xml:space="preserve">Lokalizacja działań zaproponowanych w wariancie „1” dla obszaru problemowego </w:t>
      </w:r>
      <w:bookmarkEnd w:id="60"/>
      <w:r w:rsidRPr="007C28CC">
        <w:t>IOP_2 Mierzeja Helska – Jastarnia, Hel, m. Chałupy</w:t>
      </w:r>
      <w:bookmarkEnd w:id="61"/>
    </w:p>
    <w:p w14:paraId="415664CA" w14:textId="77777777" w:rsidR="006E4A04" w:rsidRPr="007C28CC" w:rsidRDefault="006E4A04" w:rsidP="007C28CC">
      <w:pPr>
        <w:pStyle w:val="ReportText"/>
        <w:spacing w:before="0"/>
      </w:pPr>
    </w:p>
    <w:p w14:paraId="463D3FCE" w14:textId="7C617EAD" w:rsidR="00BA0236" w:rsidRPr="004D6635" w:rsidRDefault="00BA0236" w:rsidP="00924BB5">
      <w:pPr>
        <w:pStyle w:val="Akapitzlist"/>
        <w:numPr>
          <w:ilvl w:val="0"/>
          <w:numId w:val="74"/>
        </w:numPr>
        <w:ind w:left="567" w:hanging="425"/>
        <w:jc w:val="both"/>
        <w:rPr>
          <w:sz w:val="24"/>
          <w:szCs w:val="24"/>
        </w:rPr>
      </w:pPr>
      <w:r w:rsidRPr="004D6635">
        <w:rPr>
          <w:sz w:val="24"/>
          <w:szCs w:val="24"/>
        </w:rPr>
        <w:t xml:space="preserve">Wariant „2” obejmował ochronę przeciwpowodziową </w:t>
      </w:r>
      <w:r w:rsidRPr="004D6635">
        <w:rPr>
          <w:rFonts w:eastAsia="Times New Roman"/>
          <w:sz w:val="24"/>
          <w:szCs w:val="24"/>
          <w:lang w:eastAsia="pl-PL"/>
        </w:rPr>
        <w:t xml:space="preserve">miejscowości Chałupy przy pomocy systemu mobilnych przegród przeciwpowodziowych (Mierzeja Helska km 66+130), </w:t>
      </w:r>
      <w:r w:rsidRPr="004D6635">
        <w:rPr>
          <w:sz w:val="24"/>
          <w:szCs w:val="24"/>
        </w:rPr>
        <w:t xml:space="preserve">wraz z rozwojem lokalnego systemu ostrzegania przed powodziami i prognozowania zagrożeń na terenie gmin Jastarnia, Hel i Władysławowo (Zadanie W_AR_07). Lokalizację działania zaproponowanego w wariancie „2” przedstawia </w:t>
      </w:r>
      <w:r w:rsidR="006C30BA" w:rsidRPr="004D6635">
        <w:rPr>
          <w:sz w:val="24"/>
          <w:szCs w:val="24"/>
        </w:rPr>
        <w:fldChar w:fldCharType="begin"/>
      </w:r>
      <w:r w:rsidR="006C30BA" w:rsidRPr="004D6635">
        <w:rPr>
          <w:sz w:val="24"/>
          <w:szCs w:val="24"/>
        </w:rPr>
        <w:instrText xml:space="preserve"> REF _Ref76567641 \h  \* MERGEFORMAT </w:instrText>
      </w:r>
      <w:r w:rsidR="006C30BA" w:rsidRPr="004D6635">
        <w:rPr>
          <w:sz w:val="24"/>
          <w:szCs w:val="24"/>
        </w:rPr>
      </w:r>
      <w:r w:rsidR="006C30BA" w:rsidRPr="004D6635">
        <w:rPr>
          <w:sz w:val="24"/>
          <w:szCs w:val="24"/>
        </w:rPr>
        <w:fldChar w:fldCharType="separate"/>
      </w:r>
      <w:r w:rsidR="00FD3F9A" w:rsidRPr="00FD3F9A">
        <w:rPr>
          <w:sz w:val="24"/>
          <w:szCs w:val="24"/>
        </w:rPr>
        <w:t xml:space="preserve">Rysunek </w:t>
      </w:r>
      <w:r w:rsidR="00FD3F9A" w:rsidRPr="00FD3F9A">
        <w:rPr>
          <w:noProof/>
          <w:sz w:val="24"/>
          <w:szCs w:val="24"/>
        </w:rPr>
        <w:t>14</w:t>
      </w:r>
      <w:r w:rsidR="006C30BA" w:rsidRPr="004D6635">
        <w:rPr>
          <w:sz w:val="24"/>
          <w:szCs w:val="24"/>
        </w:rPr>
        <w:fldChar w:fldCharType="end"/>
      </w:r>
      <w:r w:rsidRPr="004D6635">
        <w:rPr>
          <w:sz w:val="24"/>
          <w:szCs w:val="24"/>
        </w:rPr>
        <w:t>.</w:t>
      </w:r>
    </w:p>
    <w:p w14:paraId="36C5A14C" w14:textId="3E2604A2" w:rsidR="00BA0236" w:rsidRPr="007C28CC" w:rsidRDefault="00BA0236" w:rsidP="004D6635">
      <w:pPr>
        <w:pStyle w:val="ReportText"/>
        <w:numPr>
          <w:ilvl w:val="2"/>
          <w:numId w:val="21"/>
        </w:numPr>
        <w:spacing w:before="120" w:after="120"/>
        <w:ind w:left="1134" w:hanging="283"/>
      </w:pPr>
      <w:r w:rsidRPr="007C28CC">
        <w:t xml:space="preserve">Typ ochrony: mobilne przegrody przeciwpowodziowe (belki zaporowe </w:t>
      </w:r>
      <w:r w:rsidR="004D6635">
        <w:t>–</w:t>
      </w:r>
      <w:r w:rsidRPr="007C28CC">
        <w:t xml:space="preserve"> szandory);</w:t>
      </w:r>
    </w:p>
    <w:p w14:paraId="56C9A3D2" w14:textId="77777777" w:rsidR="00BA0236" w:rsidRPr="007C28CC" w:rsidRDefault="00BA0236" w:rsidP="004D6635">
      <w:pPr>
        <w:pStyle w:val="ReportText"/>
        <w:numPr>
          <w:ilvl w:val="2"/>
          <w:numId w:val="21"/>
        </w:numPr>
        <w:spacing w:before="120" w:after="120"/>
        <w:ind w:left="1134" w:hanging="283"/>
      </w:pPr>
      <w:r w:rsidRPr="007C28CC">
        <w:t xml:space="preserve"> Długość: 0,09 km;</w:t>
      </w:r>
    </w:p>
    <w:p w14:paraId="109E8682" w14:textId="77777777" w:rsidR="00BA0236" w:rsidRPr="007C28CC" w:rsidRDefault="00BA0236" w:rsidP="004D6635">
      <w:pPr>
        <w:pStyle w:val="ReportText"/>
        <w:numPr>
          <w:ilvl w:val="2"/>
          <w:numId w:val="21"/>
        </w:numPr>
        <w:spacing w:before="120" w:after="120"/>
        <w:ind w:left="1134" w:hanging="283"/>
      </w:pPr>
      <w:r w:rsidRPr="007C28CC">
        <w:t xml:space="preserve"> Średnia wysokość: 1,2 m;</w:t>
      </w:r>
    </w:p>
    <w:p w14:paraId="2C9AED30" w14:textId="77777777" w:rsidR="00BA0236" w:rsidRPr="007C28CC" w:rsidRDefault="00BA0236" w:rsidP="004D6635">
      <w:pPr>
        <w:pStyle w:val="ReportText"/>
        <w:numPr>
          <w:ilvl w:val="2"/>
          <w:numId w:val="21"/>
        </w:numPr>
        <w:spacing w:before="120" w:after="120"/>
        <w:ind w:left="1134" w:hanging="283"/>
      </w:pPr>
      <w:r w:rsidRPr="007C28CC">
        <w:t xml:space="preserve"> Rzędna wody miarodajnej (przy wezbraniu 1%): 1,82 m n.p.m.;</w:t>
      </w:r>
    </w:p>
    <w:p w14:paraId="4E8A1A9C" w14:textId="77777777" w:rsidR="00BA0236" w:rsidRPr="007C28CC" w:rsidRDefault="00BA0236" w:rsidP="004D6635">
      <w:pPr>
        <w:pStyle w:val="ReportText"/>
        <w:numPr>
          <w:ilvl w:val="2"/>
          <w:numId w:val="21"/>
        </w:numPr>
        <w:spacing w:before="120" w:after="120"/>
        <w:ind w:left="1134" w:hanging="283"/>
      </w:pPr>
      <w:r w:rsidRPr="007C28CC">
        <w:t>Rzędna wody kontrolnej (przy wezbraniu 0,2%): 2,31 m n.p.m.;</w:t>
      </w:r>
    </w:p>
    <w:p w14:paraId="232BBA26" w14:textId="77777777" w:rsidR="00BA0236" w:rsidRPr="007C28CC" w:rsidRDefault="00BA0236" w:rsidP="004D6635">
      <w:pPr>
        <w:pStyle w:val="ReportText"/>
        <w:numPr>
          <w:ilvl w:val="2"/>
          <w:numId w:val="21"/>
        </w:numPr>
        <w:spacing w:before="120" w:after="0"/>
        <w:ind w:left="1134" w:hanging="283"/>
      </w:pPr>
      <w:r w:rsidRPr="007C28CC">
        <w:t>Wymagana minimalna rzędna górnej krawędzi: 2,61 m n.p.m. (0,30 m nad poziom lustra wody 0,2%).</w:t>
      </w:r>
    </w:p>
    <w:p w14:paraId="5F9117B9" w14:textId="272DD433" w:rsidR="00BA0236" w:rsidRPr="007C28CC" w:rsidRDefault="00E8074C" w:rsidP="007C28CC">
      <w:pPr>
        <w:pStyle w:val="ReportText"/>
        <w:spacing w:before="120" w:after="120"/>
        <w:jc w:val="center"/>
      </w:pPr>
      <w:r>
        <w:rPr>
          <w:noProof/>
          <w:lang w:eastAsia="pl-PL"/>
        </w:rPr>
        <w:lastRenderedPageBreak/>
        <w:drawing>
          <wp:inline distT="0" distB="0" distL="0" distR="0" wp14:anchorId="1C6E7B4F" wp14:editId="148AAD7A">
            <wp:extent cx="4314825" cy="4314825"/>
            <wp:effectExtent l="0" t="0" r="0" b="0"/>
            <wp:docPr id="15"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14825" cy="4314825"/>
                    </a:xfrm>
                    <a:prstGeom prst="rect">
                      <a:avLst/>
                    </a:prstGeom>
                    <a:noFill/>
                    <a:ln>
                      <a:noFill/>
                    </a:ln>
                  </pic:spPr>
                </pic:pic>
              </a:graphicData>
            </a:graphic>
          </wp:inline>
        </w:drawing>
      </w:r>
    </w:p>
    <w:p w14:paraId="5C47FED4" w14:textId="6700939D" w:rsidR="00BA0236" w:rsidRPr="007C28CC" w:rsidRDefault="00BA0236" w:rsidP="004D6635">
      <w:pPr>
        <w:pStyle w:val="ReportText"/>
        <w:spacing w:before="0"/>
        <w:ind w:left="1418" w:hanging="1418"/>
      </w:pPr>
      <w:bookmarkStart w:id="62" w:name="_Ref76567641"/>
      <w:bookmarkStart w:id="63" w:name="_Toc76734816"/>
      <w:bookmarkStart w:id="64" w:name="_Toc80604787"/>
      <w:r w:rsidRPr="007C28CC">
        <w:t xml:space="preserve">Rysunek </w:t>
      </w:r>
      <w:r w:rsidR="00677743">
        <w:rPr>
          <w:noProof/>
        </w:rPr>
        <w:fldChar w:fldCharType="begin"/>
      </w:r>
      <w:r w:rsidR="00677743">
        <w:rPr>
          <w:noProof/>
        </w:rPr>
        <w:instrText xml:space="preserve"> SEQ Rysunek \* ARABIC </w:instrText>
      </w:r>
      <w:r w:rsidR="00677743">
        <w:rPr>
          <w:noProof/>
        </w:rPr>
        <w:fldChar w:fldCharType="separate"/>
      </w:r>
      <w:r w:rsidR="00FD3F9A">
        <w:rPr>
          <w:noProof/>
        </w:rPr>
        <w:t>14</w:t>
      </w:r>
      <w:r w:rsidR="00677743">
        <w:rPr>
          <w:noProof/>
        </w:rPr>
        <w:fldChar w:fldCharType="end"/>
      </w:r>
      <w:bookmarkEnd w:id="62"/>
      <w:r w:rsidRPr="007C28CC">
        <w:tab/>
        <w:t xml:space="preserve">Lokalizacja działań zaproponowanych w wariancie „2” dla obszaru problemowego </w:t>
      </w:r>
      <w:bookmarkEnd w:id="63"/>
      <w:r w:rsidRPr="007C28CC">
        <w:t>IOP_2 Mierzeja Helska – Jastarnia, Hel m. Chałupy</w:t>
      </w:r>
      <w:bookmarkEnd w:id="64"/>
    </w:p>
    <w:p w14:paraId="5107F710" w14:textId="77777777" w:rsidR="00BA0236" w:rsidRPr="007C28CC" w:rsidRDefault="00BA0236" w:rsidP="007C28CC">
      <w:pPr>
        <w:pStyle w:val="ReportText"/>
        <w:spacing w:before="0"/>
      </w:pPr>
    </w:p>
    <w:p w14:paraId="399DF7CE" w14:textId="77777777" w:rsidR="00BA0236" w:rsidRPr="007C28CC" w:rsidRDefault="00BA0236" w:rsidP="007C28CC">
      <w:r w:rsidRPr="007C28CC">
        <w:br w:type="page"/>
      </w:r>
    </w:p>
    <w:p w14:paraId="7C386F40" w14:textId="77777777" w:rsidR="00BA0236" w:rsidRPr="007C28CC" w:rsidRDefault="00BA0236" w:rsidP="00E8074C">
      <w:pPr>
        <w:pStyle w:val="ReportLevel2"/>
        <w:numPr>
          <w:ilvl w:val="1"/>
          <w:numId w:val="9"/>
        </w:numPr>
      </w:pPr>
      <w:bookmarkStart w:id="65" w:name="_Toc79511674"/>
      <w:bookmarkStart w:id="66" w:name="_Toc80604854"/>
      <w:r w:rsidRPr="007C28CC">
        <w:lastRenderedPageBreak/>
        <w:t>IOP_2 Mierzeja Helska - Jastarnia, Hel - Kuźnica</w:t>
      </w:r>
      <w:bookmarkEnd w:id="65"/>
      <w:bookmarkEnd w:id="66"/>
    </w:p>
    <w:p w14:paraId="1C10ED27" w14:textId="77777777" w:rsidR="00BA0236" w:rsidRPr="007C28CC" w:rsidRDefault="00BA0236" w:rsidP="007C28CC">
      <w:pPr>
        <w:pStyle w:val="ReportText"/>
        <w:spacing w:before="120" w:after="0"/>
      </w:pPr>
      <w:r w:rsidRPr="007C28CC">
        <w:t xml:space="preserve">Drugim miejscem w obrębie obszaru problemowego IOP_2 Mierzeja Helska – Jastarnia, Hel, gdzie zdefiniowano zagrożenie powodziowe jest miejscowość Kuźnica. Dla przedmiotowego rejonu zaproponowano trzy warianty obniżenia istniejącego ryzyka powodziowego: </w:t>
      </w:r>
    </w:p>
    <w:p w14:paraId="5066B13B" w14:textId="1B7F6475" w:rsidR="00BA0236" w:rsidRPr="007C28CC" w:rsidRDefault="00BA0236" w:rsidP="004D6635">
      <w:pPr>
        <w:pStyle w:val="ReportText"/>
        <w:numPr>
          <w:ilvl w:val="0"/>
          <w:numId w:val="20"/>
        </w:numPr>
        <w:spacing w:before="0" w:after="80"/>
        <w:ind w:left="567" w:hanging="425"/>
      </w:pPr>
      <w:r w:rsidRPr="007C28CC">
        <w:t xml:space="preserve">Wariant „0” </w:t>
      </w:r>
      <w:r w:rsidRPr="00475541">
        <w:t>obejm</w:t>
      </w:r>
      <w:r>
        <w:t>ował</w:t>
      </w:r>
      <w:r w:rsidRPr="00475541">
        <w:t xml:space="preserve"> istniejący stan zabudowy hydrotechnicznej</w:t>
      </w:r>
      <w:r>
        <w:t xml:space="preserve"> </w:t>
      </w:r>
      <w:r w:rsidRPr="00475541">
        <w:t>(zgodnie z wynikami przeglądu i aktualizacji map zagrożenia powodziowego i map ryzyka</w:t>
      </w:r>
      <w:r>
        <w:t xml:space="preserve"> </w:t>
      </w:r>
      <w:r w:rsidRPr="00475541">
        <w:t>powodziowego</w:t>
      </w:r>
      <w:r>
        <w:t xml:space="preserve"> </w:t>
      </w:r>
      <w:r w:rsidRPr="00475541">
        <w:t>od strony morza w tym morskich wód wewnętrznych</w:t>
      </w:r>
      <w:r>
        <w:t xml:space="preserve"> </w:t>
      </w:r>
      <w:r w:rsidRPr="00475541">
        <w:t>na koniec roku 2019</w:t>
      </w:r>
      <w:r>
        <w:t xml:space="preserve"> z</w:t>
      </w:r>
      <w:r w:rsidRPr="00791A72">
        <w:t>aktualiz</w:t>
      </w:r>
      <w:r>
        <w:t xml:space="preserve">owany </w:t>
      </w:r>
      <w:r w:rsidRPr="00791A72">
        <w:t xml:space="preserve">o działania będące w realizacji lub planowane do rozpoczęcia </w:t>
      </w:r>
      <w:r>
        <w:t>do</w:t>
      </w:r>
      <w:r w:rsidRPr="00791A72">
        <w:t xml:space="preserve"> 2022 r., lub zakończone po 2019 r</w:t>
      </w:r>
      <w:r>
        <w:t>.</w:t>
      </w:r>
      <w:r w:rsidRPr="00475541">
        <w:t>)</w:t>
      </w:r>
      <w:r>
        <w:t xml:space="preserve"> </w:t>
      </w:r>
      <w:r w:rsidRPr="007C28CC">
        <w:t>czyli istniejące nabrzeże i</w:t>
      </w:r>
      <w:r w:rsidR="004D6635">
        <w:t> </w:t>
      </w:r>
      <w:r w:rsidRPr="007C28CC">
        <w:t xml:space="preserve">umocnienia brzegowe. </w:t>
      </w:r>
    </w:p>
    <w:p w14:paraId="0EAA09E4" w14:textId="7C7A52D6" w:rsidR="00BA0236" w:rsidRPr="007C28CC" w:rsidRDefault="00BA0236" w:rsidP="004D6635">
      <w:pPr>
        <w:pStyle w:val="ReportText"/>
        <w:numPr>
          <w:ilvl w:val="0"/>
          <w:numId w:val="20"/>
        </w:numPr>
        <w:spacing w:before="120" w:after="80"/>
        <w:ind w:left="567" w:hanging="425"/>
      </w:pPr>
      <w:r w:rsidRPr="007C28CC">
        <w:t>Wariant „1” obejmował ochronę przeciwpowodziową realizowaną poprzez budowę bulwarów wraz z murkiem ochronnym wzdłuż wybrzeża Zatoki Gdańskiej w</w:t>
      </w:r>
      <w:r w:rsidR="004D6635">
        <w:t> </w:t>
      </w:r>
      <w:r w:rsidRPr="007C28CC">
        <w:t xml:space="preserve">Kuźnicy </w:t>
      </w:r>
      <w:r w:rsidRPr="007C28CC">
        <w:rPr>
          <w:rFonts w:eastAsia="Times New Roman"/>
          <w:szCs w:val="24"/>
          <w:lang w:eastAsia="pl-PL"/>
        </w:rPr>
        <w:t>na podstawie dokumentacji koncepcyjno</w:t>
      </w:r>
      <w:r w:rsidR="004D6635">
        <w:rPr>
          <w:rFonts w:eastAsia="Times New Roman"/>
          <w:szCs w:val="24"/>
          <w:lang w:eastAsia="pl-PL"/>
        </w:rPr>
        <w:t>-</w:t>
      </w:r>
      <w:r w:rsidRPr="007C28CC">
        <w:rPr>
          <w:rFonts w:eastAsia="Times New Roman"/>
          <w:szCs w:val="24"/>
          <w:lang w:eastAsia="pl-PL"/>
        </w:rPr>
        <w:t>projektowej ochrony przeciwpowodziowej dla analizowanego obszaru (km 57+500 - 59+400)</w:t>
      </w:r>
      <w:r w:rsidRPr="007C28CC">
        <w:t xml:space="preserve"> (Zadanie W_MDW_04A). Lokalizację działania zaproponowanego w wariancie „1” przedstawia </w:t>
      </w:r>
      <w:r w:rsidRPr="007C28CC">
        <w:fldChar w:fldCharType="begin"/>
      </w:r>
      <w:r w:rsidRPr="007C28CC">
        <w:instrText xml:space="preserve"> REF _Ref79485371 \h </w:instrText>
      </w:r>
      <w:r w:rsidRPr="007C28CC">
        <w:fldChar w:fldCharType="separate"/>
      </w:r>
      <w:r w:rsidR="00FD3F9A" w:rsidRPr="007C28CC">
        <w:t xml:space="preserve">Rysunek </w:t>
      </w:r>
      <w:r w:rsidR="00FD3F9A">
        <w:rPr>
          <w:noProof/>
        </w:rPr>
        <w:t>15</w:t>
      </w:r>
      <w:r w:rsidRPr="007C28CC">
        <w:fldChar w:fldCharType="end"/>
      </w:r>
      <w:r w:rsidRPr="007C28CC">
        <w:t>.</w:t>
      </w:r>
    </w:p>
    <w:p w14:paraId="2C4A210F" w14:textId="77777777" w:rsidR="00BA0236" w:rsidRPr="007C28CC" w:rsidRDefault="00BA0236" w:rsidP="004D6635">
      <w:pPr>
        <w:pStyle w:val="ReportText"/>
        <w:numPr>
          <w:ilvl w:val="2"/>
          <w:numId w:val="21"/>
        </w:numPr>
        <w:spacing w:before="80" w:after="80"/>
        <w:ind w:left="1134" w:hanging="283"/>
      </w:pPr>
      <w:r w:rsidRPr="007C28CC">
        <w:t>Typ ochrony: budowa bulwarów z murkiem ochronnym;</w:t>
      </w:r>
    </w:p>
    <w:p w14:paraId="32E2FCE4" w14:textId="77777777" w:rsidR="00BA0236" w:rsidRPr="007C28CC" w:rsidRDefault="00BA0236" w:rsidP="004D6635">
      <w:pPr>
        <w:pStyle w:val="ReportText"/>
        <w:numPr>
          <w:ilvl w:val="2"/>
          <w:numId w:val="21"/>
        </w:numPr>
        <w:spacing w:before="80" w:after="80"/>
        <w:ind w:left="1134" w:hanging="283"/>
      </w:pPr>
      <w:r w:rsidRPr="007C28CC">
        <w:t xml:space="preserve"> Długość: 2,03 km;</w:t>
      </w:r>
    </w:p>
    <w:p w14:paraId="490C7265" w14:textId="77777777" w:rsidR="00BA0236" w:rsidRPr="007C28CC" w:rsidRDefault="00BA0236" w:rsidP="004D6635">
      <w:pPr>
        <w:pStyle w:val="ReportText"/>
        <w:numPr>
          <w:ilvl w:val="2"/>
          <w:numId w:val="21"/>
        </w:numPr>
        <w:spacing w:before="80" w:after="80"/>
        <w:ind w:left="1134" w:hanging="283"/>
      </w:pPr>
      <w:r w:rsidRPr="007C28CC">
        <w:t xml:space="preserve"> Średnia wysokość: 1,3 m;</w:t>
      </w:r>
    </w:p>
    <w:p w14:paraId="7D8D760A" w14:textId="77777777" w:rsidR="00BA0236" w:rsidRPr="007C28CC" w:rsidRDefault="00BA0236" w:rsidP="004D6635">
      <w:pPr>
        <w:pStyle w:val="ReportText"/>
        <w:numPr>
          <w:ilvl w:val="2"/>
          <w:numId w:val="21"/>
        </w:numPr>
        <w:spacing w:before="80" w:after="80"/>
        <w:ind w:left="1134" w:hanging="283"/>
      </w:pPr>
      <w:r w:rsidRPr="007C28CC">
        <w:t>Rzędna wody miarodajnej (przy wezbraniu 1%): 1,82 m n.p.m.;</w:t>
      </w:r>
    </w:p>
    <w:p w14:paraId="36F6464F" w14:textId="77777777" w:rsidR="00BA0236" w:rsidRPr="007C28CC" w:rsidRDefault="00BA0236" w:rsidP="004D6635">
      <w:pPr>
        <w:pStyle w:val="ReportText"/>
        <w:numPr>
          <w:ilvl w:val="2"/>
          <w:numId w:val="21"/>
        </w:numPr>
        <w:spacing w:before="80" w:after="80"/>
        <w:ind w:left="1134" w:hanging="283"/>
      </w:pPr>
      <w:r w:rsidRPr="007C28CC">
        <w:t>Rzędna wody kontrolnej (przy wezbraniu 0,2%): 2,09 m n.p.m.;</w:t>
      </w:r>
    </w:p>
    <w:p w14:paraId="20F41519" w14:textId="64195D68" w:rsidR="00BA0236" w:rsidRPr="007C28CC" w:rsidRDefault="00BA0236" w:rsidP="004D6635">
      <w:pPr>
        <w:pStyle w:val="ReportText"/>
        <w:numPr>
          <w:ilvl w:val="2"/>
          <w:numId w:val="21"/>
        </w:numPr>
        <w:spacing w:before="120" w:after="0"/>
        <w:ind w:left="1134" w:hanging="283"/>
      </w:pPr>
      <w:r w:rsidRPr="007C28CC">
        <w:t>Wymagana minimalna rzędna górnej krawędzi: 2,39 m n.p.m. (0,30 m nad poziom lustra wody 0,2%</w:t>
      </w:r>
      <w:r w:rsidR="00307D31">
        <w:t>, minimalna rzędna powyżej rzędnej weryfikującej: 2,25 m n.p.m.)</w:t>
      </w:r>
    </w:p>
    <w:p w14:paraId="4EDA3619" w14:textId="412CE201" w:rsidR="00BA0236" w:rsidRPr="007C28CC" w:rsidRDefault="00E8074C" w:rsidP="007C28CC">
      <w:pPr>
        <w:pStyle w:val="ReportText"/>
        <w:spacing w:before="0" w:after="0"/>
        <w:jc w:val="center"/>
      </w:pPr>
      <w:r>
        <w:rPr>
          <w:noProof/>
          <w:lang w:eastAsia="pl-PL"/>
        </w:rPr>
        <w:drawing>
          <wp:inline distT="0" distB="0" distL="0" distR="0" wp14:anchorId="557D4730" wp14:editId="61005710">
            <wp:extent cx="3484097" cy="3361038"/>
            <wp:effectExtent l="0" t="0" r="2540" b="0"/>
            <wp:docPr id="16" name="Obraz 47" descr="Obraz zawierający mapa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7" descr="Obraz zawierający mapaOpis wygenerowany automatycznie"/>
                    <pic:cNvPicPr>
                      <a:picLocks noChangeAspect="1" noChangeArrowheads="1"/>
                    </pic:cNvPicPr>
                  </pic:nvPicPr>
                  <pic:blipFill>
                    <a:blip r:embed="rId25">
                      <a:extLst>
                        <a:ext uri="{28A0092B-C50C-407E-A947-70E740481C1C}">
                          <a14:useLocalDpi xmlns:a14="http://schemas.microsoft.com/office/drawing/2010/main" val="0"/>
                        </a:ext>
                      </a:extLst>
                    </a:blip>
                    <a:srcRect t="1646" b="1738"/>
                    <a:stretch>
                      <a:fillRect/>
                    </a:stretch>
                  </pic:blipFill>
                  <pic:spPr bwMode="auto">
                    <a:xfrm>
                      <a:off x="0" y="0"/>
                      <a:ext cx="3507878" cy="3383979"/>
                    </a:xfrm>
                    <a:prstGeom prst="rect">
                      <a:avLst/>
                    </a:prstGeom>
                    <a:noFill/>
                    <a:ln>
                      <a:noFill/>
                    </a:ln>
                  </pic:spPr>
                </pic:pic>
              </a:graphicData>
            </a:graphic>
          </wp:inline>
        </w:drawing>
      </w:r>
    </w:p>
    <w:p w14:paraId="245A4B01" w14:textId="3C55D4DB" w:rsidR="00BA0236" w:rsidRPr="007C28CC" w:rsidRDefault="00BA0236" w:rsidP="004D6635">
      <w:pPr>
        <w:pStyle w:val="ReportText"/>
        <w:spacing w:before="0"/>
        <w:ind w:left="1418" w:hanging="1418"/>
      </w:pPr>
      <w:bookmarkStart w:id="67" w:name="_Ref79485371"/>
      <w:bookmarkStart w:id="68" w:name="_Toc80604788"/>
      <w:r w:rsidRPr="007C28CC">
        <w:t xml:space="preserve">Rysunek </w:t>
      </w:r>
      <w:r w:rsidR="00677743">
        <w:rPr>
          <w:noProof/>
        </w:rPr>
        <w:fldChar w:fldCharType="begin"/>
      </w:r>
      <w:r w:rsidR="00677743">
        <w:rPr>
          <w:noProof/>
        </w:rPr>
        <w:instrText xml:space="preserve"> SEQ Rysunek \* ARABIC </w:instrText>
      </w:r>
      <w:r w:rsidR="00677743">
        <w:rPr>
          <w:noProof/>
        </w:rPr>
        <w:fldChar w:fldCharType="separate"/>
      </w:r>
      <w:r w:rsidR="00FD3F9A">
        <w:rPr>
          <w:noProof/>
        </w:rPr>
        <w:t>15</w:t>
      </w:r>
      <w:r w:rsidR="00677743">
        <w:rPr>
          <w:noProof/>
        </w:rPr>
        <w:fldChar w:fldCharType="end"/>
      </w:r>
      <w:bookmarkEnd w:id="67"/>
      <w:r w:rsidRPr="007C28CC">
        <w:tab/>
        <w:t>Lokalizacja działań zaproponowanych w wariancie „1” dla obszaru problemowego IOP_2 Mierzeja Helska – Jastarnia, Hel, m. Kuźnica</w:t>
      </w:r>
      <w:bookmarkEnd w:id="68"/>
    </w:p>
    <w:p w14:paraId="36FC2ABF" w14:textId="57B45772" w:rsidR="00BA0236" w:rsidRPr="007C28CC" w:rsidRDefault="00BA0236" w:rsidP="004D6635">
      <w:pPr>
        <w:pStyle w:val="ReportText"/>
        <w:numPr>
          <w:ilvl w:val="0"/>
          <w:numId w:val="20"/>
        </w:numPr>
        <w:spacing w:before="120" w:after="120"/>
        <w:ind w:left="567" w:hanging="425"/>
      </w:pPr>
      <w:r w:rsidRPr="007C28CC">
        <w:lastRenderedPageBreak/>
        <w:t xml:space="preserve">Wariant „2” obejmował ochronę przeciwpowodziową </w:t>
      </w:r>
      <w:r w:rsidRPr="007C28CC">
        <w:rPr>
          <w:szCs w:val="24"/>
        </w:rPr>
        <w:t>obejmującą</w:t>
      </w:r>
      <w:r w:rsidRPr="007C28CC">
        <w:rPr>
          <w:rFonts w:eastAsia="Times New Roman"/>
          <w:szCs w:val="24"/>
          <w:lang w:eastAsia="pl-PL"/>
        </w:rPr>
        <w:t xml:space="preserve"> budowę wału przeciwsztormowego na wysokości miejscowości Kuźnica </w:t>
      </w:r>
      <w:r w:rsidRPr="007C28CC">
        <w:rPr>
          <w:szCs w:val="24"/>
        </w:rPr>
        <w:t>(Zadanie W_MDW_04B)</w:t>
      </w:r>
      <w:r w:rsidRPr="007C28CC">
        <w:t xml:space="preserve">. Lokalizację działania zaproponowanego w wariancie „2” przedstawia </w:t>
      </w:r>
      <w:r w:rsidRPr="007C28CC">
        <w:fldChar w:fldCharType="begin"/>
      </w:r>
      <w:r w:rsidRPr="007C28CC">
        <w:instrText xml:space="preserve"> REF _Ref79485618 \h </w:instrText>
      </w:r>
      <w:r w:rsidRPr="007C28CC">
        <w:fldChar w:fldCharType="separate"/>
      </w:r>
      <w:r w:rsidR="00FD3F9A" w:rsidRPr="007C28CC">
        <w:t xml:space="preserve">Rysunek </w:t>
      </w:r>
      <w:r w:rsidR="00FD3F9A">
        <w:rPr>
          <w:noProof/>
        </w:rPr>
        <w:t>16</w:t>
      </w:r>
      <w:r w:rsidRPr="007C28CC">
        <w:fldChar w:fldCharType="end"/>
      </w:r>
      <w:r w:rsidRPr="007C28CC">
        <w:t>.</w:t>
      </w:r>
    </w:p>
    <w:p w14:paraId="0300C2DF" w14:textId="77777777" w:rsidR="00BA0236" w:rsidRPr="007C28CC" w:rsidRDefault="00BA0236" w:rsidP="004D6635">
      <w:pPr>
        <w:pStyle w:val="ReportText"/>
        <w:numPr>
          <w:ilvl w:val="2"/>
          <w:numId w:val="21"/>
        </w:numPr>
        <w:spacing w:before="120" w:after="120"/>
        <w:ind w:left="1134" w:hanging="283"/>
      </w:pPr>
      <w:r w:rsidRPr="007C28CC">
        <w:t>Typ ochrony: budowa wału przeciwsztormowego;</w:t>
      </w:r>
    </w:p>
    <w:p w14:paraId="4F40A48D" w14:textId="77777777" w:rsidR="00BA0236" w:rsidRPr="007C28CC" w:rsidRDefault="00BA0236" w:rsidP="004D6635">
      <w:pPr>
        <w:pStyle w:val="ReportText"/>
        <w:numPr>
          <w:ilvl w:val="2"/>
          <w:numId w:val="21"/>
        </w:numPr>
        <w:spacing w:before="120" w:after="120"/>
        <w:ind w:left="1134" w:hanging="283"/>
      </w:pPr>
      <w:r w:rsidRPr="007C28CC">
        <w:t xml:space="preserve"> Długość: 2,03 km;</w:t>
      </w:r>
    </w:p>
    <w:p w14:paraId="7DF59042" w14:textId="77777777" w:rsidR="00BA0236" w:rsidRPr="007C28CC" w:rsidRDefault="00BA0236" w:rsidP="004D6635">
      <w:pPr>
        <w:pStyle w:val="ReportText"/>
        <w:numPr>
          <w:ilvl w:val="2"/>
          <w:numId w:val="21"/>
        </w:numPr>
        <w:spacing w:before="120" w:after="120"/>
        <w:ind w:left="1134" w:hanging="283"/>
      </w:pPr>
      <w:r w:rsidRPr="007C28CC">
        <w:t xml:space="preserve"> Średnia wysokość: 1,3 m;</w:t>
      </w:r>
    </w:p>
    <w:p w14:paraId="50AC3F6B" w14:textId="77777777" w:rsidR="00BA0236" w:rsidRPr="007C28CC" w:rsidRDefault="00BA0236" w:rsidP="004D6635">
      <w:pPr>
        <w:pStyle w:val="ReportText"/>
        <w:numPr>
          <w:ilvl w:val="2"/>
          <w:numId w:val="21"/>
        </w:numPr>
        <w:spacing w:before="120" w:after="120"/>
        <w:ind w:left="1134" w:hanging="283"/>
      </w:pPr>
      <w:r w:rsidRPr="007C28CC">
        <w:t>Rzędna wody miarodajnej (przy wezbraniu 1%): 1,82 m n.p.m.;</w:t>
      </w:r>
    </w:p>
    <w:p w14:paraId="7B09C70E" w14:textId="77777777" w:rsidR="00BA0236" w:rsidRPr="007C28CC" w:rsidRDefault="00BA0236" w:rsidP="004D6635">
      <w:pPr>
        <w:pStyle w:val="ReportText"/>
        <w:numPr>
          <w:ilvl w:val="2"/>
          <w:numId w:val="21"/>
        </w:numPr>
        <w:spacing w:before="120" w:after="120"/>
        <w:ind w:left="1134" w:hanging="283"/>
      </w:pPr>
      <w:r w:rsidRPr="007C28CC">
        <w:t>Rzędna wody kontrolnej (przy wezbraniu 0,2%): 2,09 m n.p.m.;</w:t>
      </w:r>
    </w:p>
    <w:p w14:paraId="03975E91" w14:textId="3C213AA5" w:rsidR="00307D31" w:rsidRPr="0036482E" w:rsidRDefault="00BA0236" w:rsidP="004D6635">
      <w:pPr>
        <w:pStyle w:val="ReportText"/>
        <w:numPr>
          <w:ilvl w:val="2"/>
          <w:numId w:val="21"/>
        </w:numPr>
        <w:spacing w:before="120" w:after="0"/>
        <w:ind w:left="1134" w:hanging="283"/>
      </w:pPr>
      <w:r w:rsidRPr="007C28CC">
        <w:t>Wymagana minimalna rzędna górnej krawędzi: 2,39 m n.p.m. (0,30 m nad poziom lustra wody 0,2%</w:t>
      </w:r>
      <w:r w:rsidR="00307D31">
        <w:t xml:space="preserve"> minimalna rzędna powyżej rzędnej weryfikującej: 2,25 m n.p.m.)</w:t>
      </w:r>
    </w:p>
    <w:p w14:paraId="793598CD" w14:textId="651203DD" w:rsidR="00BA0236" w:rsidRPr="007C28CC" w:rsidRDefault="00E8074C" w:rsidP="007C28CC">
      <w:pPr>
        <w:pStyle w:val="ReportText"/>
        <w:spacing w:before="120" w:after="0"/>
        <w:jc w:val="center"/>
      </w:pPr>
      <w:r>
        <w:rPr>
          <w:noProof/>
          <w:lang w:eastAsia="pl-PL"/>
        </w:rPr>
        <w:drawing>
          <wp:inline distT="0" distB="0" distL="0" distR="0" wp14:anchorId="4220CCD6" wp14:editId="3E1FCD41">
            <wp:extent cx="4314825" cy="4314825"/>
            <wp:effectExtent l="0" t="0" r="0" b="0"/>
            <wp:docPr id="17" name="Obraz 48" descr="Obraz zawierający mapa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8" descr="Obraz zawierający mapaOpis wygenerowany automatyczni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14825" cy="4314825"/>
                    </a:xfrm>
                    <a:prstGeom prst="rect">
                      <a:avLst/>
                    </a:prstGeom>
                    <a:noFill/>
                    <a:ln>
                      <a:noFill/>
                    </a:ln>
                  </pic:spPr>
                </pic:pic>
              </a:graphicData>
            </a:graphic>
          </wp:inline>
        </w:drawing>
      </w:r>
    </w:p>
    <w:p w14:paraId="1833EBCF" w14:textId="20362851" w:rsidR="00BA0236" w:rsidRPr="007C28CC" w:rsidRDefault="00BA0236" w:rsidP="004D6635">
      <w:pPr>
        <w:pStyle w:val="ReportText"/>
        <w:spacing w:before="0"/>
        <w:ind w:left="1418" w:hanging="1418"/>
      </w:pPr>
      <w:bookmarkStart w:id="69" w:name="_Ref79485618"/>
      <w:bookmarkStart w:id="70" w:name="_Toc80604789"/>
      <w:r w:rsidRPr="007C28CC">
        <w:t xml:space="preserve">Rysunek </w:t>
      </w:r>
      <w:r w:rsidR="00677743">
        <w:rPr>
          <w:noProof/>
        </w:rPr>
        <w:fldChar w:fldCharType="begin"/>
      </w:r>
      <w:r w:rsidR="00677743">
        <w:rPr>
          <w:noProof/>
        </w:rPr>
        <w:instrText xml:space="preserve"> SEQ Rysunek \* ARABIC </w:instrText>
      </w:r>
      <w:r w:rsidR="00677743">
        <w:rPr>
          <w:noProof/>
        </w:rPr>
        <w:fldChar w:fldCharType="separate"/>
      </w:r>
      <w:r w:rsidR="00FD3F9A">
        <w:rPr>
          <w:noProof/>
        </w:rPr>
        <w:t>16</w:t>
      </w:r>
      <w:r w:rsidR="00677743">
        <w:rPr>
          <w:noProof/>
        </w:rPr>
        <w:fldChar w:fldCharType="end"/>
      </w:r>
      <w:bookmarkEnd w:id="69"/>
      <w:r w:rsidRPr="007C28CC">
        <w:tab/>
        <w:t>Lokalizacja działań zaproponowanych w wariancie „2” dla obszaru problemowego IOP_2 Mierzeja Helska – Jastarnia, Hel, m. Kuźnica</w:t>
      </w:r>
      <w:bookmarkEnd w:id="70"/>
    </w:p>
    <w:p w14:paraId="1AEA1714" w14:textId="77777777" w:rsidR="00BA0236" w:rsidRPr="007C28CC" w:rsidRDefault="00BA0236" w:rsidP="007C28CC">
      <w:pPr>
        <w:rPr>
          <w:b/>
          <w:color w:val="28AAE1"/>
          <w:sz w:val="32"/>
          <w:szCs w:val="20"/>
          <w:lang w:eastAsia="en-US"/>
        </w:rPr>
      </w:pPr>
    </w:p>
    <w:p w14:paraId="21841A8E" w14:textId="77777777" w:rsidR="00BA0236" w:rsidRPr="007C28CC" w:rsidRDefault="00BA0236" w:rsidP="007C28CC">
      <w:pPr>
        <w:rPr>
          <w:b/>
          <w:color w:val="28AAE1"/>
          <w:sz w:val="32"/>
          <w:szCs w:val="20"/>
          <w:lang w:eastAsia="en-US"/>
        </w:rPr>
      </w:pPr>
      <w:r w:rsidRPr="007C28CC">
        <w:br w:type="page"/>
      </w:r>
    </w:p>
    <w:p w14:paraId="63FB8D94" w14:textId="77777777" w:rsidR="00BA0236" w:rsidRPr="007C28CC" w:rsidRDefault="00BA0236" w:rsidP="00E8074C">
      <w:pPr>
        <w:pStyle w:val="ReportLevel2"/>
        <w:numPr>
          <w:ilvl w:val="1"/>
          <w:numId w:val="9"/>
        </w:numPr>
      </w:pPr>
      <w:bookmarkStart w:id="71" w:name="_Toc79511675"/>
      <w:bookmarkStart w:id="72" w:name="_Toc80604855"/>
      <w:r w:rsidRPr="007C28CC">
        <w:lastRenderedPageBreak/>
        <w:t>IOP_2 Mierzeja Helska - Jastarnia, Hel - Jastarnia</w:t>
      </w:r>
      <w:bookmarkEnd w:id="71"/>
      <w:bookmarkEnd w:id="72"/>
    </w:p>
    <w:p w14:paraId="4473585B" w14:textId="77777777" w:rsidR="00BA0236" w:rsidRPr="007C28CC" w:rsidRDefault="00BA0236" w:rsidP="007C28CC">
      <w:pPr>
        <w:pStyle w:val="ReportText"/>
        <w:spacing w:before="120" w:after="120"/>
      </w:pPr>
      <w:r w:rsidRPr="007C28CC">
        <w:t xml:space="preserve">Trzecim miejscem w obrębie obszaru problemowego IOP_2 Mierzeja Helska – Jastarnia, Hel, gdzie zdefiniowano zagrożenie powodziowe jest miejscowość Jastarnia. Dla przedmiotowego rejonu zaproponowano trzy warianty obniżenia istniejącego ryzyka powodziowego: </w:t>
      </w:r>
    </w:p>
    <w:p w14:paraId="181182FD" w14:textId="77777777" w:rsidR="00BA0236" w:rsidRPr="007C28CC" w:rsidRDefault="00BA0236" w:rsidP="004D6635">
      <w:pPr>
        <w:pStyle w:val="ReportText"/>
        <w:numPr>
          <w:ilvl w:val="0"/>
          <w:numId w:val="20"/>
        </w:numPr>
        <w:spacing w:before="120" w:after="120"/>
        <w:ind w:left="567" w:hanging="425"/>
      </w:pPr>
      <w:r w:rsidRPr="007C28CC">
        <w:t xml:space="preserve">Wariant „0” </w:t>
      </w:r>
      <w:r w:rsidRPr="00475541">
        <w:t>obejm</w:t>
      </w:r>
      <w:r>
        <w:t>ował</w:t>
      </w:r>
      <w:r w:rsidRPr="00475541">
        <w:t xml:space="preserve"> istniejący stan zabudowy hydrotechnicznej</w:t>
      </w:r>
      <w:r>
        <w:t xml:space="preserve"> </w:t>
      </w:r>
      <w:r w:rsidRPr="00475541">
        <w:t>(zgodnie z wynikami przeglądu i aktualizacji map zagrożenia powodziowego i map ryzyka</w:t>
      </w:r>
      <w:r>
        <w:t xml:space="preserve"> </w:t>
      </w:r>
      <w:r w:rsidRPr="00475541">
        <w:t>powodziowego</w:t>
      </w:r>
      <w:r>
        <w:t xml:space="preserve"> </w:t>
      </w:r>
      <w:r w:rsidRPr="00475541">
        <w:t>od strony morza w tym morskich wód wewnętrznych</w:t>
      </w:r>
      <w:r>
        <w:t xml:space="preserve"> </w:t>
      </w:r>
      <w:r w:rsidRPr="00475541">
        <w:t>na koniec roku 2019</w:t>
      </w:r>
      <w:r>
        <w:t xml:space="preserve"> z</w:t>
      </w:r>
      <w:r w:rsidRPr="00791A72">
        <w:t>aktualiz</w:t>
      </w:r>
      <w:r>
        <w:t xml:space="preserve">owany </w:t>
      </w:r>
      <w:r w:rsidRPr="00791A72">
        <w:t xml:space="preserve">o działania będące w realizacji lub planowane do rozpoczęcia </w:t>
      </w:r>
      <w:r>
        <w:t>do</w:t>
      </w:r>
      <w:r w:rsidRPr="00791A72">
        <w:t xml:space="preserve"> 2022 r., lub zakończone po 2019 r</w:t>
      </w:r>
      <w:r>
        <w:t>.</w:t>
      </w:r>
      <w:r w:rsidRPr="00475541">
        <w:t>)</w:t>
      </w:r>
      <w:r>
        <w:t xml:space="preserve"> </w:t>
      </w:r>
      <w:r w:rsidRPr="007C28CC">
        <w:t xml:space="preserve">czyli istniejące nabrzeże i umocnienia brzegowe. </w:t>
      </w:r>
    </w:p>
    <w:p w14:paraId="72DAD4E9" w14:textId="4F54C803" w:rsidR="00BA0236" w:rsidRPr="007C28CC" w:rsidRDefault="00BA0236" w:rsidP="004D6635">
      <w:pPr>
        <w:pStyle w:val="ReportText"/>
        <w:numPr>
          <w:ilvl w:val="0"/>
          <w:numId w:val="20"/>
        </w:numPr>
        <w:spacing w:before="120" w:after="120"/>
        <w:ind w:left="567" w:hanging="425"/>
      </w:pPr>
      <w:r w:rsidRPr="007C28CC">
        <w:t xml:space="preserve">Wariant „1” obejmował ochronę przeciwpowodziową miejscowości Jastarnia przy pomocy wykonania umocnień brzegowych w postaci opasek przeciwerozyjnych, o długości 210 m, umocnionego wału wydmowego o długości 1725 m, murka oporowego o długości 3505 m, mobilnego systemu zabezpieczeń o długości 788 m i wału przeciwsztormowego o długości 398 m. (Zadanie W_AR_80). Lokalizację działania zaproponowanego w wariancie „1” przedstawia </w:t>
      </w:r>
      <w:r w:rsidRPr="007C28CC">
        <w:fldChar w:fldCharType="begin"/>
      </w:r>
      <w:r w:rsidRPr="007C28CC">
        <w:instrText xml:space="preserve"> REF _Ref79485679 \h </w:instrText>
      </w:r>
      <w:r w:rsidRPr="007C28CC">
        <w:fldChar w:fldCharType="separate"/>
      </w:r>
      <w:r w:rsidR="00FD3F9A" w:rsidRPr="007C28CC">
        <w:t xml:space="preserve">Rysunek </w:t>
      </w:r>
      <w:r w:rsidR="00FD3F9A">
        <w:rPr>
          <w:noProof/>
        </w:rPr>
        <w:t>17</w:t>
      </w:r>
      <w:r w:rsidRPr="007C28CC">
        <w:fldChar w:fldCharType="end"/>
      </w:r>
      <w:r w:rsidRPr="007C28CC">
        <w:t>.</w:t>
      </w:r>
    </w:p>
    <w:p w14:paraId="5026E6E7" w14:textId="77777777" w:rsidR="00BA0236" w:rsidRPr="007C28CC" w:rsidRDefault="00BA0236" w:rsidP="004D6635">
      <w:pPr>
        <w:pStyle w:val="ReportText"/>
        <w:numPr>
          <w:ilvl w:val="2"/>
          <w:numId w:val="21"/>
        </w:numPr>
        <w:spacing w:before="120" w:after="120"/>
        <w:ind w:left="1134" w:hanging="283"/>
      </w:pPr>
      <w:r w:rsidRPr="007C28CC">
        <w:t xml:space="preserve"> Typ ochrony: umocnienie brzegowe - opaski przeciwerozyjne;</w:t>
      </w:r>
    </w:p>
    <w:p w14:paraId="7F751A49" w14:textId="77777777" w:rsidR="00BA0236" w:rsidRPr="007C28CC" w:rsidRDefault="00BA0236" w:rsidP="004D6635">
      <w:pPr>
        <w:pStyle w:val="ReportText"/>
        <w:numPr>
          <w:ilvl w:val="2"/>
          <w:numId w:val="21"/>
        </w:numPr>
        <w:spacing w:before="120" w:after="120"/>
        <w:ind w:left="1134" w:hanging="283"/>
      </w:pPr>
      <w:r w:rsidRPr="007C28CC">
        <w:rPr>
          <w:color w:val="FF0000"/>
        </w:rPr>
        <w:t xml:space="preserve"> </w:t>
      </w:r>
      <w:r w:rsidRPr="007C28CC">
        <w:t>Długość: 0,21 km;</w:t>
      </w:r>
    </w:p>
    <w:p w14:paraId="4A7E51B6" w14:textId="77777777" w:rsidR="00BA0236" w:rsidRPr="007C28CC" w:rsidRDefault="00BA0236" w:rsidP="004D6635">
      <w:pPr>
        <w:pStyle w:val="ReportText"/>
        <w:numPr>
          <w:ilvl w:val="2"/>
          <w:numId w:val="21"/>
        </w:numPr>
        <w:spacing w:before="120" w:after="120"/>
        <w:ind w:left="1134" w:hanging="283"/>
      </w:pPr>
      <w:r w:rsidRPr="007C28CC">
        <w:t xml:space="preserve"> Średnia wysokość: 1,00 m;</w:t>
      </w:r>
    </w:p>
    <w:p w14:paraId="6B11A23C" w14:textId="77777777" w:rsidR="00BA0236" w:rsidRPr="007C28CC" w:rsidRDefault="00BA0236" w:rsidP="004D6635">
      <w:pPr>
        <w:pStyle w:val="ReportText"/>
        <w:numPr>
          <w:ilvl w:val="2"/>
          <w:numId w:val="21"/>
        </w:numPr>
        <w:spacing w:before="120" w:after="120"/>
        <w:ind w:left="1134" w:hanging="283"/>
      </w:pPr>
      <w:r w:rsidRPr="007C28CC">
        <w:rPr>
          <w:color w:val="FF0000"/>
        </w:rPr>
        <w:t xml:space="preserve"> </w:t>
      </w:r>
      <w:r w:rsidRPr="007C28CC">
        <w:t>Typ ochrony: wał wydmowy;</w:t>
      </w:r>
    </w:p>
    <w:p w14:paraId="1E89BFF3" w14:textId="77777777" w:rsidR="00BA0236" w:rsidRPr="007C28CC" w:rsidRDefault="00BA0236" w:rsidP="004D6635">
      <w:pPr>
        <w:pStyle w:val="ReportText"/>
        <w:numPr>
          <w:ilvl w:val="2"/>
          <w:numId w:val="21"/>
        </w:numPr>
        <w:spacing w:before="120" w:after="120"/>
        <w:ind w:left="1134" w:hanging="283"/>
      </w:pPr>
      <w:r w:rsidRPr="007C28CC">
        <w:rPr>
          <w:color w:val="FF0000"/>
        </w:rPr>
        <w:t xml:space="preserve"> </w:t>
      </w:r>
      <w:r w:rsidRPr="007C28CC">
        <w:t>Długość: 1,73 km;</w:t>
      </w:r>
    </w:p>
    <w:p w14:paraId="25959356" w14:textId="77777777" w:rsidR="00BA0236" w:rsidRPr="007C28CC" w:rsidRDefault="00BA0236" w:rsidP="004D6635">
      <w:pPr>
        <w:pStyle w:val="ReportText"/>
        <w:numPr>
          <w:ilvl w:val="2"/>
          <w:numId w:val="21"/>
        </w:numPr>
        <w:spacing w:before="120" w:after="120"/>
        <w:ind w:left="1134" w:hanging="283"/>
      </w:pPr>
      <w:r w:rsidRPr="007C28CC">
        <w:t xml:space="preserve"> Średnia wysokość: 2,25 m;</w:t>
      </w:r>
    </w:p>
    <w:p w14:paraId="76421DB6" w14:textId="77777777" w:rsidR="00BA0236" w:rsidRPr="007C28CC" w:rsidRDefault="00BA0236" w:rsidP="004D6635">
      <w:pPr>
        <w:pStyle w:val="ReportText"/>
        <w:numPr>
          <w:ilvl w:val="2"/>
          <w:numId w:val="21"/>
        </w:numPr>
        <w:spacing w:before="120" w:after="120"/>
        <w:ind w:left="1134" w:hanging="283"/>
      </w:pPr>
      <w:r w:rsidRPr="007C28CC">
        <w:rPr>
          <w:color w:val="FF0000"/>
        </w:rPr>
        <w:t xml:space="preserve"> </w:t>
      </w:r>
      <w:r w:rsidRPr="007C28CC">
        <w:t>Typ ochrony: mur oporowy;</w:t>
      </w:r>
    </w:p>
    <w:p w14:paraId="617AB64B" w14:textId="77777777" w:rsidR="00BA0236" w:rsidRPr="007C28CC" w:rsidRDefault="00BA0236" w:rsidP="004D6635">
      <w:pPr>
        <w:pStyle w:val="ReportText"/>
        <w:numPr>
          <w:ilvl w:val="2"/>
          <w:numId w:val="21"/>
        </w:numPr>
        <w:spacing w:before="120" w:after="120"/>
        <w:ind w:left="1134" w:hanging="283"/>
      </w:pPr>
      <w:r w:rsidRPr="007C28CC">
        <w:rPr>
          <w:color w:val="FF0000"/>
        </w:rPr>
        <w:t xml:space="preserve"> </w:t>
      </w:r>
      <w:r w:rsidRPr="007C28CC">
        <w:t>Długość: 3,51 km;</w:t>
      </w:r>
    </w:p>
    <w:p w14:paraId="3BB039BB" w14:textId="77777777" w:rsidR="00BA0236" w:rsidRPr="007C28CC" w:rsidRDefault="00BA0236" w:rsidP="004D6635">
      <w:pPr>
        <w:pStyle w:val="ReportText"/>
        <w:numPr>
          <w:ilvl w:val="2"/>
          <w:numId w:val="21"/>
        </w:numPr>
        <w:spacing w:before="120" w:after="120"/>
        <w:ind w:left="1134" w:hanging="283"/>
      </w:pPr>
      <w:r w:rsidRPr="007C28CC">
        <w:t xml:space="preserve"> Średnia wysokość: 2,00 m;</w:t>
      </w:r>
    </w:p>
    <w:p w14:paraId="72A396A5" w14:textId="5223A580" w:rsidR="00BA0236" w:rsidRPr="007C28CC" w:rsidRDefault="00BA0236" w:rsidP="004D6635">
      <w:pPr>
        <w:pStyle w:val="ReportText"/>
        <w:numPr>
          <w:ilvl w:val="2"/>
          <w:numId w:val="21"/>
        </w:numPr>
        <w:spacing w:before="120" w:after="120"/>
        <w:ind w:left="1134" w:hanging="283"/>
      </w:pPr>
      <w:r w:rsidRPr="007C28CC">
        <w:t xml:space="preserve"> Typ ochrony: mobilne przegrody przeciwpowodziowe (belki zaporowe </w:t>
      </w:r>
      <w:r w:rsidR="004D6635">
        <w:t>–</w:t>
      </w:r>
      <w:r w:rsidRPr="007C28CC">
        <w:t xml:space="preserve"> szandory);</w:t>
      </w:r>
    </w:p>
    <w:p w14:paraId="08D71E5F" w14:textId="77777777" w:rsidR="00BA0236" w:rsidRPr="007C28CC" w:rsidRDefault="00BA0236" w:rsidP="004D6635">
      <w:pPr>
        <w:pStyle w:val="ReportText"/>
        <w:numPr>
          <w:ilvl w:val="2"/>
          <w:numId w:val="21"/>
        </w:numPr>
        <w:spacing w:before="120" w:after="120"/>
        <w:ind w:left="1134" w:hanging="283"/>
      </w:pPr>
      <w:r w:rsidRPr="007C28CC">
        <w:rPr>
          <w:color w:val="FF0000"/>
        </w:rPr>
        <w:t xml:space="preserve"> </w:t>
      </w:r>
      <w:r w:rsidRPr="007C28CC">
        <w:t>Długość: 0,79 km;</w:t>
      </w:r>
    </w:p>
    <w:p w14:paraId="3FB4E1AD" w14:textId="77777777" w:rsidR="00BA0236" w:rsidRPr="007C28CC" w:rsidRDefault="00BA0236" w:rsidP="004D6635">
      <w:pPr>
        <w:pStyle w:val="ReportText"/>
        <w:numPr>
          <w:ilvl w:val="2"/>
          <w:numId w:val="21"/>
        </w:numPr>
        <w:spacing w:before="120" w:after="120"/>
        <w:ind w:left="1134" w:hanging="283"/>
      </w:pPr>
      <w:r w:rsidRPr="007C28CC">
        <w:t xml:space="preserve"> Średnia wysokość: 1,400 m;</w:t>
      </w:r>
    </w:p>
    <w:p w14:paraId="19428869" w14:textId="77777777" w:rsidR="00BA0236" w:rsidRPr="007C28CC" w:rsidRDefault="00BA0236" w:rsidP="004D6635">
      <w:pPr>
        <w:pStyle w:val="ReportText"/>
        <w:numPr>
          <w:ilvl w:val="2"/>
          <w:numId w:val="21"/>
        </w:numPr>
        <w:spacing w:before="120" w:after="120"/>
        <w:ind w:left="1134" w:hanging="283"/>
      </w:pPr>
      <w:r w:rsidRPr="007C28CC">
        <w:rPr>
          <w:color w:val="FF0000"/>
        </w:rPr>
        <w:t xml:space="preserve"> </w:t>
      </w:r>
      <w:r w:rsidRPr="007C28CC">
        <w:t>Typ ochrony: wał przeciwsztormowy;</w:t>
      </w:r>
    </w:p>
    <w:p w14:paraId="2877E077" w14:textId="77777777" w:rsidR="00BA0236" w:rsidRPr="007C28CC" w:rsidRDefault="00BA0236" w:rsidP="004D6635">
      <w:pPr>
        <w:pStyle w:val="ReportText"/>
        <w:numPr>
          <w:ilvl w:val="2"/>
          <w:numId w:val="21"/>
        </w:numPr>
        <w:spacing w:before="120" w:after="120"/>
        <w:ind w:left="1134" w:hanging="283"/>
      </w:pPr>
      <w:r w:rsidRPr="007C28CC">
        <w:rPr>
          <w:color w:val="FF0000"/>
        </w:rPr>
        <w:t xml:space="preserve"> </w:t>
      </w:r>
      <w:r w:rsidRPr="007C28CC">
        <w:t>Długość: 0,40 km;</w:t>
      </w:r>
    </w:p>
    <w:p w14:paraId="19EAF12D" w14:textId="77777777" w:rsidR="00BA0236" w:rsidRPr="007C28CC" w:rsidRDefault="00BA0236" w:rsidP="004D6635">
      <w:pPr>
        <w:pStyle w:val="ReportText"/>
        <w:numPr>
          <w:ilvl w:val="2"/>
          <w:numId w:val="21"/>
        </w:numPr>
        <w:spacing w:before="120" w:after="120"/>
        <w:ind w:left="1134" w:hanging="283"/>
      </w:pPr>
      <w:r w:rsidRPr="007C28CC">
        <w:t xml:space="preserve"> Średnia wysokość: 2,25 m;</w:t>
      </w:r>
    </w:p>
    <w:p w14:paraId="65330ACF" w14:textId="77777777" w:rsidR="00BA0236" w:rsidRPr="007C28CC" w:rsidRDefault="00BA0236" w:rsidP="004D6635">
      <w:pPr>
        <w:pStyle w:val="ReportText"/>
        <w:numPr>
          <w:ilvl w:val="2"/>
          <w:numId w:val="21"/>
        </w:numPr>
        <w:spacing w:before="120" w:after="120"/>
        <w:ind w:left="1134" w:hanging="283"/>
      </w:pPr>
      <w:r w:rsidRPr="007C28CC">
        <w:t>Rzędna wody miarodajnej (przy wezbraniu 1%): 1,93 m n.p.m.;</w:t>
      </w:r>
    </w:p>
    <w:p w14:paraId="7232A1A1" w14:textId="77777777" w:rsidR="00BA0236" w:rsidRPr="007C28CC" w:rsidRDefault="00BA0236" w:rsidP="004D6635">
      <w:pPr>
        <w:pStyle w:val="ReportText"/>
        <w:numPr>
          <w:ilvl w:val="2"/>
          <w:numId w:val="21"/>
        </w:numPr>
        <w:spacing w:before="120" w:after="120"/>
        <w:ind w:left="1134" w:hanging="283"/>
      </w:pPr>
      <w:r w:rsidRPr="007C28CC">
        <w:t>Rzędna wody kontrolnej (przy wezbraniu 0,2%): 2,22 m n.p.m.;</w:t>
      </w:r>
    </w:p>
    <w:p w14:paraId="1B6F960D" w14:textId="6B8D32D3" w:rsidR="00BA0236" w:rsidRPr="007C28CC" w:rsidRDefault="00BA0236" w:rsidP="004D6635">
      <w:pPr>
        <w:pStyle w:val="ReportText"/>
        <w:numPr>
          <w:ilvl w:val="2"/>
          <w:numId w:val="21"/>
        </w:numPr>
        <w:spacing w:before="120" w:after="0"/>
        <w:ind w:left="1134" w:hanging="283"/>
      </w:pPr>
      <w:r w:rsidRPr="007C28CC">
        <w:t>Wymagana minimalna rzędna górnej krawędzi: 2,52 m n.p.m. (0,30 m nad poziom lustra wody 0,2%</w:t>
      </w:r>
      <w:r w:rsidR="00307D31">
        <w:t>, minimalna rzędna powyżej rzędnej weryfikującej: 2,25 m n.p.m.)</w:t>
      </w:r>
      <w:r w:rsidRPr="007C28CC">
        <w:t>.</w:t>
      </w:r>
    </w:p>
    <w:p w14:paraId="22DC2E3E" w14:textId="77777777" w:rsidR="00BA0236" w:rsidRPr="007C28CC" w:rsidRDefault="00BA0236" w:rsidP="007C28CC">
      <w:pPr>
        <w:pStyle w:val="ReportText"/>
        <w:spacing w:before="120" w:after="0"/>
      </w:pPr>
    </w:p>
    <w:p w14:paraId="73E6B8DE" w14:textId="6CD3FFF2" w:rsidR="00BA0236" w:rsidRPr="007C28CC" w:rsidRDefault="00E8074C" w:rsidP="007C28CC">
      <w:pPr>
        <w:pStyle w:val="ReportText"/>
        <w:spacing w:before="120" w:after="120"/>
        <w:jc w:val="center"/>
      </w:pPr>
      <w:r>
        <w:rPr>
          <w:noProof/>
          <w:lang w:eastAsia="pl-PL"/>
        </w:rPr>
        <w:lastRenderedPageBreak/>
        <w:drawing>
          <wp:inline distT="0" distB="0" distL="0" distR="0" wp14:anchorId="7F5F03C2" wp14:editId="4D7DC3F9">
            <wp:extent cx="4314825" cy="4314825"/>
            <wp:effectExtent l="0" t="0" r="0" b="0"/>
            <wp:docPr id="18"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14825" cy="4314825"/>
                    </a:xfrm>
                    <a:prstGeom prst="rect">
                      <a:avLst/>
                    </a:prstGeom>
                    <a:noFill/>
                    <a:ln>
                      <a:noFill/>
                    </a:ln>
                  </pic:spPr>
                </pic:pic>
              </a:graphicData>
            </a:graphic>
          </wp:inline>
        </w:drawing>
      </w:r>
    </w:p>
    <w:p w14:paraId="754F0D43" w14:textId="75F34577" w:rsidR="00BA0236" w:rsidRPr="007C28CC" w:rsidRDefault="00BA0236" w:rsidP="004D6635">
      <w:pPr>
        <w:pStyle w:val="ReportText"/>
        <w:spacing w:before="0"/>
        <w:ind w:left="1418" w:hanging="1418"/>
      </w:pPr>
      <w:bookmarkStart w:id="73" w:name="_Ref79485679"/>
      <w:bookmarkStart w:id="74" w:name="_Toc80604790"/>
      <w:r w:rsidRPr="007C28CC">
        <w:t xml:space="preserve">Rysunek </w:t>
      </w:r>
      <w:r w:rsidR="00677743">
        <w:rPr>
          <w:noProof/>
        </w:rPr>
        <w:fldChar w:fldCharType="begin"/>
      </w:r>
      <w:r w:rsidR="00677743">
        <w:rPr>
          <w:noProof/>
        </w:rPr>
        <w:instrText xml:space="preserve"> SEQ Rysunek \* ARABIC </w:instrText>
      </w:r>
      <w:r w:rsidR="00677743">
        <w:rPr>
          <w:noProof/>
        </w:rPr>
        <w:fldChar w:fldCharType="separate"/>
      </w:r>
      <w:r w:rsidR="00FD3F9A">
        <w:rPr>
          <w:noProof/>
        </w:rPr>
        <w:t>17</w:t>
      </w:r>
      <w:r w:rsidR="00677743">
        <w:rPr>
          <w:noProof/>
        </w:rPr>
        <w:fldChar w:fldCharType="end"/>
      </w:r>
      <w:bookmarkEnd w:id="73"/>
      <w:r w:rsidRPr="007C28CC">
        <w:tab/>
        <w:t>Lokalizacja działań zaproponowanych w wariancie „1” dla obszaru problemowego IOP_2 Mierzeja Helska – Jastarnia, Hel, m. Jastarnia</w:t>
      </w:r>
      <w:bookmarkEnd w:id="74"/>
    </w:p>
    <w:p w14:paraId="74BCC3D7" w14:textId="2B6C4053" w:rsidR="00BA0236" w:rsidRPr="007C28CC" w:rsidRDefault="00BA0236" w:rsidP="004D6635">
      <w:pPr>
        <w:pStyle w:val="ReportText"/>
        <w:numPr>
          <w:ilvl w:val="0"/>
          <w:numId w:val="20"/>
        </w:numPr>
        <w:spacing w:before="120" w:after="120"/>
        <w:ind w:left="567" w:hanging="425"/>
      </w:pPr>
      <w:r w:rsidRPr="007C28CC">
        <w:t xml:space="preserve">Wariant „2” obejmował ochronę przeciwpowodziową Jastarni obejmującą </w:t>
      </w:r>
      <w:r w:rsidRPr="007C28CC">
        <w:rPr>
          <w:rFonts w:eastAsia="Times New Roman"/>
          <w:szCs w:val="24"/>
          <w:lang w:eastAsia="pl-PL"/>
        </w:rPr>
        <w:t xml:space="preserve">umocnienia brzegowe </w:t>
      </w:r>
      <w:r w:rsidRPr="007C28CC">
        <w:t>w postaci opasek przeciwerozyjnych</w:t>
      </w:r>
      <w:r w:rsidRPr="007C28CC">
        <w:rPr>
          <w:rFonts w:eastAsia="Times New Roman"/>
          <w:szCs w:val="24"/>
          <w:lang w:eastAsia="pl-PL"/>
        </w:rPr>
        <w:t xml:space="preserve"> o długości 210 m, wał przeciwsztormowy o długości 3588 m, murek oporowy o długości 1161 m, uzupełnienie w wale wydmowym o długości 112 m i mobilne systemy zabezpieczeń o długości 788 m oraz rozwój </w:t>
      </w:r>
      <w:r w:rsidRPr="007C28CC">
        <w:t>lokalnego systemu ostrzegania przed powodziami i prognozowania zagrożeń na terenie gmin Jastarnia, Hel i Władysławowo</w:t>
      </w:r>
      <w:r w:rsidRPr="007C28CC">
        <w:rPr>
          <w:rFonts w:eastAsia="Times New Roman"/>
          <w:szCs w:val="24"/>
          <w:lang w:eastAsia="pl-PL"/>
        </w:rPr>
        <w:t xml:space="preserve"> </w:t>
      </w:r>
      <w:r w:rsidRPr="007C28CC">
        <w:t xml:space="preserve">(Zadanie W_MDW_07). Lokalizację działania zaproponowanego w wariancie „2” przedstawia </w:t>
      </w:r>
      <w:r w:rsidRPr="007C28CC">
        <w:fldChar w:fldCharType="begin"/>
      </w:r>
      <w:r w:rsidRPr="007C28CC">
        <w:instrText xml:space="preserve"> REF _Ref79485724 \h </w:instrText>
      </w:r>
      <w:r w:rsidRPr="007C28CC">
        <w:fldChar w:fldCharType="separate"/>
      </w:r>
      <w:r w:rsidR="00FD3F9A" w:rsidRPr="007C28CC">
        <w:t xml:space="preserve">Rysunek </w:t>
      </w:r>
      <w:r w:rsidR="00FD3F9A">
        <w:rPr>
          <w:noProof/>
        </w:rPr>
        <w:t>18</w:t>
      </w:r>
      <w:r w:rsidRPr="007C28CC">
        <w:fldChar w:fldCharType="end"/>
      </w:r>
      <w:r w:rsidRPr="007C28CC">
        <w:t>.</w:t>
      </w:r>
    </w:p>
    <w:p w14:paraId="08B1FCBB" w14:textId="77777777" w:rsidR="00BA0236" w:rsidRPr="007C28CC" w:rsidRDefault="00BA0236" w:rsidP="004D6635">
      <w:pPr>
        <w:pStyle w:val="ReportText"/>
        <w:numPr>
          <w:ilvl w:val="2"/>
          <w:numId w:val="21"/>
        </w:numPr>
        <w:spacing w:before="120" w:after="120"/>
        <w:ind w:left="1134" w:hanging="283"/>
      </w:pPr>
      <w:r w:rsidRPr="007C28CC">
        <w:t>Typ ochrony: umocnienie brzegowe - opaski przeciwerozyjne;</w:t>
      </w:r>
    </w:p>
    <w:p w14:paraId="2F393B85" w14:textId="77777777" w:rsidR="00BA0236" w:rsidRPr="007C28CC" w:rsidRDefault="00BA0236" w:rsidP="004D6635">
      <w:pPr>
        <w:pStyle w:val="ReportText"/>
        <w:numPr>
          <w:ilvl w:val="2"/>
          <w:numId w:val="21"/>
        </w:numPr>
        <w:spacing w:before="120" w:after="120"/>
        <w:ind w:left="1134" w:hanging="283"/>
      </w:pPr>
      <w:r w:rsidRPr="007C28CC">
        <w:rPr>
          <w:color w:val="FF0000"/>
        </w:rPr>
        <w:t xml:space="preserve"> </w:t>
      </w:r>
      <w:r w:rsidRPr="007C28CC">
        <w:t>Długość: 0,21 km;</w:t>
      </w:r>
    </w:p>
    <w:p w14:paraId="41AD2FE3" w14:textId="77777777" w:rsidR="00BA0236" w:rsidRPr="007C28CC" w:rsidRDefault="00BA0236" w:rsidP="004D6635">
      <w:pPr>
        <w:pStyle w:val="ReportText"/>
        <w:numPr>
          <w:ilvl w:val="2"/>
          <w:numId w:val="21"/>
        </w:numPr>
        <w:spacing w:before="120" w:after="120"/>
        <w:ind w:left="1134" w:hanging="283"/>
      </w:pPr>
      <w:r w:rsidRPr="007C28CC">
        <w:t xml:space="preserve"> Średnia wysokość: 1,00 m;</w:t>
      </w:r>
    </w:p>
    <w:p w14:paraId="2C12F7C0" w14:textId="77777777" w:rsidR="00BA0236" w:rsidRPr="007C28CC" w:rsidRDefault="00BA0236" w:rsidP="004D6635">
      <w:pPr>
        <w:pStyle w:val="ReportText"/>
        <w:numPr>
          <w:ilvl w:val="2"/>
          <w:numId w:val="21"/>
        </w:numPr>
        <w:spacing w:before="120" w:after="120"/>
        <w:ind w:left="1134" w:hanging="283"/>
      </w:pPr>
      <w:r w:rsidRPr="007C28CC">
        <w:rPr>
          <w:color w:val="FF0000"/>
        </w:rPr>
        <w:t xml:space="preserve"> </w:t>
      </w:r>
      <w:r w:rsidRPr="007C28CC">
        <w:t>Typ ochrony: wał przeciwsztormowy;</w:t>
      </w:r>
    </w:p>
    <w:p w14:paraId="6EB743E2" w14:textId="77777777" w:rsidR="00BA0236" w:rsidRPr="007C28CC" w:rsidRDefault="00BA0236" w:rsidP="004D6635">
      <w:pPr>
        <w:pStyle w:val="ReportText"/>
        <w:numPr>
          <w:ilvl w:val="2"/>
          <w:numId w:val="21"/>
        </w:numPr>
        <w:spacing w:before="120" w:after="120"/>
        <w:ind w:left="1134" w:hanging="283"/>
      </w:pPr>
      <w:r w:rsidRPr="007C28CC">
        <w:rPr>
          <w:color w:val="FF0000"/>
        </w:rPr>
        <w:t xml:space="preserve"> </w:t>
      </w:r>
      <w:r w:rsidRPr="007C28CC">
        <w:t>Długość: 3,59 km;</w:t>
      </w:r>
    </w:p>
    <w:p w14:paraId="07B42BB8" w14:textId="77777777" w:rsidR="00BA0236" w:rsidRPr="007C28CC" w:rsidRDefault="00BA0236" w:rsidP="004D6635">
      <w:pPr>
        <w:pStyle w:val="ReportText"/>
        <w:numPr>
          <w:ilvl w:val="2"/>
          <w:numId w:val="21"/>
        </w:numPr>
        <w:spacing w:before="120" w:after="120"/>
        <w:ind w:left="1134" w:hanging="283"/>
      </w:pPr>
      <w:r w:rsidRPr="007C28CC">
        <w:t xml:space="preserve"> Średnia wysokość: 2,25 m;</w:t>
      </w:r>
    </w:p>
    <w:p w14:paraId="25FDD3A3" w14:textId="77777777" w:rsidR="00BA0236" w:rsidRPr="007C28CC" w:rsidRDefault="00BA0236" w:rsidP="004D6635">
      <w:pPr>
        <w:pStyle w:val="ReportText"/>
        <w:numPr>
          <w:ilvl w:val="2"/>
          <w:numId w:val="21"/>
        </w:numPr>
        <w:spacing w:before="120" w:after="120"/>
        <w:ind w:left="1134" w:hanging="283"/>
      </w:pPr>
      <w:r w:rsidRPr="007C28CC">
        <w:rPr>
          <w:color w:val="FF0000"/>
        </w:rPr>
        <w:t xml:space="preserve"> </w:t>
      </w:r>
      <w:r w:rsidRPr="007C28CC">
        <w:t>Typ ochrony: mur oporowy;</w:t>
      </w:r>
    </w:p>
    <w:p w14:paraId="15ACEAFC" w14:textId="77777777" w:rsidR="00BA0236" w:rsidRPr="007C28CC" w:rsidRDefault="00BA0236" w:rsidP="004D6635">
      <w:pPr>
        <w:pStyle w:val="ReportText"/>
        <w:numPr>
          <w:ilvl w:val="2"/>
          <w:numId w:val="21"/>
        </w:numPr>
        <w:spacing w:before="120" w:after="120"/>
        <w:ind w:left="1134" w:hanging="283"/>
      </w:pPr>
      <w:r w:rsidRPr="007C28CC">
        <w:rPr>
          <w:color w:val="FF0000"/>
        </w:rPr>
        <w:t xml:space="preserve"> </w:t>
      </w:r>
      <w:r w:rsidRPr="007C28CC">
        <w:t>Długość: 1,16 km;</w:t>
      </w:r>
    </w:p>
    <w:p w14:paraId="25BF8610" w14:textId="77777777" w:rsidR="00BA0236" w:rsidRPr="007C28CC" w:rsidRDefault="00BA0236" w:rsidP="004D6635">
      <w:pPr>
        <w:pStyle w:val="ReportText"/>
        <w:numPr>
          <w:ilvl w:val="2"/>
          <w:numId w:val="21"/>
        </w:numPr>
        <w:spacing w:before="120" w:after="120"/>
        <w:ind w:left="1134" w:hanging="283"/>
      </w:pPr>
      <w:r w:rsidRPr="007C28CC">
        <w:t xml:space="preserve"> Średnia wysokość: 2,00 m;</w:t>
      </w:r>
    </w:p>
    <w:p w14:paraId="3F86D659" w14:textId="77777777" w:rsidR="00BA0236" w:rsidRPr="007C28CC" w:rsidRDefault="00BA0236" w:rsidP="004D6635">
      <w:pPr>
        <w:pStyle w:val="ReportText"/>
        <w:numPr>
          <w:ilvl w:val="2"/>
          <w:numId w:val="21"/>
        </w:numPr>
        <w:spacing w:before="120" w:after="120"/>
        <w:ind w:left="1134" w:hanging="283"/>
      </w:pPr>
      <w:r w:rsidRPr="007C28CC">
        <w:rPr>
          <w:color w:val="FF0000"/>
        </w:rPr>
        <w:lastRenderedPageBreak/>
        <w:t xml:space="preserve"> </w:t>
      </w:r>
      <w:r w:rsidRPr="007C28CC">
        <w:t>Typ ochrony: uzupełnienie w wale wydmowym;</w:t>
      </w:r>
    </w:p>
    <w:p w14:paraId="32D9F990" w14:textId="77777777" w:rsidR="00BA0236" w:rsidRPr="007C28CC" w:rsidRDefault="00BA0236" w:rsidP="004D6635">
      <w:pPr>
        <w:pStyle w:val="ReportText"/>
        <w:numPr>
          <w:ilvl w:val="2"/>
          <w:numId w:val="21"/>
        </w:numPr>
        <w:spacing w:before="120" w:after="120"/>
        <w:ind w:left="1134" w:hanging="283"/>
      </w:pPr>
      <w:r w:rsidRPr="007C28CC">
        <w:rPr>
          <w:color w:val="FF0000"/>
        </w:rPr>
        <w:t xml:space="preserve"> </w:t>
      </w:r>
      <w:r w:rsidRPr="007C28CC">
        <w:t>Długość: 0,11 km;</w:t>
      </w:r>
    </w:p>
    <w:p w14:paraId="6F47CBFF" w14:textId="77777777" w:rsidR="00BA0236" w:rsidRPr="007C28CC" w:rsidRDefault="00BA0236" w:rsidP="004D6635">
      <w:pPr>
        <w:pStyle w:val="ReportText"/>
        <w:numPr>
          <w:ilvl w:val="2"/>
          <w:numId w:val="21"/>
        </w:numPr>
        <w:spacing w:before="120" w:after="120"/>
        <w:ind w:left="1134" w:hanging="283"/>
      </w:pPr>
      <w:r w:rsidRPr="007C28CC">
        <w:t xml:space="preserve"> Średnia wysokość: 2,0 m;</w:t>
      </w:r>
    </w:p>
    <w:p w14:paraId="3069E8CE" w14:textId="28F4A362" w:rsidR="00BA0236" w:rsidRPr="007C28CC" w:rsidRDefault="00BA0236" w:rsidP="004D6635">
      <w:pPr>
        <w:pStyle w:val="ReportText"/>
        <w:numPr>
          <w:ilvl w:val="2"/>
          <w:numId w:val="21"/>
        </w:numPr>
        <w:spacing w:before="120" w:after="120"/>
        <w:ind w:left="1134" w:hanging="283"/>
      </w:pPr>
      <w:r w:rsidRPr="007C28CC">
        <w:rPr>
          <w:color w:val="FF0000"/>
        </w:rPr>
        <w:t xml:space="preserve"> </w:t>
      </w:r>
      <w:r w:rsidRPr="007C28CC">
        <w:t xml:space="preserve">Typ ochrony: mobilne przegrody przeciwpowodziowe (belki zaporowe </w:t>
      </w:r>
      <w:r w:rsidR="004D6635">
        <w:t>–</w:t>
      </w:r>
      <w:r w:rsidRPr="007C28CC">
        <w:t xml:space="preserve"> szandory);</w:t>
      </w:r>
    </w:p>
    <w:p w14:paraId="6A14E15A" w14:textId="77777777" w:rsidR="00BA0236" w:rsidRPr="007C28CC" w:rsidRDefault="00BA0236" w:rsidP="004D6635">
      <w:pPr>
        <w:pStyle w:val="ReportText"/>
        <w:numPr>
          <w:ilvl w:val="2"/>
          <w:numId w:val="21"/>
        </w:numPr>
        <w:spacing w:before="120" w:after="120"/>
        <w:ind w:left="1134" w:hanging="283"/>
      </w:pPr>
      <w:r w:rsidRPr="007C28CC">
        <w:rPr>
          <w:color w:val="FF0000"/>
        </w:rPr>
        <w:t xml:space="preserve"> </w:t>
      </w:r>
      <w:r w:rsidRPr="007C28CC">
        <w:t>Długość: 0,79 km;</w:t>
      </w:r>
    </w:p>
    <w:p w14:paraId="3E163494" w14:textId="77777777" w:rsidR="00BA0236" w:rsidRPr="007C28CC" w:rsidRDefault="00BA0236" w:rsidP="004D6635">
      <w:pPr>
        <w:pStyle w:val="ReportText"/>
        <w:numPr>
          <w:ilvl w:val="2"/>
          <w:numId w:val="21"/>
        </w:numPr>
        <w:spacing w:before="120" w:after="120"/>
        <w:ind w:left="1134" w:hanging="283"/>
      </w:pPr>
      <w:r w:rsidRPr="007C28CC">
        <w:t xml:space="preserve"> Średnia wysokość: 1,40 m;</w:t>
      </w:r>
    </w:p>
    <w:p w14:paraId="74EBE768" w14:textId="77777777" w:rsidR="00BA0236" w:rsidRPr="007C28CC" w:rsidRDefault="00BA0236" w:rsidP="004D6635">
      <w:pPr>
        <w:pStyle w:val="ReportText"/>
        <w:numPr>
          <w:ilvl w:val="2"/>
          <w:numId w:val="21"/>
        </w:numPr>
        <w:spacing w:before="120" w:after="120"/>
        <w:ind w:left="1134" w:hanging="283"/>
      </w:pPr>
      <w:r w:rsidRPr="007C28CC">
        <w:t>Rzędna wody miarodajnej (przy wezbraniu 1%): 1,93 m n.p.m.;</w:t>
      </w:r>
    </w:p>
    <w:p w14:paraId="1919723A" w14:textId="77777777" w:rsidR="00BA0236" w:rsidRPr="007C28CC" w:rsidRDefault="00BA0236" w:rsidP="004D6635">
      <w:pPr>
        <w:pStyle w:val="ReportText"/>
        <w:numPr>
          <w:ilvl w:val="2"/>
          <w:numId w:val="21"/>
        </w:numPr>
        <w:spacing w:before="120" w:after="120"/>
        <w:ind w:left="1134" w:hanging="283"/>
      </w:pPr>
      <w:r w:rsidRPr="007C28CC">
        <w:t>Rzędna wody kontrolnej (przy wezbraniu 0,2%): 2,22 m n.p.m.;</w:t>
      </w:r>
    </w:p>
    <w:p w14:paraId="003FCEDA" w14:textId="430775AB" w:rsidR="00BA0236" w:rsidRPr="007C28CC" w:rsidRDefault="00BA0236" w:rsidP="004D6635">
      <w:pPr>
        <w:pStyle w:val="ReportText"/>
        <w:numPr>
          <w:ilvl w:val="2"/>
          <w:numId w:val="21"/>
        </w:numPr>
        <w:spacing w:before="120" w:after="0"/>
        <w:ind w:left="1134" w:hanging="283"/>
      </w:pPr>
      <w:r w:rsidRPr="007C28CC">
        <w:t>Wymagana minimalna rzędna górnej krawędzi: 2,52 m n.p.m. (0,30 m nad poziom lustra wody 0,2%</w:t>
      </w:r>
      <w:r w:rsidR="00307D31">
        <w:t>,</w:t>
      </w:r>
      <w:r w:rsidR="00307D31" w:rsidRPr="00307D31">
        <w:t xml:space="preserve"> </w:t>
      </w:r>
      <w:r w:rsidR="00307D31">
        <w:t>minimalna rzędna powyżej rzędnej weryfikującej: 2,25 m n.p.m.)</w:t>
      </w:r>
      <w:r w:rsidRPr="007C28CC">
        <w:t>.</w:t>
      </w:r>
    </w:p>
    <w:p w14:paraId="2AEF2204" w14:textId="4430ABB9" w:rsidR="00BA0236" w:rsidRPr="007C28CC" w:rsidRDefault="00E8074C" w:rsidP="007C28CC">
      <w:pPr>
        <w:pStyle w:val="ReportText"/>
        <w:spacing w:before="120" w:after="0"/>
        <w:jc w:val="center"/>
      </w:pPr>
      <w:r>
        <w:rPr>
          <w:noProof/>
          <w:lang w:eastAsia="pl-PL"/>
        </w:rPr>
        <w:drawing>
          <wp:inline distT="0" distB="0" distL="0" distR="0" wp14:anchorId="7B201765" wp14:editId="664D728E">
            <wp:extent cx="4314825" cy="4314825"/>
            <wp:effectExtent l="0" t="0" r="0" b="0"/>
            <wp:docPr id="19"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14825" cy="4314825"/>
                    </a:xfrm>
                    <a:prstGeom prst="rect">
                      <a:avLst/>
                    </a:prstGeom>
                    <a:noFill/>
                    <a:ln>
                      <a:noFill/>
                    </a:ln>
                  </pic:spPr>
                </pic:pic>
              </a:graphicData>
            </a:graphic>
          </wp:inline>
        </w:drawing>
      </w:r>
    </w:p>
    <w:p w14:paraId="32F8BC5C" w14:textId="3ADC5360" w:rsidR="00BA0236" w:rsidRPr="007C28CC" w:rsidRDefault="00BA0236" w:rsidP="004D6635">
      <w:pPr>
        <w:pStyle w:val="ReportText"/>
        <w:spacing w:before="0"/>
        <w:ind w:left="1418" w:hanging="1418"/>
      </w:pPr>
      <w:bookmarkStart w:id="75" w:name="_Ref79485724"/>
      <w:bookmarkStart w:id="76" w:name="_Toc80604791"/>
      <w:r w:rsidRPr="007C28CC">
        <w:t xml:space="preserve">Rysunek </w:t>
      </w:r>
      <w:r w:rsidR="00677743">
        <w:rPr>
          <w:noProof/>
        </w:rPr>
        <w:fldChar w:fldCharType="begin"/>
      </w:r>
      <w:r w:rsidR="00677743">
        <w:rPr>
          <w:noProof/>
        </w:rPr>
        <w:instrText xml:space="preserve"> SEQ Rysunek \* ARABIC </w:instrText>
      </w:r>
      <w:r w:rsidR="00677743">
        <w:rPr>
          <w:noProof/>
        </w:rPr>
        <w:fldChar w:fldCharType="separate"/>
      </w:r>
      <w:r w:rsidR="00FD3F9A">
        <w:rPr>
          <w:noProof/>
        </w:rPr>
        <w:t>18</w:t>
      </w:r>
      <w:r w:rsidR="00677743">
        <w:rPr>
          <w:noProof/>
        </w:rPr>
        <w:fldChar w:fldCharType="end"/>
      </w:r>
      <w:bookmarkEnd w:id="75"/>
      <w:r w:rsidRPr="007C28CC">
        <w:tab/>
        <w:t>Lokalizacja działań zaproponowanych w wariancie „2” dla obszaru problemowego IOP_2 Mierzeja Helska – Jastarnia, Hel, m. Kuźnica</w:t>
      </w:r>
      <w:bookmarkEnd w:id="76"/>
    </w:p>
    <w:p w14:paraId="0B5EF389" w14:textId="77777777" w:rsidR="00BA0236" w:rsidRPr="007C28CC" w:rsidRDefault="00BA0236" w:rsidP="007C28CC">
      <w:pPr>
        <w:rPr>
          <w:b/>
          <w:color w:val="28AAE1"/>
          <w:sz w:val="32"/>
          <w:szCs w:val="20"/>
          <w:lang w:eastAsia="en-US"/>
        </w:rPr>
      </w:pPr>
    </w:p>
    <w:p w14:paraId="54B187A4" w14:textId="77777777" w:rsidR="00BA0236" w:rsidRPr="007C28CC" w:rsidRDefault="00BA0236" w:rsidP="007C28CC">
      <w:pPr>
        <w:rPr>
          <w:b/>
          <w:color w:val="28AAE1"/>
          <w:sz w:val="32"/>
          <w:szCs w:val="20"/>
          <w:lang w:eastAsia="en-US"/>
        </w:rPr>
      </w:pPr>
      <w:r w:rsidRPr="007C28CC">
        <w:br w:type="page"/>
      </w:r>
    </w:p>
    <w:p w14:paraId="39AD733F" w14:textId="77777777" w:rsidR="00BA0236" w:rsidRPr="007C28CC" w:rsidRDefault="00BA0236" w:rsidP="00E8074C">
      <w:pPr>
        <w:pStyle w:val="ReportLevel2"/>
        <w:numPr>
          <w:ilvl w:val="1"/>
          <w:numId w:val="9"/>
        </w:numPr>
      </w:pPr>
      <w:bookmarkStart w:id="77" w:name="_Toc79511676"/>
      <w:bookmarkStart w:id="78" w:name="_Toc80604856"/>
      <w:r w:rsidRPr="007C28CC">
        <w:lastRenderedPageBreak/>
        <w:t>IOP_5 Krynica Morska - Zalew Wiślany – Nowa Karczma</w:t>
      </w:r>
      <w:bookmarkEnd w:id="77"/>
      <w:bookmarkEnd w:id="78"/>
    </w:p>
    <w:p w14:paraId="4E2B1B77" w14:textId="77777777" w:rsidR="00BA0236" w:rsidRPr="007C28CC" w:rsidRDefault="00BA0236" w:rsidP="007C28CC">
      <w:pPr>
        <w:pStyle w:val="ReportText"/>
        <w:spacing w:before="120" w:after="120"/>
      </w:pPr>
      <w:r w:rsidRPr="007C28CC">
        <w:t xml:space="preserve">Dla obszaru problemowego IOP_5 Krynica Morska – Zalew Wiślany zdefiniowano zagrożenie powodziowe w miejscowości Nowa Karczma. Dla przedmiotowego rejonu zaproponowano trzy warianty obniżenia istniejącego ryzyka powodziowego: </w:t>
      </w:r>
    </w:p>
    <w:p w14:paraId="66C98D6E" w14:textId="4B6D78DB" w:rsidR="00BA0236" w:rsidRPr="007C28CC" w:rsidRDefault="00BA0236" w:rsidP="004D6635">
      <w:pPr>
        <w:pStyle w:val="ReportText"/>
        <w:numPr>
          <w:ilvl w:val="0"/>
          <w:numId w:val="20"/>
        </w:numPr>
        <w:spacing w:before="120" w:after="120"/>
        <w:ind w:left="567" w:hanging="425"/>
      </w:pPr>
      <w:r w:rsidRPr="007C28CC">
        <w:t>Wariant „0</w:t>
      </w:r>
      <w:r w:rsidR="005C243A">
        <w:t>bis</w:t>
      </w:r>
      <w:r w:rsidRPr="007C28CC">
        <w:t xml:space="preserve">” </w:t>
      </w:r>
      <w:r w:rsidRPr="00475541">
        <w:t>obejm</w:t>
      </w:r>
      <w:r>
        <w:t>ował</w:t>
      </w:r>
      <w:r w:rsidRPr="00475541">
        <w:t xml:space="preserve"> istniejący stan zabudowy hydrotechnicznej</w:t>
      </w:r>
      <w:r>
        <w:t xml:space="preserve"> </w:t>
      </w:r>
      <w:r w:rsidRPr="00475541">
        <w:t>(zgodnie z</w:t>
      </w:r>
      <w:r w:rsidR="004D6635">
        <w:t> </w:t>
      </w:r>
      <w:r w:rsidRPr="00475541">
        <w:t>wynikami przeglądu i aktualizacji map zagrożenia powodziowego i map ryzyka</w:t>
      </w:r>
      <w:r>
        <w:t xml:space="preserve"> </w:t>
      </w:r>
      <w:r w:rsidRPr="00475541">
        <w:t>powodziowego</w:t>
      </w:r>
      <w:r>
        <w:t xml:space="preserve"> </w:t>
      </w:r>
      <w:r w:rsidRPr="00475541">
        <w:t>od strony morza w tym morskich wód wewnętrznych</w:t>
      </w:r>
      <w:r>
        <w:t xml:space="preserve"> </w:t>
      </w:r>
      <w:r w:rsidRPr="00475541">
        <w:t>na koniec roku 2019</w:t>
      </w:r>
      <w:r>
        <w:t xml:space="preserve"> z</w:t>
      </w:r>
      <w:r w:rsidRPr="00791A72">
        <w:t>aktualiz</w:t>
      </w:r>
      <w:r>
        <w:t xml:space="preserve">owany </w:t>
      </w:r>
      <w:r w:rsidRPr="00791A72">
        <w:t xml:space="preserve">o działania będące w realizacji lub planowane do rozpoczęcia </w:t>
      </w:r>
      <w:r>
        <w:t>do</w:t>
      </w:r>
      <w:r w:rsidRPr="00791A72">
        <w:t xml:space="preserve"> 2022 r., lub zakończone po 2019 r</w:t>
      </w:r>
      <w:r>
        <w:t>.</w:t>
      </w:r>
      <w:r w:rsidRPr="00475541">
        <w:t>)</w:t>
      </w:r>
      <w:r>
        <w:t xml:space="preserve"> </w:t>
      </w:r>
      <w:r w:rsidRPr="007C28CC">
        <w:t xml:space="preserve">czyli </w:t>
      </w:r>
      <w:r w:rsidR="005C243A">
        <w:t xml:space="preserve">zadanie </w:t>
      </w:r>
      <w:r w:rsidR="005C243A" w:rsidRPr="005C243A">
        <w:t>W_DW_137</w:t>
      </w:r>
      <w:r w:rsidR="005C243A">
        <w:t xml:space="preserve"> (</w:t>
      </w:r>
      <w:r w:rsidR="005C243A" w:rsidRPr="005C243A">
        <w:t>budowa wału przeciwsztormowego w km 83,25-87,25</w:t>
      </w:r>
      <w:r w:rsidR="005C243A">
        <w:t xml:space="preserve">) oraz </w:t>
      </w:r>
      <w:r w:rsidR="005C243A" w:rsidRPr="005C243A">
        <w:t xml:space="preserve">W_DW_110 </w:t>
      </w:r>
      <w:r w:rsidR="005C243A">
        <w:t>(p</w:t>
      </w:r>
      <w:r w:rsidR="005C243A" w:rsidRPr="005C243A">
        <w:t>rzebudowa wału przeciwpowodziowego Zalewu Wiślanego- Przebrno w km 0+000-3+100</w:t>
      </w:r>
      <w:r w:rsidR="005C243A">
        <w:t>)</w:t>
      </w:r>
      <w:r w:rsidRPr="007C28CC">
        <w:t xml:space="preserve">. </w:t>
      </w:r>
    </w:p>
    <w:p w14:paraId="5D438FB3" w14:textId="6C157E29" w:rsidR="00BA0236" w:rsidRPr="007C28CC" w:rsidRDefault="00BA0236" w:rsidP="004D6635">
      <w:pPr>
        <w:pStyle w:val="ReportText"/>
        <w:numPr>
          <w:ilvl w:val="0"/>
          <w:numId w:val="20"/>
        </w:numPr>
        <w:spacing w:before="120" w:after="120"/>
        <w:ind w:left="567" w:hanging="425"/>
      </w:pPr>
      <w:r w:rsidRPr="007C28CC">
        <w:t xml:space="preserve">Wariant „1” </w:t>
      </w:r>
      <w:r w:rsidRPr="007C28CC">
        <w:rPr>
          <w:szCs w:val="24"/>
        </w:rPr>
        <w:t xml:space="preserve">obejmował </w:t>
      </w:r>
      <w:r w:rsidRPr="007C28CC">
        <w:rPr>
          <w:rFonts w:eastAsia="Times New Roman"/>
          <w:szCs w:val="24"/>
          <w:lang w:eastAsia="pl-PL"/>
        </w:rPr>
        <w:t>ochronę przeciwpowodziową miejscowości Nowa Karczma przy pomocy systemu mobilnych przegród przeciwpowodziowych o</w:t>
      </w:r>
      <w:r w:rsidR="004D6635">
        <w:rPr>
          <w:rFonts w:eastAsia="Times New Roman"/>
          <w:szCs w:val="24"/>
          <w:lang w:eastAsia="pl-PL"/>
        </w:rPr>
        <w:t> </w:t>
      </w:r>
      <w:r w:rsidRPr="007C28CC">
        <w:rPr>
          <w:rFonts w:eastAsia="Times New Roman"/>
          <w:szCs w:val="24"/>
          <w:lang w:eastAsia="pl-PL"/>
        </w:rPr>
        <w:t>długości ok.</w:t>
      </w:r>
      <w:r w:rsidR="004D6635">
        <w:rPr>
          <w:rFonts w:eastAsia="Times New Roman"/>
          <w:szCs w:val="24"/>
          <w:lang w:eastAsia="pl-PL"/>
        </w:rPr>
        <w:t xml:space="preserve"> </w:t>
      </w:r>
      <w:r w:rsidRPr="007C28CC">
        <w:rPr>
          <w:rFonts w:eastAsia="Times New Roman"/>
          <w:szCs w:val="24"/>
          <w:lang w:eastAsia="pl-PL"/>
        </w:rPr>
        <w:t xml:space="preserve">540m wraz </w:t>
      </w:r>
      <w:r w:rsidRPr="007C28CC">
        <w:rPr>
          <w:szCs w:val="24"/>
        </w:rPr>
        <w:t>z rozwojem lokalnego systemu ostrzegania</w:t>
      </w:r>
      <w:r w:rsidRPr="007C28CC">
        <w:t xml:space="preserve"> przed powodziami i prognozowania zagrożeń na terenie gminy Nowa Karczma</w:t>
      </w:r>
      <w:r w:rsidRPr="007C28CC">
        <w:rPr>
          <w:rFonts w:eastAsia="Times New Roman"/>
          <w:sz w:val="22"/>
          <w:szCs w:val="22"/>
          <w:lang w:eastAsia="pl-PL"/>
        </w:rPr>
        <w:t>.</w:t>
      </w:r>
      <w:r w:rsidRPr="007C28CC">
        <w:t xml:space="preserve"> (Zadanie W_AR_12). Lokalizację działania zaproponowanego w wariancie „1” przedstawia </w:t>
      </w:r>
      <w:r w:rsidRPr="007C28CC">
        <w:fldChar w:fldCharType="begin"/>
      </w:r>
      <w:r w:rsidRPr="007C28CC">
        <w:instrText xml:space="preserve"> REF _Ref76568105 \h </w:instrText>
      </w:r>
      <w:r w:rsidRPr="007C28CC">
        <w:fldChar w:fldCharType="separate"/>
      </w:r>
      <w:r w:rsidR="00FD3F9A" w:rsidRPr="007C28CC">
        <w:t xml:space="preserve">Rysunek </w:t>
      </w:r>
      <w:r w:rsidR="00FD3F9A">
        <w:rPr>
          <w:noProof/>
        </w:rPr>
        <w:t>19</w:t>
      </w:r>
      <w:r w:rsidRPr="007C28CC">
        <w:fldChar w:fldCharType="end"/>
      </w:r>
      <w:r w:rsidRPr="007C28CC">
        <w:t>.</w:t>
      </w:r>
    </w:p>
    <w:p w14:paraId="03EC9E99" w14:textId="77777777" w:rsidR="00BA0236" w:rsidRPr="007C28CC" w:rsidRDefault="00BA0236" w:rsidP="004D6635">
      <w:pPr>
        <w:pStyle w:val="ReportText"/>
        <w:numPr>
          <w:ilvl w:val="2"/>
          <w:numId w:val="21"/>
        </w:numPr>
        <w:spacing w:before="120" w:after="120"/>
        <w:ind w:left="1134" w:hanging="283"/>
      </w:pPr>
      <w:r w:rsidRPr="007C28CC">
        <w:t>Typ ochrony: mobilne przegrody przeciwpowodziowe (belki zaporowe - szandory);</w:t>
      </w:r>
    </w:p>
    <w:p w14:paraId="278CFB85" w14:textId="77777777" w:rsidR="00BA0236" w:rsidRPr="007C28CC" w:rsidRDefault="00BA0236" w:rsidP="004D6635">
      <w:pPr>
        <w:pStyle w:val="ReportText"/>
        <w:numPr>
          <w:ilvl w:val="2"/>
          <w:numId w:val="21"/>
        </w:numPr>
        <w:spacing w:before="120" w:after="120"/>
        <w:ind w:left="1134" w:hanging="283"/>
      </w:pPr>
      <w:r w:rsidRPr="007C28CC">
        <w:t xml:space="preserve"> Długość: 0,54 km;</w:t>
      </w:r>
    </w:p>
    <w:p w14:paraId="6699F009" w14:textId="77777777" w:rsidR="00BA0236" w:rsidRPr="007C28CC" w:rsidRDefault="00BA0236" w:rsidP="004D6635">
      <w:pPr>
        <w:pStyle w:val="ReportText"/>
        <w:numPr>
          <w:ilvl w:val="2"/>
          <w:numId w:val="21"/>
        </w:numPr>
        <w:spacing w:before="120" w:after="120"/>
        <w:ind w:left="1134" w:hanging="283"/>
      </w:pPr>
      <w:r w:rsidRPr="007C28CC">
        <w:t>Wysokość: 1,00 m;</w:t>
      </w:r>
    </w:p>
    <w:p w14:paraId="3A9A777D" w14:textId="77777777" w:rsidR="00BA0236" w:rsidRPr="007C28CC" w:rsidRDefault="00BA0236" w:rsidP="004D6635">
      <w:pPr>
        <w:pStyle w:val="ReportText"/>
        <w:numPr>
          <w:ilvl w:val="2"/>
          <w:numId w:val="21"/>
        </w:numPr>
        <w:spacing w:before="120" w:after="120"/>
        <w:ind w:left="1134" w:hanging="283"/>
      </w:pPr>
      <w:r w:rsidRPr="007C28CC">
        <w:t>Rzędna wody miarodajnej (przy wezbraniu 1%): 1,57 m n.p.m.;</w:t>
      </w:r>
    </w:p>
    <w:p w14:paraId="52E6D7AB" w14:textId="77777777" w:rsidR="00BA0236" w:rsidRPr="007C28CC" w:rsidRDefault="00BA0236" w:rsidP="004D6635">
      <w:pPr>
        <w:pStyle w:val="ReportText"/>
        <w:numPr>
          <w:ilvl w:val="2"/>
          <w:numId w:val="21"/>
        </w:numPr>
        <w:spacing w:before="120" w:after="120"/>
        <w:ind w:left="1134" w:hanging="283"/>
      </w:pPr>
      <w:r w:rsidRPr="007C28CC">
        <w:t>Rzędna wody kontrolnej (przy wezbraniu 0,2%): 1,90 m n.p.m.;</w:t>
      </w:r>
    </w:p>
    <w:p w14:paraId="7CEC8C1D" w14:textId="77777777" w:rsidR="00BA0236" w:rsidRPr="007C28CC" w:rsidRDefault="00BA0236" w:rsidP="004D6635">
      <w:pPr>
        <w:pStyle w:val="ReportText"/>
        <w:numPr>
          <w:ilvl w:val="2"/>
          <w:numId w:val="21"/>
        </w:numPr>
        <w:spacing w:before="120" w:after="0"/>
        <w:ind w:left="1134" w:hanging="283"/>
      </w:pPr>
      <w:r w:rsidRPr="007C28CC">
        <w:t>Wymagana minimalna rzędna górnej krawędzi: 2,20 m n.p.m. (0,30 m nad poziom lustra wody 0,2%).</w:t>
      </w:r>
    </w:p>
    <w:p w14:paraId="19C8424D" w14:textId="71A734AA" w:rsidR="00BA0236" w:rsidRPr="007C28CC" w:rsidRDefault="00E8074C" w:rsidP="007C28CC">
      <w:pPr>
        <w:pStyle w:val="ReportText"/>
        <w:spacing w:before="0" w:after="0"/>
        <w:jc w:val="center"/>
      </w:pPr>
      <w:r>
        <w:rPr>
          <w:noProof/>
          <w:lang w:eastAsia="pl-PL"/>
        </w:rPr>
        <w:lastRenderedPageBreak/>
        <w:drawing>
          <wp:inline distT="0" distB="0" distL="0" distR="0" wp14:anchorId="192E6984" wp14:editId="6954B4C1">
            <wp:extent cx="4314825" cy="3981450"/>
            <wp:effectExtent l="0" t="0" r="0" b="0"/>
            <wp:docPr id="20" name="Obraz 49" descr="Obraz zawierający mapa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9" descr="Obraz zawierający mapaOpis wygenerowany automatycznie"/>
                    <pic:cNvPicPr>
                      <a:picLocks noChangeAspect="1" noChangeArrowheads="1"/>
                    </pic:cNvPicPr>
                  </pic:nvPicPr>
                  <pic:blipFill>
                    <a:blip r:embed="rId29">
                      <a:extLst>
                        <a:ext uri="{28A0092B-C50C-407E-A947-70E740481C1C}">
                          <a14:useLocalDpi xmlns:a14="http://schemas.microsoft.com/office/drawing/2010/main" val="0"/>
                        </a:ext>
                      </a:extLst>
                    </a:blip>
                    <a:srcRect t="2141" b="2217"/>
                    <a:stretch>
                      <a:fillRect/>
                    </a:stretch>
                  </pic:blipFill>
                  <pic:spPr bwMode="auto">
                    <a:xfrm>
                      <a:off x="0" y="0"/>
                      <a:ext cx="4314825" cy="3981450"/>
                    </a:xfrm>
                    <a:prstGeom prst="rect">
                      <a:avLst/>
                    </a:prstGeom>
                    <a:noFill/>
                    <a:ln>
                      <a:noFill/>
                    </a:ln>
                  </pic:spPr>
                </pic:pic>
              </a:graphicData>
            </a:graphic>
          </wp:inline>
        </w:drawing>
      </w:r>
    </w:p>
    <w:p w14:paraId="32A450ED" w14:textId="25EF7FAA" w:rsidR="00BA0236" w:rsidRDefault="00BA0236" w:rsidP="004D6635">
      <w:pPr>
        <w:pStyle w:val="ReportText"/>
        <w:spacing w:before="0"/>
        <w:ind w:left="1418" w:hanging="1418"/>
      </w:pPr>
      <w:bookmarkStart w:id="79" w:name="_Ref76568105"/>
      <w:bookmarkStart w:id="80" w:name="_Toc76734819"/>
      <w:bookmarkStart w:id="81" w:name="_Toc80604792"/>
      <w:r w:rsidRPr="007C28CC">
        <w:t xml:space="preserve">Rysunek </w:t>
      </w:r>
      <w:r w:rsidR="00677743">
        <w:rPr>
          <w:noProof/>
        </w:rPr>
        <w:fldChar w:fldCharType="begin"/>
      </w:r>
      <w:r w:rsidR="00677743">
        <w:rPr>
          <w:noProof/>
        </w:rPr>
        <w:instrText xml:space="preserve"> SEQ Rysunek \* ARABIC </w:instrText>
      </w:r>
      <w:r w:rsidR="00677743">
        <w:rPr>
          <w:noProof/>
        </w:rPr>
        <w:fldChar w:fldCharType="separate"/>
      </w:r>
      <w:r w:rsidR="00FD3F9A">
        <w:rPr>
          <w:noProof/>
        </w:rPr>
        <w:t>19</w:t>
      </w:r>
      <w:r w:rsidR="00677743">
        <w:rPr>
          <w:noProof/>
        </w:rPr>
        <w:fldChar w:fldCharType="end"/>
      </w:r>
      <w:bookmarkEnd w:id="79"/>
      <w:r w:rsidRPr="007C28CC">
        <w:tab/>
        <w:t xml:space="preserve">Lokalizacja działań zaproponowanych w wariancie „1” dla obszaru problemowego </w:t>
      </w:r>
      <w:bookmarkEnd w:id="80"/>
      <w:r w:rsidRPr="007C28CC">
        <w:t>IOP_5 Krynica Morska – Zalew Wiślany, m. Nowa Karczma</w:t>
      </w:r>
      <w:bookmarkEnd w:id="81"/>
    </w:p>
    <w:p w14:paraId="4E2D4E78" w14:textId="77777777" w:rsidR="006E4A04" w:rsidRPr="007C28CC" w:rsidRDefault="006E4A04" w:rsidP="007C28CC">
      <w:pPr>
        <w:pStyle w:val="ReportText"/>
        <w:spacing w:before="0"/>
      </w:pPr>
    </w:p>
    <w:p w14:paraId="64C15C7A" w14:textId="5277E43E" w:rsidR="00BA0236" w:rsidRPr="007C28CC" w:rsidRDefault="00BA0236" w:rsidP="004D6635">
      <w:pPr>
        <w:pStyle w:val="ReportText"/>
        <w:numPr>
          <w:ilvl w:val="0"/>
          <w:numId w:val="20"/>
        </w:numPr>
        <w:spacing w:before="120" w:after="120"/>
        <w:ind w:left="567" w:hanging="425"/>
      </w:pPr>
      <w:r w:rsidRPr="007C28CC">
        <w:t xml:space="preserve">Wariant „2” obejmował ochronę przeciwpowodziową miejscowości Nowa Karczma przy pomocy </w:t>
      </w:r>
      <w:r w:rsidRPr="007C28CC">
        <w:rPr>
          <w:rFonts w:eastAsia="Times New Roman"/>
          <w:szCs w:val="24"/>
          <w:lang w:eastAsia="pl-PL"/>
        </w:rPr>
        <w:t>muru oporowego wraz z mobilnymi przegrodami przeciwpowodziowymi w miejscowości Nowa Karczma (Zalew Wiślany km 97+620 - 98+240), pow. Krynica Morska</w:t>
      </w:r>
      <w:r w:rsidRPr="007C28CC">
        <w:rPr>
          <w:szCs w:val="24"/>
        </w:rPr>
        <w:t xml:space="preserve"> </w:t>
      </w:r>
      <w:r w:rsidRPr="007C28CC">
        <w:t xml:space="preserve">wraz z rozwojem lokalnego systemu ostrzegania przed powodziami i prognozowania zagrożeń na terenie gminy Nowa Karczma (Zadanie W_AR_05). Lokalizację działania zaproponowanego w wariancie „2” przedstawia </w:t>
      </w:r>
      <w:r w:rsidRPr="007C28CC">
        <w:fldChar w:fldCharType="begin"/>
      </w:r>
      <w:r w:rsidRPr="007C28CC">
        <w:instrText xml:space="preserve"> REF _Ref79485982 \h </w:instrText>
      </w:r>
      <w:r w:rsidRPr="007C28CC">
        <w:fldChar w:fldCharType="separate"/>
      </w:r>
      <w:r w:rsidR="00FD3F9A" w:rsidRPr="007C28CC">
        <w:t xml:space="preserve">Rysunek </w:t>
      </w:r>
      <w:r w:rsidR="00FD3F9A">
        <w:rPr>
          <w:noProof/>
        </w:rPr>
        <w:t>22</w:t>
      </w:r>
      <w:r w:rsidRPr="007C28CC">
        <w:fldChar w:fldCharType="end"/>
      </w:r>
      <w:r w:rsidRPr="007C28CC">
        <w:t>.</w:t>
      </w:r>
    </w:p>
    <w:p w14:paraId="69059FFD" w14:textId="77777777" w:rsidR="00BA0236" w:rsidRPr="007C28CC" w:rsidRDefault="00BA0236" w:rsidP="004D6635">
      <w:pPr>
        <w:pStyle w:val="ReportText"/>
        <w:numPr>
          <w:ilvl w:val="2"/>
          <w:numId w:val="21"/>
        </w:numPr>
        <w:spacing w:before="120" w:after="120"/>
        <w:ind w:left="1134" w:hanging="283"/>
      </w:pPr>
      <w:r w:rsidRPr="007C28CC">
        <w:t>Typ ochrony: mur oporowy z mobilnymi przegrodami przeciwpowodziowymi;</w:t>
      </w:r>
    </w:p>
    <w:p w14:paraId="17D7ADCA" w14:textId="77777777" w:rsidR="00BA0236" w:rsidRPr="007C28CC" w:rsidRDefault="00BA0236" w:rsidP="004D6635">
      <w:pPr>
        <w:pStyle w:val="ReportText"/>
        <w:numPr>
          <w:ilvl w:val="2"/>
          <w:numId w:val="21"/>
        </w:numPr>
        <w:spacing w:before="120" w:after="120"/>
        <w:ind w:left="1134" w:hanging="283"/>
      </w:pPr>
      <w:r w:rsidRPr="007C28CC">
        <w:t xml:space="preserve"> Długość: 0,65 km;</w:t>
      </w:r>
    </w:p>
    <w:p w14:paraId="4832E20B" w14:textId="77777777" w:rsidR="00BA0236" w:rsidRPr="007C28CC" w:rsidRDefault="00BA0236" w:rsidP="004D6635">
      <w:pPr>
        <w:pStyle w:val="ReportText"/>
        <w:numPr>
          <w:ilvl w:val="2"/>
          <w:numId w:val="21"/>
        </w:numPr>
        <w:spacing w:before="120" w:after="120"/>
        <w:ind w:left="1134" w:hanging="283"/>
      </w:pPr>
      <w:r w:rsidRPr="007C28CC">
        <w:t>Wysokość: 1,40 m;</w:t>
      </w:r>
    </w:p>
    <w:p w14:paraId="63169AA8" w14:textId="77777777" w:rsidR="00BA0236" w:rsidRPr="007C28CC" w:rsidRDefault="00BA0236" w:rsidP="004D6635">
      <w:pPr>
        <w:pStyle w:val="ReportText"/>
        <w:numPr>
          <w:ilvl w:val="2"/>
          <w:numId w:val="21"/>
        </w:numPr>
        <w:spacing w:before="120" w:after="120"/>
        <w:ind w:left="1134" w:hanging="283"/>
      </w:pPr>
      <w:r w:rsidRPr="007C28CC">
        <w:t>Rzędna wody miarodajnej (przy wezbraniu 1%): 1,57 m n.p.m.;</w:t>
      </w:r>
    </w:p>
    <w:p w14:paraId="753816FD" w14:textId="77777777" w:rsidR="00BA0236" w:rsidRPr="007C28CC" w:rsidRDefault="00BA0236" w:rsidP="004D6635">
      <w:pPr>
        <w:pStyle w:val="ReportText"/>
        <w:numPr>
          <w:ilvl w:val="2"/>
          <w:numId w:val="21"/>
        </w:numPr>
        <w:spacing w:before="120" w:after="120"/>
        <w:ind w:left="1134" w:hanging="283"/>
      </w:pPr>
      <w:r w:rsidRPr="007C28CC">
        <w:t>Rzędna wody kontrolnej (przy wezbraniu 0,2%): 1,90 m n.p.m.;</w:t>
      </w:r>
    </w:p>
    <w:p w14:paraId="03D6E0B3" w14:textId="77777777" w:rsidR="00BA0236" w:rsidRPr="007C28CC" w:rsidRDefault="00BA0236" w:rsidP="004D6635">
      <w:pPr>
        <w:pStyle w:val="ReportText"/>
        <w:numPr>
          <w:ilvl w:val="2"/>
          <w:numId w:val="21"/>
        </w:numPr>
        <w:spacing w:before="120" w:after="0"/>
        <w:ind w:left="1134" w:hanging="283"/>
      </w:pPr>
      <w:r w:rsidRPr="007C28CC">
        <w:t>Wymagana minimalna rzędna górnej krawędzi: 2,20 m n.p.m. (0,30 m nad poziom lustra wody 0,2%).</w:t>
      </w:r>
    </w:p>
    <w:p w14:paraId="6576DF02" w14:textId="5E2E16B1" w:rsidR="00BA0236" w:rsidRPr="007C28CC" w:rsidRDefault="00E8074C" w:rsidP="007C28CC">
      <w:pPr>
        <w:pStyle w:val="ReportText"/>
        <w:spacing w:before="0"/>
        <w:jc w:val="center"/>
      </w:pPr>
      <w:r>
        <w:rPr>
          <w:noProof/>
          <w:lang w:eastAsia="pl-PL"/>
        </w:rPr>
        <w:lastRenderedPageBreak/>
        <w:drawing>
          <wp:inline distT="0" distB="0" distL="0" distR="0" wp14:anchorId="2492AF1E" wp14:editId="12B5A956">
            <wp:extent cx="4314825" cy="4314825"/>
            <wp:effectExtent l="0" t="0" r="0" b="0"/>
            <wp:docPr id="21" name="Obraz 50" descr="Obraz zawierający mapa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0" descr="Obraz zawierający mapaOpis wygenerowany automatyczni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314825" cy="4314825"/>
                    </a:xfrm>
                    <a:prstGeom prst="rect">
                      <a:avLst/>
                    </a:prstGeom>
                    <a:noFill/>
                    <a:ln>
                      <a:noFill/>
                    </a:ln>
                  </pic:spPr>
                </pic:pic>
              </a:graphicData>
            </a:graphic>
          </wp:inline>
        </w:drawing>
      </w:r>
    </w:p>
    <w:p w14:paraId="1C564178" w14:textId="2C575756" w:rsidR="00BA0236" w:rsidRPr="007C28CC" w:rsidRDefault="00BA0236" w:rsidP="004D6635">
      <w:pPr>
        <w:pStyle w:val="ReportText"/>
        <w:spacing w:before="0"/>
        <w:ind w:left="1418" w:hanging="1418"/>
      </w:pPr>
      <w:bookmarkStart w:id="82" w:name="_Toc76734818"/>
      <w:bookmarkStart w:id="83" w:name="_Toc80604793"/>
      <w:r w:rsidRPr="007C28CC">
        <w:t xml:space="preserve">Rysunek </w:t>
      </w:r>
      <w:r w:rsidR="00677743">
        <w:rPr>
          <w:noProof/>
        </w:rPr>
        <w:fldChar w:fldCharType="begin"/>
      </w:r>
      <w:r w:rsidR="00677743">
        <w:rPr>
          <w:noProof/>
        </w:rPr>
        <w:instrText xml:space="preserve"> SEQ Rysunek \* ARABIC </w:instrText>
      </w:r>
      <w:r w:rsidR="00677743">
        <w:rPr>
          <w:noProof/>
        </w:rPr>
        <w:fldChar w:fldCharType="separate"/>
      </w:r>
      <w:r w:rsidR="00FD3F9A">
        <w:rPr>
          <w:noProof/>
        </w:rPr>
        <w:t>20</w:t>
      </w:r>
      <w:r w:rsidR="00677743">
        <w:rPr>
          <w:noProof/>
        </w:rPr>
        <w:fldChar w:fldCharType="end"/>
      </w:r>
      <w:r w:rsidRPr="007C28CC">
        <w:tab/>
        <w:t xml:space="preserve">Lokalizacja działań zaproponowanych w wariancie „2” dla obszaru problemowego </w:t>
      </w:r>
      <w:bookmarkEnd w:id="82"/>
      <w:r w:rsidRPr="007C28CC">
        <w:t>IOP_5 Krynica Morska – Zalew Wiślany, m. Nowa Karczma</w:t>
      </w:r>
      <w:bookmarkEnd w:id="83"/>
    </w:p>
    <w:p w14:paraId="341A6818" w14:textId="77777777" w:rsidR="00BA0236" w:rsidRPr="007C28CC" w:rsidRDefault="00BA0236" w:rsidP="007C28CC">
      <w:r w:rsidRPr="007C28CC">
        <w:br w:type="page"/>
      </w:r>
    </w:p>
    <w:p w14:paraId="74182FD7" w14:textId="77777777" w:rsidR="00BA0236" w:rsidRPr="007C28CC" w:rsidRDefault="00BA0236" w:rsidP="00E8074C">
      <w:pPr>
        <w:pStyle w:val="ReportLevel2"/>
        <w:numPr>
          <w:ilvl w:val="1"/>
          <w:numId w:val="9"/>
        </w:numPr>
      </w:pPr>
      <w:bookmarkStart w:id="84" w:name="_Toc79511677"/>
      <w:bookmarkStart w:id="85" w:name="_Toc80604857"/>
      <w:r w:rsidRPr="007C28CC">
        <w:lastRenderedPageBreak/>
        <w:t>IOP_5 Krynica Morska - Zalew Wiślany - Frombork</w:t>
      </w:r>
      <w:bookmarkEnd w:id="84"/>
      <w:bookmarkEnd w:id="85"/>
    </w:p>
    <w:p w14:paraId="5EF0441D" w14:textId="77777777" w:rsidR="00BA0236" w:rsidRPr="007C28CC" w:rsidRDefault="00BA0236" w:rsidP="007C28CC">
      <w:pPr>
        <w:pStyle w:val="ReportText"/>
        <w:spacing w:before="120" w:after="120"/>
      </w:pPr>
      <w:r w:rsidRPr="007C28CC">
        <w:t xml:space="preserve">Dla obszaru problemowego IOP_5 Krynica Morska – Zalew Wiślany zdefiniowano zagrożenie powodziowe w miejscowości Frombork. Dla przedmiotowego rejonu zaproponowano trzy warianty obniżenia istniejącego ryzyka powodziowego: </w:t>
      </w:r>
    </w:p>
    <w:p w14:paraId="4271F3DD" w14:textId="77777777" w:rsidR="00BA0236" w:rsidRPr="007C28CC" w:rsidRDefault="00BA0236" w:rsidP="004D6635">
      <w:pPr>
        <w:pStyle w:val="ReportText"/>
        <w:numPr>
          <w:ilvl w:val="0"/>
          <w:numId w:val="20"/>
        </w:numPr>
        <w:spacing w:before="120" w:after="120"/>
        <w:ind w:left="567" w:hanging="425"/>
      </w:pPr>
      <w:r w:rsidRPr="007C28CC">
        <w:t xml:space="preserve">Wariant „0” </w:t>
      </w:r>
      <w:r w:rsidRPr="00475541">
        <w:t>obejm</w:t>
      </w:r>
      <w:r>
        <w:t>ował</w:t>
      </w:r>
      <w:r w:rsidRPr="00475541">
        <w:t xml:space="preserve"> istniejący stan zabudowy hydrotechnicznej</w:t>
      </w:r>
      <w:r>
        <w:t xml:space="preserve"> </w:t>
      </w:r>
      <w:r w:rsidRPr="00475541">
        <w:t>(zgodnie z wynikami przeglądu i aktualizacji map zagrożenia powodziowego i map ryzyka</w:t>
      </w:r>
      <w:r>
        <w:t xml:space="preserve"> </w:t>
      </w:r>
      <w:r w:rsidRPr="00475541">
        <w:t>powodziowego</w:t>
      </w:r>
      <w:r>
        <w:t xml:space="preserve"> </w:t>
      </w:r>
      <w:r w:rsidRPr="00475541">
        <w:t>od strony morza w tym morskich wód wewnętrznych</w:t>
      </w:r>
      <w:r>
        <w:t xml:space="preserve"> </w:t>
      </w:r>
      <w:r w:rsidRPr="00475541">
        <w:t>na koniec roku 2019</w:t>
      </w:r>
      <w:r>
        <w:t xml:space="preserve"> z</w:t>
      </w:r>
      <w:r w:rsidRPr="00791A72">
        <w:t>aktualiz</w:t>
      </w:r>
      <w:r>
        <w:t xml:space="preserve">owany </w:t>
      </w:r>
      <w:r w:rsidRPr="00791A72">
        <w:t xml:space="preserve">o działania będące w realizacji lub planowane do rozpoczęcia </w:t>
      </w:r>
      <w:r>
        <w:t>do</w:t>
      </w:r>
      <w:r w:rsidRPr="00791A72">
        <w:t xml:space="preserve"> 2022 r., lub zakończone po 2019 r</w:t>
      </w:r>
      <w:r>
        <w:t>.</w:t>
      </w:r>
      <w:r w:rsidRPr="00475541">
        <w:t>)</w:t>
      </w:r>
      <w:r>
        <w:t xml:space="preserve"> </w:t>
      </w:r>
      <w:r w:rsidRPr="007C28CC">
        <w:t xml:space="preserve">czyli istniejące nabrzeże Zalewu Wiślanego. </w:t>
      </w:r>
    </w:p>
    <w:p w14:paraId="28A52B45" w14:textId="1E0CC0C0" w:rsidR="00BA0236" w:rsidRPr="007C28CC" w:rsidRDefault="00BA0236" w:rsidP="004D6635">
      <w:pPr>
        <w:pStyle w:val="ReportText"/>
        <w:numPr>
          <w:ilvl w:val="0"/>
          <w:numId w:val="20"/>
        </w:numPr>
        <w:spacing w:before="120" w:after="120"/>
        <w:ind w:left="567" w:hanging="425"/>
      </w:pPr>
      <w:r w:rsidRPr="007C28CC">
        <w:t xml:space="preserve">Wariant „1” obejmował </w:t>
      </w:r>
      <w:r w:rsidRPr="007C28CC">
        <w:rPr>
          <w:rFonts w:eastAsia="Times New Roman"/>
          <w:szCs w:val="24"/>
          <w:lang w:eastAsia="pl-PL"/>
        </w:rPr>
        <w:t>budowę muru oporowego (ok. 160m) wokół oczyszczalni ścieków w m. Frombork</w:t>
      </w:r>
      <w:r w:rsidRPr="007C28CC">
        <w:t xml:space="preserve"> (Zadanie W_AR_19). Lokalizację działania zaproponowanego w wariancie „1” przedstawia </w:t>
      </w:r>
      <w:r w:rsidRPr="007C28CC">
        <w:fldChar w:fldCharType="begin"/>
      </w:r>
      <w:r w:rsidRPr="007C28CC">
        <w:instrText xml:space="preserve"> REF _Ref79486026 \h </w:instrText>
      </w:r>
      <w:r w:rsidRPr="007C28CC">
        <w:fldChar w:fldCharType="separate"/>
      </w:r>
      <w:r w:rsidR="00FD3F9A" w:rsidRPr="007C28CC">
        <w:t xml:space="preserve">Rysunek </w:t>
      </w:r>
      <w:r w:rsidR="00FD3F9A">
        <w:rPr>
          <w:noProof/>
        </w:rPr>
        <w:t>21</w:t>
      </w:r>
      <w:r w:rsidRPr="007C28CC">
        <w:fldChar w:fldCharType="end"/>
      </w:r>
      <w:r w:rsidRPr="007C28CC">
        <w:t>.</w:t>
      </w:r>
    </w:p>
    <w:p w14:paraId="6379C291" w14:textId="77777777" w:rsidR="00BA0236" w:rsidRPr="007C28CC" w:rsidRDefault="00BA0236" w:rsidP="004D6635">
      <w:pPr>
        <w:pStyle w:val="ReportText"/>
        <w:numPr>
          <w:ilvl w:val="2"/>
          <w:numId w:val="21"/>
        </w:numPr>
        <w:spacing w:before="120" w:after="120"/>
        <w:ind w:left="1134" w:hanging="283"/>
      </w:pPr>
      <w:r w:rsidRPr="007C28CC">
        <w:t>Typ ochrony: mur oporowy;</w:t>
      </w:r>
    </w:p>
    <w:p w14:paraId="512A1FF9" w14:textId="77777777" w:rsidR="00BA0236" w:rsidRPr="007C28CC" w:rsidRDefault="00BA0236" w:rsidP="004D6635">
      <w:pPr>
        <w:pStyle w:val="ReportText"/>
        <w:numPr>
          <w:ilvl w:val="2"/>
          <w:numId w:val="21"/>
        </w:numPr>
        <w:spacing w:before="120" w:after="120"/>
        <w:ind w:left="1134" w:hanging="283"/>
      </w:pPr>
      <w:r w:rsidRPr="007C28CC">
        <w:t xml:space="preserve"> Długość: 0,16 km;</w:t>
      </w:r>
    </w:p>
    <w:p w14:paraId="5819717E" w14:textId="77777777" w:rsidR="00BA0236" w:rsidRPr="007C28CC" w:rsidRDefault="00BA0236" w:rsidP="004D6635">
      <w:pPr>
        <w:pStyle w:val="ReportText"/>
        <w:numPr>
          <w:ilvl w:val="2"/>
          <w:numId w:val="21"/>
        </w:numPr>
        <w:spacing w:before="120" w:after="120"/>
        <w:ind w:left="1134" w:hanging="283"/>
      </w:pPr>
      <w:r w:rsidRPr="007C28CC">
        <w:t>Wysokość: 1,10 m;</w:t>
      </w:r>
    </w:p>
    <w:p w14:paraId="6323C70A" w14:textId="77777777" w:rsidR="00BA0236" w:rsidRPr="007C28CC" w:rsidRDefault="00BA0236" w:rsidP="004D6635">
      <w:pPr>
        <w:pStyle w:val="ReportText"/>
        <w:numPr>
          <w:ilvl w:val="2"/>
          <w:numId w:val="21"/>
        </w:numPr>
        <w:spacing w:before="120" w:after="120"/>
        <w:ind w:left="1134" w:hanging="283"/>
      </w:pPr>
      <w:r w:rsidRPr="007C28CC">
        <w:t>Rzędna wody miarodajnej (przy wezbraniu 1%): 1,66 m n.p.m.;</w:t>
      </w:r>
    </w:p>
    <w:p w14:paraId="6E97A36C" w14:textId="77777777" w:rsidR="00BA0236" w:rsidRPr="007C28CC" w:rsidRDefault="00BA0236" w:rsidP="004D6635">
      <w:pPr>
        <w:pStyle w:val="ReportText"/>
        <w:numPr>
          <w:ilvl w:val="2"/>
          <w:numId w:val="21"/>
        </w:numPr>
        <w:spacing w:before="120" w:after="120"/>
        <w:ind w:left="1134" w:hanging="283"/>
      </w:pPr>
      <w:r w:rsidRPr="007C28CC">
        <w:t>Rzędna wody kontrolnej (przy wezbraniu 0,2%): 1,96 m n.p.m.;</w:t>
      </w:r>
    </w:p>
    <w:p w14:paraId="7DC976CC" w14:textId="548497FE" w:rsidR="004D6635" w:rsidRPr="004D6635" w:rsidRDefault="00BA0236" w:rsidP="004D6635">
      <w:pPr>
        <w:pStyle w:val="ReportText"/>
        <w:numPr>
          <w:ilvl w:val="2"/>
          <w:numId w:val="21"/>
        </w:numPr>
        <w:spacing w:before="120" w:after="120"/>
        <w:ind w:left="1135" w:hanging="284"/>
      </w:pPr>
      <w:r w:rsidRPr="007C28CC">
        <w:t>Wymagana minimalna rzędna górnej krawędzi: 2,26 m n.p.m. (0,30 m nad poziom lustra wody 0,2%).</w:t>
      </w:r>
    </w:p>
    <w:p w14:paraId="05309721" w14:textId="61C9A2EE" w:rsidR="00BA0236" w:rsidRPr="007C28CC" w:rsidRDefault="00E8074C" w:rsidP="007C28CC">
      <w:pPr>
        <w:pStyle w:val="ReportText"/>
        <w:spacing w:before="0"/>
        <w:jc w:val="center"/>
      </w:pPr>
      <w:r>
        <w:rPr>
          <w:noProof/>
          <w:lang w:eastAsia="pl-PL"/>
        </w:rPr>
        <w:drawing>
          <wp:inline distT="0" distB="0" distL="0" distR="0" wp14:anchorId="2A54D449" wp14:editId="525140D7">
            <wp:extent cx="3775508" cy="3842925"/>
            <wp:effectExtent l="0" t="0" r="0" b="5715"/>
            <wp:docPr id="22" name="Obraz 53" descr="Obraz zawierający mapa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3" descr="Obraz zawierający mapaOpis wygenerowany automatycznie"/>
                    <pic:cNvPicPr>
                      <a:picLocks noChangeAspect="1" noChangeArrowheads="1"/>
                    </pic:cNvPicPr>
                  </pic:nvPicPr>
                  <pic:blipFill rotWithShape="1">
                    <a:blip r:embed="rId31">
                      <a:extLst>
                        <a:ext uri="{28A0092B-C50C-407E-A947-70E740481C1C}">
                          <a14:useLocalDpi xmlns:a14="http://schemas.microsoft.com/office/drawing/2010/main" val="0"/>
                        </a:ext>
                      </a:extLst>
                    </a:blip>
                    <a:srcRect l="2834" t="2167" r="3298" b="2288"/>
                    <a:stretch/>
                  </pic:blipFill>
                  <pic:spPr bwMode="auto">
                    <a:xfrm>
                      <a:off x="0" y="0"/>
                      <a:ext cx="3783145" cy="3850698"/>
                    </a:xfrm>
                    <a:prstGeom prst="rect">
                      <a:avLst/>
                    </a:prstGeom>
                    <a:noFill/>
                    <a:ln>
                      <a:noFill/>
                    </a:ln>
                    <a:extLst>
                      <a:ext uri="{53640926-AAD7-44D8-BBD7-CCE9431645EC}">
                        <a14:shadowObscured xmlns:a14="http://schemas.microsoft.com/office/drawing/2010/main"/>
                      </a:ext>
                    </a:extLst>
                  </pic:spPr>
                </pic:pic>
              </a:graphicData>
            </a:graphic>
          </wp:inline>
        </w:drawing>
      </w:r>
    </w:p>
    <w:p w14:paraId="34227D51" w14:textId="7969FC6A" w:rsidR="00BA0236" w:rsidRPr="007C28CC" w:rsidRDefault="00BA0236" w:rsidP="004D6635">
      <w:pPr>
        <w:pStyle w:val="ReportText"/>
        <w:spacing w:before="0"/>
        <w:ind w:left="1418" w:hanging="1418"/>
      </w:pPr>
      <w:bookmarkStart w:id="86" w:name="_Ref79486026"/>
      <w:bookmarkStart w:id="87" w:name="_Toc80604794"/>
      <w:r w:rsidRPr="007C28CC">
        <w:t xml:space="preserve">Rysunek </w:t>
      </w:r>
      <w:r w:rsidR="00677743">
        <w:rPr>
          <w:noProof/>
        </w:rPr>
        <w:fldChar w:fldCharType="begin"/>
      </w:r>
      <w:r w:rsidR="00677743">
        <w:rPr>
          <w:noProof/>
        </w:rPr>
        <w:instrText xml:space="preserve"> SEQ Rysunek \* ARABIC </w:instrText>
      </w:r>
      <w:r w:rsidR="00677743">
        <w:rPr>
          <w:noProof/>
        </w:rPr>
        <w:fldChar w:fldCharType="separate"/>
      </w:r>
      <w:r w:rsidR="00FD3F9A">
        <w:rPr>
          <w:noProof/>
        </w:rPr>
        <w:t>21</w:t>
      </w:r>
      <w:r w:rsidR="00677743">
        <w:rPr>
          <w:noProof/>
        </w:rPr>
        <w:fldChar w:fldCharType="end"/>
      </w:r>
      <w:bookmarkEnd w:id="86"/>
      <w:r w:rsidRPr="007C28CC">
        <w:tab/>
        <w:t>Lokalizacja działań zaproponowanych w wariancie „1” dla obszaru problemowego IOP_5 Krynica Morska – Zalew Wiślany, m. Frombork</w:t>
      </w:r>
      <w:bookmarkEnd w:id="87"/>
    </w:p>
    <w:p w14:paraId="2A2E6C56" w14:textId="5F407086" w:rsidR="00BA0236" w:rsidRPr="007C28CC" w:rsidRDefault="00BA0236" w:rsidP="004D6635">
      <w:pPr>
        <w:pStyle w:val="ReportText"/>
        <w:numPr>
          <w:ilvl w:val="0"/>
          <w:numId w:val="20"/>
        </w:numPr>
        <w:spacing w:before="120" w:after="120"/>
        <w:ind w:left="567" w:hanging="425"/>
      </w:pPr>
      <w:r w:rsidRPr="007C28CC">
        <w:lastRenderedPageBreak/>
        <w:t xml:space="preserve">Wariant „2” obejmował budowę wału przeciwpowodziowego </w:t>
      </w:r>
      <w:r w:rsidRPr="007C28CC">
        <w:rPr>
          <w:rFonts w:eastAsia="Times New Roman"/>
          <w:szCs w:val="24"/>
          <w:lang w:eastAsia="pl-PL"/>
        </w:rPr>
        <w:t>wzdłuż torów kolejowych o długości 1300 m oraz mobilnej przegrody przeciwpowodziowej o długości ok. 100m, w miejscowości Frombork</w:t>
      </w:r>
      <w:r w:rsidRPr="007C28CC">
        <w:rPr>
          <w:szCs w:val="24"/>
        </w:rPr>
        <w:t xml:space="preserve"> wraz</w:t>
      </w:r>
      <w:r w:rsidRPr="007C28CC">
        <w:t xml:space="preserve"> z rozwojem lokalnego systemu ostrzegania przed powodziami i prognozowania zagrożeń na terenie gminy Frombork (Zadanie W_AR_13). Lokalizację działania zaproponowanego w wariancie „2” przedstawia </w:t>
      </w:r>
      <w:r w:rsidRPr="007C28CC">
        <w:fldChar w:fldCharType="begin"/>
      </w:r>
      <w:r w:rsidRPr="007C28CC">
        <w:instrText xml:space="preserve"> REF _Ref79485982 \h </w:instrText>
      </w:r>
      <w:r w:rsidRPr="007C28CC">
        <w:fldChar w:fldCharType="separate"/>
      </w:r>
      <w:r w:rsidR="00FD3F9A" w:rsidRPr="007C28CC">
        <w:t xml:space="preserve">Rysunek </w:t>
      </w:r>
      <w:r w:rsidR="00FD3F9A">
        <w:rPr>
          <w:noProof/>
        </w:rPr>
        <w:t>22</w:t>
      </w:r>
      <w:r w:rsidRPr="007C28CC">
        <w:fldChar w:fldCharType="end"/>
      </w:r>
      <w:r w:rsidRPr="007C28CC">
        <w:t>.</w:t>
      </w:r>
    </w:p>
    <w:p w14:paraId="51FEE5E6" w14:textId="77777777" w:rsidR="00BA0236" w:rsidRPr="007C28CC" w:rsidRDefault="00BA0236" w:rsidP="004D6635">
      <w:pPr>
        <w:pStyle w:val="ReportText"/>
        <w:numPr>
          <w:ilvl w:val="2"/>
          <w:numId w:val="21"/>
        </w:numPr>
        <w:spacing w:before="120" w:after="120"/>
        <w:ind w:left="1134" w:hanging="283"/>
      </w:pPr>
      <w:r w:rsidRPr="007C28CC">
        <w:t>Typ ochrony: wał przeciwpowodziowy;</w:t>
      </w:r>
    </w:p>
    <w:p w14:paraId="3AC68D69" w14:textId="77777777" w:rsidR="00BA0236" w:rsidRPr="007C28CC" w:rsidRDefault="00BA0236" w:rsidP="004D6635">
      <w:pPr>
        <w:pStyle w:val="ReportText"/>
        <w:numPr>
          <w:ilvl w:val="2"/>
          <w:numId w:val="21"/>
        </w:numPr>
        <w:spacing w:before="120" w:after="120"/>
        <w:ind w:left="1134" w:hanging="283"/>
      </w:pPr>
      <w:r w:rsidRPr="007C28CC">
        <w:t>Długość: 1,30 km;</w:t>
      </w:r>
    </w:p>
    <w:p w14:paraId="6E2BBB5A" w14:textId="77777777" w:rsidR="00BA0236" w:rsidRPr="007C28CC" w:rsidRDefault="00BA0236" w:rsidP="004D6635">
      <w:pPr>
        <w:pStyle w:val="ReportText"/>
        <w:numPr>
          <w:ilvl w:val="2"/>
          <w:numId w:val="21"/>
        </w:numPr>
        <w:spacing w:before="120" w:after="120"/>
        <w:ind w:left="1134" w:hanging="283"/>
      </w:pPr>
      <w:r w:rsidRPr="007C28CC">
        <w:t>Średnia wysokość: 1,60 m;</w:t>
      </w:r>
    </w:p>
    <w:p w14:paraId="1EBF4D1B" w14:textId="77777777" w:rsidR="00BA0236" w:rsidRPr="007C28CC" w:rsidRDefault="00BA0236" w:rsidP="004D6635">
      <w:pPr>
        <w:pStyle w:val="ReportText"/>
        <w:numPr>
          <w:ilvl w:val="2"/>
          <w:numId w:val="21"/>
        </w:numPr>
        <w:spacing w:before="120" w:after="120"/>
        <w:ind w:left="1134" w:hanging="283"/>
      </w:pPr>
      <w:r w:rsidRPr="007C28CC">
        <w:t>Typ ochrony: mobilne przegrody przeciwpowodziowe (belki zaporowe - szandory);</w:t>
      </w:r>
    </w:p>
    <w:p w14:paraId="2BFDBD62" w14:textId="77777777" w:rsidR="00BA0236" w:rsidRPr="007C28CC" w:rsidRDefault="00BA0236" w:rsidP="004D6635">
      <w:pPr>
        <w:pStyle w:val="ReportText"/>
        <w:numPr>
          <w:ilvl w:val="2"/>
          <w:numId w:val="21"/>
        </w:numPr>
        <w:spacing w:before="120" w:after="120"/>
        <w:ind w:left="1134" w:hanging="283"/>
      </w:pPr>
      <w:r w:rsidRPr="007C28CC">
        <w:t xml:space="preserve"> Długość: 0,10 km;</w:t>
      </w:r>
    </w:p>
    <w:p w14:paraId="40571166" w14:textId="77777777" w:rsidR="00BA0236" w:rsidRPr="007C28CC" w:rsidRDefault="00BA0236" w:rsidP="004D6635">
      <w:pPr>
        <w:pStyle w:val="ReportText"/>
        <w:numPr>
          <w:ilvl w:val="2"/>
          <w:numId w:val="21"/>
        </w:numPr>
        <w:spacing w:before="120" w:after="120"/>
        <w:ind w:left="1134" w:hanging="283"/>
      </w:pPr>
      <w:r w:rsidRPr="007C28CC">
        <w:t>Wysokość: 1,00 m;</w:t>
      </w:r>
    </w:p>
    <w:p w14:paraId="674343C1" w14:textId="77777777" w:rsidR="00BA0236" w:rsidRPr="007C28CC" w:rsidRDefault="00BA0236" w:rsidP="004D6635">
      <w:pPr>
        <w:pStyle w:val="ReportText"/>
        <w:numPr>
          <w:ilvl w:val="2"/>
          <w:numId w:val="21"/>
        </w:numPr>
        <w:spacing w:before="120" w:after="120"/>
        <w:ind w:left="1134" w:hanging="283"/>
      </w:pPr>
      <w:r w:rsidRPr="007C28CC">
        <w:t>Rzędna wody miarodajnej (przy wezbraniu 1%): 1,66 m n.p.m.;</w:t>
      </w:r>
    </w:p>
    <w:p w14:paraId="1A8B2AD1" w14:textId="77777777" w:rsidR="00BA0236" w:rsidRPr="007C28CC" w:rsidRDefault="00BA0236" w:rsidP="004D6635">
      <w:pPr>
        <w:pStyle w:val="ReportText"/>
        <w:numPr>
          <w:ilvl w:val="2"/>
          <w:numId w:val="21"/>
        </w:numPr>
        <w:spacing w:before="120" w:after="120"/>
        <w:ind w:left="1134" w:hanging="283"/>
      </w:pPr>
      <w:r w:rsidRPr="007C28CC">
        <w:t>Rzędna wody kontrolnej (przy wezbraniu 0,2%): 1,96 m n.p.m.;</w:t>
      </w:r>
    </w:p>
    <w:p w14:paraId="67F65663" w14:textId="77777777" w:rsidR="00BA0236" w:rsidRPr="007C28CC" w:rsidRDefault="00BA0236" w:rsidP="004D6635">
      <w:pPr>
        <w:pStyle w:val="ReportText"/>
        <w:numPr>
          <w:ilvl w:val="2"/>
          <w:numId w:val="21"/>
        </w:numPr>
        <w:spacing w:before="120" w:after="0"/>
        <w:ind w:left="1134" w:hanging="283"/>
      </w:pPr>
      <w:r w:rsidRPr="007C28CC">
        <w:t>Wymagana minimalna rzędna górnej krawędzi: 2,26 m n.p.m. (0,30 m nad poziom lustra wody 0,2%).</w:t>
      </w:r>
    </w:p>
    <w:p w14:paraId="705CF239" w14:textId="121FD43E" w:rsidR="00BA0236" w:rsidRPr="007C28CC" w:rsidRDefault="00E8074C" w:rsidP="007C28CC">
      <w:pPr>
        <w:pStyle w:val="ReportText"/>
        <w:spacing w:before="0" w:after="0"/>
        <w:jc w:val="center"/>
      </w:pPr>
      <w:r>
        <w:rPr>
          <w:noProof/>
          <w:lang w:eastAsia="pl-PL"/>
        </w:rPr>
        <w:drawing>
          <wp:inline distT="0" distB="0" distL="0" distR="0" wp14:anchorId="1360CBD0" wp14:editId="5167B1E1">
            <wp:extent cx="4314825" cy="4314825"/>
            <wp:effectExtent l="0" t="0" r="0" b="0"/>
            <wp:docPr id="23" name="Obraz 54" descr="Obraz zawierający mapa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4" descr="Obraz zawierający mapaOpis wygenerowany automatyczni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314825" cy="4314825"/>
                    </a:xfrm>
                    <a:prstGeom prst="rect">
                      <a:avLst/>
                    </a:prstGeom>
                    <a:noFill/>
                    <a:ln>
                      <a:noFill/>
                    </a:ln>
                  </pic:spPr>
                </pic:pic>
              </a:graphicData>
            </a:graphic>
          </wp:inline>
        </w:drawing>
      </w:r>
    </w:p>
    <w:p w14:paraId="38C561E1" w14:textId="48B63D10" w:rsidR="00BA0236" w:rsidRPr="007C28CC" w:rsidRDefault="00BA0236" w:rsidP="004D6635">
      <w:pPr>
        <w:pStyle w:val="ReportText"/>
        <w:spacing w:before="0"/>
        <w:ind w:left="1418" w:hanging="1418"/>
      </w:pPr>
      <w:bookmarkStart w:id="88" w:name="_Ref79485982"/>
      <w:bookmarkStart w:id="89" w:name="_Toc80604795"/>
      <w:r w:rsidRPr="007C28CC">
        <w:t xml:space="preserve">Rysunek </w:t>
      </w:r>
      <w:r w:rsidR="00677743">
        <w:rPr>
          <w:noProof/>
        </w:rPr>
        <w:fldChar w:fldCharType="begin"/>
      </w:r>
      <w:r w:rsidR="00677743">
        <w:rPr>
          <w:noProof/>
        </w:rPr>
        <w:instrText xml:space="preserve"> SEQ Rysunek \* ARABIC </w:instrText>
      </w:r>
      <w:r w:rsidR="00677743">
        <w:rPr>
          <w:noProof/>
        </w:rPr>
        <w:fldChar w:fldCharType="separate"/>
      </w:r>
      <w:r w:rsidR="00FD3F9A">
        <w:rPr>
          <w:noProof/>
        </w:rPr>
        <w:t>22</w:t>
      </w:r>
      <w:r w:rsidR="00677743">
        <w:rPr>
          <w:noProof/>
        </w:rPr>
        <w:fldChar w:fldCharType="end"/>
      </w:r>
      <w:bookmarkEnd w:id="88"/>
      <w:r w:rsidRPr="007C28CC">
        <w:tab/>
        <w:t>Lokalizacja działań zaproponowanych w wariancie „2” dla obszaru problemowego IOP_5 Krynica Morska – Zalew Wiślany, m. Frombork</w:t>
      </w:r>
      <w:bookmarkEnd w:id="89"/>
    </w:p>
    <w:p w14:paraId="0D2A2C76" w14:textId="77777777" w:rsidR="00BA0236" w:rsidRPr="007C28CC" w:rsidRDefault="00BA0236" w:rsidP="00E8074C">
      <w:pPr>
        <w:pStyle w:val="ReportLevel2"/>
        <w:numPr>
          <w:ilvl w:val="1"/>
          <w:numId w:val="9"/>
        </w:numPr>
      </w:pPr>
      <w:bookmarkStart w:id="90" w:name="_Toc79511678"/>
      <w:bookmarkStart w:id="91" w:name="_Toc80604858"/>
      <w:r w:rsidRPr="007C28CC">
        <w:lastRenderedPageBreak/>
        <w:t>IOP_7 Ustka - ujście Słupi</w:t>
      </w:r>
      <w:bookmarkEnd w:id="90"/>
      <w:bookmarkEnd w:id="91"/>
    </w:p>
    <w:p w14:paraId="25F8628A" w14:textId="77777777" w:rsidR="00BA0236" w:rsidRPr="007C28CC" w:rsidRDefault="00BA0236" w:rsidP="007C28CC">
      <w:pPr>
        <w:pStyle w:val="ReportText"/>
        <w:spacing w:before="120" w:after="120"/>
      </w:pPr>
      <w:r w:rsidRPr="007C28CC">
        <w:t xml:space="preserve">Dla obszaru problemowego IOP_7 Ustka – ujście Słupi zdefiniowano zagrożenie powodziowe w m. Ustka w ujściowym odcinku rz. Słupia na obu brzegach rzeki. Dla przedmiotowego rejonu zaproponowano trzy warianty obniżenia istniejącego ryzyka powodziowego: </w:t>
      </w:r>
    </w:p>
    <w:p w14:paraId="44E92066" w14:textId="77777777" w:rsidR="00BA0236" w:rsidRPr="007C28CC" w:rsidRDefault="00BA0236" w:rsidP="004D6635">
      <w:pPr>
        <w:pStyle w:val="ReportText"/>
        <w:numPr>
          <w:ilvl w:val="0"/>
          <w:numId w:val="20"/>
        </w:numPr>
        <w:spacing w:before="60" w:after="60"/>
        <w:ind w:left="567" w:hanging="425"/>
      </w:pPr>
      <w:r w:rsidRPr="007C28CC">
        <w:t xml:space="preserve">Wariant „0” </w:t>
      </w:r>
      <w:r w:rsidRPr="00475541">
        <w:t>obejm</w:t>
      </w:r>
      <w:r>
        <w:t>ował</w:t>
      </w:r>
      <w:r w:rsidRPr="00475541">
        <w:t xml:space="preserve"> istniejący stan zabudowy hydrotechnicznej</w:t>
      </w:r>
      <w:r>
        <w:t xml:space="preserve"> </w:t>
      </w:r>
      <w:r w:rsidRPr="00475541">
        <w:t>(zgodnie z wynikami przeglądu i aktualizacji map zagrożenia powodziowego i map ryzyka</w:t>
      </w:r>
      <w:r>
        <w:t xml:space="preserve"> </w:t>
      </w:r>
      <w:r w:rsidRPr="00475541">
        <w:t>powodziowego</w:t>
      </w:r>
      <w:r>
        <w:t xml:space="preserve"> </w:t>
      </w:r>
      <w:r w:rsidRPr="00475541">
        <w:t>od strony morza w tym morskich wód wewnętrznych</w:t>
      </w:r>
      <w:r>
        <w:t xml:space="preserve"> </w:t>
      </w:r>
      <w:r w:rsidRPr="00475541">
        <w:t>na koniec roku 2019</w:t>
      </w:r>
      <w:r>
        <w:t xml:space="preserve"> z</w:t>
      </w:r>
      <w:r w:rsidRPr="00791A72">
        <w:t>aktualiz</w:t>
      </w:r>
      <w:r>
        <w:t xml:space="preserve">owany </w:t>
      </w:r>
      <w:r w:rsidRPr="00791A72">
        <w:t xml:space="preserve">o działania będące w realizacji lub planowane do rozpoczęcia </w:t>
      </w:r>
      <w:r>
        <w:t>do</w:t>
      </w:r>
      <w:r w:rsidRPr="00791A72">
        <w:t xml:space="preserve"> 2022 r., lub zakończone po 2019 r</w:t>
      </w:r>
      <w:r>
        <w:t>.</w:t>
      </w:r>
      <w:r w:rsidRPr="00475541">
        <w:t>)</w:t>
      </w:r>
      <w:r>
        <w:t xml:space="preserve"> </w:t>
      </w:r>
      <w:r w:rsidRPr="007C28CC">
        <w:t xml:space="preserve">czyli istniejące nabrzeża ujściowego odcinka rz. Słupia. </w:t>
      </w:r>
    </w:p>
    <w:p w14:paraId="3E8CC1D8" w14:textId="160751FC" w:rsidR="00BA0236" w:rsidRPr="007C28CC" w:rsidRDefault="00BA0236" w:rsidP="004D6635">
      <w:pPr>
        <w:pStyle w:val="NormalnyWeb"/>
        <w:numPr>
          <w:ilvl w:val="0"/>
          <w:numId w:val="20"/>
        </w:numPr>
        <w:spacing w:before="60" w:beforeAutospacing="0" w:after="60"/>
        <w:ind w:left="567" w:hanging="425"/>
        <w:jc w:val="both"/>
      </w:pPr>
      <w:r w:rsidRPr="007C28CC">
        <w:t xml:space="preserve">Wariant „1” obejmował </w:t>
      </w:r>
      <w:r w:rsidRPr="007C28CC">
        <w:rPr>
          <w:rFonts w:eastAsia="Times New Roman"/>
          <w:lang w:eastAsia="pl-PL"/>
        </w:rPr>
        <w:t xml:space="preserve">budowę </w:t>
      </w:r>
      <w:r w:rsidRPr="007C28CC">
        <w:rPr>
          <w:color w:val="000000"/>
          <w:kern w:val="24"/>
        </w:rPr>
        <w:t>muru oporowego na lewym brzegu rzeki Słupia (o długości 854 m) (km 1+170 - 1+640)</w:t>
      </w:r>
      <w:r w:rsidRPr="007C28CC">
        <w:t xml:space="preserve"> (Zadanie W_AR_95) oraz </w:t>
      </w:r>
      <w:r w:rsidRPr="007C28CC">
        <w:rPr>
          <w:rFonts w:eastAsia="Times New Roman"/>
          <w:lang w:eastAsia="pl-PL"/>
        </w:rPr>
        <w:t>budowę muru oporowego (ok. 80m) na prawym brzegu rzeki Słupia (km 1+400 - 1+460) (Zadanie W_AR_02), w m. Ustka, pow. słupski</w:t>
      </w:r>
      <w:r w:rsidRPr="007C28CC">
        <w:t xml:space="preserve">. Lokalizację działania zaproponowanego w wariancie „1” przedstawiają </w:t>
      </w:r>
      <w:r w:rsidRPr="007C28CC">
        <w:fldChar w:fldCharType="begin"/>
      </w:r>
      <w:r w:rsidRPr="007C28CC">
        <w:instrText xml:space="preserve"> REF _Ref76568518 \h </w:instrText>
      </w:r>
      <w:r w:rsidRPr="007C28CC">
        <w:fldChar w:fldCharType="separate"/>
      </w:r>
      <w:r w:rsidR="00FD3F9A" w:rsidRPr="007C28CC">
        <w:t xml:space="preserve">Rysunek </w:t>
      </w:r>
      <w:r w:rsidR="00FD3F9A">
        <w:rPr>
          <w:noProof/>
        </w:rPr>
        <w:t>23</w:t>
      </w:r>
      <w:r w:rsidRPr="007C28CC">
        <w:fldChar w:fldCharType="end"/>
      </w:r>
      <w:r w:rsidRPr="007C28CC">
        <w:t xml:space="preserve"> i </w:t>
      </w:r>
      <w:r w:rsidRPr="007C28CC">
        <w:fldChar w:fldCharType="begin"/>
      </w:r>
      <w:r w:rsidRPr="007C28CC">
        <w:instrText xml:space="preserve"> REF _Ref79486128 \h </w:instrText>
      </w:r>
      <w:r w:rsidRPr="007C28CC">
        <w:fldChar w:fldCharType="separate"/>
      </w:r>
      <w:r w:rsidR="00FD3F9A" w:rsidRPr="007C28CC">
        <w:t xml:space="preserve">Rysunek </w:t>
      </w:r>
      <w:r w:rsidR="00FD3F9A">
        <w:rPr>
          <w:noProof/>
        </w:rPr>
        <w:t>24</w:t>
      </w:r>
      <w:r w:rsidRPr="007C28CC">
        <w:fldChar w:fldCharType="end"/>
      </w:r>
      <w:r w:rsidRPr="007C28CC">
        <w:t>.</w:t>
      </w:r>
    </w:p>
    <w:p w14:paraId="38F55EAD" w14:textId="77777777" w:rsidR="00BA0236" w:rsidRPr="007C28CC" w:rsidRDefault="00BA0236" w:rsidP="004D6635">
      <w:pPr>
        <w:pStyle w:val="ReportText"/>
        <w:numPr>
          <w:ilvl w:val="2"/>
          <w:numId w:val="21"/>
        </w:numPr>
        <w:spacing w:before="60" w:after="60"/>
        <w:ind w:left="1134" w:hanging="283"/>
      </w:pPr>
      <w:r w:rsidRPr="007C28CC">
        <w:t>Typ ochrony: mur oporowy – brzeg lewy;</w:t>
      </w:r>
    </w:p>
    <w:p w14:paraId="383DD935" w14:textId="77777777" w:rsidR="00BA0236" w:rsidRPr="007C28CC" w:rsidRDefault="00BA0236" w:rsidP="004D6635">
      <w:pPr>
        <w:pStyle w:val="ReportText"/>
        <w:numPr>
          <w:ilvl w:val="2"/>
          <w:numId w:val="21"/>
        </w:numPr>
        <w:spacing w:before="60" w:after="60"/>
        <w:ind w:left="1134" w:hanging="283"/>
      </w:pPr>
      <w:r w:rsidRPr="007C28CC">
        <w:t xml:space="preserve"> Długość: 0,85 km;</w:t>
      </w:r>
    </w:p>
    <w:p w14:paraId="37C28F3C" w14:textId="77777777" w:rsidR="00BA0236" w:rsidRPr="007C28CC" w:rsidRDefault="00BA0236" w:rsidP="004D6635">
      <w:pPr>
        <w:pStyle w:val="ReportText"/>
        <w:numPr>
          <w:ilvl w:val="2"/>
          <w:numId w:val="21"/>
        </w:numPr>
        <w:spacing w:before="60" w:after="60"/>
        <w:ind w:left="1134" w:hanging="283"/>
      </w:pPr>
      <w:r w:rsidRPr="007C28CC">
        <w:t xml:space="preserve"> Średnia wysokość: 1,60 m;</w:t>
      </w:r>
    </w:p>
    <w:p w14:paraId="3DFDC77D" w14:textId="77777777" w:rsidR="00BA0236" w:rsidRPr="007C28CC" w:rsidRDefault="00BA0236" w:rsidP="004D6635">
      <w:pPr>
        <w:pStyle w:val="ReportText"/>
        <w:numPr>
          <w:ilvl w:val="2"/>
          <w:numId w:val="21"/>
        </w:numPr>
        <w:spacing w:before="60" w:after="60"/>
        <w:ind w:left="1134" w:hanging="283"/>
      </w:pPr>
      <w:r w:rsidRPr="007C28CC">
        <w:t>Typ ochrony: mur oporowy – brzeg prawy;</w:t>
      </w:r>
    </w:p>
    <w:p w14:paraId="4BDAE651" w14:textId="77777777" w:rsidR="00BA0236" w:rsidRPr="007C28CC" w:rsidRDefault="00BA0236" w:rsidP="004D6635">
      <w:pPr>
        <w:pStyle w:val="ReportText"/>
        <w:numPr>
          <w:ilvl w:val="2"/>
          <w:numId w:val="21"/>
        </w:numPr>
        <w:spacing w:before="60" w:after="60"/>
        <w:ind w:left="1134" w:hanging="283"/>
      </w:pPr>
      <w:r w:rsidRPr="007C28CC">
        <w:t xml:space="preserve"> Długość: 0,08 km;</w:t>
      </w:r>
    </w:p>
    <w:p w14:paraId="27C29E73" w14:textId="77777777" w:rsidR="00BA0236" w:rsidRPr="007C28CC" w:rsidRDefault="00BA0236" w:rsidP="004D6635">
      <w:pPr>
        <w:pStyle w:val="ReportText"/>
        <w:numPr>
          <w:ilvl w:val="2"/>
          <w:numId w:val="21"/>
        </w:numPr>
        <w:spacing w:before="60" w:after="60"/>
        <w:ind w:left="1134" w:hanging="283"/>
      </w:pPr>
      <w:r w:rsidRPr="007C28CC">
        <w:t xml:space="preserve"> Średnia wysokość: 1,10 m;</w:t>
      </w:r>
    </w:p>
    <w:p w14:paraId="70456044" w14:textId="77777777" w:rsidR="00BA0236" w:rsidRPr="007C28CC" w:rsidRDefault="00BA0236" w:rsidP="004D6635">
      <w:pPr>
        <w:pStyle w:val="ReportText"/>
        <w:numPr>
          <w:ilvl w:val="2"/>
          <w:numId w:val="21"/>
        </w:numPr>
        <w:spacing w:before="60" w:after="60"/>
        <w:ind w:left="1134" w:hanging="283"/>
      </w:pPr>
      <w:r w:rsidRPr="007C28CC">
        <w:t>Rzędna wody miarodajnej (przy wezbraniu 1%): 2,03 m n.p.m.;</w:t>
      </w:r>
    </w:p>
    <w:p w14:paraId="308AFD47" w14:textId="77777777" w:rsidR="00BA0236" w:rsidRPr="007C28CC" w:rsidRDefault="00BA0236" w:rsidP="004D6635">
      <w:pPr>
        <w:pStyle w:val="ReportText"/>
        <w:numPr>
          <w:ilvl w:val="2"/>
          <w:numId w:val="21"/>
        </w:numPr>
        <w:spacing w:before="60" w:after="60"/>
        <w:ind w:left="1134" w:hanging="283"/>
      </w:pPr>
      <w:r w:rsidRPr="007C28CC">
        <w:t>Rzędna wody kontrolnej (przy wezbraniu 0,2%): 2,27 m n.p.m.;</w:t>
      </w:r>
    </w:p>
    <w:p w14:paraId="5F2347E9" w14:textId="77777777" w:rsidR="00BA0236" w:rsidRPr="007C28CC" w:rsidRDefault="00BA0236" w:rsidP="004D6635">
      <w:pPr>
        <w:pStyle w:val="ReportText"/>
        <w:numPr>
          <w:ilvl w:val="2"/>
          <w:numId w:val="21"/>
        </w:numPr>
        <w:spacing w:before="60" w:after="60"/>
        <w:ind w:left="1134" w:hanging="283"/>
      </w:pPr>
      <w:r w:rsidRPr="007C28CC">
        <w:t>Wymagana minimalna rzędna górnej krawędzi: 2,57 m n.p.m. (0,30 m nad poziom lustra wody 0,2%).</w:t>
      </w:r>
    </w:p>
    <w:p w14:paraId="678A9B8B" w14:textId="6B81E86D" w:rsidR="00BA0236" w:rsidRPr="007C28CC" w:rsidRDefault="00E8074C" w:rsidP="007C28CC">
      <w:pPr>
        <w:pStyle w:val="ReportText"/>
        <w:spacing w:before="0" w:after="0"/>
        <w:jc w:val="center"/>
      </w:pPr>
      <w:r>
        <w:rPr>
          <w:noProof/>
          <w:lang w:eastAsia="pl-PL"/>
        </w:rPr>
        <w:lastRenderedPageBreak/>
        <w:drawing>
          <wp:inline distT="0" distB="0" distL="0" distR="0" wp14:anchorId="0377B57F" wp14:editId="18F4342A">
            <wp:extent cx="3952875" cy="3857625"/>
            <wp:effectExtent l="0" t="0" r="0" b="0"/>
            <wp:docPr id="24" name="Obraz 56" descr="Obraz zawierający mapa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6" descr="Obraz zawierający mapaOpis wygenerowany automatycznie"/>
                    <pic:cNvPicPr>
                      <a:picLocks noChangeAspect="1" noChangeArrowheads="1"/>
                    </pic:cNvPicPr>
                  </pic:nvPicPr>
                  <pic:blipFill>
                    <a:blip r:embed="rId33">
                      <a:extLst>
                        <a:ext uri="{28A0092B-C50C-407E-A947-70E740481C1C}">
                          <a14:useLocalDpi xmlns:a14="http://schemas.microsoft.com/office/drawing/2010/main" val="0"/>
                        </a:ext>
                      </a:extLst>
                    </a:blip>
                    <a:srcRect t="1680"/>
                    <a:stretch>
                      <a:fillRect/>
                    </a:stretch>
                  </pic:blipFill>
                  <pic:spPr bwMode="auto">
                    <a:xfrm>
                      <a:off x="0" y="0"/>
                      <a:ext cx="3952875" cy="3857625"/>
                    </a:xfrm>
                    <a:prstGeom prst="rect">
                      <a:avLst/>
                    </a:prstGeom>
                    <a:noFill/>
                    <a:ln>
                      <a:noFill/>
                    </a:ln>
                  </pic:spPr>
                </pic:pic>
              </a:graphicData>
            </a:graphic>
          </wp:inline>
        </w:drawing>
      </w:r>
    </w:p>
    <w:p w14:paraId="4B7E24E6" w14:textId="7194298F" w:rsidR="00BA0236" w:rsidRPr="007C28CC" w:rsidRDefault="00BA0236" w:rsidP="004D6635">
      <w:pPr>
        <w:pStyle w:val="ReportText"/>
        <w:spacing w:before="0"/>
        <w:ind w:left="1418" w:hanging="1418"/>
      </w:pPr>
      <w:bookmarkStart w:id="92" w:name="_Ref76568518"/>
      <w:bookmarkStart w:id="93" w:name="_Toc76734820"/>
      <w:bookmarkStart w:id="94" w:name="_Toc80604796"/>
      <w:r w:rsidRPr="007C28CC">
        <w:t xml:space="preserve">Rysunek </w:t>
      </w:r>
      <w:r w:rsidR="00677743">
        <w:rPr>
          <w:noProof/>
        </w:rPr>
        <w:fldChar w:fldCharType="begin"/>
      </w:r>
      <w:r w:rsidR="00677743">
        <w:rPr>
          <w:noProof/>
        </w:rPr>
        <w:instrText xml:space="preserve"> SEQ Rysunek \* ARABIC </w:instrText>
      </w:r>
      <w:r w:rsidR="00677743">
        <w:rPr>
          <w:noProof/>
        </w:rPr>
        <w:fldChar w:fldCharType="separate"/>
      </w:r>
      <w:r w:rsidR="00FD3F9A">
        <w:rPr>
          <w:noProof/>
        </w:rPr>
        <w:t>23</w:t>
      </w:r>
      <w:r w:rsidR="00677743">
        <w:rPr>
          <w:noProof/>
        </w:rPr>
        <w:fldChar w:fldCharType="end"/>
      </w:r>
      <w:bookmarkEnd w:id="92"/>
      <w:r w:rsidRPr="007C28CC">
        <w:tab/>
        <w:t xml:space="preserve">Lokalizacja działań zaproponowanych w wariancie „1” dla obszaru problemowego </w:t>
      </w:r>
      <w:bookmarkEnd w:id="93"/>
      <w:r w:rsidRPr="007C28CC">
        <w:t>IOP_7 Ustka – ujście Słupi</w:t>
      </w:r>
      <w:bookmarkEnd w:id="94"/>
    </w:p>
    <w:p w14:paraId="415A59A1" w14:textId="092CCFEF" w:rsidR="00BA0236" w:rsidRPr="007C28CC" w:rsidRDefault="00E8074C" w:rsidP="007C28CC">
      <w:pPr>
        <w:pStyle w:val="ReportText"/>
        <w:spacing w:after="0"/>
        <w:jc w:val="center"/>
      </w:pPr>
      <w:r>
        <w:rPr>
          <w:noProof/>
          <w:lang w:eastAsia="pl-PL"/>
        </w:rPr>
        <w:drawing>
          <wp:inline distT="0" distB="0" distL="0" distR="0" wp14:anchorId="227A6ED4" wp14:editId="28B6D597">
            <wp:extent cx="3933825" cy="3933825"/>
            <wp:effectExtent l="0" t="0" r="0" b="0"/>
            <wp:docPr id="25" name="Obraz 55" descr="Obraz zawierający mapa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5" descr="Obraz zawierający mapaOpis wygenerowany automatyczni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33825" cy="3933825"/>
                    </a:xfrm>
                    <a:prstGeom prst="rect">
                      <a:avLst/>
                    </a:prstGeom>
                    <a:noFill/>
                    <a:ln>
                      <a:noFill/>
                    </a:ln>
                  </pic:spPr>
                </pic:pic>
              </a:graphicData>
            </a:graphic>
          </wp:inline>
        </w:drawing>
      </w:r>
    </w:p>
    <w:p w14:paraId="422D59AB" w14:textId="194D8677" w:rsidR="00BA0236" w:rsidRPr="007C28CC" w:rsidRDefault="00BA0236" w:rsidP="004D6635">
      <w:pPr>
        <w:pStyle w:val="ReportText"/>
        <w:spacing w:before="0"/>
        <w:ind w:left="1418" w:hanging="1418"/>
      </w:pPr>
      <w:bookmarkStart w:id="95" w:name="_Ref79486128"/>
      <w:bookmarkStart w:id="96" w:name="_Toc80604797"/>
      <w:r w:rsidRPr="007C28CC">
        <w:t xml:space="preserve">Rysunek </w:t>
      </w:r>
      <w:r w:rsidR="00677743">
        <w:rPr>
          <w:noProof/>
        </w:rPr>
        <w:fldChar w:fldCharType="begin"/>
      </w:r>
      <w:r w:rsidR="00677743">
        <w:rPr>
          <w:noProof/>
        </w:rPr>
        <w:instrText xml:space="preserve"> SEQ Rysunek \* ARABIC </w:instrText>
      </w:r>
      <w:r w:rsidR="00677743">
        <w:rPr>
          <w:noProof/>
        </w:rPr>
        <w:fldChar w:fldCharType="separate"/>
      </w:r>
      <w:r w:rsidR="00FD3F9A">
        <w:rPr>
          <w:noProof/>
        </w:rPr>
        <w:t>24</w:t>
      </w:r>
      <w:r w:rsidR="00677743">
        <w:rPr>
          <w:noProof/>
        </w:rPr>
        <w:fldChar w:fldCharType="end"/>
      </w:r>
      <w:bookmarkEnd w:id="95"/>
      <w:r w:rsidRPr="007C28CC">
        <w:tab/>
        <w:t>Lokalizacja działań zaproponowanych w wariancie „1” dla obszaru problemowego IOP_7 Ustka – ujście Słupi</w:t>
      </w:r>
      <w:bookmarkEnd w:id="96"/>
    </w:p>
    <w:p w14:paraId="60D5C957" w14:textId="2AABEF04" w:rsidR="00BA0236" w:rsidRPr="007C28CC" w:rsidRDefault="00BA0236" w:rsidP="004D6635">
      <w:pPr>
        <w:pStyle w:val="ReportText"/>
        <w:numPr>
          <w:ilvl w:val="0"/>
          <w:numId w:val="20"/>
        </w:numPr>
        <w:spacing w:before="120" w:after="120"/>
        <w:ind w:left="567" w:hanging="425"/>
      </w:pPr>
      <w:r w:rsidRPr="007C28CC">
        <w:lastRenderedPageBreak/>
        <w:t xml:space="preserve">Wariant „2” obejmował </w:t>
      </w:r>
      <w:r w:rsidRPr="007C28CC">
        <w:rPr>
          <w:rFonts w:eastAsia="Times New Roman"/>
          <w:szCs w:val="24"/>
          <w:lang w:eastAsia="pl-PL"/>
        </w:rPr>
        <w:t xml:space="preserve">budowę </w:t>
      </w:r>
      <w:r w:rsidRPr="007C28CC">
        <w:rPr>
          <w:color w:val="000000"/>
          <w:kern w:val="24"/>
          <w:szCs w:val="24"/>
        </w:rPr>
        <w:t>wału przeciwpowodziowego na lewym brzegu rzeki Słupia (km 1+170 - 1+640)</w:t>
      </w:r>
      <w:r w:rsidRPr="007C28CC">
        <w:t xml:space="preserve"> (Zadanie W_AR_01) oraz </w:t>
      </w:r>
      <w:r w:rsidRPr="007C28CC">
        <w:rPr>
          <w:rFonts w:eastAsia="Times New Roman"/>
          <w:szCs w:val="24"/>
          <w:lang w:eastAsia="pl-PL"/>
        </w:rPr>
        <w:t>budowę muru oporowego (ok. 80m) na prawym brzegu rzeki Słupia (km 1+400 - 1+460)</w:t>
      </w:r>
      <w:r w:rsidRPr="007C28CC">
        <w:rPr>
          <w:rFonts w:eastAsia="Times New Roman"/>
          <w:lang w:eastAsia="pl-PL"/>
        </w:rPr>
        <w:t xml:space="preserve"> (Zadanie W_AR_02)</w:t>
      </w:r>
      <w:r w:rsidRPr="007C28CC">
        <w:rPr>
          <w:rFonts w:eastAsia="Times New Roman"/>
          <w:szCs w:val="24"/>
          <w:lang w:eastAsia="pl-PL"/>
        </w:rPr>
        <w:t xml:space="preserve">, </w:t>
      </w:r>
      <w:r w:rsidRPr="007C28CC">
        <w:rPr>
          <w:rFonts w:eastAsia="Times New Roman"/>
          <w:lang w:eastAsia="pl-PL"/>
        </w:rPr>
        <w:t>w </w:t>
      </w:r>
      <w:r w:rsidRPr="007C28CC">
        <w:rPr>
          <w:rFonts w:eastAsia="Times New Roman"/>
          <w:szCs w:val="24"/>
          <w:lang w:eastAsia="pl-PL"/>
        </w:rPr>
        <w:t>m.</w:t>
      </w:r>
      <w:r w:rsidRPr="007C28CC">
        <w:rPr>
          <w:rFonts w:eastAsia="Times New Roman"/>
          <w:lang w:eastAsia="pl-PL"/>
        </w:rPr>
        <w:t> </w:t>
      </w:r>
      <w:r w:rsidRPr="007C28CC">
        <w:rPr>
          <w:rFonts w:eastAsia="Times New Roman"/>
          <w:szCs w:val="24"/>
          <w:lang w:eastAsia="pl-PL"/>
        </w:rPr>
        <w:t>Ustka, pow. Słupski.</w:t>
      </w:r>
      <w:r w:rsidRPr="007C28CC">
        <w:t xml:space="preserve"> Lokalizację działania zaproponowanego w wariancie „2” przedstawiają </w:t>
      </w:r>
      <w:r w:rsidRPr="007C28CC">
        <w:fldChar w:fldCharType="begin"/>
      </w:r>
      <w:r w:rsidRPr="007C28CC">
        <w:instrText xml:space="preserve"> REF _Ref76568751 \h </w:instrText>
      </w:r>
      <w:r w:rsidRPr="007C28CC">
        <w:fldChar w:fldCharType="separate"/>
      </w:r>
      <w:r w:rsidR="00FD3F9A" w:rsidRPr="007C28CC">
        <w:t xml:space="preserve">Rysunek </w:t>
      </w:r>
      <w:r w:rsidR="00FD3F9A">
        <w:rPr>
          <w:noProof/>
        </w:rPr>
        <w:t>25</w:t>
      </w:r>
      <w:r w:rsidRPr="007C28CC">
        <w:fldChar w:fldCharType="end"/>
      </w:r>
      <w:r w:rsidRPr="007C28CC">
        <w:t xml:space="preserve"> i </w:t>
      </w:r>
      <w:r w:rsidRPr="007C28CC">
        <w:fldChar w:fldCharType="begin"/>
      </w:r>
      <w:r w:rsidRPr="007C28CC">
        <w:instrText xml:space="preserve"> REF _Ref79486551 \h </w:instrText>
      </w:r>
      <w:r w:rsidRPr="007C28CC">
        <w:fldChar w:fldCharType="separate"/>
      </w:r>
      <w:r w:rsidR="00FD3F9A" w:rsidRPr="007C28CC">
        <w:t xml:space="preserve">Rysunek </w:t>
      </w:r>
      <w:r w:rsidR="00FD3F9A">
        <w:rPr>
          <w:noProof/>
        </w:rPr>
        <w:t>26</w:t>
      </w:r>
      <w:r w:rsidRPr="007C28CC">
        <w:fldChar w:fldCharType="end"/>
      </w:r>
      <w:r w:rsidRPr="007C28CC">
        <w:t>.</w:t>
      </w:r>
    </w:p>
    <w:p w14:paraId="0499EEBE" w14:textId="77777777" w:rsidR="00BA0236" w:rsidRPr="007C28CC" w:rsidRDefault="00BA0236" w:rsidP="004D6635">
      <w:pPr>
        <w:pStyle w:val="ReportText"/>
        <w:numPr>
          <w:ilvl w:val="2"/>
          <w:numId w:val="21"/>
        </w:numPr>
        <w:spacing w:before="120" w:after="120"/>
        <w:ind w:left="1134" w:hanging="283"/>
      </w:pPr>
      <w:r w:rsidRPr="007C28CC">
        <w:t>Typ ochrony: wał przeciwpowodziowy – brzeg lewy;</w:t>
      </w:r>
    </w:p>
    <w:p w14:paraId="2068A43A" w14:textId="77777777" w:rsidR="00BA0236" w:rsidRPr="007C28CC" w:rsidRDefault="00BA0236" w:rsidP="004D6635">
      <w:pPr>
        <w:pStyle w:val="ReportText"/>
        <w:numPr>
          <w:ilvl w:val="2"/>
          <w:numId w:val="21"/>
        </w:numPr>
        <w:spacing w:before="120" w:after="120"/>
        <w:ind w:left="1134" w:hanging="283"/>
      </w:pPr>
      <w:r w:rsidRPr="007C28CC">
        <w:t xml:space="preserve"> Długość: 0,85 km;</w:t>
      </w:r>
    </w:p>
    <w:p w14:paraId="6970F732" w14:textId="77777777" w:rsidR="00BA0236" w:rsidRPr="007C28CC" w:rsidRDefault="00BA0236" w:rsidP="004D6635">
      <w:pPr>
        <w:pStyle w:val="ReportText"/>
        <w:numPr>
          <w:ilvl w:val="2"/>
          <w:numId w:val="21"/>
        </w:numPr>
        <w:spacing w:before="120" w:after="120"/>
        <w:ind w:left="1134" w:hanging="283"/>
      </w:pPr>
      <w:r w:rsidRPr="007C28CC">
        <w:t xml:space="preserve"> Średnia wysokość: 1,60 m;</w:t>
      </w:r>
    </w:p>
    <w:p w14:paraId="2DC826DC" w14:textId="77777777" w:rsidR="00BA0236" w:rsidRPr="007C28CC" w:rsidRDefault="00BA0236" w:rsidP="004D6635">
      <w:pPr>
        <w:pStyle w:val="ReportText"/>
        <w:numPr>
          <w:ilvl w:val="2"/>
          <w:numId w:val="21"/>
        </w:numPr>
        <w:spacing w:before="120" w:after="120"/>
        <w:ind w:left="1134" w:hanging="283"/>
      </w:pPr>
      <w:r w:rsidRPr="007C28CC">
        <w:t>Typ ochrony: mur oporowy – brzeg prawy;</w:t>
      </w:r>
    </w:p>
    <w:p w14:paraId="72879CC3" w14:textId="77777777" w:rsidR="00BA0236" w:rsidRPr="007C28CC" w:rsidRDefault="00BA0236" w:rsidP="004D6635">
      <w:pPr>
        <w:pStyle w:val="ReportText"/>
        <w:numPr>
          <w:ilvl w:val="2"/>
          <w:numId w:val="21"/>
        </w:numPr>
        <w:spacing w:before="120" w:after="120"/>
        <w:ind w:left="1134" w:hanging="283"/>
      </w:pPr>
      <w:r w:rsidRPr="007C28CC">
        <w:t xml:space="preserve"> Długość: 0,08 km;</w:t>
      </w:r>
    </w:p>
    <w:p w14:paraId="5795D2AF" w14:textId="77777777" w:rsidR="00BA0236" w:rsidRPr="007C28CC" w:rsidRDefault="00BA0236" w:rsidP="004D6635">
      <w:pPr>
        <w:pStyle w:val="ReportText"/>
        <w:numPr>
          <w:ilvl w:val="2"/>
          <w:numId w:val="21"/>
        </w:numPr>
        <w:spacing w:before="120" w:after="120"/>
        <w:ind w:left="1134" w:hanging="283"/>
      </w:pPr>
      <w:r w:rsidRPr="007C28CC">
        <w:t xml:space="preserve"> Średnia wysokość: 1,10 m;</w:t>
      </w:r>
    </w:p>
    <w:p w14:paraId="29C06881" w14:textId="77777777" w:rsidR="00BA0236" w:rsidRPr="007C28CC" w:rsidRDefault="00BA0236" w:rsidP="004D6635">
      <w:pPr>
        <w:pStyle w:val="ReportText"/>
        <w:numPr>
          <w:ilvl w:val="2"/>
          <w:numId w:val="21"/>
        </w:numPr>
        <w:spacing w:before="120" w:after="120"/>
        <w:ind w:left="1134" w:hanging="283"/>
      </w:pPr>
      <w:r w:rsidRPr="007C28CC">
        <w:t>Rzędna wody miarodajnej (przy wezbraniu 1%): 2,03 m n.p.m.;</w:t>
      </w:r>
    </w:p>
    <w:p w14:paraId="5575EA0A" w14:textId="77777777" w:rsidR="00BA0236" w:rsidRPr="007C28CC" w:rsidRDefault="00BA0236" w:rsidP="004D6635">
      <w:pPr>
        <w:pStyle w:val="ReportText"/>
        <w:numPr>
          <w:ilvl w:val="2"/>
          <w:numId w:val="21"/>
        </w:numPr>
        <w:spacing w:before="120" w:after="120"/>
        <w:ind w:left="1134" w:hanging="283"/>
      </w:pPr>
      <w:r w:rsidRPr="007C28CC">
        <w:t>Rzędna wody kontrolnej (przy wezbraniu 0,2%): 2,27 m n.p.m.;</w:t>
      </w:r>
    </w:p>
    <w:p w14:paraId="27A05EEC" w14:textId="77777777" w:rsidR="00BA0236" w:rsidRPr="007C28CC" w:rsidRDefault="00BA0236" w:rsidP="004D6635">
      <w:pPr>
        <w:pStyle w:val="ReportText"/>
        <w:numPr>
          <w:ilvl w:val="2"/>
          <w:numId w:val="21"/>
        </w:numPr>
        <w:spacing w:before="120" w:after="0"/>
        <w:ind w:left="1134" w:hanging="283"/>
      </w:pPr>
      <w:r w:rsidRPr="007C28CC">
        <w:t>Wymagana minimalna rzędna górnej krawędzi: 2,57 m n.p.m. (0,30 m nad poziom lustra wody 0,2%).</w:t>
      </w:r>
    </w:p>
    <w:p w14:paraId="4E663CAE" w14:textId="2267E250" w:rsidR="00BA0236" w:rsidRPr="007C28CC" w:rsidRDefault="00E8074C" w:rsidP="007C28CC">
      <w:pPr>
        <w:pStyle w:val="ReportText"/>
        <w:spacing w:before="0"/>
        <w:jc w:val="center"/>
      </w:pPr>
      <w:r>
        <w:rPr>
          <w:noProof/>
          <w:lang w:eastAsia="pl-PL"/>
        </w:rPr>
        <w:drawing>
          <wp:inline distT="0" distB="0" distL="0" distR="0" wp14:anchorId="4DFA7C81" wp14:editId="49A036EC">
            <wp:extent cx="3933825" cy="3933825"/>
            <wp:effectExtent l="0" t="0" r="0" b="0"/>
            <wp:docPr id="26" name="Obraz 57" descr="Obraz zawierający mapa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7" descr="Obraz zawierający mapaOpis wygenerowany automatyczni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33825" cy="3933825"/>
                    </a:xfrm>
                    <a:prstGeom prst="rect">
                      <a:avLst/>
                    </a:prstGeom>
                    <a:noFill/>
                    <a:ln>
                      <a:noFill/>
                    </a:ln>
                  </pic:spPr>
                </pic:pic>
              </a:graphicData>
            </a:graphic>
          </wp:inline>
        </w:drawing>
      </w:r>
    </w:p>
    <w:p w14:paraId="4332BAD9" w14:textId="4739689F" w:rsidR="00BA0236" w:rsidRPr="007C28CC" w:rsidRDefault="00BA0236" w:rsidP="004D6635">
      <w:pPr>
        <w:pStyle w:val="ReportText"/>
        <w:spacing w:before="0"/>
        <w:ind w:left="1418" w:hanging="1418"/>
      </w:pPr>
      <w:bookmarkStart w:id="97" w:name="_Ref76568751"/>
      <w:bookmarkStart w:id="98" w:name="_Toc76734821"/>
      <w:bookmarkStart w:id="99" w:name="_Toc80604798"/>
      <w:r w:rsidRPr="007C28CC">
        <w:t xml:space="preserve">Rysunek </w:t>
      </w:r>
      <w:r w:rsidR="00677743">
        <w:rPr>
          <w:noProof/>
        </w:rPr>
        <w:fldChar w:fldCharType="begin"/>
      </w:r>
      <w:r w:rsidR="00677743">
        <w:rPr>
          <w:noProof/>
        </w:rPr>
        <w:instrText xml:space="preserve"> SEQ Rysunek \* ARABIC </w:instrText>
      </w:r>
      <w:r w:rsidR="00677743">
        <w:rPr>
          <w:noProof/>
        </w:rPr>
        <w:fldChar w:fldCharType="separate"/>
      </w:r>
      <w:r w:rsidR="00FD3F9A">
        <w:rPr>
          <w:noProof/>
        </w:rPr>
        <w:t>25</w:t>
      </w:r>
      <w:r w:rsidR="00677743">
        <w:rPr>
          <w:noProof/>
        </w:rPr>
        <w:fldChar w:fldCharType="end"/>
      </w:r>
      <w:bookmarkEnd w:id="97"/>
      <w:r w:rsidRPr="007C28CC">
        <w:tab/>
        <w:t xml:space="preserve">Lokalizacja działań zaproponowanych w wariancie „2” dla obszaru problemowego </w:t>
      </w:r>
      <w:bookmarkEnd w:id="98"/>
      <w:r w:rsidRPr="007C28CC">
        <w:t>IOP_7 Ustka – ujście Słupi</w:t>
      </w:r>
      <w:bookmarkEnd w:id="99"/>
    </w:p>
    <w:p w14:paraId="0C36F64B" w14:textId="53E048B4" w:rsidR="00BA0236" w:rsidRPr="007C28CC" w:rsidRDefault="00E8074C" w:rsidP="007C28CC">
      <w:pPr>
        <w:pStyle w:val="ReportText"/>
        <w:spacing w:after="0"/>
        <w:jc w:val="center"/>
      </w:pPr>
      <w:r>
        <w:rPr>
          <w:noProof/>
          <w:lang w:eastAsia="pl-PL"/>
        </w:rPr>
        <w:lastRenderedPageBreak/>
        <w:drawing>
          <wp:inline distT="0" distB="0" distL="0" distR="0" wp14:anchorId="1D873144" wp14:editId="611A9558">
            <wp:extent cx="3933825" cy="3933825"/>
            <wp:effectExtent l="0" t="0" r="0" b="0"/>
            <wp:docPr id="27" name="Obraz 6" descr="Obraz zawierający mapa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descr="Obraz zawierający mapaOpis wygenerowany automatyczni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933825" cy="3933825"/>
                    </a:xfrm>
                    <a:prstGeom prst="rect">
                      <a:avLst/>
                    </a:prstGeom>
                    <a:noFill/>
                    <a:ln>
                      <a:noFill/>
                    </a:ln>
                  </pic:spPr>
                </pic:pic>
              </a:graphicData>
            </a:graphic>
          </wp:inline>
        </w:drawing>
      </w:r>
    </w:p>
    <w:p w14:paraId="33935E75" w14:textId="1C0EEEF3" w:rsidR="00BA0236" w:rsidRPr="007C28CC" w:rsidRDefault="00BA0236" w:rsidP="004D6635">
      <w:pPr>
        <w:pStyle w:val="ReportText"/>
        <w:spacing w:before="0"/>
        <w:ind w:left="1418" w:hanging="1418"/>
      </w:pPr>
      <w:bookmarkStart w:id="100" w:name="_Ref79486551"/>
      <w:bookmarkStart w:id="101" w:name="_Toc80604799"/>
      <w:r w:rsidRPr="007C28CC">
        <w:t xml:space="preserve">Rysunek </w:t>
      </w:r>
      <w:r w:rsidR="00677743">
        <w:rPr>
          <w:noProof/>
        </w:rPr>
        <w:fldChar w:fldCharType="begin"/>
      </w:r>
      <w:r w:rsidR="00677743">
        <w:rPr>
          <w:noProof/>
        </w:rPr>
        <w:instrText xml:space="preserve"> SEQ Rysunek \* ARABIC </w:instrText>
      </w:r>
      <w:r w:rsidR="00677743">
        <w:rPr>
          <w:noProof/>
        </w:rPr>
        <w:fldChar w:fldCharType="separate"/>
      </w:r>
      <w:r w:rsidR="00FD3F9A">
        <w:rPr>
          <w:noProof/>
        </w:rPr>
        <w:t>26</w:t>
      </w:r>
      <w:r w:rsidR="00677743">
        <w:rPr>
          <w:noProof/>
        </w:rPr>
        <w:fldChar w:fldCharType="end"/>
      </w:r>
      <w:bookmarkEnd w:id="100"/>
      <w:r w:rsidRPr="007C28CC">
        <w:tab/>
        <w:t>Lokalizacja działań zaproponowanych w wariancie „1” dla obszaru problemowego IOP_7 Ustka – ujście Słupi</w:t>
      </w:r>
      <w:bookmarkEnd w:id="101"/>
    </w:p>
    <w:p w14:paraId="379B85B9" w14:textId="1039FA70" w:rsidR="00BA0236" w:rsidRPr="007C28CC" w:rsidRDefault="00BA0236" w:rsidP="00E8074C">
      <w:pPr>
        <w:pStyle w:val="ReportLevel2"/>
        <w:numPr>
          <w:ilvl w:val="1"/>
          <w:numId w:val="9"/>
        </w:numPr>
      </w:pPr>
      <w:bookmarkStart w:id="102" w:name="_Toc80604859"/>
      <w:bookmarkStart w:id="103" w:name="_Toc79511679"/>
      <w:r w:rsidRPr="007C28CC">
        <w:t>IOP_8 Dębki</w:t>
      </w:r>
      <w:bookmarkEnd w:id="102"/>
      <w:r w:rsidRPr="007C28CC">
        <w:t xml:space="preserve"> </w:t>
      </w:r>
      <w:bookmarkEnd w:id="103"/>
    </w:p>
    <w:p w14:paraId="6465CE2A" w14:textId="47D6E99C" w:rsidR="00BA0236" w:rsidRPr="007C28CC" w:rsidRDefault="00BA0236" w:rsidP="007C28CC">
      <w:pPr>
        <w:pStyle w:val="ReportText"/>
        <w:spacing w:before="120" w:after="120"/>
      </w:pPr>
      <w:r w:rsidRPr="007C28CC">
        <w:t xml:space="preserve">Dla obszaru problemowego IOP_8 Dębki zdefiniowano zagrożenie powodziowe w miejscowości Dębki w rejonie ujściowego odcinka rz. Piaśnicy na prawym brzegu rzeki. Dla przedmiotowego rejonu zaproponowano trzy warianty obniżenia istniejącego ryzyka powodziowego: </w:t>
      </w:r>
    </w:p>
    <w:p w14:paraId="30A317CC" w14:textId="77777777" w:rsidR="00BA0236" w:rsidRPr="007C28CC" w:rsidRDefault="00BA0236" w:rsidP="004D6635">
      <w:pPr>
        <w:pStyle w:val="ReportText"/>
        <w:numPr>
          <w:ilvl w:val="0"/>
          <w:numId w:val="20"/>
        </w:numPr>
        <w:spacing w:before="120" w:after="120"/>
        <w:ind w:left="567" w:hanging="425"/>
      </w:pPr>
      <w:r w:rsidRPr="007C28CC">
        <w:t xml:space="preserve">Wariant „0” </w:t>
      </w:r>
      <w:r w:rsidRPr="00475541">
        <w:t>obejm</w:t>
      </w:r>
      <w:r>
        <w:t>ował</w:t>
      </w:r>
      <w:r w:rsidRPr="00475541">
        <w:t xml:space="preserve"> istniejący stan zabudowy hydrotechnicznej</w:t>
      </w:r>
      <w:r>
        <w:t xml:space="preserve"> </w:t>
      </w:r>
      <w:r w:rsidRPr="00475541">
        <w:t>(zgodnie z wynikami przeglądu i aktualizacji map zagrożenia powodziowego i map ryzyka</w:t>
      </w:r>
      <w:r>
        <w:t xml:space="preserve"> </w:t>
      </w:r>
      <w:r w:rsidRPr="00475541">
        <w:t>powodziowego</w:t>
      </w:r>
      <w:r>
        <w:t xml:space="preserve"> </w:t>
      </w:r>
      <w:r w:rsidRPr="00475541">
        <w:t>od strony morza w tym morskich wód wewnętrznych</w:t>
      </w:r>
      <w:r>
        <w:t xml:space="preserve"> </w:t>
      </w:r>
      <w:r w:rsidRPr="00475541">
        <w:t>na koniec roku 2019</w:t>
      </w:r>
      <w:r>
        <w:t xml:space="preserve"> z</w:t>
      </w:r>
      <w:r w:rsidRPr="00791A72">
        <w:t>aktualiz</w:t>
      </w:r>
      <w:r>
        <w:t xml:space="preserve">owany </w:t>
      </w:r>
      <w:r w:rsidRPr="00791A72">
        <w:t xml:space="preserve">o działania będące w realizacji lub planowane do rozpoczęcia </w:t>
      </w:r>
      <w:r>
        <w:t>do</w:t>
      </w:r>
      <w:r w:rsidRPr="00791A72">
        <w:t xml:space="preserve"> 2022 r., lub zakończone po 2019 r</w:t>
      </w:r>
      <w:r>
        <w:t>.</w:t>
      </w:r>
      <w:r w:rsidRPr="00475541">
        <w:t>)</w:t>
      </w:r>
      <w:r>
        <w:t xml:space="preserve"> </w:t>
      </w:r>
      <w:r w:rsidRPr="007C28CC">
        <w:t xml:space="preserve">czyli istniejące obwałowanie od strony cieku Piaśnica. </w:t>
      </w:r>
    </w:p>
    <w:p w14:paraId="7BD4AE38" w14:textId="39596D61" w:rsidR="00BA0236" w:rsidRPr="007C28CC" w:rsidRDefault="00BA0236" w:rsidP="004D6635">
      <w:pPr>
        <w:pStyle w:val="ReportText"/>
        <w:numPr>
          <w:ilvl w:val="0"/>
          <w:numId w:val="20"/>
        </w:numPr>
        <w:spacing w:before="120" w:after="120"/>
        <w:ind w:left="567" w:hanging="425"/>
      </w:pPr>
      <w:r w:rsidRPr="007C28CC">
        <w:t xml:space="preserve">Wariant „1” obejmował ochronę przeciwpowodziową miejscowości Dębki poprzez podniesienie brzegów Dopływu polderu Dębki – brzeg lewy i prawy (Zadanie W_AR_15). Lokalizację działania zaproponowanego w wariancie „1” przedstawia </w:t>
      </w:r>
      <w:r w:rsidRPr="007C28CC">
        <w:fldChar w:fldCharType="begin"/>
      </w:r>
      <w:r w:rsidRPr="007C28CC">
        <w:instrText xml:space="preserve"> REF _Ref76574809 \h </w:instrText>
      </w:r>
      <w:r w:rsidRPr="007C28CC">
        <w:fldChar w:fldCharType="separate"/>
      </w:r>
      <w:r w:rsidR="00FD3F9A" w:rsidRPr="007C28CC">
        <w:t xml:space="preserve">Rysunek </w:t>
      </w:r>
      <w:r w:rsidR="00FD3F9A">
        <w:rPr>
          <w:noProof/>
        </w:rPr>
        <w:t>27</w:t>
      </w:r>
      <w:r w:rsidRPr="007C28CC">
        <w:fldChar w:fldCharType="end"/>
      </w:r>
      <w:r w:rsidRPr="007C28CC">
        <w:t>.</w:t>
      </w:r>
    </w:p>
    <w:p w14:paraId="292C94A1" w14:textId="77777777" w:rsidR="00BA0236" w:rsidRPr="007C28CC" w:rsidRDefault="00BA0236" w:rsidP="004D6635">
      <w:pPr>
        <w:pStyle w:val="ReportText"/>
        <w:numPr>
          <w:ilvl w:val="2"/>
          <w:numId w:val="21"/>
        </w:numPr>
        <w:spacing w:before="120" w:after="120"/>
        <w:ind w:left="1134" w:hanging="283"/>
      </w:pPr>
      <w:r w:rsidRPr="007C28CC">
        <w:t>Typ ochrony: podniesienie brzegów;</w:t>
      </w:r>
    </w:p>
    <w:p w14:paraId="2E4EA8C0" w14:textId="77777777" w:rsidR="00BA0236" w:rsidRPr="007C28CC" w:rsidRDefault="00BA0236" w:rsidP="004D6635">
      <w:pPr>
        <w:pStyle w:val="ReportText"/>
        <w:numPr>
          <w:ilvl w:val="2"/>
          <w:numId w:val="21"/>
        </w:numPr>
        <w:spacing w:before="120" w:after="120"/>
        <w:ind w:left="1134" w:hanging="283"/>
      </w:pPr>
      <w:r w:rsidRPr="007C28CC">
        <w:t>Długość: 2,7 km;</w:t>
      </w:r>
    </w:p>
    <w:p w14:paraId="1AAC9370" w14:textId="77777777" w:rsidR="00BA0236" w:rsidRPr="007C28CC" w:rsidRDefault="00BA0236" w:rsidP="004D6635">
      <w:pPr>
        <w:pStyle w:val="ReportText"/>
        <w:numPr>
          <w:ilvl w:val="2"/>
          <w:numId w:val="21"/>
        </w:numPr>
        <w:spacing w:before="120" w:after="120"/>
        <w:ind w:left="1134" w:hanging="283"/>
      </w:pPr>
      <w:r w:rsidRPr="007C28CC">
        <w:t>Średnia wysokość: 1,30-1,40 m;</w:t>
      </w:r>
    </w:p>
    <w:p w14:paraId="69A0E050" w14:textId="77777777" w:rsidR="00BA0236" w:rsidRPr="007C28CC" w:rsidRDefault="00BA0236" w:rsidP="004D6635">
      <w:pPr>
        <w:pStyle w:val="ReportText"/>
        <w:numPr>
          <w:ilvl w:val="2"/>
          <w:numId w:val="21"/>
        </w:numPr>
        <w:spacing w:before="120" w:after="120"/>
        <w:ind w:left="1134" w:hanging="283"/>
      </w:pPr>
      <w:r w:rsidRPr="007C28CC">
        <w:t>Rzędna wody miarodajnej (przy wezbraniu 1%): 1,90 m n.p.m.;</w:t>
      </w:r>
    </w:p>
    <w:p w14:paraId="5BCA58D8" w14:textId="77777777" w:rsidR="00BA0236" w:rsidRPr="007C28CC" w:rsidRDefault="00BA0236" w:rsidP="004D6635">
      <w:pPr>
        <w:pStyle w:val="ReportText"/>
        <w:numPr>
          <w:ilvl w:val="2"/>
          <w:numId w:val="21"/>
        </w:numPr>
        <w:spacing w:before="120" w:after="120"/>
        <w:ind w:left="1134" w:hanging="283"/>
      </w:pPr>
      <w:r w:rsidRPr="007C28CC">
        <w:lastRenderedPageBreak/>
        <w:t>Rzędna wody kontrolnej (przy wezbraniu 0,2%): 1,96 m n.p.m.;</w:t>
      </w:r>
    </w:p>
    <w:p w14:paraId="7CBF3300" w14:textId="77777777" w:rsidR="00BA0236" w:rsidRPr="007C28CC" w:rsidRDefault="00BA0236" w:rsidP="004D6635">
      <w:pPr>
        <w:pStyle w:val="ReportText"/>
        <w:numPr>
          <w:ilvl w:val="2"/>
          <w:numId w:val="21"/>
        </w:numPr>
        <w:spacing w:before="120" w:after="0"/>
        <w:ind w:left="1134" w:hanging="283"/>
      </w:pPr>
      <w:r w:rsidRPr="007C28CC">
        <w:t>Wymagana minimalna rzędna górnej krawędzi: 2,40 m n.p.m. (0,50 m nad poziom lustra wody 1%).</w:t>
      </w:r>
    </w:p>
    <w:p w14:paraId="4E1493B7" w14:textId="2DCBD964" w:rsidR="00BA0236" w:rsidRPr="007C28CC" w:rsidRDefault="00E8074C" w:rsidP="007C28CC">
      <w:pPr>
        <w:pStyle w:val="ReportText"/>
        <w:spacing w:before="120" w:after="120"/>
        <w:jc w:val="center"/>
      </w:pPr>
      <w:r>
        <w:rPr>
          <w:noProof/>
          <w:lang w:eastAsia="pl-PL"/>
        </w:rPr>
        <w:drawing>
          <wp:inline distT="0" distB="0" distL="0" distR="0" wp14:anchorId="6679AD5B" wp14:editId="3EA3D269">
            <wp:extent cx="3952875" cy="3952875"/>
            <wp:effectExtent l="0" t="0" r="0" b="0"/>
            <wp:docPr id="28" name="Obraz 58" descr="Obraz zawierający mapa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8" descr="Obraz zawierający mapaOpis wygenerowany automatyczni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952875" cy="3952875"/>
                    </a:xfrm>
                    <a:prstGeom prst="rect">
                      <a:avLst/>
                    </a:prstGeom>
                    <a:noFill/>
                    <a:ln>
                      <a:noFill/>
                    </a:ln>
                  </pic:spPr>
                </pic:pic>
              </a:graphicData>
            </a:graphic>
          </wp:inline>
        </w:drawing>
      </w:r>
    </w:p>
    <w:p w14:paraId="0673B21E" w14:textId="4ED1DC4D" w:rsidR="00BA0236" w:rsidRPr="007C28CC" w:rsidRDefault="00BA0236" w:rsidP="004D6635">
      <w:pPr>
        <w:pStyle w:val="ReportText"/>
        <w:spacing w:before="0"/>
        <w:ind w:left="1418" w:hanging="1418"/>
      </w:pPr>
      <w:bookmarkStart w:id="104" w:name="_Ref76574809"/>
      <w:bookmarkStart w:id="105" w:name="_Toc76734822"/>
      <w:bookmarkStart w:id="106" w:name="_Toc80604800"/>
      <w:r w:rsidRPr="007C28CC">
        <w:t xml:space="preserve">Rysunek </w:t>
      </w:r>
      <w:r w:rsidR="00677743">
        <w:rPr>
          <w:noProof/>
        </w:rPr>
        <w:fldChar w:fldCharType="begin"/>
      </w:r>
      <w:r w:rsidR="00677743">
        <w:rPr>
          <w:noProof/>
        </w:rPr>
        <w:instrText xml:space="preserve"> SEQ Rysunek \* ARABIC </w:instrText>
      </w:r>
      <w:r w:rsidR="00677743">
        <w:rPr>
          <w:noProof/>
        </w:rPr>
        <w:fldChar w:fldCharType="separate"/>
      </w:r>
      <w:r w:rsidR="00FD3F9A">
        <w:rPr>
          <w:noProof/>
        </w:rPr>
        <w:t>27</w:t>
      </w:r>
      <w:r w:rsidR="00677743">
        <w:rPr>
          <w:noProof/>
        </w:rPr>
        <w:fldChar w:fldCharType="end"/>
      </w:r>
      <w:bookmarkEnd w:id="104"/>
      <w:r w:rsidRPr="007C28CC">
        <w:tab/>
        <w:t xml:space="preserve">Lokalizacja działań zaproponowanych w wariancie „1” dla obszaru problemowego </w:t>
      </w:r>
      <w:bookmarkEnd w:id="105"/>
      <w:r w:rsidRPr="007C28CC">
        <w:t>IOP_8 Dębki I</w:t>
      </w:r>
      <w:bookmarkEnd w:id="106"/>
    </w:p>
    <w:p w14:paraId="1F84EC30" w14:textId="47D50987" w:rsidR="00BA0236" w:rsidRPr="007C28CC" w:rsidRDefault="00BA0236" w:rsidP="004D6635">
      <w:pPr>
        <w:pStyle w:val="NormalnyWeb"/>
        <w:numPr>
          <w:ilvl w:val="0"/>
          <w:numId w:val="23"/>
        </w:numPr>
        <w:spacing w:before="120" w:beforeAutospacing="0" w:after="120"/>
        <w:ind w:left="567" w:hanging="425"/>
        <w:jc w:val="both"/>
      </w:pPr>
      <w:r w:rsidRPr="007C28CC">
        <w:t xml:space="preserve">Wariant „2” obejmował ochronę przeciwpowodziową miejscowości Dębki poprzez podwyższenie prawego wału rz. Piaśnicy na wysokości m. Dębki </w:t>
      </w:r>
      <w:r w:rsidRPr="007C28CC">
        <w:rPr>
          <w:color w:val="000000"/>
          <w:kern w:val="24"/>
        </w:rPr>
        <w:t xml:space="preserve">(km Piaśnicy 0+300-3+500, km wału 0+000-2+822), pow. pucki, gm. Krokowa </w:t>
      </w:r>
      <w:r w:rsidRPr="007C28CC">
        <w:t xml:space="preserve">(Zadanie W_MDW_09). Lokalizację działania zaproponowanego w wariancie „2” przedstawia </w:t>
      </w:r>
      <w:r w:rsidRPr="007C28CC">
        <w:fldChar w:fldCharType="begin"/>
      </w:r>
      <w:r w:rsidRPr="007C28CC">
        <w:instrText xml:space="preserve"> REF _Ref76574835 \h </w:instrText>
      </w:r>
      <w:r w:rsidRPr="007C28CC">
        <w:fldChar w:fldCharType="separate"/>
      </w:r>
      <w:r w:rsidR="00FD3F9A" w:rsidRPr="007C28CC">
        <w:t xml:space="preserve">Rysunek </w:t>
      </w:r>
      <w:r w:rsidR="00FD3F9A">
        <w:rPr>
          <w:noProof/>
        </w:rPr>
        <w:t>28</w:t>
      </w:r>
      <w:r w:rsidRPr="007C28CC">
        <w:fldChar w:fldCharType="end"/>
      </w:r>
      <w:r w:rsidRPr="007C28CC">
        <w:t>.</w:t>
      </w:r>
    </w:p>
    <w:p w14:paraId="4965A542" w14:textId="77777777" w:rsidR="00BA0236" w:rsidRPr="007C28CC" w:rsidRDefault="00BA0236" w:rsidP="004D6635">
      <w:pPr>
        <w:pStyle w:val="ReportText"/>
        <w:numPr>
          <w:ilvl w:val="2"/>
          <w:numId w:val="21"/>
        </w:numPr>
        <w:spacing w:before="120" w:after="120"/>
        <w:ind w:left="1134" w:hanging="283"/>
      </w:pPr>
      <w:r w:rsidRPr="007C28CC">
        <w:t>Typ ochrony: podwyższenie wału przeciwpowodziowego;</w:t>
      </w:r>
    </w:p>
    <w:p w14:paraId="5B81BB2D" w14:textId="77777777" w:rsidR="00BA0236" w:rsidRPr="007C28CC" w:rsidRDefault="00BA0236" w:rsidP="004D6635">
      <w:pPr>
        <w:pStyle w:val="ReportText"/>
        <w:numPr>
          <w:ilvl w:val="2"/>
          <w:numId w:val="21"/>
        </w:numPr>
        <w:spacing w:before="120" w:after="120"/>
        <w:ind w:left="1134" w:hanging="283"/>
      </w:pPr>
      <w:r w:rsidRPr="007C28CC">
        <w:t>Długość: 2,68 km;</w:t>
      </w:r>
    </w:p>
    <w:p w14:paraId="1AF6A443" w14:textId="77777777" w:rsidR="00BA0236" w:rsidRPr="007C28CC" w:rsidRDefault="00BA0236" w:rsidP="004D6635">
      <w:pPr>
        <w:pStyle w:val="ReportText"/>
        <w:numPr>
          <w:ilvl w:val="2"/>
          <w:numId w:val="21"/>
        </w:numPr>
        <w:spacing w:before="120" w:after="120"/>
        <w:ind w:left="1134" w:hanging="283"/>
      </w:pPr>
      <w:r w:rsidRPr="007C28CC">
        <w:t>Średnia wysokość podniesienia: 1,30 m;</w:t>
      </w:r>
    </w:p>
    <w:p w14:paraId="03085BEF" w14:textId="77777777" w:rsidR="00BA0236" w:rsidRPr="007C28CC" w:rsidRDefault="00BA0236" w:rsidP="004D6635">
      <w:pPr>
        <w:pStyle w:val="ReportText"/>
        <w:numPr>
          <w:ilvl w:val="2"/>
          <w:numId w:val="21"/>
        </w:numPr>
        <w:spacing w:before="120" w:after="120"/>
        <w:ind w:left="1134" w:hanging="283"/>
      </w:pPr>
      <w:r w:rsidRPr="007C28CC">
        <w:t>Rzędna wody miarodajnej (przy wezbraniu 1%): 1,90 m n.p.m.;</w:t>
      </w:r>
    </w:p>
    <w:p w14:paraId="72BB9F23" w14:textId="77777777" w:rsidR="00BA0236" w:rsidRPr="007C28CC" w:rsidRDefault="00BA0236" w:rsidP="004D6635">
      <w:pPr>
        <w:pStyle w:val="ReportText"/>
        <w:numPr>
          <w:ilvl w:val="2"/>
          <w:numId w:val="21"/>
        </w:numPr>
        <w:spacing w:before="120" w:after="120"/>
        <w:ind w:left="1134" w:hanging="283"/>
      </w:pPr>
      <w:r w:rsidRPr="007C28CC">
        <w:t>Rzędna wody kontrolnej (przy wezbraniu 0,2%): 1,96 m n.p.m.;</w:t>
      </w:r>
    </w:p>
    <w:p w14:paraId="22D4EE37" w14:textId="77777777" w:rsidR="00BA0236" w:rsidRPr="007C28CC" w:rsidRDefault="00BA0236" w:rsidP="004D6635">
      <w:pPr>
        <w:pStyle w:val="ReportText"/>
        <w:numPr>
          <w:ilvl w:val="2"/>
          <w:numId w:val="21"/>
        </w:numPr>
        <w:spacing w:before="120" w:after="0"/>
        <w:ind w:left="1134" w:hanging="283"/>
      </w:pPr>
      <w:r w:rsidRPr="007C28CC">
        <w:t>Wymagana minimalna rzędna górnej krawędzi: 2,40 m n.p.m. (0,50 m nad poziom lustra wody 1%).</w:t>
      </w:r>
    </w:p>
    <w:p w14:paraId="5DC37F22" w14:textId="67376B0E" w:rsidR="00BA0236" w:rsidRPr="007C28CC" w:rsidRDefault="00E8074C" w:rsidP="007C28CC">
      <w:pPr>
        <w:pStyle w:val="ReportText"/>
        <w:spacing w:before="120" w:after="0"/>
        <w:jc w:val="center"/>
      </w:pPr>
      <w:r>
        <w:rPr>
          <w:noProof/>
          <w:lang w:eastAsia="pl-PL"/>
        </w:rPr>
        <w:lastRenderedPageBreak/>
        <w:drawing>
          <wp:inline distT="0" distB="0" distL="0" distR="0" wp14:anchorId="64FC69FA" wp14:editId="1E0CAC37">
            <wp:extent cx="3933825" cy="3933825"/>
            <wp:effectExtent l="0" t="0" r="0" b="0"/>
            <wp:docPr id="29" name="Obraz 59" descr="Obraz zawierający mapa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9" descr="Obraz zawierający mapaOpis wygenerowany automatyczni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933825" cy="3933825"/>
                    </a:xfrm>
                    <a:prstGeom prst="rect">
                      <a:avLst/>
                    </a:prstGeom>
                    <a:noFill/>
                    <a:ln>
                      <a:noFill/>
                    </a:ln>
                  </pic:spPr>
                </pic:pic>
              </a:graphicData>
            </a:graphic>
          </wp:inline>
        </w:drawing>
      </w:r>
    </w:p>
    <w:p w14:paraId="2FF11C4F" w14:textId="5607D0E5" w:rsidR="00BA0236" w:rsidRPr="007C28CC" w:rsidRDefault="00BA0236" w:rsidP="004D6635">
      <w:pPr>
        <w:pStyle w:val="ReportText"/>
        <w:spacing w:before="0"/>
        <w:ind w:left="1418" w:hanging="1418"/>
      </w:pPr>
      <w:bookmarkStart w:id="107" w:name="_Ref76574835"/>
      <w:bookmarkStart w:id="108" w:name="_Toc76734823"/>
      <w:bookmarkStart w:id="109" w:name="_Toc80604801"/>
      <w:r w:rsidRPr="007C28CC">
        <w:t xml:space="preserve">Rysunek </w:t>
      </w:r>
      <w:r w:rsidR="00677743">
        <w:rPr>
          <w:noProof/>
        </w:rPr>
        <w:fldChar w:fldCharType="begin"/>
      </w:r>
      <w:r w:rsidR="00677743">
        <w:rPr>
          <w:noProof/>
        </w:rPr>
        <w:instrText xml:space="preserve"> SEQ Rysunek \* ARABIC </w:instrText>
      </w:r>
      <w:r w:rsidR="00677743">
        <w:rPr>
          <w:noProof/>
        </w:rPr>
        <w:fldChar w:fldCharType="separate"/>
      </w:r>
      <w:r w:rsidR="00FD3F9A">
        <w:rPr>
          <w:noProof/>
        </w:rPr>
        <w:t>28</w:t>
      </w:r>
      <w:r w:rsidR="00677743">
        <w:rPr>
          <w:noProof/>
        </w:rPr>
        <w:fldChar w:fldCharType="end"/>
      </w:r>
      <w:bookmarkEnd w:id="107"/>
      <w:r w:rsidRPr="007C28CC">
        <w:tab/>
        <w:t xml:space="preserve">Lokalizacja działań zaproponowanych w wariancie „2” dla obszaru problemowego </w:t>
      </w:r>
      <w:bookmarkEnd w:id="108"/>
      <w:r w:rsidRPr="007C28CC">
        <w:t>IOP_8 Dębki</w:t>
      </w:r>
      <w:bookmarkEnd w:id="109"/>
      <w:r w:rsidRPr="007C28CC">
        <w:t xml:space="preserve"> </w:t>
      </w:r>
    </w:p>
    <w:p w14:paraId="4FD7DE30" w14:textId="77777777" w:rsidR="00BA0236" w:rsidRPr="007C28CC" w:rsidRDefault="00BA0236" w:rsidP="007C28CC">
      <w:pPr>
        <w:rPr>
          <w:b/>
          <w:color w:val="28AAE1"/>
          <w:sz w:val="32"/>
          <w:szCs w:val="20"/>
          <w:lang w:eastAsia="en-US"/>
        </w:rPr>
      </w:pPr>
      <w:r w:rsidRPr="007C28CC">
        <w:br w:type="page"/>
      </w:r>
    </w:p>
    <w:p w14:paraId="2773A8F6" w14:textId="77777777" w:rsidR="00BA0236" w:rsidRPr="007C28CC" w:rsidRDefault="00BA0236" w:rsidP="00E8074C">
      <w:pPr>
        <w:pStyle w:val="ReportLevel2"/>
        <w:numPr>
          <w:ilvl w:val="1"/>
          <w:numId w:val="9"/>
        </w:numPr>
      </w:pPr>
      <w:bookmarkStart w:id="110" w:name="_Toc79511680"/>
      <w:bookmarkStart w:id="111" w:name="_Toc80604860"/>
      <w:r w:rsidRPr="007C28CC">
        <w:lastRenderedPageBreak/>
        <w:t>IOP_12 Łeba od Mielnickiego Kanału do Chełstu (p)</w:t>
      </w:r>
      <w:bookmarkEnd w:id="110"/>
      <w:bookmarkEnd w:id="111"/>
    </w:p>
    <w:p w14:paraId="1B25B0D3" w14:textId="77777777" w:rsidR="00BA0236" w:rsidRPr="007C28CC" w:rsidRDefault="00BA0236" w:rsidP="007C28CC">
      <w:pPr>
        <w:pStyle w:val="ReportText"/>
        <w:spacing w:before="120" w:after="120"/>
      </w:pPr>
      <w:r w:rsidRPr="007C28CC">
        <w:t xml:space="preserve">Dla obszaru problemowego IOP_12 Łeba od Mielnickiego Kanału do Chełstu (p) zdefiniowano zagrożenie powodziowe w m. Łeba w ujściowym odcinku rz. Łeba na lewym brzegu rzeki. Dla przedmiotowego rejonu zaproponowano trzy warianty obniżenia istniejącego ryzyka powodziowego: </w:t>
      </w:r>
    </w:p>
    <w:p w14:paraId="0FFD3EC2" w14:textId="77777777" w:rsidR="00BA0236" w:rsidRPr="007C28CC" w:rsidRDefault="00BA0236" w:rsidP="004D6635">
      <w:pPr>
        <w:pStyle w:val="ReportText"/>
        <w:numPr>
          <w:ilvl w:val="0"/>
          <w:numId w:val="20"/>
        </w:numPr>
        <w:spacing w:before="120" w:after="120"/>
        <w:ind w:left="567" w:hanging="425"/>
      </w:pPr>
      <w:r w:rsidRPr="007C28CC">
        <w:t xml:space="preserve">Wariant „0” </w:t>
      </w:r>
      <w:r w:rsidRPr="00475541">
        <w:t>obejm</w:t>
      </w:r>
      <w:r>
        <w:t>ował</w:t>
      </w:r>
      <w:r w:rsidRPr="00475541">
        <w:t xml:space="preserve"> istniejący stan zabudowy hydrotechnicznej</w:t>
      </w:r>
      <w:r>
        <w:t xml:space="preserve"> </w:t>
      </w:r>
      <w:r w:rsidRPr="00475541">
        <w:t>(zgodnie z wynikami przeglądu i aktualizacji map zagrożenia powodziowego i map ryzyka</w:t>
      </w:r>
      <w:r>
        <w:t xml:space="preserve"> </w:t>
      </w:r>
      <w:r w:rsidRPr="00475541">
        <w:t>powodziowego</w:t>
      </w:r>
      <w:r>
        <w:t xml:space="preserve"> </w:t>
      </w:r>
      <w:r w:rsidRPr="00475541">
        <w:t>od strony morza w tym morskich wód wewnętrznych</w:t>
      </w:r>
      <w:r>
        <w:t xml:space="preserve"> </w:t>
      </w:r>
      <w:r w:rsidRPr="00475541">
        <w:t>na koniec roku 2019</w:t>
      </w:r>
      <w:r>
        <w:t xml:space="preserve"> z</w:t>
      </w:r>
      <w:r w:rsidRPr="00791A72">
        <w:t>aktualiz</w:t>
      </w:r>
      <w:r>
        <w:t xml:space="preserve">owany </w:t>
      </w:r>
      <w:r w:rsidRPr="00791A72">
        <w:t xml:space="preserve">o działania będące w realizacji lub planowane do rozpoczęcia </w:t>
      </w:r>
      <w:r>
        <w:t>do</w:t>
      </w:r>
      <w:r w:rsidRPr="00791A72">
        <w:t xml:space="preserve"> 2022 r., lub zakończone po 2019 r</w:t>
      </w:r>
      <w:r>
        <w:t>.</w:t>
      </w:r>
      <w:r w:rsidRPr="00475541">
        <w:t>)</w:t>
      </w:r>
      <w:r>
        <w:t xml:space="preserve"> </w:t>
      </w:r>
      <w:r w:rsidRPr="007C28CC">
        <w:t xml:space="preserve">czyli istniejące nabrzeża ujściowego odcinka rz. Łeba. </w:t>
      </w:r>
    </w:p>
    <w:p w14:paraId="015D637C" w14:textId="53AB6F71" w:rsidR="00BA0236" w:rsidRPr="007C28CC" w:rsidRDefault="00BA0236" w:rsidP="004D6635">
      <w:pPr>
        <w:pStyle w:val="NormalnyWeb"/>
        <w:numPr>
          <w:ilvl w:val="0"/>
          <w:numId w:val="20"/>
        </w:numPr>
        <w:spacing w:before="120" w:beforeAutospacing="0" w:after="120"/>
        <w:ind w:left="567" w:hanging="425"/>
        <w:jc w:val="both"/>
      </w:pPr>
      <w:r w:rsidRPr="007C28CC">
        <w:t xml:space="preserve">Wariant „1” obejmował </w:t>
      </w:r>
      <w:r w:rsidRPr="007C28CC">
        <w:rPr>
          <w:color w:val="000000"/>
          <w:kern w:val="24"/>
        </w:rPr>
        <w:t xml:space="preserve">ochronę przeciwpowodziową miejscowości Łeba przy pomocy systemu mobilnych przegród przeciwpowodziowych wzdłuż ulicy Turystycznej, o długości ok. 440m wraz z rozwojem lokalnego systemu ostrzegania przed powodziami i prognozowania zagrożeń na terenie gminy Łeba, pow. lęborski. </w:t>
      </w:r>
      <w:r w:rsidRPr="007C28CC">
        <w:t xml:space="preserve">(Zadanie W_AR_04). Lokalizację działania zaproponowanego w wariancie „1” przedstawia </w:t>
      </w:r>
      <w:r w:rsidRPr="007C28CC">
        <w:fldChar w:fldCharType="begin"/>
      </w:r>
      <w:r w:rsidRPr="007C28CC">
        <w:instrText xml:space="preserve"> REF _Ref79486759 \h </w:instrText>
      </w:r>
      <w:r w:rsidRPr="007C28CC">
        <w:fldChar w:fldCharType="separate"/>
      </w:r>
      <w:r w:rsidR="00FD3F9A" w:rsidRPr="007C28CC">
        <w:t xml:space="preserve">Rysunek </w:t>
      </w:r>
      <w:r w:rsidR="00FD3F9A">
        <w:rPr>
          <w:noProof/>
        </w:rPr>
        <w:t>29</w:t>
      </w:r>
      <w:r w:rsidRPr="007C28CC">
        <w:fldChar w:fldCharType="end"/>
      </w:r>
      <w:r w:rsidRPr="007C28CC">
        <w:t>.</w:t>
      </w:r>
    </w:p>
    <w:p w14:paraId="76BE38B3" w14:textId="77777777" w:rsidR="00BA0236" w:rsidRPr="007C28CC" w:rsidRDefault="00BA0236" w:rsidP="004D6635">
      <w:pPr>
        <w:pStyle w:val="ReportText"/>
        <w:numPr>
          <w:ilvl w:val="2"/>
          <w:numId w:val="21"/>
        </w:numPr>
        <w:spacing w:before="120" w:after="120"/>
        <w:ind w:left="1134" w:hanging="283"/>
      </w:pPr>
      <w:r w:rsidRPr="007C28CC">
        <w:t>Typ ochrony: mobilne przegrody przeciwpowodziowe (belki zaporowe - szandory);</w:t>
      </w:r>
    </w:p>
    <w:p w14:paraId="7A92351E" w14:textId="77777777" w:rsidR="00BA0236" w:rsidRPr="007C28CC" w:rsidRDefault="00BA0236" w:rsidP="004D6635">
      <w:pPr>
        <w:pStyle w:val="ReportText"/>
        <w:numPr>
          <w:ilvl w:val="2"/>
          <w:numId w:val="21"/>
        </w:numPr>
        <w:spacing w:before="120" w:after="120"/>
        <w:ind w:left="1134" w:hanging="283"/>
      </w:pPr>
      <w:r w:rsidRPr="007C28CC">
        <w:t>Długość: 0,44 km;</w:t>
      </w:r>
    </w:p>
    <w:p w14:paraId="560CC2A6" w14:textId="77777777" w:rsidR="00BA0236" w:rsidRPr="007C28CC" w:rsidRDefault="00BA0236" w:rsidP="004D6635">
      <w:pPr>
        <w:pStyle w:val="ReportText"/>
        <w:numPr>
          <w:ilvl w:val="2"/>
          <w:numId w:val="21"/>
        </w:numPr>
        <w:spacing w:before="120" w:after="120"/>
        <w:ind w:left="1134" w:hanging="283"/>
      </w:pPr>
      <w:r w:rsidRPr="007C28CC">
        <w:t>Średnia wysokość: 0,80 m;</w:t>
      </w:r>
    </w:p>
    <w:p w14:paraId="429432CC" w14:textId="77777777" w:rsidR="00BA0236" w:rsidRPr="007C28CC" w:rsidRDefault="00BA0236" w:rsidP="004D6635">
      <w:pPr>
        <w:pStyle w:val="ReportText"/>
        <w:numPr>
          <w:ilvl w:val="2"/>
          <w:numId w:val="21"/>
        </w:numPr>
        <w:spacing w:before="120" w:after="120"/>
        <w:ind w:left="1134" w:hanging="283"/>
      </w:pPr>
      <w:r w:rsidRPr="007C28CC">
        <w:t>Rzędna wody miarodajnej (przy wezbraniu 1%): 1,29 m n.p.m.;</w:t>
      </w:r>
    </w:p>
    <w:p w14:paraId="4A6D8371" w14:textId="77777777" w:rsidR="00BA0236" w:rsidRPr="007C28CC" w:rsidRDefault="00BA0236" w:rsidP="004D6635">
      <w:pPr>
        <w:pStyle w:val="ReportText"/>
        <w:numPr>
          <w:ilvl w:val="2"/>
          <w:numId w:val="21"/>
        </w:numPr>
        <w:spacing w:before="120" w:after="120"/>
        <w:ind w:left="1134" w:hanging="283"/>
      </w:pPr>
      <w:r w:rsidRPr="007C28CC">
        <w:t>Rzędna wody kontrolnej (przy wezbraniu 0,2%): 1,44 m n.p.m.;</w:t>
      </w:r>
    </w:p>
    <w:p w14:paraId="66585CE4" w14:textId="77777777" w:rsidR="00BA0236" w:rsidRPr="007C28CC" w:rsidRDefault="00BA0236" w:rsidP="004D6635">
      <w:pPr>
        <w:pStyle w:val="ReportText"/>
        <w:numPr>
          <w:ilvl w:val="2"/>
          <w:numId w:val="21"/>
        </w:numPr>
        <w:spacing w:before="120" w:after="0"/>
        <w:ind w:left="1134" w:hanging="283"/>
      </w:pPr>
      <w:r w:rsidRPr="007C28CC">
        <w:t>Wymagana minimalna rzędna górnej krawędzi: 1,79 m n.p.m. (0,50 m nad poziom lustra wody 1%).</w:t>
      </w:r>
    </w:p>
    <w:p w14:paraId="66F084AC" w14:textId="5A36D6D6" w:rsidR="00BA0236" w:rsidRPr="007C28CC" w:rsidRDefault="00E8074C" w:rsidP="007C28CC">
      <w:pPr>
        <w:pStyle w:val="ReportText"/>
        <w:spacing w:before="0" w:after="0"/>
        <w:jc w:val="center"/>
      </w:pPr>
      <w:r>
        <w:rPr>
          <w:noProof/>
          <w:lang w:eastAsia="pl-PL"/>
        </w:rPr>
        <w:lastRenderedPageBreak/>
        <w:drawing>
          <wp:inline distT="0" distB="0" distL="0" distR="0" wp14:anchorId="427A8791" wp14:editId="7C581552">
            <wp:extent cx="3933825" cy="3933825"/>
            <wp:effectExtent l="0" t="0" r="0" b="0"/>
            <wp:docPr id="30" name="Obraz 60" descr="Obraz zawierający mapa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0" descr="Obraz zawierający mapaOpis wygenerowany automatyczni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33825" cy="3933825"/>
                    </a:xfrm>
                    <a:prstGeom prst="rect">
                      <a:avLst/>
                    </a:prstGeom>
                    <a:noFill/>
                    <a:ln>
                      <a:noFill/>
                    </a:ln>
                  </pic:spPr>
                </pic:pic>
              </a:graphicData>
            </a:graphic>
          </wp:inline>
        </w:drawing>
      </w:r>
    </w:p>
    <w:p w14:paraId="341E9F44" w14:textId="450BE89C" w:rsidR="00BA0236" w:rsidRPr="007C28CC" w:rsidRDefault="00BA0236" w:rsidP="004D6635">
      <w:pPr>
        <w:pStyle w:val="ReportText"/>
        <w:spacing w:before="0"/>
        <w:ind w:left="1418" w:hanging="1418"/>
      </w:pPr>
      <w:bookmarkStart w:id="112" w:name="_Ref79486759"/>
      <w:bookmarkStart w:id="113" w:name="_Toc76734824"/>
      <w:bookmarkStart w:id="114" w:name="_Toc80604802"/>
      <w:r w:rsidRPr="007C28CC">
        <w:t xml:space="preserve">Rysunek </w:t>
      </w:r>
      <w:r w:rsidR="00677743">
        <w:rPr>
          <w:noProof/>
        </w:rPr>
        <w:fldChar w:fldCharType="begin"/>
      </w:r>
      <w:r w:rsidR="00677743">
        <w:rPr>
          <w:noProof/>
        </w:rPr>
        <w:instrText xml:space="preserve"> SEQ Rysunek \* ARABIC </w:instrText>
      </w:r>
      <w:r w:rsidR="00677743">
        <w:rPr>
          <w:noProof/>
        </w:rPr>
        <w:fldChar w:fldCharType="separate"/>
      </w:r>
      <w:r w:rsidR="00FD3F9A">
        <w:rPr>
          <w:noProof/>
        </w:rPr>
        <w:t>29</w:t>
      </w:r>
      <w:r w:rsidR="00677743">
        <w:rPr>
          <w:noProof/>
        </w:rPr>
        <w:fldChar w:fldCharType="end"/>
      </w:r>
      <w:bookmarkEnd w:id="112"/>
      <w:r w:rsidRPr="007C28CC">
        <w:tab/>
        <w:t xml:space="preserve">Lokalizacja działań zaproponowanych w wariancie „1” dla obszaru problemowego </w:t>
      </w:r>
      <w:bookmarkEnd w:id="113"/>
      <w:r w:rsidRPr="007C28CC">
        <w:t>IOP_12 Łeba od Mielnickiego Kanału do Chełstu (p)</w:t>
      </w:r>
      <w:bookmarkEnd w:id="114"/>
    </w:p>
    <w:p w14:paraId="15D0B2F2" w14:textId="29320ADF" w:rsidR="00BA0236" w:rsidRPr="007C28CC" w:rsidRDefault="00BA0236" w:rsidP="004D6635">
      <w:pPr>
        <w:pStyle w:val="NormalnyWeb"/>
        <w:numPr>
          <w:ilvl w:val="0"/>
          <w:numId w:val="20"/>
        </w:numPr>
        <w:spacing w:before="120" w:beforeAutospacing="0" w:after="120"/>
        <w:ind w:left="567" w:hanging="425"/>
        <w:jc w:val="both"/>
        <w:rPr>
          <w:color w:val="000000"/>
          <w:kern w:val="24"/>
        </w:rPr>
      </w:pPr>
      <w:r w:rsidRPr="007C28CC">
        <w:rPr>
          <w:color w:val="000000"/>
          <w:kern w:val="24"/>
        </w:rPr>
        <w:t xml:space="preserve">Wariant „2” obejmował budowę muru oporowego na lewym brzegu rzeki Łeba od km 1+000 do km 1+900 w m. Łeba (Zadanie W_AR_16). Lokalizację działania zaproponowanego w wariancie „2” przedstawia </w:t>
      </w:r>
      <w:r w:rsidRPr="007C28CC">
        <w:rPr>
          <w:color w:val="000000"/>
          <w:kern w:val="24"/>
        </w:rPr>
        <w:fldChar w:fldCharType="begin"/>
      </w:r>
      <w:r w:rsidRPr="007C28CC">
        <w:rPr>
          <w:color w:val="000000"/>
          <w:kern w:val="24"/>
        </w:rPr>
        <w:instrText xml:space="preserve"> REF _Ref76575265 \h </w:instrText>
      </w:r>
      <w:r w:rsidRPr="007C28CC">
        <w:rPr>
          <w:color w:val="000000"/>
          <w:kern w:val="24"/>
        </w:rPr>
      </w:r>
      <w:r w:rsidRPr="007C28CC">
        <w:rPr>
          <w:color w:val="000000"/>
          <w:kern w:val="24"/>
        </w:rPr>
        <w:fldChar w:fldCharType="separate"/>
      </w:r>
      <w:r w:rsidR="00FD3F9A" w:rsidRPr="007C28CC">
        <w:t xml:space="preserve">Rysunek </w:t>
      </w:r>
      <w:r w:rsidR="00FD3F9A">
        <w:rPr>
          <w:noProof/>
        </w:rPr>
        <w:t>30</w:t>
      </w:r>
      <w:r w:rsidRPr="007C28CC">
        <w:rPr>
          <w:color w:val="000000"/>
          <w:kern w:val="24"/>
        </w:rPr>
        <w:fldChar w:fldCharType="end"/>
      </w:r>
      <w:r w:rsidRPr="007C28CC">
        <w:rPr>
          <w:color w:val="000000"/>
          <w:kern w:val="24"/>
        </w:rPr>
        <w:t>.</w:t>
      </w:r>
    </w:p>
    <w:p w14:paraId="026DAD15" w14:textId="77777777" w:rsidR="00BA0236" w:rsidRPr="007C28CC" w:rsidRDefault="00BA0236" w:rsidP="004D6635">
      <w:pPr>
        <w:pStyle w:val="ReportText"/>
        <w:numPr>
          <w:ilvl w:val="2"/>
          <w:numId w:val="21"/>
        </w:numPr>
        <w:spacing w:before="120" w:after="120"/>
        <w:ind w:left="1134" w:hanging="283"/>
      </w:pPr>
      <w:r w:rsidRPr="007C28CC">
        <w:t>Typ ochrony: mury oporowe;</w:t>
      </w:r>
    </w:p>
    <w:p w14:paraId="4495B6D3" w14:textId="77777777" w:rsidR="00BA0236" w:rsidRPr="007C28CC" w:rsidRDefault="00BA0236" w:rsidP="004D6635">
      <w:pPr>
        <w:pStyle w:val="ReportText"/>
        <w:numPr>
          <w:ilvl w:val="2"/>
          <w:numId w:val="21"/>
        </w:numPr>
        <w:spacing w:before="120" w:after="120"/>
        <w:ind w:left="1134" w:hanging="283"/>
      </w:pPr>
      <w:r w:rsidRPr="007C28CC">
        <w:t>Długość: 0,81 km;</w:t>
      </w:r>
    </w:p>
    <w:p w14:paraId="3E939F56" w14:textId="77777777" w:rsidR="00BA0236" w:rsidRPr="007C28CC" w:rsidRDefault="00BA0236" w:rsidP="004D6635">
      <w:pPr>
        <w:pStyle w:val="ReportText"/>
        <w:numPr>
          <w:ilvl w:val="2"/>
          <w:numId w:val="21"/>
        </w:numPr>
        <w:spacing w:before="120" w:after="120"/>
        <w:ind w:left="1134" w:hanging="283"/>
      </w:pPr>
      <w:r w:rsidRPr="007C28CC">
        <w:t>Średnia wysokość: 1,30 m;</w:t>
      </w:r>
    </w:p>
    <w:p w14:paraId="40547930" w14:textId="77777777" w:rsidR="00BA0236" w:rsidRPr="007C28CC" w:rsidRDefault="00BA0236" w:rsidP="004D6635">
      <w:pPr>
        <w:pStyle w:val="ReportText"/>
        <w:numPr>
          <w:ilvl w:val="2"/>
          <w:numId w:val="21"/>
        </w:numPr>
        <w:spacing w:before="120" w:after="120"/>
        <w:ind w:left="1134" w:hanging="283"/>
      </w:pPr>
      <w:r w:rsidRPr="007C28CC">
        <w:t>Rzędna wody miarodajnej (przy wezbraniu 1%): 1,29 m n.p.m.;</w:t>
      </w:r>
    </w:p>
    <w:p w14:paraId="03BA0334" w14:textId="77777777" w:rsidR="00BA0236" w:rsidRPr="007C28CC" w:rsidRDefault="00BA0236" w:rsidP="004D6635">
      <w:pPr>
        <w:pStyle w:val="ReportText"/>
        <w:numPr>
          <w:ilvl w:val="2"/>
          <w:numId w:val="21"/>
        </w:numPr>
        <w:spacing w:before="120" w:after="120"/>
        <w:ind w:left="1134" w:hanging="283"/>
      </w:pPr>
      <w:r w:rsidRPr="007C28CC">
        <w:t>Rzędna wody kontrolnej (przy wezbraniu 0,2%): 1,44 m n.p.m.;</w:t>
      </w:r>
    </w:p>
    <w:p w14:paraId="1219906D" w14:textId="77777777" w:rsidR="00BA0236" w:rsidRPr="007C28CC" w:rsidRDefault="00BA0236" w:rsidP="004D6635">
      <w:pPr>
        <w:pStyle w:val="ReportText"/>
        <w:numPr>
          <w:ilvl w:val="2"/>
          <w:numId w:val="21"/>
        </w:numPr>
        <w:spacing w:before="120" w:after="0"/>
        <w:ind w:left="1134" w:hanging="283"/>
      </w:pPr>
      <w:r w:rsidRPr="007C28CC">
        <w:t>Wymagana minimalna rzędna górnej krawędzi: 1,79 m n.p.m. (0,50 m nad poziom lustra wody 1%).</w:t>
      </w:r>
    </w:p>
    <w:p w14:paraId="79C6515A" w14:textId="2847194E" w:rsidR="00BA0236" w:rsidRPr="007C28CC" w:rsidRDefault="00E8074C" w:rsidP="007C28CC">
      <w:pPr>
        <w:pStyle w:val="ReportText"/>
        <w:spacing w:before="0" w:after="0"/>
        <w:jc w:val="center"/>
      </w:pPr>
      <w:r>
        <w:rPr>
          <w:noProof/>
          <w:lang w:eastAsia="pl-PL"/>
        </w:rPr>
        <w:lastRenderedPageBreak/>
        <w:drawing>
          <wp:inline distT="0" distB="0" distL="0" distR="0" wp14:anchorId="71AFA728" wp14:editId="0ED8A538">
            <wp:extent cx="3933825" cy="3933825"/>
            <wp:effectExtent l="0" t="0" r="0" b="0"/>
            <wp:docPr id="31" name="Obraz 61" descr="Obraz zawierający mapa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1" descr="Obraz zawierający mapaOpis wygenerowany automatyczni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933825" cy="3933825"/>
                    </a:xfrm>
                    <a:prstGeom prst="rect">
                      <a:avLst/>
                    </a:prstGeom>
                    <a:noFill/>
                    <a:ln>
                      <a:noFill/>
                    </a:ln>
                  </pic:spPr>
                </pic:pic>
              </a:graphicData>
            </a:graphic>
          </wp:inline>
        </w:drawing>
      </w:r>
    </w:p>
    <w:p w14:paraId="482BECE5" w14:textId="2A1947DE" w:rsidR="00BA0236" w:rsidRPr="007C28CC" w:rsidRDefault="00BA0236" w:rsidP="004D6635">
      <w:pPr>
        <w:pStyle w:val="ReportText"/>
        <w:spacing w:before="0"/>
        <w:ind w:left="1418" w:hanging="1418"/>
      </w:pPr>
      <w:bookmarkStart w:id="115" w:name="_Ref76575265"/>
      <w:bookmarkStart w:id="116" w:name="_Toc76734825"/>
      <w:bookmarkStart w:id="117" w:name="_Toc80604803"/>
      <w:r w:rsidRPr="007C28CC">
        <w:t xml:space="preserve">Rysunek </w:t>
      </w:r>
      <w:r w:rsidR="00677743">
        <w:rPr>
          <w:noProof/>
        </w:rPr>
        <w:fldChar w:fldCharType="begin"/>
      </w:r>
      <w:r w:rsidR="00677743">
        <w:rPr>
          <w:noProof/>
        </w:rPr>
        <w:instrText xml:space="preserve"> SEQ Rysunek \* ARABIC </w:instrText>
      </w:r>
      <w:r w:rsidR="00677743">
        <w:rPr>
          <w:noProof/>
        </w:rPr>
        <w:fldChar w:fldCharType="separate"/>
      </w:r>
      <w:r w:rsidR="00FD3F9A">
        <w:rPr>
          <w:noProof/>
        </w:rPr>
        <w:t>30</w:t>
      </w:r>
      <w:r w:rsidR="00677743">
        <w:rPr>
          <w:noProof/>
        </w:rPr>
        <w:fldChar w:fldCharType="end"/>
      </w:r>
      <w:bookmarkEnd w:id="115"/>
      <w:r w:rsidRPr="007C28CC">
        <w:tab/>
        <w:t xml:space="preserve">Lokalizacja działań zaproponowanych w wariancie „2” dla obszaru problemowego </w:t>
      </w:r>
      <w:bookmarkEnd w:id="116"/>
      <w:r w:rsidRPr="007C28CC">
        <w:t>IOP_12 Łeba od Mielnickiego Kanału do Chełstu (p)</w:t>
      </w:r>
      <w:bookmarkEnd w:id="117"/>
    </w:p>
    <w:p w14:paraId="582BE921" w14:textId="77777777" w:rsidR="00BA0236" w:rsidRPr="007C28CC" w:rsidRDefault="00BA0236" w:rsidP="007C28CC">
      <w:pPr>
        <w:pStyle w:val="ReportText"/>
        <w:spacing w:before="0"/>
      </w:pPr>
    </w:p>
    <w:p w14:paraId="279B6BF5" w14:textId="77777777" w:rsidR="00BA0236" w:rsidRPr="007C28CC" w:rsidRDefault="00BA0236" w:rsidP="007C28CC">
      <w:pPr>
        <w:rPr>
          <w:b/>
          <w:color w:val="28AAE1"/>
          <w:sz w:val="32"/>
          <w:szCs w:val="20"/>
          <w:lang w:eastAsia="en-US"/>
        </w:rPr>
      </w:pPr>
      <w:r w:rsidRPr="007C28CC">
        <w:br w:type="page"/>
      </w:r>
    </w:p>
    <w:p w14:paraId="10896F19" w14:textId="77777777" w:rsidR="00BA0236" w:rsidRPr="007C28CC" w:rsidRDefault="00BA0236" w:rsidP="00E8074C">
      <w:pPr>
        <w:pStyle w:val="ReportLevel2"/>
        <w:numPr>
          <w:ilvl w:val="1"/>
          <w:numId w:val="9"/>
        </w:numPr>
      </w:pPr>
      <w:bookmarkStart w:id="118" w:name="_Toc79511681"/>
      <w:bookmarkStart w:id="119" w:name="_Toc80604861"/>
      <w:r w:rsidRPr="007C28CC">
        <w:lastRenderedPageBreak/>
        <w:t>MR_1 Żuławy Wiślane</w:t>
      </w:r>
      <w:bookmarkEnd w:id="118"/>
      <w:bookmarkEnd w:id="119"/>
    </w:p>
    <w:p w14:paraId="0377C470" w14:textId="77777777" w:rsidR="00BA0236" w:rsidRPr="007C28CC" w:rsidRDefault="00BA0236" w:rsidP="007C28CC">
      <w:pPr>
        <w:pStyle w:val="ReportText"/>
        <w:spacing w:before="60" w:after="60"/>
      </w:pPr>
      <w:r w:rsidRPr="007C28CC">
        <w:t xml:space="preserve">Dla obszaru problemowego MR_1 Żuławy Wiślane zdefiniowano zagrożenie powodziowe w m. Elbląg na prawym brzegu rz. Elbląg w ujściowym odcinku cieku. Dla przedmiotowego rejonu zaproponowano trzy warianty obniżenia istniejącego ryzyka powodziowego: </w:t>
      </w:r>
    </w:p>
    <w:p w14:paraId="24B7B290" w14:textId="51D17EDE" w:rsidR="00BA0236" w:rsidRPr="007C28CC" w:rsidRDefault="00BA0236" w:rsidP="004D6635">
      <w:pPr>
        <w:pStyle w:val="ReportText"/>
        <w:numPr>
          <w:ilvl w:val="0"/>
          <w:numId w:val="20"/>
        </w:numPr>
        <w:spacing w:before="60" w:after="60"/>
        <w:ind w:left="567" w:hanging="425"/>
      </w:pPr>
      <w:r w:rsidRPr="007C28CC">
        <w:t>Wariant „0</w:t>
      </w:r>
      <w:r w:rsidR="00594807">
        <w:t>bis</w:t>
      </w:r>
      <w:r w:rsidRPr="007C28CC">
        <w:t xml:space="preserve">” </w:t>
      </w:r>
      <w:r w:rsidRPr="00475541">
        <w:t>obejm</w:t>
      </w:r>
      <w:r>
        <w:t>ował</w:t>
      </w:r>
      <w:r w:rsidRPr="00475541">
        <w:t xml:space="preserve"> istniejący stan zabudowy hydrotechnicznej</w:t>
      </w:r>
      <w:r>
        <w:t xml:space="preserve"> </w:t>
      </w:r>
      <w:r w:rsidRPr="00475541">
        <w:t>(zgodnie z wynikami przeglądu i aktualizacji map zagrożenia powodziowego i map ryzyka</w:t>
      </w:r>
      <w:r>
        <w:t xml:space="preserve"> </w:t>
      </w:r>
      <w:r w:rsidRPr="00475541">
        <w:t>powodziowego</w:t>
      </w:r>
      <w:r>
        <w:t xml:space="preserve"> </w:t>
      </w:r>
      <w:r w:rsidRPr="00475541">
        <w:t>od strony morza w tym morskich wód wewnętrznych</w:t>
      </w:r>
      <w:r>
        <w:t xml:space="preserve"> </w:t>
      </w:r>
      <w:r w:rsidRPr="00475541">
        <w:t>na koniec roku 2019</w:t>
      </w:r>
      <w:r>
        <w:t xml:space="preserve"> z</w:t>
      </w:r>
      <w:r w:rsidRPr="00791A72">
        <w:t>aktualiz</w:t>
      </w:r>
      <w:r>
        <w:t xml:space="preserve">owany </w:t>
      </w:r>
      <w:r w:rsidRPr="00791A72">
        <w:t xml:space="preserve">o działania będące w realizacji lub planowane do rozpoczęcia </w:t>
      </w:r>
      <w:r>
        <w:t>do</w:t>
      </w:r>
      <w:r w:rsidRPr="00791A72">
        <w:t xml:space="preserve"> 2022 r., lub zakończone po 2019 r</w:t>
      </w:r>
      <w:r>
        <w:t>.</w:t>
      </w:r>
      <w:r w:rsidRPr="00475541">
        <w:t>)</w:t>
      </w:r>
      <w:r>
        <w:t xml:space="preserve"> </w:t>
      </w:r>
      <w:r w:rsidRPr="007C28CC">
        <w:t xml:space="preserve">czyli </w:t>
      </w:r>
      <w:r w:rsidR="00594807">
        <w:t xml:space="preserve">zadania </w:t>
      </w:r>
      <w:r w:rsidR="00594807" w:rsidRPr="00594807">
        <w:t>W_DW_76</w:t>
      </w:r>
      <w:r w:rsidR="00594807">
        <w:t xml:space="preserve"> (</w:t>
      </w:r>
      <w:r w:rsidR="00594807" w:rsidRPr="00594807">
        <w:t>Przebudowa prawego wału przeciwpowodziowego rzeki Szkarpawy w km 0+000-9+100</w:t>
      </w:r>
      <w:r w:rsidR="00594807">
        <w:t xml:space="preserve">) i  </w:t>
      </w:r>
      <w:r w:rsidR="00594807" w:rsidRPr="00594807">
        <w:t>W_DW_2650</w:t>
      </w:r>
      <w:r w:rsidR="00594807">
        <w:t xml:space="preserve"> (</w:t>
      </w:r>
      <w:r w:rsidR="00594807" w:rsidRPr="00594807">
        <w:t>Podwyższenie i umocnienie istniejącego częściowo umocnionego nabrzeża rzeki Elbląg</w:t>
      </w:r>
      <w:r w:rsidR="00594807">
        <w:t>)</w:t>
      </w:r>
      <w:r w:rsidRPr="007C28CC">
        <w:t xml:space="preserve">. </w:t>
      </w:r>
    </w:p>
    <w:p w14:paraId="364A08CB" w14:textId="2B784407" w:rsidR="00BA0236" w:rsidRPr="007C28CC" w:rsidRDefault="00BA0236" w:rsidP="004D6635">
      <w:pPr>
        <w:pStyle w:val="NormalnyWeb"/>
        <w:numPr>
          <w:ilvl w:val="0"/>
          <w:numId w:val="20"/>
        </w:numPr>
        <w:spacing w:before="60" w:beforeAutospacing="0" w:after="60"/>
        <w:ind w:left="567" w:hanging="425"/>
        <w:jc w:val="both"/>
      </w:pPr>
      <w:r w:rsidRPr="007C28CC">
        <w:t xml:space="preserve">Wariant „1” obejmował </w:t>
      </w:r>
      <w:r w:rsidRPr="007C28CC">
        <w:rPr>
          <w:color w:val="000000"/>
          <w:kern w:val="24"/>
        </w:rPr>
        <w:t xml:space="preserve">mobilny system zabezpieczenia przeciwpowodziowego wzdłuż ul. Radomskiej (1250m) i ul. Stawidłowej (150m) w m. Elbląg, wraz z rozwojem lokalnego systemu ostrzegania przed powodziami i prognozowania zagrożeń na terenie miasta </w:t>
      </w:r>
      <w:r w:rsidRPr="007C28CC">
        <w:t xml:space="preserve">(Zadanie W_AR_17) oraz </w:t>
      </w:r>
      <w:r w:rsidRPr="007C28CC">
        <w:rPr>
          <w:color w:val="000000"/>
          <w:kern w:val="24"/>
        </w:rPr>
        <w:t>mobilny system zabezpieczenia przeciwpowodziowego wzdłuż ul. Grochowskiej (400m) w</w:t>
      </w:r>
      <w:r w:rsidR="004D6635">
        <w:rPr>
          <w:color w:val="000000"/>
          <w:kern w:val="24"/>
        </w:rPr>
        <w:t> </w:t>
      </w:r>
      <w:r w:rsidRPr="007C28CC">
        <w:rPr>
          <w:color w:val="000000"/>
          <w:kern w:val="24"/>
        </w:rPr>
        <w:t>Elblągu, wraz z rozwojem lokalnego systemu ostrzegania przed powodziami i</w:t>
      </w:r>
      <w:r w:rsidR="00A30588">
        <w:rPr>
          <w:color w:val="000000"/>
          <w:kern w:val="24"/>
        </w:rPr>
        <w:t> </w:t>
      </w:r>
      <w:r w:rsidRPr="007C28CC">
        <w:rPr>
          <w:color w:val="000000"/>
          <w:kern w:val="24"/>
        </w:rPr>
        <w:t xml:space="preserve">prognozowania zagrożeń na terenie miasta </w:t>
      </w:r>
      <w:r w:rsidRPr="007C28CC">
        <w:t>(Zadanie W_AR_18)</w:t>
      </w:r>
      <w:r w:rsidRPr="007C28CC">
        <w:rPr>
          <w:color w:val="000000"/>
          <w:kern w:val="24"/>
        </w:rPr>
        <w:t>.</w:t>
      </w:r>
      <w:r w:rsidRPr="007C28CC">
        <w:t xml:space="preserve"> Lokalizację działania zaproponowanego w wariancie „1” przedstawiają </w:t>
      </w:r>
      <w:r w:rsidRPr="007C28CC">
        <w:fldChar w:fldCharType="begin"/>
      </w:r>
      <w:r w:rsidRPr="007C28CC">
        <w:instrText xml:space="preserve"> REF _Ref79486930 \h </w:instrText>
      </w:r>
      <w:r w:rsidRPr="007C28CC">
        <w:fldChar w:fldCharType="separate"/>
      </w:r>
      <w:r w:rsidR="00FD3F9A" w:rsidRPr="007C28CC">
        <w:t xml:space="preserve">Rysunek </w:t>
      </w:r>
      <w:r w:rsidR="00FD3F9A">
        <w:rPr>
          <w:noProof/>
        </w:rPr>
        <w:t>31</w:t>
      </w:r>
      <w:r w:rsidRPr="007C28CC">
        <w:fldChar w:fldCharType="end"/>
      </w:r>
      <w:r w:rsidRPr="007C28CC">
        <w:t xml:space="preserve"> i </w:t>
      </w:r>
      <w:r w:rsidRPr="007C28CC">
        <w:fldChar w:fldCharType="begin"/>
      </w:r>
      <w:r w:rsidRPr="007C28CC">
        <w:instrText xml:space="preserve"> REF _Ref79486960 \h </w:instrText>
      </w:r>
      <w:r w:rsidRPr="007C28CC">
        <w:fldChar w:fldCharType="separate"/>
      </w:r>
      <w:r w:rsidR="00FD3F9A" w:rsidRPr="007C28CC">
        <w:t xml:space="preserve">Rysunek </w:t>
      </w:r>
      <w:r w:rsidR="00FD3F9A">
        <w:rPr>
          <w:noProof/>
        </w:rPr>
        <w:t>32</w:t>
      </w:r>
      <w:r w:rsidRPr="007C28CC">
        <w:fldChar w:fldCharType="end"/>
      </w:r>
      <w:r w:rsidRPr="007C28CC">
        <w:t xml:space="preserve">. </w:t>
      </w:r>
    </w:p>
    <w:p w14:paraId="51401C5A" w14:textId="3BF0FAF4" w:rsidR="00BA0236" w:rsidRPr="007C28CC" w:rsidRDefault="00BA0236" w:rsidP="00A30588">
      <w:pPr>
        <w:pStyle w:val="ReportText"/>
        <w:numPr>
          <w:ilvl w:val="2"/>
          <w:numId w:val="21"/>
        </w:numPr>
        <w:spacing w:before="60" w:after="60"/>
        <w:ind w:left="1134" w:hanging="283"/>
      </w:pPr>
      <w:r w:rsidRPr="007C28CC">
        <w:t xml:space="preserve">Typ ochrony: mobilne przegrody przeciwpowodziowe (belki zaporowe </w:t>
      </w:r>
      <w:r w:rsidR="00A30588">
        <w:t>–</w:t>
      </w:r>
      <w:r w:rsidRPr="007C28CC">
        <w:t xml:space="preserve"> szandory) ul. Radomska i ul. Stawidłowa;</w:t>
      </w:r>
    </w:p>
    <w:p w14:paraId="238C82E9" w14:textId="77777777" w:rsidR="00BA0236" w:rsidRPr="007C28CC" w:rsidRDefault="00BA0236" w:rsidP="00A30588">
      <w:pPr>
        <w:pStyle w:val="ReportText"/>
        <w:numPr>
          <w:ilvl w:val="2"/>
          <w:numId w:val="21"/>
        </w:numPr>
        <w:spacing w:before="60" w:after="60"/>
        <w:ind w:left="1134" w:hanging="283"/>
      </w:pPr>
      <w:r w:rsidRPr="007C28CC">
        <w:t>Długość: 1,4 km; (średnia wysokość: 0,80 m);</w:t>
      </w:r>
    </w:p>
    <w:p w14:paraId="6086F2CB" w14:textId="1FBD83DB" w:rsidR="00BA0236" w:rsidRPr="007C28CC" w:rsidRDefault="00BA0236" w:rsidP="00A30588">
      <w:pPr>
        <w:pStyle w:val="ReportText"/>
        <w:numPr>
          <w:ilvl w:val="2"/>
          <w:numId w:val="21"/>
        </w:numPr>
        <w:spacing w:before="60" w:after="60"/>
        <w:ind w:left="1134" w:hanging="283"/>
      </w:pPr>
      <w:r w:rsidRPr="007C28CC">
        <w:t xml:space="preserve">Typ ochrony: mobilne przegrody przeciwpowodziowe (belki zaporowe </w:t>
      </w:r>
      <w:r w:rsidR="00A30588">
        <w:t>–</w:t>
      </w:r>
      <w:r w:rsidRPr="007C28CC">
        <w:t xml:space="preserve"> szandory) ul. Grochowska;</w:t>
      </w:r>
    </w:p>
    <w:p w14:paraId="341D40E5" w14:textId="77777777" w:rsidR="00BA0236" w:rsidRPr="007C28CC" w:rsidRDefault="00BA0236" w:rsidP="00A30588">
      <w:pPr>
        <w:pStyle w:val="ReportText"/>
        <w:numPr>
          <w:ilvl w:val="2"/>
          <w:numId w:val="21"/>
        </w:numPr>
        <w:spacing w:before="60" w:after="60"/>
        <w:ind w:left="1134" w:hanging="283"/>
      </w:pPr>
      <w:r w:rsidRPr="007C28CC">
        <w:t>Długość: 0,4 km; (średnia wysokość: 0,80 m);</w:t>
      </w:r>
    </w:p>
    <w:p w14:paraId="614F614A" w14:textId="77777777" w:rsidR="00BA0236" w:rsidRPr="007C28CC" w:rsidRDefault="00BA0236" w:rsidP="00A30588">
      <w:pPr>
        <w:pStyle w:val="ReportText"/>
        <w:numPr>
          <w:ilvl w:val="2"/>
          <w:numId w:val="21"/>
        </w:numPr>
        <w:spacing w:before="60" w:after="60"/>
        <w:ind w:left="1134" w:hanging="283"/>
      </w:pPr>
      <w:r w:rsidRPr="007C28CC">
        <w:t>Rzędna wody miarodajnej (przy wezbraniu 1%): 1,46 m n.p.m.;</w:t>
      </w:r>
    </w:p>
    <w:p w14:paraId="3D543464" w14:textId="77777777" w:rsidR="00BA0236" w:rsidRPr="007C28CC" w:rsidRDefault="00BA0236" w:rsidP="00A30588">
      <w:pPr>
        <w:pStyle w:val="ReportText"/>
        <w:numPr>
          <w:ilvl w:val="2"/>
          <w:numId w:val="21"/>
        </w:numPr>
        <w:spacing w:before="60" w:after="60"/>
        <w:ind w:left="1134" w:hanging="283"/>
      </w:pPr>
      <w:r w:rsidRPr="007C28CC">
        <w:t>Rzędna wody kontrolnej (przy wezbraniu 0,2%): 1,50 m n.p.m.;</w:t>
      </w:r>
    </w:p>
    <w:p w14:paraId="626AB85E" w14:textId="77777777" w:rsidR="00BA0236" w:rsidRPr="007C28CC" w:rsidRDefault="00BA0236" w:rsidP="00A30588">
      <w:pPr>
        <w:pStyle w:val="ReportText"/>
        <w:numPr>
          <w:ilvl w:val="2"/>
          <w:numId w:val="21"/>
        </w:numPr>
        <w:spacing w:before="60" w:after="0"/>
        <w:ind w:left="1134" w:hanging="283"/>
      </w:pPr>
      <w:r w:rsidRPr="007C28CC">
        <w:t>Wymagana minimalna rzędna górnej krawędzi: 1,96 m n.p.m. (0,50 m nad poziom lustra wody 1%).</w:t>
      </w:r>
    </w:p>
    <w:p w14:paraId="332FD866" w14:textId="1D29E587" w:rsidR="00BA0236" w:rsidRPr="007C28CC" w:rsidRDefault="00E8074C" w:rsidP="007C28CC">
      <w:pPr>
        <w:pStyle w:val="ReportText"/>
        <w:spacing w:before="0" w:after="0"/>
        <w:jc w:val="center"/>
      </w:pPr>
      <w:r>
        <w:rPr>
          <w:noProof/>
          <w:lang w:eastAsia="pl-PL"/>
        </w:rPr>
        <w:lastRenderedPageBreak/>
        <w:drawing>
          <wp:inline distT="0" distB="0" distL="0" distR="0" wp14:anchorId="7AAC8F6E" wp14:editId="148A6AA5">
            <wp:extent cx="3581400" cy="3419475"/>
            <wp:effectExtent l="0" t="0" r="0" b="0"/>
            <wp:docPr id="32" name="Obraz 62" descr="Obraz zawierający mapa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2" descr="Obraz zawierający mapaOpis wygenerowany automatycznie"/>
                    <pic:cNvPicPr>
                      <a:picLocks noChangeAspect="1" noChangeArrowheads="1"/>
                    </pic:cNvPicPr>
                  </pic:nvPicPr>
                  <pic:blipFill>
                    <a:blip r:embed="rId41">
                      <a:extLst>
                        <a:ext uri="{28A0092B-C50C-407E-A947-70E740481C1C}">
                          <a14:useLocalDpi xmlns:a14="http://schemas.microsoft.com/office/drawing/2010/main" val="0"/>
                        </a:ext>
                      </a:extLst>
                    </a:blip>
                    <a:srcRect t="2081" b="2502"/>
                    <a:stretch>
                      <a:fillRect/>
                    </a:stretch>
                  </pic:blipFill>
                  <pic:spPr bwMode="auto">
                    <a:xfrm>
                      <a:off x="0" y="0"/>
                      <a:ext cx="3581400" cy="3419475"/>
                    </a:xfrm>
                    <a:prstGeom prst="rect">
                      <a:avLst/>
                    </a:prstGeom>
                    <a:noFill/>
                    <a:ln>
                      <a:noFill/>
                    </a:ln>
                  </pic:spPr>
                </pic:pic>
              </a:graphicData>
            </a:graphic>
          </wp:inline>
        </w:drawing>
      </w:r>
    </w:p>
    <w:p w14:paraId="4D8D8A42" w14:textId="387ACA48" w:rsidR="00BA0236" w:rsidRPr="007C28CC" w:rsidRDefault="00BA0236" w:rsidP="00A30588">
      <w:pPr>
        <w:pStyle w:val="ReportText"/>
        <w:spacing w:before="0"/>
        <w:ind w:left="1418" w:hanging="1418"/>
      </w:pPr>
      <w:bookmarkStart w:id="120" w:name="_Ref79486930"/>
      <w:bookmarkStart w:id="121" w:name="_Toc80604804"/>
      <w:r w:rsidRPr="007C28CC">
        <w:t xml:space="preserve">Rysunek </w:t>
      </w:r>
      <w:r w:rsidR="00677743">
        <w:rPr>
          <w:noProof/>
        </w:rPr>
        <w:fldChar w:fldCharType="begin"/>
      </w:r>
      <w:r w:rsidR="00677743">
        <w:rPr>
          <w:noProof/>
        </w:rPr>
        <w:instrText xml:space="preserve"> SEQ Rysunek \* ARABIC </w:instrText>
      </w:r>
      <w:r w:rsidR="00677743">
        <w:rPr>
          <w:noProof/>
        </w:rPr>
        <w:fldChar w:fldCharType="separate"/>
      </w:r>
      <w:r w:rsidR="00FD3F9A">
        <w:rPr>
          <w:noProof/>
        </w:rPr>
        <w:t>31</w:t>
      </w:r>
      <w:r w:rsidR="00677743">
        <w:rPr>
          <w:noProof/>
        </w:rPr>
        <w:fldChar w:fldCharType="end"/>
      </w:r>
      <w:bookmarkEnd w:id="120"/>
      <w:r w:rsidRPr="007C28CC">
        <w:tab/>
        <w:t>Lokalizacja działań zaproponowanych w wariancie „1” dla obszaru problemowego MR_1 Żuławy Wiślane cz.1, Elbląg, ul. Radomska i ul. Stawidłowa</w:t>
      </w:r>
      <w:bookmarkEnd w:id="121"/>
    </w:p>
    <w:p w14:paraId="49FDF193" w14:textId="3F9F6EB7" w:rsidR="00BA0236" w:rsidRPr="007C28CC" w:rsidRDefault="00E8074C" w:rsidP="007C28CC">
      <w:pPr>
        <w:pStyle w:val="ReportText"/>
        <w:spacing w:before="0"/>
        <w:jc w:val="center"/>
      </w:pPr>
      <w:r>
        <w:rPr>
          <w:noProof/>
          <w:lang w:eastAsia="pl-PL"/>
        </w:rPr>
        <w:drawing>
          <wp:inline distT="0" distB="0" distL="0" distR="0" wp14:anchorId="4907705D" wp14:editId="4CA06069">
            <wp:extent cx="3552825" cy="3552825"/>
            <wp:effectExtent l="0" t="0" r="0" b="0"/>
            <wp:docPr id="33" name="Obraz 64" descr="Obraz zawierający mapa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4" descr="Obraz zawierający mapaOpis wygenerowany automatyczni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552825" cy="3552825"/>
                    </a:xfrm>
                    <a:prstGeom prst="rect">
                      <a:avLst/>
                    </a:prstGeom>
                    <a:noFill/>
                    <a:ln>
                      <a:noFill/>
                    </a:ln>
                  </pic:spPr>
                </pic:pic>
              </a:graphicData>
            </a:graphic>
          </wp:inline>
        </w:drawing>
      </w:r>
    </w:p>
    <w:p w14:paraId="2E2967F3" w14:textId="4A44D247" w:rsidR="00BA0236" w:rsidRPr="007C28CC" w:rsidRDefault="00BA0236" w:rsidP="00A30588">
      <w:pPr>
        <w:pStyle w:val="ReportText"/>
        <w:spacing w:before="0"/>
        <w:ind w:left="1418" w:hanging="1418"/>
      </w:pPr>
      <w:bookmarkStart w:id="122" w:name="_Ref79486960"/>
      <w:bookmarkStart w:id="123" w:name="_Toc80604805"/>
      <w:r w:rsidRPr="007C28CC">
        <w:t xml:space="preserve">Rysunek </w:t>
      </w:r>
      <w:r w:rsidR="00677743">
        <w:rPr>
          <w:noProof/>
        </w:rPr>
        <w:fldChar w:fldCharType="begin"/>
      </w:r>
      <w:r w:rsidR="00677743">
        <w:rPr>
          <w:noProof/>
        </w:rPr>
        <w:instrText xml:space="preserve"> SEQ Rysunek \* ARABIC </w:instrText>
      </w:r>
      <w:r w:rsidR="00677743">
        <w:rPr>
          <w:noProof/>
        </w:rPr>
        <w:fldChar w:fldCharType="separate"/>
      </w:r>
      <w:r w:rsidR="00FD3F9A">
        <w:rPr>
          <w:noProof/>
        </w:rPr>
        <w:t>32</w:t>
      </w:r>
      <w:r w:rsidR="00677743">
        <w:rPr>
          <w:noProof/>
        </w:rPr>
        <w:fldChar w:fldCharType="end"/>
      </w:r>
      <w:bookmarkEnd w:id="122"/>
      <w:r w:rsidRPr="007C28CC">
        <w:tab/>
        <w:t>Lokalizacja działań zaproponowanych w wariancie „1” dla obszaru problemowego MR_1 Żuławy Wiślane cz. 2, Elbląg ul. Grochowska</w:t>
      </w:r>
      <w:bookmarkEnd w:id="123"/>
    </w:p>
    <w:p w14:paraId="05859D10" w14:textId="07A586D6" w:rsidR="00BA0236" w:rsidRPr="007C28CC" w:rsidRDefault="00A30588" w:rsidP="00A30588">
      <w:pPr>
        <w:pStyle w:val="NormalnyWeb"/>
        <w:numPr>
          <w:ilvl w:val="0"/>
          <w:numId w:val="20"/>
        </w:numPr>
        <w:spacing w:before="0" w:beforeAutospacing="0"/>
        <w:ind w:left="567" w:hanging="425"/>
        <w:jc w:val="both"/>
        <w:rPr>
          <w:color w:val="000000"/>
          <w:kern w:val="24"/>
        </w:rPr>
      </w:pPr>
      <w:r>
        <w:rPr>
          <w:color w:val="000000"/>
          <w:kern w:val="24"/>
        </w:rPr>
        <w:br w:type="column"/>
      </w:r>
      <w:r w:rsidR="00BA0236" w:rsidRPr="007C28CC">
        <w:rPr>
          <w:color w:val="000000"/>
          <w:kern w:val="24"/>
        </w:rPr>
        <w:lastRenderedPageBreak/>
        <w:t xml:space="preserve">Wariant „2” obejmował działanie C03.1 zabezpieczenie przeciwpowodziowe lewego brzegu rzeki Elbląg - Przebudowa zabezpieczenia przeciwpowodziowego lewego brzegu rzeki Elbląg od ujścia rzeki Fiszewki do Kanału Jagiellońskiego w granicach miasta Elbląg - na odcinkach od Kanału Jagiellońskiego do Wyspy Spichrzów oraz odcinek od Wyspy Spichrzów do ujścia rzeki Fiszewki (Zadanie W_DW_22) oraz działanie C03.2 Zabezpieczenie przeciwpowodziowe lewego brzegu rzeki Elbląg - Przebudowa zabezpieczenia przeciwpowodziowego lewego brzegu rzeki Elbląg - Wyspa Spichrzów w Elblągu (Zadanie W_DW_23). Lokalizację działania zaproponowanego w wariancie „2” przedstawia </w:t>
      </w:r>
      <w:r w:rsidR="00BA0236" w:rsidRPr="007C28CC">
        <w:rPr>
          <w:color w:val="000000"/>
          <w:kern w:val="24"/>
        </w:rPr>
        <w:fldChar w:fldCharType="begin"/>
      </w:r>
      <w:r w:rsidR="00BA0236" w:rsidRPr="007C28CC">
        <w:rPr>
          <w:color w:val="000000"/>
          <w:kern w:val="24"/>
        </w:rPr>
        <w:instrText xml:space="preserve"> REF _Ref79487154 \h </w:instrText>
      </w:r>
      <w:r w:rsidR="00BA0236" w:rsidRPr="007C28CC">
        <w:rPr>
          <w:color w:val="000000"/>
          <w:kern w:val="24"/>
        </w:rPr>
      </w:r>
      <w:r w:rsidR="00BA0236" w:rsidRPr="007C28CC">
        <w:rPr>
          <w:color w:val="000000"/>
          <w:kern w:val="24"/>
        </w:rPr>
        <w:fldChar w:fldCharType="separate"/>
      </w:r>
      <w:r w:rsidR="00FD3F9A" w:rsidRPr="007C28CC">
        <w:t xml:space="preserve">Rysunek </w:t>
      </w:r>
      <w:r w:rsidR="00FD3F9A">
        <w:rPr>
          <w:noProof/>
        </w:rPr>
        <w:t>33</w:t>
      </w:r>
      <w:r w:rsidR="00BA0236" w:rsidRPr="007C28CC">
        <w:rPr>
          <w:color w:val="000000"/>
          <w:kern w:val="24"/>
        </w:rPr>
        <w:fldChar w:fldCharType="end"/>
      </w:r>
      <w:r w:rsidR="00BA0236" w:rsidRPr="007C28CC">
        <w:rPr>
          <w:color w:val="000000"/>
          <w:kern w:val="24"/>
        </w:rPr>
        <w:t xml:space="preserve"> i </w:t>
      </w:r>
      <w:r w:rsidR="00BA0236" w:rsidRPr="007C28CC">
        <w:rPr>
          <w:color w:val="000000"/>
          <w:kern w:val="24"/>
        </w:rPr>
        <w:fldChar w:fldCharType="begin"/>
      </w:r>
      <w:r w:rsidR="00BA0236" w:rsidRPr="007C28CC">
        <w:rPr>
          <w:color w:val="000000"/>
          <w:kern w:val="24"/>
        </w:rPr>
        <w:instrText xml:space="preserve"> REF _Ref79488591 \h </w:instrText>
      </w:r>
      <w:r w:rsidR="00BA0236" w:rsidRPr="007C28CC">
        <w:rPr>
          <w:color w:val="000000"/>
          <w:kern w:val="24"/>
        </w:rPr>
      </w:r>
      <w:r w:rsidR="00BA0236" w:rsidRPr="007C28CC">
        <w:rPr>
          <w:color w:val="000000"/>
          <w:kern w:val="24"/>
        </w:rPr>
        <w:fldChar w:fldCharType="separate"/>
      </w:r>
      <w:r w:rsidR="00FD3F9A" w:rsidRPr="007C28CC">
        <w:t xml:space="preserve">Rysunek </w:t>
      </w:r>
      <w:r w:rsidR="00FD3F9A">
        <w:rPr>
          <w:noProof/>
        </w:rPr>
        <w:t>34</w:t>
      </w:r>
      <w:r w:rsidR="00BA0236" w:rsidRPr="007C28CC">
        <w:rPr>
          <w:color w:val="000000"/>
          <w:kern w:val="24"/>
        </w:rPr>
        <w:fldChar w:fldCharType="end"/>
      </w:r>
      <w:r w:rsidR="00BA0236" w:rsidRPr="007C28CC">
        <w:rPr>
          <w:color w:val="000000"/>
          <w:kern w:val="24"/>
        </w:rPr>
        <w:t>.</w:t>
      </w:r>
    </w:p>
    <w:p w14:paraId="71E722BC" w14:textId="77777777" w:rsidR="00BA0236" w:rsidRPr="007C28CC" w:rsidRDefault="00BA0236" w:rsidP="00A30588">
      <w:pPr>
        <w:pStyle w:val="ReportText"/>
        <w:numPr>
          <w:ilvl w:val="2"/>
          <w:numId w:val="21"/>
        </w:numPr>
        <w:spacing w:before="120" w:after="120"/>
        <w:ind w:left="1134" w:hanging="283"/>
      </w:pPr>
      <w:r w:rsidRPr="007C28CC">
        <w:t>Typ ochrony: przebudowa zabezpieczenia przeciwpowodziowego – wał przeciwpowodziowy od Kanału Jagiellońskiego do Wyspy Spichrzów, brzeg lewy rz. Elbląg;</w:t>
      </w:r>
    </w:p>
    <w:p w14:paraId="4B2C81C7" w14:textId="77777777" w:rsidR="00BA0236" w:rsidRPr="007C28CC" w:rsidRDefault="00BA0236" w:rsidP="00A30588">
      <w:pPr>
        <w:pStyle w:val="ReportText"/>
        <w:numPr>
          <w:ilvl w:val="2"/>
          <w:numId w:val="21"/>
        </w:numPr>
        <w:spacing w:before="120" w:after="120"/>
        <w:ind w:left="1134" w:hanging="283"/>
      </w:pPr>
      <w:r w:rsidRPr="007C28CC">
        <w:t>Długość: 1,28 km;</w:t>
      </w:r>
    </w:p>
    <w:p w14:paraId="057B9653" w14:textId="77777777" w:rsidR="00BA0236" w:rsidRPr="007C28CC" w:rsidRDefault="00BA0236" w:rsidP="00A30588">
      <w:pPr>
        <w:pStyle w:val="ReportText"/>
        <w:numPr>
          <w:ilvl w:val="2"/>
          <w:numId w:val="21"/>
        </w:numPr>
        <w:spacing w:before="120" w:after="120"/>
        <w:ind w:left="1134" w:hanging="283"/>
      </w:pPr>
      <w:r w:rsidRPr="007C28CC">
        <w:t>Średnia wysokość: 0,80 m;</w:t>
      </w:r>
    </w:p>
    <w:p w14:paraId="71429842" w14:textId="77777777" w:rsidR="00BA0236" w:rsidRPr="007C28CC" w:rsidRDefault="00BA0236" w:rsidP="00A30588">
      <w:pPr>
        <w:pStyle w:val="ReportText"/>
        <w:numPr>
          <w:ilvl w:val="2"/>
          <w:numId w:val="21"/>
        </w:numPr>
        <w:spacing w:before="120" w:after="120"/>
        <w:ind w:left="1134" w:hanging="283"/>
      </w:pPr>
      <w:r w:rsidRPr="007C28CC">
        <w:t>Typ ochrony: przebudowa zabezpieczenia przeciwpowodziowego – wał przeciwpowodziowy od Wyspy Spichrzów do ujścia Fiszewki, brzeg lewy rz. Elbląg;</w:t>
      </w:r>
    </w:p>
    <w:p w14:paraId="22D81F54" w14:textId="77777777" w:rsidR="00BA0236" w:rsidRPr="007C28CC" w:rsidRDefault="00BA0236" w:rsidP="00A30588">
      <w:pPr>
        <w:pStyle w:val="ReportText"/>
        <w:numPr>
          <w:ilvl w:val="2"/>
          <w:numId w:val="21"/>
        </w:numPr>
        <w:spacing w:before="120" w:after="120"/>
        <w:ind w:left="1134" w:hanging="283"/>
      </w:pPr>
      <w:r w:rsidRPr="007C28CC">
        <w:t>Długość: 1,12 km;</w:t>
      </w:r>
    </w:p>
    <w:p w14:paraId="58369D06" w14:textId="77777777" w:rsidR="00BA0236" w:rsidRPr="007C28CC" w:rsidRDefault="00BA0236" w:rsidP="00A30588">
      <w:pPr>
        <w:pStyle w:val="ReportText"/>
        <w:numPr>
          <w:ilvl w:val="2"/>
          <w:numId w:val="21"/>
        </w:numPr>
        <w:spacing w:before="120" w:after="120"/>
        <w:ind w:left="1134" w:hanging="283"/>
      </w:pPr>
      <w:r w:rsidRPr="007C28CC">
        <w:t>Średnia wysokość: 1,00 m;</w:t>
      </w:r>
    </w:p>
    <w:p w14:paraId="4232E245" w14:textId="77777777" w:rsidR="00BA0236" w:rsidRPr="007C28CC" w:rsidRDefault="00BA0236" w:rsidP="00A30588">
      <w:pPr>
        <w:pStyle w:val="ReportText"/>
        <w:numPr>
          <w:ilvl w:val="2"/>
          <w:numId w:val="21"/>
        </w:numPr>
        <w:spacing w:before="120" w:after="120"/>
        <w:ind w:left="1134" w:hanging="283"/>
      </w:pPr>
      <w:r w:rsidRPr="007C28CC">
        <w:t>Typ ochrony: Umocnienie brzegów Kanału miejskiego – Wyspa Spichrzów, brzeg lewy (Etap I);</w:t>
      </w:r>
    </w:p>
    <w:p w14:paraId="351F4AE8" w14:textId="77777777" w:rsidR="00BA0236" w:rsidRPr="007C28CC" w:rsidRDefault="00BA0236" w:rsidP="00A30588">
      <w:pPr>
        <w:pStyle w:val="ReportText"/>
        <w:numPr>
          <w:ilvl w:val="2"/>
          <w:numId w:val="21"/>
        </w:numPr>
        <w:spacing w:before="120" w:after="120"/>
        <w:ind w:left="1134" w:hanging="283"/>
      </w:pPr>
      <w:r w:rsidRPr="007C28CC">
        <w:t>Długość: 1,40 km;</w:t>
      </w:r>
    </w:p>
    <w:p w14:paraId="0C8977F5" w14:textId="77777777" w:rsidR="00BA0236" w:rsidRPr="007C28CC" w:rsidRDefault="00BA0236" w:rsidP="00A30588">
      <w:pPr>
        <w:pStyle w:val="ReportText"/>
        <w:numPr>
          <w:ilvl w:val="2"/>
          <w:numId w:val="21"/>
        </w:numPr>
        <w:spacing w:before="120" w:after="120"/>
        <w:ind w:left="1134" w:hanging="283"/>
      </w:pPr>
      <w:r w:rsidRPr="007C28CC">
        <w:t>Średnia wysokość: 0,8 m;</w:t>
      </w:r>
    </w:p>
    <w:p w14:paraId="10CBA509" w14:textId="77777777" w:rsidR="00BA0236" w:rsidRPr="007C28CC" w:rsidRDefault="00BA0236" w:rsidP="00A30588">
      <w:pPr>
        <w:pStyle w:val="ReportText"/>
        <w:numPr>
          <w:ilvl w:val="2"/>
          <w:numId w:val="21"/>
        </w:numPr>
        <w:spacing w:before="120" w:after="120"/>
        <w:ind w:left="1134" w:hanging="283"/>
      </w:pPr>
      <w:r w:rsidRPr="007C28CC">
        <w:t>Typ ochrony: Umocnienie brzegów Kanału miejskiego – Wyspa Spichrzów, brzeg prawy (Etap I);</w:t>
      </w:r>
    </w:p>
    <w:p w14:paraId="6F86F221" w14:textId="77777777" w:rsidR="00BA0236" w:rsidRPr="007C28CC" w:rsidRDefault="00BA0236" w:rsidP="00A30588">
      <w:pPr>
        <w:pStyle w:val="ReportText"/>
        <w:numPr>
          <w:ilvl w:val="2"/>
          <w:numId w:val="21"/>
        </w:numPr>
        <w:spacing w:before="120" w:after="120"/>
        <w:ind w:left="1134" w:hanging="283"/>
      </w:pPr>
      <w:r w:rsidRPr="007C28CC">
        <w:t>Długość: 1,30 km;</w:t>
      </w:r>
    </w:p>
    <w:p w14:paraId="2703CE1B" w14:textId="77777777" w:rsidR="00BA0236" w:rsidRPr="007C28CC" w:rsidRDefault="00BA0236" w:rsidP="00A30588">
      <w:pPr>
        <w:pStyle w:val="ReportText"/>
        <w:numPr>
          <w:ilvl w:val="2"/>
          <w:numId w:val="21"/>
        </w:numPr>
        <w:spacing w:before="120" w:after="120"/>
        <w:ind w:left="1134" w:hanging="283"/>
      </w:pPr>
      <w:r w:rsidRPr="007C28CC">
        <w:t>Średnia wysokość: 0,80 m;</w:t>
      </w:r>
    </w:p>
    <w:p w14:paraId="5806ADDC" w14:textId="77777777" w:rsidR="00BA0236" w:rsidRPr="007C28CC" w:rsidRDefault="00BA0236" w:rsidP="00A30588">
      <w:pPr>
        <w:pStyle w:val="ReportText"/>
        <w:numPr>
          <w:ilvl w:val="2"/>
          <w:numId w:val="21"/>
        </w:numPr>
        <w:spacing w:before="120" w:after="120"/>
        <w:ind w:left="1134" w:hanging="283"/>
      </w:pPr>
      <w:r w:rsidRPr="007C28CC">
        <w:t>Typ ochrony: Przebudowa nabrzeża rz. Elbląg, brzeg lewy – Wyspa Spichrzów, (Etap II);</w:t>
      </w:r>
    </w:p>
    <w:p w14:paraId="1348B8C7" w14:textId="77777777" w:rsidR="00BA0236" w:rsidRPr="007C28CC" w:rsidRDefault="00BA0236" w:rsidP="00A30588">
      <w:pPr>
        <w:pStyle w:val="ReportText"/>
        <w:numPr>
          <w:ilvl w:val="2"/>
          <w:numId w:val="21"/>
        </w:numPr>
        <w:spacing w:before="120" w:after="120"/>
        <w:ind w:left="1134" w:hanging="283"/>
      </w:pPr>
      <w:r w:rsidRPr="007C28CC">
        <w:t>Długość: 0,86 km;</w:t>
      </w:r>
    </w:p>
    <w:p w14:paraId="67E55453" w14:textId="77777777" w:rsidR="00BA0236" w:rsidRPr="007C28CC" w:rsidRDefault="00BA0236" w:rsidP="00A30588">
      <w:pPr>
        <w:pStyle w:val="ReportText"/>
        <w:numPr>
          <w:ilvl w:val="2"/>
          <w:numId w:val="21"/>
        </w:numPr>
        <w:spacing w:before="120" w:after="120"/>
        <w:ind w:left="1134" w:hanging="283"/>
      </w:pPr>
      <w:r w:rsidRPr="007C28CC">
        <w:t>Średnia wysokość: 0,80 m;</w:t>
      </w:r>
    </w:p>
    <w:p w14:paraId="63E0F088" w14:textId="77777777" w:rsidR="00BA0236" w:rsidRPr="007C28CC" w:rsidRDefault="00BA0236" w:rsidP="00A30588">
      <w:pPr>
        <w:pStyle w:val="ReportText"/>
        <w:numPr>
          <w:ilvl w:val="2"/>
          <w:numId w:val="21"/>
        </w:numPr>
        <w:spacing w:before="120" w:after="120"/>
        <w:ind w:left="1134" w:hanging="283"/>
      </w:pPr>
      <w:r w:rsidRPr="007C28CC">
        <w:t>Rzędna wody miarodajnej (przy wezbraniu 1%): 1,46 m n.p.m.;</w:t>
      </w:r>
    </w:p>
    <w:p w14:paraId="47787F53" w14:textId="77777777" w:rsidR="00BA0236" w:rsidRPr="007C28CC" w:rsidRDefault="00BA0236" w:rsidP="00A30588">
      <w:pPr>
        <w:pStyle w:val="ReportText"/>
        <w:numPr>
          <w:ilvl w:val="2"/>
          <w:numId w:val="21"/>
        </w:numPr>
        <w:spacing w:before="120" w:after="120"/>
        <w:ind w:left="1134" w:hanging="283"/>
      </w:pPr>
      <w:r w:rsidRPr="007C28CC">
        <w:t>Rzędna wody kontrolnej (przy wezbraniu 0,2%): 1,50 m n.p.m.;</w:t>
      </w:r>
    </w:p>
    <w:p w14:paraId="74B97EE5" w14:textId="77777777" w:rsidR="00BA0236" w:rsidRPr="007C28CC" w:rsidRDefault="00BA0236" w:rsidP="00A30588">
      <w:pPr>
        <w:pStyle w:val="ReportText"/>
        <w:numPr>
          <w:ilvl w:val="2"/>
          <w:numId w:val="21"/>
        </w:numPr>
        <w:spacing w:before="60" w:after="0"/>
        <w:ind w:left="1134" w:hanging="283"/>
      </w:pPr>
      <w:r w:rsidRPr="007C28CC">
        <w:t>Wymagana minimalna rzędna górnej krawędzi: 1,96 m n.p.m. (0,50 m nad poziom lustra wody 1%).</w:t>
      </w:r>
    </w:p>
    <w:p w14:paraId="0B461F0A" w14:textId="458A6AE8" w:rsidR="00BA0236" w:rsidRPr="007C28CC" w:rsidRDefault="00E8074C" w:rsidP="007C28CC">
      <w:pPr>
        <w:pStyle w:val="ReportText"/>
        <w:spacing w:before="0" w:after="0"/>
        <w:jc w:val="center"/>
      </w:pPr>
      <w:r>
        <w:rPr>
          <w:noProof/>
          <w:lang w:eastAsia="pl-PL"/>
        </w:rPr>
        <w:lastRenderedPageBreak/>
        <w:drawing>
          <wp:inline distT="0" distB="0" distL="0" distR="0" wp14:anchorId="3D6E6DF0" wp14:editId="72FBEB9A">
            <wp:extent cx="3552825" cy="3552825"/>
            <wp:effectExtent l="0" t="0" r="0" b="0"/>
            <wp:docPr id="34" name="Obraz 63" descr="Obraz zawierający mapa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3" descr="Obraz zawierający mapaOpis wygenerowany automatyczni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552825" cy="3552825"/>
                    </a:xfrm>
                    <a:prstGeom prst="rect">
                      <a:avLst/>
                    </a:prstGeom>
                    <a:noFill/>
                    <a:ln>
                      <a:noFill/>
                    </a:ln>
                  </pic:spPr>
                </pic:pic>
              </a:graphicData>
            </a:graphic>
          </wp:inline>
        </w:drawing>
      </w:r>
    </w:p>
    <w:p w14:paraId="1C218240" w14:textId="7A5E4DE4" w:rsidR="00BA0236" w:rsidRPr="007C28CC" w:rsidRDefault="00BA0236" w:rsidP="00A30588">
      <w:pPr>
        <w:pStyle w:val="ReportText"/>
        <w:spacing w:before="0"/>
        <w:ind w:left="1418" w:hanging="1418"/>
      </w:pPr>
      <w:bookmarkStart w:id="124" w:name="_Ref79487154"/>
      <w:bookmarkStart w:id="125" w:name="_Toc80604806"/>
      <w:r w:rsidRPr="007C28CC">
        <w:t xml:space="preserve">Rysunek </w:t>
      </w:r>
      <w:r w:rsidR="00677743">
        <w:rPr>
          <w:noProof/>
        </w:rPr>
        <w:fldChar w:fldCharType="begin"/>
      </w:r>
      <w:r w:rsidR="00677743">
        <w:rPr>
          <w:noProof/>
        </w:rPr>
        <w:instrText xml:space="preserve"> SEQ Rysunek \* ARABIC </w:instrText>
      </w:r>
      <w:r w:rsidR="00677743">
        <w:rPr>
          <w:noProof/>
        </w:rPr>
        <w:fldChar w:fldCharType="separate"/>
      </w:r>
      <w:r w:rsidR="00FD3F9A">
        <w:rPr>
          <w:noProof/>
        </w:rPr>
        <w:t>33</w:t>
      </w:r>
      <w:r w:rsidR="00677743">
        <w:rPr>
          <w:noProof/>
        </w:rPr>
        <w:fldChar w:fldCharType="end"/>
      </w:r>
      <w:bookmarkEnd w:id="124"/>
      <w:r w:rsidRPr="007C28CC">
        <w:tab/>
        <w:t>Lokalizacja działań zaproponowanych w wariancie „2” dla obszaru problemowego MR_1 Żuławy Wiślane cz.1</w:t>
      </w:r>
      <w:bookmarkEnd w:id="125"/>
    </w:p>
    <w:p w14:paraId="4C8E8CE4" w14:textId="7697EB23" w:rsidR="00BA0236" w:rsidRPr="007C28CC" w:rsidRDefault="00E8074C" w:rsidP="007C28CC">
      <w:pPr>
        <w:pStyle w:val="ReportText"/>
        <w:spacing w:before="0"/>
        <w:jc w:val="center"/>
      </w:pPr>
      <w:r>
        <w:rPr>
          <w:noProof/>
          <w:lang w:eastAsia="pl-PL"/>
        </w:rPr>
        <w:drawing>
          <wp:inline distT="0" distB="0" distL="0" distR="0" wp14:anchorId="507C54F9" wp14:editId="1A958EE7">
            <wp:extent cx="3552825" cy="3552825"/>
            <wp:effectExtent l="0" t="0" r="0" b="0"/>
            <wp:docPr id="35" name="Obraz 65" descr="Obraz zawierający mapa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5" descr="Obraz zawierający mapaOpis wygenerowany automatyczni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552825" cy="3552825"/>
                    </a:xfrm>
                    <a:prstGeom prst="rect">
                      <a:avLst/>
                    </a:prstGeom>
                    <a:noFill/>
                    <a:ln>
                      <a:noFill/>
                    </a:ln>
                  </pic:spPr>
                </pic:pic>
              </a:graphicData>
            </a:graphic>
          </wp:inline>
        </w:drawing>
      </w:r>
    </w:p>
    <w:p w14:paraId="13BFF726" w14:textId="70908270" w:rsidR="00BA0236" w:rsidRPr="007C28CC" w:rsidRDefault="00BA0236" w:rsidP="00A30588">
      <w:pPr>
        <w:pStyle w:val="ReportText"/>
        <w:spacing w:before="0"/>
        <w:ind w:left="1418" w:hanging="1418"/>
      </w:pPr>
      <w:bookmarkStart w:id="126" w:name="_Ref79488591"/>
      <w:bookmarkStart w:id="127" w:name="_Toc80604807"/>
      <w:r w:rsidRPr="007C28CC">
        <w:t xml:space="preserve">Rysunek </w:t>
      </w:r>
      <w:r w:rsidR="00677743">
        <w:rPr>
          <w:noProof/>
        </w:rPr>
        <w:fldChar w:fldCharType="begin"/>
      </w:r>
      <w:r w:rsidR="00677743">
        <w:rPr>
          <w:noProof/>
        </w:rPr>
        <w:instrText xml:space="preserve"> SEQ Rysunek \* ARABIC </w:instrText>
      </w:r>
      <w:r w:rsidR="00677743">
        <w:rPr>
          <w:noProof/>
        </w:rPr>
        <w:fldChar w:fldCharType="separate"/>
      </w:r>
      <w:r w:rsidR="00FD3F9A">
        <w:rPr>
          <w:noProof/>
        </w:rPr>
        <w:t>34</w:t>
      </w:r>
      <w:r w:rsidR="00677743">
        <w:rPr>
          <w:noProof/>
        </w:rPr>
        <w:fldChar w:fldCharType="end"/>
      </w:r>
      <w:bookmarkEnd w:id="126"/>
      <w:r w:rsidRPr="007C28CC">
        <w:tab/>
        <w:t>Lokalizacja działań zaproponowanych w wariancie „2” dla obszaru problemowego MR_1 Żuławy Wiślane cz.2</w:t>
      </w:r>
      <w:bookmarkEnd w:id="127"/>
    </w:p>
    <w:p w14:paraId="46792AFF" w14:textId="77777777" w:rsidR="00BA0236" w:rsidRPr="007C28CC" w:rsidRDefault="00BA0236" w:rsidP="007C28CC">
      <w:pPr>
        <w:rPr>
          <w:b/>
          <w:color w:val="28AAE1"/>
          <w:sz w:val="36"/>
          <w:szCs w:val="20"/>
          <w:lang w:eastAsia="en-US"/>
        </w:rPr>
      </w:pPr>
      <w:r w:rsidRPr="007C28CC">
        <w:br w:type="page"/>
      </w:r>
    </w:p>
    <w:p w14:paraId="31734956" w14:textId="77777777" w:rsidR="00BA0236" w:rsidRPr="007C28CC" w:rsidRDefault="00BA0236" w:rsidP="00E8074C">
      <w:pPr>
        <w:pStyle w:val="ReportLevel2"/>
        <w:numPr>
          <w:ilvl w:val="1"/>
          <w:numId w:val="9"/>
        </w:numPr>
      </w:pPr>
      <w:bookmarkStart w:id="128" w:name="_Toc79511682"/>
      <w:bookmarkStart w:id="129" w:name="_Toc80604862"/>
      <w:r w:rsidRPr="007C28CC">
        <w:lastRenderedPageBreak/>
        <w:t>MR_2 Mechelinki, Rewa, Mosty, Połchowo - ujście Redy</w:t>
      </w:r>
      <w:bookmarkEnd w:id="128"/>
      <w:bookmarkEnd w:id="129"/>
    </w:p>
    <w:p w14:paraId="2ED133C5" w14:textId="77777777" w:rsidR="00BA0236" w:rsidRPr="007C28CC" w:rsidRDefault="00BA0236" w:rsidP="007C28CC">
      <w:pPr>
        <w:pStyle w:val="ReportText"/>
        <w:spacing w:before="120" w:after="120"/>
      </w:pPr>
      <w:r w:rsidRPr="007C28CC">
        <w:t xml:space="preserve">Dla obszaru problemowego MR_2 Mechelinki, Rewa, Mosty, Połchowo – ujście Redy zdefiniowano zagrożenie powodziowe w miejscowości Rewa. Dla przedmiotowego rejonu zaproponowano trzy warianty obniżenia istniejącego ryzyka powodziowego: </w:t>
      </w:r>
    </w:p>
    <w:p w14:paraId="2ABBEA01" w14:textId="77777777" w:rsidR="00BA0236" w:rsidRPr="007C28CC" w:rsidRDefault="00BA0236" w:rsidP="00A30588">
      <w:pPr>
        <w:pStyle w:val="ReportText"/>
        <w:numPr>
          <w:ilvl w:val="0"/>
          <w:numId w:val="20"/>
        </w:numPr>
        <w:spacing w:before="120" w:after="120"/>
        <w:ind w:left="567" w:hanging="425"/>
      </w:pPr>
      <w:r w:rsidRPr="007C28CC">
        <w:t xml:space="preserve">Wariant „0” </w:t>
      </w:r>
      <w:r w:rsidRPr="00475541">
        <w:t>obejm</w:t>
      </w:r>
      <w:r>
        <w:t>ował</w:t>
      </w:r>
      <w:r w:rsidRPr="00475541">
        <w:t xml:space="preserve"> istniejący stan zabudowy hydrotechnicznej</w:t>
      </w:r>
      <w:r>
        <w:t xml:space="preserve"> </w:t>
      </w:r>
      <w:r w:rsidRPr="00475541">
        <w:t>(zgodnie z wynikami przeglądu i aktualizacji map zagrożenia powodziowego i map ryzyka</w:t>
      </w:r>
      <w:r>
        <w:t xml:space="preserve"> </w:t>
      </w:r>
      <w:r w:rsidRPr="00475541">
        <w:t>powodziowego</w:t>
      </w:r>
      <w:r>
        <w:t xml:space="preserve"> </w:t>
      </w:r>
      <w:r w:rsidRPr="00475541">
        <w:t>od strony morza w tym morskich wód wewnętrznych</w:t>
      </w:r>
      <w:r>
        <w:t xml:space="preserve"> </w:t>
      </w:r>
      <w:r w:rsidRPr="00475541">
        <w:t>na koniec roku 2019</w:t>
      </w:r>
      <w:r>
        <w:t xml:space="preserve"> z</w:t>
      </w:r>
      <w:r w:rsidRPr="00791A72">
        <w:t>aktualiz</w:t>
      </w:r>
      <w:r>
        <w:t xml:space="preserve">owany </w:t>
      </w:r>
      <w:r w:rsidRPr="00791A72">
        <w:t xml:space="preserve">o działania będące w realizacji lub planowane do rozpoczęcia </w:t>
      </w:r>
      <w:r>
        <w:t>do</w:t>
      </w:r>
      <w:r w:rsidRPr="00791A72">
        <w:t xml:space="preserve"> 2022 r., lub zakończone po 2019 r</w:t>
      </w:r>
      <w:r>
        <w:t>.</w:t>
      </w:r>
      <w:r w:rsidRPr="00475541">
        <w:t>)</w:t>
      </w:r>
      <w:r>
        <w:t xml:space="preserve"> </w:t>
      </w:r>
      <w:r w:rsidRPr="007C28CC">
        <w:t xml:space="preserve">czyli istniejące system umocnień brzegowych. </w:t>
      </w:r>
    </w:p>
    <w:p w14:paraId="060CEF40" w14:textId="065B8E18" w:rsidR="00BA0236" w:rsidRPr="007C28CC" w:rsidRDefault="00BA0236" w:rsidP="00A30588">
      <w:pPr>
        <w:pStyle w:val="NormalnyWeb"/>
        <w:numPr>
          <w:ilvl w:val="0"/>
          <w:numId w:val="20"/>
        </w:numPr>
        <w:spacing w:before="120" w:beforeAutospacing="0" w:after="120"/>
        <w:ind w:left="567" w:hanging="425"/>
        <w:jc w:val="both"/>
      </w:pPr>
      <w:r w:rsidRPr="007C28CC">
        <w:t xml:space="preserve">Wariant „1” obejmował </w:t>
      </w:r>
      <w:r w:rsidRPr="007C28CC">
        <w:rPr>
          <w:color w:val="000000"/>
          <w:kern w:val="24"/>
        </w:rPr>
        <w:t xml:space="preserve">budowę nabrzeża, system mobilnych przegród przeciwpowodziowych, podwyższenie fragmentu istniejącego muru oporowego, budowę dwóch odcinków wału przeciwpowodziowego rozwój lokalnego systemu ostrzegania przed powodziami i prognozowania zagrożeń na terenie gmin Kosakowo i Puck pow. pucki </w:t>
      </w:r>
      <w:r w:rsidRPr="007C28CC">
        <w:t xml:space="preserve">(Zadanie W_AR_90). Lokalizację działania zaproponowanego w wariancie „1” przedstawia </w:t>
      </w:r>
      <w:r w:rsidRPr="007C28CC">
        <w:fldChar w:fldCharType="begin"/>
      </w:r>
      <w:r w:rsidRPr="007C28CC">
        <w:instrText xml:space="preserve"> REF _Ref79488648 \h </w:instrText>
      </w:r>
      <w:r w:rsidRPr="007C28CC">
        <w:fldChar w:fldCharType="separate"/>
      </w:r>
      <w:r w:rsidR="00FD3F9A" w:rsidRPr="007C28CC">
        <w:t xml:space="preserve">Rysunek </w:t>
      </w:r>
      <w:r w:rsidR="00FD3F9A">
        <w:rPr>
          <w:noProof/>
        </w:rPr>
        <w:t>35</w:t>
      </w:r>
      <w:r w:rsidRPr="007C28CC">
        <w:fldChar w:fldCharType="end"/>
      </w:r>
      <w:r w:rsidRPr="007C28CC">
        <w:t>.</w:t>
      </w:r>
    </w:p>
    <w:p w14:paraId="39431748" w14:textId="77777777" w:rsidR="00BA0236" w:rsidRPr="007C28CC" w:rsidRDefault="00BA0236" w:rsidP="00A30588">
      <w:pPr>
        <w:pStyle w:val="ReportText"/>
        <w:numPr>
          <w:ilvl w:val="2"/>
          <w:numId w:val="21"/>
        </w:numPr>
        <w:spacing w:before="120" w:after="120"/>
        <w:ind w:left="1134" w:hanging="283"/>
      </w:pPr>
      <w:r w:rsidRPr="007C28CC">
        <w:t>Typ ochrony: budowa nabrzeża;</w:t>
      </w:r>
    </w:p>
    <w:p w14:paraId="5DE1055D" w14:textId="77777777" w:rsidR="00BA0236" w:rsidRPr="007C28CC" w:rsidRDefault="00BA0236" w:rsidP="00A30588">
      <w:pPr>
        <w:pStyle w:val="ReportText"/>
        <w:numPr>
          <w:ilvl w:val="2"/>
          <w:numId w:val="21"/>
        </w:numPr>
        <w:spacing w:before="120" w:after="120"/>
        <w:ind w:left="1134" w:hanging="283"/>
      </w:pPr>
      <w:r w:rsidRPr="007C28CC">
        <w:t>Długość: 0,41 km;</w:t>
      </w:r>
    </w:p>
    <w:p w14:paraId="1C97A351" w14:textId="77777777" w:rsidR="00BA0236" w:rsidRPr="007C28CC" w:rsidRDefault="00BA0236" w:rsidP="00A30588">
      <w:pPr>
        <w:pStyle w:val="ReportText"/>
        <w:numPr>
          <w:ilvl w:val="2"/>
          <w:numId w:val="21"/>
        </w:numPr>
        <w:spacing w:before="120" w:after="120"/>
        <w:ind w:left="1134" w:hanging="283"/>
      </w:pPr>
      <w:r w:rsidRPr="007C28CC">
        <w:t>Średnia wysokość: 1,10 m;</w:t>
      </w:r>
    </w:p>
    <w:p w14:paraId="00612ECD" w14:textId="77777777" w:rsidR="00BA0236" w:rsidRPr="007C28CC" w:rsidRDefault="00BA0236" w:rsidP="00A30588">
      <w:pPr>
        <w:pStyle w:val="ReportText"/>
        <w:numPr>
          <w:ilvl w:val="2"/>
          <w:numId w:val="21"/>
        </w:numPr>
        <w:spacing w:before="120" w:after="120"/>
        <w:ind w:left="1134" w:hanging="283"/>
      </w:pPr>
      <w:r w:rsidRPr="007C28CC">
        <w:t>Typ ochrony: mobilne przegrody przeciwpowodziowe (belki zaporowe - szandory);</w:t>
      </w:r>
    </w:p>
    <w:p w14:paraId="2B4D0FD1" w14:textId="77777777" w:rsidR="00BA0236" w:rsidRPr="007C28CC" w:rsidRDefault="00BA0236" w:rsidP="00A30588">
      <w:pPr>
        <w:pStyle w:val="ReportText"/>
        <w:numPr>
          <w:ilvl w:val="2"/>
          <w:numId w:val="21"/>
        </w:numPr>
        <w:spacing w:before="120" w:after="120"/>
        <w:ind w:left="1134" w:hanging="283"/>
      </w:pPr>
      <w:r w:rsidRPr="007C28CC">
        <w:t>Długość: 1,07 km;</w:t>
      </w:r>
    </w:p>
    <w:p w14:paraId="4664983F" w14:textId="77777777" w:rsidR="00BA0236" w:rsidRPr="007C28CC" w:rsidRDefault="00BA0236" w:rsidP="00A30588">
      <w:pPr>
        <w:pStyle w:val="ReportText"/>
        <w:numPr>
          <w:ilvl w:val="2"/>
          <w:numId w:val="21"/>
        </w:numPr>
        <w:spacing w:before="120" w:after="120"/>
        <w:ind w:left="1134" w:hanging="283"/>
      </w:pPr>
      <w:r w:rsidRPr="007C28CC">
        <w:t>Średnia wysokość: 1,00-1,50 m;</w:t>
      </w:r>
    </w:p>
    <w:p w14:paraId="1C319084" w14:textId="77777777" w:rsidR="00BA0236" w:rsidRPr="007C28CC" w:rsidRDefault="00BA0236" w:rsidP="00A30588">
      <w:pPr>
        <w:pStyle w:val="ReportText"/>
        <w:numPr>
          <w:ilvl w:val="2"/>
          <w:numId w:val="21"/>
        </w:numPr>
        <w:spacing w:before="120" w:after="120"/>
        <w:ind w:left="1134" w:hanging="283"/>
      </w:pPr>
      <w:r w:rsidRPr="007C28CC">
        <w:t>Typ ochrony: podwyższenie muru oporowego;</w:t>
      </w:r>
    </w:p>
    <w:p w14:paraId="3481D372" w14:textId="77777777" w:rsidR="00BA0236" w:rsidRPr="007C28CC" w:rsidRDefault="00BA0236" w:rsidP="00A30588">
      <w:pPr>
        <w:pStyle w:val="ReportText"/>
        <w:numPr>
          <w:ilvl w:val="2"/>
          <w:numId w:val="21"/>
        </w:numPr>
        <w:spacing w:before="120" w:after="120"/>
        <w:ind w:left="1134" w:hanging="283"/>
      </w:pPr>
      <w:r w:rsidRPr="007C28CC">
        <w:t>Długość: 0,41 km;</w:t>
      </w:r>
    </w:p>
    <w:p w14:paraId="73999ECB" w14:textId="77777777" w:rsidR="00BA0236" w:rsidRPr="007C28CC" w:rsidRDefault="00BA0236" w:rsidP="00A30588">
      <w:pPr>
        <w:pStyle w:val="ReportText"/>
        <w:numPr>
          <w:ilvl w:val="2"/>
          <w:numId w:val="21"/>
        </w:numPr>
        <w:spacing w:before="120" w:after="120"/>
        <w:ind w:left="1134" w:hanging="283"/>
      </w:pPr>
      <w:r w:rsidRPr="007C28CC">
        <w:t>Średnia wysokość: 1,10 m;</w:t>
      </w:r>
    </w:p>
    <w:p w14:paraId="676DBE8A" w14:textId="77777777" w:rsidR="00BA0236" w:rsidRPr="007C28CC" w:rsidRDefault="00BA0236" w:rsidP="00A30588">
      <w:pPr>
        <w:pStyle w:val="ReportText"/>
        <w:numPr>
          <w:ilvl w:val="2"/>
          <w:numId w:val="21"/>
        </w:numPr>
        <w:spacing w:before="120" w:after="120"/>
        <w:ind w:left="1134" w:hanging="283"/>
      </w:pPr>
      <w:r w:rsidRPr="007C28CC">
        <w:t>Typ ochrony: wał przeciwpowodziowy (cz. Zachodnia);</w:t>
      </w:r>
    </w:p>
    <w:p w14:paraId="7833AA71" w14:textId="77777777" w:rsidR="00BA0236" w:rsidRPr="007C28CC" w:rsidRDefault="00BA0236" w:rsidP="00A30588">
      <w:pPr>
        <w:pStyle w:val="ReportText"/>
        <w:numPr>
          <w:ilvl w:val="2"/>
          <w:numId w:val="21"/>
        </w:numPr>
        <w:spacing w:before="120" w:after="120"/>
        <w:ind w:left="1134" w:hanging="283"/>
      </w:pPr>
      <w:r w:rsidRPr="007C28CC">
        <w:t>Długość: 1,27 km;</w:t>
      </w:r>
    </w:p>
    <w:p w14:paraId="711EA9FB" w14:textId="77777777" w:rsidR="00BA0236" w:rsidRPr="007C28CC" w:rsidRDefault="00BA0236" w:rsidP="00A30588">
      <w:pPr>
        <w:pStyle w:val="ReportText"/>
        <w:numPr>
          <w:ilvl w:val="2"/>
          <w:numId w:val="21"/>
        </w:numPr>
        <w:spacing w:before="120" w:after="120"/>
        <w:ind w:left="1134" w:hanging="283"/>
      </w:pPr>
      <w:r w:rsidRPr="007C28CC">
        <w:t>Średnia wysokość: 2,01 m;</w:t>
      </w:r>
    </w:p>
    <w:p w14:paraId="406C08FB" w14:textId="77777777" w:rsidR="00BA0236" w:rsidRPr="007C28CC" w:rsidRDefault="00BA0236" w:rsidP="00A30588">
      <w:pPr>
        <w:pStyle w:val="ReportText"/>
        <w:numPr>
          <w:ilvl w:val="2"/>
          <w:numId w:val="21"/>
        </w:numPr>
        <w:spacing w:before="120" w:after="120"/>
        <w:ind w:left="1134" w:hanging="283"/>
      </w:pPr>
      <w:r w:rsidRPr="007C28CC">
        <w:t>Typ ochrony: wał przeciwpowodziowy (cz. Wschodnia);</w:t>
      </w:r>
    </w:p>
    <w:p w14:paraId="0BA15656" w14:textId="77777777" w:rsidR="00BA0236" w:rsidRPr="007C28CC" w:rsidRDefault="00BA0236" w:rsidP="00A30588">
      <w:pPr>
        <w:pStyle w:val="ReportText"/>
        <w:numPr>
          <w:ilvl w:val="2"/>
          <w:numId w:val="21"/>
        </w:numPr>
        <w:spacing w:before="120" w:after="120"/>
        <w:ind w:left="1134" w:hanging="283"/>
      </w:pPr>
      <w:r w:rsidRPr="007C28CC">
        <w:t>Długość: 1,83 km;</w:t>
      </w:r>
    </w:p>
    <w:p w14:paraId="4779C9DA" w14:textId="77777777" w:rsidR="00BA0236" w:rsidRPr="007C28CC" w:rsidRDefault="00BA0236" w:rsidP="00A30588">
      <w:pPr>
        <w:pStyle w:val="ReportText"/>
        <w:numPr>
          <w:ilvl w:val="2"/>
          <w:numId w:val="21"/>
        </w:numPr>
        <w:spacing w:before="120" w:after="120"/>
        <w:ind w:left="1134" w:hanging="283"/>
      </w:pPr>
      <w:r w:rsidRPr="007C28CC">
        <w:t>Średnia wysokość: 2,10 m;</w:t>
      </w:r>
    </w:p>
    <w:p w14:paraId="26419B45" w14:textId="77777777" w:rsidR="00BA0236" w:rsidRPr="007C28CC" w:rsidRDefault="00BA0236" w:rsidP="00A30588">
      <w:pPr>
        <w:pStyle w:val="ReportText"/>
        <w:numPr>
          <w:ilvl w:val="2"/>
          <w:numId w:val="21"/>
        </w:numPr>
        <w:spacing w:before="120" w:after="120"/>
        <w:ind w:left="1134" w:hanging="283"/>
      </w:pPr>
      <w:r w:rsidRPr="007C28CC">
        <w:t>Rzędna wody miarodajnej (przy wezbraniu 1%): 2,11 m n.p.m.;</w:t>
      </w:r>
    </w:p>
    <w:p w14:paraId="3DEE6F32" w14:textId="77777777" w:rsidR="00BA0236" w:rsidRPr="007C28CC" w:rsidRDefault="00BA0236" w:rsidP="00A30588">
      <w:pPr>
        <w:pStyle w:val="ReportText"/>
        <w:numPr>
          <w:ilvl w:val="2"/>
          <w:numId w:val="21"/>
        </w:numPr>
        <w:spacing w:before="120" w:after="120"/>
        <w:ind w:left="1134" w:hanging="283"/>
      </w:pPr>
      <w:r w:rsidRPr="007C28CC">
        <w:t>Rzędna wody kontrolnej (przy wezbraniu 0,2%): 2,41 m n.p.m.;</w:t>
      </w:r>
    </w:p>
    <w:p w14:paraId="7F2CB5CA" w14:textId="514862AB" w:rsidR="00BA0236" w:rsidRPr="007C28CC" w:rsidRDefault="00BA0236" w:rsidP="00A30588">
      <w:pPr>
        <w:pStyle w:val="ReportText"/>
        <w:numPr>
          <w:ilvl w:val="2"/>
          <w:numId w:val="21"/>
        </w:numPr>
        <w:spacing w:before="60" w:after="0"/>
        <w:ind w:left="1134" w:hanging="283"/>
      </w:pPr>
      <w:r w:rsidRPr="007C28CC">
        <w:t>Wymagana minimalna rzędna górnej krawędzi: 2,71 m n.p.m. (0,30 m nad poziom lustra wody 0,2%</w:t>
      </w:r>
      <w:r w:rsidR="00926F98">
        <w:t>, min. rzędna powyżej rzędnej weryfikującej: 2,51 m n.p.m.</w:t>
      </w:r>
      <w:r w:rsidRPr="007C28CC">
        <w:t>).</w:t>
      </w:r>
    </w:p>
    <w:p w14:paraId="71470469" w14:textId="195D7287" w:rsidR="00BA0236" w:rsidRPr="007C28CC" w:rsidRDefault="00E8074C" w:rsidP="007C28CC">
      <w:pPr>
        <w:pStyle w:val="ReportText"/>
        <w:spacing w:before="0" w:after="0"/>
        <w:jc w:val="center"/>
      </w:pPr>
      <w:r>
        <w:rPr>
          <w:noProof/>
          <w:lang w:eastAsia="pl-PL"/>
        </w:rPr>
        <w:lastRenderedPageBreak/>
        <w:drawing>
          <wp:inline distT="0" distB="0" distL="0" distR="0" wp14:anchorId="4CD4A48E" wp14:editId="09D05BC6">
            <wp:extent cx="3933825" cy="3933825"/>
            <wp:effectExtent l="0" t="0" r="0" b="0"/>
            <wp:docPr id="36" name="Obraz 66" descr="Obraz zawierający mapa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6" descr="Obraz zawierający mapaOpis wygenerowany automatyczni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933825" cy="3933825"/>
                    </a:xfrm>
                    <a:prstGeom prst="rect">
                      <a:avLst/>
                    </a:prstGeom>
                    <a:noFill/>
                    <a:ln>
                      <a:noFill/>
                    </a:ln>
                  </pic:spPr>
                </pic:pic>
              </a:graphicData>
            </a:graphic>
          </wp:inline>
        </w:drawing>
      </w:r>
    </w:p>
    <w:p w14:paraId="4C811E10" w14:textId="2D00E53E" w:rsidR="00BA0236" w:rsidRPr="007C28CC" w:rsidRDefault="00BA0236" w:rsidP="00A30588">
      <w:pPr>
        <w:pStyle w:val="ReportText"/>
        <w:spacing w:before="0"/>
        <w:ind w:left="1418" w:hanging="1418"/>
      </w:pPr>
      <w:bookmarkStart w:id="130" w:name="_Ref79488648"/>
      <w:bookmarkStart w:id="131" w:name="_Toc80604808"/>
      <w:r w:rsidRPr="007C28CC">
        <w:t xml:space="preserve">Rysunek </w:t>
      </w:r>
      <w:r w:rsidR="00677743">
        <w:rPr>
          <w:noProof/>
        </w:rPr>
        <w:fldChar w:fldCharType="begin"/>
      </w:r>
      <w:r w:rsidR="00677743">
        <w:rPr>
          <w:noProof/>
        </w:rPr>
        <w:instrText xml:space="preserve"> SEQ Rysunek \* ARABIC </w:instrText>
      </w:r>
      <w:r w:rsidR="00677743">
        <w:rPr>
          <w:noProof/>
        </w:rPr>
        <w:fldChar w:fldCharType="separate"/>
      </w:r>
      <w:r w:rsidR="00FD3F9A">
        <w:rPr>
          <w:noProof/>
        </w:rPr>
        <w:t>35</w:t>
      </w:r>
      <w:r w:rsidR="00677743">
        <w:rPr>
          <w:noProof/>
        </w:rPr>
        <w:fldChar w:fldCharType="end"/>
      </w:r>
      <w:bookmarkEnd w:id="130"/>
      <w:r w:rsidRPr="007C28CC">
        <w:tab/>
        <w:t>Lokalizacja działań zaproponowanych w wariancie „1” dla obszaru problemowego MR_2 Mechelinki, Rewa, Mosty, Połchowo – ujście Redy</w:t>
      </w:r>
      <w:bookmarkEnd w:id="131"/>
    </w:p>
    <w:p w14:paraId="106B37A3" w14:textId="671FD02A" w:rsidR="00BA0236" w:rsidRPr="007C28CC" w:rsidRDefault="00BA0236" w:rsidP="00A30588">
      <w:pPr>
        <w:pStyle w:val="NormalnyWeb"/>
        <w:numPr>
          <w:ilvl w:val="0"/>
          <w:numId w:val="20"/>
        </w:numPr>
        <w:spacing w:before="120" w:beforeAutospacing="0" w:after="120"/>
        <w:ind w:left="567" w:hanging="425"/>
        <w:jc w:val="both"/>
      </w:pPr>
      <w:r w:rsidRPr="007C28CC">
        <w:t xml:space="preserve">Wariant „2” obejmował </w:t>
      </w:r>
      <w:r w:rsidRPr="007C28CC">
        <w:rPr>
          <w:color w:val="000000"/>
          <w:kern w:val="24"/>
        </w:rPr>
        <w:t xml:space="preserve">budowę dwóch odcinków wału przeciwsztormowego, systemu mobilnych przegród przeciwpowodziowych oraz podwyższenie fragmentu istniejącego muru oporowego, rozwój lokalnego systemu ostrzegania przed powodziami i prognozowania zagrożeń na terenie gmin Kosakowo i Puck pow. pucki </w:t>
      </w:r>
      <w:r w:rsidRPr="007C28CC">
        <w:t xml:space="preserve">(Zadanie W_AR_91). Lokalizację działania zaproponowanego w wariancie „2” przedstawia </w:t>
      </w:r>
      <w:r w:rsidRPr="007C28CC">
        <w:fldChar w:fldCharType="begin"/>
      </w:r>
      <w:r w:rsidRPr="007C28CC">
        <w:instrText xml:space="preserve"> REF _Ref79488752 \h </w:instrText>
      </w:r>
      <w:r w:rsidRPr="007C28CC">
        <w:fldChar w:fldCharType="separate"/>
      </w:r>
      <w:r w:rsidR="00FD3F9A" w:rsidRPr="007C28CC">
        <w:t xml:space="preserve">Rysunek </w:t>
      </w:r>
      <w:r w:rsidR="00FD3F9A">
        <w:rPr>
          <w:noProof/>
        </w:rPr>
        <w:t>36</w:t>
      </w:r>
      <w:r w:rsidRPr="007C28CC">
        <w:fldChar w:fldCharType="end"/>
      </w:r>
      <w:r w:rsidRPr="007C28CC">
        <w:t>.</w:t>
      </w:r>
    </w:p>
    <w:p w14:paraId="7C422A4C" w14:textId="77777777" w:rsidR="00BA0236" w:rsidRPr="007C28CC" w:rsidRDefault="00BA0236" w:rsidP="00A30588">
      <w:pPr>
        <w:pStyle w:val="ReportText"/>
        <w:numPr>
          <w:ilvl w:val="2"/>
          <w:numId w:val="21"/>
        </w:numPr>
        <w:spacing w:before="120" w:after="120"/>
        <w:ind w:left="1134" w:hanging="283"/>
      </w:pPr>
      <w:r w:rsidRPr="007C28CC">
        <w:t>Typ ochrony: mobilne przegrody przeciwpowodziowe (belki zaporowe - szandory);</w:t>
      </w:r>
    </w:p>
    <w:p w14:paraId="115DADC2" w14:textId="77777777" w:rsidR="00BA0236" w:rsidRPr="007C28CC" w:rsidRDefault="00BA0236" w:rsidP="00A30588">
      <w:pPr>
        <w:pStyle w:val="ReportText"/>
        <w:numPr>
          <w:ilvl w:val="2"/>
          <w:numId w:val="21"/>
        </w:numPr>
        <w:spacing w:before="120" w:after="120"/>
        <w:ind w:left="1134" w:hanging="283"/>
      </w:pPr>
      <w:r w:rsidRPr="007C28CC">
        <w:t>Długość: 1,07 km;</w:t>
      </w:r>
    </w:p>
    <w:p w14:paraId="51DFA09A" w14:textId="77777777" w:rsidR="00BA0236" w:rsidRPr="007C28CC" w:rsidRDefault="00BA0236" w:rsidP="00A30588">
      <w:pPr>
        <w:pStyle w:val="ReportText"/>
        <w:numPr>
          <w:ilvl w:val="2"/>
          <w:numId w:val="21"/>
        </w:numPr>
        <w:spacing w:before="120" w:after="120"/>
        <w:ind w:left="1134" w:hanging="283"/>
      </w:pPr>
      <w:r w:rsidRPr="007C28CC">
        <w:t>Średnia wysokość: 1,0-1,5 m;</w:t>
      </w:r>
    </w:p>
    <w:p w14:paraId="0B210579" w14:textId="77777777" w:rsidR="00BA0236" w:rsidRPr="007C28CC" w:rsidRDefault="00BA0236" w:rsidP="00A30588">
      <w:pPr>
        <w:pStyle w:val="ReportText"/>
        <w:numPr>
          <w:ilvl w:val="2"/>
          <w:numId w:val="21"/>
        </w:numPr>
        <w:spacing w:before="120" w:after="120"/>
        <w:ind w:left="1134" w:hanging="283"/>
      </w:pPr>
      <w:r w:rsidRPr="007C28CC">
        <w:t>Typ ochrony: podwyższenie muru oporowego;</w:t>
      </w:r>
    </w:p>
    <w:p w14:paraId="0CDB980D" w14:textId="77777777" w:rsidR="00BA0236" w:rsidRPr="007C28CC" w:rsidRDefault="00BA0236" w:rsidP="00A30588">
      <w:pPr>
        <w:pStyle w:val="ReportText"/>
        <w:numPr>
          <w:ilvl w:val="2"/>
          <w:numId w:val="21"/>
        </w:numPr>
        <w:spacing w:before="120" w:after="120"/>
        <w:ind w:left="1134" w:hanging="283"/>
      </w:pPr>
      <w:r w:rsidRPr="007C28CC">
        <w:t>Długość: 0,41 km;</w:t>
      </w:r>
    </w:p>
    <w:p w14:paraId="5F64DAD3" w14:textId="77777777" w:rsidR="00BA0236" w:rsidRPr="007C28CC" w:rsidRDefault="00BA0236" w:rsidP="00A30588">
      <w:pPr>
        <w:pStyle w:val="ReportText"/>
        <w:numPr>
          <w:ilvl w:val="2"/>
          <w:numId w:val="21"/>
        </w:numPr>
        <w:spacing w:before="120" w:after="120"/>
        <w:ind w:left="1134" w:hanging="283"/>
      </w:pPr>
      <w:r w:rsidRPr="007C28CC">
        <w:t>Średnia wysokość: 1,1 m;</w:t>
      </w:r>
    </w:p>
    <w:p w14:paraId="3B2BC205" w14:textId="77777777" w:rsidR="00BA0236" w:rsidRPr="007C28CC" w:rsidRDefault="00BA0236" w:rsidP="00A30588">
      <w:pPr>
        <w:pStyle w:val="ReportText"/>
        <w:numPr>
          <w:ilvl w:val="2"/>
          <w:numId w:val="21"/>
        </w:numPr>
        <w:spacing w:before="120" w:after="120"/>
        <w:ind w:left="1134" w:hanging="283"/>
      </w:pPr>
      <w:r w:rsidRPr="007C28CC">
        <w:t>Typ ochrony: wał przeciwpowodziowy (cz. Zachodnia);</w:t>
      </w:r>
    </w:p>
    <w:p w14:paraId="18BF0CD7" w14:textId="77777777" w:rsidR="00BA0236" w:rsidRPr="007C28CC" w:rsidRDefault="00BA0236" w:rsidP="00A30588">
      <w:pPr>
        <w:pStyle w:val="ReportText"/>
        <w:numPr>
          <w:ilvl w:val="2"/>
          <w:numId w:val="21"/>
        </w:numPr>
        <w:spacing w:before="120" w:after="120"/>
        <w:ind w:left="1134" w:hanging="283"/>
      </w:pPr>
      <w:r w:rsidRPr="007C28CC">
        <w:t>Długość: 1,27 km;</w:t>
      </w:r>
    </w:p>
    <w:p w14:paraId="745C5178" w14:textId="77777777" w:rsidR="00BA0236" w:rsidRPr="007C28CC" w:rsidRDefault="00BA0236" w:rsidP="00A30588">
      <w:pPr>
        <w:pStyle w:val="ReportText"/>
        <w:numPr>
          <w:ilvl w:val="2"/>
          <w:numId w:val="21"/>
        </w:numPr>
        <w:spacing w:before="120" w:after="120"/>
        <w:ind w:left="1134" w:hanging="283"/>
      </w:pPr>
      <w:r w:rsidRPr="007C28CC">
        <w:t>Średnia wysokość: 2,1 m;</w:t>
      </w:r>
    </w:p>
    <w:p w14:paraId="14AE5FBC" w14:textId="77777777" w:rsidR="00BA0236" w:rsidRPr="007C28CC" w:rsidRDefault="00BA0236" w:rsidP="00A30588">
      <w:pPr>
        <w:pStyle w:val="ReportText"/>
        <w:numPr>
          <w:ilvl w:val="2"/>
          <w:numId w:val="21"/>
        </w:numPr>
        <w:spacing w:before="120" w:after="120"/>
        <w:ind w:left="1134" w:hanging="283"/>
      </w:pPr>
      <w:r w:rsidRPr="007C28CC">
        <w:t>Typ ochrony: wał przeciwpowodziowy (cz. Wschodnia);</w:t>
      </w:r>
    </w:p>
    <w:p w14:paraId="009B5B95" w14:textId="77777777" w:rsidR="00BA0236" w:rsidRPr="007C28CC" w:rsidRDefault="00BA0236" w:rsidP="00A30588">
      <w:pPr>
        <w:pStyle w:val="ReportText"/>
        <w:numPr>
          <w:ilvl w:val="2"/>
          <w:numId w:val="21"/>
        </w:numPr>
        <w:spacing w:before="120" w:after="120"/>
        <w:ind w:left="1134" w:hanging="283"/>
      </w:pPr>
      <w:r w:rsidRPr="007C28CC">
        <w:t>Długość: 2,23 km;</w:t>
      </w:r>
    </w:p>
    <w:p w14:paraId="63152404" w14:textId="77777777" w:rsidR="00BA0236" w:rsidRPr="007C28CC" w:rsidRDefault="00BA0236" w:rsidP="00A30588">
      <w:pPr>
        <w:pStyle w:val="ReportText"/>
        <w:numPr>
          <w:ilvl w:val="2"/>
          <w:numId w:val="21"/>
        </w:numPr>
        <w:spacing w:before="120" w:after="120"/>
        <w:ind w:left="1134" w:hanging="283"/>
      </w:pPr>
      <w:r w:rsidRPr="007C28CC">
        <w:t>Średnia wysokość: 2,1 m;</w:t>
      </w:r>
    </w:p>
    <w:p w14:paraId="3D1392D5" w14:textId="77777777" w:rsidR="00BA0236" w:rsidRPr="007C28CC" w:rsidRDefault="00BA0236" w:rsidP="00A30588">
      <w:pPr>
        <w:pStyle w:val="ReportText"/>
        <w:numPr>
          <w:ilvl w:val="2"/>
          <w:numId w:val="21"/>
        </w:numPr>
        <w:spacing w:before="120" w:after="120"/>
        <w:ind w:left="1134" w:hanging="283"/>
      </w:pPr>
      <w:r w:rsidRPr="007C28CC">
        <w:lastRenderedPageBreak/>
        <w:t>Rzędna wody miarodajnej (przy wezbraniu 1%): 2,11 m n.p.m.;</w:t>
      </w:r>
    </w:p>
    <w:p w14:paraId="32F4D178" w14:textId="77777777" w:rsidR="00BA0236" w:rsidRPr="007C28CC" w:rsidRDefault="00BA0236" w:rsidP="00A30588">
      <w:pPr>
        <w:pStyle w:val="ReportText"/>
        <w:numPr>
          <w:ilvl w:val="2"/>
          <w:numId w:val="21"/>
        </w:numPr>
        <w:spacing w:before="120" w:after="120"/>
        <w:ind w:left="1134" w:hanging="283"/>
      </w:pPr>
      <w:r w:rsidRPr="007C28CC">
        <w:t>Rzędna wody kontrolnej (przy wezbraniu 0,2%): 2,41 m n.p.m.;</w:t>
      </w:r>
    </w:p>
    <w:p w14:paraId="7514A522" w14:textId="54F3F499" w:rsidR="00BA0236" w:rsidRPr="007C28CC" w:rsidRDefault="00BA0236" w:rsidP="00A30588">
      <w:pPr>
        <w:pStyle w:val="ReportText"/>
        <w:numPr>
          <w:ilvl w:val="2"/>
          <w:numId w:val="21"/>
        </w:numPr>
        <w:spacing w:before="60" w:after="0"/>
        <w:ind w:left="1134" w:hanging="283"/>
      </w:pPr>
      <w:r w:rsidRPr="007C28CC">
        <w:t>Wymagana minimalna rzędna górnej krawędzi: 2,71 m n.p.m. (0,30 m nad poziom lustra wody 0,2%</w:t>
      </w:r>
      <w:r w:rsidR="00926F98">
        <w:t>, min. rzędna powyżej rzędnej weryfikującej: 2,51 m n.p.m.</w:t>
      </w:r>
      <w:r w:rsidR="00926F98" w:rsidRPr="007C28CC">
        <w:t>).</w:t>
      </w:r>
    </w:p>
    <w:p w14:paraId="34100090" w14:textId="66B47EBB" w:rsidR="00BA0236" w:rsidRPr="007C28CC" w:rsidRDefault="00E8074C" w:rsidP="007C28CC">
      <w:pPr>
        <w:pStyle w:val="ReportText"/>
        <w:spacing w:before="0" w:after="0"/>
        <w:jc w:val="center"/>
      </w:pPr>
      <w:r>
        <w:rPr>
          <w:noProof/>
          <w:lang w:eastAsia="pl-PL"/>
        </w:rPr>
        <w:drawing>
          <wp:inline distT="0" distB="0" distL="0" distR="0" wp14:anchorId="14B9BC19" wp14:editId="1D267072">
            <wp:extent cx="3933825" cy="3933825"/>
            <wp:effectExtent l="0" t="0" r="0" b="0"/>
            <wp:docPr id="37" name="Obraz 67" descr="Obraz zawierający mapa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7" descr="Obraz zawierający mapaOpis wygenerowany automatyczni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933825" cy="3933825"/>
                    </a:xfrm>
                    <a:prstGeom prst="rect">
                      <a:avLst/>
                    </a:prstGeom>
                    <a:noFill/>
                    <a:ln>
                      <a:noFill/>
                    </a:ln>
                  </pic:spPr>
                </pic:pic>
              </a:graphicData>
            </a:graphic>
          </wp:inline>
        </w:drawing>
      </w:r>
    </w:p>
    <w:p w14:paraId="64F26DDA" w14:textId="680E281F" w:rsidR="00BA0236" w:rsidRPr="007C28CC" w:rsidRDefault="00BA0236" w:rsidP="00A30588">
      <w:pPr>
        <w:pStyle w:val="ReportText"/>
        <w:spacing w:before="0"/>
        <w:ind w:left="1418" w:hanging="1418"/>
      </w:pPr>
      <w:bookmarkStart w:id="132" w:name="_Ref79488752"/>
      <w:bookmarkStart w:id="133" w:name="_Toc80604809"/>
      <w:r w:rsidRPr="007C28CC">
        <w:t xml:space="preserve">Rysunek </w:t>
      </w:r>
      <w:r w:rsidR="00677743">
        <w:rPr>
          <w:noProof/>
        </w:rPr>
        <w:fldChar w:fldCharType="begin"/>
      </w:r>
      <w:r w:rsidR="00677743">
        <w:rPr>
          <w:noProof/>
        </w:rPr>
        <w:instrText xml:space="preserve"> SEQ Rysunek \* ARABIC </w:instrText>
      </w:r>
      <w:r w:rsidR="00677743">
        <w:rPr>
          <w:noProof/>
        </w:rPr>
        <w:fldChar w:fldCharType="separate"/>
      </w:r>
      <w:r w:rsidR="00FD3F9A">
        <w:rPr>
          <w:noProof/>
        </w:rPr>
        <w:t>36</w:t>
      </w:r>
      <w:r w:rsidR="00677743">
        <w:rPr>
          <w:noProof/>
        </w:rPr>
        <w:fldChar w:fldCharType="end"/>
      </w:r>
      <w:bookmarkEnd w:id="132"/>
      <w:r w:rsidRPr="007C28CC">
        <w:tab/>
        <w:t>Lokalizacja działań zaproponowanych w wariancie „2” dla obszaru problemowego MR_2 Mechelinki, Rewa, Mosty, Połchowo – ujście Redy</w:t>
      </w:r>
      <w:bookmarkEnd w:id="133"/>
    </w:p>
    <w:p w14:paraId="436D205B" w14:textId="77777777" w:rsidR="00BA0236" w:rsidRPr="007C28CC" w:rsidRDefault="00BA0236" w:rsidP="007C28CC">
      <w:pPr>
        <w:rPr>
          <w:b/>
          <w:color w:val="28AAE1"/>
          <w:sz w:val="36"/>
          <w:szCs w:val="20"/>
          <w:lang w:eastAsia="en-US"/>
        </w:rPr>
      </w:pPr>
      <w:r w:rsidRPr="007C28CC">
        <w:br w:type="page"/>
      </w:r>
    </w:p>
    <w:p w14:paraId="4C7F2CEF" w14:textId="19D4176E" w:rsidR="00BA0236" w:rsidRPr="007C28CC" w:rsidRDefault="00BA0236" w:rsidP="00E8074C">
      <w:pPr>
        <w:pStyle w:val="ReportLevel1"/>
        <w:numPr>
          <w:ilvl w:val="0"/>
          <w:numId w:val="9"/>
        </w:numPr>
      </w:pPr>
      <w:bookmarkStart w:id="134" w:name="_Toc79511683"/>
      <w:bookmarkStart w:id="135" w:name="_Toc80604863"/>
      <w:r w:rsidRPr="007C28CC">
        <w:lastRenderedPageBreak/>
        <w:t>Aktualizacja i utworzenie Ostatecznej Listy Działań</w:t>
      </w:r>
      <w:bookmarkEnd w:id="48"/>
      <w:bookmarkEnd w:id="134"/>
      <w:r w:rsidR="00E64148">
        <w:t xml:space="preserve"> - analizy</w:t>
      </w:r>
      <w:bookmarkEnd w:id="135"/>
    </w:p>
    <w:p w14:paraId="45EB998D" w14:textId="6953BD12" w:rsidR="00BA0236" w:rsidRPr="007C28CC" w:rsidRDefault="00BA0236" w:rsidP="007C28CC">
      <w:pPr>
        <w:pStyle w:val="ReportText"/>
        <w:spacing w:before="120"/>
      </w:pPr>
      <w:r w:rsidRPr="007C28CC">
        <w:t xml:space="preserve">Proces utworzenia Ostatecznej Listy Działań II cyklu aPZRPM dla zlewni planistycznej Dolnej Wisły był poprzedzony szeregiem działań, które zostały opisane we wcześniejszych rozdziałach. W pierwszym kroku utworzono wstępną listę działań, spośród których, po przeprowadzonych analizach, część została zakwalifikowana bezpośrednio do wpisania na Ostateczną Listę Działań. Pozostałe działania, po weryfikacji za pomocą przeprowadzonej analizy S.M.A.R.T., zostały wykorzystane do stworzenia wariantów planistycznych. Dodatkowo do utworzenia wariantów wykorzystano także działania z listy „V”, na której znalazły się propozycje obniżające istniejące ryzyko powodziowe wskazane przez Urzędy Morskie, RZGW i Wykonawcę prac. Zaproponowane warianty planistyczne zostały poddane modelowaniu hydraulicznemu i szeregowi analiz opisanych w niniejszym rozdziale, które wyłoniły wariant optymalny dla każdego obszaru problemowego. Działania zawarte w wariantach optymalnych trafiły na Ostateczną Listę Działań. Schemat obrazujący przedmiotowy proces przedstawia </w:t>
      </w:r>
      <w:r w:rsidRPr="007C28CC">
        <w:fldChar w:fldCharType="begin"/>
      </w:r>
      <w:r w:rsidRPr="007C28CC">
        <w:instrText xml:space="preserve"> REF _Ref76551397 \h </w:instrText>
      </w:r>
      <w:r w:rsidRPr="007C28CC">
        <w:fldChar w:fldCharType="separate"/>
      </w:r>
      <w:r w:rsidR="00FD3F9A" w:rsidRPr="007C28CC">
        <w:t xml:space="preserve">Rysunek </w:t>
      </w:r>
      <w:r w:rsidR="00FD3F9A">
        <w:rPr>
          <w:noProof/>
        </w:rPr>
        <w:t>37</w:t>
      </w:r>
      <w:r w:rsidRPr="007C28CC">
        <w:fldChar w:fldCharType="end"/>
      </w:r>
      <w:r w:rsidRPr="007C28CC">
        <w:t>.</w:t>
      </w:r>
    </w:p>
    <w:p w14:paraId="7A6E900F" w14:textId="77777777" w:rsidR="00BA0236" w:rsidRPr="007C28CC" w:rsidRDefault="00BA0236" w:rsidP="007C28CC">
      <w:pPr>
        <w:pStyle w:val="ReportText"/>
        <w:spacing w:before="120"/>
      </w:pPr>
    </w:p>
    <w:p w14:paraId="7E99877B" w14:textId="0FA445EB" w:rsidR="00BA0236" w:rsidRPr="007C28CC" w:rsidRDefault="00E8074C" w:rsidP="007C28CC">
      <w:pPr>
        <w:pStyle w:val="ReportText"/>
        <w:spacing w:before="120"/>
        <w:ind w:left="-709"/>
      </w:pPr>
      <w:r>
        <w:rPr>
          <w:noProof/>
          <w:lang w:eastAsia="pl-PL"/>
        </w:rPr>
        <w:drawing>
          <wp:inline distT="0" distB="0" distL="0" distR="0" wp14:anchorId="3471BCC3" wp14:editId="2B2398A9">
            <wp:extent cx="6276975" cy="2314575"/>
            <wp:effectExtent l="0" t="0" r="0" b="0"/>
            <wp:docPr id="38"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276975" cy="2314575"/>
                    </a:xfrm>
                    <a:prstGeom prst="rect">
                      <a:avLst/>
                    </a:prstGeom>
                    <a:noFill/>
                    <a:ln>
                      <a:noFill/>
                    </a:ln>
                  </pic:spPr>
                </pic:pic>
              </a:graphicData>
            </a:graphic>
          </wp:inline>
        </w:drawing>
      </w:r>
    </w:p>
    <w:p w14:paraId="62EF7996" w14:textId="73D2E4BD" w:rsidR="00BA0236" w:rsidRPr="007C28CC" w:rsidRDefault="00BA0236" w:rsidP="00A30588">
      <w:pPr>
        <w:pStyle w:val="ReportText"/>
        <w:ind w:left="1418" w:hanging="1418"/>
      </w:pPr>
      <w:bookmarkStart w:id="136" w:name="_Ref76551397"/>
      <w:bookmarkStart w:id="137" w:name="_Toc76734826"/>
      <w:bookmarkStart w:id="138" w:name="_Toc80604810"/>
      <w:r w:rsidRPr="007C28CC">
        <w:t xml:space="preserve">Rysunek </w:t>
      </w:r>
      <w:r w:rsidR="00677743">
        <w:rPr>
          <w:noProof/>
        </w:rPr>
        <w:fldChar w:fldCharType="begin"/>
      </w:r>
      <w:r w:rsidR="00677743">
        <w:rPr>
          <w:noProof/>
        </w:rPr>
        <w:instrText xml:space="preserve"> SEQ Rysunek \* ARABIC </w:instrText>
      </w:r>
      <w:r w:rsidR="00677743">
        <w:rPr>
          <w:noProof/>
        </w:rPr>
        <w:fldChar w:fldCharType="separate"/>
      </w:r>
      <w:r w:rsidR="00FD3F9A">
        <w:rPr>
          <w:noProof/>
        </w:rPr>
        <w:t>37</w:t>
      </w:r>
      <w:r w:rsidR="00677743">
        <w:rPr>
          <w:noProof/>
        </w:rPr>
        <w:fldChar w:fldCharType="end"/>
      </w:r>
      <w:bookmarkEnd w:id="136"/>
      <w:r w:rsidRPr="007C28CC">
        <w:tab/>
        <w:t>Schemat opracowania Ostatecznej Listy Działań II cyklu aPZRPM</w:t>
      </w:r>
      <w:bookmarkEnd w:id="137"/>
      <w:bookmarkEnd w:id="138"/>
    </w:p>
    <w:p w14:paraId="18184BBB" w14:textId="77777777" w:rsidR="00BA0236" w:rsidRPr="007C28CC" w:rsidRDefault="00BA0236" w:rsidP="007C28CC">
      <w:pPr>
        <w:rPr>
          <w:b/>
          <w:color w:val="28AAE1"/>
          <w:sz w:val="32"/>
          <w:szCs w:val="20"/>
          <w:lang w:eastAsia="en-US"/>
        </w:rPr>
      </w:pPr>
      <w:r w:rsidRPr="007C28CC">
        <w:br w:type="page"/>
      </w:r>
    </w:p>
    <w:p w14:paraId="771E0F69" w14:textId="77777777" w:rsidR="00BA0236" w:rsidRPr="007C28CC" w:rsidRDefault="00BA0236" w:rsidP="00E8074C">
      <w:pPr>
        <w:pStyle w:val="ReportLevel2"/>
        <w:numPr>
          <w:ilvl w:val="1"/>
          <w:numId w:val="9"/>
        </w:numPr>
      </w:pPr>
      <w:bookmarkStart w:id="139" w:name="_Toc79511684"/>
      <w:bookmarkStart w:id="140" w:name="_Toc80604864"/>
      <w:r w:rsidRPr="007C28CC">
        <w:lastRenderedPageBreak/>
        <w:t>Analizy hydrauliczne</w:t>
      </w:r>
      <w:bookmarkEnd w:id="139"/>
      <w:bookmarkEnd w:id="140"/>
    </w:p>
    <w:p w14:paraId="57421E1D" w14:textId="77777777" w:rsidR="00BA0236" w:rsidRPr="007C28CC" w:rsidRDefault="00BA0236" w:rsidP="007C28CC">
      <w:pPr>
        <w:pStyle w:val="ReportText"/>
        <w:spacing w:before="120" w:after="120"/>
      </w:pPr>
      <w:r w:rsidRPr="007C28CC">
        <w:t>Sformułowane w ramach aPZRPM warianty planistyczne zostały poddane ocenie skuteczności i efektywności z wykorzystaniem modeli hydraulicznych. Do modelowania hydraulicznego wykorzystane zostały istniejące, najbardziej aktualne modele będące produktami projektu przeglądu i aktualizacji map zagrożenia powodziowego i map ryzyka powodziowego. W trakcie prac nie aktualizowano istniejących modeli w zakresie danych topograficznych (pomiary geodezyjne, numeryczny model terenu), hydraulicznych oraz hydrologicznych. Dla każdego z wariantów planistycznych,</w:t>
      </w:r>
      <w:r w:rsidRPr="007C28CC">
        <w:br/>
        <w:t xml:space="preserve">w wyniku modelowania, wyznaczone zostały obszary zagrożone powodzią dla dwóch scenariuszy, analizowanych w procesie modelowania podczas opracowywania map zagrożenia i map ryzyka powodziowego od strony morza: </w:t>
      </w:r>
    </w:p>
    <w:p w14:paraId="1E8A18D3" w14:textId="77777777" w:rsidR="00BA0236" w:rsidRPr="007C28CC" w:rsidRDefault="00BA0236" w:rsidP="00A30588">
      <w:pPr>
        <w:pStyle w:val="ReportText"/>
        <w:numPr>
          <w:ilvl w:val="0"/>
          <w:numId w:val="14"/>
        </w:numPr>
        <w:spacing w:before="120" w:after="120"/>
        <w:ind w:left="567" w:hanging="425"/>
      </w:pPr>
      <w:r w:rsidRPr="007C28CC">
        <w:t xml:space="preserve">Scenariusz hydrologiczny z prawdopodobieństwem wystąpienia powodzi 0,2% (czyli raz na 500 lat), </w:t>
      </w:r>
    </w:p>
    <w:p w14:paraId="32E72BC6" w14:textId="77777777" w:rsidR="00BA0236" w:rsidRPr="007C28CC" w:rsidRDefault="00BA0236" w:rsidP="00A30588">
      <w:pPr>
        <w:pStyle w:val="ReportText"/>
        <w:numPr>
          <w:ilvl w:val="0"/>
          <w:numId w:val="14"/>
        </w:numPr>
        <w:spacing w:before="120" w:after="120"/>
        <w:ind w:left="567" w:hanging="425"/>
      </w:pPr>
      <w:r w:rsidRPr="007C28CC">
        <w:t>Scenariusz hydrologiczny z prawdopodobieństwem wystąpienia powodzi 1% (czyli raz na 100 lat).</w:t>
      </w:r>
    </w:p>
    <w:p w14:paraId="69870B97" w14:textId="77777777" w:rsidR="00BA0236" w:rsidRPr="007C28CC" w:rsidRDefault="00BA0236" w:rsidP="007C28CC">
      <w:pPr>
        <w:pStyle w:val="ReportText"/>
        <w:spacing w:before="120" w:after="120"/>
      </w:pPr>
      <w:r w:rsidRPr="007C28CC">
        <w:t xml:space="preserve">Do obliczeń hydraulicznych wykorzystano modele dwuwymiarowe (2D) wykonane w oprogramowaniu MIKE 21. Wyniki modelowania hydraulicznego stanowiły podstawowy element decydujący o włączeniu konkretnych zadań do wariantu planistycznego i w konsekwencji decydowały o wyborze rekomendowanego wariantu dla każdej zlewni planistycznej. </w:t>
      </w:r>
    </w:p>
    <w:p w14:paraId="7CD496B0" w14:textId="06A172DE" w:rsidR="00BA0236" w:rsidRPr="007C28CC" w:rsidRDefault="00BA0236" w:rsidP="007C28CC">
      <w:pPr>
        <w:pStyle w:val="ReportText"/>
        <w:spacing w:before="120" w:after="120"/>
      </w:pPr>
      <w:r w:rsidRPr="007C28CC">
        <w:t>Modelowanie wariantów planistycznych obejmowało wprowadzenie zmian w modelach hydraulicznych polegających na implementacji proponowanych działań. Wprowadzenie zmian w modelach 2D obejmowało dodanie nowych obiektów – wałów, falochronów, wrót sztormowych jako obiektów w grupie „structures” odwzorowujących w modelu lokalizację, przebieg i rzędne obiektów ochronnych. Wynikiem modelowania hydraulicznego były nowe zasięgi zalewu wód powodziowych. Wygenerowane zasięgi zalewu dla przypadku powodzi 1% i 0,2% stanowiły materiał wyjściowy do analiz przestrzennych wykonywanych na potrzeby analizy kosztów i korzyści oraz analizy wielokryterialnej. Szczegóły procesu modelowania opisano w raporcie z procesu modelowania hydraulicznego</w:t>
      </w:r>
      <w:r w:rsidR="00E419E1">
        <w:t>.</w:t>
      </w:r>
    </w:p>
    <w:p w14:paraId="02A5E14A" w14:textId="77777777" w:rsidR="00BA0236" w:rsidRPr="007C28CC" w:rsidRDefault="00BA0236" w:rsidP="007C28CC">
      <w:pPr>
        <w:rPr>
          <w:b/>
          <w:color w:val="28AAE1"/>
          <w:sz w:val="32"/>
          <w:szCs w:val="20"/>
          <w:lang w:eastAsia="en-US"/>
        </w:rPr>
      </w:pPr>
      <w:r w:rsidRPr="007C28CC">
        <w:br w:type="page"/>
      </w:r>
    </w:p>
    <w:p w14:paraId="30C09765" w14:textId="77777777" w:rsidR="00BA0236" w:rsidRPr="007C28CC" w:rsidRDefault="00BA0236" w:rsidP="00E8074C">
      <w:pPr>
        <w:pStyle w:val="ReportLevel2"/>
        <w:numPr>
          <w:ilvl w:val="1"/>
          <w:numId w:val="9"/>
        </w:numPr>
      </w:pPr>
      <w:bookmarkStart w:id="141" w:name="_Toc79511685"/>
      <w:bookmarkStart w:id="142" w:name="_Toc80604865"/>
      <w:r w:rsidRPr="007C28CC">
        <w:lastRenderedPageBreak/>
        <w:t>Analizy kosztów i korzyści</w:t>
      </w:r>
      <w:bookmarkEnd w:id="141"/>
      <w:bookmarkEnd w:id="142"/>
    </w:p>
    <w:p w14:paraId="677CCA6B" w14:textId="77777777" w:rsidR="00BA0236" w:rsidRPr="007C28CC" w:rsidRDefault="00BA0236" w:rsidP="007C28CC">
      <w:pPr>
        <w:pStyle w:val="ReportText"/>
        <w:spacing w:before="120" w:after="120"/>
      </w:pPr>
      <w:r w:rsidRPr="007C28CC">
        <w:t>Zgodnie z zakresem prac określonym w SOPZ dla sformułowanych wariantów planistycznych przeprowadzona została analiza kosztów i korzyści, w wyniku której wyznaczone zostały wartości wskaźników efektywności ekonomicznej (ENPV, EIRR, B/C) wraz ze wskazaniem wariantów rekomendowanych do dalszych analiz oraz wariantów rekomendowanych do odrzucenia, co do których stosunek korzyści do kosztów okazał się niezadowalający.</w:t>
      </w:r>
    </w:p>
    <w:p w14:paraId="396E5BB7" w14:textId="77777777" w:rsidR="00BA0236" w:rsidRPr="007C28CC" w:rsidRDefault="00BA0236" w:rsidP="007C28CC">
      <w:pPr>
        <w:pStyle w:val="ReportText"/>
        <w:spacing w:before="120" w:after="120"/>
      </w:pPr>
      <w:r w:rsidRPr="007C28CC">
        <w:t xml:space="preserve">Etapy przeprowadzonej analizy kosztów i korzyści obejmowały: </w:t>
      </w:r>
    </w:p>
    <w:p w14:paraId="59C14416" w14:textId="77777777" w:rsidR="00BA0236" w:rsidRPr="00A3454D" w:rsidRDefault="00BA0236" w:rsidP="00A30588">
      <w:pPr>
        <w:pStyle w:val="Akapitzlist"/>
        <w:numPr>
          <w:ilvl w:val="0"/>
          <w:numId w:val="22"/>
        </w:numPr>
        <w:spacing w:after="120" w:line="259" w:lineRule="auto"/>
        <w:ind w:left="567" w:hanging="425"/>
        <w:jc w:val="both"/>
        <w:rPr>
          <w:sz w:val="24"/>
          <w:szCs w:val="24"/>
        </w:rPr>
      </w:pPr>
      <w:r w:rsidRPr="00A3454D">
        <w:rPr>
          <w:sz w:val="24"/>
          <w:szCs w:val="24"/>
        </w:rPr>
        <w:t xml:space="preserve">identyfikację korzyści wynikających z realizacji projektu, </w:t>
      </w:r>
    </w:p>
    <w:p w14:paraId="665DDA34" w14:textId="77777777" w:rsidR="00BA0236" w:rsidRPr="00A3454D" w:rsidRDefault="00BA0236" w:rsidP="00A30588">
      <w:pPr>
        <w:pStyle w:val="Akapitzlist"/>
        <w:numPr>
          <w:ilvl w:val="0"/>
          <w:numId w:val="22"/>
        </w:numPr>
        <w:spacing w:after="120" w:line="259" w:lineRule="auto"/>
        <w:ind w:left="567" w:hanging="425"/>
        <w:jc w:val="both"/>
        <w:rPr>
          <w:sz w:val="24"/>
          <w:szCs w:val="24"/>
        </w:rPr>
      </w:pPr>
      <w:r w:rsidRPr="00A3454D">
        <w:rPr>
          <w:sz w:val="24"/>
          <w:szCs w:val="24"/>
        </w:rPr>
        <w:t xml:space="preserve">wycenę pieniężną nakładów inwestycyjnych i korzyści, </w:t>
      </w:r>
    </w:p>
    <w:p w14:paraId="3988F168" w14:textId="77777777" w:rsidR="00BA0236" w:rsidRPr="00A3454D" w:rsidRDefault="00BA0236" w:rsidP="00A30588">
      <w:pPr>
        <w:pStyle w:val="Akapitzlist"/>
        <w:numPr>
          <w:ilvl w:val="0"/>
          <w:numId w:val="22"/>
        </w:numPr>
        <w:spacing w:after="120" w:line="259" w:lineRule="auto"/>
        <w:ind w:left="567" w:hanging="425"/>
        <w:jc w:val="both"/>
        <w:rPr>
          <w:sz w:val="24"/>
          <w:szCs w:val="24"/>
        </w:rPr>
      </w:pPr>
      <w:r w:rsidRPr="00A3454D">
        <w:rPr>
          <w:sz w:val="24"/>
          <w:szCs w:val="24"/>
        </w:rPr>
        <w:t>zdyskontowanie przyszłych korzyści netto, co pozwala na ujęcie przyszłych kosztów i korzyści w cenach bieżących i porównanie ich z nakładami inwestycyjnymi (w analizie przyjęto stopę dyskontową równą 5%).</w:t>
      </w:r>
    </w:p>
    <w:p w14:paraId="55A1E790" w14:textId="77777777" w:rsidR="00BA0236" w:rsidRPr="007C28CC" w:rsidRDefault="00BA0236" w:rsidP="007C28CC">
      <w:pPr>
        <w:pStyle w:val="ReportText"/>
        <w:spacing w:before="120" w:after="120"/>
      </w:pPr>
      <w:r w:rsidRPr="007C28CC">
        <w:t>Do obliczeń modelowych wykorzystano długoterminową projekcję m.in. wartości stopy inflacji w Polsce opublikowaną w Wytycznych dotyczących stosowania jednolitych wskaźników makroekonomicznych będących podstawą oszacowania skutków finansowych projektowanych ustaw (aktualizacja – lipiec 2020 r).</w:t>
      </w:r>
    </w:p>
    <w:p w14:paraId="3F3D75C6" w14:textId="77777777" w:rsidR="00BA0236" w:rsidRPr="007C28CC" w:rsidRDefault="00BA0236" w:rsidP="007C28CC">
      <w:pPr>
        <w:pStyle w:val="ReportText"/>
        <w:spacing w:before="120" w:after="120"/>
      </w:pPr>
      <w:r w:rsidRPr="007C28CC">
        <w:t>Okres odniesienia wynoszący 50 lat został zastosowany zgodnie z powszechnie przyjętą międzynarodową praktyką dla inwestycji związanych z ochroną przeciwpowodziową. Analizę przeprowadzono wykorzystując społeczną stopę dyskontową w wysokości 5%.</w:t>
      </w:r>
    </w:p>
    <w:p w14:paraId="33DC0D70" w14:textId="77777777" w:rsidR="00BA0236" w:rsidRPr="007C28CC" w:rsidRDefault="00BA0236" w:rsidP="007C28CC">
      <w:pPr>
        <w:pStyle w:val="ReportText"/>
        <w:spacing w:before="120" w:after="120"/>
      </w:pPr>
      <w:r w:rsidRPr="007C28CC">
        <w:t>Dla nakładów inwestycyjnych przyjęto ceny netto z 2019 r. poddane współczynnikowi wzrostu cen (prognoza inflacji zgodnie z Wytycznymi dotyczącymi stosowania jednolitych wskaźników makroekonomicznych). Realizacja procesu inwestycyjnego przewidziana została w latach 2025-2027. W nakładach inwestycyjnych uwzględniono:</w:t>
      </w:r>
    </w:p>
    <w:p w14:paraId="0B241C84" w14:textId="77777777" w:rsidR="00A30588" w:rsidRDefault="00BA0236" w:rsidP="00924BB5">
      <w:pPr>
        <w:pStyle w:val="ReportText"/>
        <w:numPr>
          <w:ilvl w:val="0"/>
          <w:numId w:val="75"/>
        </w:numPr>
        <w:spacing w:before="80" w:after="80"/>
        <w:ind w:left="567" w:hanging="425"/>
      </w:pPr>
      <w:r w:rsidRPr="007C28CC">
        <w:t>10% wartości nakładów stanowiących koszty usunięcia kolizji z istniejąca infrastrukturą,</w:t>
      </w:r>
    </w:p>
    <w:p w14:paraId="46E66DE9" w14:textId="77777777" w:rsidR="00A30588" w:rsidRDefault="00BA0236" w:rsidP="00924BB5">
      <w:pPr>
        <w:pStyle w:val="ReportText"/>
        <w:numPr>
          <w:ilvl w:val="0"/>
          <w:numId w:val="75"/>
        </w:numPr>
        <w:spacing w:before="80" w:after="80"/>
        <w:ind w:left="567" w:hanging="425"/>
      </w:pPr>
      <w:r w:rsidRPr="007C28CC">
        <w:t>2,5% wartości nakładów przewidzianych na projekt i nadzory autorskie oraz 1,5% wartości nakładów na zarządzanie i nadzór inwestorski,</w:t>
      </w:r>
    </w:p>
    <w:p w14:paraId="34AA277F" w14:textId="3357B5CE" w:rsidR="00BA0236" w:rsidRPr="007C28CC" w:rsidRDefault="00BA0236" w:rsidP="00924BB5">
      <w:pPr>
        <w:pStyle w:val="ReportText"/>
        <w:numPr>
          <w:ilvl w:val="0"/>
          <w:numId w:val="75"/>
        </w:numPr>
        <w:spacing w:before="80" w:after="80"/>
        <w:ind w:left="567" w:hanging="425"/>
      </w:pPr>
      <w:r w:rsidRPr="007C28CC">
        <w:t>10% wartości całkowitych nakładów stanowi rezerwa inwestycyjna.</w:t>
      </w:r>
    </w:p>
    <w:p w14:paraId="7EB9F85E" w14:textId="77777777" w:rsidR="00BA0236" w:rsidRPr="007C28CC" w:rsidRDefault="00BA0236" w:rsidP="007C28CC">
      <w:pPr>
        <w:pStyle w:val="ReportText"/>
        <w:spacing w:before="120" w:after="120"/>
      </w:pPr>
      <w:r w:rsidRPr="007C28CC">
        <w:t>Okresy amortyzacji i odtwarzania majątku trwałego oparto na okresach oczekiwanej użyteczności ekonomicznej:</w:t>
      </w:r>
    </w:p>
    <w:p w14:paraId="74B04476" w14:textId="77777777" w:rsidR="00A30588" w:rsidRDefault="00BA0236" w:rsidP="00924BB5">
      <w:pPr>
        <w:pStyle w:val="ReportText"/>
        <w:numPr>
          <w:ilvl w:val="0"/>
          <w:numId w:val="76"/>
        </w:numPr>
        <w:spacing w:before="80" w:after="80"/>
        <w:ind w:left="567" w:hanging="425"/>
      </w:pPr>
      <w:r w:rsidRPr="007C28CC">
        <w:t>Mury oporowe, wały przeciwpowodziowe, nabrzeża portowe - 40 lat</w:t>
      </w:r>
    </w:p>
    <w:p w14:paraId="7143003E" w14:textId="77777777" w:rsidR="00A30588" w:rsidRDefault="00BA0236" w:rsidP="00924BB5">
      <w:pPr>
        <w:pStyle w:val="ReportText"/>
        <w:numPr>
          <w:ilvl w:val="0"/>
          <w:numId w:val="76"/>
        </w:numPr>
        <w:spacing w:before="80" w:after="80"/>
        <w:ind w:left="567" w:hanging="425"/>
      </w:pPr>
      <w:r w:rsidRPr="007C28CC">
        <w:t>Mobilne systemy przeciwpowodziowe – 25 lat</w:t>
      </w:r>
    </w:p>
    <w:p w14:paraId="09098499" w14:textId="15F4F40B" w:rsidR="00BA0236" w:rsidRPr="007C28CC" w:rsidRDefault="00BA0236" w:rsidP="00924BB5">
      <w:pPr>
        <w:pStyle w:val="ReportText"/>
        <w:numPr>
          <w:ilvl w:val="0"/>
          <w:numId w:val="76"/>
        </w:numPr>
        <w:spacing w:before="80" w:after="80"/>
        <w:ind w:left="567" w:hanging="425"/>
      </w:pPr>
      <w:r w:rsidRPr="007C28CC">
        <w:t>Systemy ostrzegania – 15 lat</w:t>
      </w:r>
    </w:p>
    <w:p w14:paraId="4D308C37" w14:textId="77777777" w:rsidR="00BA0236" w:rsidRPr="007C28CC" w:rsidRDefault="00BA0236" w:rsidP="007C28CC">
      <w:pPr>
        <w:pStyle w:val="ReportText"/>
        <w:spacing w:before="120" w:after="120"/>
      </w:pPr>
      <w:r w:rsidRPr="007C28CC">
        <w:t>Poziom nakładów na odtworzenia i wymiany składników majątku trwałego po zakończeniu powyżej wskazanych okresów określono w stosunku do nakładów początkowych, przy czym poziom nakładów odtworzeniowych zakłada naturalne zużycie infrastruktury w całym cyklu życia przedsięwzięcia i został oszacowany na podstawie realizacji projektów referencyjnych o podobnej skali i przeznaczeniu:</w:t>
      </w:r>
    </w:p>
    <w:p w14:paraId="792141F6" w14:textId="77777777" w:rsidR="00A30588" w:rsidRDefault="00BA0236" w:rsidP="00924BB5">
      <w:pPr>
        <w:pStyle w:val="ReportText"/>
        <w:numPr>
          <w:ilvl w:val="0"/>
          <w:numId w:val="77"/>
        </w:numPr>
        <w:spacing w:before="80" w:after="80"/>
        <w:ind w:left="567" w:hanging="425"/>
      </w:pPr>
      <w:r w:rsidRPr="007C28CC">
        <w:t>Mury oporowe, wały przeciwpowodziowe, nabrzeża portowe - 25%</w:t>
      </w:r>
    </w:p>
    <w:p w14:paraId="7C73A174" w14:textId="77777777" w:rsidR="00A30588" w:rsidRDefault="00BA0236" w:rsidP="00924BB5">
      <w:pPr>
        <w:pStyle w:val="ReportText"/>
        <w:numPr>
          <w:ilvl w:val="0"/>
          <w:numId w:val="77"/>
        </w:numPr>
        <w:spacing w:before="80" w:after="80"/>
        <w:ind w:left="567" w:hanging="425"/>
      </w:pPr>
      <w:r w:rsidRPr="007C28CC">
        <w:t>Mobilne systemy przeciwpowodziowe – 25%</w:t>
      </w:r>
    </w:p>
    <w:p w14:paraId="56C3E4F7" w14:textId="3C78AC37" w:rsidR="00BA0236" w:rsidRPr="007C28CC" w:rsidRDefault="00BA0236" w:rsidP="00924BB5">
      <w:pPr>
        <w:pStyle w:val="ReportText"/>
        <w:numPr>
          <w:ilvl w:val="0"/>
          <w:numId w:val="77"/>
        </w:numPr>
        <w:spacing w:before="80" w:after="80"/>
        <w:ind w:left="567" w:hanging="425"/>
      </w:pPr>
      <w:r w:rsidRPr="007C28CC">
        <w:lastRenderedPageBreak/>
        <w:t>Systemy ostrzegania – 50%.</w:t>
      </w:r>
    </w:p>
    <w:p w14:paraId="3433C38E" w14:textId="77777777" w:rsidR="00BA0236" w:rsidRPr="007C28CC" w:rsidRDefault="00BA0236" w:rsidP="007C28CC">
      <w:pPr>
        <w:pStyle w:val="ReportText"/>
        <w:spacing w:before="120" w:after="120"/>
      </w:pPr>
      <w:r w:rsidRPr="007C28CC">
        <w:t>Koszty operacyjne ustalono w oparciu o porównanie kosztów inwestycji o zbliżonym zakresie i charakterze, w podobnym lub tym samym regionie oraz w oparciu o dotychczas ponoszone koszty w podobnych inwestycjach. Koszty operacyjne oszacowane dla każdego roku eksploatacji z uwzględnieniem analizy kosztów inwestycyjnych (szacowanie średnich kosztów remontowych istniejącej podobnej infrastruktury). Przy czym dla poszczególnych składników majątkowych przyjęto następujący % udział kosztów eksploatacyjnych w całkowitych nakładach:</w:t>
      </w:r>
    </w:p>
    <w:p w14:paraId="4BAE9B71" w14:textId="77777777" w:rsidR="00A30588" w:rsidRDefault="00BA0236" w:rsidP="00924BB5">
      <w:pPr>
        <w:pStyle w:val="ReportText"/>
        <w:numPr>
          <w:ilvl w:val="0"/>
          <w:numId w:val="78"/>
        </w:numPr>
        <w:spacing w:before="120" w:after="120"/>
        <w:ind w:left="567" w:hanging="425"/>
      </w:pPr>
      <w:r w:rsidRPr="007C28CC">
        <w:t>Mury oporowe 0,5%</w:t>
      </w:r>
    </w:p>
    <w:p w14:paraId="23FCDA56" w14:textId="77777777" w:rsidR="00A30588" w:rsidRDefault="00BA0236" w:rsidP="00924BB5">
      <w:pPr>
        <w:pStyle w:val="ReportText"/>
        <w:numPr>
          <w:ilvl w:val="0"/>
          <w:numId w:val="78"/>
        </w:numPr>
        <w:spacing w:before="120" w:after="120"/>
        <w:ind w:left="567" w:hanging="425"/>
      </w:pPr>
      <w:r w:rsidRPr="007C28CC">
        <w:t>Wały przeciwpowodziowe 0,75%</w:t>
      </w:r>
    </w:p>
    <w:p w14:paraId="6CB07122" w14:textId="77777777" w:rsidR="00A30588" w:rsidRDefault="00BA0236" w:rsidP="00924BB5">
      <w:pPr>
        <w:pStyle w:val="ReportText"/>
        <w:numPr>
          <w:ilvl w:val="0"/>
          <w:numId w:val="78"/>
        </w:numPr>
        <w:spacing w:before="120" w:after="120"/>
        <w:ind w:left="567" w:hanging="425"/>
      </w:pPr>
      <w:r w:rsidRPr="007C28CC">
        <w:t>Nabrzeża portowe 0,5%</w:t>
      </w:r>
    </w:p>
    <w:p w14:paraId="04587912" w14:textId="77777777" w:rsidR="00A30588" w:rsidRDefault="00BA0236" w:rsidP="00924BB5">
      <w:pPr>
        <w:pStyle w:val="ReportText"/>
        <w:numPr>
          <w:ilvl w:val="0"/>
          <w:numId w:val="78"/>
        </w:numPr>
        <w:spacing w:before="120" w:after="120"/>
        <w:ind w:left="567" w:hanging="425"/>
      </w:pPr>
      <w:r w:rsidRPr="007C28CC">
        <w:t>Mobilne systemy przeciwpowodziowe 0,75%</w:t>
      </w:r>
    </w:p>
    <w:p w14:paraId="4AB94AB7" w14:textId="5E873711" w:rsidR="00BA0236" w:rsidRPr="007C28CC" w:rsidRDefault="00BA0236" w:rsidP="00924BB5">
      <w:pPr>
        <w:pStyle w:val="ReportText"/>
        <w:numPr>
          <w:ilvl w:val="0"/>
          <w:numId w:val="78"/>
        </w:numPr>
        <w:spacing w:before="120" w:after="120"/>
        <w:ind w:left="567" w:hanging="425"/>
      </w:pPr>
      <w:r w:rsidRPr="007C28CC">
        <w:t>Systemy ostrzegania 0,5%</w:t>
      </w:r>
    </w:p>
    <w:p w14:paraId="417424B9" w14:textId="77777777" w:rsidR="00BA0236" w:rsidRPr="007C28CC" w:rsidRDefault="00BA0236" w:rsidP="007C28CC">
      <w:pPr>
        <w:pStyle w:val="ReportText"/>
        <w:spacing w:before="120" w:after="120"/>
      </w:pPr>
      <w:r w:rsidRPr="007C28CC">
        <w:t>Wartość rezydualna obliczona na podstawie wartości netto aktywów (tj. wartość księgowa brutto pomniejszona o amortyzację z całego okresu referencyjnego)</w:t>
      </w:r>
      <w:r w:rsidRPr="007C28CC">
        <w:br/>
        <w:t>z uwzględnieniem wartości netto związanych z nimi inwestycji odtworzeniowych.</w:t>
      </w:r>
    </w:p>
    <w:p w14:paraId="1FB1A9AC" w14:textId="77777777" w:rsidR="00BA0236" w:rsidRPr="007C28CC" w:rsidRDefault="00BA0236" w:rsidP="007C28CC">
      <w:pPr>
        <w:jc w:val="both"/>
        <w:rPr>
          <w:u w:val="single"/>
        </w:rPr>
      </w:pPr>
      <w:r w:rsidRPr="007C28CC">
        <w:rPr>
          <w:u w:val="single"/>
        </w:rPr>
        <w:t>Korzyści wynikające z oszczędności z tytułu uniknięcie spadku przychodów z tytułu podatku dochodowego PIT przez samorządy gminne</w:t>
      </w:r>
    </w:p>
    <w:p w14:paraId="7DC6E480" w14:textId="77777777" w:rsidR="00BA0236" w:rsidRPr="007C28CC" w:rsidRDefault="00BA0236" w:rsidP="007C28CC">
      <w:pPr>
        <w:pStyle w:val="ReportText"/>
        <w:spacing w:before="120" w:after="120"/>
      </w:pPr>
      <w:r w:rsidRPr="007C28CC">
        <w:t xml:space="preserve">Dane dotyczące wysokości wpływów z podatku PIT do budżetu gminy opracowano na podstawie wskaźników Banku Danych Lokalnych GUS oraz danych Ministerstwa Finansów - Udziały JST we wpływach z podatku dochodowego od osób fizycznych (PIT). Wysokość oszczędności oszacowano analizując dane ze wskazanego źródła za lata 2015-2020. </w:t>
      </w:r>
    </w:p>
    <w:p w14:paraId="52390B78" w14:textId="77777777" w:rsidR="00BA0236" w:rsidRPr="007C28CC" w:rsidRDefault="00BA0236" w:rsidP="007C28CC">
      <w:pPr>
        <w:pStyle w:val="ReportText"/>
        <w:spacing w:before="120" w:after="120"/>
      </w:pPr>
      <w:r w:rsidRPr="007C28CC">
        <w:t>Przyjęto formułę wariantową:</w:t>
      </w:r>
    </w:p>
    <w:p w14:paraId="7179D5EE" w14:textId="77777777" w:rsidR="00BA0236" w:rsidRPr="00A95C85" w:rsidRDefault="00BA0236" w:rsidP="00A30588">
      <w:pPr>
        <w:pStyle w:val="Akapitzlist"/>
        <w:numPr>
          <w:ilvl w:val="0"/>
          <w:numId w:val="30"/>
        </w:numPr>
        <w:ind w:left="567" w:hanging="425"/>
        <w:jc w:val="both"/>
        <w:rPr>
          <w:sz w:val="24"/>
          <w:szCs w:val="24"/>
        </w:rPr>
      </w:pPr>
      <w:r w:rsidRPr="00A95C85">
        <w:rPr>
          <w:sz w:val="24"/>
          <w:szCs w:val="24"/>
        </w:rPr>
        <w:t>woda 100-letnia oznacza 2% niższy PIT (konsekwencje 30 dniowe),</w:t>
      </w:r>
    </w:p>
    <w:p w14:paraId="6A10F568" w14:textId="77777777" w:rsidR="00BA0236" w:rsidRPr="00A95C85" w:rsidRDefault="00BA0236" w:rsidP="00A30588">
      <w:pPr>
        <w:pStyle w:val="Akapitzlist"/>
        <w:numPr>
          <w:ilvl w:val="0"/>
          <w:numId w:val="30"/>
        </w:numPr>
        <w:ind w:left="567" w:hanging="425"/>
        <w:jc w:val="both"/>
        <w:rPr>
          <w:sz w:val="24"/>
          <w:szCs w:val="24"/>
        </w:rPr>
      </w:pPr>
      <w:r w:rsidRPr="00A95C85">
        <w:rPr>
          <w:sz w:val="24"/>
          <w:szCs w:val="24"/>
        </w:rPr>
        <w:t>woda 500-letnia oznacza 4% niższy PIT (konsekwencje 60 dniowe).</w:t>
      </w:r>
    </w:p>
    <w:p w14:paraId="27A390FE" w14:textId="77777777" w:rsidR="00BA0236" w:rsidRPr="007C28CC" w:rsidRDefault="00BA0236" w:rsidP="007C28CC">
      <w:pPr>
        <w:spacing w:before="120" w:after="120"/>
        <w:jc w:val="both"/>
        <w:rPr>
          <w:u w:val="single"/>
        </w:rPr>
      </w:pPr>
      <w:r w:rsidRPr="007C28CC">
        <w:rPr>
          <w:u w:val="single"/>
        </w:rPr>
        <w:t>Korzyści wynikające z oszczędności za uniknięcie spadku przychodów z tytułu podatku dochodowego CIT przez samorządy gminne</w:t>
      </w:r>
    </w:p>
    <w:p w14:paraId="48FE1D91" w14:textId="77777777" w:rsidR="00BA0236" w:rsidRPr="007C28CC" w:rsidRDefault="00BA0236" w:rsidP="007C28CC">
      <w:pPr>
        <w:pStyle w:val="ReportText"/>
        <w:spacing w:before="120" w:after="120"/>
      </w:pPr>
      <w:r w:rsidRPr="007C28CC">
        <w:t>Dane dotyczące wysokości wpływów z podatku CIT do budżetu gminy opracowuje się na podstawie wskaźników Banku Danych Lokalnych GUS oraz danych Ministerstwa Finansów - Udziały JST we wpływach z podatku dochodowego od osób prawnych. Wysokość oszczędności oszacowano analizując dane ze wskazanego źródła za lata 2015-2020.</w:t>
      </w:r>
    </w:p>
    <w:p w14:paraId="57C10D7B" w14:textId="77777777" w:rsidR="00BA0236" w:rsidRPr="00A95C85" w:rsidRDefault="00BA0236" w:rsidP="007C28CC">
      <w:pPr>
        <w:pStyle w:val="ReportText"/>
        <w:spacing w:before="120" w:after="120"/>
        <w:rPr>
          <w:szCs w:val="24"/>
        </w:rPr>
      </w:pPr>
      <w:r w:rsidRPr="00A95C85">
        <w:rPr>
          <w:szCs w:val="24"/>
        </w:rPr>
        <w:t>Przyjęto formułę wariantową:</w:t>
      </w:r>
    </w:p>
    <w:p w14:paraId="242EFE4D" w14:textId="77777777" w:rsidR="00BA0236" w:rsidRPr="00A95C85" w:rsidRDefault="00BA0236" w:rsidP="00A30588">
      <w:pPr>
        <w:pStyle w:val="Akapitzlist"/>
        <w:numPr>
          <w:ilvl w:val="0"/>
          <w:numId w:val="31"/>
        </w:numPr>
        <w:ind w:left="567" w:hanging="425"/>
        <w:jc w:val="both"/>
        <w:rPr>
          <w:sz w:val="24"/>
          <w:szCs w:val="24"/>
        </w:rPr>
      </w:pPr>
      <w:r w:rsidRPr="00A95C85">
        <w:rPr>
          <w:sz w:val="24"/>
          <w:szCs w:val="24"/>
        </w:rPr>
        <w:t>woda 100 letnia oznacza 4% niższy CIT (konsekwencje 30 dniowe).</w:t>
      </w:r>
    </w:p>
    <w:p w14:paraId="39DEA8EA" w14:textId="77777777" w:rsidR="00BA0236" w:rsidRPr="00A95C85" w:rsidRDefault="00BA0236" w:rsidP="00A30588">
      <w:pPr>
        <w:pStyle w:val="Akapitzlist"/>
        <w:numPr>
          <w:ilvl w:val="0"/>
          <w:numId w:val="31"/>
        </w:numPr>
        <w:ind w:left="567" w:hanging="425"/>
        <w:jc w:val="both"/>
        <w:rPr>
          <w:sz w:val="24"/>
          <w:szCs w:val="24"/>
        </w:rPr>
      </w:pPr>
      <w:r w:rsidRPr="00A95C85">
        <w:rPr>
          <w:sz w:val="24"/>
          <w:szCs w:val="24"/>
        </w:rPr>
        <w:t>woda 100 letnia oznacza 8% niższy CIT (konsekwencje 60 dniowe).</w:t>
      </w:r>
    </w:p>
    <w:p w14:paraId="2E02E3CA" w14:textId="77777777" w:rsidR="00BA0236" w:rsidRPr="007C28CC" w:rsidRDefault="00BA0236" w:rsidP="007C28CC">
      <w:pPr>
        <w:jc w:val="both"/>
      </w:pPr>
    </w:p>
    <w:p w14:paraId="7B0D4A3A" w14:textId="7508E204" w:rsidR="00BA0236" w:rsidRPr="007C28CC" w:rsidRDefault="00BA0236" w:rsidP="007C28CC">
      <w:pPr>
        <w:pStyle w:val="ReportText"/>
        <w:spacing w:before="120" w:after="120"/>
      </w:pPr>
      <w:r w:rsidRPr="007C28CC">
        <w:t>Monetyzacja korzyści została przeprowadzona na podstawie wartości potencjalnych strat powodziowych w poszczególnych klasach użytkowania terenu, które w przypadku zaniechania realizacji inwestycji mogłyby wystąpić. Korzyści płynące ze strat, których prawdopodobnie uda się uniknąć, obliczono przyjmując wartości średniorocznych strat AAD.</w:t>
      </w:r>
    </w:p>
    <w:p w14:paraId="47E58915" w14:textId="77777777" w:rsidR="00BA0236" w:rsidRPr="007C28CC" w:rsidRDefault="00BA0236" w:rsidP="007C28CC">
      <w:pPr>
        <w:pStyle w:val="ReportText"/>
        <w:spacing w:before="120" w:after="120"/>
      </w:pPr>
      <w:r w:rsidRPr="007C28CC">
        <w:lastRenderedPageBreak/>
        <w:t>W celu wyliczenia korzyści wykorzystano wartości potencjalnych strat jednostkowych dla poszczególnych klas użytkowania terenu bazując na danych Narodowego Banku Polskiego (NBP) oraz Głównego Urzędu Statystycznego (GUS) z 2016 r. Wyliczenia dokonano wykorzystując metodę wyznaczenia wskaźników wartości mienia zaproponowaną przez I. Godyń [2016]. Wartości te zostały poddane indeksacji o wzrost wskaźników w latach 2016-2019 oraz powiększone o narzuty (szczegółowy opis zamieszono w ppkt. 5.2.1-5.2.7).</w:t>
      </w:r>
    </w:p>
    <w:p w14:paraId="4BC8C7C4" w14:textId="77777777" w:rsidR="00BA0236" w:rsidRPr="007C28CC" w:rsidRDefault="00BA0236" w:rsidP="007C28CC">
      <w:pPr>
        <w:pStyle w:val="ReportText"/>
        <w:spacing w:before="120" w:after="120"/>
      </w:pPr>
      <w:r w:rsidRPr="007C28CC">
        <w:t>Obliczenia wartości potencjalnych strat powodziowych wykonuje się dla siedmiu klas użytkowania terenu:</w:t>
      </w:r>
    </w:p>
    <w:p w14:paraId="70A47B93" w14:textId="77777777" w:rsidR="00BA0236" w:rsidRPr="009A699C" w:rsidRDefault="00BA0236" w:rsidP="00A30588">
      <w:pPr>
        <w:pStyle w:val="Akapitzlist"/>
        <w:numPr>
          <w:ilvl w:val="0"/>
          <w:numId w:val="24"/>
        </w:numPr>
        <w:autoSpaceDE w:val="0"/>
        <w:autoSpaceDN w:val="0"/>
        <w:adjustRightInd w:val="0"/>
        <w:spacing w:beforeLines="120" w:before="288" w:afterLines="120" w:after="288" w:line="260" w:lineRule="atLeast"/>
        <w:ind w:left="567" w:hanging="425"/>
        <w:jc w:val="both"/>
        <w:rPr>
          <w:sz w:val="24"/>
          <w:szCs w:val="24"/>
          <w:lang w:eastAsia="en-US"/>
        </w:rPr>
      </w:pPr>
      <w:r w:rsidRPr="009A699C">
        <w:rPr>
          <w:sz w:val="24"/>
          <w:szCs w:val="24"/>
          <w:lang w:eastAsia="en-US"/>
        </w:rPr>
        <w:t>Klasa 1 – tereny zabudowy mieszkaniowej;</w:t>
      </w:r>
    </w:p>
    <w:p w14:paraId="71259A47" w14:textId="77777777" w:rsidR="00BA0236" w:rsidRPr="009A699C" w:rsidRDefault="00BA0236" w:rsidP="00A30588">
      <w:pPr>
        <w:pStyle w:val="Akapitzlist"/>
        <w:numPr>
          <w:ilvl w:val="0"/>
          <w:numId w:val="24"/>
        </w:numPr>
        <w:autoSpaceDE w:val="0"/>
        <w:autoSpaceDN w:val="0"/>
        <w:adjustRightInd w:val="0"/>
        <w:spacing w:beforeLines="120" w:before="288" w:afterLines="120" w:after="288" w:line="260" w:lineRule="atLeast"/>
        <w:ind w:left="567" w:hanging="425"/>
        <w:jc w:val="both"/>
        <w:rPr>
          <w:sz w:val="24"/>
          <w:szCs w:val="24"/>
          <w:lang w:eastAsia="en-US"/>
        </w:rPr>
      </w:pPr>
      <w:r w:rsidRPr="009A699C">
        <w:rPr>
          <w:sz w:val="24"/>
          <w:szCs w:val="24"/>
          <w:lang w:eastAsia="en-US"/>
        </w:rPr>
        <w:t>Klasa 2 – tereny przemysłowe;</w:t>
      </w:r>
    </w:p>
    <w:p w14:paraId="4A9C9AF1" w14:textId="77777777" w:rsidR="00BA0236" w:rsidRPr="009A699C" w:rsidRDefault="00BA0236" w:rsidP="00A30588">
      <w:pPr>
        <w:pStyle w:val="Akapitzlist"/>
        <w:numPr>
          <w:ilvl w:val="0"/>
          <w:numId w:val="24"/>
        </w:numPr>
        <w:autoSpaceDE w:val="0"/>
        <w:autoSpaceDN w:val="0"/>
        <w:adjustRightInd w:val="0"/>
        <w:spacing w:beforeLines="120" w:before="288" w:afterLines="120" w:after="288" w:line="260" w:lineRule="atLeast"/>
        <w:ind w:left="567" w:hanging="425"/>
        <w:jc w:val="both"/>
        <w:rPr>
          <w:sz w:val="24"/>
          <w:szCs w:val="24"/>
          <w:lang w:eastAsia="en-US"/>
        </w:rPr>
      </w:pPr>
      <w:r w:rsidRPr="009A699C">
        <w:rPr>
          <w:sz w:val="24"/>
          <w:szCs w:val="24"/>
          <w:lang w:eastAsia="en-US"/>
        </w:rPr>
        <w:t>Klasa 3 – tereny komunikacyjne;</w:t>
      </w:r>
    </w:p>
    <w:p w14:paraId="74F0E0D8" w14:textId="77777777" w:rsidR="00BA0236" w:rsidRPr="009A699C" w:rsidRDefault="00BA0236" w:rsidP="00A30588">
      <w:pPr>
        <w:pStyle w:val="Akapitzlist"/>
        <w:numPr>
          <w:ilvl w:val="0"/>
          <w:numId w:val="24"/>
        </w:numPr>
        <w:autoSpaceDE w:val="0"/>
        <w:autoSpaceDN w:val="0"/>
        <w:adjustRightInd w:val="0"/>
        <w:spacing w:beforeLines="120" w:before="288" w:afterLines="120" w:after="288" w:line="260" w:lineRule="atLeast"/>
        <w:ind w:left="567" w:hanging="425"/>
        <w:jc w:val="both"/>
        <w:rPr>
          <w:sz w:val="24"/>
          <w:szCs w:val="24"/>
          <w:lang w:eastAsia="en-US"/>
        </w:rPr>
      </w:pPr>
      <w:r w:rsidRPr="009A699C">
        <w:rPr>
          <w:sz w:val="24"/>
          <w:szCs w:val="24"/>
          <w:lang w:eastAsia="en-US"/>
        </w:rPr>
        <w:t>Klasa 4 – lasy;</w:t>
      </w:r>
    </w:p>
    <w:p w14:paraId="57EEC1BE" w14:textId="77777777" w:rsidR="00BA0236" w:rsidRPr="009A699C" w:rsidRDefault="00BA0236" w:rsidP="00A30588">
      <w:pPr>
        <w:pStyle w:val="Akapitzlist"/>
        <w:numPr>
          <w:ilvl w:val="0"/>
          <w:numId w:val="24"/>
        </w:numPr>
        <w:autoSpaceDE w:val="0"/>
        <w:autoSpaceDN w:val="0"/>
        <w:adjustRightInd w:val="0"/>
        <w:spacing w:beforeLines="120" w:before="288" w:afterLines="120" w:after="288" w:line="260" w:lineRule="atLeast"/>
        <w:ind w:left="567" w:hanging="425"/>
        <w:jc w:val="both"/>
        <w:rPr>
          <w:sz w:val="24"/>
          <w:szCs w:val="24"/>
          <w:lang w:eastAsia="en-US"/>
        </w:rPr>
      </w:pPr>
      <w:r w:rsidRPr="009A699C">
        <w:rPr>
          <w:sz w:val="24"/>
          <w:szCs w:val="24"/>
          <w:lang w:eastAsia="en-US"/>
        </w:rPr>
        <w:t>Klasa 5 – tereny rekreacyjno-wypoczynkowe;</w:t>
      </w:r>
    </w:p>
    <w:p w14:paraId="7D8B78DA" w14:textId="77777777" w:rsidR="00BA0236" w:rsidRPr="009A699C" w:rsidRDefault="00BA0236" w:rsidP="00A30588">
      <w:pPr>
        <w:pStyle w:val="Akapitzlist"/>
        <w:numPr>
          <w:ilvl w:val="0"/>
          <w:numId w:val="24"/>
        </w:numPr>
        <w:autoSpaceDE w:val="0"/>
        <w:autoSpaceDN w:val="0"/>
        <w:adjustRightInd w:val="0"/>
        <w:spacing w:beforeLines="120" w:before="288" w:afterLines="120" w:after="288" w:line="260" w:lineRule="atLeast"/>
        <w:ind w:left="567" w:hanging="425"/>
        <w:jc w:val="both"/>
        <w:rPr>
          <w:sz w:val="24"/>
          <w:szCs w:val="24"/>
          <w:lang w:eastAsia="en-US"/>
        </w:rPr>
      </w:pPr>
      <w:r w:rsidRPr="009A699C">
        <w:rPr>
          <w:sz w:val="24"/>
          <w:szCs w:val="24"/>
          <w:lang w:eastAsia="en-US"/>
        </w:rPr>
        <w:t>Klasa 6 – grunty orne i uprawy trwałe;</w:t>
      </w:r>
    </w:p>
    <w:p w14:paraId="6AA83370" w14:textId="77777777" w:rsidR="00BA0236" w:rsidRPr="009A699C" w:rsidRDefault="00BA0236" w:rsidP="00A30588">
      <w:pPr>
        <w:pStyle w:val="Akapitzlist"/>
        <w:numPr>
          <w:ilvl w:val="0"/>
          <w:numId w:val="24"/>
        </w:numPr>
        <w:autoSpaceDE w:val="0"/>
        <w:autoSpaceDN w:val="0"/>
        <w:adjustRightInd w:val="0"/>
        <w:spacing w:beforeLines="120" w:before="288" w:afterLines="120" w:after="288" w:line="260" w:lineRule="atLeast"/>
        <w:ind w:left="567" w:hanging="425"/>
        <w:jc w:val="both"/>
        <w:rPr>
          <w:sz w:val="24"/>
          <w:szCs w:val="24"/>
          <w:lang w:eastAsia="en-US"/>
        </w:rPr>
      </w:pPr>
      <w:r w:rsidRPr="009A699C">
        <w:rPr>
          <w:sz w:val="24"/>
          <w:szCs w:val="24"/>
          <w:lang w:eastAsia="en-US"/>
        </w:rPr>
        <w:t>Klasa 7 – użytki zielone.</w:t>
      </w:r>
    </w:p>
    <w:p w14:paraId="51CA2D6C" w14:textId="77777777" w:rsidR="00BA0236" w:rsidRPr="007C28CC" w:rsidRDefault="00BA0236" w:rsidP="007C28CC">
      <w:pPr>
        <w:pStyle w:val="ReportText"/>
        <w:spacing w:before="120" w:after="120"/>
      </w:pPr>
      <w:r w:rsidRPr="007C28CC">
        <w:t>Dla klasy 8 – tereny pozostałe i dla wód powierzchniowych potencjalne straty powodziowe nie są obliczane ze względu na brak użytkowania bądź nieznaczne zagospodarowanie tych terenów.</w:t>
      </w:r>
    </w:p>
    <w:p w14:paraId="543D6AFD" w14:textId="77777777" w:rsidR="00BA0236" w:rsidRPr="007C28CC" w:rsidRDefault="00BA0236" w:rsidP="007C28CC">
      <w:pPr>
        <w:pStyle w:val="ReportText"/>
        <w:spacing w:before="120" w:after="120"/>
      </w:pPr>
      <w:r w:rsidRPr="007C28CC">
        <w:t>Dane wektorowe BDOT10k są podstawą do wydzielenia i obliczenia powierzchni poszczególnych klas na obszarze zagrożenia powodziowego.</w:t>
      </w:r>
    </w:p>
    <w:p w14:paraId="533E552F" w14:textId="77777777" w:rsidR="00BA0236" w:rsidRPr="007C28CC" w:rsidRDefault="00BA0236" w:rsidP="007C28CC">
      <w:pPr>
        <w:pStyle w:val="ReportText"/>
        <w:spacing w:before="120" w:after="120"/>
      </w:pPr>
      <w:r w:rsidRPr="007C28CC">
        <w:t>Poniżej przedstawiono metody obliczania wartości potencjalnych strat jednostkowych oraz sposób szacowania potencjalnych strat dla poszczególnych klas użytkowania terenu na obszarze zagrożenia powodziowego.</w:t>
      </w:r>
    </w:p>
    <w:p w14:paraId="1956CDC9" w14:textId="140976E7" w:rsidR="00BA0236" w:rsidRPr="007C28CC" w:rsidRDefault="009A699C" w:rsidP="00E8074C">
      <w:pPr>
        <w:pStyle w:val="ReportLevel3"/>
        <w:numPr>
          <w:ilvl w:val="2"/>
          <w:numId w:val="9"/>
        </w:numPr>
      </w:pPr>
      <w:r>
        <w:br w:type="column"/>
      </w:r>
      <w:r w:rsidR="00BA0236" w:rsidRPr="007C28CC">
        <w:lastRenderedPageBreak/>
        <w:t>Klasa 1 – tereny zabudowy mieszkaniowej</w:t>
      </w:r>
    </w:p>
    <w:p w14:paraId="3221461A" w14:textId="17F6FD20" w:rsidR="00BA0236" w:rsidRPr="007C28CC" w:rsidRDefault="00BA0236" w:rsidP="007C28CC">
      <w:pPr>
        <w:pStyle w:val="ReportText"/>
        <w:spacing w:before="120" w:after="120"/>
      </w:pPr>
      <w:r w:rsidRPr="007C28CC">
        <w:t>W zależności od sposobu oddziaływania powodzi, potencjalne straty powodziowe</w:t>
      </w:r>
      <w:r w:rsidR="009A699C">
        <w:t xml:space="preserve"> </w:t>
      </w:r>
      <w:r w:rsidRPr="007C28CC">
        <w:t>w</w:t>
      </w:r>
      <w:r w:rsidR="009A699C">
        <w:t> </w:t>
      </w:r>
      <w:r w:rsidRPr="007C28CC">
        <w:t>klasie 1 można podzielić na dwa rodzaje:</w:t>
      </w:r>
    </w:p>
    <w:p w14:paraId="418B221F" w14:textId="77777777" w:rsidR="00BA0236" w:rsidRPr="009A699C" w:rsidRDefault="00BA0236" w:rsidP="00A30588">
      <w:pPr>
        <w:pStyle w:val="Akapitzlist"/>
        <w:numPr>
          <w:ilvl w:val="0"/>
          <w:numId w:val="25"/>
        </w:numPr>
        <w:autoSpaceDE w:val="0"/>
        <w:autoSpaceDN w:val="0"/>
        <w:adjustRightInd w:val="0"/>
        <w:spacing w:beforeLines="50" w:before="120" w:afterLines="120" w:after="288" w:line="260" w:lineRule="atLeast"/>
        <w:ind w:left="567" w:hanging="425"/>
        <w:jc w:val="both"/>
        <w:rPr>
          <w:sz w:val="24"/>
          <w:szCs w:val="24"/>
          <w:lang w:eastAsia="en-US"/>
        </w:rPr>
      </w:pPr>
      <w:r w:rsidRPr="009A699C">
        <w:rPr>
          <w:sz w:val="24"/>
          <w:szCs w:val="24"/>
          <w:lang w:eastAsia="en-US"/>
        </w:rPr>
        <w:t>straty bezpośrednie – najważniejsze z nich to: uszkodzenia nieruchomości, straty lub uszkodzenie mienia, zniszczenie lub uszkodzenie infrastruktury technicznej wokół budynków (podwórza, place zabaw, chodniki, skwery, budynki inwentarskie);</w:t>
      </w:r>
    </w:p>
    <w:p w14:paraId="11A8CE77" w14:textId="77777777" w:rsidR="00BA0236" w:rsidRPr="009A699C" w:rsidRDefault="00BA0236" w:rsidP="00A30588">
      <w:pPr>
        <w:pStyle w:val="Akapitzlist"/>
        <w:numPr>
          <w:ilvl w:val="0"/>
          <w:numId w:val="25"/>
        </w:numPr>
        <w:autoSpaceDE w:val="0"/>
        <w:autoSpaceDN w:val="0"/>
        <w:adjustRightInd w:val="0"/>
        <w:spacing w:beforeLines="120" w:before="288" w:afterLines="100" w:after="240" w:line="260" w:lineRule="atLeast"/>
        <w:ind w:left="567" w:hanging="425"/>
        <w:jc w:val="both"/>
        <w:rPr>
          <w:sz w:val="24"/>
          <w:szCs w:val="24"/>
          <w:lang w:eastAsia="en-US"/>
        </w:rPr>
      </w:pPr>
      <w:r w:rsidRPr="009A699C">
        <w:rPr>
          <w:sz w:val="24"/>
          <w:szCs w:val="24"/>
          <w:lang w:eastAsia="en-US"/>
        </w:rPr>
        <w:t>straty pośrednie – najważniejsze z nich to wydatki na uporządkowanie zniszczeń.</w:t>
      </w:r>
    </w:p>
    <w:p w14:paraId="14055E7C" w14:textId="77777777" w:rsidR="00BA0236" w:rsidRPr="007C28CC" w:rsidRDefault="00BA0236" w:rsidP="007C28CC">
      <w:pPr>
        <w:pStyle w:val="ReportText"/>
        <w:spacing w:before="120" w:after="120"/>
      </w:pPr>
      <w:r w:rsidRPr="007C28CC">
        <w:t>Potencjalne straty powodziowe w klasie 1 to suma strat bezpośrednich i pośrednich.</w:t>
      </w:r>
    </w:p>
    <w:p w14:paraId="2D0677D1" w14:textId="77777777" w:rsidR="00BA0236" w:rsidRPr="007C28CC" w:rsidRDefault="00BA0236" w:rsidP="007C28CC">
      <w:pPr>
        <w:pStyle w:val="ReportText"/>
        <w:spacing w:before="120" w:after="120"/>
      </w:pPr>
      <w:r w:rsidRPr="007C28CC">
        <w:t>Wartość potencjalnej straty jednostkowej bezpośredniej w PLN/m2 oblicza się na podstawie wartości majątku na osiedlach mieszkaniowych oraz wartości funkcji strat, wiążącej głębokość wody z utratą wartości dla klasy 1. Na obszarze zabudowy mieszkaniowej wydziela się: majątek prywatny, komunalny oraz infrastrukturę osiedlową lub funkcjonalnie związaną z budynkami, m.in. place zabaw, podwórza, parkingi, niewielkie tereny zielone, dziedzińce, wiaty, budynki inwentarskie.</w:t>
      </w:r>
    </w:p>
    <w:p w14:paraId="6C2F4C50" w14:textId="77777777" w:rsidR="00BA0236" w:rsidRPr="007C28CC" w:rsidRDefault="00BA0236" w:rsidP="007C28CC">
      <w:pPr>
        <w:pStyle w:val="ReportText"/>
        <w:spacing w:before="120" w:after="120"/>
      </w:pPr>
      <w:r w:rsidRPr="007C28CC">
        <w:t>Ze względu na brak danych oraz brak możliwości przestrzennego wydzielenia powierzchni obejmujących majątek komunalny oraz infrastrukturę osiedlową przyjęto umownie wskaźnik wartości mienia prywatnego określony dla poszczególnych województw jako miernik dla klasy 1.</w:t>
      </w:r>
    </w:p>
    <w:p w14:paraId="6D8F8C86" w14:textId="77777777" w:rsidR="00BA0236" w:rsidRPr="007C28CC" w:rsidRDefault="00BA0236" w:rsidP="007C28CC">
      <w:pPr>
        <w:pStyle w:val="ReportText"/>
        <w:spacing w:before="120" w:after="120"/>
      </w:pPr>
      <w:r w:rsidRPr="007C28CC">
        <w:t>Do określenia wartości potencjalnej straty jednostkowej bezpośredniej dla klasy 1 wykorzystano dane Narodowego Banku Polskiego (NBP) z 2016 r. oraz Głównego Urzędu Statystycznego (GUS). Wyliczenia dokonano wykorzystując metodę wyznaczenia wskaźników wartości mienia na terenach zabudowy mieszkaniowej dla województw zaproponowaną przez I. Godyń [2016]. Wartości te zostały poddane indeksacji o wzrost wskaźników w latach 2016-2019 oraz powiększone o niżej opisane narzuty:</w:t>
      </w:r>
    </w:p>
    <w:p w14:paraId="370EED70" w14:textId="77777777" w:rsidR="00BA0236" w:rsidRPr="00A26088" w:rsidRDefault="00BA0236" w:rsidP="00A30588">
      <w:pPr>
        <w:pStyle w:val="Akapitzlist"/>
        <w:numPr>
          <w:ilvl w:val="0"/>
          <w:numId w:val="26"/>
        </w:numPr>
        <w:autoSpaceDE w:val="0"/>
        <w:autoSpaceDN w:val="0"/>
        <w:adjustRightInd w:val="0"/>
        <w:spacing w:beforeLines="50" w:before="120" w:afterLines="120" w:after="288" w:line="260" w:lineRule="atLeast"/>
        <w:ind w:left="567" w:hanging="425"/>
        <w:jc w:val="both"/>
        <w:rPr>
          <w:sz w:val="24"/>
          <w:szCs w:val="24"/>
        </w:rPr>
      </w:pPr>
      <w:r w:rsidRPr="00A26088">
        <w:rPr>
          <w:sz w:val="24"/>
          <w:szCs w:val="24"/>
        </w:rPr>
        <w:t>Korekta wskaźnika poprzez odjęcie uwzględnionego mienia do prowadzenia działalności gospodarczej (źródło danych: NBP, Zasobność gospodarstw domowych w 2016 r.);</w:t>
      </w:r>
    </w:p>
    <w:p w14:paraId="52B7A5CC" w14:textId="77777777" w:rsidR="00BA0236" w:rsidRPr="00A26088" w:rsidRDefault="00BA0236" w:rsidP="00A30588">
      <w:pPr>
        <w:pStyle w:val="Akapitzlist"/>
        <w:numPr>
          <w:ilvl w:val="0"/>
          <w:numId w:val="26"/>
        </w:numPr>
        <w:autoSpaceDE w:val="0"/>
        <w:autoSpaceDN w:val="0"/>
        <w:adjustRightInd w:val="0"/>
        <w:spacing w:beforeLines="120" w:before="288" w:afterLines="120" w:after="288" w:line="260" w:lineRule="atLeast"/>
        <w:ind w:left="567" w:hanging="425"/>
        <w:jc w:val="both"/>
        <w:rPr>
          <w:sz w:val="24"/>
          <w:szCs w:val="24"/>
        </w:rPr>
      </w:pPr>
      <w:r w:rsidRPr="00A26088">
        <w:rPr>
          <w:sz w:val="24"/>
          <w:szCs w:val="24"/>
        </w:rPr>
        <w:t>Indeksacja o wskaźnik przyrostu wartości powierzchni użytkowej budynku mieszkalnego oddanego do użytkowania publikowany przez GUS;</w:t>
      </w:r>
    </w:p>
    <w:p w14:paraId="6A606138" w14:textId="77777777" w:rsidR="00BA0236" w:rsidRPr="00A26088" w:rsidRDefault="00BA0236" w:rsidP="00A30588">
      <w:pPr>
        <w:pStyle w:val="Akapitzlist"/>
        <w:numPr>
          <w:ilvl w:val="0"/>
          <w:numId w:val="26"/>
        </w:numPr>
        <w:autoSpaceDE w:val="0"/>
        <w:autoSpaceDN w:val="0"/>
        <w:adjustRightInd w:val="0"/>
        <w:spacing w:beforeLines="120" w:before="288" w:afterLines="120" w:after="288" w:line="260" w:lineRule="atLeast"/>
        <w:ind w:left="567" w:hanging="425"/>
        <w:jc w:val="both"/>
        <w:rPr>
          <w:sz w:val="24"/>
          <w:szCs w:val="24"/>
          <w:lang w:val="en-US"/>
        </w:rPr>
      </w:pPr>
      <w:r w:rsidRPr="00A26088">
        <w:rPr>
          <w:sz w:val="24"/>
          <w:szCs w:val="24"/>
          <w:lang w:val="en-US"/>
        </w:rPr>
        <w:t>Uwzględnienie w stratach bezpośrednich utraty wartości wyposażenia - strata szacowana jako 50% wartości strat w majątku trwałym (źródła danych: obliczenia własne oraz USACE, Depth-Damage Relationships for Structures, Contents, And Vehicles And Content-To-Structure Value Ratios (Csvr) in support Of The Donaldsonville To The Gulf, Louisiana, Feasibility Study Prepared for U.S. Army Corps of Engineers New Orleans District New Orleans, Louisiana March 2006)</w:t>
      </w:r>
    </w:p>
    <w:p w14:paraId="0E7E8095" w14:textId="77777777" w:rsidR="00BA0236" w:rsidRPr="00A26088" w:rsidRDefault="00BA0236" w:rsidP="00A30588">
      <w:pPr>
        <w:pStyle w:val="Akapitzlist"/>
        <w:numPr>
          <w:ilvl w:val="0"/>
          <w:numId w:val="26"/>
        </w:numPr>
        <w:autoSpaceDE w:val="0"/>
        <w:autoSpaceDN w:val="0"/>
        <w:adjustRightInd w:val="0"/>
        <w:spacing w:beforeLines="120" w:before="288" w:afterLines="120" w:after="288" w:line="260" w:lineRule="atLeast"/>
        <w:ind w:left="567" w:hanging="425"/>
        <w:jc w:val="both"/>
        <w:rPr>
          <w:sz w:val="24"/>
          <w:szCs w:val="24"/>
        </w:rPr>
      </w:pPr>
      <w:r w:rsidRPr="00A26088">
        <w:rPr>
          <w:sz w:val="24"/>
          <w:szCs w:val="24"/>
        </w:rPr>
        <w:t>Uwzględnienie w stratach bezpośrednich strat w majątku trwałym i obrotowym podmiotów gospodarczych działających na terenach mieszkalnych - wszystkie branże poza przemysłem (BCDE);</w:t>
      </w:r>
    </w:p>
    <w:p w14:paraId="26178270" w14:textId="77777777" w:rsidR="00BA0236" w:rsidRPr="00A26088" w:rsidRDefault="00BA0236" w:rsidP="00A30588">
      <w:pPr>
        <w:pStyle w:val="Akapitzlist"/>
        <w:numPr>
          <w:ilvl w:val="0"/>
          <w:numId w:val="26"/>
        </w:numPr>
        <w:autoSpaceDE w:val="0"/>
        <w:autoSpaceDN w:val="0"/>
        <w:adjustRightInd w:val="0"/>
        <w:spacing w:beforeLines="120" w:before="288" w:afterLines="50" w:after="120" w:line="260" w:lineRule="atLeast"/>
        <w:ind w:left="567" w:hanging="425"/>
        <w:jc w:val="both"/>
        <w:rPr>
          <w:sz w:val="24"/>
          <w:szCs w:val="24"/>
        </w:rPr>
      </w:pPr>
      <w:r w:rsidRPr="00A26088">
        <w:rPr>
          <w:sz w:val="24"/>
          <w:szCs w:val="24"/>
        </w:rPr>
        <w:t>Uwzględnienie wskaźnika strat pośrednich (zgodne z podejściem z PZRP dla obszarów dorzeczy i Regionów Wodnych, jako 60% wartości strat bezpośrednich).</w:t>
      </w:r>
    </w:p>
    <w:p w14:paraId="6EF3BFE7" w14:textId="626A0934" w:rsidR="00BA0236" w:rsidRPr="007C28CC" w:rsidRDefault="00A26088" w:rsidP="007C28CC">
      <w:pPr>
        <w:pStyle w:val="ReportText"/>
        <w:spacing w:before="120" w:after="120"/>
      </w:pPr>
      <w:r>
        <w:br w:type="column"/>
      </w:r>
      <w:r w:rsidR="00BA0236" w:rsidRPr="007C28CC">
        <w:lastRenderedPageBreak/>
        <w:t xml:space="preserve">Wartość mienia prywatnego na terenach zabudowy mieszkaniowej z uwzględnieniem powyższych wskaźników przedstawia </w:t>
      </w:r>
      <w:r w:rsidR="006C30BA">
        <w:fldChar w:fldCharType="begin"/>
      </w:r>
      <w:r w:rsidR="006C30BA">
        <w:instrText xml:space="preserve"> REF _Ref79490022 \h  \* MERGEFORMAT </w:instrText>
      </w:r>
      <w:r w:rsidR="006C30BA">
        <w:fldChar w:fldCharType="separate"/>
      </w:r>
      <w:r w:rsidR="00FD3F9A" w:rsidRPr="00A26088">
        <w:t xml:space="preserve">Tabela </w:t>
      </w:r>
      <w:r w:rsidR="00FD3F9A">
        <w:t>2</w:t>
      </w:r>
      <w:r w:rsidR="006C30BA">
        <w:fldChar w:fldCharType="end"/>
      </w:r>
      <w:r w:rsidR="00BA0236" w:rsidRPr="007C28CC">
        <w:t>.</w:t>
      </w:r>
    </w:p>
    <w:p w14:paraId="1815EA1F" w14:textId="266126DE" w:rsidR="00BA0236" w:rsidRPr="00A26088" w:rsidRDefault="00BA0236" w:rsidP="00A30588">
      <w:pPr>
        <w:pStyle w:val="Legenda"/>
        <w:tabs>
          <w:tab w:val="clear" w:pos="1080"/>
        </w:tabs>
        <w:ind w:left="1134" w:hanging="1134"/>
        <w:rPr>
          <w:sz w:val="24"/>
        </w:rPr>
      </w:pPr>
      <w:bookmarkStart w:id="143" w:name="_Ref79490022"/>
      <w:bookmarkStart w:id="144" w:name="_Toc80604812"/>
      <w:r w:rsidRPr="00A26088">
        <w:rPr>
          <w:sz w:val="24"/>
        </w:rPr>
        <w:t xml:space="preserve">Tabela </w:t>
      </w:r>
      <w:r w:rsidR="00295C25" w:rsidRPr="00A26088">
        <w:rPr>
          <w:sz w:val="24"/>
        </w:rPr>
        <w:fldChar w:fldCharType="begin"/>
      </w:r>
      <w:r w:rsidR="00295C25" w:rsidRPr="00A26088">
        <w:rPr>
          <w:sz w:val="24"/>
        </w:rPr>
        <w:instrText xml:space="preserve"> SEQ Tabela \* ARABIC </w:instrText>
      </w:r>
      <w:r w:rsidR="00295C25" w:rsidRPr="00A26088">
        <w:rPr>
          <w:sz w:val="24"/>
        </w:rPr>
        <w:fldChar w:fldCharType="separate"/>
      </w:r>
      <w:r w:rsidR="00FD3F9A">
        <w:rPr>
          <w:noProof/>
          <w:sz w:val="24"/>
        </w:rPr>
        <w:t>2</w:t>
      </w:r>
      <w:r w:rsidR="00295C25" w:rsidRPr="00A26088">
        <w:rPr>
          <w:noProof/>
          <w:sz w:val="24"/>
        </w:rPr>
        <w:fldChar w:fldCharType="end"/>
      </w:r>
      <w:bookmarkEnd w:id="143"/>
      <w:r w:rsidRPr="00A26088">
        <w:rPr>
          <w:sz w:val="24"/>
        </w:rPr>
        <w:tab/>
        <w:t>Wartość mienia prywatnego na terenach zabudowy mieszkaniowej uwzględniające wskaźnik straty pośredniej</w:t>
      </w:r>
      <w:bookmarkEnd w:id="144"/>
    </w:p>
    <w:tbl>
      <w:tblPr>
        <w:tblW w:w="0" w:type="auto"/>
        <w:tblBorders>
          <w:top w:val="single" w:sz="4" w:space="0" w:color="A9DCF3"/>
          <w:left w:val="single" w:sz="4" w:space="0" w:color="A9DCF3"/>
          <w:bottom w:val="single" w:sz="4" w:space="0" w:color="A9DCF3"/>
          <w:right w:val="single" w:sz="4" w:space="0" w:color="A9DCF3"/>
          <w:insideH w:val="single" w:sz="4" w:space="0" w:color="A9DCF3"/>
          <w:insideV w:val="single" w:sz="4" w:space="0" w:color="A9DCF3"/>
        </w:tblBorders>
        <w:tblLook w:val="00A0" w:firstRow="1" w:lastRow="0" w:firstColumn="1" w:lastColumn="0" w:noHBand="0" w:noVBand="0"/>
      </w:tblPr>
      <w:tblGrid>
        <w:gridCol w:w="4247"/>
        <w:gridCol w:w="4248"/>
      </w:tblGrid>
      <w:tr w:rsidR="00BA0236" w:rsidRPr="00B32914" w14:paraId="4D3C6BB9" w14:textId="77777777" w:rsidTr="00B32914">
        <w:trPr>
          <w:trHeight w:val="325"/>
        </w:trPr>
        <w:tc>
          <w:tcPr>
            <w:tcW w:w="4247" w:type="dxa"/>
            <w:tcBorders>
              <w:bottom w:val="single" w:sz="12" w:space="0" w:color="7ECBED"/>
            </w:tcBorders>
            <w:shd w:val="clear" w:color="auto" w:fill="D4EDF9"/>
          </w:tcPr>
          <w:p w14:paraId="1BC35BA4" w14:textId="77777777" w:rsidR="00BA0236" w:rsidRPr="00B32914" w:rsidRDefault="00BA0236" w:rsidP="00B32914">
            <w:pPr>
              <w:spacing w:before="60" w:after="60"/>
              <w:jc w:val="center"/>
              <w:rPr>
                <w:b/>
                <w:bCs/>
                <w:highlight w:val="green"/>
              </w:rPr>
            </w:pPr>
            <w:r w:rsidRPr="00B32914">
              <w:t>Województwo</w:t>
            </w:r>
          </w:p>
        </w:tc>
        <w:tc>
          <w:tcPr>
            <w:tcW w:w="4248" w:type="dxa"/>
            <w:tcBorders>
              <w:bottom w:val="single" w:sz="12" w:space="0" w:color="7ECBED"/>
            </w:tcBorders>
            <w:shd w:val="clear" w:color="auto" w:fill="D4EDF9"/>
          </w:tcPr>
          <w:p w14:paraId="309F54C8" w14:textId="77777777" w:rsidR="00BA0236" w:rsidRPr="00B32914" w:rsidRDefault="00BA0236" w:rsidP="00B32914">
            <w:pPr>
              <w:autoSpaceDE w:val="0"/>
              <w:autoSpaceDN w:val="0"/>
              <w:adjustRightInd w:val="0"/>
              <w:jc w:val="center"/>
              <w:rPr>
                <w:b/>
                <w:bCs/>
              </w:rPr>
            </w:pPr>
            <w:r w:rsidRPr="00B32914">
              <w:t>Wartość mienia prywatnego na terenach zabudowy mieszkaniowej w 2019 r.</w:t>
            </w:r>
          </w:p>
          <w:p w14:paraId="6B844AF4" w14:textId="77777777" w:rsidR="00BA0236" w:rsidRPr="00B32914" w:rsidRDefault="00BA0236" w:rsidP="00B32914">
            <w:pPr>
              <w:autoSpaceDE w:val="0"/>
              <w:autoSpaceDN w:val="0"/>
              <w:adjustRightInd w:val="0"/>
              <w:jc w:val="center"/>
              <w:rPr>
                <w:b/>
                <w:bCs/>
              </w:rPr>
            </w:pPr>
            <w:r w:rsidRPr="00B32914">
              <w:t>[PLN/m</w:t>
            </w:r>
            <w:r w:rsidRPr="00B32914">
              <w:rPr>
                <w:vertAlign w:val="superscript"/>
              </w:rPr>
              <w:t>2</w:t>
            </w:r>
            <w:r w:rsidRPr="00B32914">
              <w:t>]</w:t>
            </w:r>
          </w:p>
        </w:tc>
      </w:tr>
      <w:tr w:rsidR="00BA0236" w:rsidRPr="00B32914" w14:paraId="20CA768F" w14:textId="77777777" w:rsidTr="00B32914">
        <w:tc>
          <w:tcPr>
            <w:tcW w:w="4247" w:type="dxa"/>
          </w:tcPr>
          <w:p w14:paraId="21FD866E" w14:textId="77777777" w:rsidR="00BA0236" w:rsidRPr="00B32914" w:rsidRDefault="00BA0236" w:rsidP="00B32914">
            <w:pPr>
              <w:spacing w:before="60" w:after="60"/>
              <w:jc w:val="center"/>
              <w:rPr>
                <w:b/>
                <w:bCs/>
              </w:rPr>
            </w:pPr>
            <w:r w:rsidRPr="00B32914">
              <w:t>pomorskie</w:t>
            </w:r>
          </w:p>
        </w:tc>
        <w:tc>
          <w:tcPr>
            <w:tcW w:w="4248" w:type="dxa"/>
            <w:vAlign w:val="center"/>
          </w:tcPr>
          <w:p w14:paraId="161AE4DC" w14:textId="77777777" w:rsidR="00BA0236" w:rsidRPr="00B32914" w:rsidRDefault="00BA0236" w:rsidP="00B32914">
            <w:pPr>
              <w:spacing w:before="60" w:after="60"/>
              <w:jc w:val="center"/>
            </w:pPr>
            <w:r w:rsidRPr="00B32914">
              <w:t>2498,02</w:t>
            </w:r>
          </w:p>
        </w:tc>
      </w:tr>
      <w:tr w:rsidR="00BA0236" w:rsidRPr="00B32914" w14:paraId="718E70AA" w14:textId="77777777" w:rsidTr="00B32914">
        <w:tc>
          <w:tcPr>
            <w:tcW w:w="4247" w:type="dxa"/>
          </w:tcPr>
          <w:p w14:paraId="12330CFD" w14:textId="77777777" w:rsidR="00BA0236" w:rsidRPr="00B32914" w:rsidRDefault="00BA0236" w:rsidP="00B32914">
            <w:pPr>
              <w:spacing w:before="60" w:after="60"/>
              <w:jc w:val="center"/>
              <w:rPr>
                <w:b/>
                <w:bCs/>
              </w:rPr>
            </w:pPr>
            <w:r w:rsidRPr="00B32914">
              <w:t>warmińsko-mazurskie</w:t>
            </w:r>
          </w:p>
        </w:tc>
        <w:tc>
          <w:tcPr>
            <w:tcW w:w="4248" w:type="dxa"/>
            <w:vAlign w:val="center"/>
          </w:tcPr>
          <w:p w14:paraId="4B8612DC" w14:textId="77777777" w:rsidR="00BA0236" w:rsidRPr="00B32914" w:rsidRDefault="00BA0236" w:rsidP="00B32914">
            <w:pPr>
              <w:spacing w:before="60" w:after="60"/>
              <w:jc w:val="center"/>
            </w:pPr>
            <w:r w:rsidRPr="00B32914">
              <w:t>1189,66</w:t>
            </w:r>
          </w:p>
        </w:tc>
      </w:tr>
    </w:tbl>
    <w:p w14:paraId="0085156F" w14:textId="77777777" w:rsidR="00BA0236" w:rsidRPr="007C28CC" w:rsidRDefault="00BA0236" w:rsidP="007C28CC">
      <w:pPr>
        <w:autoSpaceDE w:val="0"/>
        <w:autoSpaceDN w:val="0"/>
        <w:adjustRightInd w:val="0"/>
        <w:rPr>
          <w:rFonts w:ascii="Calibri" w:hAnsi="Calibri" w:cs="Calibri"/>
          <w:sz w:val="22"/>
          <w:szCs w:val="22"/>
          <w:lang w:eastAsia="en-US"/>
        </w:rPr>
      </w:pPr>
    </w:p>
    <w:p w14:paraId="0C93F78D" w14:textId="6731E0C9" w:rsidR="00BA0236" w:rsidRPr="007C28CC" w:rsidRDefault="00BA0236" w:rsidP="004D11B6">
      <w:pPr>
        <w:pStyle w:val="ReportText"/>
        <w:spacing w:before="120" w:after="120"/>
        <w:rPr>
          <w:sz w:val="22"/>
        </w:rPr>
      </w:pPr>
      <w:r w:rsidRPr="007C28CC">
        <w:t xml:space="preserve">Wysokość wartości utraty majątku na obszarach osiedli mieszkaniowych jest uzależniona od głębokości wody. Stopień utraty wartości majątku, czyli funkcję strat przedstawia </w:t>
      </w:r>
      <w:r w:rsidR="006C30BA">
        <w:fldChar w:fldCharType="begin"/>
      </w:r>
      <w:r w:rsidR="006C30BA">
        <w:instrText xml:space="preserve"> REF _Ref79490038 \h  \* MERGEFORMAT </w:instrText>
      </w:r>
      <w:r w:rsidR="006C30BA">
        <w:fldChar w:fldCharType="separate"/>
      </w:r>
      <w:r w:rsidR="00FD3F9A" w:rsidRPr="00A26088">
        <w:t xml:space="preserve">Tabela </w:t>
      </w:r>
      <w:r w:rsidR="00FD3F9A">
        <w:t>3</w:t>
      </w:r>
      <w:r w:rsidR="006C30BA">
        <w:fldChar w:fldCharType="end"/>
      </w:r>
      <w:r w:rsidRPr="007C28CC">
        <w:t>.</w:t>
      </w:r>
    </w:p>
    <w:p w14:paraId="238CA6DB" w14:textId="44FA65E0" w:rsidR="00BA0236" w:rsidRPr="00A26088" w:rsidRDefault="00BA0236" w:rsidP="00A30588">
      <w:pPr>
        <w:autoSpaceDE w:val="0"/>
        <w:autoSpaceDN w:val="0"/>
        <w:adjustRightInd w:val="0"/>
        <w:ind w:left="1134" w:hanging="1134"/>
        <w:jc w:val="both"/>
      </w:pPr>
      <w:bookmarkStart w:id="145" w:name="_Ref79490038"/>
      <w:bookmarkStart w:id="146" w:name="_Toc80604813"/>
      <w:r w:rsidRPr="00A26088">
        <w:t xml:space="preserve">Tabela </w:t>
      </w:r>
      <w:r w:rsidR="00677743">
        <w:rPr>
          <w:noProof/>
        </w:rPr>
        <w:fldChar w:fldCharType="begin"/>
      </w:r>
      <w:r w:rsidR="00677743">
        <w:rPr>
          <w:noProof/>
        </w:rPr>
        <w:instrText xml:space="preserve"> SEQ Tabela \* ARABIC </w:instrText>
      </w:r>
      <w:r w:rsidR="00677743">
        <w:rPr>
          <w:noProof/>
        </w:rPr>
        <w:fldChar w:fldCharType="separate"/>
      </w:r>
      <w:r w:rsidR="00FD3F9A">
        <w:rPr>
          <w:noProof/>
        </w:rPr>
        <w:t>3</w:t>
      </w:r>
      <w:r w:rsidR="00677743">
        <w:rPr>
          <w:noProof/>
        </w:rPr>
        <w:fldChar w:fldCharType="end"/>
      </w:r>
      <w:bookmarkEnd w:id="145"/>
      <w:r w:rsidRPr="00A26088">
        <w:tab/>
        <w:t>Utrata wartości majątku dla osiedli mieszkaniowych z uwzględnieniem przedziałów głębokości.</w:t>
      </w:r>
      <w:bookmarkEnd w:id="146"/>
    </w:p>
    <w:p w14:paraId="65E9DB3D" w14:textId="77777777" w:rsidR="00BA0236" w:rsidRPr="00A26088" w:rsidRDefault="00BA0236" w:rsidP="00A30588">
      <w:pPr>
        <w:autoSpaceDE w:val="0"/>
        <w:autoSpaceDN w:val="0"/>
        <w:adjustRightInd w:val="0"/>
        <w:ind w:left="1134"/>
        <w:jc w:val="both"/>
      </w:pPr>
      <w:r w:rsidRPr="00A26088">
        <w:t>[źródło: Metodyka opracowania map zagrożenia powodziowego i map ryzyka powodziowego w II cyklu planistycznym 2020]</w:t>
      </w:r>
    </w:p>
    <w:tbl>
      <w:tblPr>
        <w:tblW w:w="0" w:type="auto"/>
        <w:tblBorders>
          <w:top w:val="single" w:sz="4" w:space="0" w:color="A9DCF3"/>
          <w:left w:val="single" w:sz="4" w:space="0" w:color="A9DCF3"/>
          <w:bottom w:val="single" w:sz="4" w:space="0" w:color="A9DCF3"/>
          <w:right w:val="single" w:sz="4" w:space="0" w:color="A9DCF3"/>
          <w:insideH w:val="single" w:sz="4" w:space="0" w:color="A9DCF3"/>
          <w:insideV w:val="single" w:sz="4" w:space="0" w:color="A9DCF3"/>
        </w:tblBorders>
        <w:tblLook w:val="00A0" w:firstRow="1" w:lastRow="0" w:firstColumn="1" w:lastColumn="0" w:noHBand="0" w:noVBand="0"/>
      </w:tblPr>
      <w:tblGrid>
        <w:gridCol w:w="2122"/>
        <w:gridCol w:w="3402"/>
        <w:gridCol w:w="2971"/>
      </w:tblGrid>
      <w:tr w:rsidR="00BA0236" w:rsidRPr="00B32914" w14:paraId="0CDCB95B" w14:textId="77777777" w:rsidTr="00B32914">
        <w:trPr>
          <w:trHeight w:val="325"/>
        </w:trPr>
        <w:tc>
          <w:tcPr>
            <w:tcW w:w="2122" w:type="dxa"/>
            <w:tcBorders>
              <w:bottom w:val="single" w:sz="12" w:space="0" w:color="7ECBED"/>
            </w:tcBorders>
            <w:shd w:val="clear" w:color="auto" w:fill="D4EDF9"/>
          </w:tcPr>
          <w:p w14:paraId="578C93C7" w14:textId="77777777" w:rsidR="00BA0236" w:rsidRPr="00B32914" w:rsidRDefault="00BA0236" w:rsidP="00B32914">
            <w:pPr>
              <w:spacing w:before="60" w:after="60"/>
              <w:jc w:val="center"/>
              <w:rPr>
                <w:b/>
                <w:bCs/>
              </w:rPr>
            </w:pPr>
            <w:r w:rsidRPr="00B32914">
              <w:t>Przedział</w:t>
            </w:r>
          </w:p>
        </w:tc>
        <w:tc>
          <w:tcPr>
            <w:tcW w:w="3402" w:type="dxa"/>
            <w:tcBorders>
              <w:bottom w:val="single" w:sz="12" w:space="0" w:color="7ECBED"/>
            </w:tcBorders>
            <w:shd w:val="clear" w:color="auto" w:fill="D4EDF9"/>
          </w:tcPr>
          <w:p w14:paraId="470E2EEE" w14:textId="77777777" w:rsidR="00BA0236" w:rsidRPr="00B32914" w:rsidRDefault="00BA0236" w:rsidP="00B32914">
            <w:pPr>
              <w:autoSpaceDE w:val="0"/>
              <w:autoSpaceDN w:val="0"/>
              <w:adjustRightInd w:val="0"/>
              <w:jc w:val="center"/>
              <w:rPr>
                <w:b/>
                <w:bCs/>
              </w:rPr>
            </w:pPr>
            <w:r w:rsidRPr="00B32914">
              <w:t>Głębokość wody (h)</w:t>
            </w:r>
          </w:p>
          <w:p w14:paraId="062B410C" w14:textId="77777777" w:rsidR="00BA0236" w:rsidRPr="00B32914" w:rsidRDefault="00BA0236" w:rsidP="00B32914">
            <w:pPr>
              <w:autoSpaceDE w:val="0"/>
              <w:autoSpaceDN w:val="0"/>
              <w:adjustRightInd w:val="0"/>
              <w:jc w:val="center"/>
              <w:rPr>
                <w:b/>
                <w:bCs/>
              </w:rPr>
            </w:pPr>
            <w:r w:rsidRPr="00B32914">
              <w:t>[m]</w:t>
            </w:r>
          </w:p>
        </w:tc>
        <w:tc>
          <w:tcPr>
            <w:tcW w:w="2971" w:type="dxa"/>
            <w:tcBorders>
              <w:bottom w:val="single" w:sz="12" w:space="0" w:color="7ECBED"/>
            </w:tcBorders>
            <w:shd w:val="clear" w:color="auto" w:fill="D4EDF9"/>
          </w:tcPr>
          <w:p w14:paraId="446B2201" w14:textId="77777777" w:rsidR="00BA0236" w:rsidRPr="00B32914" w:rsidRDefault="00BA0236" w:rsidP="00B32914">
            <w:pPr>
              <w:autoSpaceDE w:val="0"/>
              <w:autoSpaceDN w:val="0"/>
              <w:adjustRightInd w:val="0"/>
              <w:jc w:val="center"/>
              <w:rPr>
                <w:b/>
                <w:bCs/>
              </w:rPr>
            </w:pPr>
            <w:r w:rsidRPr="00B32914">
              <w:t>Utrata wartości majątku f(h)</w:t>
            </w:r>
          </w:p>
          <w:p w14:paraId="5D04667D" w14:textId="77777777" w:rsidR="00BA0236" w:rsidRPr="00B32914" w:rsidRDefault="00BA0236" w:rsidP="00B32914">
            <w:pPr>
              <w:autoSpaceDE w:val="0"/>
              <w:autoSpaceDN w:val="0"/>
              <w:adjustRightInd w:val="0"/>
              <w:jc w:val="center"/>
              <w:rPr>
                <w:b/>
                <w:bCs/>
              </w:rPr>
            </w:pPr>
            <w:r w:rsidRPr="00B32914">
              <w:t>[%]</w:t>
            </w:r>
          </w:p>
        </w:tc>
      </w:tr>
      <w:tr w:rsidR="00BA0236" w:rsidRPr="00B32914" w14:paraId="117C83E1" w14:textId="77777777" w:rsidTr="00B32914">
        <w:tc>
          <w:tcPr>
            <w:tcW w:w="2122" w:type="dxa"/>
          </w:tcPr>
          <w:p w14:paraId="0ABF99C6" w14:textId="77777777" w:rsidR="00BA0236" w:rsidRPr="00B32914" w:rsidRDefault="00BA0236" w:rsidP="00B32914">
            <w:pPr>
              <w:spacing w:before="60" w:after="60"/>
              <w:jc w:val="center"/>
              <w:rPr>
                <w:b/>
                <w:bCs/>
              </w:rPr>
            </w:pPr>
            <w:r w:rsidRPr="00B32914">
              <w:t>1</w:t>
            </w:r>
          </w:p>
        </w:tc>
        <w:tc>
          <w:tcPr>
            <w:tcW w:w="3402" w:type="dxa"/>
          </w:tcPr>
          <w:p w14:paraId="737AFFDE" w14:textId="77777777" w:rsidR="00BA0236" w:rsidRPr="00B32914" w:rsidRDefault="00BA0236" w:rsidP="00B32914">
            <w:pPr>
              <w:spacing w:before="60" w:after="60"/>
              <w:jc w:val="center"/>
            </w:pPr>
            <w:r w:rsidRPr="00B32914">
              <w:t>h &lt; 0,5</w:t>
            </w:r>
          </w:p>
        </w:tc>
        <w:tc>
          <w:tcPr>
            <w:tcW w:w="2971" w:type="dxa"/>
          </w:tcPr>
          <w:p w14:paraId="50B6D7AA" w14:textId="77777777" w:rsidR="00BA0236" w:rsidRPr="00B32914" w:rsidRDefault="00BA0236" w:rsidP="00B32914">
            <w:pPr>
              <w:spacing w:before="60" w:after="60"/>
              <w:jc w:val="center"/>
            </w:pPr>
            <w:r w:rsidRPr="00B32914">
              <w:t>20</w:t>
            </w:r>
          </w:p>
        </w:tc>
      </w:tr>
      <w:tr w:rsidR="00BA0236" w:rsidRPr="00B32914" w14:paraId="497BF546" w14:textId="77777777" w:rsidTr="00B32914">
        <w:tc>
          <w:tcPr>
            <w:tcW w:w="2122" w:type="dxa"/>
          </w:tcPr>
          <w:p w14:paraId="70DC1086" w14:textId="77777777" w:rsidR="00BA0236" w:rsidRPr="00B32914" w:rsidRDefault="00BA0236" w:rsidP="00B32914">
            <w:pPr>
              <w:spacing w:before="60" w:after="60"/>
              <w:jc w:val="center"/>
              <w:rPr>
                <w:b/>
                <w:bCs/>
              </w:rPr>
            </w:pPr>
            <w:r w:rsidRPr="00B32914">
              <w:t>2</w:t>
            </w:r>
          </w:p>
        </w:tc>
        <w:tc>
          <w:tcPr>
            <w:tcW w:w="3402" w:type="dxa"/>
          </w:tcPr>
          <w:p w14:paraId="4572D0F3" w14:textId="77777777" w:rsidR="00BA0236" w:rsidRPr="00B32914" w:rsidRDefault="00BA0236" w:rsidP="00B32914">
            <w:pPr>
              <w:spacing w:before="60" w:after="60"/>
              <w:jc w:val="center"/>
            </w:pPr>
            <w:r w:rsidRPr="00B32914">
              <w:t>0,5 &lt; h &lt;= 2</w:t>
            </w:r>
          </w:p>
        </w:tc>
        <w:tc>
          <w:tcPr>
            <w:tcW w:w="2971" w:type="dxa"/>
          </w:tcPr>
          <w:p w14:paraId="60C6E63F" w14:textId="77777777" w:rsidR="00BA0236" w:rsidRPr="00B32914" w:rsidRDefault="00BA0236" w:rsidP="00B32914">
            <w:pPr>
              <w:spacing w:before="60" w:after="60"/>
              <w:jc w:val="center"/>
            </w:pPr>
            <w:r w:rsidRPr="00B32914">
              <w:t>35</w:t>
            </w:r>
          </w:p>
        </w:tc>
      </w:tr>
      <w:tr w:rsidR="00BA0236" w:rsidRPr="00B32914" w14:paraId="34439C23" w14:textId="77777777" w:rsidTr="00B32914">
        <w:tc>
          <w:tcPr>
            <w:tcW w:w="2122" w:type="dxa"/>
          </w:tcPr>
          <w:p w14:paraId="337D57F8" w14:textId="77777777" w:rsidR="00BA0236" w:rsidRPr="00B32914" w:rsidRDefault="00BA0236" w:rsidP="00B32914">
            <w:pPr>
              <w:spacing w:before="60" w:after="60"/>
              <w:jc w:val="center"/>
              <w:rPr>
                <w:b/>
                <w:bCs/>
              </w:rPr>
            </w:pPr>
            <w:r w:rsidRPr="00B32914">
              <w:t>3</w:t>
            </w:r>
          </w:p>
        </w:tc>
        <w:tc>
          <w:tcPr>
            <w:tcW w:w="3402" w:type="dxa"/>
          </w:tcPr>
          <w:p w14:paraId="6AA4A141" w14:textId="77777777" w:rsidR="00BA0236" w:rsidRPr="00B32914" w:rsidRDefault="00BA0236" w:rsidP="00B32914">
            <w:pPr>
              <w:spacing w:before="60" w:after="60"/>
              <w:jc w:val="center"/>
            </w:pPr>
            <w:r w:rsidRPr="00B32914">
              <w:t>2 &lt; h &lt;= 4</w:t>
            </w:r>
          </w:p>
        </w:tc>
        <w:tc>
          <w:tcPr>
            <w:tcW w:w="2971" w:type="dxa"/>
          </w:tcPr>
          <w:p w14:paraId="48CB247D" w14:textId="77777777" w:rsidR="00BA0236" w:rsidRPr="00B32914" w:rsidRDefault="00BA0236" w:rsidP="00B32914">
            <w:pPr>
              <w:spacing w:before="60" w:after="60"/>
              <w:jc w:val="center"/>
            </w:pPr>
            <w:r w:rsidRPr="00B32914">
              <w:t>60</w:t>
            </w:r>
          </w:p>
        </w:tc>
      </w:tr>
      <w:tr w:rsidR="00BA0236" w:rsidRPr="00B32914" w14:paraId="44B70273" w14:textId="77777777" w:rsidTr="00B32914">
        <w:tc>
          <w:tcPr>
            <w:tcW w:w="2122" w:type="dxa"/>
          </w:tcPr>
          <w:p w14:paraId="20C9C48E" w14:textId="77777777" w:rsidR="00BA0236" w:rsidRPr="00B32914" w:rsidRDefault="00BA0236" w:rsidP="00B32914">
            <w:pPr>
              <w:spacing w:before="60" w:after="60"/>
              <w:jc w:val="center"/>
              <w:rPr>
                <w:b/>
                <w:bCs/>
              </w:rPr>
            </w:pPr>
            <w:r w:rsidRPr="00B32914">
              <w:t>4</w:t>
            </w:r>
          </w:p>
        </w:tc>
        <w:tc>
          <w:tcPr>
            <w:tcW w:w="3402" w:type="dxa"/>
          </w:tcPr>
          <w:p w14:paraId="77864D41" w14:textId="77777777" w:rsidR="00BA0236" w:rsidRPr="00B32914" w:rsidRDefault="00BA0236" w:rsidP="00B32914">
            <w:pPr>
              <w:spacing w:before="60" w:after="60"/>
              <w:jc w:val="center"/>
            </w:pPr>
            <w:r w:rsidRPr="00B32914">
              <w:t>h &gt; 4</w:t>
            </w:r>
          </w:p>
        </w:tc>
        <w:tc>
          <w:tcPr>
            <w:tcW w:w="2971" w:type="dxa"/>
          </w:tcPr>
          <w:p w14:paraId="764EB65D" w14:textId="77777777" w:rsidR="00BA0236" w:rsidRPr="00B32914" w:rsidRDefault="00BA0236" w:rsidP="00B32914">
            <w:pPr>
              <w:spacing w:before="60" w:after="60"/>
              <w:jc w:val="center"/>
            </w:pPr>
            <w:r w:rsidRPr="00B32914">
              <w:t>95</w:t>
            </w:r>
          </w:p>
        </w:tc>
      </w:tr>
    </w:tbl>
    <w:p w14:paraId="3BE5C893" w14:textId="77777777" w:rsidR="00BA0236" w:rsidRPr="007C28CC" w:rsidRDefault="00BA0236" w:rsidP="00E8074C">
      <w:pPr>
        <w:pStyle w:val="ReportLevel3"/>
        <w:numPr>
          <w:ilvl w:val="2"/>
          <w:numId w:val="9"/>
        </w:numPr>
      </w:pPr>
      <w:r w:rsidRPr="007C28CC">
        <w:t>Klasa 2 – tereny przemysłowe</w:t>
      </w:r>
    </w:p>
    <w:p w14:paraId="794C7E39" w14:textId="77777777" w:rsidR="00BA0236" w:rsidRPr="00A26088" w:rsidRDefault="00BA0236" w:rsidP="007C28CC">
      <w:pPr>
        <w:pStyle w:val="ReportText"/>
        <w:spacing w:before="120" w:after="120"/>
        <w:rPr>
          <w:szCs w:val="24"/>
        </w:rPr>
      </w:pPr>
      <w:r w:rsidRPr="007C28CC">
        <w:t xml:space="preserve">W zależności od sposobu oddziaływania powodzi, potencjalne straty powodziowe w klasie 2 można </w:t>
      </w:r>
      <w:r w:rsidRPr="00A26088">
        <w:rPr>
          <w:szCs w:val="24"/>
        </w:rPr>
        <w:t>podzielić na dwa rodzaje:</w:t>
      </w:r>
    </w:p>
    <w:p w14:paraId="06935436" w14:textId="77777777" w:rsidR="00BA0236" w:rsidRPr="00A26088" w:rsidRDefault="00BA0236" w:rsidP="00A30588">
      <w:pPr>
        <w:pStyle w:val="Akapitzlist"/>
        <w:numPr>
          <w:ilvl w:val="0"/>
          <w:numId w:val="27"/>
        </w:numPr>
        <w:autoSpaceDE w:val="0"/>
        <w:autoSpaceDN w:val="0"/>
        <w:adjustRightInd w:val="0"/>
        <w:ind w:left="567" w:hanging="425"/>
        <w:jc w:val="both"/>
        <w:rPr>
          <w:sz w:val="24"/>
          <w:szCs w:val="24"/>
          <w:lang w:eastAsia="en-US"/>
        </w:rPr>
      </w:pPr>
      <w:r w:rsidRPr="00A26088">
        <w:rPr>
          <w:sz w:val="24"/>
          <w:szCs w:val="24"/>
          <w:lang w:eastAsia="en-US"/>
        </w:rPr>
        <w:t>straty bezpośrednie – najważniejsze z nich to: uszkodzenia i/lub utrata majątku trwałego oraz majątku obrotowego, strata dokumentacji, archiwów;</w:t>
      </w:r>
    </w:p>
    <w:p w14:paraId="5D1246B3" w14:textId="77777777" w:rsidR="00BA0236" w:rsidRPr="00A26088" w:rsidRDefault="00BA0236" w:rsidP="00A30588">
      <w:pPr>
        <w:pStyle w:val="Akapitzlist"/>
        <w:numPr>
          <w:ilvl w:val="0"/>
          <w:numId w:val="27"/>
        </w:numPr>
        <w:autoSpaceDE w:val="0"/>
        <w:autoSpaceDN w:val="0"/>
        <w:adjustRightInd w:val="0"/>
        <w:ind w:left="567" w:hanging="425"/>
        <w:jc w:val="both"/>
        <w:rPr>
          <w:sz w:val="24"/>
          <w:szCs w:val="24"/>
          <w:lang w:eastAsia="en-US"/>
        </w:rPr>
      </w:pPr>
      <w:r w:rsidRPr="00A26088">
        <w:rPr>
          <w:sz w:val="24"/>
          <w:szCs w:val="24"/>
          <w:lang w:eastAsia="en-US"/>
        </w:rPr>
        <w:t>straty pośrednie – najważniejsze z nich to: wydatki na sprzątanie, wydatki związane z przeniesieniem majątku ruchomego, straty w produkcji/przerwanie procesu produkcji.</w:t>
      </w:r>
    </w:p>
    <w:p w14:paraId="212F2BE1" w14:textId="77777777" w:rsidR="00BA0236" w:rsidRPr="00A26088" w:rsidRDefault="00BA0236" w:rsidP="007C28CC">
      <w:pPr>
        <w:autoSpaceDE w:val="0"/>
        <w:autoSpaceDN w:val="0"/>
        <w:adjustRightInd w:val="0"/>
        <w:jc w:val="both"/>
        <w:rPr>
          <w:lang w:eastAsia="en-US"/>
        </w:rPr>
      </w:pPr>
    </w:p>
    <w:p w14:paraId="29B30AF7" w14:textId="77777777" w:rsidR="00BA0236" w:rsidRPr="007C28CC" w:rsidRDefault="00BA0236" w:rsidP="007C28CC">
      <w:pPr>
        <w:pStyle w:val="ReportText"/>
        <w:spacing w:before="120" w:after="120"/>
      </w:pPr>
      <w:r w:rsidRPr="007C28CC">
        <w:t>Potencjalne straty powodziowe w klasie 2 to suma strat bezpośrednich i pośrednich.</w:t>
      </w:r>
    </w:p>
    <w:p w14:paraId="54B8705C" w14:textId="77777777" w:rsidR="00BA0236" w:rsidRPr="007C28CC" w:rsidRDefault="00BA0236" w:rsidP="007C28CC">
      <w:pPr>
        <w:pStyle w:val="ReportText"/>
        <w:spacing w:before="120" w:after="120"/>
      </w:pPr>
      <w:r w:rsidRPr="007C28CC">
        <w:t xml:space="preserve">Jednostkowe straty bezpośrednie wylicza się na podstawie wartości majątku dla terenów przemysłowych oraz wartości funkcji strat wiążącej głębokość wody z utratą wartości dla klasy 2. Wartość majątku dla terenów przemysłowych obliczono dzieląc wartość brutto środków trwałych dla przemysłu przez powierzchnię terenów przemysłowych. Obliczeń dokonano w podziale na województwa, wykorzystując dane GUS z 2016 r. o powierzchni terenów przemysłowych oraz wartości brutto środków trwałych. Ze względu na brak jednolitych danych przestrzennych o rodzaju przemysłu oraz brak możliwości określenia wartości majątku obrotowego jako miernik strat bezpośrednich przyjęto wartość brutto </w:t>
      </w:r>
      <w:r w:rsidRPr="007C28CC">
        <w:lastRenderedPageBreak/>
        <w:t>środków trwałych w poszczególnych województwach odniesioną do powierzchni terenów przemysłowych. Wartości te zostały poddane indeksacji o wzrost wskaźników w latach 2016-2019 oraz powiększone o niżej opisane narzuty:</w:t>
      </w:r>
    </w:p>
    <w:p w14:paraId="42BB4FF7" w14:textId="77777777" w:rsidR="00BA0236" w:rsidRPr="00A26088" w:rsidRDefault="00BA0236" w:rsidP="00A30588">
      <w:pPr>
        <w:pStyle w:val="Akapitzlist"/>
        <w:numPr>
          <w:ilvl w:val="0"/>
          <w:numId w:val="28"/>
        </w:numPr>
        <w:autoSpaceDE w:val="0"/>
        <w:autoSpaceDN w:val="0"/>
        <w:adjustRightInd w:val="0"/>
        <w:ind w:left="567" w:hanging="425"/>
        <w:jc w:val="both"/>
        <w:rPr>
          <w:sz w:val="24"/>
          <w:szCs w:val="24"/>
          <w:lang w:eastAsia="en-US"/>
        </w:rPr>
      </w:pPr>
      <w:r w:rsidRPr="00A26088">
        <w:rPr>
          <w:sz w:val="24"/>
          <w:szCs w:val="24"/>
          <w:lang w:eastAsia="en-US"/>
        </w:rPr>
        <w:t xml:space="preserve">Uwzględnienie wartości zapasów w stratach bezpośrednich </w:t>
      </w:r>
      <w:r w:rsidRPr="00A26088">
        <w:rPr>
          <w:sz w:val="24"/>
          <w:szCs w:val="24"/>
        </w:rPr>
        <w:t>pośrednich (zgodne z obliczeniami na podstawie PZRP dla obszarów dorzeczy i Regionów Wodnych);</w:t>
      </w:r>
    </w:p>
    <w:p w14:paraId="26F788B4" w14:textId="77777777" w:rsidR="00BA0236" w:rsidRPr="00A26088" w:rsidRDefault="00BA0236" w:rsidP="00A30588">
      <w:pPr>
        <w:pStyle w:val="Akapitzlist"/>
        <w:numPr>
          <w:ilvl w:val="0"/>
          <w:numId w:val="26"/>
        </w:numPr>
        <w:autoSpaceDE w:val="0"/>
        <w:autoSpaceDN w:val="0"/>
        <w:adjustRightInd w:val="0"/>
        <w:spacing w:beforeLines="120" w:before="288" w:afterLines="120" w:after="288" w:line="260" w:lineRule="atLeast"/>
        <w:ind w:left="567" w:hanging="425"/>
        <w:jc w:val="both"/>
        <w:rPr>
          <w:sz w:val="24"/>
          <w:szCs w:val="24"/>
        </w:rPr>
      </w:pPr>
      <w:r w:rsidRPr="00A26088">
        <w:rPr>
          <w:sz w:val="24"/>
          <w:szCs w:val="24"/>
        </w:rPr>
        <w:t>Uwzględnienie wskaźnika strat pośrednich (zgodne z podejściem z PZRP dla obszarów dorzeczy i Regionów Wodnych, jako 80% wartości strat bezpośrednich).</w:t>
      </w:r>
    </w:p>
    <w:p w14:paraId="0144304B" w14:textId="335BC45A" w:rsidR="00BA0236" w:rsidRPr="007C28CC" w:rsidRDefault="00BA0236" w:rsidP="007C28CC">
      <w:pPr>
        <w:pStyle w:val="ReportText"/>
        <w:spacing w:before="120" w:after="120"/>
      </w:pPr>
      <w:r w:rsidRPr="007C28CC">
        <w:t xml:space="preserve">Wartość majątku dla terenów przemysłowych przedstawia </w:t>
      </w:r>
      <w:r w:rsidR="006C30BA">
        <w:fldChar w:fldCharType="begin"/>
      </w:r>
      <w:r w:rsidR="006C30BA">
        <w:instrText xml:space="preserve"> REF _Ref79490053 \h  \* MERGEFORMAT </w:instrText>
      </w:r>
      <w:r w:rsidR="006C30BA">
        <w:fldChar w:fldCharType="separate"/>
      </w:r>
      <w:r w:rsidR="00FD3F9A" w:rsidRPr="00A26088">
        <w:t xml:space="preserve">Tabela </w:t>
      </w:r>
      <w:r w:rsidR="00FD3F9A">
        <w:t>4</w:t>
      </w:r>
      <w:r w:rsidR="006C30BA">
        <w:fldChar w:fldCharType="end"/>
      </w:r>
      <w:r w:rsidRPr="007C28CC">
        <w:t>.</w:t>
      </w:r>
    </w:p>
    <w:p w14:paraId="2FFD6AFD" w14:textId="3B87F20B" w:rsidR="00BA0236" w:rsidRPr="007C28CC" w:rsidRDefault="00BA0236" w:rsidP="007C28CC">
      <w:pPr>
        <w:rPr>
          <w:sz w:val="22"/>
        </w:rPr>
      </w:pPr>
    </w:p>
    <w:p w14:paraId="27FE392A" w14:textId="6EFB3ACF" w:rsidR="00BA0236" w:rsidRPr="00A26088" w:rsidRDefault="00BA0236" w:rsidP="00A30588">
      <w:pPr>
        <w:pStyle w:val="Legenda"/>
        <w:tabs>
          <w:tab w:val="clear" w:pos="1080"/>
        </w:tabs>
        <w:ind w:left="1134" w:hanging="1134"/>
        <w:rPr>
          <w:sz w:val="24"/>
        </w:rPr>
      </w:pPr>
      <w:bookmarkStart w:id="147" w:name="_Ref79490053"/>
      <w:bookmarkStart w:id="148" w:name="_Toc80604814"/>
      <w:r w:rsidRPr="00A26088">
        <w:rPr>
          <w:sz w:val="24"/>
        </w:rPr>
        <w:t xml:space="preserve">Tabela </w:t>
      </w:r>
      <w:r w:rsidR="00295C25" w:rsidRPr="00A26088">
        <w:rPr>
          <w:sz w:val="24"/>
        </w:rPr>
        <w:fldChar w:fldCharType="begin"/>
      </w:r>
      <w:r w:rsidR="00295C25" w:rsidRPr="00A26088">
        <w:rPr>
          <w:sz w:val="24"/>
        </w:rPr>
        <w:instrText xml:space="preserve"> SEQ Tabela \* ARABIC </w:instrText>
      </w:r>
      <w:r w:rsidR="00295C25" w:rsidRPr="00A26088">
        <w:rPr>
          <w:sz w:val="24"/>
        </w:rPr>
        <w:fldChar w:fldCharType="separate"/>
      </w:r>
      <w:r w:rsidR="00FD3F9A">
        <w:rPr>
          <w:noProof/>
          <w:sz w:val="24"/>
        </w:rPr>
        <w:t>4</w:t>
      </w:r>
      <w:r w:rsidR="00295C25" w:rsidRPr="00A26088">
        <w:rPr>
          <w:noProof/>
          <w:sz w:val="24"/>
        </w:rPr>
        <w:fldChar w:fldCharType="end"/>
      </w:r>
      <w:bookmarkEnd w:id="147"/>
      <w:r w:rsidRPr="00A26088">
        <w:rPr>
          <w:sz w:val="24"/>
        </w:rPr>
        <w:tab/>
        <w:t xml:space="preserve">Wartość mienia prywatnego na terenach </w:t>
      </w:r>
      <w:r w:rsidR="00E419E1">
        <w:rPr>
          <w:sz w:val="24"/>
        </w:rPr>
        <w:t>zabudowy przemysłowej</w:t>
      </w:r>
      <w:r w:rsidRPr="00A26088">
        <w:rPr>
          <w:sz w:val="24"/>
        </w:rPr>
        <w:t xml:space="preserve"> uwzględniające wskaźnik straty pośredniej</w:t>
      </w:r>
      <w:bookmarkEnd w:id="148"/>
    </w:p>
    <w:tbl>
      <w:tblPr>
        <w:tblW w:w="0" w:type="auto"/>
        <w:tblBorders>
          <w:top w:val="single" w:sz="4" w:space="0" w:color="A9DCF3"/>
          <w:left w:val="single" w:sz="4" w:space="0" w:color="A9DCF3"/>
          <w:bottom w:val="single" w:sz="4" w:space="0" w:color="A9DCF3"/>
          <w:right w:val="single" w:sz="4" w:space="0" w:color="A9DCF3"/>
          <w:insideH w:val="single" w:sz="4" w:space="0" w:color="A9DCF3"/>
          <w:insideV w:val="single" w:sz="4" w:space="0" w:color="A9DCF3"/>
        </w:tblBorders>
        <w:tblLook w:val="00A0" w:firstRow="1" w:lastRow="0" w:firstColumn="1" w:lastColumn="0" w:noHBand="0" w:noVBand="0"/>
      </w:tblPr>
      <w:tblGrid>
        <w:gridCol w:w="4247"/>
        <w:gridCol w:w="4248"/>
      </w:tblGrid>
      <w:tr w:rsidR="00BA0236" w:rsidRPr="00B32914" w14:paraId="0DB1B185" w14:textId="77777777" w:rsidTr="00B32914">
        <w:trPr>
          <w:trHeight w:val="325"/>
        </w:trPr>
        <w:tc>
          <w:tcPr>
            <w:tcW w:w="4247" w:type="dxa"/>
            <w:tcBorders>
              <w:bottom w:val="single" w:sz="12" w:space="0" w:color="7ECBED"/>
            </w:tcBorders>
            <w:shd w:val="clear" w:color="auto" w:fill="D4EDF9"/>
          </w:tcPr>
          <w:p w14:paraId="5EE3C9A6" w14:textId="77777777" w:rsidR="00BA0236" w:rsidRPr="00B32914" w:rsidRDefault="00BA0236" w:rsidP="00B32914">
            <w:pPr>
              <w:spacing w:before="60" w:after="60"/>
              <w:jc w:val="center"/>
              <w:rPr>
                <w:b/>
                <w:bCs/>
                <w:highlight w:val="green"/>
              </w:rPr>
            </w:pPr>
            <w:r w:rsidRPr="00B32914">
              <w:t>Województwo</w:t>
            </w:r>
          </w:p>
        </w:tc>
        <w:tc>
          <w:tcPr>
            <w:tcW w:w="4248" w:type="dxa"/>
            <w:tcBorders>
              <w:bottom w:val="single" w:sz="12" w:space="0" w:color="7ECBED"/>
            </w:tcBorders>
            <w:shd w:val="clear" w:color="auto" w:fill="D4EDF9"/>
          </w:tcPr>
          <w:p w14:paraId="63BBCF24" w14:textId="77777777" w:rsidR="00BA0236" w:rsidRPr="00B32914" w:rsidRDefault="00BA0236" w:rsidP="00B32914">
            <w:pPr>
              <w:autoSpaceDE w:val="0"/>
              <w:autoSpaceDN w:val="0"/>
              <w:adjustRightInd w:val="0"/>
              <w:jc w:val="center"/>
              <w:rPr>
                <w:b/>
                <w:bCs/>
              </w:rPr>
            </w:pPr>
            <w:r w:rsidRPr="00B32914">
              <w:t>Wartość majątku na terenach zabudowy przemysłowej w 2019 r.</w:t>
            </w:r>
          </w:p>
          <w:p w14:paraId="3706748A" w14:textId="77777777" w:rsidR="00BA0236" w:rsidRPr="00B32914" w:rsidRDefault="00BA0236" w:rsidP="00B32914">
            <w:pPr>
              <w:autoSpaceDE w:val="0"/>
              <w:autoSpaceDN w:val="0"/>
              <w:adjustRightInd w:val="0"/>
              <w:jc w:val="center"/>
              <w:rPr>
                <w:b/>
                <w:bCs/>
              </w:rPr>
            </w:pPr>
            <w:r w:rsidRPr="00B32914">
              <w:t>[PLN/m</w:t>
            </w:r>
            <w:r w:rsidRPr="00B32914">
              <w:rPr>
                <w:vertAlign w:val="superscript"/>
              </w:rPr>
              <w:t>2</w:t>
            </w:r>
            <w:r w:rsidRPr="00B32914">
              <w:t>]</w:t>
            </w:r>
          </w:p>
        </w:tc>
      </w:tr>
      <w:tr w:rsidR="00BA0236" w:rsidRPr="00B32914" w14:paraId="474A4E8B" w14:textId="77777777" w:rsidTr="00B32914">
        <w:tc>
          <w:tcPr>
            <w:tcW w:w="4247" w:type="dxa"/>
          </w:tcPr>
          <w:p w14:paraId="74F3F78E" w14:textId="77777777" w:rsidR="00BA0236" w:rsidRPr="00B32914" w:rsidRDefault="00BA0236" w:rsidP="00B32914">
            <w:pPr>
              <w:spacing w:before="60" w:after="60"/>
              <w:jc w:val="center"/>
              <w:rPr>
                <w:b/>
                <w:bCs/>
              </w:rPr>
            </w:pPr>
            <w:r w:rsidRPr="00B32914">
              <w:t>pomorskie</w:t>
            </w:r>
          </w:p>
        </w:tc>
        <w:tc>
          <w:tcPr>
            <w:tcW w:w="4248" w:type="dxa"/>
            <w:vAlign w:val="center"/>
          </w:tcPr>
          <w:p w14:paraId="4E6D0449" w14:textId="77777777" w:rsidR="00BA0236" w:rsidRPr="00B32914" w:rsidRDefault="00BA0236" w:rsidP="00B32914">
            <w:pPr>
              <w:spacing w:before="60" w:after="60"/>
              <w:jc w:val="center"/>
            </w:pPr>
            <w:r w:rsidRPr="00B32914">
              <w:t>2408,74</w:t>
            </w:r>
          </w:p>
        </w:tc>
      </w:tr>
      <w:tr w:rsidR="00BA0236" w:rsidRPr="00B32914" w14:paraId="398FFF32" w14:textId="77777777" w:rsidTr="00B32914">
        <w:tc>
          <w:tcPr>
            <w:tcW w:w="4247" w:type="dxa"/>
          </w:tcPr>
          <w:p w14:paraId="08B4052A" w14:textId="77777777" w:rsidR="00BA0236" w:rsidRPr="00B32914" w:rsidRDefault="00BA0236" w:rsidP="00B32914">
            <w:pPr>
              <w:spacing w:before="60" w:after="60"/>
              <w:jc w:val="center"/>
              <w:rPr>
                <w:b/>
                <w:bCs/>
              </w:rPr>
            </w:pPr>
            <w:r w:rsidRPr="00B32914">
              <w:t>warmińsko-mazurskie</w:t>
            </w:r>
          </w:p>
        </w:tc>
        <w:tc>
          <w:tcPr>
            <w:tcW w:w="4248" w:type="dxa"/>
            <w:vAlign w:val="center"/>
          </w:tcPr>
          <w:p w14:paraId="7D36C77D" w14:textId="77777777" w:rsidR="00BA0236" w:rsidRPr="00B32914" w:rsidRDefault="00BA0236" w:rsidP="00B32914">
            <w:pPr>
              <w:spacing w:before="60" w:after="60"/>
              <w:jc w:val="center"/>
            </w:pPr>
            <w:r w:rsidRPr="00B32914">
              <w:t>2162,18</w:t>
            </w:r>
          </w:p>
        </w:tc>
      </w:tr>
    </w:tbl>
    <w:p w14:paraId="643DF382" w14:textId="77777777" w:rsidR="00BA0236" w:rsidRPr="007C28CC" w:rsidRDefault="00BA0236" w:rsidP="007C28CC">
      <w:pPr>
        <w:autoSpaceDE w:val="0"/>
        <w:autoSpaceDN w:val="0"/>
        <w:adjustRightInd w:val="0"/>
        <w:jc w:val="both"/>
        <w:rPr>
          <w:szCs w:val="20"/>
          <w:lang w:eastAsia="en-US"/>
        </w:rPr>
      </w:pPr>
    </w:p>
    <w:p w14:paraId="37B3B3F8" w14:textId="2DA4C9EF" w:rsidR="00BA0236" w:rsidRPr="007C28CC" w:rsidRDefault="00BA0236" w:rsidP="007C28CC">
      <w:pPr>
        <w:pStyle w:val="ReportText"/>
        <w:spacing w:before="120" w:after="120"/>
      </w:pPr>
      <w:r w:rsidRPr="007C28CC">
        <w:t xml:space="preserve">Wysokość wartości utraty majątku na terenach zabudowy przemysłowej jest uzależniona od głębokości wody. Stopień utraty wartości majątku, czyli funkcję strat przedstawia </w:t>
      </w:r>
      <w:r w:rsidR="006C30BA">
        <w:fldChar w:fldCharType="begin"/>
      </w:r>
      <w:r w:rsidR="006C30BA">
        <w:instrText xml:space="preserve"> REF _Ref79490081 \h  \* MERGEFORMAT </w:instrText>
      </w:r>
      <w:r w:rsidR="006C30BA">
        <w:fldChar w:fldCharType="separate"/>
      </w:r>
      <w:r w:rsidR="00FD3F9A" w:rsidRPr="00FD3F9A">
        <w:t>Tabela 5</w:t>
      </w:r>
      <w:r w:rsidR="006C30BA">
        <w:fldChar w:fldCharType="end"/>
      </w:r>
      <w:r w:rsidRPr="007C28CC">
        <w:t>.</w:t>
      </w:r>
    </w:p>
    <w:p w14:paraId="040C0099" w14:textId="7E0D2747" w:rsidR="00BA0236" w:rsidRPr="00A95C85" w:rsidRDefault="00BA0236" w:rsidP="00A30588">
      <w:pPr>
        <w:autoSpaceDE w:val="0"/>
        <w:autoSpaceDN w:val="0"/>
        <w:adjustRightInd w:val="0"/>
        <w:ind w:left="1134" w:hanging="1134"/>
        <w:jc w:val="both"/>
        <w:rPr>
          <w:szCs w:val="28"/>
        </w:rPr>
      </w:pPr>
      <w:bookmarkStart w:id="149" w:name="_Ref79490081"/>
      <w:bookmarkStart w:id="150" w:name="_Toc80604815"/>
      <w:r w:rsidRPr="00A95C85">
        <w:rPr>
          <w:szCs w:val="28"/>
        </w:rPr>
        <w:t xml:space="preserve">Tabela </w:t>
      </w:r>
      <w:r w:rsidRPr="00A95C85">
        <w:rPr>
          <w:szCs w:val="28"/>
        </w:rPr>
        <w:fldChar w:fldCharType="begin"/>
      </w:r>
      <w:r w:rsidRPr="00A95C85">
        <w:rPr>
          <w:szCs w:val="28"/>
        </w:rPr>
        <w:instrText xml:space="preserve"> SEQ Tabela \* ARABIC </w:instrText>
      </w:r>
      <w:r w:rsidRPr="00A95C85">
        <w:rPr>
          <w:szCs w:val="28"/>
        </w:rPr>
        <w:fldChar w:fldCharType="separate"/>
      </w:r>
      <w:r w:rsidR="00FD3F9A">
        <w:rPr>
          <w:noProof/>
          <w:szCs w:val="28"/>
        </w:rPr>
        <w:t>5</w:t>
      </w:r>
      <w:r w:rsidRPr="00A95C85">
        <w:rPr>
          <w:szCs w:val="28"/>
        </w:rPr>
        <w:fldChar w:fldCharType="end"/>
      </w:r>
      <w:bookmarkEnd w:id="149"/>
      <w:r w:rsidRPr="00A95C85">
        <w:rPr>
          <w:szCs w:val="28"/>
        </w:rPr>
        <w:tab/>
        <w:t>Utrata wartości majątku dla terenów przemysłowych z uwzględnieniem przedziałów głębokości.</w:t>
      </w:r>
      <w:bookmarkEnd w:id="150"/>
    </w:p>
    <w:p w14:paraId="5B7F9657" w14:textId="77777777" w:rsidR="00BA0236" w:rsidRPr="00A95C85" w:rsidRDefault="00BA0236" w:rsidP="00A30588">
      <w:pPr>
        <w:autoSpaceDE w:val="0"/>
        <w:autoSpaceDN w:val="0"/>
        <w:adjustRightInd w:val="0"/>
        <w:ind w:left="1134"/>
        <w:jc w:val="both"/>
        <w:rPr>
          <w:szCs w:val="28"/>
        </w:rPr>
      </w:pPr>
      <w:r w:rsidRPr="00A95C85">
        <w:rPr>
          <w:szCs w:val="28"/>
        </w:rPr>
        <w:t>[źródło: Metodyka opracowania map zagrożenia powodziowego i map ryzyka powodziowego w II cyklu planistycznym 2020]</w:t>
      </w:r>
    </w:p>
    <w:tbl>
      <w:tblPr>
        <w:tblW w:w="0" w:type="auto"/>
        <w:tblBorders>
          <w:top w:val="single" w:sz="4" w:space="0" w:color="A9DCF3"/>
          <w:left w:val="single" w:sz="4" w:space="0" w:color="A9DCF3"/>
          <w:bottom w:val="single" w:sz="4" w:space="0" w:color="A9DCF3"/>
          <w:right w:val="single" w:sz="4" w:space="0" w:color="A9DCF3"/>
          <w:insideH w:val="single" w:sz="4" w:space="0" w:color="A9DCF3"/>
          <w:insideV w:val="single" w:sz="4" w:space="0" w:color="A9DCF3"/>
        </w:tblBorders>
        <w:tblLook w:val="00A0" w:firstRow="1" w:lastRow="0" w:firstColumn="1" w:lastColumn="0" w:noHBand="0" w:noVBand="0"/>
      </w:tblPr>
      <w:tblGrid>
        <w:gridCol w:w="2122"/>
        <w:gridCol w:w="3402"/>
        <w:gridCol w:w="2971"/>
      </w:tblGrid>
      <w:tr w:rsidR="00BA0236" w:rsidRPr="00B32914" w14:paraId="2E599CA0" w14:textId="77777777" w:rsidTr="00B32914">
        <w:trPr>
          <w:trHeight w:val="325"/>
        </w:trPr>
        <w:tc>
          <w:tcPr>
            <w:tcW w:w="2122" w:type="dxa"/>
            <w:tcBorders>
              <w:bottom w:val="single" w:sz="12" w:space="0" w:color="7ECBED"/>
            </w:tcBorders>
            <w:shd w:val="clear" w:color="auto" w:fill="D4EDF9"/>
          </w:tcPr>
          <w:p w14:paraId="48B7809D" w14:textId="77777777" w:rsidR="00BA0236" w:rsidRPr="00B32914" w:rsidRDefault="00BA0236" w:rsidP="00B32914">
            <w:pPr>
              <w:spacing w:before="60" w:after="60"/>
              <w:jc w:val="center"/>
              <w:rPr>
                <w:b/>
                <w:bCs/>
              </w:rPr>
            </w:pPr>
            <w:r w:rsidRPr="00B32914">
              <w:t>Przedział</w:t>
            </w:r>
          </w:p>
        </w:tc>
        <w:tc>
          <w:tcPr>
            <w:tcW w:w="3402" w:type="dxa"/>
            <w:tcBorders>
              <w:bottom w:val="single" w:sz="12" w:space="0" w:color="7ECBED"/>
            </w:tcBorders>
            <w:shd w:val="clear" w:color="auto" w:fill="D4EDF9"/>
          </w:tcPr>
          <w:p w14:paraId="42CDEE49" w14:textId="77777777" w:rsidR="00BA0236" w:rsidRPr="00B32914" w:rsidRDefault="00BA0236" w:rsidP="00B32914">
            <w:pPr>
              <w:autoSpaceDE w:val="0"/>
              <w:autoSpaceDN w:val="0"/>
              <w:adjustRightInd w:val="0"/>
              <w:jc w:val="center"/>
              <w:rPr>
                <w:b/>
                <w:bCs/>
              </w:rPr>
            </w:pPr>
            <w:r w:rsidRPr="00B32914">
              <w:t>Głębokość wody (h)</w:t>
            </w:r>
          </w:p>
          <w:p w14:paraId="713B4BE5" w14:textId="77777777" w:rsidR="00BA0236" w:rsidRPr="00B32914" w:rsidRDefault="00BA0236" w:rsidP="00B32914">
            <w:pPr>
              <w:autoSpaceDE w:val="0"/>
              <w:autoSpaceDN w:val="0"/>
              <w:adjustRightInd w:val="0"/>
              <w:jc w:val="center"/>
              <w:rPr>
                <w:b/>
                <w:bCs/>
              </w:rPr>
            </w:pPr>
            <w:r w:rsidRPr="00B32914">
              <w:t>[m]</w:t>
            </w:r>
          </w:p>
        </w:tc>
        <w:tc>
          <w:tcPr>
            <w:tcW w:w="2971" w:type="dxa"/>
            <w:tcBorders>
              <w:bottom w:val="single" w:sz="12" w:space="0" w:color="7ECBED"/>
            </w:tcBorders>
            <w:shd w:val="clear" w:color="auto" w:fill="D4EDF9"/>
          </w:tcPr>
          <w:p w14:paraId="0ADB872E" w14:textId="77777777" w:rsidR="00BA0236" w:rsidRPr="00B32914" w:rsidRDefault="00BA0236" w:rsidP="00B32914">
            <w:pPr>
              <w:autoSpaceDE w:val="0"/>
              <w:autoSpaceDN w:val="0"/>
              <w:adjustRightInd w:val="0"/>
              <w:jc w:val="center"/>
              <w:rPr>
                <w:b/>
                <w:bCs/>
              </w:rPr>
            </w:pPr>
            <w:r w:rsidRPr="00B32914">
              <w:t>Utrata wartości majątku f(h)</w:t>
            </w:r>
          </w:p>
          <w:p w14:paraId="22DDB446" w14:textId="77777777" w:rsidR="00BA0236" w:rsidRPr="00B32914" w:rsidRDefault="00BA0236" w:rsidP="00B32914">
            <w:pPr>
              <w:autoSpaceDE w:val="0"/>
              <w:autoSpaceDN w:val="0"/>
              <w:adjustRightInd w:val="0"/>
              <w:jc w:val="center"/>
              <w:rPr>
                <w:b/>
                <w:bCs/>
              </w:rPr>
            </w:pPr>
            <w:r w:rsidRPr="00B32914">
              <w:t>[%]</w:t>
            </w:r>
          </w:p>
        </w:tc>
      </w:tr>
      <w:tr w:rsidR="00BA0236" w:rsidRPr="00B32914" w14:paraId="7E16DF1B" w14:textId="77777777" w:rsidTr="00B32914">
        <w:tc>
          <w:tcPr>
            <w:tcW w:w="2122" w:type="dxa"/>
          </w:tcPr>
          <w:p w14:paraId="3EDA6CA2" w14:textId="77777777" w:rsidR="00BA0236" w:rsidRPr="00B32914" w:rsidRDefault="00BA0236" w:rsidP="00B32914">
            <w:pPr>
              <w:spacing w:before="60" w:after="60"/>
              <w:jc w:val="center"/>
              <w:rPr>
                <w:b/>
                <w:bCs/>
              </w:rPr>
            </w:pPr>
            <w:r w:rsidRPr="00B32914">
              <w:t>1</w:t>
            </w:r>
          </w:p>
        </w:tc>
        <w:tc>
          <w:tcPr>
            <w:tcW w:w="3402" w:type="dxa"/>
          </w:tcPr>
          <w:p w14:paraId="5C8659C4" w14:textId="77777777" w:rsidR="00BA0236" w:rsidRPr="00B32914" w:rsidRDefault="00BA0236" w:rsidP="00B32914">
            <w:pPr>
              <w:spacing w:before="60" w:after="60"/>
              <w:jc w:val="center"/>
            </w:pPr>
            <w:r w:rsidRPr="00B32914">
              <w:t>h &lt; 0,5</w:t>
            </w:r>
          </w:p>
        </w:tc>
        <w:tc>
          <w:tcPr>
            <w:tcW w:w="2971" w:type="dxa"/>
          </w:tcPr>
          <w:p w14:paraId="292EA905" w14:textId="77777777" w:rsidR="00BA0236" w:rsidRPr="00B32914" w:rsidRDefault="00BA0236" w:rsidP="00B32914">
            <w:pPr>
              <w:spacing w:before="60" w:after="60"/>
              <w:jc w:val="center"/>
            </w:pPr>
            <w:r w:rsidRPr="00B32914">
              <w:t>20</w:t>
            </w:r>
          </w:p>
        </w:tc>
      </w:tr>
      <w:tr w:rsidR="00BA0236" w:rsidRPr="00B32914" w14:paraId="42540966" w14:textId="77777777" w:rsidTr="00B32914">
        <w:tc>
          <w:tcPr>
            <w:tcW w:w="2122" w:type="dxa"/>
          </w:tcPr>
          <w:p w14:paraId="4E7A1B26" w14:textId="77777777" w:rsidR="00BA0236" w:rsidRPr="00B32914" w:rsidRDefault="00BA0236" w:rsidP="00B32914">
            <w:pPr>
              <w:spacing w:before="60" w:after="60"/>
              <w:jc w:val="center"/>
              <w:rPr>
                <w:b/>
                <w:bCs/>
              </w:rPr>
            </w:pPr>
            <w:r w:rsidRPr="00B32914">
              <w:t>2</w:t>
            </w:r>
          </w:p>
        </w:tc>
        <w:tc>
          <w:tcPr>
            <w:tcW w:w="3402" w:type="dxa"/>
          </w:tcPr>
          <w:p w14:paraId="3D7062E3" w14:textId="77777777" w:rsidR="00BA0236" w:rsidRPr="00B32914" w:rsidRDefault="00BA0236" w:rsidP="00B32914">
            <w:pPr>
              <w:spacing w:before="60" w:after="60"/>
              <w:jc w:val="center"/>
            </w:pPr>
            <w:r w:rsidRPr="00B32914">
              <w:t>0,5 &lt; h &lt;= 2</w:t>
            </w:r>
          </w:p>
        </w:tc>
        <w:tc>
          <w:tcPr>
            <w:tcW w:w="2971" w:type="dxa"/>
          </w:tcPr>
          <w:p w14:paraId="1B8E6F64" w14:textId="77777777" w:rsidR="00BA0236" w:rsidRPr="00B32914" w:rsidRDefault="00BA0236" w:rsidP="00B32914">
            <w:pPr>
              <w:spacing w:before="60" w:after="60"/>
              <w:jc w:val="center"/>
            </w:pPr>
            <w:r w:rsidRPr="00B32914">
              <w:t>40</w:t>
            </w:r>
          </w:p>
        </w:tc>
      </w:tr>
      <w:tr w:rsidR="00BA0236" w:rsidRPr="00B32914" w14:paraId="6C158359" w14:textId="77777777" w:rsidTr="00B32914">
        <w:tc>
          <w:tcPr>
            <w:tcW w:w="2122" w:type="dxa"/>
          </w:tcPr>
          <w:p w14:paraId="2CF95F21" w14:textId="77777777" w:rsidR="00BA0236" w:rsidRPr="00B32914" w:rsidRDefault="00BA0236" w:rsidP="00B32914">
            <w:pPr>
              <w:spacing w:before="60" w:after="60"/>
              <w:jc w:val="center"/>
              <w:rPr>
                <w:b/>
                <w:bCs/>
              </w:rPr>
            </w:pPr>
            <w:r w:rsidRPr="00B32914">
              <w:t>3</w:t>
            </w:r>
          </w:p>
        </w:tc>
        <w:tc>
          <w:tcPr>
            <w:tcW w:w="3402" w:type="dxa"/>
          </w:tcPr>
          <w:p w14:paraId="75C33CFE" w14:textId="77777777" w:rsidR="00BA0236" w:rsidRPr="00B32914" w:rsidRDefault="00BA0236" w:rsidP="00B32914">
            <w:pPr>
              <w:spacing w:before="60" w:after="60"/>
              <w:jc w:val="center"/>
            </w:pPr>
            <w:r w:rsidRPr="00B32914">
              <w:t>2 &lt; h &lt;= 4</w:t>
            </w:r>
          </w:p>
        </w:tc>
        <w:tc>
          <w:tcPr>
            <w:tcW w:w="2971" w:type="dxa"/>
          </w:tcPr>
          <w:p w14:paraId="5E07CB77" w14:textId="77777777" w:rsidR="00BA0236" w:rsidRPr="00B32914" w:rsidRDefault="00BA0236" w:rsidP="00B32914">
            <w:pPr>
              <w:spacing w:before="60" w:after="60"/>
              <w:jc w:val="center"/>
            </w:pPr>
            <w:r w:rsidRPr="00B32914">
              <w:t>60</w:t>
            </w:r>
          </w:p>
        </w:tc>
      </w:tr>
      <w:tr w:rsidR="00BA0236" w:rsidRPr="00B32914" w14:paraId="2F5829F8" w14:textId="77777777" w:rsidTr="00B32914">
        <w:tc>
          <w:tcPr>
            <w:tcW w:w="2122" w:type="dxa"/>
          </w:tcPr>
          <w:p w14:paraId="105CD57C" w14:textId="77777777" w:rsidR="00BA0236" w:rsidRPr="00B32914" w:rsidRDefault="00BA0236" w:rsidP="00B32914">
            <w:pPr>
              <w:spacing w:before="60" w:after="60"/>
              <w:jc w:val="center"/>
              <w:rPr>
                <w:b/>
                <w:bCs/>
              </w:rPr>
            </w:pPr>
            <w:r w:rsidRPr="00B32914">
              <w:t>4</w:t>
            </w:r>
          </w:p>
        </w:tc>
        <w:tc>
          <w:tcPr>
            <w:tcW w:w="3402" w:type="dxa"/>
          </w:tcPr>
          <w:p w14:paraId="5476BC1B" w14:textId="77777777" w:rsidR="00BA0236" w:rsidRPr="00B32914" w:rsidRDefault="00BA0236" w:rsidP="00B32914">
            <w:pPr>
              <w:spacing w:before="60" w:after="60"/>
              <w:jc w:val="center"/>
            </w:pPr>
            <w:r w:rsidRPr="00B32914">
              <w:t>h &gt; 4</w:t>
            </w:r>
          </w:p>
        </w:tc>
        <w:tc>
          <w:tcPr>
            <w:tcW w:w="2971" w:type="dxa"/>
          </w:tcPr>
          <w:p w14:paraId="6A1B2B47" w14:textId="77777777" w:rsidR="00BA0236" w:rsidRPr="00B32914" w:rsidRDefault="00BA0236" w:rsidP="00B32914">
            <w:pPr>
              <w:spacing w:before="60" w:after="60"/>
              <w:jc w:val="center"/>
            </w:pPr>
            <w:r w:rsidRPr="00B32914">
              <w:t>80</w:t>
            </w:r>
          </w:p>
        </w:tc>
      </w:tr>
    </w:tbl>
    <w:p w14:paraId="3E89F5BC" w14:textId="77777777" w:rsidR="00A26088" w:rsidRDefault="00A26088" w:rsidP="00A26088"/>
    <w:p w14:paraId="644EED80" w14:textId="4DA50929" w:rsidR="00BA0236" w:rsidRPr="007C28CC" w:rsidRDefault="00A26088" w:rsidP="00E8074C">
      <w:pPr>
        <w:pStyle w:val="ReportLevel3"/>
        <w:numPr>
          <w:ilvl w:val="2"/>
          <w:numId w:val="9"/>
        </w:numPr>
      </w:pPr>
      <w:r>
        <w:br w:type="column"/>
      </w:r>
      <w:r w:rsidR="00BA0236" w:rsidRPr="007C28CC">
        <w:lastRenderedPageBreak/>
        <w:t>Klasa 3 – tereny komunikacyjne</w:t>
      </w:r>
    </w:p>
    <w:p w14:paraId="42FA429B" w14:textId="77777777" w:rsidR="00BA0236" w:rsidRPr="007C28CC" w:rsidRDefault="00BA0236" w:rsidP="007C28CC">
      <w:pPr>
        <w:pStyle w:val="ReportText"/>
        <w:spacing w:before="120" w:after="120"/>
      </w:pPr>
      <w:r w:rsidRPr="007C28CC">
        <w:t>Wartość terenów komunikacyjnych oblicza się na podstawie indeksacji wartości majątku na terenach komunikacyjnych, obowiązujących w I cyklu planistycznym, określonych w rozporządzeniu z dnia 21 grudnia 2012 r. Ministra Środowiska, Ministra Transportu, Budownictwa i Gospodarki Morskiej, Ministra Administracji i Cyfryzacji oraz Ministra Spraw Wewnętrznych w sprawie opracowania map zagrożenia powodziowego oraz map ryzyka powodziowego (Dz.U. 2013, poz.104).</w:t>
      </w:r>
    </w:p>
    <w:p w14:paraId="15DA1EDC" w14:textId="77777777" w:rsidR="00BA0236" w:rsidRPr="007C28CC" w:rsidRDefault="00BA0236" w:rsidP="007C28CC">
      <w:pPr>
        <w:pStyle w:val="ReportText"/>
        <w:spacing w:before="120" w:after="120"/>
      </w:pPr>
      <w:r w:rsidRPr="007C28CC">
        <w:t xml:space="preserve">Indeksacji dokonuje się wskaźnikiem wzrostu wartości środków trwałych w Polsce w bieżących cenach ewidencyjnych (GUS). Został on wyliczony w procentach w stosunku do roku 2008 (do którego odnosiły się wartości majątku w rozporządzeniu z 2012 r.) </w:t>
      </w:r>
    </w:p>
    <w:p w14:paraId="6BDE9CA2" w14:textId="77777777" w:rsidR="00BA0236" w:rsidRPr="007C28CC" w:rsidRDefault="00BA0236" w:rsidP="007C28CC">
      <w:pPr>
        <w:pStyle w:val="ReportText"/>
        <w:spacing w:before="120" w:after="120"/>
      </w:pPr>
      <w:r w:rsidRPr="007C28CC">
        <w:t>Wartość terenów komunikacyjnych z roku 2008 została poddana indeksacji o wskaźnik przyrostu wartości środków trwałych publikowany przez GUS i wynosi dla 2019 roku 789,23 PLN/m</w:t>
      </w:r>
      <w:r w:rsidRPr="007C28CC">
        <w:rPr>
          <w:vertAlign w:val="superscript"/>
        </w:rPr>
        <w:t>2</w:t>
      </w:r>
      <w:r w:rsidRPr="007C28CC">
        <w:t>.</w:t>
      </w:r>
    </w:p>
    <w:p w14:paraId="562BF454" w14:textId="77777777" w:rsidR="00BA0236" w:rsidRPr="007C28CC" w:rsidRDefault="00BA0236" w:rsidP="007C28CC">
      <w:pPr>
        <w:pStyle w:val="ReportText"/>
        <w:spacing w:before="120" w:after="120"/>
      </w:pPr>
      <w:r w:rsidRPr="007C28CC">
        <w:t xml:space="preserve">Dla klasy 3 przyjmuje się stałe wartości strat dla obszaru całego kraju. </w:t>
      </w:r>
    </w:p>
    <w:p w14:paraId="6F490F8F" w14:textId="7EE11A61" w:rsidR="00BA0236" w:rsidRPr="007C28CC" w:rsidRDefault="00BA0236" w:rsidP="004D11B6">
      <w:pPr>
        <w:pStyle w:val="ReportText"/>
        <w:spacing w:before="120" w:after="120"/>
      </w:pPr>
      <w:r w:rsidRPr="007C28CC">
        <w:t xml:space="preserve">Wysokość wartości utraty majątku dla terenów komunikacyjnych jest uzależniona od głębokości wody. Stopień utraty wartości majątku, czyli funkcję strat przedstawia </w:t>
      </w:r>
      <w:r w:rsidR="006C30BA">
        <w:fldChar w:fldCharType="begin"/>
      </w:r>
      <w:r w:rsidR="006C30BA">
        <w:instrText xml:space="preserve"> REF _Ref79490200 \h  \* MERGEFORMAT </w:instrText>
      </w:r>
      <w:r w:rsidR="006C30BA">
        <w:fldChar w:fldCharType="separate"/>
      </w:r>
      <w:r w:rsidR="00FD3F9A" w:rsidRPr="00FD3F9A">
        <w:t>Tabela 6</w:t>
      </w:r>
      <w:r w:rsidR="006C30BA">
        <w:fldChar w:fldCharType="end"/>
      </w:r>
      <w:r w:rsidRPr="007C28CC">
        <w:t>.</w:t>
      </w:r>
    </w:p>
    <w:p w14:paraId="60E6C101" w14:textId="26DF2CC3" w:rsidR="00BA0236" w:rsidRPr="00A95C85" w:rsidRDefault="00BA0236" w:rsidP="007C28CC">
      <w:pPr>
        <w:rPr>
          <w:szCs w:val="28"/>
        </w:rPr>
      </w:pPr>
    </w:p>
    <w:p w14:paraId="0F873E79" w14:textId="02A11F29" w:rsidR="00BA0236" w:rsidRPr="00A95C85" w:rsidRDefault="00BA0236" w:rsidP="00A30588">
      <w:pPr>
        <w:autoSpaceDE w:val="0"/>
        <w:autoSpaceDN w:val="0"/>
        <w:adjustRightInd w:val="0"/>
        <w:ind w:left="1134" w:hanging="1134"/>
        <w:jc w:val="both"/>
        <w:rPr>
          <w:szCs w:val="28"/>
        </w:rPr>
      </w:pPr>
      <w:bookmarkStart w:id="151" w:name="_Ref79490200"/>
      <w:bookmarkStart w:id="152" w:name="_Toc80604816"/>
      <w:r w:rsidRPr="00A95C85">
        <w:rPr>
          <w:szCs w:val="28"/>
        </w:rPr>
        <w:t xml:space="preserve">Tabela </w:t>
      </w:r>
      <w:r w:rsidRPr="00A95C85">
        <w:rPr>
          <w:szCs w:val="28"/>
        </w:rPr>
        <w:fldChar w:fldCharType="begin"/>
      </w:r>
      <w:r w:rsidRPr="00A95C85">
        <w:rPr>
          <w:szCs w:val="28"/>
        </w:rPr>
        <w:instrText xml:space="preserve"> SEQ Tabela \* ARABIC </w:instrText>
      </w:r>
      <w:r w:rsidRPr="00A95C85">
        <w:rPr>
          <w:szCs w:val="28"/>
        </w:rPr>
        <w:fldChar w:fldCharType="separate"/>
      </w:r>
      <w:r w:rsidR="00FD3F9A">
        <w:rPr>
          <w:noProof/>
          <w:szCs w:val="28"/>
        </w:rPr>
        <w:t>6</w:t>
      </w:r>
      <w:r w:rsidRPr="00A95C85">
        <w:rPr>
          <w:szCs w:val="28"/>
        </w:rPr>
        <w:fldChar w:fldCharType="end"/>
      </w:r>
      <w:bookmarkEnd w:id="151"/>
      <w:r w:rsidRPr="00A95C85">
        <w:rPr>
          <w:szCs w:val="28"/>
        </w:rPr>
        <w:tab/>
        <w:t>Utrata wartości majątku dla terenów komunikacyjnych z uwzględnieniem przedziałów głębokości.</w:t>
      </w:r>
      <w:bookmarkEnd w:id="152"/>
    </w:p>
    <w:p w14:paraId="52746C24" w14:textId="77777777" w:rsidR="00BA0236" w:rsidRPr="00A95C85" w:rsidRDefault="00BA0236" w:rsidP="00A30588">
      <w:pPr>
        <w:autoSpaceDE w:val="0"/>
        <w:autoSpaceDN w:val="0"/>
        <w:adjustRightInd w:val="0"/>
        <w:ind w:left="1134"/>
        <w:jc w:val="both"/>
        <w:rPr>
          <w:szCs w:val="28"/>
        </w:rPr>
      </w:pPr>
      <w:r w:rsidRPr="00A95C85">
        <w:rPr>
          <w:szCs w:val="28"/>
        </w:rPr>
        <w:t>[źródło: Metodyka opracowania map zagrożenia powodziowego i map ryzyka powodziowego w II cyklu planistycznym 2020]</w:t>
      </w:r>
    </w:p>
    <w:tbl>
      <w:tblPr>
        <w:tblW w:w="0" w:type="auto"/>
        <w:tblBorders>
          <w:top w:val="single" w:sz="4" w:space="0" w:color="A9DCF3"/>
          <w:left w:val="single" w:sz="4" w:space="0" w:color="A9DCF3"/>
          <w:bottom w:val="single" w:sz="4" w:space="0" w:color="A9DCF3"/>
          <w:right w:val="single" w:sz="4" w:space="0" w:color="A9DCF3"/>
          <w:insideH w:val="single" w:sz="4" w:space="0" w:color="A9DCF3"/>
          <w:insideV w:val="single" w:sz="4" w:space="0" w:color="A9DCF3"/>
        </w:tblBorders>
        <w:tblLook w:val="00A0" w:firstRow="1" w:lastRow="0" w:firstColumn="1" w:lastColumn="0" w:noHBand="0" w:noVBand="0"/>
      </w:tblPr>
      <w:tblGrid>
        <w:gridCol w:w="2122"/>
        <w:gridCol w:w="3402"/>
        <w:gridCol w:w="2971"/>
      </w:tblGrid>
      <w:tr w:rsidR="00BA0236" w:rsidRPr="00B32914" w14:paraId="5D7EF26B" w14:textId="77777777" w:rsidTr="00B32914">
        <w:trPr>
          <w:trHeight w:val="325"/>
        </w:trPr>
        <w:tc>
          <w:tcPr>
            <w:tcW w:w="2122" w:type="dxa"/>
            <w:tcBorders>
              <w:bottom w:val="single" w:sz="12" w:space="0" w:color="7ECBED"/>
            </w:tcBorders>
            <w:shd w:val="clear" w:color="auto" w:fill="D4EDF9"/>
          </w:tcPr>
          <w:p w14:paraId="57658628" w14:textId="77777777" w:rsidR="00BA0236" w:rsidRPr="00B32914" w:rsidRDefault="00BA0236" w:rsidP="00B32914">
            <w:pPr>
              <w:spacing w:before="60" w:after="60"/>
              <w:jc w:val="center"/>
              <w:rPr>
                <w:b/>
                <w:bCs/>
              </w:rPr>
            </w:pPr>
            <w:r w:rsidRPr="00B32914">
              <w:t>Przedział</w:t>
            </w:r>
          </w:p>
        </w:tc>
        <w:tc>
          <w:tcPr>
            <w:tcW w:w="3402" w:type="dxa"/>
            <w:tcBorders>
              <w:bottom w:val="single" w:sz="12" w:space="0" w:color="7ECBED"/>
            </w:tcBorders>
            <w:shd w:val="clear" w:color="auto" w:fill="D4EDF9"/>
          </w:tcPr>
          <w:p w14:paraId="6CD887A4" w14:textId="77777777" w:rsidR="00BA0236" w:rsidRPr="00B32914" w:rsidRDefault="00BA0236" w:rsidP="00B32914">
            <w:pPr>
              <w:autoSpaceDE w:val="0"/>
              <w:autoSpaceDN w:val="0"/>
              <w:adjustRightInd w:val="0"/>
              <w:jc w:val="center"/>
              <w:rPr>
                <w:b/>
                <w:bCs/>
              </w:rPr>
            </w:pPr>
            <w:r w:rsidRPr="00B32914">
              <w:t>Głębokość wody (h)</w:t>
            </w:r>
          </w:p>
          <w:p w14:paraId="49D899FC" w14:textId="77777777" w:rsidR="00BA0236" w:rsidRPr="00B32914" w:rsidRDefault="00BA0236" w:rsidP="00B32914">
            <w:pPr>
              <w:autoSpaceDE w:val="0"/>
              <w:autoSpaceDN w:val="0"/>
              <w:adjustRightInd w:val="0"/>
              <w:jc w:val="center"/>
              <w:rPr>
                <w:b/>
                <w:bCs/>
              </w:rPr>
            </w:pPr>
            <w:r w:rsidRPr="00B32914">
              <w:t>[m]</w:t>
            </w:r>
          </w:p>
        </w:tc>
        <w:tc>
          <w:tcPr>
            <w:tcW w:w="2971" w:type="dxa"/>
            <w:tcBorders>
              <w:bottom w:val="single" w:sz="12" w:space="0" w:color="7ECBED"/>
            </w:tcBorders>
            <w:shd w:val="clear" w:color="auto" w:fill="D4EDF9"/>
          </w:tcPr>
          <w:p w14:paraId="159838AF" w14:textId="77777777" w:rsidR="00BA0236" w:rsidRPr="00B32914" w:rsidRDefault="00BA0236" w:rsidP="00B32914">
            <w:pPr>
              <w:autoSpaceDE w:val="0"/>
              <w:autoSpaceDN w:val="0"/>
              <w:adjustRightInd w:val="0"/>
              <w:jc w:val="center"/>
              <w:rPr>
                <w:b/>
                <w:bCs/>
              </w:rPr>
            </w:pPr>
            <w:r w:rsidRPr="00B32914">
              <w:t>Utrata wartości majątku f(h)</w:t>
            </w:r>
          </w:p>
          <w:p w14:paraId="0BC346C7" w14:textId="77777777" w:rsidR="00BA0236" w:rsidRPr="00B32914" w:rsidRDefault="00BA0236" w:rsidP="00B32914">
            <w:pPr>
              <w:autoSpaceDE w:val="0"/>
              <w:autoSpaceDN w:val="0"/>
              <w:adjustRightInd w:val="0"/>
              <w:jc w:val="center"/>
              <w:rPr>
                <w:b/>
                <w:bCs/>
              </w:rPr>
            </w:pPr>
            <w:r w:rsidRPr="00B32914">
              <w:t>[%]</w:t>
            </w:r>
          </w:p>
        </w:tc>
      </w:tr>
      <w:tr w:rsidR="00BA0236" w:rsidRPr="00B32914" w14:paraId="64DE7109" w14:textId="77777777" w:rsidTr="00B32914">
        <w:tc>
          <w:tcPr>
            <w:tcW w:w="2122" w:type="dxa"/>
          </w:tcPr>
          <w:p w14:paraId="6A26E090" w14:textId="77777777" w:rsidR="00BA0236" w:rsidRPr="00B32914" w:rsidRDefault="00BA0236" w:rsidP="00B32914">
            <w:pPr>
              <w:spacing w:before="60" w:after="60"/>
              <w:jc w:val="center"/>
              <w:rPr>
                <w:b/>
                <w:bCs/>
              </w:rPr>
            </w:pPr>
            <w:r w:rsidRPr="00B32914">
              <w:t>1</w:t>
            </w:r>
          </w:p>
        </w:tc>
        <w:tc>
          <w:tcPr>
            <w:tcW w:w="3402" w:type="dxa"/>
          </w:tcPr>
          <w:p w14:paraId="7081F184" w14:textId="77777777" w:rsidR="00BA0236" w:rsidRPr="00B32914" w:rsidRDefault="00BA0236" w:rsidP="00B32914">
            <w:pPr>
              <w:spacing w:before="60" w:after="60"/>
              <w:jc w:val="center"/>
            </w:pPr>
            <w:r w:rsidRPr="00B32914">
              <w:t>h &lt; 0,5</w:t>
            </w:r>
          </w:p>
        </w:tc>
        <w:tc>
          <w:tcPr>
            <w:tcW w:w="2971" w:type="dxa"/>
          </w:tcPr>
          <w:p w14:paraId="441B42CC" w14:textId="77777777" w:rsidR="00BA0236" w:rsidRPr="00B32914" w:rsidRDefault="00BA0236" w:rsidP="00B32914">
            <w:pPr>
              <w:spacing w:before="60" w:after="60"/>
              <w:jc w:val="center"/>
            </w:pPr>
            <w:r w:rsidRPr="00B32914">
              <w:t>5</w:t>
            </w:r>
          </w:p>
        </w:tc>
      </w:tr>
      <w:tr w:rsidR="00BA0236" w:rsidRPr="00B32914" w14:paraId="49C6D1B2" w14:textId="77777777" w:rsidTr="00B32914">
        <w:tc>
          <w:tcPr>
            <w:tcW w:w="2122" w:type="dxa"/>
          </w:tcPr>
          <w:p w14:paraId="44A359CF" w14:textId="77777777" w:rsidR="00BA0236" w:rsidRPr="00B32914" w:rsidRDefault="00BA0236" w:rsidP="00B32914">
            <w:pPr>
              <w:spacing w:before="60" w:after="60"/>
              <w:jc w:val="center"/>
              <w:rPr>
                <w:b/>
                <w:bCs/>
              </w:rPr>
            </w:pPr>
            <w:r w:rsidRPr="00B32914">
              <w:t>2</w:t>
            </w:r>
          </w:p>
        </w:tc>
        <w:tc>
          <w:tcPr>
            <w:tcW w:w="3402" w:type="dxa"/>
          </w:tcPr>
          <w:p w14:paraId="49B9377C" w14:textId="77777777" w:rsidR="00BA0236" w:rsidRPr="00B32914" w:rsidRDefault="00BA0236" w:rsidP="00B32914">
            <w:pPr>
              <w:spacing w:before="60" w:after="60"/>
              <w:jc w:val="center"/>
            </w:pPr>
            <w:r w:rsidRPr="00B32914">
              <w:t>0,5 &lt; h</w:t>
            </w:r>
          </w:p>
        </w:tc>
        <w:tc>
          <w:tcPr>
            <w:tcW w:w="2971" w:type="dxa"/>
          </w:tcPr>
          <w:p w14:paraId="61926F5B" w14:textId="77777777" w:rsidR="00BA0236" w:rsidRPr="00B32914" w:rsidRDefault="00BA0236" w:rsidP="00B32914">
            <w:pPr>
              <w:spacing w:before="60" w:after="60"/>
              <w:jc w:val="center"/>
            </w:pPr>
            <w:r w:rsidRPr="00B32914">
              <w:t>10</w:t>
            </w:r>
          </w:p>
        </w:tc>
      </w:tr>
    </w:tbl>
    <w:p w14:paraId="6B67791F" w14:textId="77777777" w:rsidR="00BA0236" w:rsidRPr="007C28CC" w:rsidRDefault="00BA0236" w:rsidP="00E8074C">
      <w:pPr>
        <w:pStyle w:val="ReportLevel3"/>
        <w:numPr>
          <w:ilvl w:val="2"/>
          <w:numId w:val="9"/>
        </w:numPr>
      </w:pPr>
      <w:r w:rsidRPr="007C28CC">
        <w:t>Klasa 4 – lasy</w:t>
      </w:r>
    </w:p>
    <w:p w14:paraId="7B9E83D5" w14:textId="77777777" w:rsidR="00BA0236" w:rsidRPr="007C28CC" w:rsidRDefault="00BA0236" w:rsidP="007C28CC">
      <w:pPr>
        <w:pStyle w:val="ReportText"/>
        <w:spacing w:before="120" w:after="120"/>
      </w:pPr>
      <w:r w:rsidRPr="007C28CC">
        <w:t>Wartość potencjalnej straty jednostkowej dla tej klasy jest trudna do określenia. Straty powodziowe są zależne przede wszystkim od długości trwania powodzi, wieku drzewostanu, rodzaju siedliska naturalnego, kondycji drzewostanów przed wystąpieniem zjawiska powodzi oraz bardzo wielu innych czynników. Dodatkowo zniszczeniu może ulec także runo leśne oraz infrastruktura leśna.</w:t>
      </w:r>
    </w:p>
    <w:p w14:paraId="0B34800A" w14:textId="77777777" w:rsidR="00BA0236" w:rsidRPr="007C28CC" w:rsidRDefault="00BA0236" w:rsidP="007C28CC">
      <w:pPr>
        <w:pStyle w:val="ReportText"/>
        <w:spacing w:before="120" w:after="120"/>
      </w:pPr>
      <w:r w:rsidRPr="007C28CC">
        <w:t>Powódź wpływa również negatywnie na faunę zamieszkującą obszary leśne. Niezwykle trudne jest określenie strat niematerialnych – wartości pozaprodukcyjnych, np. strat</w:t>
      </w:r>
      <w:r>
        <w:t xml:space="preserve"> </w:t>
      </w:r>
      <w:r w:rsidRPr="007C28CC">
        <w:t>w publicznych funkcjach lasu, np. ochronnej roli lasów.</w:t>
      </w:r>
    </w:p>
    <w:p w14:paraId="7820A445" w14:textId="77777777" w:rsidR="00BA0236" w:rsidRPr="007C28CC" w:rsidRDefault="00BA0236" w:rsidP="007C28CC">
      <w:pPr>
        <w:pStyle w:val="ReportText"/>
        <w:spacing w:before="120" w:after="120"/>
      </w:pPr>
      <w:r w:rsidRPr="007C28CC">
        <w:t>Zgodne z obliczeniami zastosowanymi w PZRP dla obszarów dorzeczy i Regionów Wodnych, przyjęto potencjalną stratę jednostkową w wysokości 0,04 PLN/m</w:t>
      </w:r>
      <w:r w:rsidRPr="007C28CC">
        <w:rPr>
          <w:vertAlign w:val="superscript"/>
        </w:rPr>
        <w:t>2</w:t>
      </w:r>
      <w:r w:rsidRPr="007C28CC">
        <w:t xml:space="preserve">. </w:t>
      </w:r>
    </w:p>
    <w:p w14:paraId="174AE474" w14:textId="77777777" w:rsidR="00BA0236" w:rsidRPr="007C28CC" w:rsidRDefault="00BA0236" w:rsidP="007C28CC">
      <w:pPr>
        <w:pStyle w:val="ReportText"/>
        <w:spacing w:before="120" w:after="120"/>
      </w:pPr>
      <w:r w:rsidRPr="007C28CC">
        <w:t>Dla klasy 4 przyjmuje się stałe wartości strat dla obszaru całego kraju, niezależne od głębokości wody.</w:t>
      </w:r>
    </w:p>
    <w:p w14:paraId="2F2AF382" w14:textId="77777777" w:rsidR="00BA0236" w:rsidRPr="007C28CC" w:rsidRDefault="00BA0236" w:rsidP="00E8074C">
      <w:pPr>
        <w:pStyle w:val="ReportLevel3"/>
        <w:numPr>
          <w:ilvl w:val="2"/>
          <w:numId w:val="9"/>
        </w:numPr>
      </w:pPr>
      <w:r w:rsidRPr="007C28CC">
        <w:lastRenderedPageBreak/>
        <w:t>Klasa 5 – tereny rekreacyjno-wypoczynkowe</w:t>
      </w:r>
    </w:p>
    <w:p w14:paraId="1DCC9300" w14:textId="77777777" w:rsidR="00BA0236" w:rsidRPr="007C28CC" w:rsidRDefault="00BA0236" w:rsidP="007C28CC">
      <w:pPr>
        <w:pStyle w:val="ReportText"/>
        <w:spacing w:before="120" w:after="120"/>
      </w:pPr>
      <w:r w:rsidRPr="007C28CC">
        <w:t>Wartość potencjalnej straty jednostkowej dla terenów rekreacyjno-wypoczynkowych oblicza się na podstawie indeksacji jednostkowej wartości potencjalnej straty, obowiązującej w I cyklu planistycznym, określonej w rozporządzeniu z dnia 21 grudnia 2012 r. Ministra Środowiska, Ministra Transportu, Budownictwa i Gospodarki Morskiej, Ministra Administracji i Cyfryzacji oraz Ministra Spraw Wewnętrznych w sprawie opracowania map zagrożenia powodziowego oraz map ryzyka powodziowego</w:t>
      </w:r>
      <w:r w:rsidRPr="007C28CC">
        <w:br/>
        <w:t xml:space="preserve">(Dz.U. 2013, poz. 104). </w:t>
      </w:r>
    </w:p>
    <w:p w14:paraId="4C30397F" w14:textId="77777777" w:rsidR="00BA0236" w:rsidRPr="007C28CC" w:rsidRDefault="00BA0236" w:rsidP="007C28CC">
      <w:pPr>
        <w:pStyle w:val="ReportText"/>
        <w:spacing w:before="120" w:after="120"/>
      </w:pPr>
      <w:r w:rsidRPr="007C28CC">
        <w:t>Indeksacji dokonano wskaźnikiem wzrostu wartości środków trwałych w Polsce</w:t>
      </w:r>
      <w:r w:rsidRPr="007C28CC">
        <w:br/>
        <w:t>w bieżących cenach ewidencyjnych (GUS). Został on wyliczony w procentach</w:t>
      </w:r>
      <w:r w:rsidRPr="007C28CC">
        <w:br/>
        <w:t>w stosunku do 2008 r. (do którego odnosiły się wartości majątku w rozporządzeniu</w:t>
      </w:r>
      <w:r w:rsidRPr="007C28CC">
        <w:br/>
        <w:t xml:space="preserve">z 2012 r.). </w:t>
      </w:r>
    </w:p>
    <w:p w14:paraId="711A9673" w14:textId="77777777" w:rsidR="00BA0236" w:rsidRPr="007C28CC" w:rsidRDefault="00BA0236" w:rsidP="007C28CC">
      <w:pPr>
        <w:pStyle w:val="ReportText"/>
        <w:spacing w:before="120" w:after="120"/>
      </w:pPr>
      <w:r w:rsidRPr="007C28CC">
        <w:t>Wartość terenów rekreacyjno-wypoczynkowych z 2008 r. została poddana indeksacji</w:t>
      </w:r>
      <w:r w:rsidRPr="007C28CC">
        <w:br/>
        <w:t>o wskaźnik przyrostu wartości środków trwałych publikowany przez GUS i wynosi dla 2019 roku 8,81 PLN/m</w:t>
      </w:r>
      <w:r w:rsidRPr="007C28CC">
        <w:rPr>
          <w:vertAlign w:val="superscript"/>
        </w:rPr>
        <w:t>2</w:t>
      </w:r>
      <w:r w:rsidRPr="007C28CC">
        <w:t>.</w:t>
      </w:r>
    </w:p>
    <w:p w14:paraId="240AA766" w14:textId="6774C9B1" w:rsidR="00BA0236" w:rsidRPr="007C28CC" w:rsidRDefault="00BA0236" w:rsidP="004D11B6">
      <w:pPr>
        <w:pStyle w:val="ReportText"/>
        <w:spacing w:before="120" w:after="120"/>
        <w:rPr>
          <w:b/>
          <w:color w:val="28AAE1"/>
          <w:sz w:val="28"/>
          <w:szCs w:val="18"/>
        </w:rPr>
      </w:pPr>
      <w:r w:rsidRPr="007C28CC">
        <w:t>Dla klasy 5 przyjmuje się stałe wartości strat dla obszaru całego kraju, niezależne od głębokości wody.</w:t>
      </w:r>
    </w:p>
    <w:p w14:paraId="47C4C401" w14:textId="77777777" w:rsidR="00BA0236" w:rsidRPr="007C28CC" w:rsidRDefault="00BA0236" w:rsidP="00E8074C">
      <w:pPr>
        <w:pStyle w:val="ReportLevel3"/>
        <w:numPr>
          <w:ilvl w:val="2"/>
          <w:numId w:val="9"/>
        </w:numPr>
      </w:pPr>
      <w:r w:rsidRPr="007C28CC">
        <w:t>Klasa 6 – grunty orne i uprawy trwałe</w:t>
      </w:r>
    </w:p>
    <w:p w14:paraId="62A02CEF" w14:textId="77777777" w:rsidR="00BA0236" w:rsidRPr="007C28CC" w:rsidRDefault="00BA0236" w:rsidP="007C28CC">
      <w:pPr>
        <w:pStyle w:val="ReportText"/>
        <w:spacing w:before="120" w:after="120"/>
      </w:pPr>
      <w:r w:rsidRPr="007C28CC">
        <w:t>W zależności od sposobu oddziaływania powodzi potencjalne straty powodziowe</w:t>
      </w:r>
      <w:r w:rsidRPr="007C28CC">
        <w:br/>
        <w:t>w klasie 6 można podzielić na dwa rodzaje:</w:t>
      </w:r>
    </w:p>
    <w:p w14:paraId="35E8AD1C" w14:textId="77777777" w:rsidR="00BA0236" w:rsidRPr="00A26088" w:rsidRDefault="00BA0236" w:rsidP="00A30588">
      <w:pPr>
        <w:pStyle w:val="Akapitzlist"/>
        <w:numPr>
          <w:ilvl w:val="0"/>
          <w:numId w:val="26"/>
        </w:numPr>
        <w:autoSpaceDE w:val="0"/>
        <w:autoSpaceDN w:val="0"/>
        <w:adjustRightInd w:val="0"/>
        <w:ind w:left="567" w:hanging="425"/>
        <w:jc w:val="both"/>
        <w:rPr>
          <w:sz w:val="24"/>
          <w:szCs w:val="24"/>
        </w:rPr>
      </w:pPr>
      <w:r w:rsidRPr="00A26088">
        <w:rPr>
          <w:sz w:val="24"/>
          <w:szCs w:val="24"/>
        </w:rPr>
        <w:t>straty bezpośrednie – najważniejsze z nich to: straty w uprawach, zniszczenie gleby, np. przez procesy spłukiwania, erozji, zaburzenie stosunków wodnych</w:t>
      </w:r>
      <w:r w:rsidRPr="00A26088">
        <w:rPr>
          <w:sz w:val="24"/>
          <w:szCs w:val="24"/>
        </w:rPr>
        <w:br/>
        <w:t>w glebie, zanieczyszczenie gleby;</w:t>
      </w:r>
    </w:p>
    <w:p w14:paraId="3A45CE4F" w14:textId="77777777" w:rsidR="00BA0236" w:rsidRPr="00A26088" w:rsidRDefault="00BA0236" w:rsidP="00A30588">
      <w:pPr>
        <w:pStyle w:val="Akapitzlist"/>
        <w:numPr>
          <w:ilvl w:val="0"/>
          <w:numId w:val="26"/>
        </w:numPr>
        <w:autoSpaceDE w:val="0"/>
        <w:autoSpaceDN w:val="0"/>
        <w:adjustRightInd w:val="0"/>
        <w:ind w:left="567" w:hanging="425"/>
        <w:jc w:val="both"/>
        <w:rPr>
          <w:sz w:val="24"/>
          <w:szCs w:val="24"/>
        </w:rPr>
      </w:pPr>
      <w:r w:rsidRPr="00A26088">
        <w:rPr>
          <w:sz w:val="24"/>
          <w:szCs w:val="24"/>
        </w:rPr>
        <w:t>straty pośrednie – najważniejsze z nich to: wydatki na uporządkowanie zniszczeń, straty w produkcji zwierzęcej, np. obniżenie plonów ma wpływ na dodatkowe wydatki lub spadek hodowli.</w:t>
      </w:r>
    </w:p>
    <w:p w14:paraId="23087CF3" w14:textId="77777777" w:rsidR="00BA0236" w:rsidRPr="00A26088" w:rsidRDefault="00BA0236" w:rsidP="007C28CC">
      <w:pPr>
        <w:pStyle w:val="ReportText"/>
        <w:spacing w:before="120" w:after="120"/>
        <w:rPr>
          <w:szCs w:val="24"/>
        </w:rPr>
      </w:pPr>
      <w:r w:rsidRPr="00A26088">
        <w:rPr>
          <w:szCs w:val="24"/>
        </w:rPr>
        <w:t>Potencjalne straty powodziowe w klasie 6 to suma strat bezpośrednich i pośrednich.</w:t>
      </w:r>
    </w:p>
    <w:p w14:paraId="17AE3E5C" w14:textId="77777777" w:rsidR="00BA0236" w:rsidRPr="007C28CC" w:rsidRDefault="00BA0236" w:rsidP="007C28CC">
      <w:pPr>
        <w:pStyle w:val="ReportText"/>
        <w:spacing w:before="120" w:after="120"/>
      </w:pPr>
      <w:r w:rsidRPr="007C28CC">
        <w:t>Wielkość jednostkowych strat powodziowych dla gruntów ornych i upraw trwałych przyjęto w oparciu o metodykę opracowania map zagrożenia powodziowego i map ryzyka powodziowego w II cyklu planistycznym oraz zgodnie z podejściem z PZRP dla obszarów dorzeczy i Regionów Wodnych, wartości strat podległy indeksacji o wskaźnik cen globalnej produkcji rolniczej publikowany przez GUS.</w:t>
      </w:r>
    </w:p>
    <w:p w14:paraId="129B1F39" w14:textId="48C01DEE" w:rsidR="00BA0236" w:rsidRPr="007C28CC" w:rsidRDefault="00BA0236" w:rsidP="007C28CC">
      <w:pPr>
        <w:pStyle w:val="ReportText"/>
        <w:spacing w:before="120" w:after="120"/>
      </w:pPr>
      <w:r w:rsidRPr="007C28CC">
        <w:t xml:space="preserve">Wartość potencjalnych jednostkowych strat powodziowych dla gruntów ornych i upraw trwałych przedstawiono w </w:t>
      </w:r>
      <w:r w:rsidRPr="007C28CC">
        <w:fldChar w:fldCharType="begin"/>
      </w:r>
      <w:r w:rsidRPr="007C28CC">
        <w:instrText xml:space="preserve"> REF _Ref79490325 \h </w:instrText>
      </w:r>
      <w:r w:rsidRPr="007C28CC">
        <w:fldChar w:fldCharType="separate"/>
      </w:r>
      <w:r w:rsidR="00FD3F9A" w:rsidRPr="00A30588">
        <w:rPr>
          <w:szCs w:val="28"/>
        </w:rPr>
        <w:t xml:space="preserve">Tabela </w:t>
      </w:r>
      <w:r w:rsidR="00FD3F9A">
        <w:rPr>
          <w:noProof/>
          <w:szCs w:val="28"/>
        </w:rPr>
        <w:t>7</w:t>
      </w:r>
      <w:r w:rsidRPr="007C28CC">
        <w:fldChar w:fldCharType="end"/>
      </w:r>
      <w:r w:rsidRPr="007C28CC">
        <w:t>.</w:t>
      </w:r>
    </w:p>
    <w:p w14:paraId="64099257" w14:textId="0CDE536C" w:rsidR="00BA0236" w:rsidRPr="00A30588" w:rsidRDefault="00BA0236" w:rsidP="00A30588">
      <w:pPr>
        <w:pStyle w:val="Legenda"/>
        <w:tabs>
          <w:tab w:val="clear" w:pos="1080"/>
        </w:tabs>
        <w:ind w:left="1134" w:right="-425" w:hanging="1134"/>
        <w:rPr>
          <w:sz w:val="24"/>
          <w:szCs w:val="28"/>
        </w:rPr>
      </w:pPr>
      <w:bookmarkStart w:id="153" w:name="_Ref79490325"/>
      <w:bookmarkStart w:id="154" w:name="_Toc80604817"/>
      <w:r w:rsidRPr="00A30588">
        <w:rPr>
          <w:sz w:val="24"/>
          <w:szCs w:val="28"/>
        </w:rPr>
        <w:t xml:space="preserve">Tabela </w:t>
      </w:r>
      <w:r w:rsidR="00295C25" w:rsidRPr="00A30588">
        <w:rPr>
          <w:sz w:val="24"/>
          <w:szCs w:val="28"/>
        </w:rPr>
        <w:fldChar w:fldCharType="begin"/>
      </w:r>
      <w:r w:rsidR="00295C25" w:rsidRPr="00A30588">
        <w:rPr>
          <w:sz w:val="24"/>
          <w:szCs w:val="28"/>
        </w:rPr>
        <w:instrText xml:space="preserve"> SEQ Tabela \* ARABIC </w:instrText>
      </w:r>
      <w:r w:rsidR="00295C25" w:rsidRPr="00A30588">
        <w:rPr>
          <w:sz w:val="24"/>
          <w:szCs w:val="28"/>
        </w:rPr>
        <w:fldChar w:fldCharType="separate"/>
      </w:r>
      <w:r w:rsidR="00FD3F9A">
        <w:rPr>
          <w:noProof/>
          <w:sz w:val="24"/>
          <w:szCs w:val="28"/>
        </w:rPr>
        <w:t>7</w:t>
      </w:r>
      <w:r w:rsidR="00295C25" w:rsidRPr="00A30588">
        <w:rPr>
          <w:noProof/>
          <w:sz w:val="24"/>
          <w:szCs w:val="28"/>
        </w:rPr>
        <w:fldChar w:fldCharType="end"/>
      </w:r>
      <w:bookmarkEnd w:id="153"/>
      <w:r w:rsidRPr="00A30588">
        <w:rPr>
          <w:sz w:val="24"/>
          <w:szCs w:val="28"/>
        </w:rPr>
        <w:tab/>
        <w:t>Wartość potencjalnych strat powodziowych dla gruntów ornych i upraw trwałych</w:t>
      </w:r>
      <w:bookmarkEnd w:id="154"/>
    </w:p>
    <w:tbl>
      <w:tblPr>
        <w:tblW w:w="0" w:type="auto"/>
        <w:tblBorders>
          <w:top w:val="single" w:sz="4" w:space="0" w:color="A9DCF3"/>
          <w:left w:val="single" w:sz="4" w:space="0" w:color="A9DCF3"/>
          <w:bottom w:val="single" w:sz="4" w:space="0" w:color="A9DCF3"/>
          <w:right w:val="single" w:sz="4" w:space="0" w:color="A9DCF3"/>
          <w:insideH w:val="single" w:sz="4" w:space="0" w:color="A9DCF3"/>
          <w:insideV w:val="single" w:sz="4" w:space="0" w:color="A9DCF3"/>
        </w:tblBorders>
        <w:tblLook w:val="00A0" w:firstRow="1" w:lastRow="0" w:firstColumn="1" w:lastColumn="0" w:noHBand="0" w:noVBand="0"/>
      </w:tblPr>
      <w:tblGrid>
        <w:gridCol w:w="4247"/>
        <w:gridCol w:w="4248"/>
      </w:tblGrid>
      <w:tr w:rsidR="00BA0236" w:rsidRPr="00B32914" w14:paraId="7572EB17" w14:textId="77777777" w:rsidTr="00B32914">
        <w:trPr>
          <w:trHeight w:val="325"/>
        </w:trPr>
        <w:tc>
          <w:tcPr>
            <w:tcW w:w="4247" w:type="dxa"/>
            <w:tcBorders>
              <w:bottom w:val="single" w:sz="12" w:space="0" w:color="7ECBED"/>
            </w:tcBorders>
            <w:shd w:val="clear" w:color="auto" w:fill="D4EDF9"/>
          </w:tcPr>
          <w:p w14:paraId="5E3FFC21" w14:textId="77777777" w:rsidR="00BA0236" w:rsidRPr="00B32914" w:rsidRDefault="00BA0236" w:rsidP="00B32914">
            <w:pPr>
              <w:spacing w:before="60" w:after="60"/>
              <w:jc w:val="center"/>
              <w:rPr>
                <w:b/>
                <w:bCs/>
                <w:highlight w:val="green"/>
              </w:rPr>
            </w:pPr>
            <w:r w:rsidRPr="00B32914">
              <w:t>Województwo</w:t>
            </w:r>
          </w:p>
        </w:tc>
        <w:tc>
          <w:tcPr>
            <w:tcW w:w="4248" w:type="dxa"/>
            <w:tcBorders>
              <w:bottom w:val="single" w:sz="12" w:space="0" w:color="7ECBED"/>
            </w:tcBorders>
            <w:shd w:val="clear" w:color="auto" w:fill="D4EDF9"/>
          </w:tcPr>
          <w:p w14:paraId="57B866BD" w14:textId="77777777" w:rsidR="00BA0236" w:rsidRPr="00B32914" w:rsidRDefault="00BA0236" w:rsidP="00B32914">
            <w:pPr>
              <w:autoSpaceDE w:val="0"/>
              <w:autoSpaceDN w:val="0"/>
              <w:adjustRightInd w:val="0"/>
              <w:jc w:val="center"/>
              <w:rPr>
                <w:b/>
                <w:bCs/>
              </w:rPr>
            </w:pPr>
            <w:r w:rsidRPr="00B32914">
              <w:t>Potencjalna jednostkowa</w:t>
            </w:r>
          </w:p>
          <w:p w14:paraId="584A37F3" w14:textId="77777777" w:rsidR="00BA0236" w:rsidRPr="00B32914" w:rsidRDefault="00BA0236" w:rsidP="00B32914">
            <w:pPr>
              <w:autoSpaceDE w:val="0"/>
              <w:autoSpaceDN w:val="0"/>
              <w:adjustRightInd w:val="0"/>
              <w:jc w:val="center"/>
              <w:rPr>
                <w:b/>
                <w:bCs/>
              </w:rPr>
            </w:pPr>
            <w:r w:rsidRPr="00B32914">
              <w:t>strata powodziowa w 2019 r.</w:t>
            </w:r>
          </w:p>
          <w:p w14:paraId="32515692" w14:textId="77777777" w:rsidR="00BA0236" w:rsidRPr="00B32914" w:rsidRDefault="00BA0236" w:rsidP="00B32914">
            <w:pPr>
              <w:autoSpaceDE w:val="0"/>
              <w:autoSpaceDN w:val="0"/>
              <w:adjustRightInd w:val="0"/>
              <w:jc w:val="center"/>
              <w:rPr>
                <w:b/>
                <w:bCs/>
              </w:rPr>
            </w:pPr>
            <w:r w:rsidRPr="00B32914">
              <w:t>[PLN/m</w:t>
            </w:r>
            <w:r w:rsidRPr="00B32914">
              <w:rPr>
                <w:vertAlign w:val="superscript"/>
              </w:rPr>
              <w:t>2</w:t>
            </w:r>
            <w:r w:rsidRPr="00B32914">
              <w:t>]</w:t>
            </w:r>
          </w:p>
        </w:tc>
      </w:tr>
      <w:tr w:rsidR="00BA0236" w:rsidRPr="00B32914" w14:paraId="427AFA6D" w14:textId="77777777" w:rsidTr="00B32914">
        <w:tc>
          <w:tcPr>
            <w:tcW w:w="4247" w:type="dxa"/>
          </w:tcPr>
          <w:p w14:paraId="54B1B935" w14:textId="77777777" w:rsidR="00BA0236" w:rsidRPr="00B32914" w:rsidRDefault="00BA0236" w:rsidP="00B32914">
            <w:pPr>
              <w:spacing w:before="60" w:after="60"/>
              <w:jc w:val="center"/>
              <w:rPr>
                <w:b/>
                <w:bCs/>
              </w:rPr>
            </w:pPr>
            <w:r w:rsidRPr="00B32914">
              <w:t>pomorskie</w:t>
            </w:r>
          </w:p>
        </w:tc>
        <w:tc>
          <w:tcPr>
            <w:tcW w:w="4248" w:type="dxa"/>
            <w:vAlign w:val="center"/>
          </w:tcPr>
          <w:p w14:paraId="411AF6CD" w14:textId="77777777" w:rsidR="00BA0236" w:rsidRPr="00B32914" w:rsidRDefault="00BA0236" w:rsidP="00B32914">
            <w:pPr>
              <w:spacing w:before="60" w:after="60"/>
              <w:jc w:val="center"/>
            </w:pPr>
            <w:r w:rsidRPr="00B32914">
              <w:t>0,30</w:t>
            </w:r>
          </w:p>
        </w:tc>
      </w:tr>
      <w:tr w:rsidR="00BA0236" w:rsidRPr="00B32914" w14:paraId="3D80B88A" w14:textId="77777777" w:rsidTr="00B32914">
        <w:tc>
          <w:tcPr>
            <w:tcW w:w="4247" w:type="dxa"/>
          </w:tcPr>
          <w:p w14:paraId="02E60D48" w14:textId="77777777" w:rsidR="00BA0236" w:rsidRPr="00B32914" w:rsidRDefault="00BA0236" w:rsidP="00B32914">
            <w:pPr>
              <w:spacing w:before="60" w:after="60"/>
              <w:jc w:val="center"/>
              <w:rPr>
                <w:b/>
                <w:bCs/>
              </w:rPr>
            </w:pPr>
            <w:r w:rsidRPr="00B32914">
              <w:t>warmińsko-mazurskie</w:t>
            </w:r>
          </w:p>
        </w:tc>
        <w:tc>
          <w:tcPr>
            <w:tcW w:w="4248" w:type="dxa"/>
            <w:vAlign w:val="center"/>
          </w:tcPr>
          <w:p w14:paraId="4E9822ED" w14:textId="77777777" w:rsidR="00BA0236" w:rsidRPr="00B32914" w:rsidRDefault="00BA0236" w:rsidP="00B32914">
            <w:pPr>
              <w:spacing w:before="60" w:after="60"/>
              <w:jc w:val="center"/>
            </w:pPr>
            <w:r w:rsidRPr="00B32914">
              <w:t>0,28</w:t>
            </w:r>
          </w:p>
        </w:tc>
      </w:tr>
    </w:tbl>
    <w:p w14:paraId="0E3459D5" w14:textId="77777777" w:rsidR="00BA0236" w:rsidRPr="007C28CC" w:rsidRDefault="00BA0236" w:rsidP="00E8074C">
      <w:pPr>
        <w:pStyle w:val="ReportLevel3"/>
        <w:numPr>
          <w:ilvl w:val="2"/>
          <w:numId w:val="9"/>
        </w:numPr>
      </w:pPr>
      <w:r w:rsidRPr="007C28CC">
        <w:lastRenderedPageBreak/>
        <w:t>Klasa 7 – użytki zielone</w:t>
      </w:r>
    </w:p>
    <w:p w14:paraId="0966EFBD" w14:textId="77777777" w:rsidR="00BA0236" w:rsidRPr="007C28CC" w:rsidRDefault="00BA0236" w:rsidP="007C28CC">
      <w:pPr>
        <w:pStyle w:val="ReportText"/>
        <w:spacing w:before="120" w:after="120"/>
      </w:pPr>
      <w:r w:rsidRPr="007C28CC">
        <w:t>W zależności od sposobu oddziaływania powodzi potencjalne straty powodziowe</w:t>
      </w:r>
      <w:r w:rsidRPr="007C28CC">
        <w:br/>
        <w:t>w klasie 7 można podzielić na dwa rodzaje:</w:t>
      </w:r>
    </w:p>
    <w:p w14:paraId="4D07D158" w14:textId="77777777" w:rsidR="00BA0236" w:rsidRPr="00A26088" w:rsidRDefault="00BA0236" w:rsidP="00A30588">
      <w:pPr>
        <w:pStyle w:val="Akapitzlist"/>
        <w:numPr>
          <w:ilvl w:val="0"/>
          <w:numId w:val="29"/>
        </w:numPr>
        <w:autoSpaceDE w:val="0"/>
        <w:autoSpaceDN w:val="0"/>
        <w:adjustRightInd w:val="0"/>
        <w:ind w:left="567" w:hanging="425"/>
        <w:jc w:val="both"/>
        <w:rPr>
          <w:sz w:val="24"/>
          <w:szCs w:val="24"/>
        </w:rPr>
      </w:pPr>
      <w:r w:rsidRPr="00A26088">
        <w:rPr>
          <w:sz w:val="24"/>
          <w:szCs w:val="24"/>
        </w:rPr>
        <w:t>straty bezpośrednie – najważniejsze z nich to: straty w biomasie, zniszczenie gleby, np. przez procesy spłukiwania, erozji, zaburzenie stosunków wodnych</w:t>
      </w:r>
      <w:r w:rsidRPr="00A26088">
        <w:rPr>
          <w:sz w:val="24"/>
          <w:szCs w:val="24"/>
        </w:rPr>
        <w:br/>
        <w:t>w glebie, zanieczyszczenie gleby;</w:t>
      </w:r>
    </w:p>
    <w:p w14:paraId="3FF6F2D6" w14:textId="77777777" w:rsidR="00BA0236" w:rsidRPr="00A26088" w:rsidRDefault="00BA0236" w:rsidP="00A30588">
      <w:pPr>
        <w:pStyle w:val="Akapitzlist"/>
        <w:numPr>
          <w:ilvl w:val="0"/>
          <w:numId w:val="29"/>
        </w:numPr>
        <w:autoSpaceDE w:val="0"/>
        <w:autoSpaceDN w:val="0"/>
        <w:adjustRightInd w:val="0"/>
        <w:ind w:left="567" w:hanging="425"/>
        <w:jc w:val="both"/>
        <w:rPr>
          <w:sz w:val="24"/>
          <w:szCs w:val="24"/>
        </w:rPr>
      </w:pPr>
      <w:r w:rsidRPr="00A26088">
        <w:rPr>
          <w:sz w:val="24"/>
          <w:szCs w:val="24"/>
        </w:rPr>
        <w:t>straty pośrednie – najważniejsze z nich to: wydatki na uporządkowanie zniszczeń, straty w produkcji zwierzęcej, np. obniżenie plonów ma wpływ na dodatkowe wydatki lub spadek hodowli.</w:t>
      </w:r>
    </w:p>
    <w:p w14:paraId="7FCEDBB9" w14:textId="77777777" w:rsidR="00BA0236" w:rsidRPr="00A26088" w:rsidRDefault="00BA0236" w:rsidP="007C28CC">
      <w:pPr>
        <w:pStyle w:val="ReportText"/>
        <w:spacing w:before="120" w:after="120"/>
        <w:rPr>
          <w:szCs w:val="24"/>
        </w:rPr>
      </w:pPr>
      <w:r w:rsidRPr="00A26088">
        <w:rPr>
          <w:szCs w:val="24"/>
        </w:rPr>
        <w:t>Potencjalne straty powodziowe w klasie 7 to suma strat bezpośrednich i pośrednich.</w:t>
      </w:r>
    </w:p>
    <w:p w14:paraId="3DD03C32" w14:textId="77777777" w:rsidR="00BA0236" w:rsidRPr="007C28CC" w:rsidRDefault="00BA0236" w:rsidP="007C28CC">
      <w:pPr>
        <w:pStyle w:val="ReportText"/>
        <w:spacing w:before="120" w:after="120"/>
      </w:pPr>
      <w:r w:rsidRPr="007C28CC">
        <w:t>Wielkość jednostkowych strat powodziowych dla użytków zielonych przyjęto w oparciu o metodykę opracowania map zagrożenia powodziowego i map ryzyka powodziowego</w:t>
      </w:r>
      <w:r w:rsidRPr="007C28CC">
        <w:br/>
        <w:t>w II cyklu planistycznym oraz zgodnie z podejściem z PZRP dla obszarów dorzeczy</w:t>
      </w:r>
      <w:r w:rsidRPr="007C28CC">
        <w:br/>
        <w:t>i Regionów Wodnych, wartości strat podległy indeksacji o wskaźnik cen globalnej produkcji rolniczej publikowany przez GUS.</w:t>
      </w:r>
    </w:p>
    <w:p w14:paraId="78A22AE5" w14:textId="7F476D41" w:rsidR="00BA0236" w:rsidRPr="007C28CC" w:rsidRDefault="00BA0236" w:rsidP="007C28CC">
      <w:pPr>
        <w:pStyle w:val="ReportText"/>
        <w:spacing w:before="120" w:after="120"/>
      </w:pPr>
      <w:r w:rsidRPr="007C28CC">
        <w:t xml:space="preserve">Wartość potencjalnych jednostkowych strat powodziowych dla gruntów ornych i upraw trwałych przedstawiono w </w:t>
      </w:r>
      <w:r w:rsidRPr="007C28CC">
        <w:fldChar w:fldCharType="begin"/>
      </w:r>
      <w:r w:rsidRPr="007C28CC">
        <w:instrText xml:space="preserve"> REF _Ref79490420 \h </w:instrText>
      </w:r>
      <w:r w:rsidRPr="007C28CC">
        <w:fldChar w:fldCharType="separate"/>
      </w:r>
      <w:r w:rsidR="00FD3F9A" w:rsidRPr="00A30588">
        <w:rPr>
          <w:szCs w:val="28"/>
        </w:rPr>
        <w:t xml:space="preserve">Tabela </w:t>
      </w:r>
      <w:r w:rsidR="00FD3F9A">
        <w:rPr>
          <w:noProof/>
          <w:szCs w:val="28"/>
        </w:rPr>
        <w:t>8</w:t>
      </w:r>
      <w:r w:rsidRPr="007C28CC">
        <w:fldChar w:fldCharType="end"/>
      </w:r>
      <w:r w:rsidRPr="007C28CC">
        <w:t>.</w:t>
      </w:r>
    </w:p>
    <w:p w14:paraId="00548024" w14:textId="5DFBC8E3" w:rsidR="00BA0236" w:rsidRPr="00A30588" w:rsidRDefault="00BA0236" w:rsidP="00A30588">
      <w:pPr>
        <w:pStyle w:val="Legenda"/>
        <w:tabs>
          <w:tab w:val="clear" w:pos="1080"/>
        </w:tabs>
        <w:ind w:left="1134" w:hanging="1134"/>
        <w:rPr>
          <w:sz w:val="24"/>
          <w:szCs w:val="28"/>
        </w:rPr>
      </w:pPr>
      <w:bookmarkStart w:id="155" w:name="_Ref79490420"/>
      <w:bookmarkStart w:id="156" w:name="_Toc80604818"/>
      <w:r w:rsidRPr="00A30588">
        <w:rPr>
          <w:sz w:val="24"/>
          <w:szCs w:val="28"/>
        </w:rPr>
        <w:t xml:space="preserve">Tabela </w:t>
      </w:r>
      <w:r w:rsidR="00295C25" w:rsidRPr="00A30588">
        <w:rPr>
          <w:sz w:val="24"/>
          <w:szCs w:val="28"/>
        </w:rPr>
        <w:fldChar w:fldCharType="begin"/>
      </w:r>
      <w:r w:rsidR="00295C25" w:rsidRPr="00A30588">
        <w:rPr>
          <w:sz w:val="24"/>
          <w:szCs w:val="28"/>
        </w:rPr>
        <w:instrText xml:space="preserve"> SEQ Tabela \* ARABIC </w:instrText>
      </w:r>
      <w:r w:rsidR="00295C25" w:rsidRPr="00A30588">
        <w:rPr>
          <w:sz w:val="24"/>
          <w:szCs w:val="28"/>
        </w:rPr>
        <w:fldChar w:fldCharType="separate"/>
      </w:r>
      <w:r w:rsidR="00FD3F9A">
        <w:rPr>
          <w:noProof/>
          <w:sz w:val="24"/>
          <w:szCs w:val="28"/>
        </w:rPr>
        <w:t>8</w:t>
      </w:r>
      <w:r w:rsidR="00295C25" w:rsidRPr="00A30588">
        <w:rPr>
          <w:noProof/>
          <w:sz w:val="24"/>
          <w:szCs w:val="28"/>
        </w:rPr>
        <w:fldChar w:fldCharType="end"/>
      </w:r>
      <w:bookmarkEnd w:id="155"/>
      <w:r w:rsidRPr="00A30588">
        <w:rPr>
          <w:sz w:val="24"/>
          <w:szCs w:val="28"/>
        </w:rPr>
        <w:tab/>
        <w:t xml:space="preserve">Wartość potencjalnych strat powodziowych dla </w:t>
      </w:r>
      <w:r w:rsidR="00E419E1">
        <w:rPr>
          <w:sz w:val="24"/>
          <w:szCs w:val="28"/>
        </w:rPr>
        <w:t>użytków zielonych</w:t>
      </w:r>
      <w:bookmarkEnd w:id="156"/>
    </w:p>
    <w:tbl>
      <w:tblPr>
        <w:tblW w:w="0" w:type="auto"/>
        <w:tblBorders>
          <w:top w:val="single" w:sz="4" w:space="0" w:color="A9DCF3"/>
          <w:left w:val="single" w:sz="4" w:space="0" w:color="A9DCF3"/>
          <w:bottom w:val="single" w:sz="4" w:space="0" w:color="A9DCF3"/>
          <w:right w:val="single" w:sz="4" w:space="0" w:color="A9DCF3"/>
          <w:insideH w:val="single" w:sz="4" w:space="0" w:color="A9DCF3"/>
          <w:insideV w:val="single" w:sz="4" w:space="0" w:color="A9DCF3"/>
        </w:tblBorders>
        <w:tblLook w:val="00A0" w:firstRow="1" w:lastRow="0" w:firstColumn="1" w:lastColumn="0" w:noHBand="0" w:noVBand="0"/>
      </w:tblPr>
      <w:tblGrid>
        <w:gridCol w:w="3973"/>
        <w:gridCol w:w="3956"/>
      </w:tblGrid>
      <w:tr w:rsidR="00BA0236" w:rsidRPr="00B32914" w14:paraId="2EF4844D" w14:textId="77777777" w:rsidTr="00E64148">
        <w:trPr>
          <w:trHeight w:val="325"/>
        </w:trPr>
        <w:tc>
          <w:tcPr>
            <w:tcW w:w="3973" w:type="dxa"/>
            <w:tcBorders>
              <w:bottom w:val="single" w:sz="12" w:space="0" w:color="7ECBED"/>
            </w:tcBorders>
            <w:shd w:val="clear" w:color="auto" w:fill="D4EDF9"/>
          </w:tcPr>
          <w:p w14:paraId="44C49CC0" w14:textId="77777777" w:rsidR="00BA0236" w:rsidRPr="00B32914" w:rsidRDefault="00BA0236" w:rsidP="00B32914">
            <w:pPr>
              <w:spacing w:before="60" w:after="60"/>
              <w:jc w:val="center"/>
              <w:rPr>
                <w:b/>
                <w:bCs/>
                <w:highlight w:val="green"/>
              </w:rPr>
            </w:pPr>
            <w:r w:rsidRPr="00B32914">
              <w:t>Województwo</w:t>
            </w:r>
          </w:p>
        </w:tc>
        <w:tc>
          <w:tcPr>
            <w:tcW w:w="3956" w:type="dxa"/>
            <w:tcBorders>
              <w:bottom w:val="single" w:sz="12" w:space="0" w:color="7ECBED"/>
            </w:tcBorders>
            <w:shd w:val="clear" w:color="auto" w:fill="D4EDF9"/>
          </w:tcPr>
          <w:p w14:paraId="45BE4A04" w14:textId="77777777" w:rsidR="00BA0236" w:rsidRPr="00B32914" w:rsidRDefault="00BA0236" w:rsidP="00B32914">
            <w:pPr>
              <w:autoSpaceDE w:val="0"/>
              <w:autoSpaceDN w:val="0"/>
              <w:adjustRightInd w:val="0"/>
              <w:jc w:val="center"/>
              <w:rPr>
                <w:b/>
                <w:bCs/>
              </w:rPr>
            </w:pPr>
            <w:r w:rsidRPr="00B32914">
              <w:t>Potencjalna jednostkowa</w:t>
            </w:r>
          </w:p>
          <w:p w14:paraId="302A62A1" w14:textId="77777777" w:rsidR="00BA0236" w:rsidRPr="00B32914" w:rsidRDefault="00BA0236" w:rsidP="00B32914">
            <w:pPr>
              <w:autoSpaceDE w:val="0"/>
              <w:autoSpaceDN w:val="0"/>
              <w:adjustRightInd w:val="0"/>
              <w:jc w:val="center"/>
              <w:rPr>
                <w:b/>
                <w:bCs/>
              </w:rPr>
            </w:pPr>
            <w:r w:rsidRPr="00B32914">
              <w:t>strata powodziowa w 2019 r.</w:t>
            </w:r>
          </w:p>
          <w:p w14:paraId="651698E5" w14:textId="77777777" w:rsidR="00BA0236" w:rsidRPr="00B32914" w:rsidRDefault="00BA0236" w:rsidP="00B32914">
            <w:pPr>
              <w:autoSpaceDE w:val="0"/>
              <w:autoSpaceDN w:val="0"/>
              <w:adjustRightInd w:val="0"/>
              <w:jc w:val="center"/>
              <w:rPr>
                <w:b/>
                <w:bCs/>
              </w:rPr>
            </w:pPr>
            <w:r w:rsidRPr="00B32914">
              <w:t>[PLN/m</w:t>
            </w:r>
            <w:r w:rsidRPr="00B32914">
              <w:rPr>
                <w:vertAlign w:val="superscript"/>
              </w:rPr>
              <w:t>2</w:t>
            </w:r>
            <w:r w:rsidRPr="00B32914">
              <w:t>]</w:t>
            </w:r>
          </w:p>
        </w:tc>
      </w:tr>
      <w:tr w:rsidR="00BA0236" w:rsidRPr="00B32914" w14:paraId="664484DC" w14:textId="77777777" w:rsidTr="00E64148">
        <w:tc>
          <w:tcPr>
            <w:tcW w:w="3973" w:type="dxa"/>
          </w:tcPr>
          <w:p w14:paraId="75844228" w14:textId="77777777" w:rsidR="00BA0236" w:rsidRPr="00B32914" w:rsidRDefault="00BA0236" w:rsidP="00B32914">
            <w:pPr>
              <w:spacing w:before="60" w:after="60"/>
              <w:jc w:val="center"/>
              <w:rPr>
                <w:b/>
                <w:bCs/>
              </w:rPr>
            </w:pPr>
            <w:r w:rsidRPr="00B32914">
              <w:t>pomorskie</w:t>
            </w:r>
          </w:p>
        </w:tc>
        <w:tc>
          <w:tcPr>
            <w:tcW w:w="3956" w:type="dxa"/>
            <w:vAlign w:val="center"/>
          </w:tcPr>
          <w:p w14:paraId="6DEADD9B" w14:textId="77777777" w:rsidR="00BA0236" w:rsidRPr="00B32914" w:rsidRDefault="00BA0236" w:rsidP="00B32914">
            <w:pPr>
              <w:spacing w:before="60" w:after="60"/>
              <w:jc w:val="center"/>
            </w:pPr>
            <w:r w:rsidRPr="00B32914">
              <w:t>0,09</w:t>
            </w:r>
          </w:p>
        </w:tc>
      </w:tr>
      <w:tr w:rsidR="00BA0236" w:rsidRPr="00B32914" w14:paraId="0EDF32B4" w14:textId="77777777" w:rsidTr="00E64148">
        <w:tc>
          <w:tcPr>
            <w:tcW w:w="3973" w:type="dxa"/>
          </w:tcPr>
          <w:p w14:paraId="6DA9C802" w14:textId="77777777" w:rsidR="00BA0236" w:rsidRPr="00B32914" w:rsidRDefault="00BA0236" w:rsidP="00B32914">
            <w:pPr>
              <w:spacing w:before="60" w:after="60"/>
              <w:jc w:val="center"/>
              <w:rPr>
                <w:b/>
                <w:bCs/>
              </w:rPr>
            </w:pPr>
            <w:r w:rsidRPr="00B32914">
              <w:t>warmińsko-mazurskie</w:t>
            </w:r>
          </w:p>
        </w:tc>
        <w:tc>
          <w:tcPr>
            <w:tcW w:w="3956" w:type="dxa"/>
            <w:vAlign w:val="center"/>
          </w:tcPr>
          <w:p w14:paraId="256AD7A2" w14:textId="77777777" w:rsidR="00BA0236" w:rsidRPr="00B32914" w:rsidRDefault="00BA0236" w:rsidP="00B32914">
            <w:pPr>
              <w:spacing w:before="60" w:after="60"/>
              <w:jc w:val="center"/>
            </w:pPr>
            <w:r w:rsidRPr="00B32914">
              <w:t>0,11</w:t>
            </w:r>
          </w:p>
        </w:tc>
      </w:tr>
    </w:tbl>
    <w:p w14:paraId="544E8359" w14:textId="77777777" w:rsidR="00E64148" w:rsidRDefault="00E64148" w:rsidP="00E64148">
      <w:pPr>
        <w:pStyle w:val="ReportLevel3"/>
        <w:numPr>
          <w:ilvl w:val="2"/>
          <w:numId w:val="9"/>
        </w:numPr>
      </w:pPr>
      <w:bookmarkStart w:id="157" w:name="_Hlk80267501"/>
      <w:r w:rsidRPr="00EF2F98">
        <w:t>Metoda wyceny materialnych strat powodziowych</w:t>
      </w:r>
    </w:p>
    <w:p w14:paraId="3C35331B" w14:textId="77777777" w:rsidR="00E64148" w:rsidRDefault="00E64148" w:rsidP="00E64148">
      <w:pPr>
        <w:pStyle w:val="11StopPowodzi-Listawypunktowana"/>
        <w:numPr>
          <w:ilvl w:val="0"/>
          <w:numId w:val="0"/>
        </w:numPr>
        <w:spacing w:before="0" w:after="160" w:line="240" w:lineRule="auto"/>
        <w:rPr>
          <w:color w:val="FF0000"/>
          <w:lang w:eastAsia="zh-CN"/>
        </w:rPr>
      </w:pPr>
      <w:r w:rsidRPr="002E661D">
        <w:rPr>
          <w:lang w:eastAsia="zh-CN"/>
        </w:rPr>
        <w:t>Do określenia poziomu ryzyka dla poszczególnych wskaźników związanych z potencjalnymi negatywnymi konsekwencjami powodzi zastosowano metodę opartą na średniej stracie rocznej (ang. Annual Average Damage – AAD). Jest to jedna z podstawowych metod wykorzystywanych w analizach ryzyka powodziowego</w:t>
      </w:r>
      <w:r>
        <w:rPr>
          <w:lang w:eastAsia="zh-CN"/>
        </w:rPr>
        <w:t xml:space="preserve">. </w:t>
      </w:r>
    </w:p>
    <w:p w14:paraId="5FF6611B" w14:textId="77777777" w:rsidR="00E64148" w:rsidRPr="002E661D" w:rsidRDefault="00E64148" w:rsidP="00E64148">
      <w:pPr>
        <w:pStyle w:val="11StopPowodzi-Listawypunktowana"/>
        <w:numPr>
          <w:ilvl w:val="0"/>
          <w:numId w:val="0"/>
        </w:numPr>
        <w:spacing w:before="0" w:after="160" w:line="240" w:lineRule="auto"/>
        <w:rPr>
          <w:lang w:eastAsia="zh-CN"/>
        </w:rPr>
      </w:pPr>
      <w:r w:rsidRPr="002E661D">
        <w:rPr>
          <w:lang w:eastAsia="zh-CN"/>
        </w:rPr>
        <w:t xml:space="preserve">Wyznaczenie ryzyka poprzedza skonstruowanie krzywej prawdopodobieństwo–straty i wymaga dwóch rodzajów danych: </w:t>
      </w:r>
    </w:p>
    <w:p w14:paraId="09F841E5" w14:textId="77777777" w:rsidR="00E64148" w:rsidRDefault="00E64148" w:rsidP="00A30588">
      <w:pPr>
        <w:pStyle w:val="11StopPowodzi-Listawypunktowana"/>
        <w:numPr>
          <w:ilvl w:val="0"/>
          <w:numId w:val="54"/>
        </w:numPr>
        <w:spacing w:before="0" w:after="160" w:line="240" w:lineRule="auto"/>
        <w:ind w:left="567" w:hanging="425"/>
        <w:rPr>
          <w:lang w:eastAsia="zh-CN"/>
        </w:rPr>
      </w:pPr>
      <w:r w:rsidRPr="002E661D">
        <w:rPr>
          <w:lang w:eastAsia="zh-CN"/>
        </w:rPr>
        <w:t xml:space="preserve">hydrologicznych; </w:t>
      </w:r>
    </w:p>
    <w:p w14:paraId="1404B60D" w14:textId="77777777" w:rsidR="00E64148" w:rsidRPr="002E661D" w:rsidRDefault="00E64148" w:rsidP="00A30588">
      <w:pPr>
        <w:pStyle w:val="11StopPowodzi-Listawypunktowana"/>
        <w:numPr>
          <w:ilvl w:val="0"/>
          <w:numId w:val="54"/>
        </w:numPr>
        <w:spacing w:before="0" w:after="160" w:line="240" w:lineRule="auto"/>
        <w:ind w:left="567" w:hanging="425"/>
        <w:rPr>
          <w:lang w:eastAsia="zh-CN"/>
        </w:rPr>
      </w:pPr>
      <w:r w:rsidRPr="002E661D">
        <w:rPr>
          <w:lang w:eastAsia="zh-CN"/>
        </w:rPr>
        <w:t xml:space="preserve">ekonomicznych. </w:t>
      </w:r>
    </w:p>
    <w:p w14:paraId="13C8CB9F" w14:textId="77777777" w:rsidR="00E64148" w:rsidRPr="00CD701B" w:rsidRDefault="00E64148" w:rsidP="00E64148">
      <w:pPr>
        <w:pStyle w:val="11StopPowodzi-Listawypunktowana"/>
        <w:numPr>
          <w:ilvl w:val="0"/>
          <w:numId w:val="0"/>
        </w:numPr>
        <w:spacing w:before="0" w:after="160" w:line="240" w:lineRule="auto"/>
        <w:rPr>
          <w:lang w:eastAsia="zh-CN"/>
        </w:rPr>
      </w:pPr>
      <w:r w:rsidRPr="00CD701B">
        <w:rPr>
          <w:lang w:eastAsia="zh-CN"/>
        </w:rPr>
        <w:t xml:space="preserve">W pierwszej grupie zawierają się standardowe krzywe konsumcyjne oraz krzywe prawdopodobieństwa przepływów maksymalnych. Druga grupa jest reprezentowana przez zależności między stratami a rzędną zwierciadła wody (rysunek 1.11C). Wzajemne relacje między tymi trzema charakterystykami pozwalają skonstruować krzywą, którą na potrzeby tego opracowania określono mianem krzywej prawdopodobieństwo–straty, czyli EPD (ang. exceedance probability vs. damage). </w:t>
      </w:r>
    </w:p>
    <w:p w14:paraId="19383D66" w14:textId="77777777" w:rsidR="00E64148" w:rsidRPr="00CD701B" w:rsidRDefault="00E64148" w:rsidP="00E64148">
      <w:pPr>
        <w:pStyle w:val="11StopPowodzi-Listawypunktowana"/>
        <w:numPr>
          <w:ilvl w:val="0"/>
          <w:numId w:val="0"/>
        </w:numPr>
        <w:spacing w:before="0" w:after="160" w:line="240" w:lineRule="auto"/>
        <w:rPr>
          <w:lang w:eastAsia="zh-CN"/>
        </w:rPr>
      </w:pPr>
      <w:r w:rsidRPr="00CD701B">
        <w:rPr>
          <w:lang w:eastAsia="zh-CN"/>
        </w:rPr>
        <w:t xml:space="preserve">Po skonstruowaniu krzywej EPD można przejść do wyznaczania średniej straty rocznej (AAD), która jest definiowana jako pole pod tą krzywą. Zazwyczaj krzywa EPD jest </w:t>
      </w:r>
      <w:r w:rsidRPr="00CD701B">
        <w:rPr>
          <w:lang w:eastAsia="zh-CN"/>
        </w:rPr>
        <w:lastRenderedPageBreak/>
        <w:t>wyznaczana na podstawie zbioru kilku wyznaczonych wartości (Pi, D(Pi)). Pi oznacza prawdopodobieństwo przewyższenia dla i-tego scenariusza a D(Pi) - straty wyrażone za pomocą odpowiedniej miary (np. liczba ludzi, liczba budynków objętych zalewem itp.) Pole określające AAD obliczane jest w sposób przybliżony za pomocą następujących wzorów:</w:t>
      </w:r>
    </w:p>
    <w:p w14:paraId="1D983318" w14:textId="77777777" w:rsidR="00E64148" w:rsidRPr="002E661D" w:rsidRDefault="004C4DA7" w:rsidP="00E64148">
      <w:pPr>
        <w:pStyle w:val="11StopPowodzi-Listawypunktowana"/>
        <w:numPr>
          <w:ilvl w:val="0"/>
          <w:numId w:val="0"/>
        </w:numPr>
        <w:spacing w:before="0" w:after="160" w:line="240" w:lineRule="auto"/>
        <w:rPr>
          <w:lang w:eastAsia="zh-CN"/>
        </w:rPr>
      </w:pPr>
      <m:oMathPara>
        <m:oMath>
          <m:bar>
            <m:barPr>
              <m:pos m:val="top"/>
              <m:ctrlPr>
                <w:rPr>
                  <w:rFonts w:ascii="Cambria Math" w:hAnsi="Cambria Math"/>
                  <w:i/>
                  <w:lang w:eastAsia="zh-CN"/>
                </w:rPr>
              </m:ctrlPr>
            </m:barPr>
            <m:e>
              <m:r>
                <w:rPr>
                  <w:rFonts w:ascii="Cambria Math" w:hAnsi="Cambria Math"/>
                  <w:lang w:eastAsia="zh-CN"/>
                </w:rPr>
                <m:t>D</m:t>
              </m:r>
            </m:e>
          </m:bar>
          <m:r>
            <w:rPr>
              <w:rFonts w:ascii="Cambria Math" w:hAnsi="Cambria Math"/>
              <w:lang w:eastAsia="zh-CN"/>
            </w:rPr>
            <m:t>=</m:t>
          </m:r>
          <m:nary>
            <m:naryPr>
              <m:chr m:val="∑"/>
              <m:limLoc m:val="undOvr"/>
              <m:ctrlPr>
                <w:rPr>
                  <w:rFonts w:ascii="Cambria Math" w:hAnsi="Cambria Math"/>
                  <w:i/>
                  <w:lang w:eastAsia="zh-CN"/>
                </w:rPr>
              </m:ctrlPr>
            </m:naryPr>
            <m:sub>
              <m:r>
                <w:rPr>
                  <w:rFonts w:ascii="Cambria Math" w:hAnsi="Cambria Math"/>
                  <w:lang w:eastAsia="zh-CN"/>
                </w:rPr>
                <m:t>i=1</m:t>
              </m:r>
            </m:sub>
            <m:sup>
              <m:r>
                <w:rPr>
                  <w:rFonts w:ascii="Cambria Math" w:hAnsi="Cambria Math"/>
                  <w:lang w:eastAsia="zh-CN"/>
                </w:rPr>
                <m:t>k</m:t>
              </m:r>
            </m:sup>
            <m:e>
              <m:r>
                <w:rPr>
                  <w:rFonts w:ascii="Cambria Math" w:hAnsi="Cambria Math"/>
                  <w:lang w:eastAsia="zh-CN"/>
                </w:rPr>
                <m:t>D</m:t>
              </m:r>
              <m:d>
                <m:dPr>
                  <m:begChr m:val="["/>
                  <m:endChr m:val="]"/>
                  <m:ctrlPr>
                    <w:rPr>
                      <w:rFonts w:ascii="Cambria Math" w:hAnsi="Cambria Math"/>
                      <w:i/>
                      <w:lang w:eastAsia="zh-CN"/>
                    </w:rPr>
                  </m:ctrlPr>
                </m:dPr>
                <m:e>
                  <m:r>
                    <w:rPr>
                      <w:rFonts w:ascii="Cambria Math" w:hAnsi="Cambria Math"/>
                      <w:lang w:eastAsia="zh-CN"/>
                    </w:rPr>
                    <m:t>i</m:t>
                  </m:r>
                </m:e>
              </m:d>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P</m:t>
                  </m:r>
                </m:e>
                <m:sub>
                  <m:r>
                    <w:rPr>
                      <w:rFonts w:ascii="Cambria Math" w:hAnsi="Cambria Math"/>
                      <w:lang w:eastAsia="zh-CN"/>
                    </w:rPr>
                    <m:t>i</m:t>
                  </m:r>
                </m:sub>
              </m:sSub>
            </m:e>
          </m:nary>
        </m:oMath>
      </m:oMathPara>
    </w:p>
    <w:p w14:paraId="72ECECAB" w14:textId="77777777" w:rsidR="00E64148" w:rsidRPr="00A30588" w:rsidRDefault="00E64148" w:rsidP="00E64148">
      <w:pPr>
        <w:pStyle w:val="Tekstpodstawowy"/>
      </w:pPr>
      <w:r w:rsidRPr="00A30588">
        <w:t>W powyższym wzorze, wielkość D[i] jest średnią wielkością strat:</w:t>
      </w:r>
    </w:p>
    <w:p w14:paraId="06404ADE" w14:textId="77777777" w:rsidR="00E64148" w:rsidRDefault="00E64148" w:rsidP="00E64148">
      <w:pPr>
        <w:pStyle w:val="Tekstpodstawowy"/>
        <w:rPr>
          <w:rFonts w:ascii="Cambria Math" w:hAnsi="Cambria Math"/>
          <w:oMath/>
        </w:rPr>
      </w:pPr>
      <m:oMathPara>
        <m:oMath>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i</m:t>
              </m:r>
            </m:sub>
          </m:sSub>
          <m:r>
            <m:rPr>
              <m:sty m:val="p"/>
            </m:rPr>
            <w:rPr>
              <w:rFonts w:ascii="Cambria Math" w:hAnsi="Cambria Math"/>
            </w:rPr>
            <m:t>=</m:t>
          </m:r>
          <m:d>
            <m:dPr>
              <m:begChr m:val="|"/>
              <m:endChr m:val="|"/>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i</m:t>
                  </m:r>
                  <m:r>
                    <m:rPr>
                      <m:sty m:val="p"/>
                    </m:rPr>
                    <w:rPr>
                      <w:rFonts w:ascii="Cambria Math" w:hAnsi="Cambria Math"/>
                    </w:rPr>
                    <m:t>-1</m:t>
                  </m:r>
                </m:sub>
              </m:sSub>
            </m:e>
          </m:d>
        </m:oMath>
      </m:oMathPara>
    </w:p>
    <w:p w14:paraId="6B84EC1B" w14:textId="77777777" w:rsidR="00E64148" w:rsidRDefault="00E64148" w:rsidP="00E64148">
      <w:pPr>
        <w:pStyle w:val="11StopPowodzi-Listawypunktowana"/>
        <w:numPr>
          <w:ilvl w:val="0"/>
          <w:numId w:val="0"/>
        </w:numPr>
        <w:spacing w:before="0" w:after="160" w:line="240" w:lineRule="auto"/>
        <w:rPr>
          <w:lang w:eastAsia="zh-CN"/>
        </w:rPr>
      </w:pPr>
      <w:r w:rsidRPr="00195E79">
        <w:rPr>
          <w:lang w:eastAsia="zh-CN"/>
        </w:rPr>
        <w:t xml:space="preserve">Metodyka zaimplementowana w analizach rozkładu zagrożenia powodziowego </w:t>
      </w:r>
      <w:r>
        <w:rPr>
          <w:lang w:eastAsia="zh-CN"/>
        </w:rPr>
        <w:t>a</w:t>
      </w:r>
      <w:r w:rsidRPr="00195E79">
        <w:rPr>
          <w:lang w:eastAsia="zh-CN"/>
        </w:rPr>
        <w:t>PZRP</w:t>
      </w:r>
      <w:r>
        <w:rPr>
          <w:lang w:eastAsia="zh-CN"/>
        </w:rPr>
        <w:t>M</w:t>
      </w:r>
      <w:r w:rsidRPr="00195E79">
        <w:rPr>
          <w:lang w:eastAsia="zh-CN"/>
        </w:rPr>
        <w:t xml:space="preserve"> nieco różni się od podstawowych elementów wyznaczania AAD.</w:t>
      </w:r>
      <w:r>
        <w:rPr>
          <w:lang w:eastAsia="zh-CN"/>
        </w:rPr>
        <w:t xml:space="preserve"> Analogicznie do obliczeń AAD w aPZRP w</w:t>
      </w:r>
      <w:r w:rsidRPr="00195E79">
        <w:rPr>
          <w:lang w:eastAsia="zh-CN"/>
        </w:rPr>
        <w:t xml:space="preserve"> analizach nie są wykorzystywane pojedyncze krzywe prawdopodobieństwa przepływów maksymalnych. Zamiast tego opracowane zostały kompleksowe profile przepływów maksymalnych prawdopodobnych. Natomiast krzywe przepływów reprezentowane są przez modele matematyczne wiążące przepływy i stany wody. Pozwala to na całościowe uwzględnienie złożoności topograficznej cieku oraz specyfiki funkcjonowania obiektów hydrotechnicznych. Szczegółowość informacji hydrologicznej jest znacznie większa niż wynikałoby to z podstawowych założeń AAD.</w:t>
      </w:r>
    </w:p>
    <w:p w14:paraId="6562B042" w14:textId="77777777" w:rsidR="00E64148" w:rsidRDefault="00E64148" w:rsidP="00E64148">
      <w:pPr>
        <w:pStyle w:val="11StopPowodzi-Listawypunktowana"/>
        <w:numPr>
          <w:ilvl w:val="0"/>
          <w:numId w:val="0"/>
        </w:numPr>
        <w:spacing w:before="0" w:after="160" w:line="240" w:lineRule="auto"/>
        <w:rPr>
          <w:lang w:eastAsia="zh-CN"/>
        </w:rPr>
      </w:pPr>
      <w:r w:rsidRPr="00195E79">
        <w:rPr>
          <w:lang w:eastAsia="zh-CN"/>
        </w:rPr>
        <w:t xml:space="preserve">Implementacja modelowania matematycznego na bazie kompleksowych danych hydrologicznych pozwoliła na wyznaczanie zasięgów zalewu dla wybranych przepływów maksymalnych. W ramach projektu ISOK, stanowiącego podstawę realizacji </w:t>
      </w:r>
      <w:r>
        <w:rPr>
          <w:lang w:eastAsia="zh-CN"/>
        </w:rPr>
        <w:t>a</w:t>
      </w:r>
      <w:r w:rsidRPr="00195E79">
        <w:rPr>
          <w:lang w:eastAsia="zh-CN"/>
        </w:rPr>
        <w:t>PZRP</w:t>
      </w:r>
      <w:r>
        <w:rPr>
          <w:lang w:eastAsia="zh-CN"/>
        </w:rPr>
        <w:t>M</w:t>
      </w:r>
      <w:r w:rsidRPr="00195E79">
        <w:rPr>
          <w:lang w:eastAsia="zh-CN"/>
        </w:rPr>
        <w:t xml:space="preserve">, przyjęto, że będą to przepływy odpowiadające prawdopodobieństwu przekroczenia 1% oraz 0.2%. </w:t>
      </w:r>
    </w:p>
    <w:p w14:paraId="1610B5E9" w14:textId="7E76EBD9" w:rsidR="00E64148" w:rsidRDefault="00E64148" w:rsidP="00E64148">
      <w:pPr>
        <w:pStyle w:val="11StopPowodzi-Listawypunktowana"/>
        <w:numPr>
          <w:ilvl w:val="0"/>
          <w:numId w:val="0"/>
        </w:numPr>
        <w:spacing w:before="0" w:after="160" w:line="240" w:lineRule="auto"/>
        <w:rPr>
          <w:lang w:eastAsia="zh-CN"/>
        </w:rPr>
      </w:pPr>
      <w:r>
        <w:rPr>
          <w:lang w:eastAsia="zh-CN"/>
        </w:rPr>
        <w:t xml:space="preserve">W załączniku 6 – Analiza kosztów i korzyści zamieszczono wyliczenie AAD dla każdego, wyznaczonego obszaru problemowego w poszczególnych wariantach. Wyliczone w ten sposób potencjalne koszty wynikające ze strat powodziowych stały się podstawą do szacowania korzyści ekonomicznych, które dzięki realizacjom inwestycji uda się osiągnąć. W dalszej kolejności przeprowadzona analiza kosztów i korzyści dla każdego obszaru problemowego, która miała na celu wykazać, które przedsięwzięcia związane z ochroną przeciwpowodziową powinny zostać zrealizowane i dla których wariantów korzyści wszystkich użytkowników (zdyskontowane przy uwzględnieniu całkowitego cyklu życia przedsięwzięcia) przewyższają całkowite koszty. </w:t>
      </w:r>
    </w:p>
    <w:p w14:paraId="50CAE9FF" w14:textId="1C152060" w:rsidR="00E64148" w:rsidRDefault="00E64148" w:rsidP="00E64148">
      <w:pPr>
        <w:pStyle w:val="11StopPowodzi-Listawypunktowana"/>
        <w:numPr>
          <w:ilvl w:val="0"/>
          <w:numId w:val="0"/>
        </w:numPr>
        <w:spacing w:before="0" w:after="160" w:line="240" w:lineRule="auto"/>
        <w:rPr>
          <w:lang w:eastAsia="zh-CN"/>
        </w:rPr>
      </w:pPr>
      <w:r>
        <w:rPr>
          <w:lang w:eastAsia="zh-CN"/>
        </w:rPr>
        <w:t xml:space="preserve">Wyniki przeprowadzonych analiz kosztów i korzyści, a w szczególności wskaźnik B/C zostały wykorzystane w analizie wielokryterialnej. </w:t>
      </w:r>
    </w:p>
    <w:bookmarkEnd w:id="157"/>
    <w:p w14:paraId="23A8D67E" w14:textId="066A6811" w:rsidR="00BA0236" w:rsidRPr="007C28CC" w:rsidRDefault="00A26088" w:rsidP="00A30588">
      <w:pPr>
        <w:pStyle w:val="ReportLevel3"/>
        <w:numPr>
          <w:ilvl w:val="2"/>
          <w:numId w:val="9"/>
        </w:numPr>
      </w:pPr>
      <w:r>
        <w:br w:type="column"/>
      </w:r>
      <w:r w:rsidR="00BA0236" w:rsidRPr="007C28CC">
        <w:lastRenderedPageBreak/>
        <w:t>Wynik analizy</w:t>
      </w:r>
    </w:p>
    <w:p w14:paraId="1F3974F8" w14:textId="3F905413" w:rsidR="00BA0236" w:rsidRPr="007C28CC" w:rsidRDefault="00BA0236" w:rsidP="007C28CC">
      <w:pPr>
        <w:pStyle w:val="ReportText"/>
        <w:spacing w:before="120" w:after="120"/>
      </w:pPr>
      <w:r w:rsidRPr="007C28CC">
        <w:t>W przeprowadzonych analizach uwzględniono szacunkowe nakłady inwestycyjne, związane z inwestycjami budowlanymi oraz zakupami składników majątku trwałego. Dla określenia poziomu nakładów inwestycyjnych wykorzystano aktualne ceny realizacji podobnych inwestycji, w tym dostępne cenniki dla rozwiązań mobilnych oferowanych przez producentów (</w:t>
      </w:r>
      <w:r w:rsidRPr="007C28CC">
        <w:fldChar w:fldCharType="begin"/>
      </w:r>
      <w:r w:rsidRPr="007C28CC">
        <w:instrText xml:space="preserve"> REF _Ref79490498 \h </w:instrText>
      </w:r>
      <w:r w:rsidRPr="007C28CC">
        <w:fldChar w:fldCharType="separate"/>
      </w:r>
      <w:r w:rsidR="00FD3F9A" w:rsidRPr="00A30588">
        <w:rPr>
          <w:szCs w:val="28"/>
        </w:rPr>
        <w:t xml:space="preserve">Tabela </w:t>
      </w:r>
      <w:r w:rsidR="00FD3F9A">
        <w:rPr>
          <w:noProof/>
          <w:szCs w:val="28"/>
        </w:rPr>
        <w:t>9</w:t>
      </w:r>
      <w:r w:rsidRPr="007C28CC">
        <w:fldChar w:fldCharType="end"/>
      </w:r>
      <w:r w:rsidRPr="007C28CC">
        <w:t>). Nakłady poddano indeksacji oraz przyjęto założenie, że realizacja inwestycji dla wszystkich analizowanych wariantów zostanie przeprowadzona w latach 2025-2027. Wyniki analizy kosztów i korzyści prezentuje</w:t>
      </w:r>
      <w:r>
        <w:t xml:space="preserve"> Tabela 10 </w:t>
      </w:r>
      <w:r w:rsidRPr="001F2C1F">
        <w:t>oraz</w:t>
      </w:r>
      <w:r>
        <w:t xml:space="preserve"> w</w:t>
      </w:r>
      <w:r w:rsidR="00A30588">
        <w:t> </w:t>
      </w:r>
      <w:r w:rsidRPr="001F2C1F">
        <w:t>Załącznik</w:t>
      </w:r>
      <w:r>
        <w:t>u</w:t>
      </w:r>
      <w:r w:rsidRPr="001F2C1F">
        <w:t xml:space="preserve"> 6 – Analiza kosztów i korzyści.</w:t>
      </w:r>
    </w:p>
    <w:p w14:paraId="7A4915B9" w14:textId="0207419D" w:rsidR="00BA0236" w:rsidRPr="007C28CC" w:rsidRDefault="00BA0236" w:rsidP="00A30588">
      <w:pPr>
        <w:pStyle w:val="Legenda"/>
        <w:tabs>
          <w:tab w:val="clear" w:pos="1080"/>
          <w:tab w:val="left" w:pos="1134"/>
        </w:tabs>
        <w:ind w:left="1080" w:hanging="1080"/>
      </w:pPr>
      <w:bookmarkStart w:id="158" w:name="_Ref79490498"/>
      <w:bookmarkStart w:id="159" w:name="_Toc80604819"/>
      <w:r w:rsidRPr="00A30588">
        <w:rPr>
          <w:sz w:val="24"/>
          <w:szCs w:val="28"/>
        </w:rPr>
        <w:t xml:space="preserve">Tabela </w:t>
      </w:r>
      <w:r w:rsidR="00295C25" w:rsidRPr="00A30588">
        <w:rPr>
          <w:sz w:val="24"/>
          <w:szCs w:val="28"/>
        </w:rPr>
        <w:fldChar w:fldCharType="begin"/>
      </w:r>
      <w:r w:rsidR="00295C25" w:rsidRPr="00A30588">
        <w:rPr>
          <w:sz w:val="24"/>
          <w:szCs w:val="28"/>
        </w:rPr>
        <w:instrText xml:space="preserve"> SEQ Tabela \* ARABIC </w:instrText>
      </w:r>
      <w:r w:rsidR="00295C25" w:rsidRPr="00A30588">
        <w:rPr>
          <w:sz w:val="24"/>
          <w:szCs w:val="28"/>
        </w:rPr>
        <w:fldChar w:fldCharType="separate"/>
      </w:r>
      <w:r w:rsidR="00FD3F9A">
        <w:rPr>
          <w:noProof/>
          <w:sz w:val="24"/>
          <w:szCs w:val="28"/>
        </w:rPr>
        <w:t>9</w:t>
      </w:r>
      <w:r w:rsidR="00295C25" w:rsidRPr="00A30588">
        <w:rPr>
          <w:noProof/>
          <w:sz w:val="24"/>
          <w:szCs w:val="28"/>
        </w:rPr>
        <w:fldChar w:fldCharType="end"/>
      </w:r>
      <w:bookmarkEnd w:id="158"/>
      <w:r w:rsidRPr="00A30588">
        <w:rPr>
          <w:sz w:val="24"/>
          <w:szCs w:val="28"/>
        </w:rPr>
        <w:tab/>
        <w:t>Szacunkowe koszty realizacji wariantów (w tys. zł) *</w:t>
      </w:r>
      <w:bookmarkEnd w:id="159"/>
      <w:r w:rsidRPr="00A30588">
        <w:rPr>
          <w:sz w:val="24"/>
          <w:szCs w:val="28"/>
        </w:rPr>
        <w:t xml:space="preserve"> </w:t>
      </w:r>
    </w:p>
    <w:tbl>
      <w:tblPr>
        <w:tblW w:w="0" w:type="auto"/>
        <w:tblBorders>
          <w:top w:val="single" w:sz="4" w:space="0" w:color="A9DCF3"/>
          <w:left w:val="single" w:sz="4" w:space="0" w:color="A9DCF3"/>
          <w:bottom w:val="single" w:sz="4" w:space="0" w:color="A9DCF3"/>
          <w:right w:val="single" w:sz="4" w:space="0" w:color="A9DCF3"/>
          <w:insideH w:val="single" w:sz="4" w:space="0" w:color="A9DCF3"/>
          <w:insideV w:val="single" w:sz="4" w:space="0" w:color="A9DCF3"/>
        </w:tblBorders>
        <w:tblLook w:val="00A0" w:firstRow="1" w:lastRow="0" w:firstColumn="1" w:lastColumn="0" w:noHBand="0" w:noVBand="0"/>
      </w:tblPr>
      <w:tblGrid>
        <w:gridCol w:w="2831"/>
        <w:gridCol w:w="2832"/>
        <w:gridCol w:w="2832"/>
      </w:tblGrid>
      <w:tr w:rsidR="00BA0236" w:rsidRPr="00B32914" w14:paraId="5D5D79DD" w14:textId="77777777" w:rsidTr="00B32914">
        <w:trPr>
          <w:trHeight w:val="325"/>
        </w:trPr>
        <w:tc>
          <w:tcPr>
            <w:tcW w:w="2831" w:type="dxa"/>
            <w:vMerge w:val="restart"/>
            <w:tcBorders>
              <w:bottom w:val="single" w:sz="12" w:space="0" w:color="7ECBED"/>
            </w:tcBorders>
            <w:shd w:val="clear" w:color="auto" w:fill="D4EDF9"/>
          </w:tcPr>
          <w:p w14:paraId="60D34CEC" w14:textId="77777777" w:rsidR="00BA0236" w:rsidRPr="00B32914" w:rsidRDefault="00BA0236" w:rsidP="001002DE">
            <w:pPr>
              <w:rPr>
                <w:b/>
                <w:bCs/>
                <w:highlight w:val="green"/>
              </w:rPr>
            </w:pPr>
            <w:r w:rsidRPr="00B32914">
              <w:t>Nazwa obszaru problemowego</w:t>
            </w:r>
          </w:p>
        </w:tc>
        <w:tc>
          <w:tcPr>
            <w:tcW w:w="5664" w:type="dxa"/>
            <w:gridSpan w:val="2"/>
            <w:tcBorders>
              <w:bottom w:val="single" w:sz="12" w:space="0" w:color="7ECBED"/>
            </w:tcBorders>
            <w:shd w:val="clear" w:color="auto" w:fill="D4EDF9"/>
            <w:vAlign w:val="center"/>
          </w:tcPr>
          <w:p w14:paraId="253AD72C" w14:textId="77777777" w:rsidR="00BA0236" w:rsidRPr="00B32914" w:rsidRDefault="00BA0236" w:rsidP="00B32914">
            <w:pPr>
              <w:jc w:val="center"/>
              <w:rPr>
                <w:b/>
                <w:bCs/>
              </w:rPr>
            </w:pPr>
            <w:r w:rsidRPr="00B32914">
              <w:t>Szacunkowe koszty realizacji wariantów</w:t>
            </w:r>
          </w:p>
        </w:tc>
      </w:tr>
      <w:tr w:rsidR="00BA0236" w:rsidRPr="00B32914" w14:paraId="3C48539B" w14:textId="77777777" w:rsidTr="00B32914">
        <w:trPr>
          <w:trHeight w:val="325"/>
        </w:trPr>
        <w:tc>
          <w:tcPr>
            <w:tcW w:w="2831" w:type="dxa"/>
            <w:vMerge/>
            <w:shd w:val="clear" w:color="auto" w:fill="D4EDF9"/>
          </w:tcPr>
          <w:p w14:paraId="66190D0B" w14:textId="77777777" w:rsidR="00BA0236" w:rsidRPr="00B32914" w:rsidRDefault="00BA0236" w:rsidP="001002DE">
            <w:pPr>
              <w:rPr>
                <w:b/>
                <w:bCs/>
              </w:rPr>
            </w:pPr>
          </w:p>
        </w:tc>
        <w:tc>
          <w:tcPr>
            <w:tcW w:w="2832" w:type="dxa"/>
            <w:shd w:val="clear" w:color="auto" w:fill="D4EDF9"/>
            <w:vAlign w:val="center"/>
          </w:tcPr>
          <w:p w14:paraId="6A163F34" w14:textId="77777777" w:rsidR="00BA0236" w:rsidRPr="00B32914" w:rsidRDefault="00BA0236" w:rsidP="00B32914">
            <w:pPr>
              <w:jc w:val="center"/>
              <w:rPr>
                <w:b/>
                <w:bCs/>
              </w:rPr>
            </w:pPr>
            <w:r w:rsidRPr="00B32914">
              <w:t>Wariant 1</w:t>
            </w:r>
          </w:p>
        </w:tc>
        <w:tc>
          <w:tcPr>
            <w:tcW w:w="2832" w:type="dxa"/>
            <w:shd w:val="clear" w:color="auto" w:fill="D4EDF9"/>
            <w:vAlign w:val="center"/>
          </w:tcPr>
          <w:p w14:paraId="7283906B" w14:textId="77777777" w:rsidR="00BA0236" w:rsidRPr="00B32914" w:rsidRDefault="00BA0236" w:rsidP="00B32914">
            <w:pPr>
              <w:jc w:val="center"/>
              <w:rPr>
                <w:b/>
                <w:bCs/>
              </w:rPr>
            </w:pPr>
            <w:r w:rsidRPr="00B32914">
              <w:t>Wariant 2</w:t>
            </w:r>
          </w:p>
        </w:tc>
      </w:tr>
      <w:tr w:rsidR="00BA0236" w:rsidRPr="00B32914" w14:paraId="09D6E2C2" w14:textId="77777777" w:rsidTr="00B32914">
        <w:tc>
          <w:tcPr>
            <w:tcW w:w="2831" w:type="dxa"/>
            <w:vAlign w:val="bottom"/>
          </w:tcPr>
          <w:p w14:paraId="3DBC292A" w14:textId="77777777" w:rsidR="00BA0236" w:rsidRPr="00B32914" w:rsidRDefault="00BA0236" w:rsidP="001002DE">
            <w:pPr>
              <w:rPr>
                <w:b/>
                <w:bCs/>
                <w:color w:val="000000"/>
              </w:rPr>
            </w:pPr>
            <w:r w:rsidRPr="00B32914">
              <w:rPr>
                <w:bCs/>
                <w:color w:val="000000"/>
              </w:rPr>
              <w:t>IOP_1 Miasto Gdańsk</w:t>
            </w:r>
          </w:p>
        </w:tc>
        <w:tc>
          <w:tcPr>
            <w:tcW w:w="2832" w:type="dxa"/>
            <w:vAlign w:val="bottom"/>
          </w:tcPr>
          <w:p w14:paraId="76841183" w14:textId="77777777" w:rsidR="00BA0236" w:rsidRPr="00B32914" w:rsidRDefault="00BA0236" w:rsidP="00B32914">
            <w:pPr>
              <w:jc w:val="right"/>
            </w:pPr>
            <w:r w:rsidRPr="00B32914">
              <w:t xml:space="preserve">              5 620 000 </w:t>
            </w:r>
          </w:p>
        </w:tc>
        <w:tc>
          <w:tcPr>
            <w:tcW w:w="2832" w:type="dxa"/>
            <w:vAlign w:val="bottom"/>
          </w:tcPr>
          <w:p w14:paraId="43A0C5F3" w14:textId="77777777" w:rsidR="00BA0236" w:rsidRPr="00B32914" w:rsidRDefault="00BA0236" w:rsidP="00B32914">
            <w:pPr>
              <w:jc w:val="right"/>
            </w:pPr>
            <w:r w:rsidRPr="00B32914">
              <w:t xml:space="preserve">       8 600 000 </w:t>
            </w:r>
          </w:p>
        </w:tc>
      </w:tr>
      <w:tr w:rsidR="00BA0236" w:rsidRPr="00B32914" w14:paraId="51907B59" w14:textId="77777777" w:rsidTr="00B32914">
        <w:tc>
          <w:tcPr>
            <w:tcW w:w="2831" w:type="dxa"/>
            <w:vAlign w:val="bottom"/>
          </w:tcPr>
          <w:p w14:paraId="13C5DA09" w14:textId="77777777" w:rsidR="00BA0236" w:rsidRPr="00B32914" w:rsidRDefault="00BA0236" w:rsidP="001002DE">
            <w:pPr>
              <w:rPr>
                <w:b/>
                <w:bCs/>
                <w:color w:val="000000"/>
              </w:rPr>
            </w:pPr>
            <w:r w:rsidRPr="00B32914">
              <w:rPr>
                <w:bCs/>
                <w:color w:val="000000"/>
              </w:rPr>
              <w:t>IOP_2 Mierzeja Helska</w:t>
            </w:r>
          </w:p>
        </w:tc>
        <w:tc>
          <w:tcPr>
            <w:tcW w:w="2832" w:type="dxa"/>
            <w:vAlign w:val="bottom"/>
          </w:tcPr>
          <w:p w14:paraId="284A4F88" w14:textId="77777777" w:rsidR="00BA0236" w:rsidRPr="00B32914" w:rsidRDefault="00BA0236" w:rsidP="00B32914">
            <w:pPr>
              <w:jc w:val="right"/>
            </w:pPr>
            <w:r w:rsidRPr="00B32914">
              <w:t xml:space="preserve">            39 100 000 </w:t>
            </w:r>
          </w:p>
        </w:tc>
        <w:tc>
          <w:tcPr>
            <w:tcW w:w="2832" w:type="dxa"/>
            <w:vAlign w:val="bottom"/>
          </w:tcPr>
          <w:p w14:paraId="45D9DA17" w14:textId="77777777" w:rsidR="00BA0236" w:rsidRPr="00B32914" w:rsidRDefault="00BA0236" w:rsidP="00B32914">
            <w:pPr>
              <w:jc w:val="right"/>
            </w:pPr>
            <w:r w:rsidRPr="00B32914">
              <w:t xml:space="preserve">     24 780 000 </w:t>
            </w:r>
          </w:p>
        </w:tc>
      </w:tr>
      <w:tr w:rsidR="00BA0236" w:rsidRPr="00B32914" w14:paraId="6D717B7E" w14:textId="77777777" w:rsidTr="00B32914">
        <w:tc>
          <w:tcPr>
            <w:tcW w:w="2831" w:type="dxa"/>
            <w:vAlign w:val="bottom"/>
          </w:tcPr>
          <w:p w14:paraId="2ED8DAC0" w14:textId="77777777" w:rsidR="00BA0236" w:rsidRPr="00B32914" w:rsidRDefault="00BA0236" w:rsidP="001002DE">
            <w:pPr>
              <w:rPr>
                <w:b/>
                <w:bCs/>
                <w:color w:val="000000"/>
              </w:rPr>
            </w:pPr>
            <w:r w:rsidRPr="00B32914">
              <w:rPr>
                <w:bCs/>
                <w:color w:val="000000"/>
              </w:rPr>
              <w:t>IOP_5 Krynica Morska - Zalew Wiślany</w:t>
            </w:r>
          </w:p>
        </w:tc>
        <w:tc>
          <w:tcPr>
            <w:tcW w:w="2832" w:type="dxa"/>
            <w:vAlign w:val="bottom"/>
          </w:tcPr>
          <w:p w14:paraId="504CD449" w14:textId="77777777" w:rsidR="00BA0236" w:rsidRPr="00B32914" w:rsidRDefault="00BA0236" w:rsidP="00B32914">
            <w:pPr>
              <w:jc w:val="right"/>
            </w:pPr>
            <w:r w:rsidRPr="00B32914">
              <w:t xml:space="preserve">              3 020 000 </w:t>
            </w:r>
          </w:p>
        </w:tc>
        <w:tc>
          <w:tcPr>
            <w:tcW w:w="2832" w:type="dxa"/>
            <w:vAlign w:val="bottom"/>
          </w:tcPr>
          <w:p w14:paraId="2E78DADF" w14:textId="77777777" w:rsidR="00BA0236" w:rsidRPr="00B32914" w:rsidRDefault="00BA0236" w:rsidP="00B32914">
            <w:pPr>
              <w:jc w:val="right"/>
            </w:pPr>
            <w:r w:rsidRPr="00B32914">
              <w:t xml:space="preserve">       3 670 000 </w:t>
            </w:r>
          </w:p>
        </w:tc>
      </w:tr>
      <w:tr w:rsidR="00BA0236" w:rsidRPr="00B32914" w14:paraId="73FC358D" w14:textId="77777777" w:rsidTr="00B32914">
        <w:tc>
          <w:tcPr>
            <w:tcW w:w="2831" w:type="dxa"/>
            <w:vAlign w:val="bottom"/>
          </w:tcPr>
          <w:p w14:paraId="359B92DA" w14:textId="77777777" w:rsidR="00BA0236" w:rsidRPr="00B32914" w:rsidRDefault="00BA0236" w:rsidP="001002DE">
            <w:pPr>
              <w:rPr>
                <w:b/>
                <w:bCs/>
                <w:color w:val="000000"/>
              </w:rPr>
            </w:pPr>
            <w:r w:rsidRPr="00B32914">
              <w:rPr>
                <w:bCs/>
                <w:color w:val="000000"/>
              </w:rPr>
              <w:t>IOP_7 Ustka - ujście Słupi</w:t>
            </w:r>
          </w:p>
        </w:tc>
        <w:tc>
          <w:tcPr>
            <w:tcW w:w="2832" w:type="dxa"/>
            <w:vAlign w:val="bottom"/>
          </w:tcPr>
          <w:p w14:paraId="2C5D7543" w14:textId="77777777" w:rsidR="00BA0236" w:rsidRPr="00B32914" w:rsidRDefault="00BA0236" w:rsidP="00B32914">
            <w:pPr>
              <w:jc w:val="right"/>
            </w:pPr>
            <w:r w:rsidRPr="00B32914">
              <w:t xml:space="preserve">              3 100 000 </w:t>
            </w:r>
          </w:p>
        </w:tc>
        <w:tc>
          <w:tcPr>
            <w:tcW w:w="2832" w:type="dxa"/>
            <w:vAlign w:val="bottom"/>
          </w:tcPr>
          <w:p w14:paraId="18684A6F" w14:textId="77777777" w:rsidR="00BA0236" w:rsidRPr="00B32914" w:rsidRDefault="00BA0236" w:rsidP="00B32914">
            <w:pPr>
              <w:jc w:val="right"/>
            </w:pPr>
            <w:r w:rsidRPr="00B32914">
              <w:t xml:space="preserve">       1 550 000 </w:t>
            </w:r>
          </w:p>
        </w:tc>
      </w:tr>
      <w:tr w:rsidR="00BA0236" w:rsidRPr="00B32914" w14:paraId="1CF81AFE" w14:textId="77777777" w:rsidTr="00B32914">
        <w:tc>
          <w:tcPr>
            <w:tcW w:w="2831" w:type="dxa"/>
            <w:vAlign w:val="bottom"/>
          </w:tcPr>
          <w:p w14:paraId="2D9F4907" w14:textId="77777777" w:rsidR="00BA0236" w:rsidRPr="00B32914" w:rsidRDefault="00BA0236" w:rsidP="001002DE">
            <w:pPr>
              <w:rPr>
                <w:b/>
                <w:bCs/>
                <w:color w:val="000000"/>
              </w:rPr>
            </w:pPr>
            <w:r w:rsidRPr="00B32914">
              <w:rPr>
                <w:bCs/>
                <w:color w:val="000000"/>
              </w:rPr>
              <w:t>IOP_8 Dębki</w:t>
            </w:r>
          </w:p>
        </w:tc>
        <w:tc>
          <w:tcPr>
            <w:tcW w:w="2832" w:type="dxa"/>
            <w:vAlign w:val="bottom"/>
          </w:tcPr>
          <w:p w14:paraId="52C14D1C" w14:textId="77777777" w:rsidR="00BA0236" w:rsidRPr="00B32914" w:rsidRDefault="00BA0236" w:rsidP="00B32914">
            <w:pPr>
              <w:jc w:val="right"/>
            </w:pPr>
            <w:r w:rsidRPr="00B32914">
              <w:t xml:space="preserve">              3 060 000 </w:t>
            </w:r>
          </w:p>
        </w:tc>
        <w:tc>
          <w:tcPr>
            <w:tcW w:w="2832" w:type="dxa"/>
            <w:vAlign w:val="bottom"/>
          </w:tcPr>
          <w:p w14:paraId="5CB81485" w14:textId="77777777" w:rsidR="00BA0236" w:rsidRPr="00B32914" w:rsidRDefault="00BA0236" w:rsidP="00B32914">
            <w:pPr>
              <w:jc w:val="right"/>
            </w:pPr>
            <w:r w:rsidRPr="00B32914">
              <w:t xml:space="preserve">       2 700 000 </w:t>
            </w:r>
          </w:p>
        </w:tc>
      </w:tr>
      <w:tr w:rsidR="00BA0236" w:rsidRPr="00B32914" w14:paraId="0D23C64A" w14:textId="77777777" w:rsidTr="00B32914">
        <w:tc>
          <w:tcPr>
            <w:tcW w:w="2831" w:type="dxa"/>
            <w:vAlign w:val="bottom"/>
          </w:tcPr>
          <w:p w14:paraId="75305298" w14:textId="77777777" w:rsidR="00BA0236" w:rsidRPr="00B32914" w:rsidRDefault="00BA0236" w:rsidP="001002DE">
            <w:pPr>
              <w:rPr>
                <w:b/>
                <w:bCs/>
                <w:color w:val="000000"/>
              </w:rPr>
            </w:pPr>
            <w:r w:rsidRPr="00B32914">
              <w:rPr>
                <w:bCs/>
                <w:color w:val="000000"/>
              </w:rPr>
              <w:t>IOP_12 Łeba</w:t>
            </w:r>
          </w:p>
        </w:tc>
        <w:tc>
          <w:tcPr>
            <w:tcW w:w="2832" w:type="dxa"/>
            <w:vAlign w:val="bottom"/>
          </w:tcPr>
          <w:p w14:paraId="59DD86A1" w14:textId="77777777" w:rsidR="00BA0236" w:rsidRPr="00B32914" w:rsidRDefault="00BA0236" w:rsidP="00B32914">
            <w:pPr>
              <w:jc w:val="right"/>
            </w:pPr>
            <w:r w:rsidRPr="00B32914">
              <w:t xml:space="preserve">              1 170 000 </w:t>
            </w:r>
          </w:p>
        </w:tc>
        <w:tc>
          <w:tcPr>
            <w:tcW w:w="2832" w:type="dxa"/>
            <w:vAlign w:val="bottom"/>
          </w:tcPr>
          <w:p w14:paraId="2282C09B" w14:textId="77777777" w:rsidR="00BA0236" w:rsidRPr="00B32914" w:rsidRDefault="00BA0236" w:rsidP="00B32914">
            <w:pPr>
              <w:jc w:val="right"/>
            </w:pPr>
            <w:r w:rsidRPr="00B32914">
              <w:t xml:space="preserve">       2 250 000 </w:t>
            </w:r>
          </w:p>
        </w:tc>
      </w:tr>
      <w:tr w:rsidR="00BA0236" w:rsidRPr="00B32914" w14:paraId="22742889" w14:textId="77777777" w:rsidTr="00B32914">
        <w:tc>
          <w:tcPr>
            <w:tcW w:w="2831" w:type="dxa"/>
            <w:vAlign w:val="bottom"/>
          </w:tcPr>
          <w:p w14:paraId="307ABF67" w14:textId="77777777" w:rsidR="00BA0236" w:rsidRPr="00B32914" w:rsidRDefault="00BA0236" w:rsidP="001002DE">
            <w:pPr>
              <w:rPr>
                <w:b/>
                <w:bCs/>
                <w:color w:val="000000"/>
              </w:rPr>
            </w:pPr>
            <w:r w:rsidRPr="00B32914">
              <w:rPr>
                <w:bCs/>
                <w:color w:val="000000"/>
              </w:rPr>
              <w:t>MR_1 Żuławy Wiślane</w:t>
            </w:r>
          </w:p>
        </w:tc>
        <w:tc>
          <w:tcPr>
            <w:tcW w:w="2832" w:type="dxa"/>
            <w:vAlign w:val="bottom"/>
          </w:tcPr>
          <w:p w14:paraId="700DA6EF" w14:textId="77777777" w:rsidR="00BA0236" w:rsidRPr="00B32914" w:rsidRDefault="00BA0236" w:rsidP="00B32914">
            <w:pPr>
              <w:jc w:val="right"/>
            </w:pPr>
            <w:r w:rsidRPr="00B32914">
              <w:t xml:space="preserve">              9 350 000 </w:t>
            </w:r>
          </w:p>
        </w:tc>
        <w:tc>
          <w:tcPr>
            <w:tcW w:w="2832" w:type="dxa"/>
            <w:vAlign w:val="bottom"/>
          </w:tcPr>
          <w:p w14:paraId="56CA1AD4" w14:textId="77777777" w:rsidR="00BA0236" w:rsidRPr="00B32914" w:rsidRDefault="00BA0236" w:rsidP="00B32914">
            <w:pPr>
              <w:jc w:val="right"/>
            </w:pPr>
            <w:r w:rsidRPr="00B32914">
              <w:t xml:space="preserve">       6 150 000 </w:t>
            </w:r>
          </w:p>
        </w:tc>
      </w:tr>
      <w:tr w:rsidR="00BA0236" w:rsidRPr="00B32914" w14:paraId="33480718" w14:textId="77777777" w:rsidTr="00B32914">
        <w:tc>
          <w:tcPr>
            <w:tcW w:w="2831" w:type="dxa"/>
            <w:vAlign w:val="bottom"/>
          </w:tcPr>
          <w:p w14:paraId="5D43CA5D" w14:textId="77777777" w:rsidR="00BA0236" w:rsidRPr="00B32914" w:rsidRDefault="00BA0236" w:rsidP="001002DE">
            <w:pPr>
              <w:rPr>
                <w:b/>
                <w:bCs/>
                <w:color w:val="000000"/>
              </w:rPr>
            </w:pPr>
            <w:r w:rsidRPr="00B32914">
              <w:rPr>
                <w:bCs/>
                <w:color w:val="000000"/>
              </w:rPr>
              <w:t>MR_2 Ujście Redy</w:t>
            </w:r>
          </w:p>
        </w:tc>
        <w:tc>
          <w:tcPr>
            <w:tcW w:w="2832" w:type="dxa"/>
            <w:vAlign w:val="bottom"/>
          </w:tcPr>
          <w:p w14:paraId="0CB72D47" w14:textId="77777777" w:rsidR="00BA0236" w:rsidRPr="00B32914" w:rsidRDefault="00BA0236" w:rsidP="00B32914">
            <w:pPr>
              <w:jc w:val="right"/>
            </w:pPr>
            <w:r w:rsidRPr="00B32914">
              <w:t xml:space="preserve">            10 850 000 </w:t>
            </w:r>
          </w:p>
        </w:tc>
        <w:tc>
          <w:tcPr>
            <w:tcW w:w="2832" w:type="dxa"/>
            <w:vAlign w:val="bottom"/>
          </w:tcPr>
          <w:p w14:paraId="6A50A7F3" w14:textId="77777777" w:rsidR="00BA0236" w:rsidRPr="00B32914" w:rsidRDefault="00BA0236" w:rsidP="00B32914">
            <w:pPr>
              <w:jc w:val="right"/>
            </w:pPr>
            <w:r w:rsidRPr="00B32914">
              <w:t xml:space="preserve">       7 350 000 </w:t>
            </w:r>
          </w:p>
        </w:tc>
      </w:tr>
    </w:tbl>
    <w:p w14:paraId="4DBB681B" w14:textId="77777777" w:rsidR="00A30588" w:rsidRDefault="00A30588" w:rsidP="00A30588">
      <w:pPr>
        <w:pStyle w:val="ReportText"/>
        <w:spacing w:before="0" w:after="0" w:line="240" w:lineRule="auto"/>
        <w:ind w:left="142" w:hanging="142"/>
        <w:rPr>
          <w:sz w:val="16"/>
          <w:szCs w:val="16"/>
          <w:lang w:eastAsia="zh-CN"/>
        </w:rPr>
      </w:pPr>
    </w:p>
    <w:p w14:paraId="6D44FA2F" w14:textId="1BCACA31" w:rsidR="00BA0236" w:rsidRPr="007C28CC" w:rsidRDefault="00BA0236" w:rsidP="00A30588">
      <w:pPr>
        <w:pStyle w:val="ReportText"/>
        <w:spacing w:before="0" w:line="240" w:lineRule="auto"/>
        <w:ind w:left="142" w:hanging="142"/>
        <w:rPr>
          <w:sz w:val="16"/>
          <w:szCs w:val="16"/>
          <w:lang w:eastAsia="zh-CN"/>
        </w:rPr>
      </w:pPr>
      <w:r w:rsidRPr="007C28CC">
        <w:rPr>
          <w:sz w:val="16"/>
          <w:szCs w:val="16"/>
          <w:lang w:eastAsia="zh-CN"/>
        </w:rPr>
        <w:t>*</w:t>
      </w:r>
      <w:r w:rsidR="00A30588">
        <w:rPr>
          <w:sz w:val="16"/>
          <w:szCs w:val="16"/>
          <w:lang w:eastAsia="zh-CN"/>
        </w:rPr>
        <w:tab/>
      </w:r>
      <w:r w:rsidRPr="007C28CC">
        <w:rPr>
          <w:sz w:val="16"/>
          <w:szCs w:val="16"/>
          <w:lang w:eastAsia="zh-CN"/>
        </w:rPr>
        <w:t>Szacunkowe koszty realizacji inwestycji (bez uwzględnienia kosztów usunięcia kolizji, projektu i nadzorów autorskich, zarządzania i nadzoru inwestorskiego, rezerwy inwestycyjnej, ewentualnego kosztu wykupu gruntów)</w:t>
      </w:r>
    </w:p>
    <w:p w14:paraId="0A3ECE72" w14:textId="1451015F" w:rsidR="00BA0236" w:rsidRPr="007C28CC" w:rsidRDefault="00A26088" w:rsidP="00A30588">
      <w:pPr>
        <w:pStyle w:val="Legenda"/>
        <w:tabs>
          <w:tab w:val="clear" w:pos="1080"/>
        </w:tabs>
        <w:spacing w:before="120" w:after="120"/>
        <w:ind w:left="1134" w:hanging="1134"/>
        <w:jc w:val="both"/>
      </w:pPr>
      <w:r>
        <w:br w:type="column"/>
      </w:r>
      <w:bookmarkStart w:id="160" w:name="_Toc80604820"/>
      <w:r w:rsidR="00BA0236" w:rsidRPr="007C28CC">
        <w:lastRenderedPageBreak/>
        <w:t xml:space="preserve">Tabela </w:t>
      </w:r>
      <w:r w:rsidR="00677743">
        <w:rPr>
          <w:noProof/>
        </w:rPr>
        <w:fldChar w:fldCharType="begin"/>
      </w:r>
      <w:r w:rsidR="00677743">
        <w:rPr>
          <w:noProof/>
        </w:rPr>
        <w:instrText xml:space="preserve"> SEQ Tabela \* ARABIC </w:instrText>
      </w:r>
      <w:r w:rsidR="00677743">
        <w:rPr>
          <w:noProof/>
        </w:rPr>
        <w:fldChar w:fldCharType="separate"/>
      </w:r>
      <w:r w:rsidR="00FD3F9A">
        <w:rPr>
          <w:noProof/>
        </w:rPr>
        <w:t>10</w:t>
      </w:r>
      <w:r w:rsidR="00677743">
        <w:rPr>
          <w:noProof/>
        </w:rPr>
        <w:fldChar w:fldCharType="end"/>
      </w:r>
      <w:r w:rsidR="00BA0236" w:rsidRPr="007C28CC">
        <w:tab/>
        <w:t>Wyniki analizy kosztów i korzyści dla wariantów planistycznych w zlewni planistycznej Dolnej Wisły</w:t>
      </w:r>
      <w:bookmarkEnd w:id="160"/>
    </w:p>
    <w:tbl>
      <w:tblPr>
        <w:tblW w:w="5000" w:type="pct"/>
        <w:jc w:val="center"/>
        <w:tblBorders>
          <w:top w:val="single" w:sz="4" w:space="0" w:color="A9DCF3"/>
          <w:left w:val="single" w:sz="4" w:space="0" w:color="A9DCF3"/>
          <w:bottom w:val="single" w:sz="4" w:space="0" w:color="A9DCF3"/>
          <w:right w:val="single" w:sz="4" w:space="0" w:color="A9DCF3"/>
          <w:insideH w:val="single" w:sz="4" w:space="0" w:color="A9DCF3"/>
          <w:insideV w:val="single" w:sz="4" w:space="0" w:color="A9DCF3"/>
        </w:tblBorders>
        <w:tblLook w:val="00A0" w:firstRow="1" w:lastRow="0" w:firstColumn="1" w:lastColumn="0" w:noHBand="0" w:noVBand="0"/>
      </w:tblPr>
      <w:tblGrid>
        <w:gridCol w:w="2843"/>
        <w:gridCol w:w="2826"/>
        <w:gridCol w:w="2827"/>
      </w:tblGrid>
      <w:tr w:rsidR="00BA0236" w:rsidRPr="00B32914" w14:paraId="1FF443E2" w14:textId="77777777" w:rsidTr="00B32914">
        <w:trPr>
          <w:trHeight w:val="287"/>
          <w:tblHeader/>
          <w:jc w:val="center"/>
        </w:trPr>
        <w:tc>
          <w:tcPr>
            <w:tcW w:w="1673" w:type="pct"/>
            <w:shd w:val="clear" w:color="auto" w:fill="D4EDF9"/>
            <w:noWrap/>
            <w:vAlign w:val="center"/>
          </w:tcPr>
          <w:p w14:paraId="26829826" w14:textId="77777777" w:rsidR="00BA0236" w:rsidRPr="00B32914" w:rsidRDefault="00BA0236" w:rsidP="00B32914">
            <w:pPr>
              <w:jc w:val="center"/>
              <w:rPr>
                <w:b/>
                <w:bCs/>
                <w:color w:val="000000"/>
                <w:lang w:eastAsia="pl-PL"/>
              </w:rPr>
            </w:pPr>
            <w:r w:rsidRPr="00B32914">
              <w:rPr>
                <w:bCs/>
                <w:color w:val="000000"/>
              </w:rPr>
              <w:t>Wskaźnik</w:t>
            </w:r>
          </w:p>
        </w:tc>
        <w:tc>
          <w:tcPr>
            <w:tcW w:w="1663" w:type="pct"/>
            <w:shd w:val="clear" w:color="auto" w:fill="D4EDF9"/>
            <w:noWrap/>
            <w:vAlign w:val="center"/>
          </w:tcPr>
          <w:p w14:paraId="7B13AE23" w14:textId="77777777" w:rsidR="00BA0236" w:rsidRPr="00B32914" w:rsidRDefault="00BA0236" w:rsidP="00B32914">
            <w:pPr>
              <w:jc w:val="center"/>
              <w:rPr>
                <w:b/>
                <w:bCs/>
                <w:color w:val="000000"/>
              </w:rPr>
            </w:pPr>
            <w:r w:rsidRPr="00B32914">
              <w:rPr>
                <w:bCs/>
                <w:color w:val="000000"/>
              </w:rPr>
              <w:t>Wariant 1</w:t>
            </w:r>
          </w:p>
        </w:tc>
        <w:tc>
          <w:tcPr>
            <w:tcW w:w="1664" w:type="pct"/>
            <w:shd w:val="clear" w:color="auto" w:fill="D4EDF9"/>
            <w:noWrap/>
            <w:vAlign w:val="center"/>
          </w:tcPr>
          <w:p w14:paraId="3D0C67BB" w14:textId="77777777" w:rsidR="00BA0236" w:rsidRPr="00B32914" w:rsidRDefault="00BA0236" w:rsidP="00B32914">
            <w:pPr>
              <w:jc w:val="center"/>
              <w:rPr>
                <w:b/>
                <w:bCs/>
                <w:color w:val="000000"/>
              </w:rPr>
            </w:pPr>
            <w:r w:rsidRPr="00B32914">
              <w:rPr>
                <w:bCs/>
                <w:color w:val="000000"/>
              </w:rPr>
              <w:t>Wariant 2</w:t>
            </w:r>
          </w:p>
        </w:tc>
      </w:tr>
      <w:tr w:rsidR="00BA0236" w:rsidRPr="00B32914" w14:paraId="4E436265" w14:textId="77777777" w:rsidTr="00B32914">
        <w:trPr>
          <w:trHeight w:val="287"/>
          <w:jc w:val="center"/>
        </w:trPr>
        <w:tc>
          <w:tcPr>
            <w:tcW w:w="5000" w:type="pct"/>
            <w:gridSpan w:val="3"/>
            <w:shd w:val="clear" w:color="auto" w:fill="A9DCF3"/>
            <w:noWrap/>
            <w:vAlign w:val="center"/>
          </w:tcPr>
          <w:p w14:paraId="78DCEB7F" w14:textId="77777777" w:rsidR="00BA0236" w:rsidRPr="00B32914" w:rsidRDefault="00BA0236" w:rsidP="00B32914">
            <w:pPr>
              <w:jc w:val="center"/>
              <w:rPr>
                <w:b/>
                <w:bCs/>
                <w:color w:val="000000"/>
              </w:rPr>
            </w:pPr>
            <w:r w:rsidRPr="00B32914">
              <w:rPr>
                <w:bCs/>
                <w:color w:val="000000"/>
              </w:rPr>
              <w:t>IOP_1 Miasto Gdańsk</w:t>
            </w:r>
          </w:p>
        </w:tc>
      </w:tr>
      <w:tr w:rsidR="00BA0236" w:rsidRPr="00B32914" w14:paraId="302477A7" w14:textId="77777777" w:rsidTr="00B32914">
        <w:trPr>
          <w:trHeight w:val="287"/>
          <w:jc w:val="center"/>
        </w:trPr>
        <w:tc>
          <w:tcPr>
            <w:tcW w:w="1673" w:type="pct"/>
            <w:noWrap/>
            <w:vAlign w:val="center"/>
          </w:tcPr>
          <w:p w14:paraId="0A228EE4" w14:textId="77777777" w:rsidR="00BA0236" w:rsidRPr="00B32914" w:rsidRDefault="00BA0236" w:rsidP="001002DE">
            <w:pPr>
              <w:rPr>
                <w:b/>
                <w:bCs/>
                <w:color w:val="000000"/>
              </w:rPr>
            </w:pPr>
            <w:r w:rsidRPr="00B32914">
              <w:rPr>
                <w:bCs/>
                <w:color w:val="000000"/>
              </w:rPr>
              <w:t>ENPV</w:t>
            </w:r>
          </w:p>
        </w:tc>
        <w:tc>
          <w:tcPr>
            <w:tcW w:w="1663" w:type="pct"/>
            <w:noWrap/>
          </w:tcPr>
          <w:p w14:paraId="6AD07E44" w14:textId="77777777" w:rsidR="00BA0236" w:rsidRPr="00B32914" w:rsidRDefault="00BA0236" w:rsidP="00B32914">
            <w:pPr>
              <w:jc w:val="right"/>
              <w:rPr>
                <w:color w:val="000000"/>
              </w:rPr>
            </w:pPr>
            <w:r w:rsidRPr="00B32914">
              <w:t>4 193</w:t>
            </w:r>
          </w:p>
        </w:tc>
        <w:tc>
          <w:tcPr>
            <w:tcW w:w="1664" w:type="pct"/>
            <w:noWrap/>
          </w:tcPr>
          <w:p w14:paraId="5B88F4CE" w14:textId="77777777" w:rsidR="00BA0236" w:rsidRPr="00B32914" w:rsidRDefault="00BA0236" w:rsidP="00B32914">
            <w:pPr>
              <w:jc w:val="right"/>
              <w:rPr>
                <w:color w:val="000000"/>
              </w:rPr>
            </w:pPr>
            <w:r w:rsidRPr="00B32914">
              <w:t>1 609</w:t>
            </w:r>
          </w:p>
        </w:tc>
      </w:tr>
      <w:tr w:rsidR="00BA0236" w:rsidRPr="00B32914" w14:paraId="059C86C8" w14:textId="77777777" w:rsidTr="00B32914">
        <w:trPr>
          <w:trHeight w:val="287"/>
          <w:jc w:val="center"/>
        </w:trPr>
        <w:tc>
          <w:tcPr>
            <w:tcW w:w="1673" w:type="pct"/>
            <w:noWrap/>
            <w:vAlign w:val="center"/>
          </w:tcPr>
          <w:p w14:paraId="020EFBF7" w14:textId="77777777" w:rsidR="00BA0236" w:rsidRPr="00B32914" w:rsidRDefault="00BA0236" w:rsidP="001002DE">
            <w:pPr>
              <w:rPr>
                <w:b/>
                <w:bCs/>
                <w:color w:val="000000"/>
              </w:rPr>
            </w:pPr>
            <w:r w:rsidRPr="00B32914">
              <w:rPr>
                <w:bCs/>
                <w:color w:val="000000"/>
              </w:rPr>
              <w:t>EIRR</w:t>
            </w:r>
          </w:p>
        </w:tc>
        <w:tc>
          <w:tcPr>
            <w:tcW w:w="1663" w:type="pct"/>
            <w:noWrap/>
          </w:tcPr>
          <w:p w14:paraId="13E4F259" w14:textId="77777777" w:rsidR="00BA0236" w:rsidRPr="00B32914" w:rsidRDefault="00BA0236" w:rsidP="00B32914">
            <w:pPr>
              <w:jc w:val="right"/>
              <w:rPr>
                <w:color w:val="000000"/>
              </w:rPr>
            </w:pPr>
            <w:r w:rsidRPr="00B32914">
              <w:t>8,17%</w:t>
            </w:r>
          </w:p>
        </w:tc>
        <w:tc>
          <w:tcPr>
            <w:tcW w:w="1664" w:type="pct"/>
            <w:noWrap/>
          </w:tcPr>
          <w:p w14:paraId="5131FBFA" w14:textId="77777777" w:rsidR="00BA0236" w:rsidRPr="00B32914" w:rsidRDefault="00BA0236" w:rsidP="00B32914">
            <w:pPr>
              <w:jc w:val="right"/>
              <w:rPr>
                <w:color w:val="000000"/>
              </w:rPr>
            </w:pPr>
            <w:r w:rsidRPr="00B32914">
              <w:t>5,89%</w:t>
            </w:r>
          </w:p>
        </w:tc>
      </w:tr>
      <w:tr w:rsidR="00BA0236" w:rsidRPr="00B32914" w14:paraId="43C572BA" w14:textId="77777777" w:rsidTr="00B32914">
        <w:trPr>
          <w:trHeight w:val="287"/>
          <w:jc w:val="center"/>
        </w:trPr>
        <w:tc>
          <w:tcPr>
            <w:tcW w:w="1673" w:type="pct"/>
            <w:noWrap/>
            <w:vAlign w:val="center"/>
          </w:tcPr>
          <w:p w14:paraId="60EB5BC7" w14:textId="77777777" w:rsidR="00BA0236" w:rsidRPr="00B32914" w:rsidRDefault="00BA0236" w:rsidP="001002DE">
            <w:pPr>
              <w:rPr>
                <w:b/>
                <w:bCs/>
                <w:color w:val="000000"/>
              </w:rPr>
            </w:pPr>
            <w:r w:rsidRPr="00B32914">
              <w:rPr>
                <w:bCs/>
                <w:color w:val="000000"/>
              </w:rPr>
              <w:t>B/C</w:t>
            </w:r>
          </w:p>
        </w:tc>
        <w:tc>
          <w:tcPr>
            <w:tcW w:w="1663" w:type="pct"/>
            <w:noWrap/>
          </w:tcPr>
          <w:p w14:paraId="402CD92E" w14:textId="77777777" w:rsidR="00BA0236" w:rsidRPr="00B32914" w:rsidRDefault="00BA0236" w:rsidP="00B32914">
            <w:pPr>
              <w:jc w:val="right"/>
              <w:rPr>
                <w:color w:val="000000"/>
              </w:rPr>
            </w:pPr>
            <w:r w:rsidRPr="00B32914">
              <w:t xml:space="preserve">1,65 </w:t>
            </w:r>
          </w:p>
        </w:tc>
        <w:tc>
          <w:tcPr>
            <w:tcW w:w="1664" w:type="pct"/>
            <w:noWrap/>
          </w:tcPr>
          <w:p w14:paraId="1394852B" w14:textId="77777777" w:rsidR="00BA0236" w:rsidRPr="00B32914" w:rsidRDefault="00BA0236" w:rsidP="00B32914">
            <w:pPr>
              <w:jc w:val="right"/>
              <w:rPr>
                <w:color w:val="000000"/>
              </w:rPr>
            </w:pPr>
            <w:r w:rsidRPr="00B32914">
              <w:t xml:space="preserve">1,17 </w:t>
            </w:r>
          </w:p>
        </w:tc>
      </w:tr>
      <w:tr w:rsidR="00BA0236" w:rsidRPr="00B32914" w14:paraId="0B551E6D" w14:textId="77777777" w:rsidTr="00B32914">
        <w:trPr>
          <w:trHeight w:val="287"/>
          <w:jc w:val="center"/>
        </w:trPr>
        <w:tc>
          <w:tcPr>
            <w:tcW w:w="5000" w:type="pct"/>
            <w:gridSpan w:val="3"/>
            <w:shd w:val="clear" w:color="auto" w:fill="A9DCF3"/>
            <w:noWrap/>
            <w:vAlign w:val="center"/>
          </w:tcPr>
          <w:p w14:paraId="08CF1494" w14:textId="77777777" w:rsidR="00BA0236" w:rsidRPr="00B32914" w:rsidRDefault="00BA0236" w:rsidP="00B32914">
            <w:pPr>
              <w:jc w:val="center"/>
              <w:rPr>
                <w:b/>
                <w:bCs/>
                <w:color w:val="000000"/>
              </w:rPr>
            </w:pPr>
            <w:r w:rsidRPr="00B32914">
              <w:rPr>
                <w:bCs/>
                <w:color w:val="000000"/>
              </w:rPr>
              <w:t>IOP_2 Mierzeja Helska</w:t>
            </w:r>
          </w:p>
        </w:tc>
      </w:tr>
      <w:tr w:rsidR="00BA0236" w:rsidRPr="00B32914" w14:paraId="5E6719BC" w14:textId="77777777" w:rsidTr="00B32914">
        <w:trPr>
          <w:trHeight w:val="287"/>
          <w:jc w:val="center"/>
        </w:trPr>
        <w:tc>
          <w:tcPr>
            <w:tcW w:w="1673" w:type="pct"/>
            <w:noWrap/>
            <w:vAlign w:val="center"/>
          </w:tcPr>
          <w:p w14:paraId="5B7CF8F6" w14:textId="77777777" w:rsidR="00BA0236" w:rsidRPr="00B32914" w:rsidRDefault="00BA0236" w:rsidP="001002DE">
            <w:pPr>
              <w:rPr>
                <w:b/>
                <w:bCs/>
                <w:color w:val="000000"/>
              </w:rPr>
            </w:pPr>
            <w:r w:rsidRPr="00B32914">
              <w:rPr>
                <w:bCs/>
                <w:color w:val="000000"/>
              </w:rPr>
              <w:t>ENPV</w:t>
            </w:r>
          </w:p>
        </w:tc>
        <w:tc>
          <w:tcPr>
            <w:tcW w:w="1663" w:type="pct"/>
            <w:noWrap/>
          </w:tcPr>
          <w:p w14:paraId="6467EC80" w14:textId="77777777" w:rsidR="00BA0236" w:rsidRPr="00B32914" w:rsidRDefault="00BA0236" w:rsidP="00B32914">
            <w:pPr>
              <w:jc w:val="right"/>
              <w:rPr>
                <w:color w:val="000000"/>
              </w:rPr>
            </w:pPr>
            <w:r w:rsidRPr="00B32914">
              <w:t>97 744</w:t>
            </w:r>
          </w:p>
        </w:tc>
        <w:tc>
          <w:tcPr>
            <w:tcW w:w="1664" w:type="pct"/>
            <w:noWrap/>
          </w:tcPr>
          <w:p w14:paraId="01E8E35D" w14:textId="77777777" w:rsidR="00BA0236" w:rsidRPr="00B32914" w:rsidRDefault="00BA0236" w:rsidP="00B32914">
            <w:pPr>
              <w:jc w:val="right"/>
              <w:rPr>
                <w:color w:val="000000"/>
              </w:rPr>
            </w:pPr>
            <w:r w:rsidRPr="00B32914">
              <w:t>119 417</w:t>
            </w:r>
          </w:p>
        </w:tc>
      </w:tr>
      <w:tr w:rsidR="00BA0236" w:rsidRPr="00B32914" w14:paraId="6FFCCD3F" w14:textId="77777777" w:rsidTr="00B32914">
        <w:trPr>
          <w:trHeight w:val="287"/>
          <w:jc w:val="center"/>
        </w:trPr>
        <w:tc>
          <w:tcPr>
            <w:tcW w:w="1673" w:type="pct"/>
            <w:noWrap/>
            <w:vAlign w:val="center"/>
          </w:tcPr>
          <w:p w14:paraId="34532EEC" w14:textId="77777777" w:rsidR="00BA0236" w:rsidRPr="00B32914" w:rsidRDefault="00BA0236" w:rsidP="001002DE">
            <w:pPr>
              <w:rPr>
                <w:b/>
                <w:bCs/>
                <w:color w:val="000000"/>
              </w:rPr>
            </w:pPr>
            <w:r w:rsidRPr="00B32914">
              <w:rPr>
                <w:bCs/>
                <w:color w:val="000000"/>
              </w:rPr>
              <w:t>EIRR</w:t>
            </w:r>
          </w:p>
        </w:tc>
        <w:tc>
          <w:tcPr>
            <w:tcW w:w="1663" w:type="pct"/>
            <w:noWrap/>
          </w:tcPr>
          <w:p w14:paraId="763BD43F" w14:textId="77777777" w:rsidR="00BA0236" w:rsidRPr="00B32914" w:rsidRDefault="00BA0236" w:rsidP="00B32914">
            <w:pPr>
              <w:jc w:val="right"/>
              <w:rPr>
                <w:color w:val="000000"/>
              </w:rPr>
            </w:pPr>
            <w:r w:rsidRPr="00B32914">
              <w:t>12,69%</w:t>
            </w:r>
          </w:p>
        </w:tc>
        <w:tc>
          <w:tcPr>
            <w:tcW w:w="1664" w:type="pct"/>
            <w:noWrap/>
          </w:tcPr>
          <w:p w14:paraId="704A5DC9" w14:textId="77777777" w:rsidR="00BA0236" w:rsidRPr="00B32914" w:rsidRDefault="00BA0236" w:rsidP="00B32914">
            <w:pPr>
              <w:jc w:val="right"/>
              <w:rPr>
                <w:color w:val="000000"/>
              </w:rPr>
            </w:pPr>
            <w:r w:rsidRPr="00B32914">
              <w:t>19,67%</w:t>
            </w:r>
          </w:p>
        </w:tc>
      </w:tr>
      <w:tr w:rsidR="00BA0236" w:rsidRPr="00B32914" w14:paraId="6A40B17C" w14:textId="77777777" w:rsidTr="00B32914">
        <w:trPr>
          <w:trHeight w:val="287"/>
          <w:jc w:val="center"/>
        </w:trPr>
        <w:tc>
          <w:tcPr>
            <w:tcW w:w="1673" w:type="pct"/>
            <w:noWrap/>
            <w:vAlign w:val="center"/>
          </w:tcPr>
          <w:p w14:paraId="505AD303" w14:textId="77777777" w:rsidR="00BA0236" w:rsidRPr="00B32914" w:rsidRDefault="00BA0236" w:rsidP="001002DE">
            <w:pPr>
              <w:rPr>
                <w:b/>
                <w:bCs/>
                <w:color w:val="000000"/>
              </w:rPr>
            </w:pPr>
            <w:r w:rsidRPr="00B32914">
              <w:rPr>
                <w:bCs/>
                <w:color w:val="000000"/>
              </w:rPr>
              <w:t>B/C</w:t>
            </w:r>
          </w:p>
        </w:tc>
        <w:tc>
          <w:tcPr>
            <w:tcW w:w="1663" w:type="pct"/>
            <w:noWrap/>
          </w:tcPr>
          <w:p w14:paraId="475DEDEF" w14:textId="77777777" w:rsidR="00BA0236" w:rsidRPr="00B32914" w:rsidRDefault="00BA0236" w:rsidP="00B32914">
            <w:pPr>
              <w:jc w:val="right"/>
              <w:rPr>
                <w:color w:val="000000"/>
              </w:rPr>
            </w:pPr>
            <w:r w:rsidRPr="00B32914">
              <w:t>3,03</w:t>
            </w:r>
          </w:p>
        </w:tc>
        <w:tc>
          <w:tcPr>
            <w:tcW w:w="1664" w:type="pct"/>
            <w:noWrap/>
          </w:tcPr>
          <w:p w14:paraId="797DCD7A" w14:textId="77777777" w:rsidR="00BA0236" w:rsidRPr="00B32914" w:rsidRDefault="00BA0236" w:rsidP="00B32914">
            <w:pPr>
              <w:jc w:val="right"/>
              <w:rPr>
                <w:color w:val="000000"/>
              </w:rPr>
            </w:pPr>
            <w:r w:rsidRPr="00B32914">
              <w:t xml:space="preserve">5,68 </w:t>
            </w:r>
          </w:p>
        </w:tc>
      </w:tr>
      <w:tr w:rsidR="00BA0236" w:rsidRPr="00B32914" w14:paraId="63ACC85A" w14:textId="77777777" w:rsidTr="00B32914">
        <w:trPr>
          <w:trHeight w:val="287"/>
          <w:jc w:val="center"/>
        </w:trPr>
        <w:tc>
          <w:tcPr>
            <w:tcW w:w="5000" w:type="pct"/>
            <w:gridSpan w:val="3"/>
            <w:shd w:val="clear" w:color="auto" w:fill="A9DCF3"/>
            <w:noWrap/>
            <w:vAlign w:val="center"/>
          </w:tcPr>
          <w:p w14:paraId="4EE5DF1A" w14:textId="77777777" w:rsidR="00BA0236" w:rsidRPr="00B32914" w:rsidRDefault="00BA0236" w:rsidP="00B32914">
            <w:pPr>
              <w:jc w:val="center"/>
              <w:rPr>
                <w:b/>
                <w:bCs/>
                <w:color w:val="000000"/>
              </w:rPr>
            </w:pPr>
            <w:r w:rsidRPr="00B32914">
              <w:rPr>
                <w:bCs/>
                <w:color w:val="000000"/>
              </w:rPr>
              <w:t>IOP_5 Krynica Morska</w:t>
            </w:r>
          </w:p>
        </w:tc>
      </w:tr>
      <w:tr w:rsidR="00BA0236" w:rsidRPr="00B32914" w14:paraId="61142FEC" w14:textId="77777777" w:rsidTr="00B32914">
        <w:trPr>
          <w:trHeight w:val="287"/>
          <w:jc w:val="center"/>
        </w:trPr>
        <w:tc>
          <w:tcPr>
            <w:tcW w:w="1673" w:type="pct"/>
            <w:noWrap/>
            <w:vAlign w:val="center"/>
          </w:tcPr>
          <w:p w14:paraId="768F11B7" w14:textId="77777777" w:rsidR="00BA0236" w:rsidRPr="00B32914" w:rsidRDefault="00BA0236" w:rsidP="001002DE">
            <w:pPr>
              <w:rPr>
                <w:b/>
                <w:bCs/>
                <w:color w:val="000000"/>
              </w:rPr>
            </w:pPr>
            <w:r w:rsidRPr="00B32914">
              <w:rPr>
                <w:bCs/>
                <w:color w:val="000000"/>
              </w:rPr>
              <w:t>ENPV</w:t>
            </w:r>
          </w:p>
        </w:tc>
        <w:tc>
          <w:tcPr>
            <w:tcW w:w="1663" w:type="pct"/>
            <w:noWrap/>
          </w:tcPr>
          <w:p w14:paraId="69A77E55" w14:textId="77777777" w:rsidR="00BA0236" w:rsidRPr="00B32914" w:rsidRDefault="00BA0236" w:rsidP="00B32914">
            <w:pPr>
              <w:jc w:val="right"/>
              <w:rPr>
                <w:color w:val="000000"/>
              </w:rPr>
            </w:pPr>
            <w:r w:rsidRPr="00B32914">
              <w:t xml:space="preserve">546 </w:t>
            </w:r>
          </w:p>
        </w:tc>
        <w:tc>
          <w:tcPr>
            <w:tcW w:w="1664" w:type="pct"/>
            <w:noWrap/>
          </w:tcPr>
          <w:p w14:paraId="59A66F99" w14:textId="77777777" w:rsidR="00BA0236" w:rsidRPr="00B32914" w:rsidRDefault="00BA0236" w:rsidP="00B32914">
            <w:pPr>
              <w:jc w:val="right"/>
              <w:rPr>
                <w:color w:val="000000"/>
              </w:rPr>
            </w:pPr>
            <w:r w:rsidRPr="00B32914">
              <w:t xml:space="preserve">(918) </w:t>
            </w:r>
          </w:p>
        </w:tc>
      </w:tr>
      <w:tr w:rsidR="00BA0236" w:rsidRPr="00B32914" w14:paraId="0A30C7C6" w14:textId="77777777" w:rsidTr="00B32914">
        <w:trPr>
          <w:trHeight w:val="287"/>
          <w:jc w:val="center"/>
        </w:trPr>
        <w:tc>
          <w:tcPr>
            <w:tcW w:w="1673" w:type="pct"/>
            <w:noWrap/>
            <w:vAlign w:val="center"/>
          </w:tcPr>
          <w:p w14:paraId="5E7F6DCA" w14:textId="77777777" w:rsidR="00BA0236" w:rsidRPr="00B32914" w:rsidRDefault="00BA0236" w:rsidP="001002DE">
            <w:pPr>
              <w:rPr>
                <w:b/>
                <w:bCs/>
                <w:color w:val="000000"/>
              </w:rPr>
            </w:pPr>
            <w:r w:rsidRPr="00B32914">
              <w:rPr>
                <w:bCs/>
                <w:color w:val="000000"/>
              </w:rPr>
              <w:t>EIRR</w:t>
            </w:r>
          </w:p>
        </w:tc>
        <w:tc>
          <w:tcPr>
            <w:tcW w:w="1663" w:type="pct"/>
            <w:noWrap/>
          </w:tcPr>
          <w:p w14:paraId="59A3BE4A" w14:textId="77777777" w:rsidR="00BA0236" w:rsidRPr="00B32914" w:rsidRDefault="00BA0236" w:rsidP="00B32914">
            <w:pPr>
              <w:jc w:val="right"/>
              <w:rPr>
                <w:color w:val="000000"/>
              </w:rPr>
            </w:pPr>
            <w:r w:rsidRPr="00B32914">
              <w:t>5,86%</w:t>
            </w:r>
          </w:p>
        </w:tc>
        <w:tc>
          <w:tcPr>
            <w:tcW w:w="1664" w:type="pct"/>
            <w:noWrap/>
          </w:tcPr>
          <w:p w14:paraId="79C809E6" w14:textId="77777777" w:rsidR="00BA0236" w:rsidRPr="00B32914" w:rsidRDefault="00BA0236" w:rsidP="00B32914">
            <w:pPr>
              <w:jc w:val="right"/>
              <w:rPr>
                <w:color w:val="000000"/>
              </w:rPr>
            </w:pPr>
            <w:r w:rsidRPr="00B32914">
              <w:t>4,01%</w:t>
            </w:r>
          </w:p>
        </w:tc>
      </w:tr>
      <w:tr w:rsidR="00BA0236" w:rsidRPr="00B32914" w14:paraId="0C44C2BB" w14:textId="77777777" w:rsidTr="00B32914">
        <w:trPr>
          <w:trHeight w:val="287"/>
          <w:jc w:val="center"/>
        </w:trPr>
        <w:tc>
          <w:tcPr>
            <w:tcW w:w="1673" w:type="pct"/>
            <w:noWrap/>
            <w:vAlign w:val="center"/>
          </w:tcPr>
          <w:p w14:paraId="0C6CBD4A" w14:textId="77777777" w:rsidR="00BA0236" w:rsidRPr="00B32914" w:rsidRDefault="00BA0236" w:rsidP="001002DE">
            <w:pPr>
              <w:rPr>
                <w:b/>
                <w:bCs/>
                <w:color w:val="000000"/>
              </w:rPr>
            </w:pPr>
            <w:r w:rsidRPr="00B32914">
              <w:rPr>
                <w:bCs/>
                <w:color w:val="000000"/>
              </w:rPr>
              <w:t>B/C</w:t>
            </w:r>
          </w:p>
        </w:tc>
        <w:tc>
          <w:tcPr>
            <w:tcW w:w="1663" w:type="pct"/>
            <w:noWrap/>
          </w:tcPr>
          <w:p w14:paraId="42A688DD" w14:textId="77777777" w:rsidR="00BA0236" w:rsidRPr="00B32914" w:rsidRDefault="00BA0236" w:rsidP="00B32914">
            <w:pPr>
              <w:jc w:val="right"/>
              <w:rPr>
                <w:color w:val="000000"/>
              </w:rPr>
            </w:pPr>
            <w:r w:rsidRPr="00B32914">
              <w:t xml:space="preserve">1,17 </w:t>
            </w:r>
          </w:p>
        </w:tc>
        <w:tc>
          <w:tcPr>
            <w:tcW w:w="1664" w:type="pct"/>
            <w:noWrap/>
          </w:tcPr>
          <w:p w14:paraId="09DD5CFB" w14:textId="77777777" w:rsidR="00BA0236" w:rsidRPr="00B32914" w:rsidRDefault="00BA0236" w:rsidP="00B32914">
            <w:pPr>
              <w:jc w:val="right"/>
              <w:rPr>
                <w:color w:val="000000"/>
              </w:rPr>
            </w:pPr>
            <w:r w:rsidRPr="00B32914">
              <w:t xml:space="preserve">0,83 </w:t>
            </w:r>
          </w:p>
        </w:tc>
      </w:tr>
      <w:tr w:rsidR="00BA0236" w:rsidRPr="00B32914" w14:paraId="2A73F3B6" w14:textId="77777777" w:rsidTr="00B32914">
        <w:trPr>
          <w:trHeight w:val="287"/>
          <w:jc w:val="center"/>
        </w:trPr>
        <w:tc>
          <w:tcPr>
            <w:tcW w:w="5000" w:type="pct"/>
            <w:gridSpan w:val="3"/>
            <w:shd w:val="clear" w:color="auto" w:fill="A9DCF3"/>
            <w:noWrap/>
            <w:vAlign w:val="center"/>
          </w:tcPr>
          <w:p w14:paraId="44EF4697" w14:textId="77777777" w:rsidR="00BA0236" w:rsidRPr="00B32914" w:rsidRDefault="00BA0236" w:rsidP="00B32914">
            <w:pPr>
              <w:jc w:val="center"/>
              <w:rPr>
                <w:b/>
                <w:bCs/>
                <w:color w:val="000000"/>
              </w:rPr>
            </w:pPr>
            <w:r w:rsidRPr="00B32914">
              <w:rPr>
                <w:bCs/>
                <w:color w:val="000000"/>
              </w:rPr>
              <w:t>IOP_7 Ustka</w:t>
            </w:r>
          </w:p>
        </w:tc>
      </w:tr>
      <w:tr w:rsidR="00BA0236" w:rsidRPr="00B32914" w14:paraId="59309142" w14:textId="77777777" w:rsidTr="00B32914">
        <w:trPr>
          <w:trHeight w:val="287"/>
          <w:jc w:val="center"/>
        </w:trPr>
        <w:tc>
          <w:tcPr>
            <w:tcW w:w="1673" w:type="pct"/>
            <w:noWrap/>
            <w:vAlign w:val="center"/>
          </w:tcPr>
          <w:p w14:paraId="3D595353" w14:textId="77777777" w:rsidR="00BA0236" w:rsidRPr="00B32914" w:rsidRDefault="00BA0236" w:rsidP="001002DE">
            <w:pPr>
              <w:rPr>
                <w:b/>
                <w:bCs/>
                <w:color w:val="000000"/>
              </w:rPr>
            </w:pPr>
            <w:r w:rsidRPr="00B32914">
              <w:rPr>
                <w:bCs/>
                <w:color w:val="000000"/>
              </w:rPr>
              <w:t>ENPV</w:t>
            </w:r>
          </w:p>
        </w:tc>
        <w:tc>
          <w:tcPr>
            <w:tcW w:w="1663" w:type="pct"/>
            <w:noWrap/>
          </w:tcPr>
          <w:p w14:paraId="26DE7890" w14:textId="77777777" w:rsidR="00BA0236" w:rsidRPr="00B32914" w:rsidRDefault="00BA0236" w:rsidP="00B32914">
            <w:pPr>
              <w:jc w:val="right"/>
              <w:rPr>
                <w:color w:val="000000"/>
              </w:rPr>
            </w:pPr>
            <w:r w:rsidRPr="00B32914">
              <w:t>5 585</w:t>
            </w:r>
          </w:p>
        </w:tc>
        <w:tc>
          <w:tcPr>
            <w:tcW w:w="1664" w:type="pct"/>
            <w:noWrap/>
          </w:tcPr>
          <w:p w14:paraId="3FC3E4E2" w14:textId="77777777" w:rsidR="00BA0236" w:rsidRPr="00B32914" w:rsidRDefault="00BA0236" w:rsidP="00B32914">
            <w:pPr>
              <w:jc w:val="right"/>
              <w:rPr>
                <w:color w:val="000000"/>
              </w:rPr>
            </w:pPr>
            <w:r w:rsidRPr="00B32914">
              <w:t>6 891</w:t>
            </w:r>
          </w:p>
        </w:tc>
      </w:tr>
      <w:tr w:rsidR="00BA0236" w:rsidRPr="00B32914" w14:paraId="5E8040A6" w14:textId="77777777" w:rsidTr="00B32914">
        <w:trPr>
          <w:trHeight w:val="287"/>
          <w:jc w:val="center"/>
        </w:trPr>
        <w:tc>
          <w:tcPr>
            <w:tcW w:w="1673" w:type="pct"/>
            <w:noWrap/>
            <w:vAlign w:val="center"/>
          </w:tcPr>
          <w:p w14:paraId="3741850B" w14:textId="77777777" w:rsidR="00BA0236" w:rsidRPr="00B32914" w:rsidRDefault="00BA0236" w:rsidP="001002DE">
            <w:pPr>
              <w:rPr>
                <w:b/>
                <w:bCs/>
                <w:color w:val="000000"/>
              </w:rPr>
            </w:pPr>
            <w:r w:rsidRPr="00B32914">
              <w:rPr>
                <w:bCs/>
                <w:color w:val="000000"/>
              </w:rPr>
              <w:t>EIRR</w:t>
            </w:r>
          </w:p>
        </w:tc>
        <w:tc>
          <w:tcPr>
            <w:tcW w:w="1663" w:type="pct"/>
            <w:noWrap/>
          </w:tcPr>
          <w:p w14:paraId="6799B855" w14:textId="77777777" w:rsidR="00BA0236" w:rsidRPr="00B32914" w:rsidRDefault="00BA0236" w:rsidP="00B32914">
            <w:pPr>
              <w:jc w:val="right"/>
              <w:rPr>
                <w:color w:val="000000"/>
              </w:rPr>
            </w:pPr>
            <w:r w:rsidRPr="00B32914">
              <w:t>11,78%</w:t>
            </w:r>
          </w:p>
        </w:tc>
        <w:tc>
          <w:tcPr>
            <w:tcW w:w="1664" w:type="pct"/>
            <w:noWrap/>
          </w:tcPr>
          <w:p w14:paraId="0F417DB5" w14:textId="77777777" w:rsidR="00BA0236" w:rsidRPr="00B32914" w:rsidRDefault="00BA0236" w:rsidP="00B32914">
            <w:pPr>
              <w:jc w:val="right"/>
              <w:rPr>
                <w:color w:val="000000"/>
              </w:rPr>
            </w:pPr>
            <w:r w:rsidRPr="00B32914">
              <w:t>17,19%</w:t>
            </w:r>
          </w:p>
        </w:tc>
      </w:tr>
      <w:tr w:rsidR="00BA0236" w:rsidRPr="00B32914" w14:paraId="1332DAA4" w14:textId="77777777" w:rsidTr="00B32914">
        <w:trPr>
          <w:trHeight w:val="287"/>
          <w:jc w:val="center"/>
        </w:trPr>
        <w:tc>
          <w:tcPr>
            <w:tcW w:w="1673" w:type="pct"/>
            <w:noWrap/>
            <w:vAlign w:val="center"/>
          </w:tcPr>
          <w:p w14:paraId="793D0D79" w14:textId="77777777" w:rsidR="00BA0236" w:rsidRPr="00B32914" w:rsidRDefault="00BA0236" w:rsidP="001002DE">
            <w:pPr>
              <w:rPr>
                <w:b/>
                <w:bCs/>
                <w:color w:val="000000"/>
              </w:rPr>
            </w:pPr>
            <w:r w:rsidRPr="00B32914">
              <w:rPr>
                <w:bCs/>
                <w:color w:val="000000"/>
              </w:rPr>
              <w:t>B/C</w:t>
            </w:r>
          </w:p>
        </w:tc>
        <w:tc>
          <w:tcPr>
            <w:tcW w:w="1663" w:type="pct"/>
            <w:noWrap/>
          </w:tcPr>
          <w:p w14:paraId="363ACDC0" w14:textId="77777777" w:rsidR="00BA0236" w:rsidRPr="00B32914" w:rsidRDefault="00BA0236" w:rsidP="00B32914">
            <w:pPr>
              <w:jc w:val="right"/>
              <w:rPr>
                <w:color w:val="000000"/>
              </w:rPr>
            </w:pPr>
            <w:r w:rsidRPr="00B32914">
              <w:t xml:space="preserve">2,72 </w:t>
            </w:r>
          </w:p>
        </w:tc>
        <w:tc>
          <w:tcPr>
            <w:tcW w:w="1664" w:type="pct"/>
            <w:noWrap/>
          </w:tcPr>
          <w:p w14:paraId="08F3FCB8" w14:textId="77777777" w:rsidR="00BA0236" w:rsidRPr="00B32914" w:rsidRDefault="00BA0236" w:rsidP="00B32914">
            <w:pPr>
              <w:jc w:val="right"/>
              <w:rPr>
                <w:color w:val="000000"/>
              </w:rPr>
            </w:pPr>
            <w:r w:rsidRPr="00B32914">
              <w:t>4,64</w:t>
            </w:r>
          </w:p>
        </w:tc>
      </w:tr>
      <w:tr w:rsidR="00BA0236" w:rsidRPr="00B32914" w14:paraId="43B8231F" w14:textId="77777777" w:rsidTr="00B32914">
        <w:trPr>
          <w:trHeight w:val="287"/>
          <w:jc w:val="center"/>
        </w:trPr>
        <w:tc>
          <w:tcPr>
            <w:tcW w:w="5000" w:type="pct"/>
            <w:gridSpan w:val="3"/>
            <w:shd w:val="clear" w:color="auto" w:fill="A9DCF3"/>
            <w:noWrap/>
            <w:vAlign w:val="center"/>
          </w:tcPr>
          <w:p w14:paraId="20FA771C" w14:textId="77777777" w:rsidR="00BA0236" w:rsidRPr="00B32914" w:rsidRDefault="00BA0236" w:rsidP="00B32914">
            <w:pPr>
              <w:jc w:val="center"/>
              <w:rPr>
                <w:b/>
                <w:bCs/>
                <w:color w:val="000000"/>
              </w:rPr>
            </w:pPr>
            <w:r w:rsidRPr="00B32914">
              <w:rPr>
                <w:bCs/>
                <w:color w:val="000000"/>
              </w:rPr>
              <w:t xml:space="preserve">IOP_8 </w:t>
            </w:r>
            <w:r w:rsidRPr="00B32914">
              <w:rPr>
                <w:color w:val="000000"/>
              </w:rPr>
              <w:t>Dębki</w:t>
            </w:r>
          </w:p>
        </w:tc>
      </w:tr>
      <w:tr w:rsidR="00BA0236" w:rsidRPr="00B32914" w14:paraId="51458366" w14:textId="77777777" w:rsidTr="00B32914">
        <w:trPr>
          <w:trHeight w:val="287"/>
          <w:jc w:val="center"/>
        </w:trPr>
        <w:tc>
          <w:tcPr>
            <w:tcW w:w="1673" w:type="pct"/>
            <w:noWrap/>
            <w:vAlign w:val="center"/>
          </w:tcPr>
          <w:p w14:paraId="0A282DB6" w14:textId="77777777" w:rsidR="00BA0236" w:rsidRPr="00B32914" w:rsidRDefault="00BA0236" w:rsidP="001002DE">
            <w:pPr>
              <w:rPr>
                <w:b/>
                <w:bCs/>
                <w:color w:val="000000"/>
              </w:rPr>
            </w:pPr>
            <w:r w:rsidRPr="00B32914">
              <w:rPr>
                <w:bCs/>
                <w:color w:val="000000"/>
              </w:rPr>
              <w:t>ENPV</w:t>
            </w:r>
          </w:p>
        </w:tc>
        <w:tc>
          <w:tcPr>
            <w:tcW w:w="1663" w:type="pct"/>
            <w:noWrap/>
          </w:tcPr>
          <w:p w14:paraId="426E639A" w14:textId="77777777" w:rsidR="00BA0236" w:rsidRPr="00B32914" w:rsidRDefault="00BA0236" w:rsidP="00B32914">
            <w:pPr>
              <w:jc w:val="right"/>
              <w:rPr>
                <w:color w:val="000000"/>
              </w:rPr>
            </w:pPr>
            <w:r w:rsidRPr="00B32914">
              <w:t xml:space="preserve">(345) </w:t>
            </w:r>
          </w:p>
        </w:tc>
        <w:tc>
          <w:tcPr>
            <w:tcW w:w="1664" w:type="pct"/>
            <w:noWrap/>
          </w:tcPr>
          <w:p w14:paraId="1FEFE589" w14:textId="77777777" w:rsidR="00BA0236" w:rsidRPr="00B32914" w:rsidRDefault="00BA0236" w:rsidP="00B32914">
            <w:pPr>
              <w:jc w:val="right"/>
              <w:rPr>
                <w:color w:val="000000"/>
              </w:rPr>
            </w:pPr>
            <w:r w:rsidRPr="00B32914">
              <w:t xml:space="preserve">45 649 </w:t>
            </w:r>
          </w:p>
        </w:tc>
      </w:tr>
      <w:tr w:rsidR="00BA0236" w:rsidRPr="00B32914" w14:paraId="7818BBF7" w14:textId="77777777" w:rsidTr="00B32914">
        <w:trPr>
          <w:trHeight w:val="287"/>
          <w:jc w:val="center"/>
        </w:trPr>
        <w:tc>
          <w:tcPr>
            <w:tcW w:w="1673" w:type="pct"/>
            <w:noWrap/>
            <w:vAlign w:val="center"/>
          </w:tcPr>
          <w:p w14:paraId="72CEB698" w14:textId="77777777" w:rsidR="00BA0236" w:rsidRPr="00B32914" w:rsidRDefault="00BA0236" w:rsidP="001002DE">
            <w:pPr>
              <w:rPr>
                <w:b/>
                <w:bCs/>
                <w:color w:val="000000"/>
              </w:rPr>
            </w:pPr>
            <w:r w:rsidRPr="00B32914">
              <w:rPr>
                <w:bCs/>
                <w:color w:val="000000"/>
              </w:rPr>
              <w:t>EIRR</w:t>
            </w:r>
          </w:p>
        </w:tc>
        <w:tc>
          <w:tcPr>
            <w:tcW w:w="1663" w:type="pct"/>
            <w:noWrap/>
          </w:tcPr>
          <w:p w14:paraId="7F3FDD8D" w14:textId="77777777" w:rsidR="00BA0236" w:rsidRPr="00B32914" w:rsidRDefault="00BA0236" w:rsidP="00B32914">
            <w:pPr>
              <w:jc w:val="right"/>
              <w:rPr>
                <w:color w:val="000000"/>
              </w:rPr>
            </w:pPr>
            <w:r w:rsidRPr="00B32914">
              <w:t>4,40%</w:t>
            </w:r>
          </w:p>
        </w:tc>
        <w:tc>
          <w:tcPr>
            <w:tcW w:w="1664" w:type="pct"/>
            <w:noWrap/>
          </w:tcPr>
          <w:p w14:paraId="50235FA2" w14:textId="77777777" w:rsidR="00BA0236" w:rsidRPr="00B32914" w:rsidRDefault="00BA0236" w:rsidP="00B32914">
            <w:pPr>
              <w:jc w:val="right"/>
              <w:rPr>
                <w:color w:val="000000"/>
              </w:rPr>
            </w:pPr>
            <w:r w:rsidRPr="00B32914">
              <w:t>42,08%</w:t>
            </w:r>
          </w:p>
        </w:tc>
      </w:tr>
      <w:tr w:rsidR="00BA0236" w:rsidRPr="00B32914" w14:paraId="3D0B90B0" w14:textId="77777777" w:rsidTr="00B32914">
        <w:trPr>
          <w:trHeight w:val="287"/>
          <w:jc w:val="center"/>
        </w:trPr>
        <w:tc>
          <w:tcPr>
            <w:tcW w:w="1673" w:type="pct"/>
            <w:noWrap/>
            <w:vAlign w:val="center"/>
          </w:tcPr>
          <w:p w14:paraId="67EFE512" w14:textId="77777777" w:rsidR="00BA0236" w:rsidRPr="00B32914" w:rsidRDefault="00BA0236" w:rsidP="001002DE">
            <w:pPr>
              <w:rPr>
                <w:b/>
                <w:bCs/>
                <w:color w:val="000000"/>
              </w:rPr>
            </w:pPr>
            <w:r w:rsidRPr="00B32914">
              <w:rPr>
                <w:bCs/>
                <w:color w:val="000000"/>
              </w:rPr>
              <w:t>B/C</w:t>
            </w:r>
          </w:p>
        </w:tc>
        <w:tc>
          <w:tcPr>
            <w:tcW w:w="1663" w:type="pct"/>
            <w:noWrap/>
          </w:tcPr>
          <w:p w14:paraId="7933C491" w14:textId="77777777" w:rsidR="00BA0236" w:rsidRPr="00B32914" w:rsidRDefault="00BA0236" w:rsidP="00B32914">
            <w:pPr>
              <w:jc w:val="right"/>
              <w:rPr>
                <w:color w:val="000000"/>
              </w:rPr>
            </w:pPr>
            <w:r w:rsidRPr="00B32914">
              <w:t xml:space="preserve">0,89 </w:t>
            </w:r>
          </w:p>
        </w:tc>
        <w:tc>
          <w:tcPr>
            <w:tcW w:w="1664" w:type="pct"/>
            <w:noWrap/>
          </w:tcPr>
          <w:p w14:paraId="5208F77E" w14:textId="77777777" w:rsidR="00BA0236" w:rsidRPr="00B32914" w:rsidRDefault="00BA0236" w:rsidP="00B32914">
            <w:pPr>
              <w:jc w:val="right"/>
              <w:rPr>
                <w:color w:val="000000"/>
              </w:rPr>
            </w:pPr>
            <w:r w:rsidRPr="00B32914">
              <w:t xml:space="preserve">16,25 </w:t>
            </w:r>
          </w:p>
        </w:tc>
      </w:tr>
      <w:tr w:rsidR="00BA0236" w:rsidRPr="00B32914" w14:paraId="32418918" w14:textId="77777777" w:rsidTr="00B32914">
        <w:trPr>
          <w:trHeight w:val="287"/>
          <w:jc w:val="center"/>
        </w:trPr>
        <w:tc>
          <w:tcPr>
            <w:tcW w:w="5000" w:type="pct"/>
            <w:gridSpan w:val="3"/>
            <w:shd w:val="clear" w:color="auto" w:fill="A9DCF3"/>
            <w:noWrap/>
          </w:tcPr>
          <w:p w14:paraId="7FBA89B3" w14:textId="77777777" w:rsidR="00BA0236" w:rsidRPr="00B32914" w:rsidRDefault="00BA0236" w:rsidP="00B32914">
            <w:pPr>
              <w:jc w:val="center"/>
              <w:rPr>
                <w:b/>
                <w:bCs/>
              </w:rPr>
            </w:pPr>
            <w:r w:rsidRPr="00B32914">
              <w:rPr>
                <w:bCs/>
                <w:color w:val="000000"/>
              </w:rPr>
              <w:t>IOP_12 Łeba</w:t>
            </w:r>
          </w:p>
        </w:tc>
      </w:tr>
      <w:tr w:rsidR="00BA0236" w:rsidRPr="00B32914" w14:paraId="0163B39C" w14:textId="77777777" w:rsidTr="00B32914">
        <w:trPr>
          <w:trHeight w:val="287"/>
          <w:jc w:val="center"/>
        </w:trPr>
        <w:tc>
          <w:tcPr>
            <w:tcW w:w="1673" w:type="pct"/>
            <w:noWrap/>
            <w:vAlign w:val="center"/>
          </w:tcPr>
          <w:p w14:paraId="17353B4F" w14:textId="77777777" w:rsidR="00BA0236" w:rsidRPr="00B32914" w:rsidRDefault="00BA0236" w:rsidP="001002DE">
            <w:pPr>
              <w:rPr>
                <w:b/>
                <w:bCs/>
                <w:color w:val="000000"/>
              </w:rPr>
            </w:pPr>
            <w:r w:rsidRPr="00B32914">
              <w:rPr>
                <w:bCs/>
                <w:color w:val="000000"/>
              </w:rPr>
              <w:t>ENPV</w:t>
            </w:r>
          </w:p>
        </w:tc>
        <w:tc>
          <w:tcPr>
            <w:tcW w:w="1663" w:type="pct"/>
            <w:noWrap/>
          </w:tcPr>
          <w:p w14:paraId="7030F427" w14:textId="77777777" w:rsidR="00BA0236" w:rsidRPr="00B32914" w:rsidRDefault="00BA0236" w:rsidP="00B32914">
            <w:pPr>
              <w:jc w:val="right"/>
            </w:pPr>
            <w:r w:rsidRPr="00B32914">
              <w:t>633</w:t>
            </w:r>
          </w:p>
        </w:tc>
        <w:tc>
          <w:tcPr>
            <w:tcW w:w="1664" w:type="pct"/>
            <w:noWrap/>
          </w:tcPr>
          <w:p w14:paraId="21136DB0" w14:textId="77777777" w:rsidR="00BA0236" w:rsidRPr="00B32914" w:rsidRDefault="00BA0236" w:rsidP="00B32914">
            <w:pPr>
              <w:jc w:val="right"/>
            </w:pPr>
            <w:r w:rsidRPr="00B32914">
              <w:t>3 803</w:t>
            </w:r>
          </w:p>
        </w:tc>
      </w:tr>
      <w:tr w:rsidR="00BA0236" w:rsidRPr="00B32914" w14:paraId="0D5B46E1" w14:textId="77777777" w:rsidTr="00B32914">
        <w:trPr>
          <w:trHeight w:val="287"/>
          <w:jc w:val="center"/>
        </w:trPr>
        <w:tc>
          <w:tcPr>
            <w:tcW w:w="1673" w:type="pct"/>
            <w:noWrap/>
            <w:vAlign w:val="center"/>
          </w:tcPr>
          <w:p w14:paraId="68EE23C3" w14:textId="77777777" w:rsidR="00BA0236" w:rsidRPr="00B32914" w:rsidRDefault="00BA0236" w:rsidP="001002DE">
            <w:pPr>
              <w:rPr>
                <w:b/>
                <w:bCs/>
                <w:color w:val="000000"/>
              </w:rPr>
            </w:pPr>
            <w:r w:rsidRPr="00B32914">
              <w:rPr>
                <w:bCs/>
                <w:color w:val="000000"/>
              </w:rPr>
              <w:t>EIRR</w:t>
            </w:r>
          </w:p>
        </w:tc>
        <w:tc>
          <w:tcPr>
            <w:tcW w:w="1663" w:type="pct"/>
            <w:noWrap/>
          </w:tcPr>
          <w:p w14:paraId="12DEE39C" w14:textId="77777777" w:rsidR="00BA0236" w:rsidRPr="00B32914" w:rsidRDefault="00BA0236" w:rsidP="00B32914">
            <w:pPr>
              <w:jc w:val="right"/>
            </w:pPr>
            <w:r w:rsidRPr="00B32914">
              <w:t>7,46%</w:t>
            </w:r>
          </w:p>
        </w:tc>
        <w:tc>
          <w:tcPr>
            <w:tcW w:w="1664" w:type="pct"/>
            <w:noWrap/>
          </w:tcPr>
          <w:p w14:paraId="0BCE889B" w14:textId="77777777" w:rsidR="00BA0236" w:rsidRPr="00B32914" w:rsidRDefault="00BA0236" w:rsidP="00B32914">
            <w:pPr>
              <w:jc w:val="right"/>
            </w:pPr>
            <w:r w:rsidRPr="00B32914">
              <w:t>11,41%</w:t>
            </w:r>
          </w:p>
        </w:tc>
      </w:tr>
      <w:tr w:rsidR="00BA0236" w:rsidRPr="00B32914" w14:paraId="1601E35F" w14:textId="77777777" w:rsidTr="00B32914">
        <w:trPr>
          <w:trHeight w:val="287"/>
          <w:jc w:val="center"/>
        </w:trPr>
        <w:tc>
          <w:tcPr>
            <w:tcW w:w="1673" w:type="pct"/>
            <w:noWrap/>
            <w:vAlign w:val="center"/>
          </w:tcPr>
          <w:p w14:paraId="01BACB6E" w14:textId="77777777" w:rsidR="00BA0236" w:rsidRPr="00B32914" w:rsidRDefault="00BA0236" w:rsidP="001002DE">
            <w:pPr>
              <w:rPr>
                <w:b/>
                <w:bCs/>
                <w:color w:val="000000"/>
              </w:rPr>
            </w:pPr>
            <w:r w:rsidRPr="00B32914">
              <w:rPr>
                <w:bCs/>
                <w:color w:val="000000"/>
              </w:rPr>
              <w:t>B/C</w:t>
            </w:r>
          </w:p>
        </w:tc>
        <w:tc>
          <w:tcPr>
            <w:tcW w:w="1663" w:type="pct"/>
            <w:noWrap/>
          </w:tcPr>
          <w:p w14:paraId="761AFC72" w14:textId="77777777" w:rsidR="00BA0236" w:rsidRPr="00B32914" w:rsidRDefault="00BA0236" w:rsidP="00B32914">
            <w:pPr>
              <w:jc w:val="right"/>
            </w:pPr>
            <w:r w:rsidRPr="00B32914">
              <w:t>1,50</w:t>
            </w:r>
          </w:p>
        </w:tc>
        <w:tc>
          <w:tcPr>
            <w:tcW w:w="1664" w:type="pct"/>
            <w:noWrap/>
          </w:tcPr>
          <w:p w14:paraId="0453982F" w14:textId="77777777" w:rsidR="00BA0236" w:rsidRPr="00B32914" w:rsidRDefault="00BA0236" w:rsidP="00B32914">
            <w:pPr>
              <w:jc w:val="right"/>
            </w:pPr>
            <w:r w:rsidRPr="00B32914">
              <w:t>2,60</w:t>
            </w:r>
          </w:p>
        </w:tc>
      </w:tr>
      <w:tr w:rsidR="00BA0236" w:rsidRPr="00B32914" w14:paraId="7E2E5691" w14:textId="77777777" w:rsidTr="00B32914">
        <w:trPr>
          <w:trHeight w:val="287"/>
          <w:jc w:val="center"/>
        </w:trPr>
        <w:tc>
          <w:tcPr>
            <w:tcW w:w="5000" w:type="pct"/>
            <w:gridSpan w:val="3"/>
            <w:shd w:val="clear" w:color="auto" w:fill="A9DCF3"/>
            <w:noWrap/>
            <w:vAlign w:val="center"/>
          </w:tcPr>
          <w:p w14:paraId="617C7200" w14:textId="77777777" w:rsidR="00BA0236" w:rsidRPr="00B32914" w:rsidRDefault="00BA0236" w:rsidP="00B32914">
            <w:pPr>
              <w:jc w:val="center"/>
              <w:rPr>
                <w:b/>
                <w:bCs/>
                <w:color w:val="000000"/>
              </w:rPr>
            </w:pPr>
            <w:r w:rsidRPr="00B32914">
              <w:rPr>
                <w:bCs/>
                <w:color w:val="000000"/>
              </w:rPr>
              <w:t>MR_1 Żuławy Wiślane</w:t>
            </w:r>
          </w:p>
        </w:tc>
      </w:tr>
      <w:tr w:rsidR="00BA0236" w:rsidRPr="00B32914" w14:paraId="48D78479" w14:textId="77777777" w:rsidTr="00B32914">
        <w:trPr>
          <w:trHeight w:val="287"/>
          <w:jc w:val="center"/>
        </w:trPr>
        <w:tc>
          <w:tcPr>
            <w:tcW w:w="1673" w:type="pct"/>
            <w:noWrap/>
            <w:vAlign w:val="center"/>
          </w:tcPr>
          <w:p w14:paraId="52BC0072" w14:textId="77777777" w:rsidR="00BA0236" w:rsidRPr="00B32914" w:rsidRDefault="00BA0236" w:rsidP="001002DE">
            <w:pPr>
              <w:rPr>
                <w:b/>
                <w:bCs/>
                <w:color w:val="000000"/>
              </w:rPr>
            </w:pPr>
            <w:r w:rsidRPr="00B32914">
              <w:rPr>
                <w:bCs/>
                <w:color w:val="000000"/>
              </w:rPr>
              <w:t>ENPV</w:t>
            </w:r>
          </w:p>
        </w:tc>
        <w:tc>
          <w:tcPr>
            <w:tcW w:w="1663" w:type="pct"/>
            <w:noWrap/>
          </w:tcPr>
          <w:p w14:paraId="1169F45A" w14:textId="77777777" w:rsidR="00BA0236" w:rsidRPr="00B32914" w:rsidRDefault="00BA0236" w:rsidP="00B32914">
            <w:pPr>
              <w:jc w:val="right"/>
              <w:rPr>
                <w:color w:val="000000"/>
              </w:rPr>
            </w:pPr>
            <w:r w:rsidRPr="00B32914">
              <w:t xml:space="preserve">36 393 </w:t>
            </w:r>
          </w:p>
        </w:tc>
        <w:tc>
          <w:tcPr>
            <w:tcW w:w="1664" w:type="pct"/>
            <w:noWrap/>
          </w:tcPr>
          <w:p w14:paraId="28CFD97E" w14:textId="77777777" w:rsidR="00BA0236" w:rsidRPr="00B32914" w:rsidRDefault="00BA0236" w:rsidP="00B32914">
            <w:pPr>
              <w:jc w:val="right"/>
              <w:rPr>
                <w:color w:val="000000"/>
              </w:rPr>
            </w:pPr>
            <w:r w:rsidRPr="00B32914">
              <w:t xml:space="preserve">27 210 </w:t>
            </w:r>
          </w:p>
        </w:tc>
      </w:tr>
      <w:tr w:rsidR="00BA0236" w:rsidRPr="00B32914" w14:paraId="3BD84019" w14:textId="77777777" w:rsidTr="00B32914">
        <w:trPr>
          <w:trHeight w:val="287"/>
          <w:jc w:val="center"/>
        </w:trPr>
        <w:tc>
          <w:tcPr>
            <w:tcW w:w="1673" w:type="pct"/>
            <w:noWrap/>
            <w:vAlign w:val="center"/>
          </w:tcPr>
          <w:p w14:paraId="0F01FDA9" w14:textId="77777777" w:rsidR="00BA0236" w:rsidRPr="00B32914" w:rsidRDefault="00BA0236" w:rsidP="001002DE">
            <w:pPr>
              <w:rPr>
                <w:b/>
                <w:bCs/>
                <w:color w:val="000000"/>
              </w:rPr>
            </w:pPr>
            <w:r w:rsidRPr="00B32914">
              <w:rPr>
                <w:bCs/>
                <w:color w:val="000000"/>
              </w:rPr>
              <w:t>EIRR</w:t>
            </w:r>
          </w:p>
        </w:tc>
        <w:tc>
          <w:tcPr>
            <w:tcW w:w="1663" w:type="pct"/>
            <w:noWrap/>
          </w:tcPr>
          <w:p w14:paraId="5A6CFEDB" w14:textId="77777777" w:rsidR="00BA0236" w:rsidRPr="00B32914" w:rsidRDefault="00BA0236" w:rsidP="00B32914">
            <w:pPr>
              <w:jc w:val="right"/>
              <w:rPr>
                <w:color w:val="000000"/>
              </w:rPr>
            </w:pPr>
            <w:r w:rsidRPr="00B32914">
              <w:t>23,38%</w:t>
            </w:r>
          </w:p>
        </w:tc>
        <w:tc>
          <w:tcPr>
            <w:tcW w:w="1664" w:type="pct"/>
            <w:noWrap/>
          </w:tcPr>
          <w:p w14:paraId="2279F5D2" w14:textId="77777777" w:rsidR="00BA0236" w:rsidRPr="00B32914" w:rsidRDefault="00BA0236" w:rsidP="00B32914">
            <w:pPr>
              <w:jc w:val="right"/>
              <w:rPr>
                <w:color w:val="000000"/>
              </w:rPr>
            </w:pPr>
            <w:r w:rsidRPr="00B32914">
              <w:t>15,20%</w:t>
            </w:r>
          </w:p>
        </w:tc>
      </w:tr>
      <w:tr w:rsidR="00BA0236" w:rsidRPr="00B32914" w14:paraId="7E6FA3C8" w14:textId="77777777" w:rsidTr="00B32914">
        <w:trPr>
          <w:trHeight w:val="287"/>
          <w:jc w:val="center"/>
        </w:trPr>
        <w:tc>
          <w:tcPr>
            <w:tcW w:w="1673" w:type="pct"/>
            <w:noWrap/>
            <w:vAlign w:val="center"/>
          </w:tcPr>
          <w:p w14:paraId="721FCB82" w14:textId="77777777" w:rsidR="00BA0236" w:rsidRPr="00B32914" w:rsidRDefault="00BA0236" w:rsidP="001002DE">
            <w:pPr>
              <w:rPr>
                <w:b/>
                <w:bCs/>
                <w:color w:val="000000"/>
              </w:rPr>
            </w:pPr>
            <w:r w:rsidRPr="00B32914">
              <w:rPr>
                <w:bCs/>
                <w:color w:val="000000"/>
              </w:rPr>
              <w:t>B/C</w:t>
            </w:r>
          </w:p>
        </w:tc>
        <w:tc>
          <w:tcPr>
            <w:tcW w:w="1663" w:type="pct"/>
            <w:noWrap/>
          </w:tcPr>
          <w:p w14:paraId="48CF1E8E" w14:textId="77777777" w:rsidR="00BA0236" w:rsidRPr="00B32914" w:rsidRDefault="00BA0236" w:rsidP="00B32914">
            <w:pPr>
              <w:jc w:val="right"/>
              <w:rPr>
                <w:color w:val="000000"/>
              </w:rPr>
            </w:pPr>
            <w:r w:rsidRPr="00B32914">
              <w:t xml:space="preserve">5,54 </w:t>
            </w:r>
          </w:p>
        </w:tc>
        <w:tc>
          <w:tcPr>
            <w:tcW w:w="1664" w:type="pct"/>
            <w:noWrap/>
          </w:tcPr>
          <w:p w14:paraId="4CD40FD1" w14:textId="77777777" w:rsidR="00BA0236" w:rsidRPr="00B32914" w:rsidRDefault="00BA0236" w:rsidP="00B32914">
            <w:pPr>
              <w:jc w:val="right"/>
              <w:rPr>
                <w:color w:val="000000"/>
              </w:rPr>
            </w:pPr>
            <w:r w:rsidRPr="00B32914">
              <w:t xml:space="preserve">3,93 </w:t>
            </w:r>
          </w:p>
        </w:tc>
      </w:tr>
      <w:tr w:rsidR="00BA0236" w:rsidRPr="00B32914" w14:paraId="28589F84" w14:textId="77777777" w:rsidTr="00B32914">
        <w:trPr>
          <w:trHeight w:val="287"/>
          <w:jc w:val="center"/>
        </w:trPr>
        <w:tc>
          <w:tcPr>
            <w:tcW w:w="5000" w:type="pct"/>
            <w:gridSpan w:val="3"/>
            <w:shd w:val="clear" w:color="auto" w:fill="A9DCF3"/>
            <w:noWrap/>
            <w:vAlign w:val="center"/>
          </w:tcPr>
          <w:p w14:paraId="1BEB2E36" w14:textId="77777777" w:rsidR="00BA0236" w:rsidRPr="00B32914" w:rsidRDefault="00BA0236" w:rsidP="00B32914">
            <w:pPr>
              <w:jc w:val="center"/>
              <w:rPr>
                <w:b/>
                <w:bCs/>
                <w:color w:val="000000"/>
              </w:rPr>
            </w:pPr>
            <w:r w:rsidRPr="00B32914">
              <w:rPr>
                <w:bCs/>
                <w:color w:val="000000"/>
              </w:rPr>
              <w:t>MR_2 Ujście Redy</w:t>
            </w:r>
          </w:p>
        </w:tc>
      </w:tr>
      <w:tr w:rsidR="00BA0236" w:rsidRPr="00B32914" w14:paraId="1E9ECAFA" w14:textId="77777777" w:rsidTr="00B32914">
        <w:trPr>
          <w:trHeight w:val="287"/>
          <w:jc w:val="center"/>
        </w:trPr>
        <w:tc>
          <w:tcPr>
            <w:tcW w:w="1673" w:type="pct"/>
            <w:noWrap/>
            <w:vAlign w:val="center"/>
          </w:tcPr>
          <w:p w14:paraId="6AEC52E2" w14:textId="77777777" w:rsidR="00BA0236" w:rsidRPr="00B32914" w:rsidRDefault="00BA0236" w:rsidP="001002DE">
            <w:pPr>
              <w:rPr>
                <w:b/>
                <w:bCs/>
                <w:color w:val="000000"/>
              </w:rPr>
            </w:pPr>
            <w:r w:rsidRPr="00B32914">
              <w:rPr>
                <w:bCs/>
                <w:color w:val="000000"/>
              </w:rPr>
              <w:t>ENPV</w:t>
            </w:r>
          </w:p>
        </w:tc>
        <w:tc>
          <w:tcPr>
            <w:tcW w:w="1663" w:type="pct"/>
            <w:noWrap/>
          </w:tcPr>
          <w:p w14:paraId="07349055" w14:textId="77777777" w:rsidR="00BA0236" w:rsidRPr="00B32914" w:rsidRDefault="00BA0236" w:rsidP="00B32914">
            <w:pPr>
              <w:jc w:val="right"/>
            </w:pPr>
            <w:r w:rsidRPr="00B32914">
              <w:t>21 5210</w:t>
            </w:r>
          </w:p>
        </w:tc>
        <w:tc>
          <w:tcPr>
            <w:tcW w:w="1664" w:type="pct"/>
            <w:noWrap/>
          </w:tcPr>
          <w:p w14:paraId="0691B379" w14:textId="77777777" w:rsidR="00BA0236" w:rsidRPr="00B32914" w:rsidRDefault="00BA0236" w:rsidP="00B32914">
            <w:pPr>
              <w:jc w:val="right"/>
            </w:pPr>
            <w:r w:rsidRPr="00B32914">
              <w:t>24 677</w:t>
            </w:r>
          </w:p>
        </w:tc>
      </w:tr>
      <w:tr w:rsidR="00BA0236" w:rsidRPr="00B32914" w14:paraId="2FB2E96B" w14:textId="77777777" w:rsidTr="00B32914">
        <w:trPr>
          <w:trHeight w:val="287"/>
          <w:jc w:val="center"/>
        </w:trPr>
        <w:tc>
          <w:tcPr>
            <w:tcW w:w="1673" w:type="pct"/>
            <w:noWrap/>
            <w:vAlign w:val="center"/>
          </w:tcPr>
          <w:p w14:paraId="4CDD9E21" w14:textId="77777777" w:rsidR="00BA0236" w:rsidRPr="00B32914" w:rsidRDefault="00BA0236" w:rsidP="001002DE">
            <w:pPr>
              <w:rPr>
                <w:b/>
                <w:bCs/>
                <w:color w:val="000000"/>
              </w:rPr>
            </w:pPr>
            <w:r w:rsidRPr="00B32914">
              <w:rPr>
                <w:bCs/>
                <w:color w:val="000000"/>
              </w:rPr>
              <w:t>EIRR</w:t>
            </w:r>
          </w:p>
        </w:tc>
        <w:tc>
          <w:tcPr>
            <w:tcW w:w="1663" w:type="pct"/>
            <w:noWrap/>
          </w:tcPr>
          <w:p w14:paraId="6D083280" w14:textId="77777777" w:rsidR="00BA0236" w:rsidRPr="00B32914" w:rsidRDefault="00BA0236" w:rsidP="00B32914">
            <w:pPr>
              <w:jc w:val="right"/>
            </w:pPr>
            <w:r w:rsidRPr="00B32914">
              <w:t>12,26%</w:t>
            </w:r>
          </w:p>
        </w:tc>
        <w:tc>
          <w:tcPr>
            <w:tcW w:w="1664" w:type="pct"/>
            <w:noWrap/>
          </w:tcPr>
          <w:p w14:paraId="6E864285" w14:textId="77777777" w:rsidR="00BA0236" w:rsidRPr="00B32914" w:rsidRDefault="00BA0236" w:rsidP="00B32914">
            <w:pPr>
              <w:jc w:val="right"/>
            </w:pPr>
            <w:r w:rsidRPr="00B32914">
              <w:t>15,09%</w:t>
            </w:r>
          </w:p>
        </w:tc>
      </w:tr>
      <w:tr w:rsidR="00BA0236" w:rsidRPr="00B32914" w14:paraId="2AEDCEA7" w14:textId="77777777" w:rsidTr="00B32914">
        <w:trPr>
          <w:trHeight w:val="287"/>
          <w:jc w:val="center"/>
        </w:trPr>
        <w:tc>
          <w:tcPr>
            <w:tcW w:w="1673" w:type="pct"/>
            <w:noWrap/>
            <w:vAlign w:val="center"/>
          </w:tcPr>
          <w:p w14:paraId="7DB18682" w14:textId="77777777" w:rsidR="00BA0236" w:rsidRPr="00B32914" w:rsidRDefault="00BA0236" w:rsidP="001002DE">
            <w:pPr>
              <w:rPr>
                <w:b/>
                <w:bCs/>
                <w:color w:val="000000"/>
              </w:rPr>
            </w:pPr>
            <w:r w:rsidRPr="00B32914">
              <w:rPr>
                <w:bCs/>
                <w:color w:val="000000"/>
              </w:rPr>
              <w:t>B/C</w:t>
            </w:r>
          </w:p>
        </w:tc>
        <w:tc>
          <w:tcPr>
            <w:tcW w:w="1663" w:type="pct"/>
            <w:noWrap/>
          </w:tcPr>
          <w:p w14:paraId="1E8224DC" w14:textId="77777777" w:rsidR="00BA0236" w:rsidRPr="00B32914" w:rsidRDefault="00BA0236" w:rsidP="00B32914">
            <w:pPr>
              <w:jc w:val="right"/>
            </w:pPr>
            <w:r w:rsidRPr="00B32914">
              <w:t>2,74</w:t>
            </w:r>
          </w:p>
        </w:tc>
        <w:tc>
          <w:tcPr>
            <w:tcW w:w="1664" w:type="pct"/>
            <w:noWrap/>
          </w:tcPr>
          <w:p w14:paraId="01CCDAAD" w14:textId="77777777" w:rsidR="00BA0236" w:rsidRPr="00B32914" w:rsidRDefault="00BA0236" w:rsidP="00B32914">
            <w:pPr>
              <w:jc w:val="right"/>
            </w:pPr>
            <w:r w:rsidRPr="00B32914">
              <w:t>3,73</w:t>
            </w:r>
          </w:p>
        </w:tc>
      </w:tr>
    </w:tbl>
    <w:p w14:paraId="4CBBE315" w14:textId="77777777" w:rsidR="00A26088" w:rsidRDefault="00A26088" w:rsidP="007C28CC">
      <w:pPr>
        <w:pStyle w:val="ReportText"/>
        <w:spacing w:before="120" w:after="120"/>
      </w:pPr>
    </w:p>
    <w:p w14:paraId="001DB22B" w14:textId="5F036E4D" w:rsidR="00BA0236" w:rsidRPr="007C28CC" w:rsidRDefault="00A26088" w:rsidP="007C28CC">
      <w:pPr>
        <w:pStyle w:val="ReportText"/>
        <w:spacing w:before="120" w:after="120"/>
      </w:pPr>
      <w:r>
        <w:br w:type="column"/>
      </w:r>
      <w:r w:rsidR="00BA0236" w:rsidRPr="007C28CC">
        <w:lastRenderedPageBreak/>
        <w:t xml:space="preserve">Warianty, które uzyskały pozytywny wynik analizy kosztów i korzyści były kwalifikowane do prowadzenia analizy wielokryterialnej, o ile w danym obszarze problemowym możliwe było sformułowanie co najmniej dwóch wariantów, które by skutecznie chroniły ww. obszar problemowy i jednocześnie byłyby realne do wdrożenia oraz charakteryzowałyby się efektywnością ekonomiczną. Jako pozytywny wynik analizy kosztów i korzyści kwalifikowano zadania, które spełniały wszystkie poniższe warunki: </w:t>
      </w:r>
    </w:p>
    <w:p w14:paraId="0E48C968" w14:textId="77777777" w:rsidR="00BA0236" w:rsidRPr="00A26088" w:rsidRDefault="00BA0236" w:rsidP="00A30588">
      <w:pPr>
        <w:pStyle w:val="Akapitzlist"/>
        <w:numPr>
          <w:ilvl w:val="0"/>
          <w:numId w:val="32"/>
        </w:numPr>
        <w:ind w:left="567" w:hanging="425"/>
        <w:jc w:val="both"/>
        <w:rPr>
          <w:sz w:val="24"/>
          <w:szCs w:val="24"/>
        </w:rPr>
      </w:pPr>
      <w:r w:rsidRPr="00A26088">
        <w:rPr>
          <w:sz w:val="24"/>
          <w:szCs w:val="24"/>
        </w:rPr>
        <w:t xml:space="preserve">Wskaźnik korzyści do kosztów B/C (ang. Benefits / costs) wyższy od 1;  </w:t>
      </w:r>
    </w:p>
    <w:p w14:paraId="19634D96" w14:textId="77777777" w:rsidR="00BA0236" w:rsidRPr="00A26088" w:rsidRDefault="00BA0236" w:rsidP="00A30588">
      <w:pPr>
        <w:pStyle w:val="Akapitzlist"/>
        <w:numPr>
          <w:ilvl w:val="0"/>
          <w:numId w:val="32"/>
        </w:numPr>
        <w:ind w:left="567" w:hanging="425"/>
        <w:jc w:val="both"/>
        <w:rPr>
          <w:sz w:val="24"/>
          <w:szCs w:val="24"/>
          <w:lang w:val="en-US"/>
        </w:rPr>
      </w:pPr>
      <w:r w:rsidRPr="00A26088">
        <w:rPr>
          <w:sz w:val="24"/>
          <w:szCs w:val="24"/>
        </w:rPr>
        <w:t xml:space="preserve">Ekonomiczna wartość bieżąca netto ENPV (ang. </w:t>
      </w:r>
      <w:r w:rsidRPr="00A26088">
        <w:rPr>
          <w:sz w:val="24"/>
          <w:szCs w:val="24"/>
          <w:lang w:val="en-US"/>
        </w:rPr>
        <w:t xml:space="preserve">Economic net present value) większa od 0; </w:t>
      </w:r>
    </w:p>
    <w:p w14:paraId="11A43B2F" w14:textId="77777777" w:rsidR="00BA0236" w:rsidRPr="00A26088" w:rsidRDefault="00BA0236" w:rsidP="00A30588">
      <w:pPr>
        <w:pStyle w:val="Akapitzlist"/>
        <w:numPr>
          <w:ilvl w:val="0"/>
          <w:numId w:val="32"/>
        </w:numPr>
        <w:ind w:left="567" w:hanging="425"/>
        <w:jc w:val="both"/>
        <w:rPr>
          <w:sz w:val="24"/>
          <w:szCs w:val="24"/>
        </w:rPr>
      </w:pPr>
      <w:r w:rsidRPr="00A26088">
        <w:rPr>
          <w:sz w:val="24"/>
          <w:szCs w:val="24"/>
        </w:rPr>
        <w:t>Ekonomiczna wewnętrzna stopa zwrotu ERR (ang. Economic rate of return) większa od stopy dyskontowej.</w:t>
      </w:r>
    </w:p>
    <w:p w14:paraId="647F2EE1" w14:textId="77777777" w:rsidR="00BA0236" w:rsidRPr="007C28CC" w:rsidRDefault="00BA0236" w:rsidP="007C28CC">
      <w:pPr>
        <w:pStyle w:val="ReportText"/>
        <w:spacing w:before="120" w:after="120"/>
      </w:pPr>
      <w:r w:rsidRPr="007C28CC">
        <w:t>W przypadku braku pozytywnego wyniku analizy kosztów i korzyści dla wszystkich analizowanych wariantów planistycznych zawierających działania techniczne, zarekomendowany został jedynie wariant nietechniczny. Jeśli w danym obszarze problemowym zidentyfikowano tylko jeden wariant realny do wdrożenia, to rekomendacja następowała na podstawie wyników analizy kosztów i korzyści.</w:t>
      </w:r>
    </w:p>
    <w:p w14:paraId="7E365198" w14:textId="77777777" w:rsidR="00BA0236" w:rsidRPr="007C28CC" w:rsidRDefault="00BA0236" w:rsidP="007C28CC">
      <w:pPr>
        <w:pStyle w:val="ReportText"/>
        <w:spacing w:before="120" w:after="120"/>
      </w:pPr>
      <w:r w:rsidRPr="007C28CC">
        <w:t>W przypadku większości obszarów problemowych wyniki analizy kosztów i korzyści były pozytywne dla obu proponowanych wariantów planistycznych.</w:t>
      </w:r>
    </w:p>
    <w:p w14:paraId="04E5412A" w14:textId="77777777" w:rsidR="00BA0236" w:rsidRPr="007C28CC" w:rsidRDefault="00BA0236" w:rsidP="007C28CC">
      <w:pPr>
        <w:pStyle w:val="ReportText"/>
        <w:spacing w:before="120" w:after="120"/>
      </w:pPr>
      <w:r w:rsidRPr="007C28CC">
        <w:t>W przypadku obszarów problemowych IOP_5 Krynica Morska i IOP_8 Dębki wyniki analizy kosztów i korzyści były negatywne dla jednego z proponowanych wariantów planistycznych, wobec czego rekomendowanym wariantem ochrony przeciwpowodziowej są warianty, które otrzymały pozytywne oceny. Dla obszaru problemowego IOP_5 Krynica Morska jest to wariant „I”, dla obszaru problemowego IOP_8 Dębki jest to wariant „II”.</w:t>
      </w:r>
    </w:p>
    <w:p w14:paraId="6A018EFE" w14:textId="5BD01A46" w:rsidR="00BA0236" w:rsidRPr="007C28CC" w:rsidRDefault="00A26088" w:rsidP="00E8074C">
      <w:pPr>
        <w:pStyle w:val="ReportLevel2"/>
        <w:numPr>
          <w:ilvl w:val="1"/>
          <w:numId w:val="9"/>
        </w:numPr>
      </w:pPr>
      <w:bookmarkStart w:id="161" w:name="_Toc79511686"/>
      <w:r>
        <w:br w:type="column"/>
      </w:r>
      <w:bookmarkStart w:id="162" w:name="_Toc80604866"/>
      <w:r w:rsidR="00BA0236" w:rsidRPr="007C28CC">
        <w:lastRenderedPageBreak/>
        <w:t>Analiza wielokryterialna</w:t>
      </w:r>
      <w:bookmarkEnd w:id="161"/>
      <w:bookmarkEnd w:id="162"/>
    </w:p>
    <w:p w14:paraId="58D7A2F4" w14:textId="77777777" w:rsidR="00BA0236" w:rsidRPr="007C28CC" w:rsidRDefault="00BA0236" w:rsidP="007C28CC">
      <w:pPr>
        <w:pStyle w:val="ReportText"/>
        <w:spacing w:before="120" w:after="120"/>
      </w:pPr>
      <w:r w:rsidRPr="007C28CC">
        <w:t xml:space="preserve">Analizy wielokryterialne wykorzystano, aby wyłonić optymalne warianty planistyczne spośród zaproponowanych wariantów planistycznych, które uzyskały pozytywny wynik analizy kosztów i korzyści. </w:t>
      </w:r>
    </w:p>
    <w:p w14:paraId="63934E12" w14:textId="77777777" w:rsidR="00BA0236" w:rsidRPr="007C28CC" w:rsidRDefault="00BA0236" w:rsidP="007C28CC">
      <w:pPr>
        <w:pStyle w:val="ReportText"/>
        <w:spacing w:before="120" w:after="120"/>
      </w:pPr>
      <w:r w:rsidRPr="007C28CC">
        <w:t>Analiza porównawcza spełniania danego kryterium przez analizowane warianty parami wykonywana jest osobno dla każdego kryterium, czyli porównuje się parami warianty rozwiązania problemu w obszarze problemowym w świetle każdego z kryteriów osobno.</w:t>
      </w:r>
    </w:p>
    <w:p w14:paraId="2526E3CE" w14:textId="77777777" w:rsidR="00BA0236" w:rsidRPr="007C28CC" w:rsidRDefault="00BA0236" w:rsidP="007C28CC">
      <w:pPr>
        <w:pStyle w:val="ReportText"/>
        <w:spacing w:before="120" w:after="120"/>
      </w:pPr>
      <w:r w:rsidRPr="007C28CC">
        <w:t>Zastosowanie tego narzędzia umożliwiło podejmowanie decyzji w obliczu niejednorodnych i konkurencyjnych kryteriów wyboru. Efektem przeprowadzonej analizy wielokryterialnej jest także ustalenie priorytetów działań na poziomie zlewni planistycznej. Przeprowadzona analiza wielokryterialna pozwoliła uszeregować działania od najpilniejszych do najmniej pilnych w obrębie każdej zlewni planistycznej.</w:t>
      </w:r>
    </w:p>
    <w:p w14:paraId="5FFE1274" w14:textId="6526822F" w:rsidR="00BA0236" w:rsidRPr="007C28CC" w:rsidRDefault="00BA0236" w:rsidP="007C28CC">
      <w:pPr>
        <w:pStyle w:val="ReportText"/>
        <w:spacing w:before="120" w:after="120"/>
      </w:pPr>
      <w:r w:rsidRPr="007C28CC">
        <w:t>Analiza wielokryterialna została przygotowana zgodnie z metodyką AHP - the Analytic Hierarchy Process i zarówno jak analiza wykonywana podczas prac nad aPZRP uwzględniała kryteria ekonomiczne, społeczne, środowiskowe oraz powodziowe. Do kwalifikacji wariantów planistycznych posłużyły oceny wykonane dla ośmiu kryteriów zbiorczych. Wagi kryteriów zostały określone na potrzeby projektu aPZRP</w:t>
      </w:r>
      <w:r>
        <w:t xml:space="preserve"> </w:t>
      </w:r>
      <w:r w:rsidRPr="007C28CC">
        <w:t xml:space="preserve">i w przedmiotowym projekcie wykorzystano te same wskaźniki tak aby zachować homogeniczność ocen. Kryteria zbiorcze wraz z przypisanymi do nich wagami przedstawia </w:t>
      </w:r>
      <w:r w:rsidRPr="007C28CC">
        <w:fldChar w:fldCharType="begin"/>
      </w:r>
      <w:r w:rsidRPr="007C28CC">
        <w:instrText xml:space="preserve"> REF _Ref76654642 \h </w:instrText>
      </w:r>
      <w:r w:rsidRPr="007C28CC">
        <w:fldChar w:fldCharType="separate"/>
      </w:r>
      <w:r w:rsidR="00FD3F9A" w:rsidRPr="00A30588">
        <w:rPr>
          <w:szCs w:val="28"/>
        </w:rPr>
        <w:t xml:space="preserve">Tabela </w:t>
      </w:r>
      <w:r w:rsidR="00FD3F9A">
        <w:rPr>
          <w:noProof/>
          <w:szCs w:val="28"/>
        </w:rPr>
        <w:t>11</w:t>
      </w:r>
      <w:r w:rsidRPr="007C28CC">
        <w:fldChar w:fldCharType="end"/>
      </w:r>
      <w:r w:rsidRPr="007C28CC">
        <w:t>.</w:t>
      </w:r>
    </w:p>
    <w:p w14:paraId="3116C3F5" w14:textId="0940E676" w:rsidR="00BA0236" w:rsidRPr="00A30588" w:rsidRDefault="00BA0236" w:rsidP="00A30588">
      <w:pPr>
        <w:pStyle w:val="Legenda"/>
        <w:tabs>
          <w:tab w:val="clear" w:pos="1080"/>
        </w:tabs>
        <w:spacing w:before="120" w:after="0"/>
        <w:ind w:left="1134" w:hanging="1134"/>
        <w:jc w:val="both"/>
        <w:rPr>
          <w:sz w:val="24"/>
          <w:szCs w:val="28"/>
        </w:rPr>
      </w:pPr>
      <w:bookmarkStart w:id="163" w:name="_Ref76654642"/>
      <w:bookmarkStart w:id="164" w:name="_Toc76734800"/>
      <w:bookmarkStart w:id="165" w:name="_Toc80604821"/>
      <w:r w:rsidRPr="00A30588">
        <w:rPr>
          <w:sz w:val="24"/>
          <w:szCs w:val="28"/>
        </w:rPr>
        <w:t xml:space="preserve">Tabela </w:t>
      </w:r>
      <w:r w:rsidR="00295C25" w:rsidRPr="00A30588">
        <w:rPr>
          <w:sz w:val="24"/>
          <w:szCs w:val="28"/>
        </w:rPr>
        <w:fldChar w:fldCharType="begin"/>
      </w:r>
      <w:r w:rsidR="00295C25" w:rsidRPr="00A30588">
        <w:rPr>
          <w:sz w:val="24"/>
          <w:szCs w:val="28"/>
        </w:rPr>
        <w:instrText xml:space="preserve"> SEQ Tabela \* ARABIC </w:instrText>
      </w:r>
      <w:r w:rsidR="00295C25" w:rsidRPr="00A30588">
        <w:rPr>
          <w:sz w:val="24"/>
          <w:szCs w:val="28"/>
        </w:rPr>
        <w:fldChar w:fldCharType="separate"/>
      </w:r>
      <w:r w:rsidR="00FD3F9A">
        <w:rPr>
          <w:noProof/>
          <w:sz w:val="24"/>
          <w:szCs w:val="28"/>
        </w:rPr>
        <w:t>11</w:t>
      </w:r>
      <w:r w:rsidR="00295C25" w:rsidRPr="00A30588">
        <w:rPr>
          <w:noProof/>
          <w:sz w:val="24"/>
          <w:szCs w:val="28"/>
        </w:rPr>
        <w:fldChar w:fldCharType="end"/>
      </w:r>
      <w:bookmarkEnd w:id="163"/>
      <w:r w:rsidRPr="00A30588">
        <w:rPr>
          <w:sz w:val="24"/>
          <w:szCs w:val="28"/>
        </w:rPr>
        <w:tab/>
        <w:t>Kryteria zbiorcze wykorzystywane w analizie wielokryterialnej wraz z</w:t>
      </w:r>
      <w:r w:rsidR="00A30588">
        <w:rPr>
          <w:sz w:val="24"/>
          <w:szCs w:val="28"/>
        </w:rPr>
        <w:t> </w:t>
      </w:r>
      <w:r w:rsidRPr="00A30588">
        <w:rPr>
          <w:sz w:val="24"/>
          <w:szCs w:val="28"/>
        </w:rPr>
        <w:t>przypisanymi do nich wagami</w:t>
      </w:r>
      <w:bookmarkEnd w:id="164"/>
      <w:bookmarkEnd w:id="165"/>
    </w:p>
    <w:tbl>
      <w:tblPr>
        <w:tblW w:w="8642" w:type="dxa"/>
        <w:tblBorders>
          <w:top w:val="single" w:sz="4" w:space="0" w:color="A9DCF3"/>
          <w:left w:val="single" w:sz="4" w:space="0" w:color="A9DCF3"/>
          <w:bottom w:val="single" w:sz="4" w:space="0" w:color="A9DCF3"/>
          <w:right w:val="single" w:sz="4" w:space="0" w:color="A9DCF3"/>
          <w:insideH w:val="single" w:sz="4" w:space="0" w:color="A9DCF3"/>
          <w:insideV w:val="single" w:sz="4" w:space="0" w:color="A9DCF3"/>
        </w:tblBorders>
        <w:tblLook w:val="00A0" w:firstRow="1" w:lastRow="0" w:firstColumn="1" w:lastColumn="0" w:noHBand="0" w:noVBand="0"/>
      </w:tblPr>
      <w:tblGrid>
        <w:gridCol w:w="543"/>
        <w:gridCol w:w="7209"/>
        <w:gridCol w:w="956"/>
      </w:tblGrid>
      <w:tr w:rsidR="00BA0236" w:rsidRPr="00B32914" w14:paraId="6F7D36A6" w14:textId="77777777" w:rsidTr="00B32914">
        <w:trPr>
          <w:trHeight w:val="300"/>
        </w:trPr>
        <w:tc>
          <w:tcPr>
            <w:tcW w:w="563" w:type="dxa"/>
            <w:tcBorders>
              <w:bottom w:val="single" w:sz="12" w:space="0" w:color="7ECBED"/>
            </w:tcBorders>
            <w:shd w:val="clear" w:color="auto" w:fill="D4EDF9"/>
          </w:tcPr>
          <w:p w14:paraId="51686359" w14:textId="77777777" w:rsidR="00BA0236" w:rsidRPr="00B32914" w:rsidRDefault="00BA0236" w:rsidP="00B32914">
            <w:pPr>
              <w:spacing w:before="40" w:after="40"/>
              <w:rPr>
                <w:b/>
                <w:bCs/>
                <w:color w:val="000000"/>
                <w:lang w:eastAsia="pl-PL"/>
              </w:rPr>
            </w:pPr>
            <w:r w:rsidRPr="00B32914">
              <w:rPr>
                <w:color w:val="000000"/>
                <w:lang w:eastAsia="pl-PL"/>
              </w:rPr>
              <w:t>Lp.</w:t>
            </w:r>
          </w:p>
        </w:tc>
        <w:tc>
          <w:tcPr>
            <w:tcW w:w="7209" w:type="dxa"/>
            <w:tcBorders>
              <w:bottom w:val="single" w:sz="12" w:space="0" w:color="7ECBED"/>
            </w:tcBorders>
            <w:shd w:val="clear" w:color="auto" w:fill="D4EDF9"/>
            <w:noWrap/>
          </w:tcPr>
          <w:p w14:paraId="2CB822E7" w14:textId="77777777" w:rsidR="00BA0236" w:rsidRPr="00B32914" w:rsidRDefault="00BA0236" w:rsidP="00B32914">
            <w:pPr>
              <w:spacing w:before="40" w:after="40"/>
              <w:rPr>
                <w:b/>
                <w:bCs/>
                <w:color w:val="000000"/>
                <w:lang w:eastAsia="pl-PL"/>
              </w:rPr>
            </w:pPr>
            <w:r w:rsidRPr="00B32914">
              <w:rPr>
                <w:color w:val="000000"/>
                <w:lang w:eastAsia="pl-PL"/>
              </w:rPr>
              <w:t>Kryterium zbiorcze</w:t>
            </w:r>
          </w:p>
        </w:tc>
        <w:tc>
          <w:tcPr>
            <w:tcW w:w="870" w:type="dxa"/>
            <w:tcBorders>
              <w:bottom w:val="single" w:sz="12" w:space="0" w:color="7ECBED"/>
            </w:tcBorders>
            <w:shd w:val="clear" w:color="auto" w:fill="D4EDF9"/>
          </w:tcPr>
          <w:p w14:paraId="2F1FBC07" w14:textId="77777777" w:rsidR="00BA0236" w:rsidRPr="00B32914" w:rsidRDefault="00BA0236" w:rsidP="00B32914">
            <w:pPr>
              <w:spacing w:before="40" w:after="40"/>
              <w:jc w:val="center"/>
              <w:rPr>
                <w:b/>
                <w:bCs/>
                <w:color w:val="000000"/>
              </w:rPr>
            </w:pPr>
            <w:r w:rsidRPr="00B32914">
              <w:rPr>
                <w:color w:val="000000"/>
              </w:rPr>
              <w:t>Waga</w:t>
            </w:r>
          </w:p>
        </w:tc>
      </w:tr>
      <w:tr w:rsidR="00BA0236" w:rsidRPr="00B32914" w14:paraId="1A263CA2" w14:textId="77777777" w:rsidTr="00B32914">
        <w:trPr>
          <w:trHeight w:val="300"/>
        </w:trPr>
        <w:tc>
          <w:tcPr>
            <w:tcW w:w="563" w:type="dxa"/>
          </w:tcPr>
          <w:p w14:paraId="31A683E7" w14:textId="77777777" w:rsidR="00BA0236" w:rsidRPr="00B32914" w:rsidRDefault="00BA0236" w:rsidP="00B32914">
            <w:pPr>
              <w:spacing w:before="40" w:after="40"/>
              <w:rPr>
                <w:b/>
                <w:bCs/>
                <w:color w:val="000000"/>
              </w:rPr>
            </w:pPr>
            <w:r w:rsidRPr="00B32914">
              <w:rPr>
                <w:color w:val="000000"/>
              </w:rPr>
              <w:t>1</w:t>
            </w:r>
          </w:p>
        </w:tc>
        <w:tc>
          <w:tcPr>
            <w:tcW w:w="7209" w:type="dxa"/>
            <w:noWrap/>
          </w:tcPr>
          <w:p w14:paraId="5C1F09A9" w14:textId="77777777" w:rsidR="00BA0236" w:rsidRPr="00B32914" w:rsidRDefault="00BA0236" w:rsidP="00B32914">
            <w:pPr>
              <w:spacing w:before="40" w:after="40"/>
              <w:rPr>
                <w:b/>
                <w:color w:val="000000"/>
              </w:rPr>
            </w:pPr>
            <w:r w:rsidRPr="00B32914">
              <w:rPr>
                <w:b/>
                <w:color w:val="000000"/>
              </w:rPr>
              <w:t>Skuteczność osiągania celów zarządzania ryzykiem powodziowym</w:t>
            </w:r>
          </w:p>
        </w:tc>
        <w:tc>
          <w:tcPr>
            <w:tcW w:w="870" w:type="dxa"/>
          </w:tcPr>
          <w:p w14:paraId="2DC282F2" w14:textId="77777777" w:rsidR="00BA0236" w:rsidRPr="00B32914" w:rsidRDefault="00BA0236" w:rsidP="00B32914">
            <w:pPr>
              <w:spacing w:before="40" w:after="40"/>
              <w:jc w:val="center"/>
              <w:rPr>
                <w:color w:val="000000"/>
              </w:rPr>
            </w:pPr>
            <w:r w:rsidRPr="00B32914">
              <w:rPr>
                <w:color w:val="000000"/>
              </w:rPr>
              <w:t>18.76%</w:t>
            </w:r>
          </w:p>
        </w:tc>
      </w:tr>
      <w:tr w:rsidR="00BA0236" w:rsidRPr="00B32914" w14:paraId="78200ED6" w14:textId="77777777" w:rsidTr="00B32914">
        <w:trPr>
          <w:trHeight w:val="300"/>
        </w:trPr>
        <w:tc>
          <w:tcPr>
            <w:tcW w:w="563" w:type="dxa"/>
          </w:tcPr>
          <w:p w14:paraId="47F0C79A" w14:textId="77777777" w:rsidR="00BA0236" w:rsidRPr="00B32914" w:rsidRDefault="00BA0236" w:rsidP="00B32914">
            <w:pPr>
              <w:spacing w:before="40" w:after="40"/>
              <w:rPr>
                <w:b/>
                <w:bCs/>
                <w:color w:val="000000"/>
              </w:rPr>
            </w:pPr>
            <w:r w:rsidRPr="00B32914">
              <w:rPr>
                <w:color w:val="000000"/>
              </w:rPr>
              <w:t>2</w:t>
            </w:r>
          </w:p>
        </w:tc>
        <w:tc>
          <w:tcPr>
            <w:tcW w:w="7209" w:type="dxa"/>
            <w:noWrap/>
          </w:tcPr>
          <w:p w14:paraId="7B2633FC" w14:textId="77777777" w:rsidR="00BA0236" w:rsidRPr="00B32914" w:rsidRDefault="00BA0236" w:rsidP="00B32914">
            <w:pPr>
              <w:spacing w:before="40" w:after="40"/>
              <w:rPr>
                <w:b/>
                <w:color w:val="000000"/>
              </w:rPr>
            </w:pPr>
            <w:r w:rsidRPr="00B32914">
              <w:rPr>
                <w:b/>
                <w:color w:val="000000"/>
              </w:rPr>
              <w:t>Efektywność ekonomiczna / Całkowite Nakłady Inwestycyjne</w:t>
            </w:r>
          </w:p>
        </w:tc>
        <w:tc>
          <w:tcPr>
            <w:tcW w:w="870" w:type="dxa"/>
          </w:tcPr>
          <w:p w14:paraId="03A550F9" w14:textId="77777777" w:rsidR="00BA0236" w:rsidRPr="00B32914" w:rsidRDefault="00BA0236" w:rsidP="00B32914">
            <w:pPr>
              <w:spacing w:before="40" w:after="40"/>
              <w:jc w:val="center"/>
              <w:rPr>
                <w:color w:val="000000"/>
              </w:rPr>
            </w:pPr>
            <w:r w:rsidRPr="00B32914">
              <w:rPr>
                <w:color w:val="000000"/>
              </w:rPr>
              <w:t>18.07%</w:t>
            </w:r>
          </w:p>
        </w:tc>
      </w:tr>
      <w:tr w:rsidR="00BA0236" w:rsidRPr="00B32914" w14:paraId="11BD6803" w14:textId="77777777" w:rsidTr="00B32914">
        <w:trPr>
          <w:trHeight w:val="300"/>
        </w:trPr>
        <w:tc>
          <w:tcPr>
            <w:tcW w:w="563" w:type="dxa"/>
          </w:tcPr>
          <w:p w14:paraId="00E6124B" w14:textId="77777777" w:rsidR="00BA0236" w:rsidRPr="00B32914" w:rsidRDefault="00BA0236" w:rsidP="00B32914">
            <w:pPr>
              <w:spacing w:before="40" w:after="40"/>
              <w:rPr>
                <w:b/>
                <w:bCs/>
                <w:color w:val="000000"/>
              </w:rPr>
            </w:pPr>
            <w:r w:rsidRPr="00B32914">
              <w:rPr>
                <w:color w:val="000000"/>
              </w:rPr>
              <w:t>3</w:t>
            </w:r>
          </w:p>
        </w:tc>
        <w:tc>
          <w:tcPr>
            <w:tcW w:w="7209" w:type="dxa"/>
            <w:noWrap/>
          </w:tcPr>
          <w:p w14:paraId="1558861D" w14:textId="77777777" w:rsidR="00BA0236" w:rsidRPr="00B32914" w:rsidRDefault="00BA0236" w:rsidP="00B32914">
            <w:pPr>
              <w:spacing w:before="40" w:after="40"/>
              <w:rPr>
                <w:b/>
                <w:color w:val="000000"/>
              </w:rPr>
            </w:pPr>
            <w:r w:rsidRPr="00B32914">
              <w:rPr>
                <w:b/>
                <w:color w:val="000000"/>
              </w:rPr>
              <w:t>Zapewnienie finansowania</w:t>
            </w:r>
          </w:p>
        </w:tc>
        <w:tc>
          <w:tcPr>
            <w:tcW w:w="870" w:type="dxa"/>
          </w:tcPr>
          <w:p w14:paraId="001DC93A" w14:textId="77777777" w:rsidR="00BA0236" w:rsidRPr="00B32914" w:rsidRDefault="00BA0236" w:rsidP="00B32914">
            <w:pPr>
              <w:spacing w:before="40" w:after="40"/>
              <w:jc w:val="center"/>
              <w:rPr>
                <w:color w:val="000000"/>
              </w:rPr>
            </w:pPr>
            <w:r w:rsidRPr="00B32914">
              <w:rPr>
                <w:color w:val="000000"/>
              </w:rPr>
              <w:t>11.77%</w:t>
            </w:r>
          </w:p>
        </w:tc>
      </w:tr>
      <w:tr w:rsidR="00BA0236" w:rsidRPr="00B32914" w14:paraId="7A4AA77E" w14:textId="77777777" w:rsidTr="00B32914">
        <w:trPr>
          <w:trHeight w:val="300"/>
        </w:trPr>
        <w:tc>
          <w:tcPr>
            <w:tcW w:w="563" w:type="dxa"/>
          </w:tcPr>
          <w:p w14:paraId="2A4C042F" w14:textId="77777777" w:rsidR="00BA0236" w:rsidRPr="00B32914" w:rsidRDefault="00BA0236" w:rsidP="00B32914">
            <w:pPr>
              <w:spacing w:before="40" w:after="40"/>
              <w:rPr>
                <w:b/>
                <w:bCs/>
                <w:color w:val="000000"/>
              </w:rPr>
            </w:pPr>
            <w:r w:rsidRPr="00B32914">
              <w:rPr>
                <w:color w:val="000000"/>
              </w:rPr>
              <w:t>4</w:t>
            </w:r>
          </w:p>
        </w:tc>
        <w:tc>
          <w:tcPr>
            <w:tcW w:w="7209" w:type="dxa"/>
            <w:noWrap/>
          </w:tcPr>
          <w:p w14:paraId="41495B68" w14:textId="77777777" w:rsidR="00BA0236" w:rsidRPr="00B32914" w:rsidRDefault="00BA0236" w:rsidP="00B32914">
            <w:pPr>
              <w:spacing w:before="40" w:after="40"/>
              <w:rPr>
                <w:b/>
                <w:color w:val="000000"/>
              </w:rPr>
            </w:pPr>
            <w:r w:rsidRPr="00B32914">
              <w:rPr>
                <w:b/>
                <w:color w:val="000000"/>
              </w:rPr>
              <w:t>Kryterium zgodności z RDW</w:t>
            </w:r>
          </w:p>
        </w:tc>
        <w:tc>
          <w:tcPr>
            <w:tcW w:w="870" w:type="dxa"/>
          </w:tcPr>
          <w:p w14:paraId="36446E5D" w14:textId="77777777" w:rsidR="00BA0236" w:rsidRPr="00B32914" w:rsidRDefault="00BA0236" w:rsidP="00B32914">
            <w:pPr>
              <w:spacing w:before="40" w:after="40"/>
              <w:jc w:val="center"/>
              <w:rPr>
                <w:color w:val="000000"/>
              </w:rPr>
            </w:pPr>
            <w:r w:rsidRPr="00B32914">
              <w:rPr>
                <w:color w:val="000000"/>
              </w:rPr>
              <w:t>11.59%</w:t>
            </w:r>
          </w:p>
        </w:tc>
      </w:tr>
      <w:tr w:rsidR="00BA0236" w:rsidRPr="00B32914" w14:paraId="78253BA7" w14:textId="77777777" w:rsidTr="00B32914">
        <w:trPr>
          <w:trHeight w:val="300"/>
        </w:trPr>
        <w:tc>
          <w:tcPr>
            <w:tcW w:w="563" w:type="dxa"/>
          </w:tcPr>
          <w:p w14:paraId="1D089871" w14:textId="77777777" w:rsidR="00BA0236" w:rsidRPr="00B32914" w:rsidRDefault="00BA0236" w:rsidP="00B32914">
            <w:pPr>
              <w:spacing w:before="40" w:after="40"/>
              <w:rPr>
                <w:b/>
                <w:bCs/>
                <w:color w:val="000000"/>
              </w:rPr>
            </w:pPr>
            <w:r w:rsidRPr="00B32914">
              <w:rPr>
                <w:color w:val="000000"/>
              </w:rPr>
              <w:t>5</w:t>
            </w:r>
          </w:p>
        </w:tc>
        <w:tc>
          <w:tcPr>
            <w:tcW w:w="7209" w:type="dxa"/>
            <w:noWrap/>
          </w:tcPr>
          <w:p w14:paraId="6DCCF0B4" w14:textId="77777777" w:rsidR="00BA0236" w:rsidRPr="00B32914" w:rsidRDefault="00BA0236" w:rsidP="00B32914">
            <w:pPr>
              <w:spacing w:before="40" w:after="40"/>
              <w:rPr>
                <w:b/>
                <w:color w:val="000000"/>
              </w:rPr>
            </w:pPr>
            <w:r w:rsidRPr="00B32914">
              <w:rPr>
                <w:b/>
                <w:color w:val="000000"/>
              </w:rPr>
              <w:t>Zakres i stopień negatywnego oddziaływania na środowisko</w:t>
            </w:r>
          </w:p>
        </w:tc>
        <w:tc>
          <w:tcPr>
            <w:tcW w:w="870" w:type="dxa"/>
          </w:tcPr>
          <w:p w14:paraId="6A3B186F" w14:textId="77777777" w:rsidR="00BA0236" w:rsidRPr="00B32914" w:rsidRDefault="00BA0236" w:rsidP="00B32914">
            <w:pPr>
              <w:spacing w:before="40" w:after="40"/>
              <w:jc w:val="center"/>
              <w:rPr>
                <w:color w:val="000000"/>
              </w:rPr>
            </w:pPr>
            <w:r w:rsidRPr="00B32914">
              <w:rPr>
                <w:color w:val="000000"/>
              </w:rPr>
              <w:t>11.50%</w:t>
            </w:r>
          </w:p>
        </w:tc>
      </w:tr>
      <w:tr w:rsidR="00BA0236" w:rsidRPr="00B32914" w14:paraId="2C51BFD2" w14:textId="77777777" w:rsidTr="00B32914">
        <w:trPr>
          <w:trHeight w:val="300"/>
        </w:trPr>
        <w:tc>
          <w:tcPr>
            <w:tcW w:w="563" w:type="dxa"/>
          </w:tcPr>
          <w:p w14:paraId="476E73FF" w14:textId="77777777" w:rsidR="00BA0236" w:rsidRPr="00B32914" w:rsidRDefault="00BA0236" w:rsidP="00B32914">
            <w:pPr>
              <w:spacing w:before="40" w:after="40"/>
              <w:rPr>
                <w:b/>
                <w:bCs/>
                <w:color w:val="000000"/>
              </w:rPr>
            </w:pPr>
            <w:r w:rsidRPr="00B32914">
              <w:rPr>
                <w:color w:val="000000"/>
              </w:rPr>
              <w:t>6</w:t>
            </w:r>
          </w:p>
        </w:tc>
        <w:tc>
          <w:tcPr>
            <w:tcW w:w="7209" w:type="dxa"/>
            <w:noWrap/>
          </w:tcPr>
          <w:p w14:paraId="7364E110" w14:textId="77777777" w:rsidR="00BA0236" w:rsidRPr="00B32914" w:rsidRDefault="00BA0236" w:rsidP="00B32914">
            <w:pPr>
              <w:spacing w:before="40" w:after="40"/>
              <w:rPr>
                <w:b/>
                <w:color w:val="000000"/>
              </w:rPr>
            </w:pPr>
            <w:r w:rsidRPr="00B32914">
              <w:rPr>
                <w:b/>
                <w:color w:val="000000"/>
              </w:rPr>
              <w:t>Możliwe konflikty społeczne związane z realizacją działań</w:t>
            </w:r>
          </w:p>
        </w:tc>
        <w:tc>
          <w:tcPr>
            <w:tcW w:w="870" w:type="dxa"/>
          </w:tcPr>
          <w:p w14:paraId="001B2471" w14:textId="77777777" w:rsidR="00BA0236" w:rsidRPr="00B32914" w:rsidRDefault="00BA0236" w:rsidP="00B32914">
            <w:pPr>
              <w:spacing w:before="40" w:after="40"/>
              <w:jc w:val="center"/>
              <w:rPr>
                <w:color w:val="000000"/>
              </w:rPr>
            </w:pPr>
            <w:r w:rsidRPr="00B32914">
              <w:rPr>
                <w:color w:val="000000"/>
              </w:rPr>
              <w:t>10.24%</w:t>
            </w:r>
          </w:p>
        </w:tc>
      </w:tr>
      <w:tr w:rsidR="00BA0236" w:rsidRPr="00B32914" w14:paraId="569260AD" w14:textId="77777777" w:rsidTr="00B32914">
        <w:trPr>
          <w:trHeight w:val="300"/>
        </w:trPr>
        <w:tc>
          <w:tcPr>
            <w:tcW w:w="563" w:type="dxa"/>
          </w:tcPr>
          <w:p w14:paraId="57389AAE" w14:textId="77777777" w:rsidR="00BA0236" w:rsidRPr="00B32914" w:rsidRDefault="00BA0236" w:rsidP="00B32914">
            <w:pPr>
              <w:spacing w:before="40" w:after="40"/>
              <w:rPr>
                <w:b/>
                <w:bCs/>
                <w:color w:val="000000"/>
              </w:rPr>
            </w:pPr>
            <w:r w:rsidRPr="00B32914">
              <w:rPr>
                <w:color w:val="000000"/>
              </w:rPr>
              <w:t>7</w:t>
            </w:r>
          </w:p>
        </w:tc>
        <w:tc>
          <w:tcPr>
            <w:tcW w:w="7209" w:type="dxa"/>
            <w:noWrap/>
          </w:tcPr>
          <w:p w14:paraId="3192E0B3" w14:textId="77777777" w:rsidR="00BA0236" w:rsidRPr="00B32914" w:rsidRDefault="00BA0236" w:rsidP="00B32914">
            <w:pPr>
              <w:spacing w:before="40" w:after="40"/>
              <w:rPr>
                <w:b/>
                <w:color w:val="000000"/>
              </w:rPr>
            </w:pPr>
            <w:r w:rsidRPr="00B32914">
              <w:rPr>
                <w:b/>
                <w:color w:val="000000"/>
              </w:rPr>
              <w:t>Znaczenie dla realizacji strategii adaptacji do zmian klimatu</w:t>
            </w:r>
          </w:p>
        </w:tc>
        <w:tc>
          <w:tcPr>
            <w:tcW w:w="870" w:type="dxa"/>
          </w:tcPr>
          <w:p w14:paraId="6AC3048C" w14:textId="77777777" w:rsidR="00BA0236" w:rsidRPr="00B32914" w:rsidRDefault="00BA0236" w:rsidP="00B32914">
            <w:pPr>
              <w:spacing w:before="40" w:after="40"/>
              <w:jc w:val="center"/>
              <w:rPr>
                <w:color w:val="000000"/>
              </w:rPr>
            </w:pPr>
            <w:r w:rsidRPr="00B32914">
              <w:rPr>
                <w:color w:val="000000"/>
              </w:rPr>
              <w:t>8.38%</w:t>
            </w:r>
          </w:p>
        </w:tc>
      </w:tr>
      <w:tr w:rsidR="00BA0236" w:rsidRPr="00B32914" w14:paraId="29EEE3EA" w14:textId="77777777" w:rsidTr="00B32914">
        <w:trPr>
          <w:trHeight w:val="300"/>
        </w:trPr>
        <w:tc>
          <w:tcPr>
            <w:tcW w:w="563" w:type="dxa"/>
          </w:tcPr>
          <w:p w14:paraId="4893A351" w14:textId="77777777" w:rsidR="00BA0236" w:rsidRPr="00B32914" w:rsidRDefault="00BA0236" w:rsidP="00B32914">
            <w:pPr>
              <w:spacing w:before="40" w:after="40"/>
              <w:rPr>
                <w:b/>
                <w:bCs/>
                <w:color w:val="000000"/>
              </w:rPr>
            </w:pPr>
            <w:r w:rsidRPr="00B32914">
              <w:rPr>
                <w:color w:val="000000"/>
              </w:rPr>
              <w:t>8</w:t>
            </w:r>
          </w:p>
        </w:tc>
        <w:tc>
          <w:tcPr>
            <w:tcW w:w="7209" w:type="dxa"/>
            <w:noWrap/>
          </w:tcPr>
          <w:p w14:paraId="62ED256D" w14:textId="77777777" w:rsidR="00BA0236" w:rsidRPr="00B32914" w:rsidRDefault="00BA0236" w:rsidP="00B32914">
            <w:pPr>
              <w:spacing w:before="40" w:after="40"/>
              <w:rPr>
                <w:b/>
                <w:color w:val="000000"/>
              </w:rPr>
            </w:pPr>
            <w:r w:rsidRPr="00B32914">
              <w:rPr>
                <w:b/>
                <w:color w:val="000000"/>
              </w:rPr>
              <w:t>Kryterium synergii</w:t>
            </w:r>
          </w:p>
        </w:tc>
        <w:tc>
          <w:tcPr>
            <w:tcW w:w="870" w:type="dxa"/>
          </w:tcPr>
          <w:p w14:paraId="3EC1BFFB" w14:textId="77777777" w:rsidR="00BA0236" w:rsidRPr="00B32914" w:rsidRDefault="00BA0236" w:rsidP="00B32914">
            <w:pPr>
              <w:spacing w:before="40" w:after="40"/>
              <w:jc w:val="center"/>
              <w:rPr>
                <w:color w:val="000000"/>
              </w:rPr>
            </w:pPr>
            <w:r w:rsidRPr="00B32914">
              <w:rPr>
                <w:color w:val="000000"/>
              </w:rPr>
              <w:t>9.69%</w:t>
            </w:r>
          </w:p>
        </w:tc>
      </w:tr>
    </w:tbl>
    <w:p w14:paraId="0AF7F7E3" w14:textId="77777777" w:rsidR="00A26088" w:rsidRDefault="00A26088" w:rsidP="00A26088">
      <w:bookmarkStart w:id="166" w:name="_Ref76656211"/>
      <w:bookmarkStart w:id="167" w:name="_Toc76734801"/>
    </w:p>
    <w:p w14:paraId="4CAA58C8" w14:textId="65ED6C92" w:rsidR="00BA0236" w:rsidRPr="007C28CC" w:rsidRDefault="00A26088" w:rsidP="00E8074C">
      <w:pPr>
        <w:pStyle w:val="ReportLevel3"/>
        <w:numPr>
          <w:ilvl w:val="2"/>
          <w:numId w:val="9"/>
        </w:numPr>
      </w:pPr>
      <w:r>
        <w:br w:type="column"/>
      </w:r>
      <w:r w:rsidR="00BA0236" w:rsidRPr="007C28CC">
        <w:lastRenderedPageBreak/>
        <w:t>Kryterium skuteczność osiągania celów zarządzania ryzykiem powodziowym</w:t>
      </w:r>
    </w:p>
    <w:p w14:paraId="3E1CC327" w14:textId="77777777" w:rsidR="00BA0236" w:rsidRPr="007C28CC" w:rsidRDefault="00BA0236" w:rsidP="007C28CC">
      <w:pPr>
        <w:pStyle w:val="ReportText"/>
        <w:spacing w:before="120" w:after="120"/>
      </w:pPr>
      <w:r w:rsidRPr="007C28CC">
        <w:t xml:space="preserve">Na ocenę kryterium skuteczność osiągania celów zarządzania ryzykiem powodziowym składają się kryteria szczegółowe: </w:t>
      </w:r>
    </w:p>
    <w:p w14:paraId="7077887B" w14:textId="77777777" w:rsidR="00BA0236" w:rsidRPr="007C28CC" w:rsidRDefault="00BA0236" w:rsidP="00A30588">
      <w:pPr>
        <w:pStyle w:val="ReportText"/>
        <w:numPr>
          <w:ilvl w:val="0"/>
          <w:numId w:val="33"/>
        </w:numPr>
        <w:ind w:left="567" w:hanging="425"/>
      </w:pPr>
      <w:r w:rsidRPr="007C28CC">
        <w:t>Stopień trudności realizacji zadania – ocena ekspercka uzależniona od łącznej długości oraz stopnia skomplikowania realizacji poszczególnych rozwiązań projektowych;</w:t>
      </w:r>
    </w:p>
    <w:p w14:paraId="34BBC44E" w14:textId="77777777" w:rsidR="00BA0236" w:rsidRPr="007C28CC" w:rsidRDefault="00BA0236" w:rsidP="00A30588">
      <w:pPr>
        <w:pStyle w:val="ReportText"/>
        <w:numPr>
          <w:ilvl w:val="0"/>
          <w:numId w:val="33"/>
        </w:numPr>
        <w:ind w:left="567" w:hanging="425"/>
      </w:pPr>
      <w:r w:rsidRPr="007C28CC">
        <w:t>Zależność od czasu uzyskania prognozy - kryterium uwzględniane jedynie w przypadku obszarów problemowych, na których przynajmniej w jednym z wariantów proponowane są mobilne systemy przeciwpowodziowe, z uwagi na to, iż dla rozwiązań stałych czas niezbędny do uzyskania ochrony wynosi 0 h. Ocena porównawcza uzależniona od łącznej długości mobilnych systemów oraz średniej wysokość przegród;</w:t>
      </w:r>
    </w:p>
    <w:p w14:paraId="2266B449" w14:textId="77777777" w:rsidR="00BA0236" w:rsidRPr="007C28CC" w:rsidRDefault="00BA0236" w:rsidP="00A30588">
      <w:pPr>
        <w:pStyle w:val="ReportText"/>
        <w:numPr>
          <w:ilvl w:val="0"/>
          <w:numId w:val="33"/>
        </w:numPr>
        <w:ind w:left="567" w:hanging="425"/>
      </w:pPr>
      <w:r w:rsidRPr="007C28CC">
        <w:t>Czas potrzebny na ustawienie bariery ochronnej - kryterium uwzględniane jedynie w przypadku obszarów problemowych, na których przynajmniej w jednym z wariantów proponowane są mobilne systemy przeciwpowodziowe. Ocena porównawcza uzależniona od łącznej długości mobilnych systemów, średniej wysokość przegród oraz stopnia oceny czasu potrzebnego na ustawienie bariery ochronnej;</w:t>
      </w:r>
    </w:p>
    <w:p w14:paraId="591F2717" w14:textId="77777777" w:rsidR="00BA0236" w:rsidRPr="007C28CC" w:rsidRDefault="00BA0236" w:rsidP="00A30588">
      <w:pPr>
        <w:pStyle w:val="ReportText"/>
        <w:numPr>
          <w:ilvl w:val="0"/>
          <w:numId w:val="33"/>
        </w:numPr>
        <w:ind w:left="567" w:hanging="425"/>
      </w:pPr>
      <w:r w:rsidRPr="007C28CC">
        <w:t>Kryterium stanu zaawansowania - ocena stanu zaawansowania dokumentacji.</w:t>
      </w:r>
    </w:p>
    <w:p w14:paraId="1B2B7DA4" w14:textId="5453D7B4" w:rsidR="00BA0236" w:rsidRPr="007C28CC" w:rsidRDefault="00BA0236" w:rsidP="007C28CC">
      <w:pPr>
        <w:pStyle w:val="ReportText"/>
        <w:spacing w:before="120" w:after="120"/>
      </w:pPr>
      <w:r w:rsidRPr="007C28CC">
        <w:t xml:space="preserve">Kryteria szczegółowe wraz z przypisanymi do nich wagami przedstawia </w:t>
      </w:r>
      <w:r w:rsidR="006C30BA">
        <w:fldChar w:fldCharType="begin"/>
      </w:r>
      <w:r w:rsidR="006C30BA">
        <w:instrText xml:space="preserve"> REF _Ref79491856 \h  \* MERGEFORMAT </w:instrText>
      </w:r>
      <w:r w:rsidR="006C30BA">
        <w:fldChar w:fldCharType="separate"/>
      </w:r>
      <w:r w:rsidR="00FD3F9A" w:rsidRPr="00A30588">
        <w:t xml:space="preserve">Tabela </w:t>
      </w:r>
      <w:r w:rsidR="00FD3F9A">
        <w:t>12</w:t>
      </w:r>
      <w:r w:rsidR="006C30BA">
        <w:fldChar w:fldCharType="end"/>
      </w:r>
      <w:r w:rsidRPr="007C28CC">
        <w:t>.</w:t>
      </w:r>
    </w:p>
    <w:p w14:paraId="6E7FBFB6" w14:textId="77777777" w:rsidR="00BA0236" w:rsidRPr="00A30588" w:rsidRDefault="00BA0236" w:rsidP="007C28CC">
      <w:pPr>
        <w:pStyle w:val="ReportText"/>
        <w:rPr>
          <w:szCs w:val="24"/>
          <w:lang w:eastAsia="zh-CN"/>
        </w:rPr>
      </w:pPr>
    </w:p>
    <w:p w14:paraId="35EA9FBB" w14:textId="2E9BC24B" w:rsidR="00BA0236" w:rsidRPr="00A30588" w:rsidRDefault="00BA0236" w:rsidP="00A30588">
      <w:pPr>
        <w:pStyle w:val="Legenda"/>
        <w:tabs>
          <w:tab w:val="clear" w:pos="1080"/>
        </w:tabs>
        <w:spacing w:before="120" w:after="0"/>
        <w:ind w:left="1134" w:hanging="1134"/>
        <w:jc w:val="both"/>
        <w:rPr>
          <w:sz w:val="24"/>
        </w:rPr>
      </w:pPr>
      <w:bookmarkStart w:id="168" w:name="_Ref79491856"/>
      <w:bookmarkStart w:id="169" w:name="_Toc80604822"/>
      <w:r w:rsidRPr="00A30588">
        <w:rPr>
          <w:sz w:val="24"/>
        </w:rPr>
        <w:t xml:space="preserve">Tabela </w:t>
      </w:r>
      <w:r w:rsidR="00295C25" w:rsidRPr="00A30588">
        <w:rPr>
          <w:sz w:val="24"/>
        </w:rPr>
        <w:fldChar w:fldCharType="begin"/>
      </w:r>
      <w:r w:rsidR="00295C25" w:rsidRPr="00A30588">
        <w:rPr>
          <w:sz w:val="24"/>
        </w:rPr>
        <w:instrText xml:space="preserve"> SEQ Tabela \* ARABIC </w:instrText>
      </w:r>
      <w:r w:rsidR="00295C25" w:rsidRPr="00A30588">
        <w:rPr>
          <w:sz w:val="24"/>
        </w:rPr>
        <w:fldChar w:fldCharType="separate"/>
      </w:r>
      <w:r w:rsidR="00FD3F9A">
        <w:rPr>
          <w:noProof/>
          <w:sz w:val="24"/>
        </w:rPr>
        <w:t>12</w:t>
      </w:r>
      <w:r w:rsidR="00295C25" w:rsidRPr="00A30588">
        <w:rPr>
          <w:noProof/>
          <w:sz w:val="24"/>
        </w:rPr>
        <w:fldChar w:fldCharType="end"/>
      </w:r>
      <w:bookmarkEnd w:id="166"/>
      <w:bookmarkEnd w:id="168"/>
      <w:r w:rsidRPr="00A30588">
        <w:rPr>
          <w:sz w:val="24"/>
        </w:rPr>
        <w:tab/>
        <w:t>Kryteria szczegółowe wykorzystywane w analizie wielokryterialnej wraz z</w:t>
      </w:r>
      <w:r w:rsidR="00A30588">
        <w:rPr>
          <w:sz w:val="24"/>
        </w:rPr>
        <w:t> </w:t>
      </w:r>
      <w:r w:rsidRPr="00A30588">
        <w:rPr>
          <w:sz w:val="24"/>
        </w:rPr>
        <w:t>przypisanymi do nich wagami</w:t>
      </w:r>
      <w:bookmarkEnd w:id="167"/>
      <w:bookmarkEnd w:id="169"/>
    </w:p>
    <w:tbl>
      <w:tblPr>
        <w:tblW w:w="8460" w:type="dxa"/>
        <w:tblBorders>
          <w:top w:val="single" w:sz="4" w:space="0" w:color="A9DCF3"/>
          <w:left w:val="single" w:sz="4" w:space="0" w:color="A9DCF3"/>
          <w:bottom w:val="single" w:sz="4" w:space="0" w:color="A9DCF3"/>
          <w:right w:val="single" w:sz="4" w:space="0" w:color="A9DCF3"/>
          <w:insideH w:val="single" w:sz="4" w:space="0" w:color="A9DCF3"/>
          <w:insideV w:val="single" w:sz="4" w:space="0" w:color="A9DCF3"/>
        </w:tblBorders>
        <w:tblLayout w:type="fixed"/>
        <w:tblLook w:val="00A0" w:firstRow="1" w:lastRow="0" w:firstColumn="1" w:lastColumn="0" w:noHBand="0" w:noVBand="0"/>
      </w:tblPr>
      <w:tblGrid>
        <w:gridCol w:w="1691"/>
        <w:gridCol w:w="5534"/>
        <w:gridCol w:w="1235"/>
      </w:tblGrid>
      <w:tr w:rsidR="00BA0236" w:rsidRPr="00B32914" w14:paraId="4529299D" w14:textId="77777777" w:rsidTr="00B32914">
        <w:trPr>
          <w:trHeight w:val="407"/>
          <w:tblHeader/>
        </w:trPr>
        <w:tc>
          <w:tcPr>
            <w:tcW w:w="1691" w:type="dxa"/>
            <w:tcBorders>
              <w:bottom w:val="single" w:sz="12" w:space="0" w:color="7ECBED"/>
            </w:tcBorders>
            <w:shd w:val="clear" w:color="auto" w:fill="D4EDF9"/>
          </w:tcPr>
          <w:p w14:paraId="04FE9118" w14:textId="77777777" w:rsidR="00BA0236" w:rsidRPr="00B32914" w:rsidRDefault="00BA0236" w:rsidP="00B32914">
            <w:pPr>
              <w:spacing w:before="60" w:after="60"/>
              <w:jc w:val="center"/>
              <w:rPr>
                <w:b/>
                <w:bCs/>
                <w:color w:val="000000"/>
                <w:lang w:eastAsia="pl-PL"/>
              </w:rPr>
            </w:pPr>
            <w:r w:rsidRPr="00B32914">
              <w:rPr>
                <w:bCs/>
                <w:color w:val="000000"/>
              </w:rPr>
              <w:t>Kryterium zbiorcze</w:t>
            </w:r>
          </w:p>
        </w:tc>
        <w:tc>
          <w:tcPr>
            <w:tcW w:w="5534" w:type="dxa"/>
            <w:tcBorders>
              <w:bottom w:val="single" w:sz="12" w:space="0" w:color="7ECBED"/>
            </w:tcBorders>
            <w:shd w:val="clear" w:color="auto" w:fill="D4EDF9"/>
          </w:tcPr>
          <w:p w14:paraId="3510F620" w14:textId="77777777" w:rsidR="00BA0236" w:rsidRPr="00B32914" w:rsidRDefault="00BA0236" w:rsidP="00B32914">
            <w:pPr>
              <w:spacing w:before="60" w:after="60"/>
              <w:jc w:val="center"/>
              <w:rPr>
                <w:b/>
                <w:bCs/>
                <w:color w:val="000000"/>
              </w:rPr>
            </w:pPr>
            <w:r w:rsidRPr="00B32914">
              <w:rPr>
                <w:bCs/>
                <w:color w:val="000000"/>
              </w:rPr>
              <w:t>Nazwa kryterium szczegółowego</w:t>
            </w:r>
          </w:p>
        </w:tc>
        <w:tc>
          <w:tcPr>
            <w:tcW w:w="1235" w:type="dxa"/>
            <w:tcBorders>
              <w:bottom w:val="single" w:sz="12" w:space="0" w:color="7ECBED"/>
            </w:tcBorders>
            <w:shd w:val="clear" w:color="auto" w:fill="D4EDF9"/>
          </w:tcPr>
          <w:p w14:paraId="66BEEA23" w14:textId="77777777" w:rsidR="00BA0236" w:rsidRPr="00B32914" w:rsidRDefault="00BA0236" w:rsidP="00B32914">
            <w:pPr>
              <w:spacing w:before="60" w:after="60"/>
              <w:jc w:val="center"/>
              <w:rPr>
                <w:b/>
                <w:bCs/>
                <w:color w:val="000000"/>
              </w:rPr>
            </w:pPr>
            <w:r w:rsidRPr="00B32914">
              <w:rPr>
                <w:bCs/>
                <w:color w:val="000000"/>
              </w:rPr>
              <w:t>Waga kryterium</w:t>
            </w:r>
          </w:p>
        </w:tc>
      </w:tr>
      <w:tr w:rsidR="00BA0236" w:rsidRPr="00B32914" w14:paraId="3D9B37CC" w14:textId="77777777" w:rsidTr="00B32914">
        <w:trPr>
          <w:trHeight w:val="203"/>
        </w:trPr>
        <w:tc>
          <w:tcPr>
            <w:tcW w:w="1691" w:type="dxa"/>
            <w:vMerge w:val="restart"/>
          </w:tcPr>
          <w:p w14:paraId="572E5143" w14:textId="77777777" w:rsidR="00BA0236" w:rsidRPr="00B32914" w:rsidRDefault="00BA0236" w:rsidP="00B32914">
            <w:pPr>
              <w:spacing w:before="60" w:after="60"/>
              <w:rPr>
                <w:b/>
                <w:bCs/>
                <w:color w:val="000000"/>
              </w:rPr>
            </w:pPr>
            <w:r w:rsidRPr="00B32914">
              <w:rPr>
                <w:bCs/>
                <w:color w:val="000000"/>
              </w:rPr>
              <w:t xml:space="preserve">Skuteczność </w:t>
            </w:r>
            <w:r w:rsidRPr="00B32914">
              <w:rPr>
                <w:color w:val="000000"/>
              </w:rPr>
              <w:t>osiągania</w:t>
            </w:r>
            <w:r w:rsidRPr="00B32914">
              <w:rPr>
                <w:bCs/>
                <w:color w:val="000000"/>
              </w:rPr>
              <w:t xml:space="preserve"> celów zarządzania ryzykiem powodziowym</w:t>
            </w:r>
          </w:p>
        </w:tc>
        <w:tc>
          <w:tcPr>
            <w:tcW w:w="5534" w:type="dxa"/>
            <w:noWrap/>
          </w:tcPr>
          <w:p w14:paraId="26F06064" w14:textId="77777777" w:rsidR="00BA0236" w:rsidRPr="00B32914" w:rsidRDefault="00BA0236" w:rsidP="00B32914">
            <w:pPr>
              <w:spacing w:before="60" w:after="60"/>
              <w:rPr>
                <w:color w:val="000000"/>
              </w:rPr>
            </w:pPr>
            <w:r w:rsidRPr="00B32914">
              <w:rPr>
                <w:color w:val="000000"/>
              </w:rPr>
              <w:t xml:space="preserve">Stopień trudności realizacji zadania </w:t>
            </w:r>
            <w:r w:rsidRPr="00B32914">
              <w:rPr>
                <w:color w:val="000000"/>
              </w:rPr>
              <w:br/>
              <w:t>- ocena ekspercka [pkt]</w:t>
            </w:r>
          </w:p>
        </w:tc>
        <w:tc>
          <w:tcPr>
            <w:tcW w:w="1235" w:type="dxa"/>
            <w:noWrap/>
          </w:tcPr>
          <w:p w14:paraId="6EAEA921" w14:textId="77777777" w:rsidR="00BA0236" w:rsidRPr="00B32914" w:rsidRDefault="00BA0236" w:rsidP="00B32914">
            <w:pPr>
              <w:spacing w:before="60" w:after="60"/>
              <w:jc w:val="center"/>
              <w:rPr>
                <w:color w:val="000000"/>
              </w:rPr>
            </w:pPr>
            <w:r w:rsidRPr="00B32914">
              <w:rPr>
                <w:color w:val="000000"/>
              </w:rPr>
              <w:t>10%</w:t>
            </w:r>
          </w:p>
        </w:tc>
      </w:tr>
      <w:tr w:rsidR="00BA0236" w:rsidRPr="00B32914" w14:paraId="299AB518" w14:textId="77777777" w:rsidTr="00B32914">
        <w:trPr>
          <w:trHeight w:val="458"/>
        </w:trPr>
        <w:tc>
          <w:tcPr>
            <w:tcW w:w="1691" w:type="dxa"/>
            <w:vMerge/>
          </w:tcPr>
          <w:p w14:paraId="06B85AAA" w14:textId="77777777" w:rsidR="00BA0236" w:rsidRPr="00B32914" w:rsidRDefault="00BA0236" w:rsidP="00B32914">
            <w:pPr>
              <w:spacing w:before="60" w:after="60"/>
              <w:rPr>
                <w:b/>
                <w:bCs/>
                <w:color w:val="000000"/>
              </w:rPr>
            </w:pPr>
          </w:p>
        </w:tc>
        <w:tc>
          <w:tcPr>
            <w:tcW w:w="5534" w:type="dxa"/>
          </w:tcPr>
          <w:p w14:paraId="697ADF28" w14:textId="77777777" w:rsidR="00BA0236" w:rsidRPr="00B32914" w:rsidRDefault="00BA0236" w:rsidP="00B32914">
            <w:pPr>
              <w:spacing w:before="60" w:after="60"/>
              <w:rPr>
                <w:color w:val="000000"/>
              </w:rPr>
            </w:pPr>
            <w:r w:rsidRPr="00B32914">
              <w:rPr>
                <w:color w:val="000000"/>
              </w:rPr>
              <w:t xml:space="preserve">Zależność od czasu uzyskania prognozy </w:t>
            </w:r>
            <w:r w:rsidRPr="00B32914">
              <w:rPr>
                <w:color w:val="000000"/>
              </w:rPr>
              <w:br/>
              <w:t>- ocena porównawcza - łączna długość mobilnych systemów [m] x średnia wysokość przegród [m]*</w:t>
            </w:r>
          </w:p>
        </w:tc>
        <w:tc>
          <w:tcPr>
            <w:tcW w:w="1235" w:type="dxa"/>
            <w:noWrap/>
          </w:tcPr>
          <w:p w14:paraId="29CFF29A" w14:textId="77777777" w:rsidR="00BA0236" w:rsidRPr="00B32914" w:rsidRDefault="00BA0236" w:rsidP="00B32914">
            <w:pPr>
              <w:spacing w:before="60" w:after="60"/>
              <w:jc w:val="center"/>
              <w:rPr>
                <w:color w:val="000000"/>
              </w:rPr>
            </w:pPr>
            <w:r w:rsidRPr="00B32914">
              <w:rPr>
                <w:color w:val="000000"/>
              </w:rPr>
              <w:t>35%</w:t>
            </w:r>
          </w:p>
        </w:tc>
      </w:tr>
      <w:tr w:rsidR="00BA0236" w:rsidRPr="00B32914" w14:paraId="1D4AD4F4" w14:textId="77777777" w:rsidTr="00B32914">
        <w:trPr>
          <w:trHeight w:val="407"/>
        </w:trPr>
        <w:tc>
          <w:tcPr>
            <w:tcW w:w="1691" w:type="dxa"/>
            <w:vMerge/>
          </w:tcPr>
          <w:p w14:paraId="2F222792" w14:textId="77777777" w:rsidR="00BA0236" w:rsidRPr="00B32914" w:rsidRDefault="00BA0236" w:rsidP="00B32914">
            <w:pPr>
              <w:spacing w:before="60" w:after="60"/>
              <w:rPr>
                <w:b/>
                <w:bCs/>
                <w:color w:val="000000"/>
              </w:rPr>
            </w:pPr>
          </w:p>
        </w:tc>
        <w:tc>
          <w:tcPr>
            <w:tcW w:w="5534" w:type="dxa"/>
          </w:tcPr>
          <w:p w14:paraId="4C54DB50" w14:textId="77777777" w:rsidR="00BA0236" w:rsidRPr="00B32914" w:rsidRDefault="00BA0236" w:rsidP="00B32914">
            <w:pPr>
              <w:spacing w:before="60" w:after="60"/>
              <w:rPr>
                <w:color w:val="000000"/>
              </w:rPr>
            </w:pPr>
            <w:r w:rsidRPr="00B32914">
              <w:rPr>
                <w:color w:val="000000"/>
              </w:rPr>
              <w:t>Czas potrzebny na ustawienie bariery ochronnej</w:t>
            </w:r>
            <w:r w:rsidRPr="00B32914">
              <w:rPr>
                <w:color w:val="000000"/>
              </w:rPr>
              <w:br/>
              <w:t>- ocena porównawcza [pkt] *</w:t>
            </w:r>
          </w:p>
        </w:tc>
        <w:tc>
          <w:tcPr>
            <w:tcW w:w="1235" w:type="dxa"/>
            <w:noWrap/>
          </w:tcPr>
          <w:p w14:paraId="6E6E6CA4" w14:textId="77777777" w:rsidR="00BA0236" w:rsidRPr="00B32914" w:rsidRDefault="00BA0236" w:rsidP="00B32914">
            <w:pPr>
              <w:spacing w:before="60" w:after="60"/>
              <w:jc w:val="center"/>
              <w:rPr>
                <w:color w:val="000000"/>
              </w:rPr>
            </w:pPr>
            <w:r w:rsidRPr="00B32914">
              <w:rPr>
                <w:color w:val="000000"/>
              </w:rPr>
              <w:t>35%</w:t>
            </w:r>
          </w:p>
        </w:tc>
      </w:tr>
      <w:tr w:rsidR="00BA0236" w:rsidRPr="00B32914" w14:paraId="0A5B7572" w14:textId="77777777" w:rsidTr="00B32914">
        <w:trPr>
          <w:trHeight w:val="203"/>
        </w:trPr>
        <w:tc>
          <w:tcPr>
            <w:tcW w:w="1691" w:type="dxa"/>
            <w:vMerge/>
            <w:tcBorders>
              <w:bottom w:val="double" w:sz="4" w:space="0" w:color="28AAE1"/>
            </w:tcBorders>
          </w:tcPr>
          <w:p w14:paraId="5AD85467" w14:textId="77777777" w:rsidR="00BA0236" w:rsidRPr="00B32914" w:rsidRDefault="00BA0236" w:rsidP="00B32914">
            <w:pPr>
              <w:spacing w:before="60" w:after="60"/>
              <w:rPr>
                <w:b/>
                <w:bCs/>
                <w:color w:val="000000"/>
              </w:rPr>
            </w:pPr>
          </w:p>
        </w:tc>
        <w:tc>
          <w:tcPr>
            <w:tcW w:w="5534" w:type="dxa"/>
            <w:tcBorders>
              <w:bottom w:val="double" w:sz="4" w:space="0" w:color="28AAE1"/>
            </w:tcBorders>
            <w:noWrap/>
          </w:tcPr>
          <w:p w14:paraId="382AE35D" w14:textId="77777777" w:rsidR="00BA0236" w:rsidRPr="00B32914" w:rsidRDefault="00BA0236" w:rsidP="00B32914">
            <w:pPr>
              <w:spacing w:before="60" w:after="60"/>
              <w:rPr>
                <w:color w:val="000000"/>
              </w:rPr>
            </w:pPr>
            <w:r w:rsidRPr="00B32914">
              <w:rPr>
                <w:color w:val="000000"/>
              </w:rPr>
              <w:t>Kryterium stanu zaawansowania</w:t>
            </w:r>
            <w:r w:rsidRPr="00B32914">
              <w:rPr>
                <w:color w:val="000000"/>
              </w:rPr>
              <w:br/>
              <w:t>- ocena stanu zaawansowania dokumentacji [pkt]</w:t>
            </w:r>
          </w:p>
        </w:tc>
        <w:tc>
          <w:tcPr>
            <w:tcW w:w="1235" w:type="dxa"/>
            <w:tcBorders>
              <w:bottom w:val="double" w:sz="4" w:space="0" w:color="28AAE1"/>
            </w:tcBorders>
            <w:noWrap/>
          </w:tcPr>
          <w:p w14:paraId="6061287F" w14:textId="77777777" w:rsidR="00BA0236" w:rsidRPr="00B32914" w:rsidRDefault="00BA0236" w:rsidP="00B32914">
            <w:pPr>
              <w:spacing w:before="60" w:after="60"/>
              <w:jc w:val="center"/>
              <w:rPr>
                <w:color w:val="000000"/>
              </w:rPr>
            </w:pPr>
            <w:r w:rsidRPr="00B32914">
              <w:rPr>
                <w:color w:val="000000"/>
              </w:rPr>
              <w:t>20%</w:t>
            </w:r>
          </w:p>
        </w:tc>
      </w:tr>
      <w:tr w:rsidR="00BA0236" w:rsidRPr="00B32914" w14:paraId="7EFFE0FE" w14:textId="77777777" w:rsidTr="00B32914">
        <w:trPr>
          <w:trHeight w:val="428"/>
        </w:trPr>
        <w:tc>
          <w:tcPr>
            <w:tcW w:w="1691" w:type="dxa"/>
            <w:vMerge w:val="restart"/>
            <w:tcBorders>
              <w:top w:val="double" w:sz="4" w:space="0" w:color="28AAE1"/>
            </w:tcBorders>
          </w:tcPr>
          <w:p w14:paraId="71B539B4" w14:textId="77777777" w:rsidR="00BA0236" w:rsidRPr="00B32914" w:rsidRDefault="00BA0236" w:rsidP="00B32914">
            <w:pPr>
              <w:spacing w:before="60" w:after="60"/>
              <w:rPr>
                <w:b/>
                <w:bCs/>
                <w:color w:val="000000"/>
              </w:rPr>
            </w:pPr>
            <w:r w:rsidRPr="00B32914">
              <w:rPr>
                <w:bCs/>
                <w:color w:val="000000"/>
              </w:rPr>
              <w:t>Możliwe konflikty społeczne związane z realizacją działań</w:t>
            </w:r>
          </w:p>
        </w:tc>
        <w:tc>
          <w:tcPr>
            <w:tcW w:w="5534" w:type="dxa"/>
            <w:tcBorders>
              <w:top w:val="double" w:sz="4" w:space="0" w:color="28AAE1"/>
            </w:tcBorders>
            <w:noWrap/>
          </w:tcPr>
          <w:p w14:paraId="50739D6F" w14:textId="77777777" w:rsidR="00BA0236" w:rsidRPr="00B32914" w:rsidRDefault="00BA0236" w:rsidP="00B32914">
            <w:pPr>
              <w:spacing w:before="40" w:after="40"/>
              <w:rPr>
                <w:color w:val="000000"/>
              </w:rPr>
            </w:pPr>
            <w:r w:rsidRPr="00B32914">
              <w:rPr>
                <w:color w:val="000000"/>
              </w:rPr>
              <w:t>Zajętość terenu przez budowlę [pkt]</w:t>
            </w:r>
          </w:p>
        </w:tc>
        <w:tc>
          <w:tcPr>
            <w:tcW w:w="1235" w:type="dxa"/>
            <w:tcBorders>
              <w:top w:val="double" w:sz="4" w:space="0" w:color="28AAE1"/>
            </w:tcBorders>
            <w:noWrap/>
          </w:tcPr>
          <w:p w14:paraId="7E6B8CA7" w14:textId="77777777" w:rsidR="00BA0236" w:rsidRPr="00B32914" w:rsidRDefault="00BA0236" w:rsidP="00B32914">
            <w:pPr>
              <w:spacing w:before="40" w:after="40"/>
              <w:jc w:val="center"/>
              <w:rPr>
                <w:color w:val="000000"/>
              </w:rPr>
            </w:pPr>
            <w:r w:rsidRPr="00B32914">
              <w:rPr>
                <w:color w:val="000000"/>
              </w:rPr>
              <w:t>20%</w:t>
            </w:r>
          </w:p>
        </w:tc>
      </w:tr>
      <w:tr w:rsidR="00BA0236" w:rsidRPr="00B32914" w14:paraId="460E41D4" w14:textId="77777777" w:rsidTr="00B32914">
        <w:trPr>
          <w:trHeight w:val="203"/>
        </w:trPr>
        <w:tc>
          <w:tcPr>
            <w:tcW w:w="1691" w:type="dxa"/>
            <w:vMerge/>
          </w:tcPr>
          <w:p w14:paraId="39677A11" w14:textId="77777777" w:rsidR="00BA0236" w:rsidRPr="00B32914" w:rsidRDefault="00BA0236" w:rsidP="00B32914">
            <w:pPr>
              <w:spacing w:before="60" w:after="60"/>
              <w:rPr>
                <w:b/>
                <w:bCs/>
                <w:color w:val="000000"/>
              </w:rPr>
            </w:pPr>
          </w:p>
        </w:tc>
        <w:tc>
          <w:tcPr>
            <w:tcW w:w="5534" w:type="dxa"/>
            <w:noWrap/>
          </w:tcPr>
          <w:p w14:paraId="51C2B983" w14:textId="77777777" w:rsidR="00BA0236" w:rsidRPr="00B32914" w:rsidRDefault="00BA0236" w:rsidP="00B32914">
            <w:pPr>
              <w:spacing w:before="40" w:after="40"/>
              <w:rPr>
                <w:color w:val="000000"/>
              </w:rPr>
            </w:pPr>
            <w:r w:rsidRPr="00B32914">
              <w:rPr>
                <w:color w:val="000000"/>
              </w:rPr>
              <w:t>Udział przekształceń naturalnego i semi-naturalnego terenu [%]</w:t>
            </w:r>
          </w:p>
        </w:tc>
        <w:tc>
          <w:tcPr>
            <w:tcW w:w="1235" w:type="dxa"/>
            <w:noWrap/>
          </w:tcPr>
          <w:p w14:paraId="3653C08A" w14:textId="77777777" w:rsidR="00BA0236" w:rsidRPr="00B32914" w:rsidRDefault="00BA0236" w:rsidP="00B32914">
            <w:pPr>
              <w:spacing w:before="40" w:after="40"/>
              <w:jc w:val="center"/>
              <w:rPr>
                <w:color w:val="000000"/>
              </w:rPr>
            </w:pPr>
            <w:r w:rsidRPr="00B32914">
              <w:rPr>
                <w:color w:val="000000"/>
              </w:rPr>
              <w:t>40%</w:t>
            </w:r>
          </w:p>
        </w:tc>
      </w:tr>
      <w:tr w:rsidR="00BA0236" w:rsidRPr="00B32914" w14:paraId="450D43BA" w14:textId="77777777" w:rsidTr="00B32914">
        <w:trPr>
          <w:trHeight w:val="560"/>
        </w:trPr>
        <w:tc>
          <w:tcPr>
            <w:tcW w:w="1691" w:type="dxa"/>
            <w:vMerge/>
            <w:tcBorders>
              <w:bottom w:val="double" w:sz="4" w:space="0" w:color="28AAE1"/>
            </w:tcBorders>
          </w:tcPr>
          <w:p w14:paraId="2C0037BC" w14:textId="77777777" w:rsidR="00BA0236" w:rsidRPr="00B32914" w:rsidRDefault="00BA0236" w:rsidP="00B32914">
            <w:pPr>
              <w:spacing w:before="60" w:after="60"/>
              <w:rPr>
                <w:b/>
                <w:bCs/>
                <w:color w:val="000000"/>
              </w:rPr>
            </w:pPr>
          </w:p>
        </w:tc>
        <w:tc>
          <w:tcPr>
            <w:tcW w:w="5534" w:type="dxa"/>
            <w:tcBorders>
              <w:bottom w:val="double" w:sz="4" w:space="0" w:color="28AAE1"/>
            </w:tcBorders>
            <w:noWrap/>
          </w:tcPr>
          <w:p w14:paraId="1F66F958" w14:textId="77777777" w:rsidR="00BA0236" w:rsidRPr="00B32914" w:rsidRDefault="00BA0236" w:rsidP="00B32914">
            <w:pPr>
              <w:spacing w:before="40" w:after="40"/>
              <w:rPr>
                <w:color w:val="000000"/>
              </w:rPr>
            </w:pPr>
            <w:r w:rsidRPr="00B32914">
              <w:rPr>
                <w:color w:val="000000"/>
              </w:rPr>
              <w:t>Liczba budynków koniecznych do wyburzenia [szt]</w:t>
            </w:r>
          </w:p>
        </w:tc>
        <w:tc>
          <w:tcPr>
            <w:tcW w:w="1235" w:type="dxa"/>
            <w:tcBorders>
              <w:bottom w:val="double" w:sz="4" w:space="0" w:color="28AAE1"/>
            </w:tcBorders>
            <w:noWrap/>
          </w:tcPr>
          <w:p w14:paraId="4C787AD6" w14:textId="77777777" w:rsidR="00BA0236" w:rsidRPr="00B32914" w:rsidRDefault="00BA0236" w:rsidP="00B32914">
            <w:pPr>
              <w:spacing w:before="40" w:after="40"/>
              <w:jc w:val="center"/>
              <w:rPr>
                <w:color w:val="000000"/>
              </w:rPr>
            </w:pPr>
            <w:r w:rsidRPr="00B32914">
              <w:rPr>
                <w:color w:val="000000"/>
              </w:rPr>
              <w:t>40%</w:t>
            </w:r>
          </w:p>
        </w:tc>
      </w:tr>
      <w:tr w:rsidR="00BA0236" w:rsidRPr="00B32914" w14:paraId="688F8499" w14:textId="77777777" w:rsidTr="00B32914">
        <w:trPr>
          <w:trHeight w:val="469"/>
        </w:trPr>
        <w:tc>
          <w:tcPr>
            <w:tcW w:w="1691" w:type="dxa"/>
            <w:vMerge w:val="restart"/>
            <w:tcBorders>
              <w:top w:val="double" w:sz="4" w:space="0" w:color="28AAE1"/>
            </w:tcBorders>
          </w:tcPr>
          <w:p w14:paraId="28EC0433" w14:textId="77777777" w:rsidR="00BA0236" w:rsidRPr="00B32914" w:rsidRDefault="00BA0236" w:rsidP="00B32914">
            <w:pPr>
              <w:spacing w:before="60" w:after="60"/>
              <w:rPr>
                <w:b/>
                <w:bCs/>
                <w:color w:val="000000"/>
              </w:rPr>
            </w:pPr>
            <w:r w:rsidRPr="00B32914">
              <w:rPr>
                <w:bCs/>
                <w:color w:val="000000"/>
              </w:rPr>
              <w:lastRenderedPageBreak/>
              <w:t>Zakres i stopień negatywnego oddziaływania na środowisko</w:t>
            </w:r>
          </w:p>
        </w:tc>
        <w:tc>
          <w:tcPr>
            <w:tcW w:w="5534" w:type="dxa"/>
            <w:tcBorders>
              <w:top w:val="double" w:sz="4" w:space="0" w:color="28AAE1"/>
            </w:tcBorders>
            <w:noWrap/>
          </w:tcPr>
          <w:p w14:paraId="0169D2E7" w14:textId="77777777" w:rsidR="00BA0236" w:rsidRPr="00B32914" w:rsidRDefault="00BA0236" w:rsidP="00B32914">
            <w:pPr>
              <w:spacing w:before="40" w:after="40"/>
              <w:rPr>
                <w:color w:val="000000"/>
              </w:rPr>
            </w:pPr>
            <w:r w:rsidRPr="00B32914">
              <w:rPr>
                <w:color w:val="000000"/>
              </w:rPr>
              <w:t>Wpływ na JCWP</w:t>
            </w:r>
            <w:r w:rsidRPr="00B32914">
              <w:rPr>
                <w:color w:val="000000"/>
              </w:rPr>
              <w:br/>
              <w:t>- ocena ekspercka [pkt]</w:t>
            </w:r>
          </w:p>
        </w:tc>
        <w:tc>
          <w:tcPr>
            <w:tcW w:w="1235" w:type="dxa"/>
            <w:tcBorders>
              <w:top w:val="double" w:sz="4" w:space="0" w:color="28AAE1"/>
            </w:tcBorders>
            <w:noWrap/>
          </w:tcPr>
          <w:p w14:paraId="53CC8823" w14:textId="77777777" w:rsidR="00BA0236" w:rsidRPr="00B32914" w:rsidRDefault="00BA0236" w:rsidP="00B32914">
            <w:pPr>
              <w:spacing w:before="40" w:after="40"/>
              <w:jc w:val="center"/>
              <w:rPr>
                <w:color w:val="000000"/>
              </w:rPr>
            </w:pPr>
            <w:r w:rsidRPr="00B32914">
              <w:rPr>
                <w:color w:val="000000"/>
              </w:rPr>
              <w:t>25%</w:t>
            </w:r>
          </w:p>
        </w:tc>
      </w:tr>
      <w:tr w:rsidR="00BA0236" w:rsidRPr="00B32914" w14:paraId="417EC194" w14:textId="77777777" w:rsidTr="00B32914">
        <w:trPr>
          <w:trHeight w:val="607"/>
        </w:trPr>
        <w:tc>
          <w:tcPr>
            <w:tcW w:w="1691" w:type="dxa"/>
            <w:vMerge/>
          </w:tcPr>
          <w:p w14:paraId="64DEDDBC" w14:textId="77777777" w:rsidR="00BA0236" w:rsidRPr="00B32914" w:rsidRDefault="00BA0236" w:rsidP="00B32914">
            <w:pPr>
              <w:spacing w:before="60" w:after="60"/>
              <w:rPr>
                <w:b/>
                <w:bCs/>
                <w:color w:val="000000"/>
              </w:rPr>
            </w:pPr>
          </w:p>
        </w:tc>
        <w:tc>
          <w:tcPr>
            <w:tcW w:w="5534" w:type="dxa"/>
            <w:noWrap/>
          </w:tcPr>
          <w:p w14:paraId="54ED74AD" w14:textId="77777777" w:rsidR="00BA0236" w:rsidRPr="00B32914" w:rsidRDefault="00BA0236" w:rsidP="00B32914">
            <w:pPr>
              <w:spacing w:before="40" w:after="40"/>
              <w:rPr>
                <w:color w:val="000000"/>
              </w:rPr>
            </w:pPr>
            <w:r w:rsidRPr="00B32914">
              <w:rPr>
                <w:color w:val="000000"/>
              </w:rPr>
              <w:t>Formy ochrony przyrody</w:t>
            </w:r>
            <w:r w:rsidRPr="00B32914">
              <w:rPr>
                <w:color w:val="000000"/>
              </w:rPr>
              <w:br/>
              <w:t>- typ ochrony [pkt.] x stopień ingerencji [%]</w:t>
            </w:r>
          </w:p>
        </w:tc>
        <w:tc>
          <w:tcPr>
            <w:tcW w:w="1235" w:type="dxa"/>
            <w:noWrap/>
          </w:tcPr>
          <w:p w14:paraId="34A1E298" w14:textId="77777777" w:rsidR="00BA0236" w:rsidRPr="00B32914" w:rsidRDefault="00BA0236" w:rsidP="00B32914">
            <w:pPr>
              <w:spacing w:before="40" w:after="40"/>
              <w:jc w:val="center"/>
              <w:rPr>
                <w:color w:val="000000"/>
              </w:rPr>
            </w:pPr>
            <w:r w:rsidRPr="00B32914">
              <w:rPr>
                <w:color w:val="000000"/>
              </w:rPr>
              <w:t>30%</w:t>
            </w:r>
          </w:p>
        </w:tc>
      </w:tr>
      <w:tr w:rsidR="00BA0236" w:rsidRPr="00B32914" w14:paraId="2817400C" w14:textId="77777777" w:rsidTr="00B32914">
        <w:trPr>
          <w:trHeight w:val="275"/>
        </w:trPr>
        <w:tc>
          <w:tcPr>
            <w:tcW w:w="1691" w:type="dxa"/>
            <w:vMerge/>
          </w:tcPr>
          <w:p w14:paraId="36D514DF" w14:textId="77777777" w:rsidR="00BA0236" w:rsidRPr="00B32914" w:rsidRDefault="00BA0236" w:rsidP="00B32914">
            <w:pPr>
              <w:spacing w:before="60" w:after="60"/>
              <w:rPr>
                <w:b/>
                <w:bCs/>
                <w:color w:val="000000"/>
              </w:rPr>
            </w:pPr>
          </w:p>
        </w:tc>
        <w:tc>
          <w:tcPr>
            <w:tcW w:w="5534" w:type="dxa"/>
            <w:noWrap/>
          </w:tcPr>
          <w:p w14:paraId="278E7B24" w14:textId="77777777" w:rsidR="00BA0236" w:rsidRPr="00B32914" w:rsidRDefault="00BA0236" w:rsidP="00B32914">
            <w:pPr>
              <w:spacing w:before="40" w:after="40"/>
              <w:rPr>
                <w:color w:val="000000"/>
              </w:rPr>
            </w:pPr>
            <w:r w:rsidRPr="00B32914">
              <w:rPr>
                <w:color w:val="000000"/>
              </w:rPr>
              <w:t>Wycinka drzew/lasu [pkt]</w:t>
            </w:r>
          </w:p>
        </w:tc>
        <w:tc>
          <w:tcPr>
            <w:tcW w:w="1235" w:type="dxa"/>
            <w:noWrap/>
          </w:tcPr>
          <w:p w14:paraId="2016DC89" w14:textId="77777777" w:rsidR="00BA0236" w:rsidRPr="00B32914" w:rsidRDefault="00BA0236" w:rsidP="00B32914">
            <w:pPr>
              <w:spacing w:before="40" w:after="40"/>
              <w:jc w:val="center"/>
              <w:rPr>
                <w:color w:val="000000"/>
              </w:rPr>
            </w:pPr>
            <w:r w:rsidRPr="00B32914">
              <w:rPr>
                <w:color w:val="000000"/>
              </w:rPr>
              <w:t>25%</w:t>
            </w:r>
          </w:p>
        </w:tc>
      </w:tr>
      <w:tr w:rsidR="00BA0236" w:rsidRPr="00B32914" w14:paraId="2D5C2946" w14:textId="77777777" w:rsidTr="00B32914">
        <w:trPr>
          <w:trHeight w:val="181"/>
        </w:trPr>
        <w:tc>
          <w:tcPr>
            <w:tcW w:w="1691" w:type="dxa"/>
            <w:vMerge/>
          </w:tcPr>
          <w:p w14:paraId="1F00E2C1" w14:textId="77777777" w:rsidR="00BA0236" w:rsidRPr="00B32914" w:rsidRDefault="00BA0236" w:rsidP="00B32914">
            <w:pPr>
              <w:spacing w:before="60" w:after="60"/>
              <w:rPr>
                <w:b/>
                <w:bCs/>
                <w:color w:val="000000"/>
              </w:rPr>
            </w:pPr>
          </w:p>
        </w:tc>
        <w:tc>
          <w:tcPr>
            <w:tcW w:w="5534" w:type="dxa"/>
            <w:noWrap/>
          </w:tcPr>
          <w:p w14:paraId="0007CA27" w14:textId="77777777" w:rsidR="00BA0236" w:rsidRPr="00B32914" w:rsidRDefault="00BA0236" w:rsidP="00B32914">
            <w:pPr>
              <w:spacing w:before="40" w:after="40"/>
              <w:rPr>
                <w:color w:val="000000"/>
              </w:rPr>
            </w:pPr>
            <w:r w:rsidRPr="00B32914">
              <w:rPr>
                <w:color w:val="000000"/>
              </w:rPr>
              <w:t>Krajobraz - kubatura obiektu [pkt]</w:t>
            </w:r>
          </w:p>
        </w:tc>
        <w:tc>
          <w:tcPr>
            <w:tcW w:w="1235" w:type="dxa"/>
            <w:noWrap/>
          </w:tcPr>
          <w:p w14:paraId="45E2EAF2" w14:textId="77777777" w:rsidR="00BA0236" w:rsidRPr="00B32914" w:rsidRDefault="00BA0236" w:rsidP="00B32914">
            <w:pPr>
              <w:spacing w:before="40" w:after="40"/>
              <w:jc w:val="center"/>
              <w:rPr>
                <w:color w:val="000000"/>
              </w:rPr>
            </w:pPr>
            <w:r w:rsidRPr="00B32914">
              <w:rPr>
                <w:color w:val="000000"/>
              </w:rPr>
              <w:t>20%</w:t>
            </w:r>
          </w:p>
        </w:tc>
      </w:tr>
    </w:tbl>
    <w:p w14:paraId="43A81DFF" w14:textId="77777777" w:rsidR="00BA0236" w:rsidRPr="007C28CC" w:rsidRDefault="00BA0236" w:rsidP="00E8074C">
      <w:pPr>
        <w:pStyle w:val="ReportLevel3"/>
        <w:numPr>
          <w:ilvl w:val="2"/>
          <w:numId w:val="9"/>
        </w:numPr>
      </w:pPr>
      <w:r w:rsidRPr="007C28CC">
        <w:t>Kryterium efektywność ekonomiczna</w:t>
      </w:r>
    </w:p>
    <w:p w14:paraId="2393A8FD" w14:textId="77777777" w:rsidR="00BA0236" w:rsidRPr="007C28CC" w:rsidRDefault="00BA0236" w:rsidP="007C28CC">
      <w:pPr>
        <w:pStyle w:val="ReportText"/>
        <w:spacing w:before="120" w:after="120"/>
      </w:pPr>
      <w:r w:rsidRPr="007C28CC">
        <w:t xml:space="preserve">Efektywność ekonomiczna określana jest na podstawie wskaźnika kosztów do korzyści (B/C). Wskaźnik B/C to stosunek sumy zdyskontowanych korzyści projektu do zdyskontowanych kosztów w okresie odniesienia. Uznaje się, że inwestycja jest efektywna, jeżeli wskaźnik B/C jest większy lub równy jedności, co oznacza, że wartość korzyści przekracza wartość kosztów inwestycji. </w:t>
      </w:r>
    </w:p>
    <w:p w14:paraId="72C6B438" w14:textId="77777777" w:rsidR="00BA0236" w:rsidRPr="007C28CC" w:rsidRDefault="00BA0236" w:rsidP="00E8074C">
      <w:pPr>
        <w:pStyle w:val="ReportLevel3"/>
        <w:numPr>
          <w:ilvl w:val="2"/>
          <w:numId w:val="9"/>
        </w:numPr>
      </w:pPr>
      <w:r w:rsidRPr="007C28CC">
        <w:t>Kryterium zapewnienia finansowania</w:t>
      </w:r>
    </w:p>
    <w:p w14:paraId="4BFCBF08" w14:textId="77777777" w:rsidR="00BA0236" w:rsidRPr="007C28CC" w:rsidRDefault="00BA0236" w:rsidP="007C28CC">
      <w:pPr>
        <w:pStyle w:val="ReportText"/>
        <w:spacing w:before="120" w:after="120"/>
      </w:pPr>
      <w:r w:rsidRPr="007C28CC">
        <w:t xml:space="preserve">Kryterium porównawcze wariantów uwzględniające zapewnienie lub brak finansowania danego działania. Ocena została przyjęta na podstawie konsultacji z podmiotami odpowiedzialnymi za realizację danego działania. </w:t>
      </w:r>
    </w:p>
    <w:p w14:paraId="3A3964F5" w14:textId="77777777" w:rsidR="00BA0236" w:rsidRPr="007C28CC" w:rsidRDefault="00BA0236" w:rsidP="00E8074C">
      <w:pPr>
        <w:pStyle w:val="ReportLevel3"/>
        <w:numPr>
          <w:ilvl w:val="2"/>
          <w:numId w:val="9"/>
        </w:numPr>
      </w:pPr>
      <w:r w:rsidRPr="007C28CC">
        <w:t>Kryterium zgodności z RDW</w:t>
      </w:r>
    </w:p>
    <w:p w14:paraId="46E2D6AE" w14:textId="77777777" w:rsidR="00BA0236" w:rsidRPr="007C28CC" w:rsidRDefault="00BA0236" w:rsidP="007C28CC">
      <w:pPr>
        <w:pStyle w:val="ReportText"/>
        <w:spacing w:before="120" w:after="120"/>
      </w:pPr>
      <w:r w:rsidRPr="007C28CC">
        <w:t xml:space="preserve">Kryterium zawierające ocena zgodności wariantowanych działań z Ramową Dyrektywą Wodną oraz Ramową Dyrektywą Strategii Morskiej. </w:t>
      </w:r>
    </w:p>
    <w:p w14:paraId="0752BC96" w14:textId="77777777" w:rsidR="00BA0236" w:rsidRPr="007C28CC" w:rsidRDefault="00BA0236" w:rsidP="007C28CC">
      <w:pPr>
        <w:pStyle w:val="ReportText"/>
        <w:spacing w:before="120" w:after="120"/>
      </w:pPr>
      <w:r w:rsidRPr="007C28CC">
        <w:t>Opis analizy zgodności planowanych wariantów z dokumentami wskazanymi w OPZ znajduje się w pkt. 6.2.8 niniejszego raportu.</w:t>
      </w:r>
    </w:p>
    <w:p w14:paraId="0C198523" w14:textId="77777777" w:rsidR="00BA0236" w:rsidRPr="007C28CC" w:rsidRDefault="00BA0236" w:rsidP="00E8074C">
      <w:pPr>
        <w:pStyle w:val="ReportLevel3"/>
        <w:numPr>
          <w:ilvl w:val="2"/>
          <w:numId w:val="9"/>
        </w:numPr>
      </w:pPr>
      <w:r w:rsidRPr="007C28CC">
        <w:t>Kryterium zakresu i stopnia negatywnego oddziaływania na środowisko</w:t>
      </w:r>
    </w:p>
    <w:p w14:paraId="4A153D7F" w14:textId="77777777" w:rsidR="00BA0236" w:rsidRPr="007C28CC" w:rsidRDefault="00BA0236" w:rsidP="007C28CC">
      <w:pPr>
        <w:pStyle w:val="ReportText"/>
        <w:spacing w:before="120" w:after="120"/>
      </w:pPr>
      <w:r w:rsidRPr="007C28CC">
        <w:t xml:space="preserve">Na ocenę kryterium zakresu i stopnia negatywnego oddziaływania na środowisko składają się kryteria szczegółowe: </w:t>
      </w:r>
    </w:p>
    <w:p w14:paraId="2BE50A4E" w14:textId="77777777" w:rsidR="00BA0236" w:rsidRPr="007C28CC" w:rsidRDefault="00BA0236" w:rsidP="00A30588">
      <w:pPr>
        <w:pStyle w:val="ReportText"/>
        <w:numPr>
          <w:ilvl w:val="0"/>
          <w:numId w:val="35"/>
        </w:numPr>
        <w:ind w:left="567" w:hanging="425"/>
      </w:pPr>
      <w:r w:rsidRPr="007C28CC">
        <w:t xml:space="preserve">Wpływ na </w:t>
      </w:r>
      <w:r>
        <w:t>JCWP</w:t>
      </w:r>
      <w:r w:rsidRPr="007C28CC">
        <w:t xml:space="preserve"> - ocena ekspercka uzależniona od oceny wpływu działania na jednolite części wód podziemnych (analiza i ocena wpływu planowanych wariantów na </w:t>
      </w:r>
      <w:r>
        <w:t>JCWP</w:t>
      </w:r>
      <w:r w:rsidRPr="007C28CC">
        <w:t xml:space="preserve"> znajduje się w pkt. 6.2 niniejszego raportu);</w:t>
      </w:r>
    </w:p>
    <w:p w14:paraId="0CC90BA9" w14:textId="77777777" w:rsidR="00BA0236" w:rsidRPr="007C28CC" w:rsidRDefault="00BA0236" w:rsidP="00A30588">
      <w:pPr>
        <w:pStyle w:val="ReportText"/>
        <w:numPr>
          <w:ilvl w:val="0"/>
          <w:numId w:val="34"/>
        </w:numPr>
        <w:ind w:left="567" w:hanging="425"/>
      </w:pPr>
      <w:r w:rsidRPr="007C28CC">
        <w:t>Wpływ na formy ochrony przyrody – ocena punktowa, uzależniona od typu form ochrony przyrody oraz procentowego stopnia ingerencji danego działania;</w:t>
      </w:r>
    </w:p>
    <w:p w14:paraId="17D10426" w14:textId="77777777" w:rsidR="00BA0236" w:rsidRPr="007C28CC" w:rsidRDefault="00BA0236" w:rsidP="00A30588">
      <w:pPr>
        <w:pStyle w:val="ReportText"/>
        <w:numPr>
          <w:ilvl w:val="0"/>
          <w:numId w:val="34"/>
        </w:numPr>
        <w:ind w:left="567" w:hanging="425"/>
      </w:pPr>
      <w:r w:rsidRPr="007C28CC">
        <w:t>Wycinka drzew/lasu – ocena punktowa, uwzględnia liczbę drzew przeznaczonych do wycinki na terenie planowanego przedsięwzięcia;</w:t>
      </w:r>
    </w:p>
    <w:p w14:paraId="4898F0A8" w14:textId="77777777" w:rsidR="00BA0236" w:rsidRPr="007C28CC" w:rsidRDefault="00BA0236" w:rsidP="00A30588">
      <w:pPr>
        <w:pStyle w:val="ReportText"/>
        <w:numPr>
          <w:ilvl w:val="0"/>
          <w:numId w:val="34"/>
        </w:numPr>
        <w:ind w:left="567" w:hanging="425"/>
      </w:pPr>
      <w:r w:rsidRPr="007C28CC">
        <w:t>Krajobraz – ocena punktowa, obejmująca oszacowanie stopnia ingerencji wariantu w krajobraz uwzględniająca kubaturę danego obiektu.</w:t>
      </w:r>
    </w:p>
    <w:p w14:paraId="2E55487B" w14:textId="78470CCB" w:rsidR="00BA0236" w:rsidRPr="007C28CC" w:rsidRDefault="00BA0236" w:rsidP="007C28CC">
      <w:pPr>
        <w:pStyle w:val="ReportText"/>
        <w:spacing w:before="120" w:after="120"/>
      </w:pPr>
      <w:r w:rsidRPr="007C28CC">
        <w:lastRenderedPageBreak/>
        <w:t xml:space="preserve">Kryteria szczegółowe wraz z przypisanymi do nich wagami przedstawia </w:t>
      </w:r>
      <w:r w:rsidRPr="007C28CC">
        <w:fldChar w:fldCharType="begin"/>
      </w:r>
      <w:r w:rsidRPr="007C28CC">
        <w:instrText xml:space="preserve"> REF _Ref79491992 \h </w:instrText>
      </w:r>
      <w:r w:rsidRPr="007C28CC">
        <w:fldChar w:fldCharType="separate"/>
      </w:r>
      <w:r w:rsidR="00FD3F9A" w:rsidRPr="00A30588">
        <w:t xml:space="preserve">Tabela </w:t>
      </w:r>
      <w:r w:rsidR="00FD3F9A">
        <w:rPr>
          <w:noProof/>
        </w:rPr>
        <w:t>13</w:t>
      </w:r>
      <w:r w:rsidRPr="007C28CC">
        <w:fldChar w:fldCharType="end"/>
      </w:r>
      <w:r w:rsidRPr="007C28CC">
        <w:t>.</w:t>
      </w:r>
    </w:p>
    <w:p w14:paraId="18CA5C4B" w14:textId="28E7C06F" w:rsidR="00BA0236" w:rsidRPr="00A30588" w:rsidRDefault="00BA0236" w:rsidP="00A30588">
      <w:pPr>
        <w:pStyle w:val="Legenda"/>
        <w:tabs>
          <w:tab w:val="clear" w:pos="1080"/>
        </w:tabs>
        <w:spacing w:before="120" w:after="0"/>
        <w:ind w:left="1134" w:hanging="1134"/>
        <w:jc w:val="both"/>
        <w:rPr>
          <w:sz w:val="24"/>
        </w:rPr>
      </w:pPr>
      <w:bookmarkStart w:id="170" w:name="_Ref79491992"/>
      <w:bookmarkStart w:id="171" w:name="_Toc80604823"/>
      <w:r w:rsidRPr="00A30588">
        <w:rPr>
          <w:sz w:val="24"/>
        </w:rPr>
        <w:t xml:space="preserve">Tabela </w:t>
      </w:r>
      <w:r w:rsidR="00295C25" w:rsidRPr="00A30588">
        <w:rPr>
          <w:sz w:val="24"/>
        </w:rPr>
        <w:fldChar w:fldCharType="begin"/>
      </w:r>
      <w:r w:rsidR="00295C25" w:rsidRPr="00A30588">
        <w:rPr>
          <w:sz w:val="24"/>
        </w:rPr>
        <w:instrText xml:space="preserve"> SEQ Tabela \* ARABIC </w:instrText>
      </w:r>
      <w:r w:rsidR="00295C25" w:rsidRPr="00A30588">
        <w:rPr>
          <w:sz w:val="24"/>
        </w:rPr>
        <w:fldChar w:fldCharType="separate"/>
      </w:r>
      <w:r w:rsidR="00FD3F9A">
        <w:rPr>
          <w:noProof/>
          <w:sz w:val="24"/>
        </w:rPr>
        <w:t>13</w:t>
      </w:r>
      <w:r w:rsidR="00295C25" w:rsidRPr="00A30588">
        <w:rPr>
          <w:noProof/>
          <w:sz w:val="24"/>
        </w:rPr>
        <w:fldChar w:fldCharType="end"/>
      </w:r>
      <w:bookmarkEnd w:id="170"/>
      <w:r w:rsidRPr="00A30588">
        <w:rPr>
          <w:sz w:val="24"/>
        </w:rPr>
        <w:tab/>
        <w:t>Kryteria szczegółowe wykorzystywane w analizie wielokryterialnej wraz z</w:t>
      </w:r>
      <w:r w:rsidR="00A30588">
        <w:rPr>
          <w:sz w:val="24"/>
        </w:rPr>
        <w:t> </w:t>
      </w:r>
      <w:r w:rsidRPr="00A30588">
        <w:rPr>
          <w:sz w:val="24"/>
        </w:rPr>
        <w:t>przypisanymi do nich wagami</w:t>
      </w:r>
      <w:bookmarkEnd w:id="171"/>
    </w:p>
    <w:tbl>
      <w:tblPr>
        <w:tblW w:w="8390" w:type="dxa"/>
        <w:tblBorders>
          <w:top w:val="single" w:sz="4" w:space="0" w:color="A9DCF3"/>
          <w:left w:val="single" w:sz="4" w:space="0" w:color="A9DCF3"/>
          <w:bottom w:val="single" w:sz="4" w:space="0" w:color="A9DCF3"/>
          <w:right w:val="single" w:sz="4" w:space="0" w:color="A9DCF3"/>
          <w:insideH w:val="single" w:sz="4" w:space="0" w:color="A9DCF3"/>
          <w:insideV w:val="single" w:sz="4" w:space="0" w:color="A9DCF3"/>
        </w:tblBorders>
        <w:tblLook w:val="00A0" w:firstRow="1" w:lastRow="0" w:firstColumn="1" w:lastColumn="0" w:noHBand="0" w:noVBand="0"/>
      </w:tblPr>
      <w:tblGrid>
        <w:gridCol w:w="1759"/>
        <w:gridCol w:w="5362"/>
        <w:gridCol w:w="1269"/>
      </w:tblGrid>
      <w:tr w:rsidR="00BA0236" w:rsidRPr="00B32914" w14:paraId="36FCF078" w14:textId="77777777" w:rsidTr="00B32914">
        <w:trPr>
          <w:trHeight w:val="407"/>
        </w:trPr>
        <w:tc>
          <w:tcPr>
            <w:tcW w:w="1759" w:type="dxa"/>
            <w:tcBorders>
              <w:bottom w:val="single" w:sz="12" w:space="0" w:color="7ECBED"/>
            </w:tcBorders>
            <w:shd w:val="clear" w:color="auto" w:fill="D4EDF9"/>
          </w:tcPr>
          <w:p w14:paraId="26437945" w14:textId="77777777" w:rsidR="00BA0236" w:rsidRPr="00B32914" w:rsidRDefault="00BA0236" w:rsidP="00B32914">
            <w:pPr>
              <w:spacing w:before="60" w:after="60"/>
              <w:rPr>
                <w:b/>
                <w:bCs/>
                <w:color w:val="000000"/>
                <w:lang w:eastAsia="pl-PL"/>
              </w:rPr>
            </w:pPr>
            <w:r w:rsidRPr="00B32914">
              <w:rPr>
                <w:bCs/>
                <w:color w:val="000000"/>
              </w:rPr>
              <w:t>Kryterium zbiorcze</w:t>
            </w:r>
          </w:p>
        </w:tc>
        <w:tc>
          <w:tcPr>
            <w:tcW w:w="5362" w:type="dxa"/>
            <w:tcBorders>
              <w:bottom w:val="single" w:sz="12" w:space="0" w:color="7ECBED"/>
            </w:tcBorders>
            <w:shd w:val="clear" w:color="auto" w:fill="D4EDF9"/>
          </w:tcPr>
          <w:p w14:paraId="0590259C" w14:textId="77777777" w:rsidR="00BA0236" w:rsidRPr="00B32914" w:rsidRDefault="00BA0236" w:rsidP="00B32914">
            <w:pPr>
              <w:spacing w:before="60" w:after="60"/>
              <w:rPr>
                <w:b/>
                <w:bCs/>
                <w:color w:val="000000"/>
              </w:rPr>
            </w:pPr>
            <w:r w:rsidRPr="00B32914">
              <w:rPr>
                <w:bCs/>
                <w:color w:val="000000"/>
              </w:rPr>
              <w:t>Nazwa kryterium szczegółowego</w:t>
            </w:r>
          </w:p>
        </w:tc>
        <w:tc>
          <w:tcPr>
            <w:tcW w:w="1269" w:type="dxa"/>
            <w:tcBorders>
              <w:bottom w:val="single" w:sz="12" w:space="0" w:color="7ECBED"/>
            </w:tcBorders>
            <w:shd w:val="clear" w:color="auto" w:fill="D4EDF9"/>
          </w:tcPr>
          <w:p w14:paraId="05FF8779" w14:textId="77777777" w:rsidR="00BA0236" w:rsidRPr="00B32914" w:rsidRDefault="00BA0236" w:rsidP="00B32914">
            <w:pPr>
              <w:spacing w:before="60" w:after="60"/>
              <w:rPr>
                <w:b/>
                <w:bCs/>
                <w:color w:val="000000"/>
              </w:rPr>
            </w:pPr>
            <w:r w:rsidRPr="00B32914">
              <w:rPr>
                <w:bCs/>
                <w:color w:val="000000"/>
              </w:rPr>
              <w:t>Waga kryterium</w:t>
            </w:r>
          </w:p>
        </w:tc>
      </w:tr>
      <w:tr w:rsidR="00BA0236" w:rsidRPr="00B32914" w14:paraId="7AE83B48" w14:textId="77777777" w:rsidTr="00B32914">
        <w:trPr>
          <w:trHeight w:val="469"/>
        </w:trPr>
        <w:tc>
          <w:tcPr>
            <w:tcW w:w="1759" w:type="dxa"/>
            <w:vMerge w:val="restart"/>
            <w:tcBorders>
              <w:top w:val="double" w:sz="4" w:space="0" w:color="28AAE1"/>
            </w:tcBorders>
          </w:tcPr>
          <w:p w14:paraId="20A1F853" w14:textId="77777777" w:rsidR="00BA0236" w:rsidRPr="00B32914" w:rsidRDefault="00BA0236" w:rsidP="00B32914">
            <w:pPr>
              <w:spacing w:before="60" w:after="60"/>
              <w:rPr>
                <w:b/>
                <w:bCs/>
                <w:color w:val="000000"/>
              </w:rPr>
            </w:pPr>
            <w:r w:rsidRPr="00B32914">
              <w:rPr>
                <w:bCs/>
                <w:color w:val="000000"/>
              </w:rPr>
              <w:t>Zakres i stopień negatywnego oddziaływania na środowisko</w:t>
            </w:r>
          </w:p>
        </w:tc>
        <w:tc>
          <w:tcPr>
            <w:tcW w:w="5362" w:type="dxa"/>
            <w:tcBorders>
              <w:top w:val="double" w:sz="4" w:space="0" w:color="28AAE1"/>
            </w:tcBorders>
            <w:noWrap/>
          </w:tcPr>
          <w:p w14:paraId="00C03BA2" w14:textId="77777777" w:rsidR="00BA0236" w:rsidRPr="00B32914" w:rsidRDefault="00BA0236" w:rsidP="00B32914">
            <w:pPr>
              <w:spacing w:before="40" w:after="40"/>
              <w:rPr>
                <w:color w:val="000000"/>
              </w:rPr>
            </w:pPr>
            <w:r w:rsidRPr="00B32914">
              <w:rPr>
                <w:color w:val="000000"/>
              </w:rPr>
              <w:t>Wpływ na JCWP</w:t>
            </w:r>
            <w:r w:rsidRPr="00B32914">
              <w:rPr>
                <w:color w:val="000000"/>
              </w:rPr>
              <w:br/>
              <w:t>- ocena ekspercka [pkt]</w:t>
            </w:r>
          </w:p>
        </w:tc>
        <w:tc>
          <w:tcPr>
            <w:tcW w:w="1269" w:type="dxa"/>
            <w:tcBorders>
              <w:top w:val="double" w:sz="4" w:space="0" w:color="28AAE1"/>
            </w:tcBorders>
            <w:noWrap/>
          </w:tcPr>
          <w:p w14:paraId="69BC6128" w14:textId="77777777" w:rsidR="00BA0236" w:rsidRPr="00B32914" w:rsidRDefault="00BA0236" w:rsidP="00B32914">
            <w:pPr>
              <w:spacing w:before="40" w:after="40"/>
              <w:jc w:val="center"/>
              <w:rPr>
                <w:color w:val="000000"/>
              </w:rPr>
            </w:pPr>
            <w:r w:rsidRPr="00B32914">
              <w:rPr>
                <w:color w:val="000000"/>
              </w:rPr>
              <w:t>25%</w:t>
            </w:r>
          </w:p>
        </w:tc>
      </w:tr>
      <w:tr w:rsidR="00BA0236" w:rsidRPr="00B32914" w14:paraId="1C9303E2" w14:textId="77777777" w:rsidTr="00B32914">
        <w:trPr>
          <w:trHeight w:val="607"/>
        </w:trPr>
        <w:tc>
          <w:tcPr>
            <w:tcW w:w="1759" w:type="dxa"/>
            <w:vMerge/>
          </w:tcPr>
          <w:p w14:paraId="3A373936" w14:textId="77777777" w:rsidR="00BA0236" w:rsidRPr="00B32914" w:rsidRDefault="00BA0236" w:rsidP="00B32914">
            <w:pPr>
              <w:spacing w:before="60" w:after="60"/>
              <w:rPr>
                <w:b/>
                <w:bCs/>
                <w:color w:val="000000"/>
              </w:rPr>
            </w:pPr>
          </w:p>
        </w:tc>
        <w:tc>
          <w:tcPr>
            <w:tcW w:w="5362" w:type="dxa"/>
            <w:noWrap/>
          </w:tcPr>
          <w:p w14:paraId="739A906D" w14:textId="77777777" w:rsidR="00BA0236" w:rsidRPr="00B32914" w:rsidRDefault="00BA0236" w:rsidP="00B32914">
            <w:pPr>
              <w:spacing w:before="40" w:after="40"/>
              <w:rPr>
                <w:color w:val="000000"/>
              </w:rPr>
            </w:pPr>
            <w:r w:rsidRPr="00B32914">
              <w:rPr>
                <w:color w:val="000000"/>
              </w:rPr>
              <w:t>Formy ochrony przyrody</w:t>
            </w:r>
            <w:r w:rsidRPr="00B32914">
              <w:rPr>
                <w:color w:val="000000"/>
              </w:rPr>
              <w:br/>
              <w:t>- typ ochrony [pkt.] x stopień ingerencji [%]</w:t>
            </w:r>
          </w:p>
        </w:tc>
        <w:tc>
          <w:tcPr>
            <w:tcW w:w="1269" w:type="dxa"/>
            <w:noWrap/>
          </w:tcPr>
          <w:p w14:paraId="0BA38E33" w14:textId="77777777" w:rsidR="00BA0236" w:rsidRPr="00B32914" w:rsidRDefault="00BA0236" w:rsidP="00B32914">
            <w:pPr>
              <w:spacing w:before="40" w:after="40"/>
              <w:jc w:val="center"/>
              <w:rPr>
                <w:color w:val="000000"/>
              </w:rPr>
            </w:pPr>
            <w:r w:rsidRPr="00B32914">
              <w:rPr>
                <w:color w:val="000000"/>
              </w:rPr>
              <w:t>30%</w:t>
            </w:r>
          </w:p>
        </w:tc>
      </w:tr>
      <w:tr w:rsidR="00BA0236" w:rsidRPr="00B32914" w14:paraId="7A20AC42" w14:textId="77777777" w:rsidTr="00B32914">
        <w:trPr>
          <w:trHeight w:val="275"/>
        </w:trPr>
        <w:tc>
          <w:tcPr>
            <w:tcW w:w="1759" w:type="dxa"/>
            <w:vMerge/>
          </w:tcPr>
          <w:p w14:paraId="4F08C845" w14:textId="77777777" w:rsidR="00BA0236" w:rsidRPr="00B32914" w:rsidRDefault="00BA0236" w:rsidP="00B32914">
            <w:pPr>
              <w:spacing w:before="60" w:after="60"/>
              <w:rPr>
                <w:b/>
                <w:bCs/>
                <w:color w:val="000000"/>
              </w:rPr>
            </w:pPr>
          </w:p>
        </w:tc>
        <w:tc>
          <w:tcPr>
            <w:tcW w:w="5362" w:type="dxa"/>
            <w:noWrap/>
          </w:tcPr>
          <w:p w14:paraId="1EF7F0BC" w14:textId="77777777" w:rsidR="00BA0236" w:rsidRPr="00B32914" w:rsidRDefault="00BA0236" w:rsidP="00B32914">
            <w:pPr>
              <w:spacing w:before="40" w:after="40"/>
              <w:rPr>
                <w:color w:val="000000"/>
              </w:rPr>
            </w:pPr>
            <w:r w:rsidRPr="00B32914">
              <w:rPr>
                <w:color w:val="000000"/>
              </w:rPr>
              <w:t>Wycinka drzew/lasu [pkt]</w:t>
            </w:r>
          </w:p>
        </w:tc>
        <w:tc>
          <w:tcPr>
            <w:tcW w:w="1269" w:type="dxa"/>
            <w:noWrap/>
          </w:tcPr>
          <w:p w14:paraId="28DB24D4" w14:textId="77777777" w:rsidR="00BA0236" w:rsidRPr="00B32914" w:rsidRDefault="00BA0236" w:rsidP="00B32914">
            <w:pPr>
              <w:spacing w:before="40" w:after="40"/>
              <w:jc w:val="center"/>
              <w:rPr>
                <w:color w:val="000000"/>
              </w:rPr>
            </w:pPr>
            <w:r w:rsidRPr="00B32914">
              <w:rPr>
                <w:color w:val="000000"/>
              </w:rPr>
              <w:t>25%</w:t>
            </w:r>
          </w:p>
        </w:tc>
      </w:tr>
      <w:tr w:rsidR="00BA0236" w:rsidRPr="00B32914" w14:paraId="631F3BCC" w14:textId="77777777" w:rsidTr="00B32914">
        <w:trPr>
          <w:trHeight w:val="181"/>
        </w:trPr>
        <w:tc>
          <w:tcPr>
            <w:tcW w:w="1759" w:type="dxa"/>
            <w:vMerge/>
          </w:tcPr>
          <w:p w14:paraId="527D589C" w14:textId="77777777" w:rsidR="00BA0236" w:rsidRPr="00B32914" w:rsidRDefault="00BA0236" w:rsidP="00B32914">
            <w:pPr>
              <w:spacing w:before="60" w:after="60"/>
              <w:rPr>
                <w:b/>
                <w:bCs/>
                <w:color w:val="000000"/>
              </w:rPr>
            </w:pPr>
          </w:p>
        </w:tc>
        <w:tc>
          <w:tcPr>
            <w:tcW w:w="5362" w:type="dxa"/>
            <w:noWrap/>
          </w:tcPr>
          <w:p w14:paraId="2DBD4399" w14:textId="77777777" w:rsidR="00BA0236" w:rsidRPr="00B32914" w:rsidRDefault="00BA0236" w:rsidP="00B32914">
            <w:pPr>
              <w:spacing w:before="40" w:after="40"/>
              <w:rPr>
                <w:color w:val="000000"/>
              </w:rPr>
            </w:pPr>
            <w:r w:rsidRPr="00B32914">
              <w:rPr>
                <w:color w:val="000000"/>
              </w:rPr>
              <w:t>Krajobraz - kubatura obiektu [pkt]</w:t>
            </w:r>
          </w:p>
        </w:tc>
        <w:tc>
          <w:tcPr>
            <w:tcW w:w="1269" w:type="dxa"/>
            <w:noWrap/>
          </w:tcPr>
          <w:p w14:paraId="50D6FFC6" w14:textId="77777777" w:rsidR="00BA0236" w:rsidRPr="00B32914" w:rsidRDefault="00BA0236" w:rsidP="00B32914">
            <w:pPr>
              <w:spacing w:before="40" w:after="40"/>
              <w:jc w:val="center"/>
              <w:rPr>
                <w:color w:val="000000"/>
              </w:rPr>
            </w:pPr>
            <w:r w:rsidRPr="00B32914">
              <w:rPr>
                <w:color w:val="000000"/>
              </w:rPr>
              <w:t>20%</w:t>
            </w:r>
          </w:p>
        </w:tc>
      </w:tr>
    </w:tbl>
    <w:p w14:paraId="4045FE64" w14:textId="77777777" w:rsidR="00BA0236" w:rsidRPr="007C28CC" w:rsidRDefault="00BA0236" w:rsidP="00E8074C">
      <w:pPr>
        <w:pStyle w:val="ReportLevel3"/>
        <w:numPr>
          <w:ilvl w:val="2"/>
          <w:numId w:val="9"/>
        </w:numPr>
      </w:pPr>
      <w:r w:rsidRPr="007C28CC">
        <w:t>Kryterium możliwych konfliktów społecznych związane z realizacją działań</w:t>
      </w:r>
    </w:p>
    <w:p w14:paraId="583D10C7" w14:textId="77777777" w:rsidR="00BA0236" w:rsidRPr="007C28CC" w:rsidRDefault="00BA0236" w:rsidP="007C28CC">
      <w:pPr>
        <w:pStyle w:val="ReportText"/>
      </w:pPr>
      <w:r w:rsidRPr="007C28CC">
        <w:t xml:space="preserve">Na ocenę kryterium konfliktów społecznych związane z realizacją działań składają się kryteria szczegółowe: </w:t>
      </w:r>
    </w:p>
    <w:p w14:paraId="39B982F4" w14:textId="77777777" w:rsidR="00BA0236" w:rsidRPr="007C28CC" w:rsidRDefault="00BA0236" w:rsidP="00A30588">
      <w:pPr>
        <w:pStyle w:val="ReportText"/>
        <w:numPr>
          <w:ilvl w:val="0"/>
          <w:numId w:val="36"/>
        </w:numPr>
        <w:ind w:left="567" w:hanging="425"/>
      </w:pPr>
      <w:r w:rsidRPr="007C28CC">
        <w:t>Zajętość terenu przez budowlę – oceniono możliwość potencjalnych konfliktów społecznych związanych z ingerencją w istniejący teren w zależności od powierzchni zajętości terenu przeznaczoną pod daną inwestycję;</w:t>
      </w:r>
    </w:p>
    <w:p w14:paraId="1CE18A42" w14:textId="77777777" w:rsidR="00BA0236" w:rsidRPr="007C28CC" w:rsidRDefault="00BA0236" w:rsidP="00A30588">
      <w:pPr>
        <w:pStyle w:val="ReportText"/>
        <w:numPr>
          <w:ilvl w:val="0"/>
          <w:numId w:val="36"/>
        </w:numPr>
        <w:ind w:left="567" w:hanging="425"/>
      </w:pPr>
      <w:r w:rsidRPr="007C28CC">
        <w:t>Udział przekształceń naturalnego i semi-naturalnego terenu - oceniono możliwość potencjalnych konfliktów społecznych w zależności od wpływu na przekształcenia naturalne i semi-naturalne. Ocena uwzględnia stopień przekształcenia terenu, typ oraz długość zastosowanych rozwiązań projektowych;</w:t>
      </w:r>
    </w:p>
    <w:p w14:paraId="1381C19F" w14:textId="77777777" w:rsidR="00BA0236" w:rsidRPr="007C28CC" w:rsidRDefault="00BA0236" w:rsidP="00A30588">
      <w:pPr>
        <w:pStyle w:val="ReportText"/>
        <w:numPr>
          <w:ilvl w:val="0"/>
          <w:numId w:val="36"/>
        </w:numPr>
        <w:ind w:left="567" w:hanging="425"/>
      </w:pPr>
      <w:r w:rsidRPr="007C28CC">
        <w:t xml:space="preserve">Liczba budynków koniecznych do wyburzenia - oceniono możliwość potencjalnych konfliktów społecznych w zależności od liczby wyburzonych budynków. </w:t>
      </w:r>
    </w:p>
    <w:p w14:paraId="73EDBAB7" w14:textId="51945952" w:rsidR="00BA0236" w:rsidRPr="007C28CC" w:rsidRDefault="00BA0236" w:rsidP="00A30588">
      <w:pPr>
        <w:pStyle w:val="Legenda"/>
        <w:spacing w:before="120" w:after="0"/>
        <w:ind w:left="1080" w:hanging="1080"/>
      </w:pPr>
      <w:r w:rsidRPr="00A30588">
        <w:rPr>
          <w:sz w:val="24"/>
          <w:szCs w:val="28"/>
        </w:rPr>
        <w:t>Kryteria szczegółowe wraz z przypisanymi do nich wagami przedstawia</w:t>
      </w:r>
      <w:r w:rsidR="00A30588" w:rsidRPr="00A30588">
        <w:rPr>
          <w:sz w:val="24"/>
          <w:szCs w:val="28"/>
        </w:rPr>
        <w:t xml:space="preserve"> Tabela 14.</w:t>
      </w:r>
    </w:p>
    <w:p w14:paraId="0220E30A" w14:textId="77777777" w:rsidR="00BA0236" w:rsidRDefault="00BA0236" w:rsidP="007C28CC">
      <w:pPr>
        <w:pStyle w:val="Legenda"/>
        <w:spacing w:before="120" w:after="0"/>
        <w:ind w:left="1080" w:hanging="1080"/>
      </w:pPr>
      <w:bookmarkStart w:id="172" w:name="_Ref79492251"/>
    </w:p>
    <w:p w14:paraId="42B2A11E" w14:textId="30FFAAE1" w:rsidR="00BA0236" w:rsidRPr="00A30588" w:rsidRDefault="00BA0236" w:rsidP="00A30588">
      <w:pPr>
        <w:pStyle w:val="Legenda"/>
        <w:tabs>
          <w:tab w:val="clear" w:pos="1080"/>
        </w:tabs>
        <w:spacing w:before="120" w:after="0"/>
        <w:ind w:left="1134" w:hanging="1134"/>
        <w:jc w:val="both"/>
        <w:rPr>
          <w:sz w:val="24"/>
          <w:szCs w:val="28"/>
        </w:rPr>
      </w:pPr>
      <w:bookmarkStart w:id="173" w:name="_Toc80604824"/>
      <w:r w:rsidRPr="00A30588">
        <w:rPr>
          <w:sz w:val="24"/>
          <w:szCs w:val="28"/>
        </w:rPr>
        <w:t xml:space="preserve">Tabela </w:t>
      </w:r>
      <w:r w:rsidR="00295C25" w:rsidRPr="00A30588">
        <w:rPr>
          <w:sz w:val="24"/>
          <w:szCs w:val="28"/>
        </w:rPr>
        <w:fldChar w:fldCharType="begin"/>
      </w:r>
      <w:r w:rsidR="00295C25" w:rsidRPr="00A30588">
        <w:rPr>
          <w:sz w:val="24"/>
          <w:szCs w:val="28"/>
        </w:rPr>
        <w:instrText xml:space="preserve"> SEQ Tabela \* ARABIC </w:instrText>
      </w:r>
      <w:r w:rsidR="00295C25" w:rsidRPr="00A30588">
        <w:rPr>
          <w:sz w:val="24"/>
          <w:szCs w:val="28"/>
        </w:rPr>
        <w:fldChar w:fldCharType="separate"/>
      </w:r>
      <w:r w:rsidR="00FD3F9A">
        <w:rPr>
          <w:noProof/>
          <w:sz w:val="24"/>
          <w:szCs w:val="28"/>
        </w:rPr>
        <w:t>14</w:t>
      </w:r>
      <w:r w:rsidR="00295C25" w:rsidRPr="00A30588">
        <w:rPr>
          <w:noProof/>
          <w:sz w:val="24"/>
          <w:szCs w:val="28"/>
        </w:rPr>
        <w:fldChar w:fldCharType="end"/>
      </w:r>
      <w:bookmarkEnd w:id="172"/>
      <w:r w:rsidRPr="00A30588">
        <w:rPr>
          <w:sz w:val="24"/>
          <w:szCs w:val="28"/>
        </w:rPr>
        <w:tab/>
        <w:t>Kryteria szczegółowe wykorzystywane w analizie wielokryterialnej wraz z</w:t>
      </w:r>
      <w:r w:rsidR="00A30588">
        <w:rPr>
          <w:sz w:val="24"/>
          <w:szCs w:val="28"/>
        </w:rPr>
        <w:t> </w:t>
      </w:r>
      <w:r w:rsidRPr="00A30588">
        <w:rPr>
          <w:sz w:val="24"/>
          <w:szCs w:val="28"/>
        </w:rPr>
        <w:t>przypisanymi do nich wagami</w:t>
      </w:r>
      <w:bookmarkEnd w:id="173"/>
    </w:p>
    <w:tbl>
      <w:tblPr>
        <w:tblW w:w="8390" w:type="dxa"/>
        <w:tblBorders>
          <w:top w:val="single" w:sz="4" w:space="0" w:color="A9DCF3"/>
          <w:left w:val="single" w:sz="4" w:space="0" w:color="A9DCF3"/>
          <w:bottom w:val="single" w:sz="4" w:space="0" w:color="A9DCF3"/>
          <w:right w:val="single" w:sz="4" w:space="0" w:color="A9DCF3"/>
          <w:insideH w:val="single" w:sz="4" w:space="0" w:color="A9DCF3"/>
          <w:insideV w:val="single" w:sz="4" w:space="0" w:color="A9DCF3"/>
        </w:tblBorders>
        <w:tblLook w:val="00A0" w:firstRow="1" w:lastRow="0" w:firstColumn="1" w:lastColumn="0" w:noHBand="0" w:noVBand="0"/>
      </w:tblPr>
      <w:tblGrid>
        <w:gridCol w:w="1759"/>
        <w:gridCol w:w="5362"/>
        <w:gridCol w:w="1269"/>
      </w:tblGrid>
      <w:tr w:rsidR="00BA0236" w:rsidRPr="00B32914" w14:paraId="0B2E7BB7" w14:textId="77777777" w:rsidTr="00B32914">
        <w:trPr>
          <w:trHeight w:val="407"/>
        </w:trPr>
        <w:tc>
          <w:tcPr>
            <w:tcW w:w="1759" w:type="dxa"/>
            <w:tcBorders>
              <w:bottom w:val="single" w:sz="12" w:space="0" w:color="7ECBED"/>
            </w:tcBorders>
            <w:shd w:val="clear" w:color="auto" w:fill="D4EDF9"/>
          </w:tcPr>
          <w:p w14:paraId="59DBD55D" w14:textId="77777777" w:rsidR="00BA0236" w:rsidRPr="00B32914" w:rsidRDefault="00BA0236" w:rsidP="00B32914">
            <w:pPr>
              <w:spacing w:before="60" w:after="60"/>
              <w:rPr>
                <w:b/>
                <w:bCs/>
                <w:color w:val="000000"/>
                <w:lang w:eastAsia="pl-PL"/>
              </w:rPr>
            </w:pPr>
            <w:r w:rsidRPr="00B32914">
              <w:rPr>
                <w:bCs/>
                <w:color w:val="000000"/>
              </w:rPr>
              <w:t>Kryterium zbiorcze</w:t>
            </w:r>
          </w:p>
        </w:tc>
        <w:tc>
          <w:tcPr>
            <w:tcW w:w="5362" w:type="dxa"/>
            <w:tcBorders>
              <w:bottom w:val="single" w:sz="12" w:space="0" w:color="7ECBED"/>
            </w:tcBorders>
            <w:shd w:val="clear" w:color="auto" w:fill="D4EDF9"/>
          </w:tcPr>
          <w:p w14:paraId="61953CFB" w14:textId="77777777" w:rsidR="00BA0236" w:rsidRPr="00B32914" w:rsidRDefault="00BA0236" w:rsidP="00B32914">
            <w:pPr>
              <w:spacing w:before="60" w:after="60"/>
              <w:rPr>
                <w:b/>
                <w:bCs/>
                <w:color w:val="000000"/>
              </w:rPr>
            </w:pPr>
            <w:r w:rsidRPr="00B32914">
              <w:rPr>
                <w:bCs/>
                <w:color w:val="000000"/>
              </w:rPr>
              <w:t>Nazwa kryterium szczegółowego</w:t>
            </w:r>
          </w:p>
        </w:tc>
        <w:tc>
          <w:tcPr>
            <w:tcW w:w="1269" w:type="dxa"/>
            <w:tcBorders>
              <w:bottom w:val="single" w:sz="12" w:space="0" w:color="7ECBED"/>
            </w:tcBorders>
            <w:shd w:val="clear" w:color="auto" w:fill="D4EDF9"/>
          </w:tcPr>
          <w:p w14:paraId="35514E1D" w14:textId="77777777" w:rsidR="00BA0236" w:rsidRPr="00B32914" w:rsidRDefault="00BA0236" w:rsidP="00B32914">
            <w:pPr>
              <w:spacing w:before="60" w:after="60"/>
              <w:rPr>
                <w:b/>
                <w:bCs/>
                <w:color w:val="000000"/>
              </w:rPr>
            </w:pPr>
            <w:r w:rsidRPr="00B32914">
              <w:rPr>
                <w:bCs/>
                <w:color w:val="000000"/>
              </w:rPr>
              <w:t>Waga kryterium</w:t>
            </w:r>
          </w:p>
        </w:tc>
      </w:tr>
      <w:tr w:rsidR="00BA0236" w:rsidRPr="00B32914" w14:paraId="560217B6" w14:textId="77777777" w:rsidTr="00B32914">
        <w:trPr>
          <w:trHeight w:val="428"/>
        </w:trPr>
        <w:tc>
          <w:tcPr>
            <w:tcW w:w="1759" w:type="dxa"/>
            <w:vMerge w:val="restart"/>
            <w:tcBorders>
              <w:top w:val="double" w:sz="4" w:space="0" w:color="28AAE1"/>
            </w:tcBorders>
          </w:tcPr>
          <w:p w14:paraId="114CD268" w14:textId="77777777" w:rsidR="00BA0236" w:rsidRPr="00B32914" w:rsidRDefault="00BA0236" w:rsidP="00B32914">
            <w:pPr>
              <w:spacing w:before="60" w:after="60"/>
              <w:rPr>
                <w:b/>
                <w:bCs/>
                <w:color w:val="000000"/>
              </w:rPr>
            </w:pPr>
            <w:r w:rsidRPr="00B32914">
              <w:rPr>
                <w:bCs/>
                <w:color w:val="000000"/>
              </w:rPr>
              <w:t>Możliwe konflikty społeczne związane z realizacją działań</w:t>
            </w:r>
          </w:p>
        </w:tc>
        <w:tc>
          <w:tcPr>
            <w:tcW w:w="5362" w:type="dxa"/>
            <w:tcBorders>
              <w:top w:val="double" w:sz="4" w:space="0" w:color="28AAE1"/>
            </w:tcBorders>
            <w:noWrap/>
          </w:tcPr>
          <w:p w14:paraId="4B3098BA" w14:textId="77777777" w:rsidR="00BA0236" w:rsidRPr="00B32914" w:rsidRDefault="00BA0236" w:rsidP="00B32914">
            <w:pPr>
              <w:spacing w:before="40" w:after="40"/>
              <w:rPr>
                <w:color w:val="000000"/>
              </w:rPr>
            </w:pPr>
            <w:r w:rsidRPr="00B32914">
              <w:rPr>
                <w:color w:val="000000"/>
              </w:rPr>
              <w:t>Zajętość terenu przez budowlę [pkt]</w:t>
            </w:r>
          </w:p>
        </w:tc>
        <w:tc>
          <w:tcPr>
            <w:tcW w:w="1269" w:type="dxa"/>
            <w:tcBorders>
              <w:top w:val="double" w:sz="4" w:space="0" w:color="28AAE1"/>
            </w:tcBorders>
            <w:noWrap/>
          </w:tcPr>
          <w:p w14:paraId="225FF336" w14:textId="77777777" w:rsidR="00BA0236" w:rsidRPr="00B32914" w:rsidRDefault="00BA0236" w:rsidP="00B32914">
            <w:pPr>
              <w:spacing w:before="40" w:after="40"/>
              <w:jc w:val="center"/>
              <w:rPr>
                <w:color w:val="000000"/>
              </w:rPr>
            </w:pPr>
            <w:r w:rsidRPr="00B32914">
              <w:rPr>
                <w:color w:val="000000"/>
              </w:rPr>
              <w:t>20%</w:t>
            </w:r>
          </w:p>
        </w:tc>
      </w:tr>
      <w:tr w:rsidR="00BA0236" w:rsidRPr="00B32914" w14:paraId="2D6BD4F8" w14:textId="77777777" w:rsidTr="00B32914">
        <w:trPr>
          <w:trHeight w:val="203"/>
        </w:trPr>
        <w:tc>
          <w:tcPr>
            <w:tcW w:w="1759" w:type="dxa"/>
            <w:vMerge/>
          </w:tcPr>
          <w:p w14:paraId="29548AB1" w14:textId="77777777" w:rsidR="00BA0236" w:rsidRPr="00B32914" w:rsidRDefault="00BA0236" w:rsidP="00B32914">
            <w:pPr>
              <w:spacing w:before="60" w:after="60"/>
              <w:rPr>
                <w:b/>
                <w:bCs/>
                <w:color w:val="000000"/>
              </w:rPr>
            </w:pPr>
          </w:p>
        </w:tc>
        <w:tc>
          <w:tcPr>
            <w:tcW w:w="5362" w:type="dxa"/>
            <w:noWrap/>
          </w:tcPr>
          <w:p w14:paraId="2B597F85" w14:textId="77777777" w:rsidR="00BA0236" w:rsidRPr="00B32914" w:rsidRDefault="00BA0236" w:rsidP="00B32914">
            <w:pPr>
              <w:spacing w:before="40" w:after="40"/>
              <w:rPr>
                <w:color w:val="000000"/>
              </w:rPr>
            </w:pPr>
            <w:r w:rsidRPr="00B32914">
              <w:rPr>
                <w:color w:val="000000"/>
              </w:rPr>
              <w:t>Udział przekształceń naturalnego i semi-naturalnego terenu [%]</w:t>
            </w:r>
          </w:p>
        </w:tc>
        <w:tc>
          <w:tcPr>
            <w:tcW w:w="1269" w:type="dxa"/>
            <w:noWrap/>
          </w:tcPr>
          <w:p w14:paraId="237DD547" w14:textId="77777777" w:rsidR="00BA0236" w:rsidRPr="00B32914" w:rsidRDefault="00BA0236" w:rsidP="00B32914">
            <w:pPr>
              <w:spacing w:before="40" w:after="40"/>
              <w:jc w:val="center"/>
              <w:rPr>
                <w:color w:val="000000"/>
              </w:rPr>
            </w:pPr>
            <w:r w:rsidRPr="00B32914">
              <w:rPr>
                <w:color w:val="000000"/>
              </w:rPr>
              <w:t>40%</w:t>
            </w:r>
          </w:p>
        </w:tc>
      </w:tr>
      <w:tr w:rsidR="00BA0236" w:rsidRPr="00B32914" w14:paraId="1A2BB85C" w14:textId="77777777" w:rsidTr="00B32914">
        <w:trPr>
          <w:trHeight w:val="560"/>
        </w:trPr>
        <w:tc>
          <w:tcPr>
            <w:tcW w:w="1759" w:type="dxa"/>
            <w:vMerge/>
          </w:tcPr>
          <w:p w14:paraId="1CD5EF35" w14:textId="77777777" w:rsidR="00BA0236" w:rsidRPr="00B32914" w:rsidRDefault="00BA0236" w:rsidP="00B32914">
            <w:pPr>
              <w:spacing w:before="60" w:after="60"/>
              <w:rPr>
                <w:b/>
                <w:bCs/>
                <w:color w:val="000000"/>
              </w:rPr>
            </w:pPr>
          </w:p>
        </w:tc>
        <w:tc>
          <w:tcPr>
            <w:tcW w:w="5362" w:type="dxa"/>
            <w:noWrap/>
          </w:tcPr>
          <w:p w14:paraId="5646982C" w14:textId="77777777" w:rsidR="00BA0236" w:rsidRPr="00B32914" w:rsidRDefault="00BA0236" w:rsidP="00B32914">
            <w:pPr>
              <w:spacing w:before="40" w:after="40"/>
              <w:rPr>
                <w:color w:val="000000"/>
              </w:rPr>
            </w:pPr>
            <w:r w:rsidRPr="00B32914">
              <w:rPr>
                <w:color w:val="000000"/>
              </w:rPr>
              <w:t>Liczba budynków koniecznych do wyburzenia [szt]</w:t>
            </w:r>
          </w:p>
        </w:tc>
        <w:tc>
          <w:tcPr>
            <w:tcW w:w="1269" w:type="dxa"/>
            <w:noWrap/>
          </w:tcPr>
          <w:p w14:paraId="6D48BA9B" w14:textId="77777777" w:rsidR="00BA0236" w:rsidRPr="00B32914" w:rsidRDefault="00BA0236" w:rsidP="00B32914">
            <w:pPr>
              <w:spacing w:before="40" w:after="40"/>
              <w:jc w:val="center"/>
              <w:rPr>
                <w:color w:val="000000"/>
              </w:rPr>
            </w:pPr>
            <w:r w:rsidRPr="00B32914">
              <w:rPr>
                <w:color w:val="000000"/>
              </w:rPr>
              <w:t>40%</w:t>
            </w:r>
          </w:p>
        </w:tc>
      </w:tr>
    </w:tbl>
    <w:p w14:paraId="1A4C5234" w14:textId="77777777" w:rsidR="00BA0236" w:rsidRPr="007C28CC" w:rsidRDefault="00BA0236" w:rsidP="00E8074C">
      <w:pPr>
        <w:pStyle w:val="ReportLevel3"/>
        <w:numPr>
          <w:ilvl w:val="2"/>
          <w:numId w:val="9"/>
        </w:numPr>
      </w:pPr>
      <w:r w:rsidRPr="007C28CC">
        <w:lastRenderedPageBreak/>
        <w:t>Kryterium znaczenia dla realizacji strategii adaptacji do zmian klimatu</w:t>
      </w:r>
    </w:p>
    <w:p w14:paraId="7CFA51E1" w14:textId="77777777" w:rsidR="00BA0236" w:rsidRPr="007C28CC" w:rsidRDefault="00BA0236" w:rsidP="007C28CC">
      <w:pPr>
        <w:pStyle w:val="ReportText"/>
      </w:pPr>
      <w:r w:rsidRPr="007C28CC">
        <w:t>Kryterium porównawcze wariantów uwzględniające ewentualny wpływ inwestycji na realizacje strategii adaptacji do zmian klimatu. Oceniono, czy działanie wpisuje się</w:t>
      </w:r>
      <w:r>
        <w:t xml:space="preserve"> </w:t>
      </w:r>
      <w:r w:rsidRPr="007C28CC">
        <w:t>w ramową politykę Unii Europejskiej w zakresie adaptacji do zmian klimatu, której celem jest poprawa odporności państw członkowskich na aktualne i oczekiwane zmiany klimatu, zwracając szczególną uwagę na lepsze przygotowanie do ekstremalnych zjawisk klimatycznych i pogodowych oraz redukcję kosztów społeczno-ekonomicznych z tym związanych.</w:t>
      </w:r>
    </w:p>
    <w:p w14:paraId="2A241F66" w14:textId="77777777" w:rsidR="00BA0236" w:rsidRPr="007C28CC" w:rsidRDefault="00BA0236" w:rsidP="007C28CC">
      <w:pPr>
        <w:pStyle w:val="ReportText"/>
      </w:pPr>
      <w:r w:rsidRPr="007C28CC">
        <w:t>Szczegółowy opis uwzględnienia zmian klimatu w opracowaniu aPZRPM znajduje się</w:t>
      </w:r>
      <w:r w:rsidRPr="007C28CC">
        <w:br/>
        <w:t>w pkt. 8 niniejszego raportu.</w:t>
      </w:r>
    </w:p>
    <w:p w14:paraId="46D54CDE" w14:textId="77777777" w:rsidR="00BA0236" w:rsidRPr="007C28CC" w:rsidRDefault="00BA0236" w:rsidP="00E8074C">
      <w:pPr>
        <w:pStyle w:val="ReportLevel3"/>
        <w:numPr>
          <w:ilvl w:val="2"/>
          <w:numId w:val="9"/>
        </w:numPr>
      </w:pPr>
      <w:r w:rsidRPr="007C28CC">
        <w:t>Kryterium synergii</w:t>
      </w:r>
    </w:p>
    <w:p w14:paraId="7FF2BF0E" w14:textId="77777777" w:rsidR="00BA0236" w:rsidRPr="007C28CC" w:rsidRDefault="00BA0236" w:rsidP="007C28CC">
      <w:pPr>
        <w:pStyle w:val="ReportText"/>
      </w:pPr>
      <w:r w:rsidRPr="007C28CC">
        <w:t xml:space="preserve">Kryterium porównawcze wariantów uwzględniające ewentualny wpływ inwestycji na plan przeciwdziałania skutkom suszy, program przeciwdziałania niedoborowi wody oraz krajowy program renaturyzacji wód powierzchniowych. </w:t>
      </w:r>
    </w:p>
    <w:p w14:paraId="1E987732" w14:textId="77777777" w:rsidR="00BA0236" w:rsidRPr="007C28CC" w:rsidRDefault="00BA0236" w:rsidP="007C28CC">
      <w:pPr>
        <w:pStyle w:val="ReportText"/>
      </w:pPr>
      <w:r w:rsidRPr="007C28CC">
        <w:t>Analiza i ocena zgodności planowanych wariantów z dokumentami wskazanymi w OPZ znajduje się w pkt. 6.2.8 niniejszego raportu.</w:t>
      </w:r>
    </w:p>
    <w:p w14:paraId="5A217D6C" w14:textId="77777777" w:rsidR="00BA0236" w:rsidRPr="007C28CC" w:rsidRDefault="00BA0236" w:rsidP="00E8074C">
      <w:pPr>
        <w:pStyle w:val="ReportLevel3"/>
        <w:numPr>
          <w:ilvl w:val="2"/>
          <w:numId w:val="9"/>
        </w:numPr>
      </w:pPr>
      <w:r w:rsidRPr="007C28CC">
        <w:t>Wynik analizy</w:t>
      </w:r>
    </w:p>
    <w:p w14:paraId="51D58448" w14:textId="5981CA92" w:rsidR="00BA0236" w:rsidRPr="007C28CC" w:rsidRDefault="00BA0236" w:rsidP="007C28CC">
      <w:pPr>
        <w:pStyle w:val="ReportText"/>
        <w:spacing w:before="120" w:after="120"/>
        <w:rPr>
          <w:lang w:eastAsia="zh-CN"/>
        </w:rPr>
      </w:pPr>
      <w:r w:rsidRPr="007C28CC">
        <w:rPr>
          <w:lang w:eastAsia="zh-CN"/>
        </w:rPr>
        <w:t xml:space="preserve">Wyniki przeprowadzonej analizy wielokryterialnej dla poszczególnych wariantów planistycznych przedstawiają </w:t>
      </w:r>
      <w:r w:rsidR="00E419E1">
        <w:rPr>
          <w:lang w:eastAsia="zh-CN"/>
        </w:rPr>
        <w:t>Tabela 15</w:t>
      </w:r>
      <w:r w:rsidRPr="007C28CC">
        <w:rPr>
          <w:lang w:eastAsia="zh-CN"/>
        </w:rPr>
        <w:t xml:space="preserve"> – </w:t>
      </w:r>
      <w:r w:rsidRPr="007C28CC">
        <w:rPr>
          <w:lang w:eastAsia="zh-CN"/>
        </w:rPr>
        <w:fldChar w:fldCharType="begin"/>
      </w:r>
      <w:r w:rsidRPr="007C28CC">
        <w:rPr>
          <w:lang w:eastAsia="zh-CN"/>
        </w:rPr>
        <w:instrText xml:space="preserve"> REF _Ref79495696 \h </w:instrText>
      </w:r>
      <w:r w:rsidRPr="007C28CC">
        <w:rPr>
          <w:lang w:eastAsia="zh-CN"/>
        </w:rPr>
      </w:r>
      <w:r w:rsidRPr="007C28CC">
        <w:rPr>
          <w:lang w:eastAsia="zh-CN"/>
        </w:rPr>
        <w:fldChar w:fldCharType="separate"/>
      </w:r>
      <w:r w:rsidR="00FD3F9A" w:rsidRPr="00A30588">
        <w:rPr>
          <w:szCs w:val="28"/>
        </w:rPr>
        <w:t xml:space="preserve">Tabela </w:t>
      </w:r>
      <w:r w:rsidR="00FD3F9A">
        <w:rPr>
          <w:noProof/>
          <w:szCs w:val="28"/>
        </w:rPr>
        <w:t>20</w:t>
      </w:r>
      <w:r w:rsidRPr="007C28CC">
        <w:rPr>
          <w:lang w:eastAsia="zh-CN"/>
        </w:rPr>
        <w:fldChar w:fldCharType="end"/>
      </w:r>
      <w:r w:rsidRPr="007C28CC">
        <w:rPr>
          <w:lang w:eastAsia="zh-CN"/>
        </w:rPr>
        <w:t>.</w:t>
      </w:r>
    </w:p>
    <w:p w14:paraId="07409527" w14:textId="1AE6D278" w:rsidR="00BA0236" w:rsidRPr="00A30588" w:rsidRDefault="00BA0236" w:rsidP="00A30588">
      <w:pPr>
        <w:pStyle w:val="Legenda"/>
        <w:tabs>
          <w:tab w:val="clear" w:pos="1080"/>
        </w:tabs>
        <w:spacing w:before="120" w:after="0"/>
        <w:ind w:left="1134" w:hanging="1134"/>
        <w:jc w:val="both"/>
        <w:rPr>
          <w:sz w:val="24"/>
          <w:szCs w:val="28"/>
        </w:rPr>
      </w:pPr>
      <w:bookmarkStart w:id="174" w:name="_Toc80604825"/>
      <w:r w:rsidRPr="00A30588">
        <w:rPr>
          <w:sz w:val="24"/>
          <w:szCs w:val="28"/>
        </w:rPr>
        <w:t xml:space="preserve">Tabela </w:t>
      </w:r>
      <w:r w:rsidR="00295C25" w:rsidRPr="00A30588">
        <w:rPr>
          <w:sz w:val="24"/>
          <w:szCs w:val="28"/>
        </w:rPr>
        <w:fldChar w:fldCharType="begin"/>
      </w:r>
      <w:r w:rsidR="00295C25" w:rsidRPr="00A30588">
        <w:rPr>
          <w:sz w:val="24"/>
          <w:szCs w:val="28"/>
        </w:rPr>
        <w:instrText xml:space="preserve"> SEQ Tabela \* ARABIC </w:instrText>
      </w:r>
      <w:r w:rsidR="00295C25" w:rsidRPr="00A30588">
        <w:rPr>
          <w:sz w:val="24"/>
          <w:szCs w:val="28"/>
        </w:rPr>
        <w:fldChar w:fldCharType="separate"/>
      </w:r>
      <w:r w:rsidR="00FD3F9A">
        <w:rPr>
          <w:noProof/>
          <w:sz w:val="24"/>
          <w:szCs w:val="28"/>
        </w:rPr>
        <w:t>15</w:t>
      </w:r>
      <w:r w:rsidR="00295C25" w:rsidRPr="00A30588">
        <w:rPr>
          <w:noProof/>
          <w:sz w:val="24"/>
          <w:szCs w:val="28"/>
        </w:rPr>
        <w:fldChar w:fldCharType="end"/>
      </w:r>
      <w:r w:rsidRPr="00A30588">
        <w:rPr>
          <w:sz w:val="24"/>
          <w:szCs w:val="28"/>
        </w:rPr>
        <w:tab/>
        <w:t>Wyniki analizy wielokryterialnej prowadzonej dla oceny wariantów planistycznych na obszarze problemowym IOP 1 Miasto Gdańsk</w:t>
      </w:r>
      <w:bookmarkEnd w:id="174"/>
    </w:p>
    <w:p w14:paraId="53A6A839" w14:textId="62327DDF" w:rsidR="00BA0236" w:rsidRPr="007C28CC" w:rsidRDefault="00E8074C" w:rsidP="007C28CC">
      <w:pPr>
        <w:pStyle w:val="ReportText"/>
        <w:jc w:val="center"/>
      </w:pPr>
      <w:r>
        <w:rPr>
          <w:noProof/>
          <w:lang w:eastAsia="pl-PL"/>
        </w:rPr>
        <w:drawing>
          <wp:inline distT="0" distB="0" distL="0" distR="0" wp14:anchorId="0A6348BA" wp14:editId="4B74FD9E">
            <wp:extent cx="4648200" cy="2114550"/>
            <wp:effectExtent l="0" t="0" r="0" b="0"/>
            <wp:docPr id="39"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648200" cy="2114550"/>
                    </a:xfrm>
                    <a:prstGeom prst="rect">
                      <a:avLst/>
                    </a:prstGeom>
                    <a:noFill/>
                    <a:ln>
                      <a:noFill/>
                    </a:ln>
                  </pic:spPr>
                </pic:pic>
              </a:graphicData>
            </a:graphic>
          </wp:inline>
        </w:drawing>
      </w:r>
    </w:p>
    <w:p w14:paraId="3B906F3E" w14:textId="208FBF4D" w:rsidR="00BA0236" w:rsidRPr="007C28CC" w:rsidRDefault="00A26088" w:rsidP="007C28CC">
      <w:pPr>
        <w:pStyle w:val="ReportText"/>
        <w:spacing w:before="120" w:after="120"/>
        <w:rPr>
          <w:lang w:eastAsia="zh-CN"/>
        </w:rPr>
      </w:pPr>
      <w:r>
        <w:rPr>
          <w:lang w:eastAsia="zh-CN"/>
        </w:rPr>
        <w:br w:type="column"/>
      </w:r>
      <w:r w:rsidR="00BA0236" w:rsidRPr="007C28CC">
        <w:rPr>
          <w:lang w:eastAsia="zh-CN"/>
        </w:rPr>
        <w:lastRenderedPageBreak/>
        <w:t>Wyniki analizy wielokryterialnej wskazują na wyższość Wariantu Planistycznego W1, jednak otrzymane wartości dla obu analizowanych opcji są zbliżone do siebie. Pomimo iż Wariant W2 otrzymał wyższą ocenę dla kryterium zbiorczego skuteczność osiągania celów zarządzania ryzykiem powodziowym to Wariant W1 otrzymał dużo wyższe oceny dla kryteriów zgodności z RDW, zakresu i stopnia negatywnego oddziaływania na środowisko oraz efektywności ekonomicznej.</w:t>
      </w:r>
    </w:p>
    <w:p w14:paraId="2F0883E0" w14:textId="77777777" w:rsidR="00BA0236" w:rsidRPr="007C28CC" w:rsidRDefault="00BA0236" w:rsidP="007C28CC">
      <w:pPr>
        <w:pStyle w:val="ReportText"/>
        <w:spacing w:before="120" w:after="120"/>
        <w:rPr>
          <w:lang w:eastAsia="zh-CN"/>
        </w:rPr>
      </w:pPr>
    </w:p>
    <w:p w14:paraId="74B806DB" w14:textId="77777777" w:rsidR="00BA0236" w:rsidRPr="007C28CC" w:rsidRDefault="00BA0236" w:rsidP="007C28CC">
      <w:pPr>
        <w:pStyle w:val="ReportText"/>
        <w:spacing w:before="120" w:after="120"/>
        <w:rPr>
          <w:lang w:eastAsia="zh-CN"/>
        </w:rPr>
      </w:pPr>
      <w:r w:rsidRPr="007C28CC">
        <w:rPr>
          <w:lang w:eastAsia="zh-CN"/>
        </w:rPr>
        <w:t>Pomimo, że ocena obu wariantów jest zbliżona, analiza kryteriów szczegółowych wskazuje, że ze względu na zastosowane mobilnych systemów przeciwpowodziowych wariantem rekomendowanym powinien być Wariant Planistyczny W1.</w:t>
      </w:r>
    </w:p>
    <w:p w14:paraId="52EC01A2" w14:textId="4803B44E" w:rsidR="00BA0236" w:rsidRPr="00A30588" w:rsidRDefault="00BA0236" w:rsidP="00A30588">
      <w:pPr>
        <w:pStyle w:val="Legenda"/>
        <w:tabs>
          <w:tab w:val="clear" w:pos="1080"/>
        </w:tabs>
        <w:spacing w:before="120" w:after="0"/>
        <w:ind w:left="1134" w:hanging="1134"/>
        <w:jc w:val="both"/>
        <w:rPr>
          <w:sz w:val="24"/>
          <w:szCs w:val="28"/>
        </w:rPr>
      </w:pPr>
      <w:bookmarkStart w:id="175" w:name="_Ref76733650"/>
      <w:bookmarkStart w:id="176" w:name="_Toc76734803"/>
      <w:bookmarkStart w:id="177" w:name="_Toc80604826"/>
      <w:bookmarkEnd w:id="17"/>
      <w:r w:rsidRPr="00A30588">
        <w:rPr>
          <w:sz w:val="24"/>
          <w:szCs w:val="28"/>
        </w:rPr>
        <w:t xml:space="preserve">Tabela </w:t>
      </w:r>
      <w:r w:rsidR="00295C25" w:rsidRPr="00A30588">
        <w:rPr>
          <w:sz w:val="24"/>
          <w:szCs w:val="28"/>
        </w:rPr>
        <w:fldChar w:fldCharType="begin"/>
      </w:r>
      <w:r w:rsidR="00295C25" w:rsidRPr="00A30588">
        <w:rPr>
          <w:sz w:val="24"/>
          <w:szCs w:val="28"/>
        </w:rPr>
        <w:instrText xml:space="preserve"> SEQ Tabela \* ARABIC </w:instrText>
      </w:r>
      <w:r w:rsidR="00295C25" w:rsidRPr="00A30588">
        <w:rPr>
          <w:sz w:val="24"/>
          <w:szCs w:val="28"/>
        </w:rPr>
        <w:fldChar w:fldCharType="separate"/>
      </w:r>
      <w:r w:rsidR="00FD3F9A">
        <w:rPr>
          <w:noProof/>
          <w:sz w:val="24"/>
          <w:szCs w:val="28"/>
        </w:rPr>
        <w:t>16</w:t>
      </w:r>
      <w:r w:rsidR="00295C25" w:rsidRPr="00A30588">
        <w:rPr>
          <w:noProof/>
          <w:sz w:val="24"/>
          <w:szCs w:val="28"/>
        </w:rPr>
        <w:fldChar w:fldCharType="end"/>
      </w:r>
      <w:bookmarkEnd w:id="175"/>
      <w:r w:rsidRPr="00A30588">
        <w:rPr>
          <w:sz w:val="24"/>
          <w:szCs w:val="28"/>
        </w:rPr>
        <w:tab/>
        <w:t xml:space="preserve">Wyniki analizy wielokryterialnej prowadzonej dla oceny wariantów planistycznych na obszarze problemowym IOP 2 </w:t>
      </w:r>
      <w:bookmarkEnd w:id="176"/>
      <w:r w:rsidRPr="00A30588">
        <w:rPr>
          <w:sz w:val="24"/>
          <w:szCs w:val="28"/>
        </w:rPr>
        <w:t>Mierzeja Helska</w:t>
      </w:r>
      <w:bookmarkEnd w:id="177"/>
    </w:p>
    <w:p w14:paraId="43078A47" w14:textId="04312938" w:rsidR="00BA0236" w:rsidRPr="007C28CC" w:rsidRDefault="00E8074C" w:rsidP="007C28CC">
      <w:pPr>
        <w:pStyle w:val="ReportText"/>
        <w:spacing w:before="40" w:after="60"/>
        <w:jc w:val="center"/>
        <w:rPr>
          <w:color w:val="FF0000"/>
          <w:lang w:eastAsia="zh-CN"/>
        </w:rPr>
      </w:pPr>
      <w:r>
        <w:rPr>
          <w:noProof/>
          <w:lang w:eastAsia="pl-PL"/>
        </w:rPr>
        <w:drawing>
          <wp:inline distT="0" distB="0" distL="0" distR="0" wp14:anchorId="1DE9D0C7" wp14:editId="0E162FB7">
            <wp:extent cx="4648200" cy="2114550"/>
            <wp:effectExtent l="0" t="0" r="0" b="0"/>
            <wp:docPr id="40"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648200" cy="2114550"/>
                    </a:xfrm>
                    <a:prstGeom prst="rect">
                      <a:avLst/>
                    </a:prstGeom>
                    <a:noFill/>
                    <a:ln>
                      <a:noFill/>
                    </a:ln>
                  </pic:spPr>
                </pic:pic>
              </a:graphicData>
            </a:graphic>
          </wp:inline>
        </w:drawing>
      </w:r>
    </w:p>
    <w:p w14:paraId="1350AB40" w14:textId="77777777" w:rsidR="00BA0236" w:rsidRPr="007C28CC" w:rsidRDefault="00BA0236" w:rsidP="007C28CC">
      <w:pPr>
        <w:pStyle w:val="ReportText"/>
        <w:spacing w:before="120" w:after="120"/>
        <w:rPr>
          <w:lang w:eastAsia="zh-CN"/>
        </w:rPr>
      </w:pPr>
      <w:bookmarkStart w:id="178" w:name="_Ref76733658"/>
      <w:bookmarkStart w:id="179" w:name="_Toc76734804"/>
      <w:r w:rsidRPr="007C28CC">
        <w:rPr>
          <w:lang w:eastAsia="zh-CN"/>
        </w:rPr>
        <w:t>Wyniki analizy wielokryterialnej wskazują na przewagę Wariantu Planistycznego W1, który otrzymał dużo wyższe oceny dla kryteriów podstawowych zgodności z RDW oraz zakresu i stopnia negatywnego oddziaływania na środowisko.  Wyniki pozostałych kryteriów zbiorczych były zbliżone do siebie, przy czym w najważniejszym kryterium szczegółowym tj. skuteczność osiągania celów zarządzania ryzykiem powodziowym Wariant Planistyczny W1 miał nieznacznie wyższą ocenę. Ocena kryterium ekonomicznego wypadła lepiej dla Wariantu Planistycznego W2 jednak nie była to przewaga na tyle znacząca, żeby mogła wpłynąć na ocenę całościową.</w:t>
      </w:r>
    </w:p>
    <w:p w14:paraId="18C6677B" w14:textId="1042FD94" w:rsidR="00BA0236" w:rsidRPr="00A30588" w:rsidRDefault="00BA0236" w:rsidP="00A30588">
      <w:pPr>
        <w:pStyle w:val="Legenda"/>
        <w:tabs>
          <w:tab w:val="clear" w:pos="1080"/>
        </w:tabs>
        <w:spacing w:before="120" w:after="0"/>
        <w:ind w:left="1134" w:hanging="1134"/>
        <w:jc w:val="both"/>
        <w:rPr>
          <w:sz w:val="24"/>
          <w:szCs w:val="28"/>
        </w:rPr>
      </w:pPr>
      <w:bookmarkStart w:id="180" w:name="_Toc80604827"/>
      <w:r w:rsidRPr="00A30588">
        <w:rPr>
          <w:sz w:val="24"/>
          <w:szCs w:val="28"/>
        </w:rPr>
        <w:t xml:space="preserve">Tabela </w:t>
      </w:r>
      <w:r w:rsidR="00295C25" w:rsidRPr="00A30588">
        <w:rPr>
          <w:sz w:val="24"/>
          <w:szCs w:val="28"/>
        </w:rPr>
        <w:fldChar w:fldCharType="begin"/>
      </w:r>
      <w:r w:rsidR="00295C25" w:rsidRPr="00A30588">
        <w:rPr>
          <w:sz w:val="24"/>
          <w:szCs w:val="28"/>
        </w:rPr>
        <w:instrText xml:space="preserve"> SEQ Tabela \* ARABIC </w:instrText>
      </w:r>
      <w:r w:rsidR="00295C25" w:rsidRPr="00A30588">
        <w:rPr>
          <w:sz w:val="24"/>
          <w:szCs w:val="28"/>
        </w:rPr>
        <w:fldChar w:fldCharType="separate"/>
      </w:r>
      <w:r w:rsidR="00FD3F9A">
        <w:rPr>
          <w:noProof/>
          <w:sz w:val="24"/>
          <w:szCs w:val="28"/>
        </w:rPr>
        <w:t>17</w:t>
      </w:r>
      <w:r w:rsidR="00295C25" w:rsidRPr="00A30588">
        <w:rPr>
          <w:noProof/>
          <w:sz w:val="24"/>
          <w:szCs w:val="28"/>
        </w:rPr>
        <w:fldChar w:fldCharType="end"/>
      </w:r>
      <w:bookmarkEnd w:id="178"/>
      <w:r w:rsidRPr="00A30588">
        <w:rPr>
          <w:sz w:val="24"/>
          <w:szCs w:val="28"/>
        </w:rPr>
        <w:tab/>
        <w:t xml:space="preserve">Wyniki analizy wielokryterialnej prowadzonej dla oceny wariantów planistycznych na obszarze problemowym IOP 7 </w:t>
      </w:r>
      <w:bookmarkEnd w:id="179"/>
      <w:r w:rsidRPr="00A30588">
        <w:rPr>
          <w:sz w:val="24"/>
          <w:szCs w:val="28"/>
        </w:rPr>
        <w:t>Ujście Słupi</w:t>
      </w:r>
      <w:bookmarkEnd w:id="180"/>
    </w:p>
    <w:p w14:paraId="0E7C9A20" w14:textId="1F2BC4E0" w:rsidR="00BA0236" w:rsidRPr="007C28CC" w:rsidRDefault="00E8074C" w:rsidP="007C28CC">
      <w:pPr>
        <w:spacing w:before="40"/>
        <w:jc w:val="center"/>
        <w:rPr>
          <w:color w:val="FF0000"/>
        </w:rPr>
      </w:pPr>
      <w:r>
        <w:rPr>
          <w:noProof/>
          <w:lang w:eastAsia="pl-PL"/>
        </w:rPr>
        <w:drawing>
          <wp:inline distT="0" distB="0" distL="0" distR="0" wp14:anchorId="2DFB2787" wp14:editId="43EE11C0">
            <wp:extent cx="4648200" cy="2114550"/>
            <wp:effectExtent l="0" t="0" r="0" b="0"/>
            <wp:docPr id="41"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648200" cy="2114550"/>
                    </a:xfrm>
                    <a:prstGeom prst="rect">
                      <a:avLst/>
                    </a:prstGeom>
                    <a:noFill/>
                    <a:ln>
                      <a:noFill/>
                    </a:ln>
                  </pic:spPr>
                </pic:pic>
              </a:graphicData>
            </a:graphic>
          </wp:inline>
        </w:drawing>
      </w:r>
    </w:p>
    <w:p w14:paraId="5D317931" w14:textId="77777777" w:rsidR="00BA0236" w:rsidRPr="007C28CC" w:rsidRDefault="00BA0236" w:rsidP="007C28CC">
      <w:pPr>
        <w:pStyle w:val="ReportText"/>
        <w:spacing w:before="120" w:after="120"/>
        <w:rPr>
          <w:lang w:eastAsia="zh-CN"/>
        </w:rPr>
      </w:pPr>
      <w:r w:rsidRPr="007C28CC">
        <w:rPr>
          <w:lang w:eastAsia="zh-CN"/>
        </w:rPr>
        <w:lastRenderedPageBreak/>
        <w:t>Wyniki analizy wielokryterialnej wskazują na wyższość Wariantu Planistycznego W2, jednak otrzymane wartości dla obu analizowanych opcji są bardzo zbliżone do siebie. Wariant planistyczny W2 otrzymał wyższe oceny dla kryterium zbiorczego określającego skuteczność osiągania celów zarządzania ryzykiem powodziowym oraz efektywności ekonomicznej, czyli dwóch najistotniejszych wskaźników. Wariant Planistyczny W1 otrzymał znacznie lepszą ocenę dla kryterium zbiorczego określającego spodziewany zakres i stopień negatywnego oddziaływania na środowisko ze względu na zastosowanie murów oporowych zamiast wału, lecz analiza kryteriów szczegółowych wskazuje, że wariantem rekomendowanym powinien być Wariant Planistyczny W2.</w:t>
      </w:r>
    </w:p>
    <w:p w14:paraId="4E033626" w14:textId="52BF9276" w:rsidR="00BA0236" w:rsidRPr="00A30588" w:rsidRDefault="00BA0236" w:rsidP="00A30588">
      <w:pPr>
        <w:pStyle w:val="Legenda"/>
        <w:tabs>
          <w:tab w:val="clear" w:pos="1080"/>
        </w:tabs>
        <w:spacing w:before="120" w:after="0"/>
        <w:ind w:left="1134" w:hanging="1134"/>
        <w:jc w:val="both"/>
        <w:rPr>
          <w:sz w:val="24"/>
          <w:szCs w:val="28"/>
        </w:rPr>
      </w:pPr>
      <w:bookmarkStart w:id="181" w:name="_Toc80604828"/>
      <w:r w:rsidRPr="00A30588">
        <w:rPr>
          <w:sz w:val="24"/>
          <w:szCs w:val="28"/>
        </w:rPr>
        <w:t xml:space="preserve">Tabela </w:t>
      </w:r>
      <w:r w:rsidR="00295C25" w:rsidRPr="00A30588">
        <w:rPr>
          <w:sz w:val="24"/>
          <w:szCs w:val="28"/>
        </w:rPr>
        <w:fldChar w:fldCharType="begin"/>
      </w:r>
      <w:r w:rsidR="00295C25" w:rsidRPr="00A30588">
        <w:rPr>
          <w:sz w:val="24"/>
          <w:szCs w:val="28"/>
        </w:rPr>
        <w:instrText xml:space="preserve"> SEQ Tabela \* ARABIC </w:instrText>
      </w:r>
      <w:r w:rsidR="00295C25" w:rsidRPr="00A30588">
        <w:rPr>
          <w:sz w:val="24"/>
          <w:szCs w:val="28"/>
        </w:rPr>
        <w:fldChar w:fldCharType="separate"/>
      </w:r>
      <w:r w:rsidR="00FD3F9A">
        <w:rPr>
          <w:noProof/>
          <w:sz w:val="24"/>
          <w:szCs w:val="28"/>
        </w:rPr>
        <w:t>18</w:t>
      </w:r>
      <w:r w:rsidR="00295C25" w:rsidRPr="00A30588">
        <w:rPr>
          <w:noProof/>
          <w:sz w:val="24"/>
          <w:szCs w:val="28"/>
        </w:rPr>
        <w:fldChar w:fldCharType="end"/>
      </w:r>
      <w:r w:rsidRPr="00A30588">
        <w:rPr>
          <w:sz w:val="24"/>
          <w:szCs w:val="28"/>
        </w:rPr>
        <w:tab/>
        <w:t>Wyniki analizy wielokryterialnej prowadzonej dla oceny wariantów planistycznych na obszarze problemowym IOP 12 Łeba</w:t>
      </w:r>
      <w:bookmarkEnd w:id="181"/>
    </w:p>
    <w:p w14:paraId="6C41387A" w14:textId="6B4C098E" w:rsidR="00BA0236" w:rsidRPr="007C28CC" w:rsidRDefault="00E8074C" w:rsidP="007C28CC">
      <w:pPr>
        <w:spacing w:before="60"/>
        <w:jc w:val="center"/>
      </w:pPr>
      <w:r>
        <w:rPr>
          <w:noProof/>
          <w:lang w:eastAsia="pl-PL"/>
        </w:rPr>
        <w:drawing>
          <wp:inline distT="0" distB="0" distL="0" distR="0" wp14:anchorId="17283997" wp14:editId="771492AE">
            <wp:extent cx="4648200" cy="2114550"/>
            <wp:effectExtent l="0" t="0" r="0" b="0"/>
            <wp:docPr id="42"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648200" cy="2114550"/>
                    </a:xfrm>
                    <a:prstGeom prst="rect">
                      <a:avLst/>
                    </a:prstGeom>
                    <a:noFill/>
                    <a:ln>
                      <a:noFill/>
                    </a:ln>
                  </pic:spPr>
                </pic:pic>
              </a:graphicData>
            </a:graphic>
          </wp:inline>
        </w:drawing>
      </w:r>
    </w:p>
    <w:p w14:paraId="1D209702" w14:textId="77777777" w:rsidR="00BA0236" w:rsidRPr="007C28CC" w:rsidRDefault="00BA0236" w:rsidP="007C28CC">
      <w:pPr>
        <w:pStyle w:val="ReportText"/>
        <w:spacing w:before="120" w:after="120"/>
        <w:rPr>
          <w:lang w:eastAsia="zh-CN"/>
        </w:rPr>
      </w:pPr>
      <w:r w:rsidRPr="007C28CC">
        <w:rPr>
          <w:lang w:eastAsia="zh-CN"/>
        </w:rPr>
        <w:t>Wyniki analizy wielokryterialnej wskazują na wyższość Wariantu Planistycznego W1, jednak otrzymane wartości dla obu analizowanych opcji są zbliżone do siebie. Pomimo iż wariant W2 otrzymał wyższą ocenę dla kryterium zbiorczego skuteczność osiągania celów zarządzania ryzykiem powodziowym oraz efektywności ekonomicznej to wariant W1 otrzymał dużo wyższe oceny dla kryterium zgodności z RDW, zakresu i stopnia negatywnego oddziaływania na środowisko oraz możliwych konfliktów społecznych związane z realizacją działań. Pomimo, że ocena obu wariantów jest zbliżona, analiza kryteriów szczegółowych wskazuje, że ze względu na zastosowane mobilnych systemów przeciwpowodziowych wariantem rekomendowanym powinien być Wariant Planistyczny W1.</w:t>
      </w:r>
    </w:p>
    <w:p w14:paraId="064DF6C8" w14:textId="3961589F" w:rsidR="00BA0236" w:rsidRPr="00A30588" w:rsidRDefault="00BA0236" w:rsidP="00A30588">
      <w:pPr>
        <w:pStyle w:val="Legenda"/>
        <w:tabs>
          <w:tab w:val="clear" w:pos="1080"/>
        </w:tabs>
        <w:spacing w:before="120" w:after="0"/>
        <w:ind w:left="1134" w:hanging="1134"/>
        <w:jc w:val="both"/>
        <w:rPr>
          <w:sz w:val="24"/>
          <w:szCs w:val="28"/>
        </w:rPr>
      </w:pPr>
      <w:bookmarkStart w:id="182" w:name="_Toc80604829"/>
      <w:r w:rsidRPr="00A30588">
        <w:rPr>
          <w:sz w:val="24"/>
          <w:szCs w:val="28"/>
        </w:rPr>
        <w:t xml:space="preserve">Tabela </w:t>
      </w:r>
      <w:r w:rsidR="00295C25" w:rsidRPr="00A30588">
        <w:rPr>
          <w:sz w:val="24"/>
          <w:szCs w:val="28"/>
        </w:rPr>
        <w:fldChar w:fldCharType="begin"/>
      </w:r>
      <w:r w:rsidR="00295C25" w:rsidRPr="00A30588">
        <w:rPr>
          <w:sz w:val="24"/>
          <w:szCs w:val="28"/>
        </w:rPr>
        <w:instrText xml:space="preserve"> SEQ Tabela \* ARABIC </w:instrText>
      </w:r>
      <w:r w:rsidR="00295C25" w:rsidRPr="00A30588">
        <w:rPr>
          <w:sz w:val="24"/>
          <w:szCs w:val="28"/>
        </w:rPr>
        <w:fldChar w:fldCharType="separate"/>
      </w:r>
      <w:r w:rsidR="00FD3F9A">
        <w:rPr>
          <w:noProof/>
          <w:sz w:val="24"/>
          <w:szCs w:val="28"/>
        </w:rPr>
        <w:t>19</w:t>
      </w:r>
      <w:r w:rsidR="00295C25" w:rsidRPr="00A30588">
        <w:rPr>
          <w:noProof/>
          <w:sz w:val="24"/>
          <w:szCs w:val="28"/>
        </w:rPr>
        <w:fldChar w:fldCharType="end"/>
      </w:r>
      <w:r w:rsidRPr="00A30588">
        <w:rPr>
          <w:sz w:val="24"/>
          <w:szCs w:val="28"/>
        </w:rPr>
        <w:tab/>
        <w:t>Wyniki analizy wielokryterialnej prowadzonej dla oceny wariantów planistycznych na obszarze problemowym MR 1 Żuławy Wiślane</w:t>
      </w:r>
      <w:bookmarkEnd w:id="182"/>
    </w:p>
    <w:p w14:paraId="7800FBF8" w14:textId="543EF8C7" w:rsidR="00BA0236" w:rsidRPr="007C28CC" w:rsidRDefault="00E8074C" w:rsidP="007C28CC">
      <w:pPr>
        <w:pStyle w:val="ReportText"/>
        <w:jc w:val="center"/>
        <w:rPr>
          <w:lang w:eastAsia="zh-CN"/>
        </w:rPr>
      </w:pPr>
      <w:r>
        <w:rPr>
          <w:noProof/>
          <w:lang w:eastAsia="pl-PL"/>
        </w:rPr>
        <w:drawing>
          <wp:inline distT="0" distB="0" distL="0" distR="0" wp14:anchorId="7D361DA2" wp14:editId="32286F34">
            <wp:extent cx="4648200" cy="2114550"/>
            <wp:effectExtent l="0" t="0" r="0" b="0"/>
            <wp:docPr id="43"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648200" cy="2114550"/>
                    </a:xfrm>
                    <a:prstGeom prst="rect">
                      <a:avLst/>
                    </a:prstGeom>
                    <a:noFill/>
                    <a:ln>
                      <a:noFill/>
                    </a:ln>
                  </pic:spPr>
                </pic:pic>
              </a:graphicData>
            </a:graphic>
          </wp:inline>
        </w:drawing>
      </w:r>
    </w:p>
    <w:p w14:paraId="58CF4477" w14:textId="77777777" w:rsidR="00BA0236" w:rsidRPr="007C28CC" w:rsidRDefault="00BA0236" w:rsidP="007C28CC">
      <w:pPr>
        <w:pStyle w:val="ReportText"/>
        <w:spacing w:before="120" w:after="120"/>
        <w:rPr>
          <w:lang w:eastAsia="zh-CN"/>
        </w:rPr>
      </w:pPr>
      <w:r w:rsidRPr="007C28CC">
        <w:rPr>
          <w:lang w:eastAsia="zh-CN"/>
        </w:rPr>
        <w:lastRenderedPageBreak/>
        <w:t xml:space="preserve">Wyniki analizy wielokryterialnej wskazują na przewagę Wariantu Planistycznego W2. Należy zwrócić uwagę na bardzo dobry rezultat jaki przedmiotowy wariant otrzymał dla kryterium zbiorczego oceniającego skuteczność osiągania celów zarządzania ryzykiem powodziowym. Wprawdzie Wariant W1 osiągną lepszy wynik w przypadku kryterium zbiorczego oceniającego efektywność ekonomiczną, zgodność z RDW, oddziaływanie na środowisko oraz możliwych konflikty społeczne związane z realizacją działań, lecz należy mieć na uwadze, iż kryterium zbiorcze opisujące skuteczność osiągania celów zarządzania ryzykiem powodziowym jest najistotniejsze i posiada procentowo najwyższą wagę w przedmiotowej analizie.  </w:t>
      </w:r>
    </w:p>
    <w:p w14:paraId="22826E50" w14:textId="611FAFB7" w:rsidR="00BA0236" w:rsidRPr="00A30588" w:rsidRDefault="00BA0236" w:rsidP="00A30588">
      <w:pPr>
        <w:pStyle w:val="Legenda"/>
        <w:tabs>
          <w:tab w:val="clear" w:pos="1080"/>
        </w:tabs>
        <w:spacing w:before="120" w:after="0"/>
        <w:ind w:left="1134" w:hanging="1134"/>
        <w:jc w:val="both"/>
        <w:rPr>
          <w:sz w:val="24"/>
          <w:szCs w:val="28"/>
        </w:rPr>
      </w:pPr>
      <w:bookmarkStart w:id="183" w:name="_Ref79495696"/>
      <w:bookmarkStart w:id="184" w:name="_Toc80604830"/>
      <w:r w:rsidRPr="00A30588">
        <w:rPr>
          <w:sz w:val="24"/>
          <w:szCs w:val="28"/>
        </w:rPr>
        <w:t xml:space="preserve">Tabela </w:t>
      </w:r>
      <w:r w:rsidR="00295C25" w:rsidRPr="00A30588">
        <w:rPr>
          <w:sz w:val="24"/>
          <w:szCs w:val="28"/>
        </w:rPr>
        <w:fldChar w:fldCharType="begin"/>
      </w:r>
      <w:r w:rsidR="00295C25" w:rsidRPr="00A30588">
        <w:rPr>
          <w:sz w:val="24"/>
          <w:szCs w:val="28"/>
        </w:rPr>
        <w:instrText xml:space="preserve"> SEQ Tabela \* ARABIC </w:instrText>
      </w:r>
      <w:r w:rsidR="00295C25" w:rsidRPr="00A30588">
        <w:rPr>
          <w:sz w:val="24"/>
          <w:szCs w:val="28"/>
        </w:rPr>
        <w:fldChar w:fldCharType="separate"/>
      </w:r>
      <w:r w:rsidR="00FD3F9A">
        <w:rPr>
          <w:noProof/>
          <w:sz w:val="24"/>
          <w:szCs w:val="28"/>
        </w:rPr>
        <w:t>20</w:t>
      </w:r>
      <w:r w:rsidR="00295C25" w:rsidRPr="00A30588">
        <w:rPr>
          <w:noProof/>
          <w:sz w:val="24"/>
          <w:szCs w:val="28"/>
        </w:rPr>
        <w:fldChar w:fldCharType="end"/>
      </w:r>
      <w:bookmarkEnd w:id="183"/>
      <w:r w:rsidRPr="00A30588">
        <w:rPr>
          <w:sz w:val="24"/>
          <w:szCs w:val="28"/>
        </w:rPr>
        <w:tab/>
        <w:t xml:space="preserve">Wyniki analizy wielokryterialnej prowadzonej dla oceny wariantów planistycznych na obszarze problemowym MR </w:t>
      </w:r>
      <w:r w:rsidR="00F8560E">
        <w:rPr>
          <w:sz w:val="24"/>
          <w:szCs w:val="28"/>
        </w:rPr>
        <w:t>2</w:t>
      </w:r>
      <w:r w:rsidRPr="00A30588">
        <w:rPr>
          <w:sz w:val="24"/>
          <w:szCs w:val="28"/>
        </w:rPr>
        <w:t xml:space="preserve"> </w:t>
      </w:r>
      <w:r w:rsidR="00F8560E" w:rsidRPr="00F8560E">
        <w:rPr>
          <w:sz w:val="24"/>
          <w:szCs w:val="28"/>
        </w:rPr>
        <w:t>Mechelinki, Rewa, Mosty, Połchowo - ujście Redy</w:t>
      </w:r>
      <w:bookmarkEnd w:id="184"/>
    </w:p>
    <w:p w14:paraId="00CEA7D1" w14:textId="424AD3BF" w:rsidR="00BA0236" w:rsidRPr="007C28CC" w:rsidRDefault="00E8074C" w:rsidP="007C28CC">
      <w:pPr>
        <w:pStyle w:val="ReportText"/>
        <w:jc w:val="center"/>
        <w:rPr>
          <w:lang w:eastAsia="zh-CN"/>
        </w:rPr>
      </w:pPr>
      <w:r>
        <w:rPr>
          <w:noProof/>
          <w:lang w:eastAsia="pl-PL"/>
        </w:rPr>
        <w:drawing>
          <wp:inline distT="0" distB="0" distL="0" distR="0" wp14:anchorId="201BD081" wp14:editId="3EAB077B">
            <wp:extent cx="4648200" cy="2114550"/>
            <wp:effectExtent l="0" t="0" r="0" b="0"/>
            <wp:docPr id="44"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648200" cy="2114550"/>
                    </a:xfrm>
                    <a:prstGeom prst="rect">
                      <a:avLst/>
                    </a:prstGeom>
                    <a:noFill/>
                    <a:ln>
                      <a:noFill/>
                    </a:ln>
                  </pic:spPr>
                </pic:pic>
              </a:graphicData>
            </a:graphic>
          </wp:inline>
        </w:drawing>
      </w:r>
    </w:p>
    <w:p w14:paraId="1308AB9C" w14:textId="77777777" w:rsidR="00BA0236" w:rsidRPr="007C28CC" w:rsidRDefault="00BA0236" w:rsidP="007C28CC">
      <w:pPr>
        <w:pStyle w:val="ReportText"/>
        <w:spacing w:before="120" w:after="120"/>
      </w:pPr>
      <w:r w:rsidRPr="007C28CC">
        <w:t>Wyniki analizy wielokryterialnej wskazują na wyższość Wariantu Planistycznego W1. Pomimo iż wariant W2 otrzymał wyższą ocenę dla kryterium zbiorczego efektywności ekonomicznej to wariant W1 otrzymał dużo wyższe oceny dla kryterium określającego zgodność z RDW oraz wpływ proponowanych działań na środowisko, co jest niezmiernie istotne z punktu widzenia lokalizacji przedsięwzięcia na terenie obszarów Natura 2000 (PLH220032 - Zatoka Pucka i Półwysep Helski oraz PLB220005 - Zatoka Pucka) oraz Nadmorskiego Parku Krajobrazowego, jak również w bezpośrednim sąsiedztwie Rezerwatu przyrody Mechelińskie Łąki. Pomimo, że ocena obu wariantów jest zbliżona, analiza kryteriów szczegółowych wskazuje, że ze względu na zastosowane rozwiązania wariantem rekomendowanym powinien być Wariant Planistyczny W1.</w:t>
      </w:r>
    </w:p>
    <w:p w14:paraId="4EAC395E" w14:textId="77777777" w:rsidR="00BA0236" w:rsidRPr="007C28CC" w:rsidRDefault="00BA0236" w:rsidP="007C28CC">
      <w:pPr>
        <w:rPr>
          <w:b/>
          <w:color w:val="28AAE1"/>
          <w:sz w:val="36"/>
          <w:szCs w:val="20"/>
          <w:lang w:eastAsia="en-US"/>
        </w:rPr>
      </w:pPr>
      <w:bookmarkStart w:id="185" w:name="_Toc79178591"/>
      <w:r w:rsidRPr="007C28CC">
        <w:br w:type="page"/>
      </w:r>
    </w:p>
    <w:p w14:paraId="4021AB3F" w14:textId="77777777" w:rsidR="00BA0236" w:rsidRPr="007C28CC" w:rsidRDefault="00BA0236" w:rsidP="00E8074C">
      <w:pPr>
        <w:pStyle w:val="ReportLevel1"/>
        <w:numPr>
          <w:ilvl w:val="0"/>
          <w:numId w:val="9"/>
        </w:numPr>
      </w:pPr>
      <w:bookmarkStart w:id="186" w:name="_Toc79511687"/>
      <w:bookmarkStart w:id="187" w:name="_Toc80604867"/>
      <w:r w:rsidRPr="007C28CC">
        <w:lastRenderedPageBreak/>
        <w:t>Aktualizacja i utworzenie ostatecznej listy działań</w:t>
      </w:r>
      <w:bookmarkEnd w:id="185"/>
      <w:bookmarkEnd w:id="186"/>
      <w:bookmarkEnd w:id="187"/>
    </w:p>
    <w:p w14:paraId="66B354D2" w14:textId="52B5A795" w:rsidR="00BA0236" w:rsidRPr="007C28CC" w:rsidRDefault="00BA0236" w:rsidP="007C28CC">
      <w:pPr>
        <w:pStyle w:val="ReportText"/>
      </w:pPr>
      <w:r w:rsidRPr="007C28CC">
        <w:t>Na ostatecznej liście działań znalazły się działania realizujące wszystkie cele główne</w:t>
      </w:r>
      <w:r w:rsidRPr="007C28CC">
        <w:br/>
        <w:t xml:space="preserve">i szczegółowe zarządzania ryzykiem powodziowym od strony morza, w tym morskich wód wewnętrznych. Część z zadań została zakwalifikowana bezpośrednio z listy bazowej, część została zarekomendowana po pozytywnym przejściu analiz zmierzających do wyboru optymalnych wariantów planistycznych proponowanych dla zidentyfikowanych obszarów problemowych. Zestawienie zadań przedstawia </w:t>
      </w:r>
      <w:r w:rsidRPr="007C28CC">
        <w:fldChar w:fldCharType="begin"/>
      </w:r>
      <w:r w:rsidRPr="007C28CC">
        <w:instrText xml:space="preserve"> REF _Ref79495641 \h </w:instrText>
      </w:r>
      <w:r w:rsidRPr="007C28CC">
        <w:fldChar w:fldCharType="separate"/>
      </w:r>
      <w:r w:rsidR="00FD3F9A" w:rsidRPr="00A30588">
        <w:rPr>
          <w:szCs w:val="28"/>
        </w:rPr>
        <w:t xml:space="preserve">Tabela </w:t>
      </w:r>
      <w:r w:rsidR="00FD3F9A">
        <w:rPr>
          <w:noProof/>
          <w:szCs w:val="28"/>
        </w:rPr>
        <w:t>21</w:t>
      </w:r>
      <w:r w:rsidRPr="007C28CC">
        <w:fldChar w:fldCharType="end"/>
      </w:r>
      <w:r w:rsidRPr="007C28CC">
        <w:t>. Szczegółowa tabela została przedstawiona w Załączniku 5.</w:t>
      </w:r>
    </w:p>
    <w:p w14:paraId="08C9DA54" w14:textId="2E10CB35" w:rsidR="00BA0236" w:rsidRPr="00A30588" w:rsidRDefault="00BA0236" w:rsidP="00A30588">
      <w:pPr>
        <w:pStyle w:val="Legenda"/>
        <w:tabs>
          <w:tab w:val="clear" w:pos="1080"/>
        </w:tabs>
        <w:spacing w:before="120" w:after="0"/>
        <w:ind w:left="1134" w:hanging="1134"/>
        <w:jc w:val="both"/>
        <w:rPr>
          <w:sz w:val="24"/>
          <w:szCs w:val="28"/>
        </w:rPr>
      </w:pPr>
      <w:bookmarkStart w:id="188" w:name="_Ref79495641"/>
      <w:bookmarkStart w:id="189" w:name="_Toc80604831"/>
      <w:r w:rsidRPr="00A30588">
        <w:rPr>
          <w:sz w:val="24"/>
          <w:szCs w:val="28"/>
        </w:rPr>
        <w:t xml:space="preserve">Tabela </w:t>
      </w:r>
      <w:r w:rsidR="00295C25" w:rsidRPr="00A30588">
        <w:rPr>
          <w:sz w:val="24"/>
          <w:szCs w:val="28"/>
        </w:rPr>
        <w:fldChar w:fldCharType="begin"/>
      </w:r>
      <w:r w:rsidR="00295C25" w:rsidRPr="00A30588">
        <w:rPr>
          <w:sz w:val="24"/>
          <w:szCs w:val="28"/>
        </w:rPr>
        <w:instrText xml:space="preserve"> SEQ Tabela \* ARABIC </w:instrText>
      </w:r>
      <w:r w:rsidR="00295C25" w:rsidRPr="00A30588">
        <w:rPr>
          <w:sz w:val="24"/>
          <w:szCs w:val="28"/>
        </w:rPr>
        <w:fldChar w:fldCharType="separate"/>
      </w:r>
      <w:r w:rsidR="00FD3F9A">
        <w:rPr>
          <w:noProof/>
          <w:sz w:val="24"/>
          <w:szCs w:val="28"/>
        </w:rPr>
        <w:t>21</w:t>
      </w:r>
      <w:r w:rsidR="00295C25" w:rsidRPr="00A30588">
        <w:rPr>
          <w:noProof/>
          <w:sz w:val="24"/>
          <w:szCs w:val="28"/>
        </w:rPr>
        <w:fldChar w:fldCharType="end"/>
      </w:r>
      <w:bookmarkEnd w:id="188"/>
      <w:r w:rsidRPr="00A30588">
        <w:rPr>
          <w:sz w:val="24"/>
          <w:szCs w:val="28"/>
        </w:rPr>
        <w:tab/>
        <w:t>Ostateczna lista działań aPZRPM</w:t>
      </w:r>
      <w:bookmarkEnd w:id="189"/>
    </w:p>
    <w:tbl>
      <w:tblPr>
        <w:tblW w:w="7933" w:type="dxa"/>
        <w:tblBorders>
          <w:top w:val="single" w:sz="4" w:space="0" w:color="A9DCF3"/>
          <w:left w:val="single" w:sz="4" w:space="0" w:color="A9DCF3"/>
          <w:bottom w:val="single" w:sz="4" w:space="0" w:color="A9DCF3"/>
          <w:right w:val="single" w:sz="4" w:space="0" w:color="A9DCF3"/>
          <w:insideH w:val="single" w:sz="4" w:space="0" w:color="A9DCF3"/>
          <w:insideV w:val="single" w:sz="4" w:space="0" w:color="A9DCF3"/>
        </w:tblBorders>
        <w:tblLook w:val="00A0" w:firstRow="1" w:lastRow="0" w:firstColumn="1" w:lastColumn="0" w:noHBand="0" w:noVBand="0"/>
      </w:tblPr>
      <w:tblGrid>
        <w:gridCol w:w="543"/>
        <w:gridCol w:w="1776"/>
        <w:gridCol w:w="3865"/>
        <w:gridCol w:w="1749"/>
      </w:tblGrid>
      <w:tr w:rsidR="00BA0236" w:rsidRPr="00E34908" w14:paraId="7B441063" w14:textId="77777777" w:rsidTr="00E34908">
        <w:trPr>
          <w:cantSplit/>
          <w:trHeight w:val="210"/>
          <w:tblHeader/>
        </w:trPr>
        <w:tc>
          <w:tcPr>
            <w:tcW w:w="543" w:type="dxa"/>
            <w:tcBorders>
              <w:bottom w:val="single" w:sz="12" w:space="0" w:color="7ECBED"/>
            </w:tcBorders>
            <w:shd w:val="clear" w:color="auto" w:fill="D4EDF9"/>
          </w:tcPr>
          <w:p w14:paraId="42C97A6B" w14:textId="77777777" w:rsidR="00BA0236" w:rsidRPr="00E34908" w:rsidRDefault="00BA0236" w:rsidP="001002DE">
            <w:pPr>
              <w:rPr>
                <w:b/>
                <w:bCs/>
                <w:lang w:eastAsia="pl-PL"/>
              </w:rPr>
            </w:pPr>
            <w:r w:rsidRPr="00E34908">
              <w:rPr>
                <w:lang w:eastAsia="pl-PL"/>
              </w:rPr>
              <w:t>Lp.</w:t>
            </w:r>
          </w:p>
        </w:tc>
        <w:tc>
          <w:tcPr>
            <w:tcW w:w="1776" w:type="dxa"/>
            <w:tcBorders>
              <w:bottom w:val="single" w:sz="12" w:space="0" w:color="7ECBED"/>
            </w:tcBorders>
            <w:shd w:val="clear" w:color="auto" w:fill="D4EDF9"/>
          </w:tcPr>
          <w:p w14:paraId="466A33A9" w14:textId="77777777" w:rsidR="00BA0236" w:rsidRPr="00E34908" w:rsidRDefault="00BA0236" w:rsidP="001002DE">
            <w:pPr>
              <w:rPr>
                <w:b/>
                <w:bCs/>
                <w:lang w:eastAsia="pl-PL"/>
              </w:rPr>
            </w:pPr>
            <w:r w:rsidRPr="00E34908">
              <w:rPr>
                <w:lang w:eastAsia="pl-PL"/>
              </w:rPr>
              <w:t>Nr działania</w:t>
            </w:r>
          </w:p>
        </w:tc>
        <w:tc>
          <w:tcPr>
            <w:tcW w:w="3865" w:type="dxa"/>
            <w:tcBorders>
              <w:bottom w:val="single" w:sz="12" w:space="0" w:color="7ECBED"/>
            </w:tcBorders>
            <w:shd w:val="clear" w:color="auto" w:fill="D4EDF9"/>
          </w:tcPr>
          <w:p w14:paraId="734CBD99" w14:textId="77777777" w:rsidR="00BA0236" w:rsidRPr="00E34908" w:rsidRDefault="00BA0236" w:rsidP="001002DE">
            <w:pPr>
              <w:rPr>
                <w:b/>
                <w:bCs/>
              </w:rPr>
            </w:pPr>
            <w:r w:rsidRPr="00E34908">
              <w:t>Nazwa działania</w:t>
            </w:r>
          </w:p>
        </w:tc>
        <w:tc>
          <w:tcPr>
            <w:tcW w:w="1749" w:type="dxa"/>
            <w:tcBorders>
              <w:bottom w:val="single" w:sz="12" w:space="0" w:color="7ECBED"/>
            </w:tcBorders>
            <w:shd w:val="clear" w:color="auto" w:fill="D4EDF9"/>
          </w:tcPr>
          <w:p w14:paraId="6212834D" w14:textId="77777777" w:rsidR="00BA0236" w:rsidRPr="00E34908" w:rsidRDefault="00BA0236" w:rsidP="001002DE">
            <w:pPr>
              <w:rPr>
                <w:b/>
                <w:bCs/>
              </w:rPr>
            </w:pPr>
            <w:r w:rsidRPr="00E34908">
              <w:t>Podmiot odpowiedzialny</w:t>
            </w:r>
          </w:p>
        </w:tc>
      </w:tr>
      <w:tr w:rsidR="00E34908" w:rsidRPr="00E34908" w14:paraId="18C636EC" w14:textId="77777777" w:rsidTr="00E34908">
        <w:trPr>
          <w:cantSplit/>
          <w:trHeight w:val="552"/>
        </w:trPr>
        <w:tc>
          <w:tcPr>
            <w:tcW w:w="543" w:type="dxa"/>
          </w:tcPr>
          <w:p w14:paraId="7D35A9FC" w14:textId="77777777" w:rsidR="00E34908" w:rsidRPr="00E34908" w:rsidRDefault="00E34908" w:rsidP="00E34908">
            <w:pPr>
              <w:rPr>
                <w:b/>
                <w:bCs/>
              </w:rPr>
            </w:pPr>
            <w:r w:rsidRPr="00E34908">
              <w:rPr>
                <w:color w:val="000000"/>
              </w:rPr>
              <w:t>1</w:t>
            </w:r>
          </w:p>
        </w:tc>
        <w:tc>
          <w:tcPr>
            <w:tcW w:w="1776" w:type="dxa"/>
          </w:tcPr>
          <w:p w14:paraId="0EC72ADA" w14:textId="75BF80E4" w:rsidR="00E34908" w:rsidRPr="00E34908" w:rsidRDefault="00E34908" w:rsidP="00E34908">
            <w:pPr>
              <w:spacing w:before="40" w:after="40"/>
            </w:pPr>
            <w:r w:rsidRPr="00E34908">
              <w:t>W_MDW_200</w:t>
            </w:r>
          </w:p>
        </w:tc>
        <w:tc>
          <w:tcPr>
            <w:tcW w:w="3865" w:type="dxa"/>
          </w:tcPr>
          <w:p w14:paraId="09C39BE1" w14:textId="4E0CBF12" w:rsidR="00E34908" w:rsidRPr="00E34908" w:rsidRDefault="00E34908" w:rsidP="00E34908">
            <w:pPr>
              <w:spacing w:before="40" w:after="40"/>
            </w:pPr>
            <w:r w:rsidRPr="00E34908">
              <w:t>Rewa - Ochrona Brzegów Morskich - opaska brzegowa km 99,60-100,30</w:t>
            </w:r>
          </w:p>
        </w:tc>
        <w:tc>
          <w:tcPr>
            <w:tcW w:w="1749" w:type="dxa"/>
          </w:tcPr>
          <w:p w14:paraId="303FC06F" w14:textId="27112E02" w:rsidR="00E34908" w:rsidRPr="00E34908" w:rsidRDefault="00E34908" w:rsidP="00E34908">
            <w:pPr>
              <w:spacing w:before="40" w:after="40"/>
            </w:pPr>
            <w:r w:rsidRPr="00E34908">
              <w:t>Urząd Morski w Gdyni</w:t>
            </w:r>
          </w:p>
        </w:tc>
      </w:tr>
      <w:tr w:rsidR="00E34908" w:rsidRPr="00E34908" w14:paraId="23A63470" w14:textId="77777777" w:rsidTr="00E34908">
        <w:trPr>
          <w:cantSplit/>
          <w:trHeight w:val="1419"/>
        </w:trPr>
        <w:tc>
          <w:tcPr>
            <w:tcW w:w="543" w:type="dxa"/>
          </w:tcPr>
          <w:p w14:paraId="0735B1FC" w14:textId="77777777" w:rsidR="00E34908" w:rsidRPr="00E34908" w:rsidRDefault="00E34908" w:rsidP="00E34908">
            <w:pPr>
              <w:rPr>
                <w:b/>
                <w:bCs/>
              </w:rPr>
            </w:pPr>
            <w:r w:rsidRPr="00E34908">
              <w:rPr>
                <w:color w:val="000000"/>
              </w:rPr>
              <w:t>2</w:t>
            </w:r>
          </w:p>
        </w:tc>
        <w:tc>
          <w:tcPr>
            <w:tcW w:w="1776" w:type="dxa"/>
          </w:tcPr>
          <w:p w14:paraId="31F9D781" w14:textId="703AD1A8" w:rsidR="00E34908" w:rsidRPr="00E34908" w:rsidRDefault="00E34908" w:rsidP="00E34908">
            <w:pPr>
              <w:spacing w:before="40" w:after="40"/>
            </w:pPr>
            <w:r w:rsidRPr="00E34908">
              <w:t>W_DW_54</w:t>
            </w:r>
            <w:r w:rsidRPr="00E34908">
              <w:br/>
              <w:t>(W_AR_10)</w:t>
            </w:r>
          </w:p>
        </w:tc>
        <w:tc>
          <w:tcPr>
            <w:tcW w:w="3865" w:type="dxa"/>
          </w:tcPr>
          <w:p w14:paraId="58CD4A3A" w14:textId="1CB59A9E" w:rsidR="00E34908" w:rsidRPr="00E34908" w:rsidRDefault="00E34908" w:rsidP="00E34908">
            <w:pPr>
              <w:spacing w:before="40" w:after="40"/>
            </w:pPr>
            <w:r w:rsidRPr="00E34908">
              <w:t>Podwyższenie umocnień brzegowych Martwej Wisły na obszarze Gdańska do rzędnych wynikających z map zagrożenia powodzią od morskich wód wewnętrznych</w:t>
            </w:r>
            <w:r w:rsidRPr="00E34908">
              <w:br/>
              <w:t>(W tym zawarte: Ochrona przeciwpowodziowa wyspy Stogi (Górki Zachodnie) przy pomocy systemu mobilnych przegród przeciwpowodziowych wzdłuż ul. Kutnowskiej (dł. 1500 m wraz z budową 500 m drogi) wraz z rozwojem lokalnego systemu ostrzegania przed powodziami i prognozowania zagrożeń na terenie miasta)</w:t>
            </w:r>
          </w:p>
        </w:tc>
        <w:tc>
          <w:tcPr>
            <w:tcW w:w="1749" w:type="dxa"/>
          </w:tcPr>
          <w:p w14:paraId="56A56F28" w14:textId="0C90DFED" w:rsidR="00E34908" w:rsidRPr="00E34908" w:rsidRDefault="00E34908" w:rsidP="00E34908">
            <w:pPr>
              <w:spacing w:before="40" w:after="40"/>
            </w:pPr>
            <w:r w:rsidRPr="00E34908">
              <w:t>Urząd Morski w Gdyni / Miasto Gdańsk</w:t>
            </w:r>
          </w:p>
        </w:tc>
      </w:tr>
      <w:tr w:rsidR="00E34908" w:rsidRPr="00E34908" w14:paraId="37F37FA2" w14:textId="77777777" w:rsidTr="00E34908">
        <w:trPr>
          <w:cantSplit/>
          <w:trHeight w:val="552"/>
        </w:trPr>
        <w:tc>
          <w:tcPr>
            <w:tcW w:w="543" w:type="dxa"/>
          </w:tcPr>
          <w:p w14:paraId="3A367D89" w14:textId="77777777" w:rsidR="00E34908" w:rsidRPr="00E34908" w:rsidRDefault="00E34908" w:rsidP="00E34908">
            <w:pPr>
              <w:rPr>
                <w:b/>
                <w:bCs/>
              </w:rPr>
            </w:pPr>
            <w:r w:rsidRPr="00E34908">
              <w:rPr>
                <w:color w:val="000000"/>
              </w:rPr>
              <w:t>3</w:t>
            </w:r>
          </w:p>
        </w:tc>
        <w:tc>
          <w:tcPr>
            <w:tcW w:w="1776" w:type="dxa"/>
          </w:tcPr>
          <w:p w14:paraId="577ACA3C" w14:textId="629F3984" w:rsidR="00E34908" w:rsidRPr="00E34908" w:rsidRDefault="00E34908" w:rsidP="00E34908">
            <w:pPr>
              <w:spacing w:before="40" w:after="40"/>
            </w:pPr>
            <w:r w:rsidRPr="00E34908">
              <w:t>W_MDW_09</w:t>
            </w:r>
          </w:p>
        </w:tc>
        <w:tc>
          <w:tcPr>
            <w:tcW w:w="3865" w:type="dxa"/>
          </w:tcPr>
          <w:p w14:paraId="1CAD34FE" w14:textId="55710876" w:rsidR="00E34908" w:rsidRPr="00E34908" w:rsidRDefault="00E34908" w:rsidP="00E34908">
            <w:pPr>
              <w:spacing w:before="40" w:after="40"/>
            </w:pPr>
            <w:r w:rsidRPr="00E34908">
              <w:t>Ochrona przeciwpowodziowa miejscowości Dębki poprzez podwyższenie prawego wału rz. Piaśnicy na wysokości m. Dębki (km Piaśnicy 0+300-3+500, km wału 0+000-2+822), pow. pucki, gm. Krokowa</w:t>
            </w:r>
          </w:p>
        </w:tc>
        <w:tc>
          <w:tcPr>
            <w:tcW w:w="1749" w:type="dxa"/>
          </w:tcPr>
          <w:p w14:paraId="3BD6BBE8" w14:textId="5663F462" w:rsidR="00E34908" w:rsidRPr="00E34908" w:rsidRDefault="00E34908" w:rsidP="00E34908">
            <w:pPr>
              <w:spacing w:before="40" w:after="40"/>
            </w:pPr>
            <w:r w:rsidRPr="00E34908">
              <w:t xml:space="preserve">PGW WP </w:t>
            </w:r>
            <w:r w:rsidRPr="00E34908">
              <w:br/>
              <w:t>ZZ w Gdańsku</w:t>
            </w:r>
          </w:p>
        </w:tc>
      </w:tr>
      <w:tr w:rsidR="00E34908" w:rsidRPr="00E34908" w14:paraId="67A3538B" w14:textId="77777777" w:rsidTr="00E34908">
        <w:trPr>
          <w:cantSplit/>
          <w:trHeight w:val="600"/>
        </w:trPr>
        <w:tc>
          <w:tcPr>
            <w:tcW w:w="543" w:type="dxa"/>
          </w:tcPr>
          <w:p w14:paraId="13744737" w14:textId="77777777" w:rsidR="00E34908" w:rsidRPr="00E34908" w:rsidRDefault="00E34908" w:rsidP="00E34908">
            <w:pPr>
              <w:rPr>
                <w:b/>
                <w:bCs/>
              </w:rPr>
            </w:pPr>
            <w:r w:rsidRPr="00E34908">
              <w:rPr>
                <w:color w:val="000000"/>
              </w:rPr>
              <w:t>4</w:t>
            </w:r>
          </w:p>
        </w:tc>
        <w:tc>
          <w:tcPr>
            <w:tcW w:w="1776" w:type="dxa"/>
          </w:tcPr>
          <w:p w14:paraId="6EDCC8E4" w14:textId="01E7F576" w:rsidR="00E34908" w:rsidRPr="00E34908" w:rsidRDefault="00E34908" w:rsidP="00E34908">
            <w:pPr>
              <w:spacing w:before="40" w:after="40"/>
            </w:pPr>
            <w:r w:rsidRPr="00E34908">
              <w:t>W_DW_28</w:t>
            </w:r>
          </w:p>
        </w:tc>
        <w:tc>
          <w:tcPr>
            <w:tcW w:w="3865" w:type="dxa"/>
          </w:tcPr>
          <w:p w14:paraId="2713D0B6" w14:textId="7EA21BD1" w:rsidR="00E34908" w:rsidRPr="00E34908" w:rsidRDefault="00E34908" w:rsidP="00E34908">
            <w:pPr>
              <w:spacing w:before="40" w:after="40"/>
            </w:pPr>
            <w:r w:rsidRPr="00E34908">
              <w:t>Karwieńskie Błota - przebudowa urządzeń rozrządu wody, gm. Krokowa i m. Władysławowo, pow. pucki, woj. pomorskie</w:t>
            </w:r>
          </w:p>
        </w:tc>
        <w:tc>
          <w:tcPr>
            <w:tcW w:w="1749" w:type="dxa"/>
          </w:tcPr>
          <w:p w14:paraId="3E3A8F96" w14:textId="3A3AA9DF" w:rsidR="00E34908" w:rsidRPr="00E34908" w:rsidRDefault="00E34908" w:rsidP="00E34908">
            <w:pPr>
              <w:spacing w:before="40" w:after="40"/>
            </w:pPr>
            <w:r w:rsidRPr="00E34908">
              <w:t xml:space="preserve">PGW WP </w:t>
            </w:r>
            <w:r w:rsidRPr="00E34908">
              <w:br/>
              <w:t>ZZ w Gdańsku</w:t>
            </w:r>
          </w:p>
        </w:tc>
      </w:tr>
      <w:tr w:rsidR="00E34908" w:rsidRPr="00E34908" w14:paraId="61CA0472" w14:textId="77777777" w:rsidTr="00E34908">
        <w:trPr>
          <w:cantSplit/>
          <w:trHeight w:val="600"/>
        </w:trPr>
        <w:tc>
          <w:tcPr>
            <w:tcW w:w="543" w:type="dxa"/>
          </w:tcPr>
          <w:p w14:paraId="7FC8E478" w14:textId="77777777" w:rsidR="00E34908" w:rsidRPr="00E34908" w:rsidRDefault="00E34908" w:rsidP="00E34908">
            <w:pPr>
              <w:rPr>
                <w:b/>
                <w:bCs/>
              </w:rPr>
            </w:pPr>
            <w:r w:rsidRPr="00E34908">
              <w:rPr>
                <w:color w:val="000000"/>
              </w:rPr>
              <w:t>5</w:t>
            </w:r>
          </w:p>
        </w:tc>
        <w:tc>
          <w:tcPr>
            <w:tcW w:w="1776" w:type="dxa"/>
          </w:tcPr>
          <w:p w14:paraId="58F1BBCA" w14:textId="4D712D76" w:rsidR="00E34908" w:rsidRPr="00E34908" w:rsidRDefault="00E34908" w:rsidP="00E34908">
            <w:pPr>
              <w:spacing w:before="40" w:after="40"/>
            </w:pPr>
            <w:r w:rsidRPr="00E34908">
              <w:t>W_MDW_10</w:t>
            </w:r>
          </w:p>
        </w:tc>
        <w:tc>
          <w:tcPr>
            <w:tcW w:w="3865" w:type="dxa"/>
          </w:tcPr>
          <w:p w14:paraId="4CBE1950" w14:textId="7019A52B" w:rsidR="00E34908" w:rsidRPr="00E34908" w:rsidRDefault="00E34908" w:rsidP="00E34908">
            <w:pPr>
              <w:spacing w:before="40" w:after="40"/>
            </w:pPr>
            <w:r w:rsidRPr="00E34908">
              <w:t>Budowa lodołamaczy dla RZGW Gdańsk</w:t>
            </w:r>
          </w:p>
        </w:tc>
        <w:tc>
          <w:tcPr>
            <w:tcW w:w="1749" w:type="dxa"/>
          </w:tcPr>
          <w:p w14:paraId="33DDDF3D" w14:textId="784C51D4" w:rsidR="00E34908" w:rsidRPr="00E34908" w:rsidRDefault="00E34908" w:rsidP="00E34908">
            <w:pPr>
              <w:spacing w:before="40" w:after="40"/>
            </w:pPr>
            <w:r w:rsidRPr="00E34908">
              <w:t xml:space="preserve">PGW WP </w:t>
            </w:r>
            <w:r w:rsidRPr="00E34908">
              <w:br/>
              <w:t>RZGW Gdańsk</w:t>
            </w:r>
          </w:p>
        </w:tc>
      </w:tr>
      <w:tr w:rsidR="00E34908" w:rsidRPr="00E34908" w14:paraId="6E7AE7C6" w14:textId="77777777" w:rsidTr="00E34908">
        <w:trPr>
          <w:cantSplit/>
          <w:trHeight w:val="600"/>
        </w:trPr>
        <w:tc>
          <w:tcPr>
            <w:tcW w:w="543" w:type="dxa"/>
          </w:tcPr>
          <w:p w14:paraId="1E1968BA" w14:textId="77777777" w:rsidR="00E34908" w:rsidRPr="00E34908" w:rsidRDefault="00E34908" w:rsidP="00E34908">
            <w:pPr>
              <w:rPr>
                <w:b/>
                <w:bCs/>
              </w:rPr>
            </w:pPr>
            <w:r w:rsidRPr="00E34908">
              <w:rPr>
                <w:color w:val="000000"/>
              </w:rPr>
              <w:lastRenderedPageBreak/>
              <w:t>6</w:t>
            </w:r>
          </w:p>
        </w:tc>
        <w:tc>
          <w:tcPr>
            <w:tcW w:w="1776" w:type="dxa"/>
          </w:tcPr>
          <w:p w14:paraId="4FD35CD8" w14:textId="605AFCD1" w:rsidR="00E34908" w:rsidRPr="00E34908" w:rsidRDefault="00E34908" w:rsidP="00E34908">
            <w:pPr>
              <w:spacing w:before="40" w:after="40"/>
            </w:pPr>
            <w:r w:rsidRPr="00E34908">
              <w:t>W_MDW_11_2</w:t>
            </w:r>
          </w:p>
        </w:tc>
        <w:tc>
          <w:tcPr>
            <w:tcW w:w="3865" w:type="dxa"/>
          </w:tcPr>
          <w:p w14:paraId="7A9DA9ED" w14:textId="621634B9" w:rsidR="00E34908" w:rsidRPr="00E34908" w:rsidRDefault="00E34908" w:rsidP="00E34908">
            <w:pPr>
              <w:spacing w:before="40" w:after="40"/>
            </w:pPr>
            <w:r w:rsidRPr="00E34908">
              <w:t>Przebudowa ujścia Wisły – przedłużenie kierownic – prawej i lewej (ocena efektywności inwestycji „Przebudowa ujścia Wisły etap I oraz działania przygotowawcze).</w:t>
            </w:r>
          </w:p>
        </w:tc>
        <w:tc>
          <w:tcPr>
            <w:tcW w:w="1749" w:type="dxa"/>
          </w:tcPr>
          <w:p w14:paraId="0D8CD2AD" w14:textId="586C75D1" w:rsidR="00E34908" w:rsidRPr="00E34908" w:rsidRDefault="00E34908" w:rsidP="00E34908">
            <w:pPr>
              <w:spacing w:before="40" w:after="40"/>
            </w:pPr>
            <w:r w:rsidRPr="00E34908">
              <w:t xml:space="preserve">PGW WP </w:t>
            </w:r>
            <w:r w:rsidRPr="00E34908">
              <w:br/>
              <w:t>RZGW Gdańsk</w:t>
            </w:r>
          </w:p>
        </w:tc>
      </w:tr>
      <w:tr w:rsidR="00E34908" w:rsidRPr="00E34908" w14:paraId="11575EEB" w14:textId="77777777" w:rsidTr="00E34908">
        <w:trPr>
          <w:cantSplit/>
          <w:trHeight w:val="600"/>
        </w:trPr>
        <w:tc>
          <w:tcPr>
            <w:tcW w:w="543" w:type="dxa"/>
          </w:tcPr>
          <w:p w14:paraId="7C1A8838" w14:textId="77777777" w:rsidR="00E34908" w:rsidRPr="00E34908" w:rsidRDefault="00E34908" w:rsidP="00E34908">
            <w:pPr>
              <w:rPr>
                <w:b/>
                <w:bCs/>
              </w:rPr>
            </w:pPr>
            <w:r w:rsidRPr="00E34908">
              <w:rPr>
                <w:color w:val="000000"/>
              </w:rPr>
              <w:t>7</w:t>
            </w:r>
          </w:p>
        </w:tc>
        <w:tc>
          <w:tcPr>
            <w:tcW w:w="1776" w:type="dxa"/>
          </w:tcPr>
          <w:p w14:paraId="20E8BEC3" w14:textId="36CF06B9" w:rsidR="00E34908" w:rsidRPr="00E34908" w:rsidRDefault="00E34908" w:rsidP="00E34908">
            <w:pPr>
              <w:spacing w:before="40" w:after="40"/>
            </w:pPr>
            <w:r w:rsidRPr="00E34908">
              <w:t>W_DW_14</w:t>
            </w:r>
          </w:p>
        </w:tc>
        <w:tc>
          <w:tcPr>
            <w:tcW w:w="3865" w:type="dxa"/>
          </w:tcPr>
          <w:p w14:paraId="1BEB0068" w14:textId="59BFCDB6" w:rsidR="00E34908" w:rsidRPr="00E34908" w:rsidRDefault="00E34908" w:rsidP="00E34908">
            <w:pPr>
              <w:spacing w:before="40" w:after="40"/>
            </w:pPr>
            <w:r w:rsidRPr="00E34908">
              <w:t>Budowa wrót sztormowych na rzece Tudze – nowy obiekt zlokalizowany na rzece Tudze wraz z infrastrukturą towarzyszącą (przelew boczny, przepusty na rowach i kanale Pryżnik, budynek sterowni).</w:t>
            </w:r>
          </w:p>
        </w:tc>
        <w:tc>
          <w:tcPr>
            <w:tcW w:w="1749" w:type="dxa"/>
          </w:tcPr>
          <w:p w14:paraId="217B46C9" w14:textId="545FBE85" w:rsidR="00E34908" w:rsidRPr="00E34908" w:rsidRDefault="00E34908" w:rsidP="00E34908">
            <w:pPr>
              <w:spacing w:before="40" w:after="40"/>
            </w:pPr>
            <w:r w:rsidRPr="00E34908">
              <w:t xml:space="preserve">PGW WP </w:t>
            </w:r>
            <w:r w:rsidRPr="00E34908">
              <w:br/>
              <w:t>RZGW Gdańsk</w:t>
            </w:r>
          </w:p>
        </w:tc>
      </w:tr>
      <w:tr w:rsidR="00E34908" w:rsidRPr="00E34908" w14:paraId="66000A97" w14:textId="77777777" w:rsidTr="00E34908">
        <w:trPr>
          <w:cantSplit/>
          <w:trHeight w:val="600"/>
        </w:trPr>
        <w:tc>
          <w:tcPr>
            <w:tcW w:w="543" w:type="dxa"/>
          </w:tcPr>
          <w:p w14:paraId="5FE1254D" w14:textId="77777777" w:rsidR="00E34908" w:rsidRPr="00E34908" w:rsidRDefault="00E34908" w:rsidP="00E34908">
            <w:pPr>
              <w:rPr>
                <w:b/>
                <w:bCs/>
              </w:rPr>
            </w:pPr>
            <w:r w:rsidRPr="00E34908">
              <w:rPr>
                <w:color w:val="000000"/>
              </w:rPr>
              <w:t>8</w:t>
            </w:r>
          </w:p>
        </w:tc>
        <w:tc>
          <w:tcPr>
            <w:tcW w:w="1776" w:type="dxa"/>
          </w:tcPr>
          <w:p w14:paraId="5B60E332" w14:textId="71DFA5B7" w:rsidR="00E34908" w:rsidRPr="00E34908" w:rsidRDefault="00E34908" w:rsidP="00E34908">
            <w:pPr>
              <w:spacing w:before="40" w:after="40"/>
            </w:pPr>
            <w:r w:rsidRPr="00E34908">
              <w:t>W_MDW_11_5</w:t>
            </w:r>
          </w:p>
        </w:tc>
        <w:tc>
          <w:tcPr>
            <w:tcW w:w="3865" w:type="dxa"/>
          </w:tcPr>
          <w:p w14:paraId="2EF8E868" w14:textId="1A4D68A1" w:rsidR="00E34908" w:rsidRPr="00E34908" w:rsidRDefault="00E34908" w:rsidP="00E34908">
            <w:pPr>
              <w:spacing w:before="40" w:after="40"/>
            </w:pPr>
            <w:r w:rsidRPr="00E34908">
              <w:t>Rozwój systemu monitoringu ryzyka powodziowego (SMoRP).</w:t>
            </w:r>
          </w:p>
        </w:tc>
        <w:tc>
          <w:tcPr>
            <w:tcW w:w="1749" w:type="dxa"/>
          </w:tcPr>
          <w:p w14:paraId="1DF89F32" w14:textId="047C81F0" w:rsidR="00E34908" w:rsidRPr="00E34908" w:rsidRDefault="00E34908" w:rsidP="00E34908">
            <w:pPr>
              <w:spacing w:before="40" w:after="40"/>
            </w:pPr>
            <w:r w:rsidRPr="00E34908">
              <w:t xml:space="preserve">PGW WP </w:t>
            </w:r>
            <w:r w:rsidRPr="00E34908">
              <w:br/>
              <w:t>RZGW Gdańsk</w:t>
            </w:r>
          </w:p>
        </w:tc>
      </w:tr>
      <w:tr w:rsidR="00E34908" w:rsidRPr="00E34908" w14:paraId="0B7C746C" w14:textId="77777777" w:rsidTr="00E34908">
        <w:trPr>
          <w:cantSplit/>
          <w:trHeight w:val="600"/>
        </w:trPr>
        <w:tc>
          <w:tcPr>
            <w:tcW w:w="543" w:type="dxa"/>
          </w:tcPr>
          <w:p w14:paraId="2AA3435C" w14:textId="77777777" w:rsidR="00E34908" w:rsidRPr="00E34908" w:rsidRDefault="00E34908" w:rsidP="00E34908">
            <w:pPr>
              <w:rPr>
                <w:b/>
                <w:bCs/>
              </w:rPr>
            </w:pPr>
            <w:r w:rsidRPr="00E34908">
              <w:rPr>
                <w:color w:val="000000"/>
              </w:rPr>
              <w:t>9</w:t>
            </w:r>
          </w:p>
        </w:tc>
        <w:tc>
          <w:tcPr>
            <w:tcW w:w="1776" w:type="dxa"/>
          </w:tcPr>
          <w:p w14:paraId="545BE79A" w14:textId="56C31E40" w:rsidR="00E34908" w:rsidRPr="00E34908" w:rsidRDefault="00E34908" w:rsidP="00E34908">
            <w:pPr>
              <w:spacing w:before="40" w:after="40"/>
            </w:pPr>
            <w:r w:rsidRPr="00E34908">
              <w:t>W_DW_170</w:t>
            </w:r>
          </w:p>
        </w:tc>
        <w:tc>
          <w:tcPr>
            <w:tcW w:w="3865" w:type="dxa"/>
          </w:tcPr>
          <w:p w14:paraId="64D0EE36" w14:textId="570DAB3D" w:rsidR="00E34908" w:rsidRPr="00E34908" w:rsidRDefault="00E34908" w:rsidP="00E34908">
            <w:pPr>
              <w:spacing w:before="40" w:after="40"/>
            </w:pPr>
            <w:r w:rsidRPr="00E34908">
              <w:t>Przebudowa wału czołowego Zalewu Wiślanego Batorowo km 0+000-5+050 oraz wału czołowego Zalewu Wiślanego Nowotki km 0+00-3+000 (wraz z wałem wstecznym rz. Nogat km 0+000-2+137) gm. Elbląg</w:t>
            </w:r>
          </w:p>
        </w:tc>
        <w:tc>
          <w:tcPr>
            <w:tcW w:w="1749" w:type="dxa"/>
          </w:tcPr>
          <w:p w14:paraId="3E4F83B4" w14:textId="679DB8F1" w:rsidR="00E34908" w:rsidRPr="00E34908" w:rsidRDefault="00E34908" w:rsidP="00E34908">
            <w:pPr>
              <w:spacing w:before="40" w:after="40"/>
            </w:pPr>
            <w:r w:rsidRPr="00E34908">
              <w:t xml:space="preserve">PGW WP </w:t>
            </w:r>
            <w:r w:rsidRPr="00E34908">
              <w:br/>
              <w:t>ZZ w Elblągu</w:t>
            </w:r>
          </w:p>
        </w:tc>
      </w:tr>
      <w:tr w:rsidR="00E34908" w:rsidRPr="00E34908" w14:paraId="02FB2CE8" w14:textId="77777777" w:rsidTr="00E34908">
        <w:trPr>
          <w:cantSplit/>
          <w:trHeight w:val="600"/>
        </w:trPr>
        <w:tc>
          <w:tcPr>
            <w:tcW w:w="543" w:type="dxa"/>
          </w:tcPr>
          <w:p w14:paraId="408B1984" w14:textId="77777777" w:rsidR="00E34908" w:rsidRPr="00E34908" w:rsidRDefault="00E34908" w:rsidP="00E34908">
            <w:pPr>
              <w:rPr>
                <w:b/>
                <w:bCs/>
              </w:rPr>
            </w:pPr>
            <w:r w:rsidRPr="00E34908">
              <w:rPr>
                <w:color w:val="000000"/>
              </w:rPr>
              <w:t>10</w:t>
            </w:r>
          </w:p>
        </w:tc>
        <w:tc>
          <w:tcPr>
            <w:tcW w:w="1776" w:type="dxa"/>
          </w:tcPr>
          <w:p w14:paraId="335EC554" w14:textId="3EE5D613" w:rsidR="00E34908" w:rsidRPr="00E34908" w:rsidRDefault="00E34908" w:rsidP="00E34908">
            <w:pPr>
              <w:spacing w:before="40" w:after="40"/>
            </w:pPr>
            <w:r w:rsidRPr="00E34908">
              <w:t>W_DW_118</w:t>
            </w:r>
          </w:p>
        </w:tc>
        <w:tc>
          <w:tcPr>
            <w:tcW w:w="3865" w:type="dxa"/>
          </w:tcPr>
          <w:p w14:paraId="55C50254" w14:textId="7D5D75FB" w:rsidR="00E34908" w:rsidRPr="00E34908" w:rsidRDefault="00E34908" w:rsidP="00E34908">
            <w:pPr>
              <w:spacing w:before="40" w:after="40"/>
            </w:pPr>
            <w:r w:rsidRPr="00E34908">
              <w:t>Remont wałów rzeki Fiszewki: wał lewy km 0+000÷4+800, km 4+800÷13+900 i wał prawy km 0+000÷0+250, km 4+800÷12+195, gm. Elbląg i Gronowo Elbląskie</w:t>
            </w:r>
          </w:p>
        </w:tc>
        <w:tc>
          <w:tcPr>
            <w:tcW w:w="1749" w:type="dxa"/>
          </w:tcPr>
          <w:p w14:paraId="01F7300E" w14:textId="57172026" w:rsidR="00E34908" w:rsidRPr="00E34908" w:rsidRDefault="00E34908" w:rsidP="00E34908">
            <w:pPr>
              <w:spacing w:before="40" w:after="40"/>
            </w:pPr>
            <w:r w:rsidRPr="00E34908">
              <w:t xml:space="preserve">PGW WP </w:t>
            </w:r>
            <w:r w:rsidRPr="00E34908">
              <w:br/>
              <w:t>ZZ w Gdańsku</w:t>
            </w:r>
          </w:p>
        </w:tc>
      </w:tr>
      <w:tr w:rsidR="00E34908" w:rsidRPr="00E34908" w14:paraId="24B8C625" w14:textId="77777777" w:rsidTr="00E34908">
        <w:trPr>
          <w:cantSplit/>
          <w:trHeight w:val="600"/>
        </w:trPr>
        <w:tc>
          <w:tcPr>
            <w:tcW w:w="543" w:type="dxa"/>
          </w:tcPr>
          <w:p w14:paraId="78F66D03" w14:textId="77777777" w:rsidR="00E34908" w:rsidRPr="00E34908" w:rsidRDefault="00E34908" w:rsidP="00E34908">
            <w:pPr>
              <w:rPr>
                <w:b/>
                <w:bCs/>
              </w:rPr>
            </w:pPr>
            <w:r w:rsidRPr="00E34908">
              <w:rPr>
                <w:color w:val="000000"/>
              </w:rPr>
              <w:t>11</w:t>
            </w:r>
          </w:p>
        </w:tc>
        <w:tc>
          <w:tcPr>
            <w:tcW w:w="1776" w:type="dxa"/>
          </w:tcPr>
          <w:p w14:paraId="20C10DCA" w14:textId="3691C4AE" w:rsidR="00E34908" w:rsidRPr="00E34908" w:rsidRDefault="00E34908" w:rsidP="00E34908">
            <w:pPr>
              <w:spacing w:before="40" w:after="40"/>
            </w:pPr>
            <w:r w:rsidRPr="00E34908">
              <w:t>W_DW_110</w:t>
            </w:r>
          </w:p>
        </w:tc>
        <w:tc>
          <w:tcPr>
            <w:tcW w:w="3865" w:type="dxa"/>
          </w:tcPr>
          <w:p w14:paraId="293ABA67" w14:textId="6DE18B6C" w:rsidR="00E34908" w:rsidRPr="00E34908" w:rsidRDefault="00E34908" w:rsidP="00E34908">
            <w:pPr>
              <w:spacing w:before="40" w:after="40"/>
            </w:pPr>
            <w:r w:rsidRPr="00E34908">
              <w:t>Przebudowa wału przeciwpowodziowego Zalewu Wiślanego- Przebrno w km 0+000-3+100, miasto Krynica Morska, pow. Nowodworski, woj. pomorskie</w:t>
            </w:r>
          </w:p>
        </w:tc>
        <w:tc>
          <w:tcPr>
            <w:tcW w:w="1749" w:type="dxa"/>
          </w:tcPr>
          <w:p w14:paraId="4D0DC7DA" w14:textId="0956FC0F" w:rsidR="00E34908" w:rsidRPr="00E34908" w:rsidRDefault="00E34908" w:rsidP="00E34908">
            <w:pPr>
              <w:spacing w:before="40" w:after="40"/>
            </w:pPr>
            <w:r w:rsidRPr="00E34908">
              <w:t xml:space="preserve">PGW WP </w:t>
            </w:r>
            <w:r w:rsidRPr="00E34908">
              <w:br/>
              <w:t>ZZ w Elblągu</w:t>
            </w:r>
          </w:p>
        </w:tc>
      </w:tr>
      <w:tr w:rsidR="00E34908" w:rsidRPr="00E34908" w14:paraId="6F9EA9AF" w14:textId="77777777" w:rsidTr="00E34908">
        <w:trPr>
          <w:cantSplit/>
          <w:trHeight w:val="600"/>
        </w:trPr>
        <w:tc>
          <w:tcPr>
            <w:tcW w:w="543" w:type="dxa"/>
          </w:tcPr>
          <w:p w14:paraId="5F964C03" w14:textId="77777777" w:rsidR="00E34908" w:rsidRPr="00E34908" w:rsidRDefault="00E34908" w:rsidP="00E34908">
            <w:pPr>
              <w:rPr>
                <w:b/>
                <w:bCs/>
              </w:rPr>
            </w:pPr>
            <w:r w:rsidRPr="00E34908">
              <w:rPr>
                <w:color w:val="000000"/>
              </w:rPr>
              <w:t>12</w:t>
            </w:r>
          </w:p>
        </w:tc>
        <w:tc>
          <w:tcPr>
            <w:tcW w:w="1776" w:type="dxa"/>
          </w:tcPr>
          <w:p w14:paraId="23EEEF60" w14:textId="47D436F4" w:rsidR="00E34908" w:rsidRPr="00E34908" w:rsidRDefault="00E34908" w:rsidP="00E34908">
            <w:pPr>
              <w:spacing w:before="40" w:after="40"/>
            </w:pPr>
            <w:r w:rsidRPr="00E34908">
              <w:t> W_DW_69</w:t>
            </w:r>
          </w:p>
        </w:tc>
        <w:tc>
          <w:tcPr>
            <w:tcW w:w="3865" w:type="dxa"/>
          </w:tcPr>
          <w:p w14:paraId="2061F903" w14:textId="2FFA34E9" w:rsidR="00E34908" w:rsidRPr="00E34908" w:rsidRDefault="00E34908" w:rsidP="00E34908">
            <w:pPr>
              <w:spacing w:before="40" w:after="40"/>
            </w:pPr>
            <w:r w:rsidRPr="00E34908">
              <w:t>Przebudowa lewego wału przeciwpowodziowego rzeki Nogat w km 0+000-7+700, gmina Nowy Dwór Gdański, pow. nowodworski, woj. pomorskie</w:t>
            </w:r>
          </w:p>
        </w:tc>
        <w:tc>
          <w:tcPr>
            <w:tcW w:w="1749" w:type="dxa"/>
          </w:tcPr>
          <w:p w14:paraId="699AB856" w14:textId="3AB3C6D2" w:rsidR="00E34908" w:rsidRPr="00E34908" w:rsidRDefault="00E34908" w:rsidP="00E34908">
            <w:pPr>
              <w:spacing w:before="40" w:after="40"/>
            </w:pPr>
            <w:r w:rsidRPr="00E34908">
              <w:t xml:space="preserve">PGW WP </w:t>
            </w:r>
            <w:r w:rsidRPr="00E34908">
              <w:br/>
              <w:t>ZZ w Elblągu</w:t>
            </w:r>
          </w:p>
        </w:tc>
      </w:tr>
      <w:tr w:rsidR="00E34908" w:rsidRPr="00E34908" w14:paraId="1B1394EC" w14:textId="77777777" w:rsidTr="00E34908">
        <w:trPr>
          <w:cantSplit/>
          <w:trHeight w:val="600"/>
        </w:trPr>
        <w:tc>
          <w:tcPr>
            <w:tcW w:w="543" w:type="dxa"/>
          </w:tcPr>
          <w:p w14:paraId="34E094BD" w14:textId="77777777" w:rsidR="00E34908" w:rsidRPr="00E34908" w:rsidRDefault="00E34908" w:rsidP="00E34908">
            <w:pPr>
              <w:rPr>
                <w:b/>
                <w:bCs/>
              </w:rPr>
            </w:pPr>
            <w:r w:rsidRPr="00E34908">
              <w:rPr>
                <w:color w:val="000000"/>
              </w:rPr>
              <w:t>13</w:t>
            </w:r>
          </w:p>
        </w:tc>
        <w:tc>
          <w:tcPr>
            <w:tcW w:w="1776" w:type="dxa"/>
          </w:tcPr>
          <w:p w14:paraId="26B6DB5F" w14:textId="4303A7BC" w:rsidR="00E34908" w:rsidRPr="00E34908" w:rsidRDefault="00E34908" w:rsidP="00E34908">
            <w:pPr>
              <w:spacing w:before="40" w:after="40"/>
            </w:pPr>
            <w:r w:rsidRPr="00E34908">
              <w:t>W_DW_70</w:t>
            </w:r>
            <w:r w:rsidRPr="00E34908">
              <w:br/>
              <w:t>W_DW_76</w:t>
            </w:r>
          </w:p>
        </w:tc>
        <w:tc>
          <w:tcPr>
            <w:tcW w:w="3865" w:type="dxa"/>
          </w:tcPr>
          <w:p w14:paraId="500A94A4" w14:textId="7A1A50F8" w:rsidR="00E34908" w:rsidRPr="00E34908" w:rsidRDefault="00E34908" w:rsidP="00E34908">
            <w:pPr>
              <w:spacing w:before="40" w:after="40"/>
            </w:pPr>
            <w:r w:rsidRPr="00E34908">
              <w:t>Przebudowa wałów przeciwpowodziowych rzeki Szkarpawy, lewego w km 0+000-9+000, gm. Sztutowo i prawego w km 0+000-9+100, gm. Stegna i Nowy Dwór Gdański, pow. nowodworski, woj. Pomorskie</w:t>
            </w:r>
          </w:p>
        </w:tc>
        <w:tc>
          <w:tcPr>
            <w:tcW w:w="1749" w:type="dxa"/>
          </w:tcPr>
          <w:p w14:paraId="40F53C35" w14:textId="164A9F14" w:rsidR="00E34908" w:rsidRPr="00E34908" w:rsidRDefault="00E34908" w:rsidP="00E34908">
            <w:pPr>
              <w:spacing w:before="40" w:after="40"/>
            </w:pPr>
            <w:r w:rsidRPr="00E34908">
              <w:t xml:space="preserve">PGW WP </w:t>
            </w:r>
            <w:r w:rsidRPr="00E34908">
              <w:br/>
              <w:t>ZZ w Elblągu</w:t>
            </w:r>
          </w:p>
        </w:tc>
      </w:tr>
      <w:tr w:rsidR="00E34908" w:rsidRPr="00E34908" w14:paraId="682EE216" w14:textId="77777777" w:rsidTr="00E34908">
        <w:trPr>
          <w:cantSplit/>
          <w:trHeight w:val="600"/>
        </w:trPr>
        <w:tc>
          <w:tcPr>
            <w:tcW w:w="543" w:type="dxa"/>
          </w:tcPr>
          <w:p w14:paraId="5944E924" w14:textId="77777777" w:rsidR="00E34908" w:rsidRPr="00E34908" w:rsidRDefault="00E34908" w:rsidP="00E34908">
            <w:pPr>
              <w:rPr>
                <w:b/>
                <w:bCs/>
              </w:rPr>
            </w:pPr>
            <w:r w:rsidRPr="00E34908">
              <w:rPr>
                <w:color w:val="000000"/>
              </w:rPr>
              <w:lastRenderedPageBreak/>
              <w:t>14</w:t>
            </w:r>
          </w:p>
        </w:tc>
        <w:tc>
          <w:tcPr>
            <w:tcW w:w="1776" w:type="dxa"/>
          </w:tcPr>
          <w:p w14:paraId="43B0E7E3" w14:textId="686EDC90" w:rsidR="00E34908" w:rsidRPr="00E34908" w:rsidRDefault="00E34908" w:rsidP="00E34908">
            <w:pPr>
              <w:spacing w:before="40" w:after="40"/>
            </w:pPr>
            <w:r w:rsidRPr="00E34908">
              <w:t> W_DW_71</w:t>
            </w:r>
          </w:p>
        </w:tc>
        <w:tc>
          <w:tcPr>
            <w:tcW w:w="3865" w:type="dxa"/>
          </w:tcPr>
          <w:p w14:paraId="74BCD930" w14:textId="12E5C7B9" w:rsidR="00E34908" w:rsidRPr="00E34908" w:rsidRDefault="00E34908" w:rsidP="00E34908">
            <w:pPr>
              <w:spacing w:before="40" w:after="40"/>
            </w:pPr>
            <w:r w:rsidRPr="00E34908">
              <w:t>Przebudowa lewego wału przeciwpowodziowego rzeki Tugi km 0+000- 10+400, gm. Stegna i Nowy Dwór Gdański, pow. nowodworski, woj. pomorskie</w:t>
            </w:r>
          </w:p>
        </w:tc>
        <w:tc>
          <w:tcPr>
            <w:tcW w:w="1749" w:type="dxa"/>
          </w:tcPr>
          <w:p w14:paraId="0BE4EB98" w14:textId="01A3D943" w:rsidR="00E34908" w:rsidRPr="00E34908" w:rsidRDefault="00E34908" w:rsidP="00E34908">
            <w:pPr>
              <w:spacing w:before="40" w:after="40"/>
            </w:pPr>
            <w:r w:rsidRPr="00E34908">
              <w:t xml:space="preserve">PGW WP </w:t>
            </w:r>
            <w:r w:rsidRPr="00E34908">
              <w:br/>
              <w:t>ZZ w Elblągu</w:t>
            </w:r>
          </w:p>
        </w:tc>
      </w:tr>
      <w:tr w:rsidR="00E34908" w:rsidRPr="00E34908" w14:paraId="0E537C52" w14:textId="77777777" w:rsidTr="00E34908">
        <w:trPr>
          <w:cantSplit/>
          <w:trHeight w:val="600"/>
        </w:trPr>
        <w:tc>
          <w:tcPr>
            <w:tcW w:w="543" w:type="dxa"/>
          </w:tcPr>
          <w:p w14:paraId="69A444D9" w14:textId="77777777" w:rsidR="00E34908" w:rsidRPr="00E34908" w:rsidRDefault="00E34908" w:rsidP="00E34908">
            <w:pPr>
              <w:rPr>
                <w:b/>
                <w:bCs/>
              </w:rPr>
            </w:pPr>
            <w:r w:rsidRPr="00E34908">
              <w:rPr>
                <w:color w:val="000000"/>
              </w:rPr>
              <w:t>15</w:t>
            </w:r>
          </w:p>
        </w:tc>
        <w:tc>
          <w:tcPr>
            <w:tcW w:w="1776" w:type="dxa"/>
          </w:tcPr>
          <w:p w14:paraId="5DF23762" w14:textId="7034C5BB" w:rsidR="00E34908" w:rsidRPr="00E34908" w:rsidRDefault="00E34908" w:rsidP="00E34908">
            <w:pPr>
              <w:spacing w:before="40" w:after="40"/>
            </w:pPr>
            <w:r w:rsidRPr="00E34908">
              <w:t> W_DW_74</w:t>
            </w:r>
          </w:p>
        </w:tc>
        <w:tc>
          <w:tcPr>
            <w:tcW w:w="3865" w:type="dxa"/>
          </w:tcPr>
          <w:p w14:paraId="3043A2CA" w14:textId="16D2451D" w:rsidR="00E34908" w:rsidRPr="00E34908" w:rsidRDefault="00E34908" w:rsidP="00E34908">
            <w:pPr>
              <w:spacing w:before="40" w:after="40"/>
            </w:pPr>
            <w:r w:rsidRPr="00E34908">
              <w:t>Przebudowa prawego walu przeciwpowodziowego rzeki Tugi km 0+000 - 21+200, gm. Stegna i Nowy Dwór Gdański, pow. nowodworski, woj. pomorskie</w:t>
            </w:r>
          </w:p>
        </w:tc>
        <w:tc>
          <w:tcPr>
            <w:tcW w:w="1749" w:type="dxa"/>
          </w:tcPr>
          <w:p w14:paraId="2DC8E059" w14:textId="7AE12763" w:rsidR="00E34908" w:rsidRPr="00E34908" w:rsidRDefault="00E34908" w:rsidP="00E34908">
            <w:pPr>
              <w:spacing w:before="40" w:after="40"/>
            </w:pPr>
            <w:r w:rsidRPr="00E34908">
              <w:t xml:space="preserve">PGW WP </w:t>
            </w:r>
            <w:r w:rsidRPr="00E34908">
              <w:br/>
              <w:t>ZZ w Elblągu</w:t>
            </w:r>
          </w:p>
        </w:tc>
      </w:tr>
      <w:tr w:rsidR="00E34908" w:rsidRPr="00E34908" w14:paraId="36A57B88" w14:textId="77777777" w:rsidTr="00E34908">
        <w:trPr>
          <w:cantSplit/>
          <w:trHeight w:val="600"/>
        </w:trPr>
        <w:tc>
          <w:tcPr>
            <w:tcW w:w="543" w:type="dxa"/>
          </w:tcPr>
          <w:p w14:paraId="33D4FBEE" w14:textId="77777777" w:rsidR="00E34908" w:rsidRPr="00E34908" w:rsidRDefault="00E34908" w:rsidP="00E34908">
            <w:pPr>
              <w:rPr>
                <w:b/>
                <w:bCs/>
              </w:rPr>
            </w:pPr>
            <w:r w:rsidRPr="00E34908">
              <w:rPr>
                <w:color w:val="000000"/>
              </w:rPr>
              <w:t>16</w:t>
            </w:r>
          </w:p>
        </w:tc>
        <w:tc>
          <w:tcPr>
            <w:tcW w:w="1776" w:type="dxa"/>
          </w:tcPr>
          <w:p w14:paraId="0CD19E66" w14:textId="1C435FED" w:rsidR="00E34908" w:rsidRPr="00E34908" w:rsidRDefault="00E34908" w:rsidP="00E34908">
            <w:pPr>
              <w:spacing w:before="40" w:after="40"/>
            </w:pPr>
            <w:r w:rsidRPr="00E34908">
              <w:t>W_DW_102 </w:t>
            </w:r>
          </w:p>
        </w:tc>
        <w:tc>
          <w:tcPr>
            <w:tcW w:w="3865" w:type="dxa"/>
          </w:tcPr>
          <w:p w14:paraId="60B666BA" w14:textId="75B0AA5A" w:rsidR="00E34908" w:rsidRPr="00E34908" w:rsidRDefault="00E34908" w:rsidP="00E34908">
            <w:pPr>
              <w:spacing w:before="40" w:after="40"/>
            </w:pPr>
            <w:r w:rsidRPr="00E34908">
              <w:t>Przebudowa wałów przeciwpowodziowych rzeki Wisły Królewieckiej, wał lewy w km 0+000-7+600, wał prawy w km 0+000-7+000 oraz budowa nowego odcinka prawego wału w km 7+000-9+800, gm. Sztutowo i Stegna, pow. nowodworski, woj. pomorskie</w:t>
            </w:r>
          </w:p>
        </w:tc>
        <w:tc>
          <w:tcPr>
            <w:tcW w:w="1749" w:type="dxa"/>
          </w:tcPr>
          <w:p w14:paraId="508FC5D6" w14:textId="644879AB" w:rsidR="00E34908" w:rsidRPr="00E34908" w:rsidRDefault="00E34908" w:rsidP="00E34908">
            <w:pPr>
              <w:spacing w:before="40" w:after="40"/>
            </w:pPr>
            <w:r w:rsidRPr="00E34908">
              <w:t xml:space="preserve">PGW WP </w:t>
            </w:r>
            <w:r w:rsidRPr="00E34908">
              <w:br/>
              <w:t>ZZ w Elblągu</w:t>
            </w:r>
          </w:p>
        </w:tc>
      </w:tr>
      <w:tr w:rsidR="00E34908" w:rsidRPr="00E34908" w14:paraId="08BC0E42" w14:textId="77777777" w:rsidTr="00E34908">
        <w:trPr>
          <w:cantSplit/>
          <w:trHeight w:val="600"/>
        </w:trPr>
        <w:tc>
          <w:tcPr>
            <w:tcW w:w="543" w:type="dxa"/>
          </w:tcPr>
          <w:p w14:paraId="0580F39D" w14:textId="77777777" w:rsidR="00E34908" w:rsidRPr="00E34908" w:rsidRDefault="00E34908" w:rsidP="00E34908">
            <w:pPr>
              <w:rPr>
                <w:b/>
                <w:bCs/>
              </w:rPr>
            </w:pPr>
            <w:r w:rsidRPr="00E34908">
              <w:rPr>
                <w:color w:val="000000"/>
              </w:rPr>
              <w:t>17</w:t>
            </w:r>
          </w:p>
        </w:tc>
        <w:tc>
          <w:tcPr>
            <w:tcW w:w="1776" w:type="dxa"/>
          </w:tcPr>
          <w:p w14:paraId="3F0E9465" w14:textId="0C56FBED" w:rsidR="00E34908" w:rsidRPr="00E34908" w:rsidRDefault="00E34908" w:rsidP="00E34908">
            <w:pPr>
              <w:spacing w:before="40" w:after="40"/>
            </w:pPr>
            <w:r w:rsidRPr="00E34908">
              <w:t>W_DW_135 </w:t>
            </w:r>
          </w:p>
        </w:tc>
        <w:tc>
          <w:tcPr>
            <w:tcW w:w="3865" w:type="dxa"/>
          </w:tcPr>
          <w:p w14:paraId="2D5FAFAC" w14:textId="4F1A9634" w:rsidR="00E34908" w:rsidRPr="00E34908" w:rsidRDefault="00E34908" w:rsidP="00E34908">
            <w:pPr>
              <w:spacing w:before="40" w:after="40"/>
            </w:pPr>
            <w:r w:rsidRPr="00E34908">
              <w:t>Wykonanie remontu ubezpieczeń brzegowych rzeki Tuga na terenie miasta Nowy Dwór Gdański</w:t>
            </w:r>
          </w:p>
        </w:tc>
        <w:tc>
          <w:tcPr>
            <w:tcW w:w="1749" w:type="dxa"/>
          </w:tcPr>
          <w:p w14:paraId="4AE3302D" w14:textId="3623A519" w:rsidR="00E34908" w:rsidRPr="00E34908" w:rsidRDefault="00E34908" w:rsidP="00E34908">
            <w:pPr>
              <w:spacing w:before="40" w:after="40"/>
            </w:pPr>
            <w:r w:rsidRPr="00E34908">
              <w:t xml:space="preserve">PGW WP </w:t>
            </w:r>
            <w:r w:rsidRPr="00E34908">
              <w:br/>
              <w:t>ZZ w Elblągu</w:t>
            </w:r>
          </w:p>
        </w:tc>
      </w:tr>
      <w:tr w:rsidR="00E34908" w:rsidRPr="00E34908" w14:paraId="3270D4D0" w14:textId="77777777" w:rsidTr="00E34908">
        <w:trPr>
          <w:cantSplit/>
          <w:trHeight w:val="600"/>
        </w:trPr>
        <w:tc>
          <w:tcPr>
            <w:tcW w:w="543" w:type="dxa"/>
          </w:tcPr>
          <w:p w14:paraId="317BC0A3" w14:textId="77777777" w:rsidR="00E34908" w:rsidRPr="00E34908" w:rsidRDefault="00E34908" w:rsidP="00E34908">
            <w:pPr>
              <w:rPr>
                <w:b/>
                <w:bCs/>
              </w:rPr>
            </w:pPr>
            <w:r w:rsidRPr="00E34908">
              <w:rPr>
                <w:color w:val="000000"/>
              </w:rPr>
              <w:t>18</w:t>
            </w:r>
          </w:p>
        </w:tc>
        <w:tc>
          <w:tcPr>
            <w:tcW w:w="1776" w:type="dxa"/>
          </w:tcPr>
          <w:p w14:paraId="7399EBB4" w14:textId="2BD17A63" w:rsidR="00E34908" w:rsidRPr="00E34908" w:rsidRDefault="00E34908" w:rsidP="00E34908">
            <w:pPr>
              <w:spacing w:before="40" w:after="40"/>
            </w:pPr>
            <w:r w:rsidRPr="00E34908">
              <w:t> W_DW_22</w:t>
            </w:r>
          </w:p>
        </w:tc>
        <w:tc>
          <w:tcPr>
            <w:tcW w:w="3865" w:type="dxa"/>
          </w:tcPr>
          <w:p w14:paraId="72F444F5" w14:textId="217A9325" w:rsidR="00E34908" w:rsidRPr="00E34908" w:rsidRDefault="00E34908" w:rsidP="00E34908">
            <w:pPr>
              <w:spacing w:before="40" w:after="40"/>
            </w:pPr>
            <w:r w:rsidRPr="00E34908">
              <w:t>Zabezpieczenie przeciwpowodziowe lewego brzegu rzeki Elbląg - Przebudowa zabezpieczenia przeciwpowodziowego lewego brzegu rzeki Elbląg od ujścia rzeki Fiszewki do Kanału Jagiellońskiego w granicach miasta Elbląg - na odcinkach od Kanału Jagiellońskiego do Wyspy Spichrzów oraz odcinek od Wyspy Spichrzów do ujścia rzeki Fiszewki.</w:t>
            </w:r>
          </w:p>
        </w:tc>
        <w:tc>
          <w:tcPr>
            <w:tcW w:w="1749" w:type="dxa"/>
          </w:tcPr>
          <w:p w14:paraId="200672DA" w14:textId="5172F87D" w:rsidR="00E34908" w:rsidRPr="00E34908" w:rsidRDefault="00E34908" w:rsidP="00E34908">
            <w:pPr>
              <w:spacing w:before="40" w:after="40"/>
            </w:pPr>
            <w:r w:rsidRPr="00E34908">
              <w:t>miasto Elbląg</w:t>
            </w:r>
          </w:p>
        </w:tc>
      </w:tr>
      <w:tr w:rsidR="00E34908" w:rsidRPr="00E34908" w14:paraId="44C26328" w14:textId="77777777" w:rsidTr="00E34908">
        <w:trPr>
          <w:cantSplit/>
          <w:trHeight w:val="600"/>
        </w:trPr>
        <w:tc>
          <w:tcPr>
            <w:tcW w:w="543" w:type="dxa"/>
          </w:tcPr>
          <w:p w14:paraId="2DA0EB35" w14:textId="77777777" w:rsidR="00E34908" w:rsidRPr="00E34908" w:rsidRDefault="00E34908" w:rsidP="00E34908">
            <w:pPr>
              <w:rPr>
                <w:b/>
                <w:bCs/>
              </w:rPr>
            </w:pPr>
            <w:r w:rsidRPr="00E34908">
              <w:rPr>
                <w:color w:val="000000"/>
              </w:rPr>
              <w:t>19</w:t>
            </w:r>
          </w:p>
        </w:tc>
        <w:tc>
          <w:tcPr>
            <w:tcW w:w="1776" w:type="dxa"/>
          </w:tcPr>
          <w:p w14:paraId="116C1A36" w14:textId="1C36099F" w:rsidR="00E34908" w:rsidRPr="00E34908" w:rsidRDefault="00E34908" w:rsidP="00E34908">
            <w:pPr>
              <w:spacing w:before="40" w:after="40"/>
            </w:pPr>
            <w:r w:rsidRPr="00E34908">
              <w:t>W_DW_23 </w:t>
            </w:r>
          </w:p>
        </w:tc>
        <w:tc>
          <w:tcPr>
            <w:tcW w:w="3865" w:type="dxa"/>
          </w:tcPr>
          <w:p w14:paraId="7B3647CE" w14:textId="2776BAD0" w:rsidR="00E34908" w:rsidRPr="00E34908" w:rsidRDefault="00E34908" w:rsidP="00E34908">
            <w:pPr>
              <w:spacing w:before="40" w:after="40"/>
            </w:pPr>
            <w:r w:rsidRPr="00E34908">
              <w:t>Zabezpieczenie przeciwpowodziowe lewego brzegu rzeki Elbląg - Przebudowa zabezpieczenia przeciwpowodziowego lewego brzegu rzeki Elbląg - Wyspa Spichrzów w Elblągu</w:t>
            </w:r>
          </w:p>
        </w:tc>
        <w:tc>
          <w:tcPr>
            <w:tcW w:w="1749" w:type="dxa"/>
          </w:tcPr>
          <w:p w14:paraId="6C6DA0E5" w14:textId="01CDE4A4" w:rsidR="00E34908" w:rsidRPr="00E34908" w:rsidRDefault="00E34908" w:rsidP="00E34908">
            <w:pPr>
              <w:spacing w:before="40" w:after="40"/>
            </w:pPr>
            <w:r w:rsidRPr="00E34908">
              <w:t>miasto Elbląg</w:t>
            </w:r>
          </w:p>
        </w:tc>
      </w:tr>
      <w:tr w:rsidR="00E34908" w:rsidRPr="00E34908" w14:paraId="53064AA7" w14:textId="77777777" w:rsidTr="00E34908">
        <w:trPr>
          <w:cantSplit/>
          <w:trHeight w:val="600"/>
        </w:trPr>
        <w:tc>
          <w:tcPr>
            <w:tcW w:w="543" w:type="dxa"/>
          </w:tcPr>
          <w:p w14:paraId="7062DA02" w14:textId="77777777" w:rsidR="00E34908" w:rsidRPr="00E34908" w:rsidRDefault="00E34908" w:rsidP="00E34908">
            <w:pPr>
              <w:rPr>
                <w:b/>
                <w:bCs/>
              </w:rPr>
            </w:pPr>
            <w:r w:rsidRPr="00E34908">
              <w:rPr>
                <w:color w:val="000000"/>
              </w:rPr>
              <w:t>20</w:t>
            </w:r>
          </w:p>
        </w:tc>
        <w:tc>
          <w:tcPr>
            <w:tcW w:w="1776" w:type="dxa"/>
          </w:tcPr>
          <w:p w14:paraId="1B526ED2" w14:textId="6B9EA4E2" w:rsidR="00E34908" w:rsidRPr="00E34908" w:rsidRDefault="00E34908" w:rsidP="00E34908">
            <w:pPr>
              <w:spacing w:before="40" w:after="40"/>
            </w:pPr>
            <w:r w:rsidRPr="00E34908">
              <w:t>W_DW_88</w:t>
            </w:r>
          </w:p>
        </w:tc>
        <w:tc>
          <w:tcPr>
            <w:tcW w:w="3865" w:type="dxa"/>
          </w:tcPr>
          <w:p w14:paraId="44723DF0" w14:textId="66A55AE6" w:rsidR="00E34908" w:rsidRPr="00E34908" w:rsidRDefault="00E34908" w:rsidP="00E34908">
            <w:pPr>
              <w:spacing w:before="40" w:after="40"/>
            </w:pPr>
            <w:r w:rsidRPr="00E34908">
              <w:t>Przebudowa stacji pomp Przebrno wraz z kanałem pompowym "A Przebrno", m. Krynica Morska, pow. nowodworski, woj. pomorskie</w:t>
            </w:r>
          </w:p>
        </w:tc>
        <w:tc>
          <w:tcPr>
            <w:tcW w:w="1749" w:type="dxa"/>
          </w:tcPr>
          <w:p w14:paraId="6DBEFD3F" w14:textId="09870999" w:rsidR="00E34908" w:rsidRPr="00E34908" w:rsidRDefault="00E34908" w:rsidP="00E34908">
            <w:pPr>
              <w:spacing w:before="40" w:after="40"/>
            </w:pPr>
            <w:r w:rsidRPr="00E34908">
              <w:t xml:space="preserve">PGW WP </w:t>
            </w:r>
            <w:r w:rsidRPr="00E34908">
              <w:br/>
              <w:t>ZZ w Elblągu</w:t>
            </w:r>
          </w:p>
        </w:tc>
      </w:tr>
      <w:tr w:rsidR="00E34908" w:rsidRPr="00E34908" w14:paraId="3B5F40F1" w14:textId="77777777" w:rsidTr="00E34908">
        <w:trPr>
          <w:cantSplit/>
          <w:trHeight w:val="600"/>
        </w:trPr>
        <w:tc>
          <w:tcPr>
            <w:tcW w:w="543" w:type="dxa"/>
          </w:tcPr>
          <w:p w14:paraId="336AD0BF" w14:textId="77777777" w:rsidR="00E34908" w:rsidRPr="00E34908" w:rsidRDefault="00E34908" w:rsidP="00E34908">
            <w:pPr>
              <w:rPr>
                <w:b/>
                <w:bCs/>
              </w:rPr>
            </w:pPr>
            <w:r w:rsidRPr="00E34908">
              <w:rPr>
                <w:color w:val="000000"/>
              </w:rPr>
              <w:lastRenderedPageBreak/>
              <w:t>21</w:t>
            </w:r>
          </w:p>
        </w:tc>
        <w:tc>
          <w:tcPr>
            <w:tcW w:w="1776" w:type="dxa"/>
          </w:tcPr>
          <w:p w14:paraId="23D6EE54" w14:textId="52EB679D" w:rsidR="00E34908" w:rsidRPr="00E34908" w:rsidRDefault="00E34908" w:rsidP="00E34908">
            <w:pPr>
              <w:spacing w:before="40" w:after="40"/>
            </w:pPr>
            <w:r w:rsidRPr="00E34908">
              <w:t>W_DW_2650</w:t>
            </w:r>
          </w:p>
        </w:tc>
        <w:tc>
          <w:tcPr>
            <w:tcW w:w="3865" w:type="dxa"/>
          </w:tcPr>
          <w:p w14:paraId="0781D62D" w14:textId="1BCC2A54" w:rsidR="00E34908" w:rsidRPr="00E34908" w:rsidRDefault="00E34908" w:rsidP="00E34908">
            <w:pPr>
              <w:spacing w:before="40" w:after="40"/>
            </w:pPr>
            <w:r w:rsidRPr="00E34908">
              <w:t>Zabezpieczenie przeciwpowodziowe prawego brzegu rzeki Elbląg pomiędzy mostem w ul. Mostowej a mostem w Al. Tysiąclecia, tj. obszar Starego Miasta w Elblągu na wysokości Bulwaru Zygmunta Augusta</w:t>
            </w:r>
          </w:p>
        </w:tc>
        <w:tc>
          <w:tcPr>
            <w:tcW w:w="1749" w:type="dxa"/>
          </w:tcPr>
          <w:p w14:paraId="1B021EAB" w14:textId="257D5485" w:rsidR="00E34908" w:rsidRPr="00E34908" w:rsidRDefault="00E34908" w:rsidP="00E34908">
            <w:pPr>
              <w:spacing w:before="40" w:after="40"/>
            </w:pPr>
            <w:r w:rsidRPr="00E34908">
              <w:t>Miasto Elbląg</w:t>
            </w:r>
          </w:p>
        </w:tc>
      </w:tr>
      <w:tr w:rsidR="00E34908" w:rsidRPr="00E34908" w14:paraId="78FA0038" w14:textId="77777777" w:rsidTr="00E34908">
        <w:trPr>
          <w:cantSplit/>
          <w:trHeight w:val="600"/>
        </w:trPr>
        <w:tc>
          <w:tcPr>
            <w:tcW w:w="543" w:type="dxa"/>
          </w:tcPr>
          <w:p w14:paraId="504B2794" w14:textId="77777777" w:rsidR="00E34908" w:rsidRPr="00E34908" w:rsidRDefault="00E34908" w:rsidP="00E34908">
            <w:pPr>
              <w:rPr>
                <w:b/>
                <w:bCs/>
              </w:rPr>
            </w:pPr>
            <w:r w:rsidRPr="00E34908">
              <w:rPr>
                <w:color w:val="000000"/>
              </w:rPr>
              <w:t>22</w:t>
            </w:r>
          </w:p>
        </w:tc>
        <w:tc>
          <w:tcPr>
            <w:tcW w:w="1776" w:type="dxa"/>
          </w:tcPr>
          <w:p w14:paraId="6E3A4449" w14:textId="17BE2A00" w:rsidR="00E34908" w:rsidRPr="00E34908" w:rsidRDefault="00E34908" w:rsidP="00E34908">
            <w:pPr>
              <w:spacing w:before="40" w:after="40"/>
            </w:pPr>
            <w:r w:rsidRPr="00E34908">
              <w:t>W_MDW_04A</w:t>
            </w:r>
          </w:p>
        </w:tc>
        <w:tc>
          <w:tcPr>
            <w:tcW w:w="3865" w:type="dxa"/>
          </w:tcPr>
          <w:p w14:paraId="4C5A9776" w14:textId="338A905F" w:rsidR="00E34908" w:rsidRPr="00E34908" w:rsidRDefault="00E34908" w:rsidP="00E34908">
            <w:pPr>
              <w:spacing w:before="40" w:after="40"/>
            </w:pPr>
            <w:r w:rsidRPr="00E34908">
              <w:t>Ochrona przeciwpowodziowa realizowana poprzez budowę bulwarów wraz z murkiem ochronnym wzdłuż wybrzeża Zatoki Gdańskiej w Kuźnicy na podstawie dokumentacji koncepcyjno – projektowej ochrony przeciwpowodziowej dla analizowanego obszaru (km 57+500 - 59+400)</w:t>
            </w:r>
          </w:p>
        </w:tc>
        <w:tc>
          <w:tcPr>
            <w:tcW w:w="1749" w:type="dxa"/>
          </w:tcPr>
          <w:p w14:paraId="4A7155EB" w14:textId="715F2284" w:rsidR="00E34908" w:rsidRPr="00E34908" w:rsidRDefault="00E34908" w:rsidP="00E34908">
            <w:pPr>
              <w:spacing w:before="40" w:after="40"/>
            </w:pPr>
            <w:r w:rsidRPr="00E34908">
              <w:t>Urząd Morski w Gdyni</w:t>
            </w:r>
          </w:p>
        </w:tc>
      </w:tr>
      <w:tr w:rsidR="00E34908" w:rsidRPr="00E34908" w14:paraId="275408B5" w14:textId="77777777" w:rsidTr="00E34908">
        <w:trPr>
          <w:cantSplit/>
          <w:trHeight w:val="600"/>
        </w:trPr>
        <w:tc>
          <w:tcPr>
            <w:tcW w:w="543" w:type="dxa"/>
          </w:tcPr>
          <w:p w14:paraId="29E75B1B" w14:textId="77777777" w:rsidR="00E34908" w:rsidRPr="00E34908" w:rsidRDefault="00E34908" w:rsidP="00E34908">
            <w:pPr>
              <w:rPr>
                <w:b/>
                <w:bCs/>
              </w:rPr>
            </w:pPr>
            <w:r w:rsidRPr="00E34908">
              <w:rPr>
                <w:color w:val="000000"/>
              </w:rPr>
              <w:t>23</w:t>
            </w:r>
          </w:p>
        </w:tc>
        <w:tc>
          <w:tcPr>
            <w:tcW w:w="1776" w:type="dxa"/>
          </w:tcPr>
          <w:p w14:paraId="2B9EF0E7" w14:textId="2C4DA802" w:rsidR="00E34908" w:rsidRPr="00E34908" w:rsidRDefault="00E34908" w:rsidP="00E34908">
            <w:pPr>
              <w:spacing w:before="40" w:after="40"/>
            </w:pPr>
            <w:r w:rsidRPr="00E34908">
              <w:t>W_MDW_18</w:t>
            </w:r>
          </w:p>
        </w:tc>
        <w:tc>
          <w:tcPr>
            <w:tcW w:w="3865" w:type="dxa"/>
          </w:tcPr>
          <w:p w14:paraId="0B8C9C72" w14:textId="5694591C" w:rsidR="00E34908" w:rsidRPr="00E34908" w:rsidRDefault="00E34908" w:rsidP="00E34908">
            <w:pPr>
              <w:spacing w:before="40" w:after="40"/>
            </w:pPr>
            <w:r w:rsidRPr="00E34908">
              <w:t>Budowa drogi wodnej łączącej Zalew Wiślany z Zatoką Gdańską. Obejmujący wykonanie toru wodnego na rzece Elbląg dł. 10 km.</w:t>
            </w:r>
          </w:p>
        </w:tc>
        <w:tc>
          <w:tcPr>
            <w:tcW w:w="1749" w:type="dxa"/>
          </w:tcPr>
          <w:p w14:paraId="2C5A82AE" w14:textId="7212634B" w:rsidR="00E34908" w:rsidRPr="00E34908" w:rsidRDefault="00E34908" w:rsidP="00E34908">
            <w:pPr>
              <w:spacing w:before="40" w:after="40"/>
            </w:pPr>
            <w:r w:rsidRPr="00E34908">
              <w:t>Urząd Morski w Gdyni</w:t>
            </w:r>
          </w:p>
        </w:tc>
      </w:tr>
      <w:tr w:rsidR="00E34908" w:rsidRPr="00E34908" w14:paraId="60FFCF14" w14:textId="77777777" w:rsidTr="00E34908">
        <w:trPr>
          <w:cantSplit/>
          <w:trHeight w:val="600"/>
        </w:trPr>
        <w:tc>
          <w:tcPr>
            <w:tcW w:w="543" w:type="dxa"/>
          </w:tcPr>
          <w:p w14:paraId="5DDEC3C5" w14:textId="77777777" w:rsidR="00E34908" w:rsidRPr="00E34908" w:rsidRDefault="00E34908" w:rsidP="00E34908">
            <w:pPr>
              <w:rPr>
                <w:b/>
                <w:bCs/>
              </w:rPr>
            </w:pPr>
            <w:r w:rsidRPr="00E34908">
              <w:rPr>
                <w:color w:val="000000"/>
              </w:rPr>
              <w:t>24</w:t>
            </w:r>
          </w:p>
        </w:tc>
        <w:tc>
          <w:tcPr>
            <w:tcW w:w="1776" w:type="dxa"/>
          </w:tcPr>
          <w:p w14:paraId="4609495D" w14:textId="5E9A48BE" w:rsidR="00E34908" w:rsidRPr="00E34908" w:rsidRDefault="00E34908" w:rsidP="00E34908">
            <w:pPr>
              <w:spacing w:before="40" w:after="40"/>
            </w:pPr>
            <w:r w:rsidRPr="00E34908">
              <w:t>W_MDW_08</w:t>
            </w:r>
          </w:p>
        </w:tc>
        <w:tc>
          <w:tcPr>
            <w:tcW w:w="3865" w:type="dxa"/>
          </w:tcPr>
          <w:p w14:paraId="6D5044BB" w14:textId="06308DB7" w:rsidR="00E34908" w:rsidRPr="00E34908" w:rsidRDefault="00E34908" w:rsidP="00E34908">
            <w:pPr>
              <w:spacing w:before="40" w:after="40"/>
            </w:pPr>
            <w:r w:rsidRPr="00E34908">
              <w:t>Budowa elektronicznego systemu ostrzegania o zagrożeniach powodziowych, w tym elektronicznego systemu pomiaru stanu wód w gm. Frombork.</w:t>
            </w:r>
          </w:p>
        </w:tc>
        <w:tc>
          <w:tcPr>
            <w:tcW w:w="1749" w:type="dxa"/>
          </w:tcPr>
          <w:p w14:paraId="3B69B2DE" w14:textId="08E07B3A" w:rsidR="00E34908" w:rsidRPr="00E34908" w:rsidRDefault="00E34908" w:rsidP="00E34908">
            <w:pPr>
              <w:spacing w:before="40" w:after="40"/>
            </w:pPr>
            <w:r w:rsidRPr="00E34908">
              <w:t>Gmina Frombork</w:t>
            </w:r>
          </w:p>
        </w:tc>
      </w:tr>
      <w:tr w:rsidR="00E34908" w:rsidRPr="00E34908" w14:paraId="66815C7E" w14:textId="77777777" w:rsidTr="00E34908">
        <w:trPr>
          <w:cantSplit/>
          <w:trHeight w:val="600"/>
        </w:trPr>
        <w:tc>
          <w:tcPr>
            <w:tcW w:w="543" w:type="dxa"/>
          </w:tcPr>
          <w:p w14:paraId="50B829B3" w14:textId="77777777" w:rsidR="00E34908" w:rsidRPr="00E34908" w:rsidRDefault="00E34908" w:rsidP="00E34908">
            <w:pPr>
              <w:rPr>
                <w:b/>
                <w:bCs/>
              </w:rPr>
            </w:pPr>
            <w:r w:rsidRPr="00E34908">
              <w:rPr>
                <w:color w:val="000000"/>
              </w:rPr>
              <w:t>25</w:t>
            </w:r>
          </w:p>
        </w:tc>
        <w:tc>
          <w:tcPr>
            <w:tcW w:w="1776" w:type="dxa"/>
          </w:tcPr>
          <w:p w14:paraId="4424A666" w14:textId="523ADBD5" w:rsidR="00E34908" w:rsidRPr="00E34908" w:rsidRDefault="00E34908" w:rsidP="00E34908">
            <w:pPr>
              <w:spacing w:before="40" w:after="40"/>
            </w:pPr>
            <w:r w:rsidRPr="00E34908">
              <w:t>W_AR_150</w:t>
            </w:r>
          </w:p>
        </w:tc>
        <w:tc>
          <w:tcPr>
            <w:tcW w:w="3865" w:type="dxa"/>
          </w:tcPr>
          <w:p w14:paraId="4D105FE2" w14:textId="0BA095CF" w:rsidR="00E34908" w:rsidRPr="00E34908" w:rsidRDefault="00E34908" w:rsidP="00E34908">
            <w:pPr>
              <w:spacing w:before="40" w:after="40"/>
            </w:pPr>
            <w:r w:rsidRPr="00E34908">
              <w:t>Budowa muru oporowego wzdłuż rzeki Łupawy w m. Rowy</w:t>
            </w:r>
          </w:p>
        </w:tc>
        <w:tc>
          <w:tcPr>
            <w:tcW w:w="1749" w:type="dxa"/>
          </w:tcPr>
          <w:p w14:paraId="083B5039" w14:textId="14FFE85B" w:rsidR="00E34908" w:rsidRPr="00E34908" w:rsidRDefault="00E34908" w:rsidP="00E34908">
            <w:pPr>
              <w:spacing w:before="40" w:after="40"/>
            </w:pPr>
            <w:r w:rsidRPr="00E34908">
              <w:t xml:space="preserve">PGW WP </w:t>
            </w:r>
            <w:r w:rsidRPr="00E34908">
              <w:br/>
              <w:t>RZGW Gdańsk</w:t>
            </w:r>
          </w:p>
        </w:tc>
      </w:tr>
      <w:tr w:rsidR="00E34908" w:rsidRPr="00E34908" w14:paraId="4FB9C5CC" w14:textId="77777777" w:rsidTr="00E34908">
        <w:trPr>
          <w:cantSplit/>
          <w:trHeight w:val="600"/>
        </w:trPr>
        <w:tc>
          <w:tcPr>
            <w:tcW w:w="543" w:type="dxa"/>
          </w:tcPr>
          <w:p w14:paraId="0BC63A0C" w14:textId="77777777" w:rsidR="00E34908" w:rsidRPr="00E34908" w:rsidRDefault="00E34908" w:rsidP="00E34908">
            <w:pPr>
              <w:rPr>
                <w:b/>
                <w:bCs/>
              </w:rPr>
            </w:pPr>
            <w:r w:rsidRPr="00E34908">
              <w:rPr>
                <w:color w:val="000000"/>
              </w:rPr>
              <w:t>26</w:t>
            </w:r>
          </w:p>
        </w:tc>
        <w:tc>
          <w:tcPr>
            <w:tcW w:w="1776" w:type="dxa"/>
          </w:tcPr>
          <w:p w14:paraId="4EADA3E4" w14:textId="50EA5978" w:rsidR="00E34908" w:rsidRPr="00E34908" w:rsidRDefault="00E34908" w:rsidP="00E34908">
            <w:pPr>
              <w:spacing w:before="40" w:after="40"/>
            </w:pPr>
            <w:r w:rsidRPr="00E34908">
              <w:t>W_AR_80</w:t>
            </w:r>
          </w:p>
        </w:tc>
        <w:tc>
          <w:tcPr>
            <w:tcW w:w="3865" w:type="dxa"/>
          </w:tcPr>
          <w:p w14:paraId="7675513E" w14:textId="7B3C3AA6" w:rsidR="00E34908" w:rsidRPr="00E34908" w:rsidRDefault="00E34908" w:rsidP="00E34908">
            <w:pPr>
              <w:spacing w:before="40" w:after="40"/>
            </w:pPr>
            <w:r w:rsidRPr="00E34908">
              <w:t xml:space="preserve">Ochrona przeciwpowodziowa miejscowości Jastarnia przy pomocy wykonania umocnień brzegowych w postaci opasek przeciwerozyjnych, o długości 210 m, umocnionego wału wydmowego o długości 1725 m, murka oporowego o długości 3505 m, mobilnego systemu zabezpieczeń o długości 788 m i wału przeciwsztormowego o długości 398 m. </w:t>
            </w:r>
          </w:p>
        </w:tc>
        <w:tc>
          <w:tcPr>
            <w:tcW w:w="1749" w:type="dxa"/>
          </w:tcPr>
          <w:p w14:paraId="0DBABB8D" w14:textId="614C8CB0" w:rsidR="00E34908" w:rsidRPr="00E34908" w:rsidRDefault="00E34908" w:rsidP="00E34908">
            <w:pPr>
              <w:spacing w:before="40" w:after="40"/>
            </w:pPr>
            <w:r w:rsidRPr="00E34908">
              <w:t>Urząd Morski w Gdyni</w:t>
            </w:r>
          </w:p>
        </w:tc>
      </w:tr>
      <w:tr w:rsidR="00E34908" w:rsidRPr="00E34908" w14:paraId="79E6E719" w14:textId="77777777" w:rsidTr="00E34908">
        <w:trPr>
          <w:cantSplit/>
          <w:trHeight w:val="600"/>
        </w:trPr>
        <w:tc>
          <w:tcPr>
            <w:tcW w:w="543" w:type="dxa"/>
          </w:tcPr>
          <w:p w14:paraId="24E5F814" w14:textId="77777777" w:rsidR="00E34908" w:rsidRPr="00E34908" w:rsidRDefault="00E34908" w:rsidP="00E34908">
            <w:pPr>
              <w:rPr>
                <w:b/>
                <w:bCs/>
              </w:rPr>
            </w:pPr>
            <w:r w:rsidRPr="00E34908">
              <w:rPr>
                <w:color w:val="000000"/>
              </w:rPr>
              <w:t>27</w:t>
            </w:r>
          </w:p>
        </w:tc>
        <w:tc>
          <w:tcPr>
            <w:tcW w:w="1776" w:type="dxa"/>
          </w:tcPr>
          <w:p w14:paraId="256AF05B" w14:textId="1569808C" w:rsidR="00E34908" w:rsidRPr="00E34908" w:rsidRDefault="00E34908" w:rsidP="00E34908">
            <w:pPr>
              <w:spacing w:before="40" w:after="40"/>
            </w:pPr>
            <w:r w:rsidRPr="00E34908">
              <w:t>W_AR_20</w:t>
            </w:r>
          </w:p>
        </w:tc>
        <w:tc>
          <w:tcPr>
            <w:tcW w:w="3865" w:type="dxa"/>
          </w:tcPr>
          <w:p w14:paraId="1293ABC7" w14:textId="2A2EC307" w:rsidR="00E34908" w:rsidRPr="00E34908" w:rsidRDefault="00E34908" w:rsidP="00E34908">
            <w:pPr>
              <w:spacing w:before="40" w:after="40"/>
            </w:pPr>
            <w:r w:rsidRPr="00E34908">
              <w:t>Ochrona przeciwpowodziowa polegająca na przedłużeniu wału w m. Chałupy wraz z wyniesieniem rzędnej drogi DW216 ponad poziom wody powodziowej w sąsiedztwie podniesionego wału.</w:t>
            </w:r>
          </w:p>
        </w:tc>
        <w:tc>
          <w:tcPr>
            <w:tcW w:w="1749" w:type="dxa"/>
          </w:tcPr>
          <w:p w14:paraId="4631A72B" w14:textId="29B4C9AE" w:rsidR="00E34908" w:rsidRPr="00E34908" w:rsidRDefault="00E34908" w:rsidP="00E34908">
            <w:pPr>
              <w:spacing w:before="40" w:after="40"/>
            </w:pPr>
            <w:r w:rsidRPr="00E34908">
              <w:t>Urząd Morski w Gdyni</w:t>
            </w:r>
          </w:p>
        </w:tc>
      </w:tr>
      <w:tr w:rsidR="00E34908" w:rsidRPr="00E34908" w14:paraId="58C984A1" w14:textId="77777777" w:rsidTr="00E34908">
        <w:trPr>
          <w:cantSplit/>
          <w:trHeight w:val="600"/>
        </w:trPr>
        <w:tc>
          <w:tcPr>
            <w:tcW w:w="543" w:type="dxa"/>
          </w:tcPr>
          <w:p w14:paraId="2A3C990D" w14:textId="77777777" w:rsidR="00E34908" w:rsidRPr="00E34908" w:rsidRDefault="00E34908" w:rsidP="00E34908">
            <w:pPr>
              <w:rPr>
                <w:b/>
                <w:bCs/>
              </w:rPr>
            </w:pPr>
            <w:r w:rsidRPr="00E34908">
              <w:rPr>
                <w:color w:val="000000"/>
              </w:rPr>
              <w:lastRenderedPageBreak/>
              <w:t>28</w:t>
            </w:r>
          </w:p>
        </w:tc>
        <w:tc>
          <w:tcPr>
            <w:tcW w:w="1776" w:type="dxa"/>
          </w:tcPr>
          <w:p w14:paraId="71C86202" w14:textId="1DBB6FA7" w:rsidR="00E34908" w:rsidRPr="00E34908" w:rsidRDefault="00E34908" w:rsidP="00E34908">
            <w:pPr>
              <w:spacing w:before="40" w:after="40"/>
            </w:pPr>
            <w:r w:rsidRPr="00E34908">
              <w:t>W_AR_12</w:t>
            </w:r>
          </w:p>
        </w:tc>
        <w:tc>
          <w:tcPr>
            <w:tcW w:w="3865" w:type="dxa"/>
          </w:tcPr>
          <w:p w14:paraId="2F64E236" w14:textId="1BB0F3EB" w:rsidR="00E34908" w:rsidRPr="00E34908" w:rsidRDefault="00E34908" w:rsidP="00E34908">
            <w:pPr>
              <w:spacing w:before="40" w:after="40"/>
            </w:pPr>
            <w:r w:rsidRPr="00E34908">
              <w:t xml:space="preserve">Ochrona przeciwpowodziowa miejscowości Nowa Karczma przy pomocy systemu mobilnych przegród przeciwpowodziowych o długości ok. 540m wraz z rozwojem lokalnego systemu ostrzegania przed powodziami i prognozowania zagrożeń na terenie gminy Nowa Karczma. </w:t>
            </w:r>
          </w:p>
        </w:tc>
        <w:tc>
          <w:tcPr>
            <w:tcW w:w="1749" w:type="dxa"/>
          </w:tcPr>
          <w:p w14:paraId="4C46F248" w14:textId="69D23B45" w:rsidR="00E34908" w:rsidRPr="00E34908" w:rsidRDefault="00E34908" w:rsidP="00E34908">
            <w:pPr>
              <w:spacing w:before="40" w:after="40"/>
            </w:pPr>
            <w:r w:rsidRPr="00E34908">
              <w:t>Urząd Morski w Gdyni / Gmina Krynica Morska</w:t>
            </w:r>
          </w:p>
        </w:tc>
      </w:tr>
      <w:tr w:rsidR="00E34908" w:rsidRPr="00E34908" w14:paraId="7CA1E2A4" w14:textId="77777777" w:rsidTr="00E34908">
        <w:trPr>
          <w:cantSplit/>
          <w:trHeight w:val="600"/>
        </w:trPr>
        <w:tc>
          <w:tcPr>
            <w:tcW w:w="543" w:type="dxa"/>
          </w:tcPr>
          <w:p w14:paraId="45F1F179" w14:textId="77777777" w:rsidR="00E34908" w:rsidRPr="00E34908" w:rsidRDefault="00E34908" w:rsidP="00E34908">
            <w:pPr>
              <w:rPr>
                <w:b/>
                <w:bCs/>
              </w:rPr>
            </w:pPr>
            <w:r w:rsidRPr="00E34908">
              <w:rPr>
                <w:color w:val="000000"/>
              </w:rPr>
              <w:t>29</w:t>
            </w:r>
          </w:p>
        </w:tc>
        <w:tc>
          <w:tcPr>
            <w:tcW w:w="1776" w:type="dxa"/>
          </w:tcPr>
          <w:p w14:paraId="6DC998C1" w14:textId="4795B8C5" w:rsidR="00E34908" w:rsidRPr="00E34908" w:rsidRDefault="00E34908" w:rsidP="00E34908">
            <w:pPr>
              <w:spacing w:before="40" w:after="40"/>
            </w:pPr>
            <w:r w:rsidRPr="00E34908">
              <w:t>W_AR_19</w:t>
            </w:r>
          </w:p>
        </w:tc>
        <w:tc>
          <w:tcPr>
            <w:tcW w:w="3865" w:type="dxa"/>
          </w:tcPr>
          <w:p w14:paraId="69F6103C" w14:textId="496D9D8A" w:rsidR="00E34908" w:rsidRPr="00E34908" w:rsidRDefault="00E34908" w:rsidP="00E34908">
            <w:pPr>
              <w:spacing w:before="40" w:after="40"/>
            </w:pPr>
            <w:r w:rsidRPr="00E34908">
              <w:t>Budowa muru oporowego (ok. 160m) wokół oczyszczalni ścieków w m. Frombork</w:t>
            </w:r>
          </w:p>
        </w:tc>
        <w:tc>
          <w:tcPr>
            <w:tcW w:w="1749" w:type="dxa"/>
          </w:tcPr>
          <w:p w14:paraId="1FD9ABD6" w14:textId="35DF677F" w:rsidR="00E34908" w:rsidRPr="00E34908" w:rsidRDefault="00E34908" w:rsidP="00E34908">
            <w:pPr>
              <w:spacing w:before="40" w:after="40"/>
            </w:pPr>
            <w:r w:rsidRPr="00E34908">
              <w:t>Urząd Miasta Frombork</w:t>
            </w:r>
          </w:p>
        </w:tc>
      </w:tr>
      <w:tr w:rsidR="00E34908" w:rsidRPr="00E34908" w14:paraId="0BCE3005" w14:textId="77777777" w:rsidTr="00E34908">
        <w:trPr>
          <w:cantSplit/>
          <w:trHeight w:val="600"/>
        </w:trPr>
        <w:tc>
          <w:tcPr>
            <w:tcW w:w="543" w:type="dxa"/>
          </w:tcPr>
          <w:p w14:paraId="6980ACBB" w14:textId="77777777" w:rsidR="00E34908" w:rsidRPr="00E34908" w:rsidRDefault="00E34908" w:rsidP="00E34908">
            <w:pPr>
              <w:rPr>
                <w:b/>
                <w:bCs/>
              </w:rPr>
            </w:pPr>
            <w:r w:rsidRPr="00E34908">
              <w:rPr>
                <w:color w:val="000000"/>
              </w:rPr>
              <w:t>30</w:t>
            </w:r>
          </w:p>
        </w:tc>
        <w:tc>
          <w:tcPr>
            <w:tcW w:w="1776" w:type="dxa"/>
          </w:tcPr>
          <w:p w14:paraId="086F6538" w14:textId="26D97857" w:rsidR="00E34908" w:rsidRPr="00E34908" w:rsidRDefault="00E34908" w:rsidP="00E34908">
            <w:pPr>
              <w:spacing w:before="40" w:after="40"/>
            </w:pPr>
            <w:r w:rsidRPr="00E34908">
              <w:t>W_AR_01</w:t>
            </w:r>
          </w:p>
        </w:tc>
        <w:tc>
          <w:tcPr>
            <w:tcW w:w="3865" w:type="dxa"/>
          </w:tcPr>
          <w:p w14:paraId="348ABC4F" w14:textId="5CA38EBB" w:rsidR="00E34908" w:rsidRPr="00E34908" w:rsidRDefault="00E34908" w:rsidP="00E34908">
            <w:pPr>
              <w:spacing w:before="40" w:after="40"/>
            </w:pPr>
            <w:r w:rsidRPr="00E34908">
              <w:t xml:space="preserve">Budowa wału przeciwpowodziowego na lewym brzegu rzeki Słupia (km 1+170 - 1+640) </w:t>
            </w:r>
          </w:p>
        </w:tc>
        <w:tc>
          <w:tcPr>
            <w:tcW w:w="1749" w:type="dxa"/>
          </w:tcPr>
          <w:p w14:paraId="4966E78F" w14:textId="42ABE681" w:rsidR="00E34908" w:rsidRPr="00E34908" w:rsidRDefault="00E34908" w:rsidP="00E34908">
            <w:pPr>
              <w:spacing w:before="40" w:after="40"/>
            </w:pPr>
            <w:r w:rsidRPr="00E34908">
              <w:t>RZGW Gdańsk</w:t>
            </w:r>
          </w:p>
        </w:tc>
      </w:tr>
      <w:tr w:rsidR="00E34908" w:rsidRPr="00E34908" w14:paraId="131CCEF1" w14:textId="77777777" w:rsidTr="00E34908">
        <w:trPr>
          <w:cantSplit/>
          <w:trHeight w:val="600"/>
        </w:trPr>
        <w:tc>
          <w:tcPr>
            <w:tcW w:w="543" w:type="dxa"/>
          </w:tcPr>
          <w:p w14:paraId="0014E5D8" w14:textId="77777777" w:rsidR="00E34908" w:rsidRPr="00E34908" w:rsidRDefault="00E34908" w:rsidP="00E34908">
            <w:pPr>
              <w:rPr>
                <w:b/>
                <w:bCs/>
              </w:rPr>
            </w:pPr>
            <w:r w:rsidRPr="00E34908">
              <w:rPr>
                <w:color w:val="000000"/>
              </w:rPr>
              <w:t>31</w:t>
            </w:r>
          </w:p>
        </w:tc>
        <w:tc>
          <w:tcPr>
            <w:tcW w:w="1776" w:type="dxa"/>
          </w:tcPr>
          <w:p w14:paraId="3CC24185" w14:textId="78977C03" w:rsidR="00E34908" w:rsidRPr="00E34908" w:rsidRDefault="00E34908" w:rsidP="00E34908">
            <w:pPr>
              <w:spacing w:before="40" w:after="40"/>
            </w:pPr>
            <w:r w:rsidRPr="00E34908">
              <w:t>W_AR_02</w:t>
            </w:r>
          </w:p>
        </w:tc>
        <w:tc>
          <w:tcPr>
            <w:tcW w:w="3865" w:type="dxa"/>
          </w:tcPr>
          <w:p w14:paraId="0358720C" w14:textId="769D7C98" w:rsidR="00E34908" w:rsidRPr="00E34908" w:rsidRDefault="00E34908" w:rsidP="00E34908">
            <w:pPr>
              <w:spacing w:before="40" w:after="40"/>
            </w:pPr>
            <w:r w:rsidRPr="00E34908">
              <w:t>Budowa muru oporowego (ok. 80m) na prawym brzegu rzeki Słupia (km 1+400 - 1+460), m. Ustka, pow. Słupski</w:t>
            </w:r>
          </w:p>
        </w:tc>
        <w:tc>
          <w:tcPr>
            <w:tcW w:w="1749" w:type="dxa"/>
          </w:tcPr>
          <w:p w14:paraId="731BF898" w14:textId="19D3A728" w:rsidR="00E34908" w:rsidRPr="00E34908" w:rsidRDefault="00E34908" w:rsidP="00E34908">
            <w:pPr>
              <w:spacing w:before="40" w:after="40"/>
            </w:pPr>
            <w:r w:rsidRPr="00E34908">
              <w:t>RZGW Gdańsk</w:t>
            </w:r>
          </w:p>
        </w:tc>
      </w:tr>
      <w:tr w:rsidR="00E34908" w:rsidRPr="00E34908" w14:paraId="595173F1" w14:textId="77777777" w:rsidTr="00E34908">
        <w:trPr>
          <w:cantSplit/>
          <w:trHeight w:val="600"/>
        </w:trPr>
        <w:tc>
          <w:tcPr>
            <w:tcW w:w="543" w:type="dxa"/>
          </w:tcPr>
          <w:p w14:paraId="533BA06F" w14:textId="77777777" w:rsidR="00E34908" w:rsidRPr="00E34908" w:rsidRDefault="00E34908" w:rsidP="00E34908">
            <w:pPr>
              <w:rPr>
                <w:b/>
                <w:bCs/>
              </w:rPr>
            </w:pPr>
            <w:r w:rsidRPr="00E34908">
              <w:rPr>
                <w:color w:val="000000"/>
              </w:rPr>
              <w:t>32</w:t>
            </w:r>
          </w:p>
        </w:tc>
        <w:tc>
          <w:tcPr>
            <w:tcW w:w="1776" w:type="dxa"/>
          </w:tcPr>
          <w:p w14:paraId="31869499" w14:textId="30B90954" w:rsidR="00E34908" w:rsidRPr="00E34908" w:rsidRDefault="00E34908" w:rsidP="00E34908">
            <w:pPr>
              <w:spacing w:before="40" w:after="40"/>
            </w:pPr>
            <w:r w:rsidRPr="00E34908">
              <w:t>W_AR_04</w:t>
            </w:r>
          </w:p>
        </w:tc>
        <w:tc>
          <w:tcPr>
            <w:tcW w:w="3865" w:type="dxa"/>
          </w:tcPr>
          <w:p w14:paraId="12FF75FF" w14:textId="4EDF4A7A" w:rsidR="00E34908" w:rsidRPr="00E34908" w:rsidRDefault="00E34908" w:rsidP="00E34908">
            <w:pPr>
              <w:spacing w:before="40" w:after="40"/>
            </w:pPr>
            <w:r w:rsidRPr="00E34908">
              <w:t xml:space="preserve">Ochrona przeciwpowodziowa miejscowości Łeba przy pomocy systemu mobilnych przegród przeciwpowodziowych wzdłuż ulicy Turystycznej, o długości ok. 440m wraz z rozwojem lokalnego systemu ostrzegania przed powodziami i prognozowania zagrożeń na terenie gminy Łeba, pow. lęborski. </w:t>
            </w:r>
          </w:p>
        </w:tc>
        <w:tc>
          <w:tcPr>
            <w:tcW w:w="1749" w:type="dxa"/>
          </w:tcPr>
          <w:p w14:paraId="6D5E64E4" w14:textId="5E32140E" w:rsidR="00E34908" w:rsidRPr="00E34908" w:rsidRDefault="00E34908" w:rsidP="00E34908">
            <w:pPr>
              <w:spacing w:before="40" w:after="40"/>
            </w:pPr>
            <w:r w:rsidRPr="00E34908">
              <w:t>RZGW Gdańsk</w:t>
            </w:r>
          </w:p>
        </w:tc>
      </w:tr>
      <w:tr w:rsidR="00E34908" w:rsidRPr="00E34908" w14:paraId="720A98A0" w14:textId="77777777" w:rsidTr="00E34908">
        <w:trPr>
          <w:cantSplit/>
          <w:trHeight w:val="600"/>
        </w:trPr>
        <w:tc>
          <w:tcPr>
            <w:tcW w:w="543" w:type="dxa"/>
          </w:tcPr>
          <w:p w14:paraId="24D9BACC" w14:textId="77777777" w:rsidR="00E34908" w:rsidRPr="00E34908" w:rsidRDefault="00E34908" w:rsidP="00E34908">
            <w:pPr>
              <w:rPr>
                <w:b/>
                <w:bCs/>
              </w:rPr>
            </w:pPr>
            <w:r w:rsidRPr="00E34908">
              <w:rPr>
                <w:color w:val="000000"/>
              </w:rPr>
              <w:t>33</w:t>
            </w:r>
          </w:p>
        </w:tc>
        <w:tc>
          <w:tcPr>
            <w:tcW w:w="1776" w:type="dxa"/>
          </w:tcPr>
          <w:p w14:paraId="4FDFDA35" w14:textId="15132005" w:rsidR="00E34908" w:rsidRPr="00E34908" w:rsidRDefault="00E34908" w:rsidP="00E34908">
            <w:pPr>
              <w:spacing w:before="40" w:after="40"/>
            </w:pPr>
            <w:r w:rsidRPr="00E34908">
              <w:t>W_AR_90</w:t>
            </w:r>
          </w:p>
        </w:tc>
        <w:tc>
          <w:tcPr>
            <w:tcW w:w="3865" w:type="dxa"/>
          </w:tcPr>
          <w:p w14:paraId="59C302A3" w14:textId="7C686B1C" w:rsidR="00E34908" w:rsidRPr="00E34908" w:rsidRDefault="00E34908" w:rsidP="00E34908">
            <w:pPr>
              <w:spacing w:before="40" w:after="40"/>
            </w:pPr>
            <w:r w:rsidRPr="00E34908">
              <w:t>Budowa nabrzeża wraz z mobilnymi przegrodami przeciwpowodziowymi oraz podwyższenie fragmentu istniejącego muru oporoweg oraz rozwój lokalnego systemu ostrzegania przed powodziami i prognozowania zagrożeń na terenie gmin Kosakowo i Puck pow. pucki.</w:t>
            </w:r>
          </w:p>
        </w:tc>
        <w:tc>
          <w:tcPr>
            <w:tcW w:w="1749" w:type="dxa"/>
          </w:tcPr>
          <w:p w14:paraId="294909D2" w14:textId="0396FD24" w:rsidR="00E34908" w:rsidRPr="00E34908" w:rsidRDefault="00E34908" w:rsidP="00E34908">
            <w:pPr>
              <w:spacing w:before="40" w:after="40"/>
            </w:pPr>
            <w:r w:rsidRPr="00E34908">
              <w:t>RZGW Gdańsk, powiat Pucki</w:t>
            </w:r>
          </w:p>
        </w:tc>
      </w:tr>
      <w:tr w:rsidR="00E34908" w:rsidRPr="00E34908" w14:paraId="0029F518" w14:textId="77777777" w:rsidTr="00E34908">
        <w:trPr>
          <w:cantSplit/>
          <w:trHeight w:val="600"/>
        </w:trPr>
        <w:tc>
          <w:tcPr>
            <w:tcW w:w="543" w:type="dxa"/>
          </w:tcPr>
          <w:p w14:paraId="1B8E1C13" w14:textId="77777777" w:rsidR="00E34908" w:rsidRPr="00E34908" w:rsidRDefault="00E34908" w:rsidP="00E34908">
            <w:pPr>
              <w:rPr>
                <w:b/>
                <w:bCs/>
              </w:rPr>
            </w:pPr>
            <w:r w:rsidRPr="00E34908">
              <w:rPr>
                <w:color w:val="000000"/>
              </w:rPr>
              <w:lastRenderedPageBreak/>
              <w:t>34</w:t>
            </w:r>
          </w:p>
        </w:tc>
        <w:tc>
          <w:tcPr>
            <w:tcW w:w="1776" w:type="dxa"/>
          </w:tcPr>
          <w:p w14:paraId="35D7D8C0" w14:textId="147CE72F" w:rsidR="00E34908" w:rsidRPr="00E34908" w:rsidRDefault="00E34908" w:rsidP="00E34908">
            <w:pPr>
              <w:spacing w:before="40" w:after="40"/>
            </w:pPr>
            <w:r w:rsidRPr="00E34908">
              <w:t>W_AR_77</w:t>
            </w:r>
          </w:p>
        </w:tc>
        <w:tc>
          <w:tcPr>
            <w:tcW w:w="3865" w:type="dxa"/>
          </w:tcPr>
          <w:p w14:paraId="34A2FB0B" w14:textId="068B6779" w:rsidR="00E34908" w:rsidRPr="00E34908" w:rsidRDefault="00E34908" w:rsidP="00E34908">
            <w:pPr>
              <w:spacing w:before="40" w:after="40"/>
            </w:pPr>
            <w:r w:rsidRPr="00E34908">
              <w:t>Kampania w telewizji lokalnej na rzecz uświadomienia zagrożeń powodziowych i przeciwdziałania im na poziomie działań indywidualnych.</w:t>
            </w:r>
          </w:p>
        </w:tc>
        <w:tc>
          <w:tcPr>
            <w:tcW w:w="1749" w:type="dxa"/>
          </w:tcPr>
          <w:p w14:paraId="6B859ECC" w14:textId="19274DC9" w:rsidR="00E34908" w:rsidRPr="00E34908" w:rsidRDefault="00304E3A" w:rsidP="00E34908">
            <w:pPr>
              <w:spacing w:before="40" w:after="40"/>
            </w:pPr>
            <w:r w:rsidRPr="00304E3A">
              <w:t>Pomorski Urząd Wojewódzki w Gdańsku / Warmińsko-Mazurski Urząd Wojewódzki w Olsztynie</w:t>
            </w:r>
            <w:r w:rsidRPr="00E34908">
              <w:t xml:space="preserve"> </w:t>
            </w:r>
            <w:r>
              <w:t xml:space="preserve">(przy współpracy z </w:t>
            </w:r>
            <w:r w:rsidR="00E34908" w:rsidRPr="00E34908">
              <w:t>RZGW Gdańsk / Urząd Morski w Gdyni</w:t>
            </w:r>
            <w:r>
              <w:t>)</w:t>
            </w:r>
          </w:p>
        </w:tc>
      </w:tr>
      <w:tr w:rsidR="00E34908" w:rsidRPr="00E34908" w14:paraId="7893C518" w14:textId="77777777" w:rsidTr="00E34908">
        <w:trPr>
          <w:cantSplit/>
          <w:trHeight w:val="600"/>
        </w:trPr>
        <w:tc>
          <w:tcPr>
            <w:tcW w:w="543" w:type="dxa"/>
          </w:tcPr>
          <w:p w14:paraId="64AC4C4B" w14:textId="77777777" w:rsidR="00E34908" w:rsidRPr="00E34908" w:rsidRDefault="00E34908" w:rsidP="00E34908">
            <w:pPr>
              <w:rPr>
                <w:b/>
                <w:bCs/>
              </w:rPr>
            </w:pPr>
            <w:r w:rsidRPr="00E34908">
              <w:rPr>
                <w:color w:val="000000"/>
              </w:rPr>
              <w:t>35</w:t>
            </w:r>
          </w:p>
        </w:tc>
        <w:tc>
          <w:tcPr>
            <w:tcW w:w="1776" w:type="dxa"/>
          </w:tcPr>
          <w:p w14:paraId="40F7CA64" w14:textId="726A7D1A" w:rsidR="00E34908" w:rsidRPr="00E34908" w:rsidRDefault="00E34908" w:rsidP="00E34908">
            <w:pPr>
              <w:spacing w:before="40" w:after="40"/>
            </w:pPr>
            <w:r w:rsidRPr="00E34908">
              <w:t>W_DW_106</w:t>
            </w:r>
          </w:p>
        </w:tc>
        <w:tc>
          <w:tcPr>
            <w:tcW w:w="3865" w:type="dxa"/>
          </w:tcPr>
          <w:p w14:paraId="7D1C2AD4" w14:textId="2906A9CF" w:rsidR="00E34908" w:rsidRPr="00E34908" w:rsidRDefault="00E34908" w:rsidP="00E34908">
            <w:pPr>
              <w:spacing w:before="40" w:after="40"/>
            </w:pPr>
            <w:r w:rsidRPr="00E34908">
              <w:t>Przebudowa wałów rzeki Tyna Górna L 1+500÷1+975 P 0+000÷3+500, gm. Gronowo Elbląskie i gm. Elbląg</w:t>
            </w:r>
          </w:p>
        </w:tc>
        <w:tc>
          <w:tcPr>
            <w:tcW w:w="1749" w:type="dxa"/>
          </w:tcPr>
          <w:p w14:paraId="3CA3F250" w14:textId="73BA970A" w:rsidR="00E34908" w:rsidRPr="00E34908" w:rsidRDefault="00E34908" w:rsidP="00E34908">
            <w:pPr>
              <w:spacing w:before="40" w:after="40"/>
            </w:pPr>
            <w:r w:rsidRPr="00E34908">
              <w:t xml:space="preserve">PGW WP </w:t>
            </w:r>
            <w:r w:rsidRPr="00E34908">
              <w:br/>
              <w:t>ZZ w Elblągu</w:t>
            </w:r>
          </w:p>
        </w:tc>
      </w:tr>
      <w:tr w:rsidR="00E34908" w:rsidRPr="00E34908" w14:paraId="13976888" w14:textId="77777777" w:rsidTr="00E34908">
        <w:trPr>
          <w:cantSplit/>
          <w:trHeight w:val="600"/>
        </w:trPr>
        <w:tc>
          <w:tcPr>
            <w:tcW w:w="543" w:type="dxa"/>
          </w:tcPr>
          <w:p w14:paraId="6FEE0637" w14:textId="74A35E18" w:rsidR="00E34908" w:rsidRPr="00E34908" w:rsidRDefault="00E34908" w:rsidP="00E34908">
            <w:pPr>
              <w:rPr>
                <w:color w:val="000000"/>
              </w:rPr>
            </w:pPr>
            <w:r w:rsidRPr="00E34908">
              <w:rPr>
                <w:color w:val="000000"/>
              </w:rPr>
              <w:t>36</w:t>
            </w:r>
          </w:p>
        </w:tc>
        <w:tc>
          <w:tcPr>
            <w:tcW w:w="1776" w:type="dxa"/>
          </w:tcPr>
          <w:p w14:paraId="197159C1" w14:textId="7FAD3A72" w:rsidR="00E34908" w:rsidRPr="00E34908" w:rsidRDefault="00E34908" w:rsidP="00E34908">
            <w:pPr>
              <w:spacing w:before="40" w:after="40"/>
              <w:rPr>
                <w:color w:val="000000"/>
              </w:rPr>
            </w:pPr>
            <w:r w:rsidRPr="00E34908">
              <w:t>W_DW_103</w:t>
            </w:r>
          </w:p>
        </w:tc>
        <w:tc>
          <w:tcPr>
            <w:tcW w:w="3865" w:type="dxa"/>
          </w:tcPr>
          <w:p w14:paraId="2C8CF8A3" w14:textId="33A815DC" w:rsidR="00E34908" w:rsidRPr="00E34908" w:rsidRDefault="00E34908" w:rsidP="00E34908">
            <w:pPr>
              <w:spacing w:before="40" w:after="40"/>
              <w:rPr>
                <w:color w:val="000000"/>
              </w:rPr>
            </w:pPr>
            <w:r w:rsidRPr="00E34908">
              <w:t>Przebudowa wałów rz. Balewki L 0+000÷6+100 P 0+000÷9+750, gm. Markusy</w:t>
            </w:r>
          </w:p>
        </w:tc>
        <w:tc>
          <w:tcPr>
            <w:tcW w:w="1749" w:type="dxa"/>
          </w:tcPr>
          <w:p w14:paraId="372B4F8B" w14:textId="5841506B" w:rsidR="00E34908" w:rsidRPr="00E34908" w:rsidRDefault="00E34908" w:rsidP="00E34908">
            <w:pPr>
              <w:spacing w:before="40" w:after="40"/>
              <w:rPr>
                <w:color w:val="000000"/>
              </w:rPr>
            </w:pPr>
            <w:r w:rsidRPr="00E34908">
              <w:t xml:space="preserve">PGW WP </w:t>
            </w:r>
            <w:r w:rsidRPr="00E34908">
              <w:br/>
              <w:t>ZZ w Elblągu</w:t>
            </w:r>
          </w:p>
        </w:tc>
      </w:tr>
    </w:tbl>
    <w:p w14:paraId="2AE0C336" w14:textId="77777777" w:rsidR="00BA0236" w:rsidRPr="007C28CC" w:rsidRDefault="00BA0236" w:rsidP="00E8074C">
      <w:pPr>
        <w:pStyle w:val="ReportLevel2"/>
        <w:numPr>
          <w:ilvl w:val="1"/>
          <w:numId w:val="9"/>
        </w:numPr>
      </w:pPr>
      <w:bookmarkStart w:id="190" w:name="_Toc79178592"/>
      <w:bookmarkStart w:id="191" w:name="_Toc79511688"/>
      <w:bookmarkStart w:id="192" w:name="_Toc80604868"/>
      <w:r w:rsidRPr="007C28CC">
        <w:t>Źródła finansowania planowanych działań</w:t>
      </w:r>
      <w:bookmarkEnd w:id="190"/>
      <w:bookmarkEnd w:id="191"/>
      <w:bookmarkEnd w:id="192"/>
    </w:p>
    <w:p w14:paraId="0BADACBC" w14:textId="77777777" w:rsidR="00BA0236" w:rsidRPr="007C28CC" w:rsidRDefault="00BA0236" w:rsidP="007C28CC">
      <w:pPr>
        <w:pStyle w:val="ReportText"/>
        <w:spacing w:before="120" w:after="120"/>
      </w:pPr>
      <w:r w:rsidRPr="007C28CC">
        <w:t xml:space="preserve">Realizacja działań planowanych w ramach Planów zarządzania ryzykiem powodziowym od strony morza w tym morskich wód wewnętrznych (PZRPM) dla obszarów zlewni planistycznych Dolnej Wisły i Dolnej Odry możliwa będzie dzięki pozyskaniu finansowania dla rekomendowanych działań, które na moment przeprowadzenia przeglądu i sporządzenia projektów aktualizacji PZRPM nie posiadają jeszcze zapewnionego finansowania. </w:t>
      </w:r>
    </w:p>
    <w:p w14:paraId="20C87207" w14:textId="77777777" w:rsidR="00BA0236" w:rsidRPr="007C28CC" w:rsidRDefault="00BA0236" w:rsidP="007C28CC">
      <w:pPr>
        <w:pStyle w:val="ReportText"/>
        <w:spacing w:before="120" w:after="120"/>
      </w:pPr>
      <w:r w:rsidRPr="007C28CC">
        <w:t xml:space="preserve">Przewidywane potencjalne źródła finansowania przedsięwzięć uwzględniają najbliższą perspektywę finansową i obejmują 6 letni cykl planistyczny, lata 2022-2027. Przeprowadzona analiza obejmuje szeroki zakres krajowych oraz zagranicznych instytucji finansowych oraz programów wsparcia finansowego dedykowanych przedsięwzięciom użyteczności publicznej, jakim są niewątpliwie projekty z zakresu ochrony przeciwpowodziowej. Potencjalnymi Wnioskodawcami w ramach analizowanych Programów mogą być zarówno RZGW, JST, jak i Urzędy Morskie. </w:t>
      </w:r>
    </w:p>
    <w:p w14:paraId="44CB4631" w14:textId="77777777" w:rsidR="00BA0236" w:rsidRPr="007C28CC" w:rsidRDefault="00BA0236" w:rsidP="007C28CC">
      <w:pPr>
        <w:pStyle w:val="ReportText"/>
        <w:spacing w:before="120" w:after="120"/>
      </w:pPr>
      <w:r w:rsidRPr="007C28CC">
        <w:t>Dofinansowanie rozpatrywane jest zarówno w formie środków bezzwrotnych, jak</w:t>
      </w:r>
      <w:r w:rsidRPr="007C28CC">
        <w:br/>
        <w:t>i zwrotnych w postaci preferencyjnych pożyczek, które poprzez czy to obniżone oprocentowanie, czy częściowe umorzenie będą dawały możliwość poprawienia przepływów finansowych i zachęcały do realizacji przedsięwzięć.</w:t>
      </w:r>
    </w:p>
    <w:p w14:paraId="4550A2DD" w14:textId="77777777" w:rsidR="00BA0236" w:rsidRPr="007C28CC" w:rsidRDefault="00BA0236" w:rsidP="007C28CC">
      <w:pPr>
        <w:pStyle w:val="ReportText"/>
        <w:spacing w:before="120" w:after="120"/>
      </w:pPr>
      <w:r w:rsidRPr="007C28CC">
        <w:t xml:space="preserve">Środki finansowe pochodzące z zagranicznych instytucji finansowych, oferujących programy wsparcia finansowego niepodlegające zwrotowi, stanowią najbardziej efektywne źródło finansowania, dlatego też powinny być brane pod uwagę w pierwszej kolejności. </w:t>
      </w:r>
    </w:p>
    <w:p w14:paraId="4184C2B0" w14:textId="1A0DC387" w:rsidR="00BA0236" w:rsidRPr="007C28CC" w:rsidRDefault="00BA0236" w:rsidP="007C28CC">
      <w:pPr>
        <w:pStyle w:val="ReportText"/>
        <w:spacing w:before="120" w:after="120"/>
      </w:pPr>
      <w:r w:rsidRPr="007C28CC">
        <w:lastRenderedPageBreak/>
        <w:t>Projekty przeciwpowodziowe mogą być dofinansowane z funduszy Unii Europejskiej,</w:t>
      </w:r>
      <w:r>
        <w:t xml:space="preserve"> </w:t>
      </w:r>
      <w:r w:rsidRPr="007C28CC">
        <w:t>w</w:t>
      </w:r>
      <w:r w:rsidR="00A26088">
        <w:t> </w:t>
      </w:r>
      <w:r w:rsidRPr="007C28CC">
        <w:t>ramach Funduszu Spójności, ale również Krajowego Programu Odbudowy</w:t>
      </w:r>
      <w:r w:rsidRPr="007C28CC">
        <w:br/>
        <w:t>i Zwiększania Odporności, czy też inicjatyw takich jak Europejski Zielony Ład (European Green Deal). W okresie planistycznym 2022-2027 przewiduje się dofinansowanie projektów przeciwpowodziowych przede wszystkim z Funduszu Europejskiego na Infrastrukturę, Klimat, Środowisko Spójności, stanowiącego kontynuację Programu Operacyjnego Infrastruktura i Środowisko oraz programów operacyjnych na poziomie regionalnym.</w:t>
      </w:r>
    </w:p>
    <w:p w14:paraId="1D2DC1F1" w14:textId="77777777" w:rsidR="00BA0236" w:rsidRPr="007C28CC" w:rsidRDefault="00BA0236" w:rsidP="00304E3A">
      <w:pPr>
        <w:pStyle w:val="ReportLevel4NoNumber"/>
        <w:spacing w:before="120"/>
      </w:pPr>
      <w:r w:rsidRPr="007C28CC">
        <w:t>Krajowy Plan Odbudowy i Zwiększania Odporności</w:t>
      </w:r>
    </w:p>
    <w:p w14:paraId="7F75F285" w14:textId="1596CE01" w:rsidR="00BA0236" w:rsidRPr="007C28CC" w:rsidRDefault="00BA0236" w:rsidP="007C28CC">
      <w:pPr>
        <w:pStyle w:val="ReportText"/>
        <w:spacing w:before="120" w:after="120"/>
      </w:pPr>
      <w:r w:rsidRPr="007C28CC">
        <w:t>Kwestia powodzi jako istotnego zagadnienia została wskazana w komponencie</w:t>
      </w:r>
      <w:r w:rsidRPr="007C28CC">
        <w:br/>
        <w:t>B Krajowego Plan Odbudowy i Zwiększania Odporności pn. Zielona energia</w:t>
      </w:r>
      <w:r w:rsidRPr="007C28CC">
        <w:br/>
        <w:t>i zmniejszenie energochłonności. W charakterystyce podejmowanych działań wspomina się o problemie powodzi, podtopień jako bezpośrednich zagrożeń dla bezpieczeństwa</w:t>
      </w:r>
      <w:r w:rsidR="00A26088">
        <w:t xml:space="preserve"> </w:t>
      </w:r>
      <w:r w:rsidRPr="007C28CC">
        <w:t>mieszkańców, ich sytuacji mieszkaniowej i infrastruktury miast. Ponadto jednym</w:t>
      </w:r>
      <w:r>
        <w:t xml:space="preserve"> </w:t>
      </w:r>
      <w:r w:rsidRPr="007C28CC">
        <w:t>z</w:t>
      </w:r>
      <w:r w:rsidR="00A26088">
        <w:t> </w:t>
      </w:r>
      <w:r w:rsidRPr="007C28CC">
        <w:t>realizowanych celi będzie zwiększenie odporności rolnictwa na suszę i zapobieganie zjawisku powodzi na terenach rolnych. Aktualnie KPO, po zaakceptowaniu przez Komisję Europejską, będzie wdrażany na poziomie krajowym i dopiero publikacja ostatecznych, dedykowanych programów operacyjnych zarówno na poziomie krajowym, jak i regionalnym pozwoli stwierdzić czy Plan Odbudowy będzie finansował inwestycje rekomendowane do realizacji w ramach niniejszego projektu. Na ten moment, warto zwrócić uwagę na charakterystykę niżej wymienionych inwestycji zamieszczonych</w:t>
      </w:r>
      <w:r w:rsidRPr="007C28CC">
        <w:br/>
        <w:t>w KPO tj.:</w:t>
      </w:r>
    </w:p>
    <w:p w14:paraId="6AE5CC74" w14:textId="77777777" w:rsidR="00BA0236" w:rsidRPr="00304E3A" w:rsidRDefault="00BA0236" w:rsidP="008D7CA9">
      <w:pPr>
        <w:pStyle w:val="Akapitzlist"/>
        <w:numPr>
          <w:ilvl w:val="0"/>
          <w:numId w:val="18"/>
        </w:numPr>
        <w:spacing w:after="160" w:line="259" w:lineRule="auto"/>
        <w:ind w:left="567" w:hanging="425"/>
        <w:jc w:val="both"/>
        <w:rPr>
          <w:sz w:val="24"/>
          <w:szCs w:val="24"/>
        </w:rPr>
      </w:pPr>
      <w:r w:rsidRPr="00304E3A">
        <w:rPr>
          <w:sz w:val="24"/>
          <w:szCs w:val="24"/>
        </w:rPr>
        <w:t>Inwestycje na rzecz kompleksowej zielonej transformacji miast</w:t>
      </w:r>
    </w:p>
    <w:p w14:paraId="0CE16CF7" w14:textId="77777777" w:rsidR="00BA0236" w:rsidRPr="00304E3A" w:rsidRDefault="00BA0236" w:rsidP="008D7CA9">
      <w:pPr>
        <w:pStyle w:val="Akapitzlist"/>
        <w:numPr>
          <w:ilvl w:val="0"/>
          <w:numId w:val="18"/>
        </w:numPr>
        <w:spacing w:after="160" w:line="259" w:lineRule="auto"/>
        <w:ind w:left="567" w:hanging="425"/>
        <w:jc w:val="both"/>
        <w:rPr>
          <w:sz w:val="24"/>
          <w:szCs w:val="24"/>
        </w:rPr>
      </w:pPr>
      <w:r w:rsidRPr="00304E3A">
        <w:rPr>
          <w:sz w:val="24"/>
          <w:szCs w:val="24"/>
        </w:rPr>
        <w:t>Inwestycje w zwiększanie potencjału zrównoważonej gospodarki wodnej na obszarach wiejskich</w:t>
      </w:r>
    </w:p>
    <w:p w14:paraId="3F1DE5B8" w14:textId="77777777" w:rsidR="00BA0236" w:rsidRPr="00304E3A" w:rsidRDefault="00BA0236" w:rsidP="008D7CA9">
      <w:pPr>
        <w:pStyle w:val="Akapitzlist"/>
        <w:numPr>
          <w:ilvl w:val="0"/>
          <w:numId w:val="18"/>
        </w:numPr>
        <w:spacing w:after="160" w:line="259" w:lineRule="auto"/>
        <w:ind w:left="567" w:hanging="425"/>
        <w:jc w:val="both"/>
        <w:rPr>
          <w:sz w:val="24"/>
          <w:szCs w:val="24"/>
        </w:rPr>
      </w:pPr>
      <w:r w:rsidRPr="00304E3A">
        <w:rPr>
          <w:sz w:val="24"/>
          <w:szCs w:val="24"/>
        </w:rPr>
        <w:t>Inwestycje na rzecz kompleksowej zielonej transformacji miast</w:t>
      </w:r>
    </w:p>
    <w:p w14:paraId="7902A134" w14:textId="77777777" w:rsidR="00BA0236" w:rsidRPr="007C28CC" w:rsidRDefault="00BA0236" w:rsidP="00304E3A">
      <w:pPr>
        <w:pStyle w:val="ReportLevel4NoNumber"/>
        <w:spacing w:before="120"/>
      </w:pPr>
      <w:r w:rsidRPr="007C28CC">
        <w:t>Fundusze Europejskie na Infrastrukturę, Klimat, Środowisko (FEnIKS) 2021-2027</w:t>
      </w:r>
    </w:p>
    <w:p w14:paraId="74EF2E2A" w14:textId="77777777" w:rsidR="00BA0236" w:rsidRPr="007C28CC" w:rsidRDefault="00BA0236" w:rsidP="007C28CC">
      <w:pPr>
        <w:pStyle w:val="ReportText"/>
        <w:spacing w:before="120" w:after="120"/>
      </w:pPr>
      <w:r w:rsidRPr="007C28CC">
        <w:t xml:space="preserve">Potencjalnym źródłem finansowanie inwestycji, o których mowa w niniejszym </w:t>
      </w:r>
      <w:r>
        <w:t>raporcie</w:t>
      </w:r>
      <w:r w:rsidRPr="007C28CC">
        <w:t xml:space="preserve">, może być Program FEnIKS, w ramach nowego budżetu unijnego na lata 2021-2027. FEnIKS stanowi kontynuację programu Infrastruktura i Środowisko na lata 2014-2020 (POIiŚ). Uwzględnia on również nowe wyzwania i priorytety, przed którymi stoi cała Europa, wynikające z Europejskiego Zielonego Ładu. </w:t>
      </w:r>
    </w:p>
    <w:p w14:paraId="16CAFF37" w14:textId="6B54D0CD" w:rsidR="00BA0236" w:rsidRPr="007C28CC" w:rsidRDefault="00BA0236" w:rsidP="007C28CC">
      <w:pPr>
        <w:pStyle w:val="ReportText"/>
        <w:spacing w:before="120" w:after="120"/>
      </w:pPr>
      <w:r w:rsidRPr="007C28CC">
        <w:t>Cel szczegółowy 2.4 Wspieranie przystosowania się do zmian klimatu i zapobiegania ryzyku związanemu z klęskami żywiołowymi i katastrofami, a także odporności,</w:t>
      </w:r>
      <w:r>
        <w:t xml:space="preserve"> </w:t>
      </w:r>
      <w:r w:rsidRPr="007C28CC">
        <w:t>z</w:t>
      </w:r>
      <w:r w:rsidR="00A26088">
        <w:t> </w:t>
      </w:r>
      <w:r w:rsidRPr="007C28CC">
        <w:t>uwzględnieniem podejścia ekosystemowego.</w:t>
      </w:r>
    </w:p>
    <w:p w14:paraId="04ADA17F" w14:textId="77777777" w:rsidR="00BA0236" w:rsidRPr="007C28CC" w:rsidRDefault="00BA0236" w:rsidP="00304E3A">
      <w:pPr>
        <w:pStyle w:val="ReportLevel4NoNumber"/>
        <w:spacing w:before="120"/>
      </w:pPr>
      <w:r w:rsidRPr="007C28CC">
        <w:t>Program LIFE</w:t>
      </w:r>
    </w:p>
    <w:p w14:paraId="141947AD" w14:textId="77777777" w:rsidR="00BA0236" w:rsidRPr="007C28CC" w:rsidRDefault="00BA0236" w:rsidP="007C28CC">
      <w:pPr>
        <w:pStyle w:val="ReportText"/>
        <w:spacing w:before="120" w:after="120"/>
      </w:pPr>
      <w:r w:rsidRPr="007C28CC">
        <w:t>Program LIFE to jedyny instrument finansowy Unii Europejskiej poświęcony wyłącznie współfinansowaniu projektów z dziedziny ochrony środowiska, w tym przyrody oraz wpływu człowieka na klimat i dostosowania się do jego zmian. Jego głównym celem jest wspieranie procesu wdrażania wspólnotowego prawa ochrony środowiska, realizacja unijnej polityki w tym zakresie, a także identyfikacja i promocja nowych rozwiązań dla problemów dotyczących środowiska i klimatu.</w:t>
      </w:r>
    </w:p>
    <w:p w14:paraId="28DF76B7" w14:textId="079F9A98" w:rsidR="00BA0236" w:rsidRPr="007C28CC" w:rsidRDefault="00BA0236" w:rsidP="007C28CC">
      <w:pPr>
        <w:pStyle w:val="ReportText"/>
        <w:spacing w:before="120" w:after="120"/>
      </w:pPr>
      <w:r w:rsidRPr="007C28CC">
        <w:t>Program LIFE – program działań na rzecz środowiska i klimatu (2021-2027) został ustanowiony Rozporządzeniem Parlamentu Europejskiego i Rady (UE) w dniu</w:t>
      </w:r>
      <w:r w:rsidR="00A30588">
        <w:t xml:space="preserve"> </w:t>
      </w:r>
      <w:r w:rsidRPr="007C28CC">
        <w:t>29</w:t>
      </w:r>
      <w:r w:rsidR="00A30588">
        <w:t> </w:t>
      </w:r>
      <w:r w:rsidRPr="007C28CC">
        <w:t xml:space="preserve">kwietnia 2021 r. Wdrażanie programu zostało podzielone na dwa okresy </w:t>
      </w:r>
      <w:r w:rsidRPr="007C28CC">
        <w:lastRenderedPageBreak/>
        <w:t>rozliczeniowe, w ramach których będą przyjmowane tzw. Wieloletnie Programy Prac,</w:t>
      </w:r>
      <w:r>
        <w:t xml:space="preserve"> </w:t>
      </w:r>
      <w:r w:rsidRPr="007C28CC">
        <w:t>w</w:t>
      </w:r>
      <w:r w:rsidR="00A26088">
        <w:t> </w:t>
      </w:r>
      <w:r w:rsidRPr="007C28CC">
        <w:t>ramach których KE definiuje ramy wdrażania LIFE w danym okresie.</w:t>
      </w:r>
    </w:p>
    <w:p w14:paraId="1FDA0D2B" w14:textId="77777777" w:rsidR="00BA0236" w:rsidRPr="007C28CC" w:rsidRDefault="00BA0236" w:rsidP="007C28CC">
      <w:pPr>
        <w:pStyle w:val="ReportText"/>
        <w:spacing w:before="120" w:after="120"/>
      </w:pPr>
      <w:r w:rsidRPr="007C28CC">
        <w:t>Obszar Klimat: Łagodzenie zmian klimatu i przystosowanie się do niej, alokacja 0,947 mld €.</w:t>
      </w:r>
    </w:p>
    <w:p w14:paraId="0B37F76D" w14:textId="77777777" w:rsidR="00BA0236" w:rsidRPr="007C28CC" w:rsidRDefault="00BA0236" w:rsidP="007C28CC">
      <w:pPr>
        <w:pStyle w:val="ReportText"/>
        <w:spacing w:before="120" w:after="120"/>
      </w:pPr>
      <w:r w:rsidRPr="007C28CC">
        <w:t>Poza wyżej wymienionymi źródłami finansowania, opartymi na pomocy bezzwrotnej, międzynarodowe instytucje finansowe, takie jak Bank Światowy, Europejski Bank Odbudowy i Rozwoju czy Europejski Bank Inwestycyjny, oferują również pożyczki oraz kredyty przeznaczone na finansowanie budowy obiektów przeciwpowodziowych.</w:t>
      </w:r>
    </w:p>
    <w:p w14:paraId="7D1BCB0A" w14:textId="77777777" w:rsidR="00BA0236" w:rsidRPr="007C28CC" w:rsidRDefault="00BA0236" w:rsidP="00304E3A">
      <w:pPr>
        <w:pStyle w:val="ReportLevel4NoNumber"/>
        <w:spacing w:before="120"/>
      </w:pPr>
      <w:r w:rsidRPr="007C28CC">
        <w:t>Bank Światowy, Bank Rozwoju Rady Europy i KE</w:t>
      </w:r>
    </w:p>
    <w:p w14:paraId="2E49328C" w14:textId="77777777" w:rsidR="00BA0236" w:rsidRPr="007C28CC" w:rsidRDefault="00BA0236" w:rsidP="007C28CC">
      <w:pPr>
        <w:pStyle w:val="ReportText"/>
        <w:spacing w:before="120" w:after="120"/>
      </w:pPr>
      <w:r w:rsidRPr="007C28CC">
        <w:t>Problem powodzi został także dostrzeżony przez Bank Światowy i Bank Rozwoju, czego konsekwencją był program finansowania inwestycji mający na celu łagodzenie fali powodziowej i zmniejszenie zagrożenia powodziowego.</w:t>
      </w:r>
    </w:p>
    <w:p w14:paraId="4924FEB3" w14:textId="77777777" w:rsidR="00BA0236" w:rsidRPr="007C28CC" w:rsidRDefault="00BA0236" w:rsidP="007C28CC">
      <w:pPr>
        <w:pStyle w:val="ReportText"/>
        <w:spacing w:before="120" w:after="120"/>
      </w:pPr>
      <w:r w:rsidRPr="007C28CC">
        <w:t>Ponadto, przewiduje się, że uzupełnieniem finansowania przedsięwzięć ze źródeł zagranicznych, w odniesieniu do wielu inwestycji będą krajowe środki publiczne, pochodzące z:</w:t>
      </w:r>
    </w:p>
    <w:p w14:paraId="2B4BEAB3" w14:textId="77777777" w:rsidR="00BA0236" w:rsidRPr="008D7CA9" w:rsidRDefault="00BA0236" w:rsidP="008D7CA9">
      <w:pPr>
        <w:pStyle w:val="Akapitzlist"/>
        <w:numPr>
          <w:ilvl w:val="0"/>
          <w:numId w:val="19"/>
        </w:numPr>
        <w:spacing w:after="160" w:line="259" w:lineRule="auto"/>
        <w:ind w:left="567" w:hanging="425"/>
        <w:jc w:val="both"/>
        <w:rPr>
          <w:sz w:val="24"/>
          <w:szCs w:val="24"/>
        </w:rPr>
      </w:pPr>
      <w:r w:rsidRPr="008D7CA9">
        <w:rPr>
          <w:sz w:val="24"/>
          <w:szCs w:val="24"/>
        </w:rPr>
        <w:t>Budżetu Państwa;</w:t>
      </w:r>
    </w:p>
    <w:p w14:paraId="1A77AE6B" w14:textId="77777777" w:rsidR="00BA0236" w:rsidRPr="008D7CA9" w:rsidRDefault="00BA0236" w:rsidP="008D7CA9">
      <w:pPr>
        <w:pStyle w:val="Akapitzlist"/>
        <w:numPr>
          <w:ilvl w:val="0"/>
          <w:numId w:val="19"/>
        </w:numPr>
        <w:spacing w:after="160" w:line="259" w:lineRule="auto"/>
        <w:ind w:left="567" w:hanging="425"/>
        <w:jc w:val="both"/>
        <w:rPr>
          <w:sz w:val="24"/>
          <w:szCs w:val="24"/>
        </w:rPr>
      </w:pPr>
      <w:r w:rsidRPr="008D7CA9">
        <w:rPr>
          <w:sz w:val="24"/>
          <w:szCs w:val="24"/>
        </w:rPr>
        <w:t xml:space="preserve">Budżetów Jednostek Samorządu Terytorialnego; </w:t>
      </w:r>
    </w:p>
    <w:p w14:paraId="7C6B0D18" w14:textId="77777777" w:rsidR="00BA0236" w:rsidRPr="008D7CA9" w:rsidRDefault="00BA0236" w:rsidP="008D7CA9">
      <w:pPr>
        <w:pStyle w:val="Akapitzlist"/>
        <w:numPr>
          <w:ilvl w:val="0"/>
          <w:numId w:val="19"/>
        </w:numPr>
        <w:spacing w:after="160" w:line="259" w:lineRule="auto"/>
        <w:ind w:left="567" w:hanging="425"/>
        <w:jc w:val="both"/>
        <w:rPr>
          <w:sz w:val="24"/>
          <w:szCs w:val="24"/>
        </w:rPr>
      </w:pPr>
      <w:r w:rsidRPr="008D7CA9">
        <w:rPr>
          <w:sz w:val="24"/>
          <w:szCs w:val="24"/>
        </w:rPr>
        <w:t>NFOŚiGW/WFOŚiGW.</w:t>
      </w:r>
    </w:p>
    <w:p w14:paraId="31E243D6" w14:textId="77777777" w:rsidR="00BA0236" w:rsidRPr="007C28CC" w:rsidRDefault="00BA0236" w:rsidP="00304E3A">
      <w:pPr>
        <w:pStyle w:val="ReportLevel4NoNumber"/>
        <w:spacing w:before="120"/>
      </w:pPr>
      <w:r w:rsidRPr="007C28CC">
        <w:t xml:space="preserve">Poprawa ochrony przeciwpowodziowej i przeciwdziałanie suszy – dofinansowanie na poziomie poszczególnych Urzędów Marszałkowskich </w:t>
      </w:r>
    </w:p>
    <w:p w14:paraId="505134CB" w14:textId="77777777" w:rsidR="00BA0236" w:rsidRPr="007C28CC" w:rsidRDefault="00BA0236" w:rsidP="007C28CC">
      <w:pPr>
        <w:pStyle w:val="ReportText"/>
        <w:spacing w:before="120"/>
      </w:pPr>
      <w:r w:rsidRPr="007C28CC">
        <w:t>W zależności od decyzji Urzędów Marszałkowskich, potencjalne środki na finansowanie mogą pochodzić z programów ochrony przeciwpowodziowej i przeciwdziałaniu suszy. Dotychczas o wsparcie mogły ubiegać się jednostki samorządu terytorialnego i ich związki oraz stowarzyszenia. Ponadto dofinansowanie przeznaczone było dla samorządowych jednostek organizacyjnych, organów administracji rządowej, państwowych jednostek organizacyjnych, a także prywatnych partnerów podmiotów publicznych w przypadku projektów realizowanych w formule partnerstwa publiczno-prywatnego.</w:t>
      </w:r>
    </w:p>
    <w:p w14:paraId="56633798" w14:textId="77777777" w:rsidR="00BA0236" w:rsidRPr="007C28CC" w:rsidRDefault="00BA0236" w:rsidP="00304E3A">
      <w:pPr>
        <w:pStyle w:val="ReportLevel4NoNumber"/>
        <w:spacing w:before="120"/>
      </w:pPr>
      <w:r w:rsidRPr="007C28CC">
        <w:t>Wojewódzki Fundusz Ochrony Środowiska i Gospodarki Wodnej</w:t>
      </w:r>
    </w:p>
    <w:p w14:paraId="3758B8FB" w14:textId="77777777" w:rsidR="00BA0236" w:rsidRPr="007C28CC" w:rsidRDefault="00BA0236" w:rsidP="007C28CC">
      <w:pPr>
        <w:pStyle w:val="ReportText"/>
        <w:spacing w:before="120"/>
      </w:pPr>
      <w:r w:rsidRPr="007C28CC">
        <w:t>Źródłem finansowania inwestycji mogą być środki Wojewódzkich Funduszy Ochrony Środowiska i Gospodarki Wodnej m.in. w ramach programu skierowanego do JST</w:t>
      </w:r>
      <w:r>
        <w:t xml:space="preserve"> </w:t>
      </w:r>
      <w:r w:rsidRPr="007C28CC">
        <w:t xml:space="preserve">w postaci tzw. Zadania z zakresu ochrony wód. WFOŚiGW prowadziły i prowadzą obecnie nabory wniosków na realizację zadań z zakresu ochrony wód i gospodarki wodnej, w tym m.in. w ramach programu budowy i przebudowy urządzeń i obiektów hydrotechnicznych poprawiających bezpieczeństwo przeciwpowodziowe. </w:t>
      </w:r>
    </w:p>
    <w:p w14:paraId="61BD4B33" w14:textId="77777777" w:rsidR="00BA0236" w:rsidRPr="007C28CC" w:rsidRDefault="00BA0236" w:rsidP="00304E3A">
      <w:pPr>
        <w:pStyle w:val="ReportLevel4NoNumber"/>
        <w:spacing w:before="120"/>
      </w:pPr>
      <w:r w:rsidRPr="007C28CC">
        <w:t>Program ochrony brzegów morskich</w:t>
      </w:r>
    </w:p>
    <w:p w14:paraId="35FAD173" w14:textId="77777777" w:rsidR="00BA0236" w:rsidRPr="007C28CC" w:rsidRDefault="00BA0236" w:rsidP="007C28CC">
      <w:pPr>
        <w:pStyle w:val="ReportText"/>
        <w:spacing w:before="120"/>
      </w:pPr>
      <w:r w:rsidRPr="007C28CC">
        <w:t>Wieloletni program realizowany w latach 2004-2023 finansujący zadania dotyczące m.in. budowy, rozbudowy i utrzymywania systemu ochrony brzegów morskich przed erozją morską i powodzią od strony morza. Wskaźnikiem realizacji Programu w danym roku jest długość linii brzegowej zabezpieczonej przed zjawiskiem erozji i powodzi od strony morza, liczona w kilometrach. Program jest finansowany ze środków budżetu państwa oraz środków pozabudżetowych.</w:t>
      </w:r>
    </w:p>
    <w:p w14:paraId="7241EE28" w14:textId="77777777" w:rsidR="00BA0236" w:rsidRPr="007C28CC" w:rsidRDefault="00BA0236" w:rsidP="00304E3A">
      <w:pPr>
        <w:pStyle w:val="ReportLevel4NoNumber"/>
        <w:spacing w:before="120"/>
      </w:pPr>
      <w:r w:rsidRPr="007C28CC">
        <w:lastRenderedPageBreak/>
        <w:t>Programy przeciwpowodziowe na poziomie poszczególnych miast</w:t>
      </w:r>
    </w:p>
    <w:p w14:paraId="665A7C60" w14:textId="77777777" w:rsidR="00BA0236" w:rsidRPr="007C28CC" w:rsidRDefault="00BA0236" w:rsidP="007C28CC">
      <w:pPr>
        <w:pStyle w:val="ReportText"/>
        <w:spacing w:before="120"/>
      </w:pPr>
      <w:r w:rsidRPr="007C28CC">
        <w:t xml:space="preserve">Miasta realizują w ramach własnych środków inwestycje mające na celu redukcję zagrożenia powodziowego, w pierwszej kolejności rozważając zastosowanie środków nietechnicznych związanych z powiększaniem naturalnej retencji i ochroną ekosystemów. Przykładem może być Gdański Program Przeciwpowodziowy. </w:t>
      </w:r>
    </w:p>
    <w:p w14:paraId="386254DA" w14:textId="77777777" w:rsidR="00BA0236" w:rsidRPr="007C28CC" w:rsidRDefault="00BA0236" w:rsidP="007C28CC">
      <w:pPr>
        <w:rPr>
          <w:b/>
          <w:color w:val="28AAE1"/>
          <w:sz w:val="32"/>
          <w:szCs w:val="20"/>
          <w:lang w:eastAsia="en-US"/>
        </w:rPr>
      </w:pPr>
      <w:r w:rsidRPr="007C28CC">
        <w:rPr>
          <w:b/>
          <w:color w:val="28AAE1"/>
          <w:sz w:val="32"/>
          <w:szCs w:val="20"/>
          <w:lang w:eastAsia="en-US"/>
        </w:rPr>
        <w:br w:type="page"/>
      </w:r>
    </w:p>
    <w:p w14:paraId="2F5E1134" w14:textId="77777777" w:rsidR="00BA0236" w:rsidRPr="007C28CC" w:rsidRDefault="00BA0236" w:rsidP="00E8074C">
      <w:pPr>
        <w:pStyle w:val="ReportLevel2"/>
        <w:numPr>
          <w:ilvl w:val="1"/>
          <w:numId w:val="9"/>
        </w:numPr>
      </w:pPr>
      <w:bookmarkStart w:id="193" w:name="_Toc79511689"/>
      <w:bookmarkStart w:id="194" w:name="_Toc80604869"/>
      <w:r w:rsidRPr="007C28CC">
        <w:lastRenderedPageBreak/>
        <w:t>Analiza i ocena zgodności przyjętych ostatecznych wariantów działań z wymogami prawnymi i środowiskowymi</w:t>
      </w:r>
      <w:bookmarkEnd w:id="193"/>
      <w:bookmarkEnd w:id="194"/>
    </w:p>
    <w:p w14:paraId="46C6C1D8" w14:textId="7D320B17" w:rsidR="00BA0236" w:rsidRPr="00347E16" w:rsidRDefault="00BA0236" w:rsidP="00E8074C">
      <w:pPr>
        <w:pStyle w:val="ReportLevel3"/>
        <w:numPr>
          <w:ilvl w:val="2"/>
          <w:numId w:val="9"/>
        </w:numPr>
      </w:pPr>
      <w:bookmarkStart w:id="195" w:name="_Toc79178594"/>
      <w:r w:rsidRPr="00347E16">
        <w:t>Ocena wpływu działań do realizacji (negatywnych jak i</w:t>
      </w:r>
      <w:r w:rsidR="00A30588">
        <w:t> </w:t>
      </w:r>
      <w:r w:rsidRPr="00347E16">
        <w:t>pozytywnych) na cele środowiskowe jednolitych części wód powierzchniowych (</w:t>
      </w:r>
      <w:r>
        <w:t>JCWP</w:t>
      </w:r>
      <w:r w:rsidRPr="00347E16">
        <w:t>), o których mowa w art. 56, 57, 59 i 61 ustawy Prawo wodne, ze szczególnym uwzględnieniem elementów hydro-morfologicznych</w:t>
      </w:r>
    </w:p>
    <w:p w14:paraId="52076006" w14:textId="45025391" w:rsidR="00BA0236" w:rsidRPr="00347E16" w:rsidRDefault="00BA0236" w:rsidP="00347E16">
      <w:pPr>
        <w:pStyle w:val="ReportText"/>
      </w:pPr>
      <w:r w:rsidRPr="00347E16">
        <w:t xml:space="preserve">Metodą ekspercką w pierwszym kroku dokonano oceny potencjalnego wpływu wariantów na stan i cele środowiskowe </w:t>
      </w:r>
      <w:r>
        <w:t>JCW</w:t>
      </w:r>
      <w:r w:rsidRPr="00347E16">
        <w:t xml:space="preserve"> oraz na siedliska od wód zależne, a także wpływu na przedmioty i obszary chronione, oceniając istotność oddziaływań w skali 3 stopniowej: </w:t>
      </w:r>
    </w:p>
    <w:p w14:paraId="7FFB96E0" w14:textId="77777777" w:rsidR="00BA0236" w:rsidRDefault="00BA0236" w:rsidP="008D7CA9">
      <w:pPr>
        <w:pStyle w:val="ReportText"/>
        <w:numPr>
          <w:ilvl w:val="0"/>
          <w:numId w:val="53"/>
        </w:numPr>
        <w:tabs>
          <w:tab w:val="clear" w:pos="720"/>
          <w:tab w:val="num" w:pos="567"/>
        </w:tabs>
        <w:ind w:left="567" w:hanging="425"/>
      </w:pPr>
      <w:r>
        <w:t xml:space="preserve">PZ - potencjalnie znaczące, ocena wskazana dla wariantu, który potencjalnie generuje nowe, negatywne, trwałe oddziaływania na elementy oceny stanu wód, prowadzą do pogorszenia wskaźników oceny stanu hydromorfologicznego lub biologicznego, oddziaływania prowadzą do trwałej zmiany warunków hydromorfologicznych, warunków przepływu, przekształcenia morfologii strefy brzegowej lub dna morskiego lub morfologii cieku, przekształcenia struktury przestrzenno-funkcjonalnej ekosystemów wodnych i od wód zależnych, powodują trwałe zmiany warunków hydromorfologicznych dna, brzegów, strefy brzegowej, mogą powodować degradację form korytowych, przykorytowych, gleb lub siedlisk i prowadzić do zmiany stosunków wodnych, wpływając negatywnie na stan ekosystemów wodnych i od wód zależnych, lub prowadzą do znaczącego zaburzenia lub zahamowania procesów naturalnych warunkujących dobry stan wód i siedlisk. </w:t>
      </w:r>
    </w:p>
    <w:p w14:paraId="71D80143" w14:textId="77777777" w:rsidR="00BA0236" w:rsidRPr="00347E16" w:rsidRDefault="00BA0236" w:rsidP="008D7CA9">
      <w:pPr>
        <w:pStyle w:val="ReportText"/>
        <w:numPr>
          <w:ilvl w:val="0"/>
          <w:numId w:val="53"/>
        </w:numPr>
        <w:tabs>
          <w:tab w:val="clear" w:pos="720"/>
          <w:tab w:val="num" w:pos="567"/>
        </w:tabs>
        <w:ind w:left="567" w:hanging="425"/>
      </w:pPr>
      <w:r w:rsidRPr="00347E16">
        <w:t>UN - umiarkowane nieznaczące (</w:t>
      </w:r>
      <w:r w:rsidRPr="00347E16">
        <w:rPr>
          <w:rStyle w:val="fontstyle01"/>
          <w:rFonts w:ascii="Times New Roman" w:hAnsi="Times New Roman"/>
          <w:color w:val="auto"/>
          <w:sz w:val="24"/>
          <w:szCs w:val="20"/>
        </w:rPr>
        <w:t>wymagające i możliwe do zminimalizowania</w:t>
      </w:r>
      <w:r w:rsidRPr="00347E16">
        <w:t xml:space="preserve">), ocena wskazywana dla wariantu, który generuje potencjalnie umiarkowane oddziaływania w skali lokalnej, oddziaływania nie mające wpływu na stan całej </w:t>
      </w:r>
      <w:r>
        <w:t>JCWP</w:t>
      </w:r>
      <w:r w:rsidRPr="00347E16">
        <w:t xml:space="preserve">, oddziaływania mają charakter lokalny ograniczony do obszaru przedsięwzięcia, występują głownie na etapie realizacji prac np. robót ziemnych, nie generuje nowych trwałych oddziaływań na środowisko wodne prowadzące do pogorszenia stanu wód </w:t>
      </w:r>
      <w:r>
        <w:t>JCW</w:t>
      </w:r>
      <w:r w:rsidRPr="00347E16">
        <w:t xml:space="preserve">, w tym nie prowadzą do trwałej, znaczącej zmiany hydromorfologii dna oraz brzegów morskich, strefy brzegowej koryta, nie maja znaczącego wpływu na pogorszenie biologicznych wskaźników oceny stanu wód, oddziaływania wiążą się zazwyczaj z modernizacją istniejącej infrastruktury, podwyższeniem istniejących obwałowań, lub prowadzone są na terenie silnie przekształconym np. na odcinku brzegu umocnionego, mają ograniczony wpływ na zmiany warunków glebowych, siedliskowych, zmiany stosunków wodnych, wykazują brak istotnego negatywnego wpływu na cele środowiskowe i stan wód całej </w:t>
      </w:r>
      <w:r>
        <w:t>JCWP</w:t>
      </w:r>
      <w:r w:rsidRPr="00347E16">
        <w:t xml:space="preserve">. Negatywny wpływ na elementy oceny wód i siedliska może być zminimalizowany. </w:t>
      </w:r>
    </w:p>
    <w:p w14:paraId="06B56B24" w14:textId="19ECBD51" w:rsidR="00BA0236" w:rsidRDefault="00A26088" w:rsidP="008D7CA9">
      <w:pPr>
        <w:pStyle w:val="ReportText"/>
        <w:numPr>
          <w:ilvl w:val="0"/>
          <w:numId w:val="45"/>
        </w:numPr>
        <w:tabs>
          <w:tab w:val="clear" w:pos="720"/>
          <w:tab w:val="num" w:pos="567"/>
        </w:tabs>
        <w:ind w:left="567" w:hanging="425"/>
      </w:pPr>
      <w:r>
        <w:br w:type="column"/>
      </w:r>
      <w:r w:rsidR="00BA0236">
        <w:lastRenderedPageBreak/>
        <w:t xml:space="preserve">B - brak oddziaływań, wskazywano dla wariantów bez wpływu na stan wód (brak oddziaływań negatywnych powodujących pogorszenie stanu całej wód JCWP), wskazywano dla wariantu nie generującego oddziaływań negatywnych na elementy oceny stanu wód, w tym elementy biologiczne i hydromorfologiczne. </w:t>
      </w:r>
    </w:p>
    <w:p w14:paraId="78DC0B08" w14:textId="77777777" w:rsidR="00BA0236" w:rsidRPr="00347E16" w:rsidRDefault="00BA0236" w:rsidP="00347E16">
      <w:pPr>
        <w:pStyle w:val="ReportText"/>
      </w:pPr>
      <w:r w:rsidRPr="00347E16">
        <w:rPr>
          <w:rStyle w:val="ReportTextChar"/>
        </w:rPr>
        <w:t xml:space="preserve">Podczas oceny uwzględniono zarówno oddziaływania pojawiające się na etapie realizacji, czasowe, jak i długotrwałe, prowadzące do trwałych zmian w strukturze środowiska, mogące powodować zmiany wartości wskaźników oceny stanu wód lub pogorszenie stanu wód, w tym pogorszenia wskaźników jakości wód: biologicznych, hydromorfologicznych i fizykochemicznych. Uwzględniono oddziaływania bezpośrednie i pośrednie oraz skumulowane. Przede wszystkim analizowano potencjalny negatywny wpływ na elementy oceny stanu wód, w tym hydromorfologię i wpływ na wskaźniki oceny stanu hydromofologicznego HIR/LHS: zmiany warunków morfologii morskich oraz integralność dna morskiego, wpływ pośredni, skumulowany na cele środowiskowe innych </w:t>
      </w:r>
      <w:r>
        <w:rPr>
          <w:rStyle w:val="ReportTextChar"/>
        </w:rPr>
        <w:t>JCWP</w:t>
      </w:r>
      <w:r w:rsidRPr="00347E16">
        <w:rPr>
          <w:rStyle w:val="ReportTextChar"/>
        </w:rPr>
        <w:t>, wpływ na elementy biologiczne, w tym ciągłość biologiczną i morfologiczną oraz wskaźniki biologiczne, w tym ichtiofaunę, wpływ na wskaźniki fizykochemiczne, dodatkowo uwzględniono potencjalny negatywny wpływ na siedliska i gatunki, będący efektem zajętości terenu, czy pośredniego wpływu związanego z ograniczeniem zalewu powierzchniowego</w:t>
      </w:r>
      <w:r w:rsidRPr="00347E16">
        <w:t>, np. zmiany stosunków wodnych, glebowych, siedliskowych, czy emisją hałasu.</w:t>
      </w:r>
    </w:p>
    <w:p w14:paraId="2CA032A2" w14:textId="77777777" w:rsidR="00BA0236" w:rsidRPr="00347E16" w:rsidRDefault="00BA0236" w:rsidP="00347E16">
      <w:pPr>
        <w:pStyle w:val="ReportText"/>
        <w:rPr>
          <w:rStyle w:val="fontstyle01"/>
          <w:rFonts w:ascii="Times New Roman" w:hAnsi="Times New Roman"/>
          <w:color w:val="auto"/>
          <w:sz w:val="24"/>
          <w:szCs w:val="20"/>
        </w:rPr>
      </w:pPr>
      <w:r w:rsidRPr="00347E16">
        <w:rPr>
          <w:rStyle w:val="fontstyle01"/>
          <w:rFonts w:ascii="Times New Roman" w:hAnsi="Times New Roman"/>
          <w:color w:val="auto"/>
          <w:sz w:val="24"/>
          <w:szCs w:val="20"/>
        </w:rPr>
        <w:t>Zgodnie z metodyką w ramach</w:t>
      </w:r>
      <w:r w:rsidRPr="00347E16">
        <w:t xml:space="preserve"> </w:t>
      </w:r>
      <w:r w:rsidRPr="00347E16">
        <w:rPr>
          <w:rStyle w:val="fontstyle01"/>
          <w:rFonts w:ascii="Times New Roman" w:hAnsi="Times New Roman"/>
          <w:color w:val="auto"/>
          <w:sz w:val="24"/>
          <w:szCs w:val="20"/>
        </w:rPr>
        <w:t>oceny zgodności wariantów działań z celami środowiskowymi wynikającymi z</w:t>
      </w:r>
      <w:r w:rsidRPr="00347E16">
        <w:t xml:space="preserve"> </w:t>
      </w:r>
      <w:r w:rsidRPr="00347E16">
        <w:rPr>
          <w:rStyle w:val="fontstyle01"/>
          <w:rFonts w:ascii="Times New Roman" w:hAnsi="Times New Roman"/>
          <w:color w:val="auto"/>
          <w:sz w:val="24"/>
          <w:szCs w:val="20"/>
        </w:rPr>
        <w:t>Ramowej Dyrektywy Wodnej oraz zgodności wariantów działań z wymaganiami</w:t>
      </w:r>
      <w:r w:rsidRPr="00347E16">
        <w:t xml:space="preserve"> </w:t>
      </w:r>
      <w:r w:rsidRPr="00347E16">
        <w:rPr>
          <w:rStyle w:val="fontstyle01"/>
          <w:rFonts w:ascii="Times New Roman" w:hAnsi="Times New Roman"/>
          <w:color w:val="auto"/>
          <w:sz w:val="24"/>
          <w:szCs w:val="20"/>
        </w:rPr>
        <w:t>Dyrektywy Ptasiej i Siedliskowej oraz wymaganiami ustawy o Ochronie Przyrody</w:t>
      </w:r>
      <w:r w:rsidRPr="00347E16">
        <w:t xml:space="preserve"> </w:t>
      </w:r>
      <w:r w:rsidRPr="00347E16">
        <w:rPr>
          <w:rStyle w:val="fontstyle01"/>
          <w:rFonts w:ascii="Times New Roman" w:hAnsi="Times New Roman"/>
          <w:color w:val="auto"/>
          <w:sz w:val="24"/>
          <w:szCs w:val="20"/>
        </w:rPr>
        <w:t>(obszarowe formy ochrony przyrody oraz korytarze ekologiczne) finalnie warianty oceniono ze względu na stopień udatności środowiskowej, wskazując opcje:</w:t>
      </w:r>
    </w:p>
    <w:p w14:paraId="04EE2B9F" w14:textId="77777777" w:rsidR="008D7CA9" w:rsidRDefault="00BA0236" w:rsidP="00924BB5">
      <w:pPr>
        <w:pStyle w:val="ReportText"/>
        <w:numPr>
          <w:ilvl w:val="0"/>
          <w:numId w:val="79"/>
        </w:numPr>
        <w:ind w:left="567" w:hanging="425"/>
        <w:rPr>
          <w:rStyle w:val="fontstyle01"/>
          <w:rFonts w:ascii="Times New Roman" w:hAnsi="Times New Roman"/>
          <w:color w:val="auto"/>
          <w:sz w:val="24"/>
          <w:szCs w:val="20"/>
        </w:rPr>
      </w:pPr>
      <w:r w:rsidRPr="00347E16">
        <w:rPr>
          <w:rStyle w:val="fontstyle01"/>
          <w:rFonts w:ascii="Times New Roman" w:hAnsi="Times New Roman"/>
          <w:b/>
          <w:bCs/>
          <w:color w:val="auto"/>
          <w:sz w:val="24"/>
          <w:szCs w:val="20"/>
        </w:rPr>
        <w:t>korzystna środowiskowo</w:t>
      </w:r>
      <w:r w:rsidRPr="00347E16">
        <w:rPr>
          <w:rStyle w:val="fontstyle01"/>
          <w:rFonts w:ascii="Times New Roman" w:hAnsi="Times New Roman"/>
          <w:color w:val="auto"/>
          <w:sz w:val="24"/>
          <w:szCs w:val="20"/>
        </w:rPr>
        <w:t>, czyli zgodna z zapisami RDW, nie wpływający na stan i cele środowiskowe JCW i cele oraz przedmioty ochrony obszarów chronionych;</w:t>
      </w:r>
    </w:p>
    <w:p w14:paraId="1B3EAE55" w14:textId="365FC5D6" w:rsidR="008D7CA9" w:rsidRDefault="00BA0236" w:rsidP="00924BB5">
      <w:pPr>
        <w:pStyle w:val="ReportText"/>
        <w:numPr>
          <w:ilvl w:val="0"/>
          <w:numId w:val="79"/>
        </w:numPr>
        <w:ind w:left="567" w:hanging="425"/>
        <w:rPr>
          <w:rStyle w:val="fontstyle01"/>
          <w:rFonts w:ascii="Times New Roman" w:hAnsi="Times New Roman"/>
          <w:color w:val="auto"/>
          <w:sz w:val="24"/>
          <w:szCs w:val="20"/>
        </w:rPr>
      </w:pPr>
      <w:r w:rsidRPr="008D7CA9">
        <w:rPr>
          <w:rStyle w:val="fontstyle01"/>
          <w:rFonts w:ascii="Times New Roman" w:hAnsi="Times New Roman"/>
          <w:b/>
          <w:bCs/>
          <w:color w:val="auto"/>
          <w:sz w:val="24"/>
          <w:szCs w:val="20"/>
        </w:rPr>
        <w:t>umiarkowanie korzystna środowiskowo</w:t>
      </w:r>
      <w:r w:rsidRPr="008D7CA9">
        <w:rPr>
          <w:rStyle w:val="fontstyle01"/>
          <w:rFonts w:ascii="Times New Roman" w:hAnsi="Times New Roman"/>
          <w:color w:val="auto"/>
          <w:sz w:val="24"/>
          <w:szCs w:val="20"/>
        </w:rPr>
        <w:t>, powodująca pogorszenie stanu elementów oceny wód, w tym hydromorfologicznych lub biologicznych, jednak istnieje możliwość skutecznego zminimalizowania negatywnych oddziaływań z uwagi na stosunkowo niewielki zakres przestrzenny działania w stosunku do całej JCWP</w:t>
      </w:r>
      <w:r w:rsidR="008D7CA9">
        <w:rPr>
          <w:rStyle w:val="fontstyle01"/>
          <w:rFonts w:ascii="Times New Roman" w:hAnsi="Times New Roman"/>
          <w:color w:val="auto"/>
          <w:sz w:val="24"/>
          <w:szCs w:val="20"/>
        </w:rPr>
        <w:t>;</w:t>
      </w:r>
    </w:p>
    <w:p w14:paraId="6D2B1B58" w14:textId="29EA43FB" w:rsidR="00BA0236" w:rsidRPr="00347E16" w:rsidRDefault="00BA0236" w:rsidP="00924BB5">
      <w:pPr>
        <w:pStyle w:val="ReportText"/>
        <w:numPr>
          <w:ilvl w:val="0"/>
          <w:numId w:val="79"/>
        </w:numPr>
        <w:ind w:left="567" w:hanging="425"/>
      </w:pPr>
      <w:r w:rsidRPr="008D7CA9">
        <w:rPr>
          <w:rStyle w:val="fontstyle01"/>
          <w:rFonts w:ascii="Times New Roman" w:hAnsi="Times New Roman"/>
          <w:b/>
          <w:bCs/>
          <w:color w:val="auto"/>
          <w:sz w:val="24"/>
          <w:szCs w:val="20"/>
        </w:rPr>
        <w:t>niekorzystna środowiskowo</w:t>
      </w:r>
      <w:r w:rsidRPr="008D7CA9">
        <w:rPr>
          <w:rStyle w:val="fontstyle01"/>
          <w:rFonts w:ascii="Times New Roman" w:hAnsi="Times New Roman"/>
          <w:color w:val="auto"/>
          <w:sz w:val="24"/>
          <w:szCs w:val="20"/>
        </w:rPr>
        <w:t>, czyli niezgodna z zapisami RDW, wpływająca na pogorszenie stanu wód i powodująca ryzyko niosiągnięcia celów środowiskowych, negatywnych oddziaływań nie można w pełni zminimalizować w sposób skuteczny.</w:t>
      </w:r>
    </w:p>
    <w:p w14:paraId="29C4FF8C" w14:textId="77777777" w:rsidR="00BA0236" w:rsidRDefault="00BA0236">
      <w:pPr>
        <w:rPr>
          <w:szCs w:val="20"/>
          <w:lang w:eastAsia="en-US"/>
        </w:rPr>
      </w:pPr>
      <w:r>
        <w:rPr>
          <w:szCs w:val="20"/>
        </w:rPr>
        <w:br w:type="page"/>
      </w:r>
    </w:p>
    <w:p w14:paraId="058C6C03" w14:textId="1EA26201" w:rsidR="00BA0236" w:rsidRDefault="00BA0236" w:rsidP="008D7CA9">
      <w:pPr>
        <w:pStyle w:val="Legenda"/>
        <w:tabs>
          <w:tab w:val="clear" w:pos="1080"/>
          <w:tab w:val="left" w:pos="1134"/>
        </w:tabs>
        <w:ind w:left="1134" w:hanging="1134"/>
        <w:jc w:val="both"/>
        <w:rPr>
          <w:bCs/>
          <w:color w:val="000000"/>
          <w:sz w:val="24"/>
        </w:rPr>
      </w:pPr>
      <w:bookmarkStart w:id="196" w:name="_Toc80604832"/>
      <w:r w:rsidRPr="008D7CA9">
        <w:rPr>
          <w:sz w:val="24"/>
          <w:szCs w:val="28"/>
        </w:rPr>
        <w:lastRenderedPageBreak/>
        <w:t xml:space="preserve">Tabela </w:t>
      </w:r>
      <w:r w:rsidR="00295C25" w:rsidRPr="008D7CA9">
        <w:rPr>
          <w:sz w:val="24"/>
          <w:szCs w:val="28"/>
        </w:rPr>
        <w:fldChar w:fldCharType="begin"/>
      </w:r>
      <w:r w:rsidR="00295C25" w:rsidRPr="008D7CA9">
        <w:rPr>
          <w:sz w:val="24"/>
          <w:szCs w:val="28"/>
        </w:rPr>
        <w:instrText xml:space="preserve"> SEQ Tabela \* ARABIC </w:instrText>
      </w:r>
      <w:r w:rsidR="00295C25" w:rsidRPr="008D7CA9">
        <w:rPr>
          <w:sz w:val="24"/>
          <w:szCs w:val="28"/>
        </w:rPr>
        <w:fldChar w:fldCharType="separate"/>
      </w:r>
      <w:r w:rsidR="00FD3F9A">
        <w:rPr>
          <w:noProof/>
          <w:sz w:val="24"/>
          <w:szCs w:val="28"/>
        </w:rPr>
        <w:t>22</w:t>
      </w:r>
      <w:r w:rsidR="00295C25" w:rsidRPr="008D7CA9">
        <w:rPr>
          <w:noProof/>
          <w:sz w:val="24"/>
          <w:szCs w:val="28"/>
        </w:rPr>
        <w:fldChar w:fldCharType="end"/>
      </w:r>
      <w:r w:rsidR="008D7CA9">
        <w:rPr>
          <w:sz w:val="24"/>
          <w:szCs w:val="28"/>
        </w:rPr>
        <w:tab/>
      </w:r>
      <w:r w:rsidRPr="008D7CA9">
        <w:rPr>
          <w:sz w:val="24"/>
          <w:szCs w:val="28"/>
        </w:rPr>
        <w:t xml:space="preserve">Ocena istotności oddziaływań na stan i cele środowiskowe JCWP </w:t>
      </w:r>
      <w:r w:rsidR="008D7CA9">
        <w:rPr>
          <w:sz w:val="24"/>
          <w:szCs w:val="28"/>
        </w:rPr>
        <w:t>–</w:t>
      </w:r>
      <w:r w:rsidRPr="008D7CA9">
        <w:rPr>
          <w:sz w:val="24"/>
          <w:szCs w:val="28"/>
        </w:rPr>
        <w:t xml:space="preserve"> podsumowanie</w:t>
      </w:r>
      <w:bookmarkEnd w:id="196"/>
      <w:r w:rsidRPr="008D7CA9">
        <w:rPr>
          <w:sz w:val="28"/>
          <w:szCs w:val="28"/>
        </w:rPr>
        <w:t xml:space="preserve"> </w:t>
      </w:r>
    </w:p>
    <w:tbl>
      <w:tblPr>
        <w:tblW w:w="9206" w:type="dxa"/>
        <w:tblBorders>
          <w:top w:val="single" w:sz="4" w:space="0" w:color="A9DCF3"/>
          <w:left w:val="single" w:sz="4" w:space="0" w:color="A9DCF3"/>
          <w:bottom w:val="single" w:sz="4" w:space="0" w:color="A9DCF3"/>
          <w:right w:val="single" w:sz="4" w:space="0" w:color="A9DCF3"/>
          <w:insideH w:val="single" w:sz="4" w:space="0" w:color="A9DCF3"/>
          <w:insideV w:val="single" w:sz="4" w:space="0" w:color="A9DCF3"/>
        </w:tblBorders>
        <w:tblLook w:val="00A0" w:firstRow="1" w:lastRow="0" w:firstColumn="1" w:lastColumn="0" w:noHBand="0" w:noVBand="0"/>
      </w:tblPr>
      <w:tblGrid>
        <w:gridCol w:w="2577"/>
        <w:gridCol w:w="2309"/>
        <w:gridCol w:w="4320"/>
      </w:tblGrid>
      <w:tr w:rsidR="00BA0236" w:rsidRPr="00B32914" w14:paraId="46EDEC97" w14:textId="77777777" w:rsidTr="00347E16">
        <w:trPr>
          <w:trHeight w:val="407"/>
        </w:trPr>
        <w:tc>
          <w:tcPr>
            <w:tcW w:w="2577" w:type="dxa"/>
            <w:tcBorders>
              <w:bottom w:val="single" w:sz="12" w:space="0" w:color="7ECBED"/>
            </w:tcBorders>
            <w:shd w:val="clear" w:color="auto" w:fill="D4EDF9"/>
          </w:tcPr>
          <w:p w14:paraId="771873DF" w14:textId="77777777" w:rsidR="00BA0236" w:rsidRPr="00B32914" w:rsidRDefault="00BA0236">
            <w:pPr>
              <w:spacing w:before="60" w:after="60"/>
              <w:rPr>
                <w:b/>
                <w:bCs/>
                <w:color w:val="000000"/>
              </w:rPr>
            </w:pPr>
            <w:r w:rsidRPr="00B32914">
              <w:rPr>
                <w:bCs/>
                <w:color w:val="000000"/>
              </w:rPr>
              <w:t>Obszar problemowy</w:t>
            </w:r>
          </w:p>
        </w:tc>
        <w:tc>
          <w:tcPr>
            <w:tcW w:w="2309" w:type="dxa"/>
            <w:tcBorders>
              <w:bottom w:val="single" w:sz="12" w:space="0" w:color="7ECBED"/>
            </w:tcBorders>
            <w:shd w:val="clear" w:color="auto" w:fill="D4EDF9"/>
          </w:tcPr>
          <w:p w14:paraId="0022287A" w14:textId="77777777" w:rsidR="00BA0236" w:rsidRPr="00B32914" w:rsidRDefault="00BA0236">
            <w:pPr>
              <w:spacing w:before="60" w:after="60"/>
              <w:rPr>
                <w:bCs/>
                <w:color w:val="000000"/>
              </w:rPr>
            </w:pPr>
            <w:r w:rsidRPr="00B32914">
              <w:rPr>
                <w:bCs/>
                <w:color w:val="000000"/>
              </w:rPr>
              <w:t>Wariant</w:t>
            </w:r>
          </w:p>
        </w:tc>
        <w:tc>
          <w:tcPr>
            <w:tcW w:w="4320" w:type="dxa"/>
            <w:tcBorders>
              <w:bottom w:val="single" w:sz="12" w:space="0" w:color="7ECBED"/>
            </w:tcBorders>
            <w:shd w:val="clear" w:color="auto" w:fill="D4EDF9"/>
          </w:tcPr>
          <w:p w14:paraId="39778A8A" w14:textId="77777777" w:rsidR="00BA0236" w:rsidRPr="00B32914" w:rsidRDefault="00BA0236">
            <w:pPr>
              <w:spacing w:line="360" w:lineRule="auto"/>
              <w:rPr>
                <w:bCs/>
                <w:color w:val="000000"/>
              </w:rPr>
            </w:pPr>
            <w:r w:rsidRPr="00B32914">
              <w:rPr>
                <w:bCs/>
                <w:color w:val="000000"/>
              </w:rPr>
              <w:t xml:space="preserve">Ocena istotności oddziaływań </w:t>
            </w:r>
          </w:p>
          <w:p w14:paraId="3A0AAF25" w14:textId="77777777" w:rsidR="00BA0236" w:rsidRPr="00B32914" w:rsidRDefault="00BA0236">
            <w:pPr>
              <w:spacing w:line="360" w:lineRule="auto"/>
              <w:rPr>
                <w:b/>
                <w:bCs/>
                <w:color w:val="000000"/>
              </w:rPr>
            </w:pPr>
            <w:r w:rsidRPr="00B32914">
              <w:rPr>
                <w:bCs/>
                <w:color w:val="000000"/>
              </w:rPr>
              <w:t>(B- brak oddziaływań, UN - umiarkowane nieznaczące, PZ - potencjalnie znaczące)</w:t>
            </w:r>
          </w:p>
        </w:tc>
      </w:tr>
      <w:tr w:rsidR="00BA0236" w:rsidRPr="00B32914" w14:paraId="349EEA42" w14:textId="77777777" w:rsidTr="00347E16">
        <w:trPr>
          <w:trHeight w:val="469"/>
        </w:trPr>
        <w:tc>
          <w:tcPr>
            <w:tcW w:w="2577" w:type="dxa"/>
            <w:tcBorders>
              <w:top w:val="double" w:sz="4" w:space="0" w:color="28AAE1"/>
            </w:tcBorders>
          </w:tcPr>
          <w:p w14:paraId="309A4801" w14:textId="77777777" w:rsidR="00BA0236" w:rsidRPr="00B32914" w:rsidRDefault="00BA0236">
            <w:pPr>
              <w:spacing w:before="100" w:beforeAutospacing="1" w:after="100" w:afterAutospacing="1"/>
              <w:rPr>
                <w:lang w:eastAsia="pl-PL"/>
              </w:rPr>
            </w:pPr>
            <w:r w:rsidRPr="00B32914">
              <w:rPr>
                <w:color w:val="000000"/>
                <w:lang w:eastAsia="pl-PL"/>
              </w:rPr>
              <w:t xml:space="preserve">MR_1 Żuławy Wiślane  </w:t>
            </w:r>
          </w:p>
          <w:p w14:paraId="29C91E77" w14:textId="77777777" w:rsidR="00BA0236" w:rsidRPr="00B32914" w:rsidRDefault="00BA0236">
            <w:pPr>
              <w:spacing w:before="60" w:after="60"/>
              <w:rPr>
                <w:b/>
                <w:bCs/>
                <w:color w:val="000000"/>
              </w:rPr>
            </w:pPr>
          </w:p>
        </w:tc>
        <w:tc>
          <w:tcPr>
            <w:tcW w:w="2309" w:type="dxa"/>
            <w:tcBorders>
              <w:top w:val="double" w:sz="4" w:space="0" w:color="28AAE1"/>
            </w:tcBorders>
            <w:noWrap/>
          </w:tcPr>
          <w:p w14:paraId="23A27560" w14:textId="77777777" w:rsidR="00BA0236" w:rsidRPr="00B32914" w:rsidRDefault="00BA0236">
            <w:pPr>
              <w:spacing w:before="40" w:after="40"/>
              <w:jc w:val="center"/>
              <w:rPr>
                <w:bCs/>
                <w:color w:val="000000"/>
              </w:rPr>
            </w:pPr>
            <w:r w:rsidRPr="00B32914">
              <w:rPr>
                <w:color w:val="000000"/>
                <w:lang w:eastAsia="pl-PL"/>
              </w:rPr>
              <w:t>Wariant II</w:t>
            </w:r>
          </w:p>
        </w:tc>
        <w:tc>
          <w:tcPr>
            <w:tcW w:w="4320" w:type="dxa"/>
            <w:tcBorders>
              <w:top w:val="double" w:sz="4" w:space="0" w:color="28AAE1"/>
            </w:tcBorders>
            <w:noWrap/>
          </w:tcPr>
          <w:p w14:paraId="2A7DBBEB" w14:textId="77777777" w:rsidR="00BA0236" w:rsidRPr="00B32914" w:rsidRDefault="00BA0236">
            <w:pPr>
              <w:spacing w:before="40" w:after="40"/>
              <w:jc w:val="center"/>
              <w:rPr>
                <w:bCs/>
                <w:color w:val="000000"/>
              </w:rPr>
            </w:pPr>
            <w:r w:rsidRPr="00B32914">
              <w:rPr>
                <w:bCs/>
                <w:color w:val="000000"/>
              </w:rPr>
              <w:t>UN/PZ</w:t>
            </w:r>
          </w:p>
        </w:tc>
      </w:tr>
      <w:tr w:rsidR="00BA0236" w:rsidRPr="00B32914" w14:paraId="56603B69" w14:textId="77777777" w:rsidTr="00347E16">
        <w:trPr>
          <w:trHeight w:val="400"/>
        </w:trPr>
        <w:tc>
          <w:tcPr>
            <w:tcW w:w="2577" w:type="dxa"/>
          </w:tcPr>
          <w:p w14:paraId="4F8DAF2E" w14:textId="77777777" w:rsidR="00BA0236" w:rsidRPr="00B32914" w:rsidRDefault="00BA0236">
            <w:pPr>
              <w:spacing w:before="100" w:beforeAutospacing="1" w:after="100" w:afterAutospacing="1"/>
              <w:rPr>
                <w:lang w:eastAsia="pl-PL"/>
              </w:rPr>
            </w:pPr>
            <w:r w:rsidRPr="00B32914">
              <w:rPr>
                <w:color w:val="000000"/>
                <w:lang w:eastAsia="pl-PL"/>
              </w:rPr>
              <w:t xml:space="preserve">MR_2 Ujście Redy </w:t>
            </w:r>
          </w:p>
          <w:p w14:paraId="09866350" w14:textId="77777777" w:rsidR="00BA0236" w:rsidRPr="00B32914" w:rsidRDefault="00BA0236">
            <w:pPr>
              <w:spacing w:before="60" w:after="60"/>
              <w:rPr>
                <w:b/>
                <w:bCs/>
                <w:color w:val="000000"/>
              </w:rPr>
            </w:pPr>
          </w:p>
        </w:tc>
        <w:tc>
          <w:tcPr>
            <w:tcW w:w="2309" w:type="dxa"/>
            <w:noWrap/>
          </w:tcPr>
          <w:p w14:paraId="039CA140" w14:textId="77777777" w:rsidR="00BA0236" w:rsidRPr="00B32914" w:rsidRDefault="00BA0236">
            <w:pPr>
              <w:spacing w:before="40" w:after="40"/>
              <w:jc w:val="center"/>
              <w:rPr>
                <w:bCs/>
                <w:color w:val="000000"/>
              </w:rPr>
            </w:pPr>
            <w:r w:rsidRPr="00B32914">
              <w:rPr>
                <w:color w:val="000000"/>
                <w:lang w:eastAsia="pl-PL"/>
              </w:rPr>
              <w:t>Wariant I</w:t>
            </w:r>
          </w:p>
        </w:tc>
        <w:tc>
          <w:tcPr>
            <w:tcW w:w="4320" w:type="dxa"/>
            <w:noWrap/>
          </w:tcPr>
          <w:p w14:paraId="2AE2B5AB" w14:textId="77777777" w:rsidR="00BA0236" w:rsidRPr="00B32914" w:rsidRDefault="00BA0236">
            <w:pPr>
              <w:spacing w:before="40" w:after="40"/>
              <w:jc w:val="center"/>
              <w:rPr>
                <w:bCs/>
                <w:color w:val="000000"/>
              </w:rPr>
            </w:pPr>
            <w:r w:rsidRPr="00B32914">
              <w:rPr>
                <w:bCs/>
                <w:color w:val="000000"/>
              </w:rPr>
              <w:t>UN/PZ</w:t>
            </w:r>
          </w:p>
        </w:tc>
      </w:tr>
      <w:tr w:rsidR="00BA0236" w:rsidRPr="00B32914" w14:paraId="3B58C430" w14:textId="77777777" w:rsidTr="00347E16">
        <w:trPr>
          <w:trHeight w:val="275"/>
        </w:trPr>
        <w:tc>
          <w:tcPr>
            <w:tcW w:w="2577" w:type="dxa"/>
          </w:tcPr>
          <w:p w14:paraId="44D40043" w14:textId="77777777" w:rsidR="00BA0236" w:rsidRPr="00B32914" w:rsidRDefault="00BA0236">
            <w:pPr>
              <w:spacing w:before="100" w:beforeAutospacing="1" w:after="100" w:afterAutospacing="1"/>
              <w:rPr>
                <w:lang w:eastAsia="pl-PL"/>
              </w:rPr>
            </w:pPr>
            <w:r w:rsidRPr="00B32914">
              <w:rPr>
                <w:color w:val="000000"/>
                <w:lang w:eastAsia="pl-PL"/>
              </w:rPr>
              <w:t xml:space="preserve">IOP_1 Miasto Gdańsk </w:t>
            </w:r>
          </w:p>
          <w:p w14:paraId="141AF15F" w14:textId="77777777" w:rsidR="00BA0236" w:rsidRPr="00B32914" w:rsidRDefault="00BA0236">
            <w:pPr>
              <w:spacing w:before="60" w:after="60"/>
              <w:rPr>
                <w:b/>
                <w:bCs/>
                <w:color w:val="000000"/>
              </w:rPr>
            </w:pPr>
          </w:p>
        </w:tc>
        <w:tc>
          <w:tcPr>
            <w:tcW w:w="2309" w:type="dxa"/>
            <w:noWrap/>
          </w:tcPr>
          <w:p w14:paraId="68AA739F" w14:textId="77777777" w:rsidR="00BA0236" w:rsidRPr="00B32914" w:rsidRDefault="00BA0236">
            <w:pPr>
              <w:spacing w:before="40" w:after="40"/>
              <w:jc w:val="center"/>
              <w:rPr>
                <w:bCs/>
                <w:color w:val="000000"/>
              </w:rPr>
            </w:pPr>
            <w:r w:rsidRPr="00B32914">
              <w:rPr>
                <w:bCs/>
                <w:color w:val="000000"/>
                <w:lang w:eastAsia="pl-PL"/>
              </w:rPr>
              <w:t>Wariant I</w:t>
            </w:r>
          </w:p>
        </w:tc>
        <w:tc>
          <w:tcPr>
            <w:tcW w:w="4320" w:type="dxa"/>
            <w:noWrap/>
          </w:tcPr>
          <w:p w14:paraId="6E2277BF" w14:textId="77777777" w:rsidR="00BA0236" w:rsidRPr="00B32914" w:rsidRDefault="00BA0236">
            <w:pPr>
              <w:spacing w:before="40" w:after="40"/>
              <w:jc w:val="center"/>
              <w:rPr>
                <w:bCs/>
                <w:color w:val="000000"/>
              </w:rPr>
            </w:pPr>
            <w:r w:rsidRPr="00B32914">
              <w:rPr>
                <w:bCs/>
                <w:color w:val="000000"/>
              </w:rPr>
              <w:t>B</w:t>
            </w:r>
          </w:p>
        </w:tc>
      </w:tr>
      <w:tr w:rsidR="00BA0236" w:rsidRPr="00B32914" w14:paraId="695711C5" w14:textId="77777777" w:rsidTr="00347E16">
        <w:trPr>
          <w:trHeight w:val="275"/>
        </w:trPr>
        <w:tc>
          <w:tcPr>
            <w:tcW w:w="2577" w:type="dxa"/>
          </w:tcPr>
          <w:p w14:paraId="576B2B32" w14:textId="77777777" w:rsidR="00BA0236" w:rsidRPr="00B32914" w:rsidRDefault="00BA0236">
            <w:pPr>
              <w:spacing w:before="100" w:beforeAutospacing="1" w:after="100" w:afterAutospacing="1"/>
              <w:rPr>
                <w:lang w:eastAsia="pl-PL"/>
              </w:rPr>
            </w:pPr>
            <w:r w:rsidRPr="00B32914">
              <w:rPr>
                <w:color w:val="000000"/>
                <w:lang w:eastAsia="pl-PL"/>
              </w:rPr>
              <w:t xml:space="preserve">IOP_2 Mierzeja Helska </w:t>
            </w:r>
          </w:p>
          <w:p w14:paraId="4564FB20" w14:textId="77777777" w:rsidR="00BA0236" w:rsidRPr="00B32914" w:rsidRDefault="00BA0236">
            <w:pPr>
              <w:spacing w:before="100" w:beforeAutospacing="1" w:after="100" w:afterAutospacing="1"/>
              <w:rPr>
                <w:color w:val="000000"/>
                <w:lang w:eastAsia="pl-PL"/>
              </w:rPr>
            </w:pPr>
          </w:p>
        </w:tc>
        <w:tc>
          <w:tcPr>
            <w:tcW w:w="2309" w:type="dxa"/>
            <w:noWrap/>
          </w:tcPr>
          <w:p w14:paraId="4E02CBEC" w14:textId="77777777" w:rsidR="00BA0236" w:rsidRPr="00B32914" w:rsidRDefault="00BA0236">
            <w:pPr>
              <w:spacing w:before="40" w:after="40"/>
              <w:jc w:val="center"/>
              <w:rPr>
                <w:bCs/>
                <w:color w:val="000000"/>
                <w:lang w:eastAsia="pl-PL"/>
              </w:rPr>
            </w:pPr>
            <w:r w:rsidRPr="00B32914">
              <w:rPr>
                <w:bCs/>
                <w:color w:val="000000"/>
                <w:lang w:eastAsia="pl-PL"/>
              </w:rPr>
              <w:t>Wariant I</w:t>
            </w:r>
          </w:p>
        </w:tc>
        <w:tc>
          <w:tcPr>
            <w:tcW w:w="4320" w:type="dxa"/>
            <w:noWrap/>
          </w:tcPr>
          <w:p w14:paraId="5C55F9A5" w14:textId="77777777" w:rsidR="00BA0236" w:rsidRPr="00B32914" w:rsidRDefault="00BA0236">
            <w:pPr>
              <w:spacing w:before="40" w:after="40"/>
              <w:jc w:val="center"/>
              <w:rPr>
                <w:bCs/>
                <w:color w:val="000000"/>
              </w:rPr>
            </w:pPr>
            <w:r w:rsidRPr="00B32914">
              <w:rPr>
                <w:bCs/>
                <w:color w:val="000000"/>
              </w:rPr>
              <w:t>UN/PZ</w:t>
            </w:r>
          </w:p>
        </w:tc>
      </w:tr>
      <w:tr w:rsidR="00BA0236" w:rsidRPr="00B32914" w14:paraId="7D4152EE" w14:textId="77777777" w:rsidTr="00347E16">
        <w:trPr>
          <w:trHeight w:val="275"/>
        </w:trPr>
        <w:tc>
          <w:tcPr>
            <w:tcW w:w="2577" w:type="dxa"/>
          </w:tcPr>
          <w:p w14:paraId="4C51A2CF" w14:textId="77777777" w:rsidR="00BA0236" w:rsidRPr="00B32914" w:rsidRDefault="00BA0236">
            <w:pPr>
              <w:spacing w:before="100" w:beforeAutospacing="1" w:after="100" w:afterAutospacing="1"/>
              <w:rPr>
                <w:lang w:eastAsia="pl-PL"/>
              </w:rPr>
            </w:pPr>
            <w:r w:rsidRPr="00B32914">
              <w:rPr>
                <w:color w:val="000000"/>
                <w:lang w:eastAsia="pl-PL"/>
              </w:rPr>
              <w:t>IOP_5_Krynica Morska -</w:t>
            </w:r>
          </w:p>
          <w:p w14:paraId="72DFBCC8" w14:textId="77777777" w:rsidR="00BA0236" w:rsidRPr="00B32914" w:rsidRDefault="00BA0236">
            <w:pPr>
              <w:spacing w:before="100" w:beforeAutospacing="1" w:after="100" w:afterAutospacing="1"/>
              <w:rPr>
                <w:color w:val="000000"/>
                <w:lang w:eastAsia="pl-PL"/>
              </w:rPr>
            </w:pPr>
          </w:p>
        </w:tc>
        <w:tc>
          <w:tcPr>
            <w:tcW w:w="2309" w:type="dxa"/>
            <w:noWrap/>
          </w:tcPr>
          <w:p w14:paraId="0C5A3FD8" w14:textId="77777777" w:rsidR="00BA0236" w:rsidRPr="00B32914" w:rsidRDefault="00BA0236">
            <w:pPr>
              <w:spacing w:before="40" w:after="40"/>
              <w:jc w:val="center"/>
              <w:rPr>
                <w:bCs/>
                <w:color w:val="000000"/>
                <w:lang w:eastAsia="pl-PL"/>
              </w:rPr>
            </w:pPr>
            <w:r w:rsidRPr="00B32914">
              <w:rPr>
                <w:color w:val="000000"/>
                <w:lang w:eastAsia="pl-PL"/>
              </w:rPr>
              <w:t>Wariant I</w:t>
            </w:r>
          </w:p>
        </w:tc>
        <w:tc>
          <w:tcPr>
            <w:tcW w:w="4320" w:type="dxa"/>
            <w:noWrap/>
          </w:tcPr>
          <w:p w14:paraId="7D4FE641" w14:textId="77777777" w:rsidR="00BA0236" w:rsidRPr="00B32914" w:rsidRDefault="00BA0236">
            <w:pPr>
              <w:spacing w:before="40" w:after="40"/>
              <w:jc w:val="center"/>
              <w:rPr>
                <w:bCs/>
                <w:color w:val="000000"/>
              </w:rPr>
            </w:pPr>
            <w:r w:rsidRPr="00B32914">
              <w:rPr>
                <w:bCs/>
                <w:color w:val="000000"/>
              </w:rPr>
              <w:t>B</w:t>
            </w:r>
          </w:p>
        </w:tc>
      </w:tr>
      <w:tr w:rsidR="00BA0236" w:rsidRPr="00B32914" w14:paraId="4E113449" w14:textId="77777777" w:rsidTr="00347E16">
        <w:trPr>
          <w:trHeight w:val="275"/>
        </w:trPr>
        <w:tc>
          <w:tcPr>
            <w:tcW w:w="2577" w:type="dxa"/>
          </w:tcPr>
          <w:p w14:paraId="4E177676" w14:textId="77777777" w:rsidR="00BA0236" w:rsidRPr="00B32914" w:rsidRDefault="00BA0236">
            <w:pPr>
              <w:spacing w:before="100" w:beforeAutospacing="1" w:after="100" w:afterAutospacing="1"/>
              <w:rPr>
                <w:lang w:eastAsia="pl-PL"/>
              </w:rPr>
            </w:pPr>
            <w:r w:rsidRPr="00B32914">
              <w:rPr>
                <w:color w:val="000000"/>
                <w:lang w:eastAsia="pl-PL"/>
              </w:rPr>
              <w:t xml:space="preserve">IOP_7 Ustka - ujście Słupi </w:t>
            </w:r>
          </w:p>
          <w:p w14:paraId="75286C66" w14:textId="77777777" w:rsidR="00BA0236" w:rsidRPr="00B32914" w:rsidRDefault="00BA0236">
            <w:pPr>
              <w:spacing w:before="100" w:beforeAutospacing="1" w:after="100" w:afterAutospacing="1"/>
              <w:rPr>
                <w:color w:val="000000"/>
                <w:lang w:eastAsia="pl-PL"/>
              </w:rPr>
            </w:pPr>
          </w:p>
        </w:tc>
        <w:tc>
          <w:tcPr>
            <w:tcW w:w="2309" w:type="dxa"/>
            <w:noWrap/>
          </w:tcPr>
          <w:p w14:paraId="2AD37599" w14:textId="77777777" w:rsidR="00BA0236" w:rsidRPr="00B32914" w:rsidRDefault="00BA0236">
            <w:pPr>
              <w:spacing w:before="40" w:after="40"/>
              <w:jc w:val="center"/>
              <w:rPr>
                <w:color w:val="000000"/>
                <w:lang w:eastAsia="pl-PL"/>
              </w:rPr>
            </w:pPr>
            <w:r w:rsidRPr="00B32914">
              <w:rPr>
                <w:color w:val="000000"/>
                <w:lang w:eastAsia="pl-PL"/>
              </w:rPr>
              <w:t>Wariant II</w:t>
            </w:r>
          </w:p>
        </w:tc>
        <w:tc>
          <w:tcPr>
            <w:tcW w:w="4320" w:type="dxa"/>
            <w:noWrap/>
          </w:tcPr>
          <w:p w14:paraId="0D5341D5" w14:textId="77777777" w:rsidR="00BA0236" w:rsidRPr="00B32914" w:rsidRDefault="00BA0236">
            <w:pPr>
              <w:spacing w:before="40" w:after="40"/>
              <w:jc w:val="center"/>
              <w:rPr>
                <w:bCs/>
                <w:color w:val="000000"/>
              </w:rPr>
            </w:pPr>
            <w:r w:rsidRPr="00B32914">
              <w:rPr>
                <w:bCs/>
                <w:color w:val="000000"/>
              </w:rPr>
              <w:t>PZ</w:t>
            </w:r>
          </w:p>
        </w:tc>
      </w:tr>
      <w:tr w:rsidR="00BA0236" w:rsidRPr="00B32914" w14:paraId="04C6CD34" w14:textId="77777777" w:rsidTr="00347E16">
        <w:trPr>
          <w:trHeight w:val="275"/>
        </w:trPr>
        <w:tc>
          <w:tcPr>
            <w:tcW w:w="2577" w:type="dxa"/>
          </w:tcPr>
          <w:p w14:paraId="482A73DE" w14:textId="2FFADA1A" w:rsidR="00BA0236" w:rsidRPr="00B32914" w:rsidRDefault="00BA0236" w:rsidP="003B40C5">
            <w:pPr>
              <w:spacing w:before="100" w:beforeAutospacing="1" w:after="100" w:afterAutospacing="1"/>
              <w:rPr>
                <w:color w:val="000000"/>
                <w:lang w:eastAsia="pl-PL"/>
              </w:rPr>
            </w:pPr>
            <w:r w:rsidRPr="00B32914">
              <w:rPr>
                <w:sz w:val="22"/>
                <w:szCs w:val="22"/>
              </w:rPr>
              <w:t xml:space="preserve">Obszar problemowy IOP_8 – Dębki </w:t>
            </w:r>
          </w:p>
        </w:tc>
        <w:tc>
          <w:tcPr>
            <w:tcW w:w="2309" w:type="dxa"/>
            <w:noWrap/>
          </w:tcPr>
          <w:p w14:paraId="1FABDA66" w14:textId="77777777" w:rsidR="00BA0236" w:rsidRPr="00B32914" w:rsidRDefault="00BA0236">
            <w:pPr>
              <w:spacing w:before="40" w:after="40"/>
              <w:jc w:val="center"/>
              <w:rPr>
                <w:color w:val="000000"/>
                <w:lang w:eastAsia="pl-PL"/>
              </w:rPr>
            </w:pPr>
            <w:r w:rsidRPr="00B32914">
              <w:rPr>
                <w:color w:val="000000"/>
                <w:lang w:eastAsia="pl-PL"/>
              </w:rPr>
              <w:t>Wariant II</w:t>
            </w:r>
          </w:p>
        </w:tc>
        <w:tc>
          <w:tcPr>
            <w:tcW w:w="4320" w:type="dxa"/>
            <w:noWrap/>
          </w:tcPr>
          <w:p w14:paraId="1EE65139" w14:textId="77777777" w:rsidR="00BA0236" w:rsidRPr="00B32914" w:rsidRDefault="00BA0236">
            <w:pPr>
              <w:spacing w:before="40" w:after="40"/>
              <w:jc w:val="center"/>
              <w:rPr>
                <w:bCs/>
                <w:color w:val="000000"/>
              </w:rPr>
            </w:pPr>
            <w:r w:rsidRPr="00B32914">
              <w:rPr>
                <w:bCs/>
                <w:color w:val="000000"/>
              </w:rPr>
              <w:t>UN/PZ</w:t>
            </w:r>
          </w:p>
        </w:tc>
      </w:tr>
      <w:tr w:rsidR="00BA0236" w:rsidRPr="00B32914" w14:paraId="1C03EABF" w14:textId="77777777" w:rsidTr="00347E16">
        <w:trPr>
          <w:trHeight w:val="275"/>
        </w:trPr>
        <w:tc>
          <w:tcPr>
            <w:tcW w:w="2577" w:type="dxa"/>
          </w:tcPr>
          <w:p w14:paraId="59BB0108" w14:textId="77777777" w:rsidR="00BA0236" w:rsidRPr="00B32914" w:rsidRDefault="00BA0236">
            <w:pPr>
              <w:spacing w:before="100" w:beforeAutospacing="1" w:after="100" w:afterAutospacing="1"/>
              <w:rPr>
                <w:lang w:eastAsia="pl-PL"/>
              </w:rPr>
            </w:pPr>
            <w:r w:rsidRPr="00B32914">
              <w:rPr>
                <w:color w:val="000000"/>
                <w:lang w:eastAsia="pl-PL"/>
              </w:rPr>
              <w:t xml:space="preserve">IOP_12 </w:t>
            </w:r>
            <w:r w:rsidRPr="00B32914">
              <w:rPr>
                <w:sz w:val="22"/>
                <w:szCs w:val="22"/>
              </w:rPr>
              <w:t>Łeba od Mielnickiego Kanału do Chełstu</w:t>
            </w:r>
            <w:r w:rsidRPr="00B32914">
              <w:rPr>
                <w:color w:val="000000"/>
                <w:lang w:eastAsia="pl-PL"/>
              </w:rPr>
              <w:t xml:space="preserve"> </w:t>
            </w:r>
          </w:p>
        </w:tc>
        <w:tc>
          <w:tcPr>
            <w:tcW w:w="2309" w:type="dxa"/>
            <w:noWrap/>
          </w:tcPr>
          <w:p w14:paraId="76237222" w14:textId="77777777" w:rsidR="00BA0236" w:rsidRPr="00B32914" w:rsidRDefault="00BA0236">
            <w:pPr>
              <w:spacing w:before="40" w:after="40"/>
              <w:jc w:val="center"/>
              <w:rPr>
                <w:color w:val="000000"/>
                <w:lang w:eastAsia="pl-PL"/>
              </w:rPr>
            </w:pPr>
            <w:r w:rsidRPr="00B32914">
              <w:rPr>
                <w:bCs/>
                <w:color w:val="000000"/>
                <w:lang w:eastAsia="pl-PL"/>
              </w:rPr>
              <w:t>Wariant I</w:t>
            </w:r>
          </w:p>
        </w:tc>
        <w:tc>
          <w:tcPr>
            <w:tcW w:w="4320" w:type="dxa"/>
            <w:noWrap/>
          </w:tcPr>
          <w:p w14:paraId="48DE8793" w14:textId="77777777" w:rsidR="00BA0236" w:rsidRPr="00B32914" w:rsidRDefault="00BA0236">
            <w:pPr>
              <w:spacing w:before="40" w:after="40"/>
              <w:jc w:val="center"/>
              <w:rPr>
                <w:bCs/>
                <w:color w:val="000000"/>
              </w:rPr>
            </w:pPr>
            <w:r w:rsidRPr="00B32914">
              <w:rPr>
                <w:bCs/>
                <w:color w:val="000000"/>
              </w:rPr>
              <w:t>B</w:t>
            </w:r>
          </w:p>
        </w:tc>
      </w:tr>
    </w:tbl>
    <w:p w14:paraId="5D515AC8" w14:textId="77777777" w:rsidR="00BA0236" w:rsidRDefault="00BA0236" w:rsidP="00347E16">
      <w:pPr>
        <w:pStyle w:val="ReportText"/>
        <w:spacing w:before="120"/>
        <w:rPr>
          <w:szCs w:val="24"/>
        </w:rPr>
      </w:pPr>
    </w:p>
    <w:p w14:paraId="151489BE" w14:textId="77777777" w:rsidR="00BA0236" w:rsidRPr="000426E1" w:rsidRDefault="00BA0236" w:rsidP="000426E1">
      <w:pPr>
        <w:pStyle w:val="ReportText"/>
        <w:spacing w:before="120"/>
        <w:rPr>
          <w:szCs w:val="24"/>
        </w:rPr>
      </w:pPr>
      <w:r w:rsidRPr="000426E1">
        <w:rPr>
          <w:szCs w:val="24"/>
        </w:rPr>
        <w:t>Podsumowanie oceny istotności oddziaływań wariantów z listy ostatecznej na stan i cele środowiskowe JCWP:</w:t>
      </w:r>
    </w:p>
    <w:p w14:paraId="4FF504C1" w14:textId="7C42C1C7" w:rsidR="00BA0236" w:rsidRPr="000426E1" w:rsidRDefault="00BA0236" w:rsidP="008D7CA9">
      <w:pPr>
        <w:pStyle w:val="ReportText"/>
        <w:numPr>
          <w:ilvl w:val="2"/>
          <w:numId w:val="15"/>
        </w:numPr>
        <w:spacing w:before="120"/>
        <w:ind w:left="567" w:hanging="425"/>
        <w:rPr>
          <w:szCs w:val="24"/>
        </w:rPr>
      </w:pPr>
      <w:r w:rsidRPr="000426E1">
        <w:rPr>
          <w:szCs w:val="24"/>
        </w:rPr>
        <w:t>warianty, które uzyskały ocenę B (brak oddziaływań negatywnych na stan i cele środowiskowe JCWP):</w:t>
      </w:r>
    </w:p>
    <w:p w14:paraId="05C44BF0" w14:textId="77777777" w:rsidR="00BA0236" w:rsidRPr="000426E1" w:rsidRDefault="00BA0236" w:rsidP="008D7CA9">
      <w:pPr>
        <w:numPr>
          <w:ilvl w:val="0"/>
          <w:numId w:val="46"/>
        </w:numPr>
        <w:tabs>
          <w:tab w:val="clear" w:pos="720"/>
        </w:tabs>
        <w:spacing w:before="120" w:after="120"/>
        <w:ind w:left="1134" w:hanging="283"/>
        <w:jc w:val="both"/>
      </w:pPr>
      <w:r w:rsidRPr="000426E1">
        <w:t>Obszar problemowy IOP_1 – Miasto Gdańsk Wariant 1</w:t>
      </w:r>
    </w:p>
    <w:p w14:paraId="56A1F846" w14:textId="77777777" w:rsidR="00BA0236" w:rsidRPr="000426E1" w:rsidRDefault="00BA0236" w:rsidP="008D7CA9">
      <w:pPr>
        <w:numPr>
          <w:ilvl w:val="0"/>
          <w:numId w:val="46"/>
        </w:numPr>
        <w:tabs>
          <w:tab w:val="clear" w:pos="720"/>
        </w:tabs>
        <w:spacing w:before="120" w:after="120"/>
        <w:ind w:left="1134" w:hanging="283"/>
        <w:jc w:val="both"/>
      </w:pPr>
      <w:r w:rsidRPr="000426E1">
        <w:t>Obszar problemowy IOP_5 – Krynica Morska - Zalew Wiślany Wariant 1</w:t>
      </w:r>
    </w:p>
    <w:p w14:paraId="1EBE7737" w14:textId="77777777" w:rsidR="00BA0236" w:rsidRPr="000426E1" w:rsidRDefault="00BA0236" w:rsidP="008D7CA9">
      <w:pPr>
        <w:numPr>
          <w:ilvl w:val="0"/>
          <w:numId w:val="46"/>
        </w:numPr>
        <w:tabs>
          <w:tab w:val="clear" w:pos="720"/>
        </w:tabs>
        <w:spacing w:before="120" w:after="120"/>
        <w:ind w:left="1134" w:hanging="283"/>
        <w:jc w:val="both"/>
      </w:pPr>
      <w:r w:rsidRPr="000426E1">
        <w:t xml:space="preserve">Obszar problemowy </w:t>
      </w:r>
      <w:r w:rsidRPr="000426E1">
        <w:rPr>
          <w:bCs/>
        </w:rPr>
        <w:t xml:space="preserve">IOP </w:t>
      </w:r>
      <w:r w:rsidRPr="000426E1">
        <w:t>_12 – Łeba od Mielnickiego Kanału do Chełstu Wariant 1</w:t>
      </w:r>
    </w:p>
    <w:p w14:paraId="0BF02E09" w14:textId="0B3A9773" w:rsidR="00BA0236" w:rsidRPr="000426E1" w:rsidRDefault="00A26088" w:rsidP="008D7CA9">
      <w:pPr>
        <w:pStyle w:val="ReportText"/>
        <w:numPr>
          <w:ilvl w:val="2"/>
          <w:numId w:val="15"/>
        </w:numPr>
        <w:spacing w:before="120" w:after="120" w:line="240" w:lineRule="auto"/>
        <w:ind w:left="567" w:hanging="425"/>
        <w:rPr>
          <w:szCs w:val="24"/>
        </w:rPr>
      </w:pPr>
      <w:r>
        <w:rPr>
          <w:szCs w:val="24"/>
        </w:rPr>
        <w:br w:type="column"/>
      </w:r>
      <w:r w:rsidR="00BA0236" w:rsidRPr="000426E1">
        <w:rPr>
          <w:szCs w:val="24"/>
        </w:rPr>
        <w:lastRenderedPageBreak/>
        <w:t>warianty, które uzyskały oceną UN/PZ (oddziaływania umiarkowanie nieznaczące, wymagające i możliwe do zminimalizowania, potencjalnie znaczące):</w:t>
      </w:r>
    </w:p>
    <w:p w14:paraId="1822B376" w14:textId="77777777" w:rsidR="00BA0236" w:rsidRPr="000426E1" w:rsidRDefault="00BA0236" w:rsidP="008D7CA9">
      <w:pPr>
        <w:pStyle w:val="ListParagraph2"/>
        <w:numPr>
          <w:ilvl w:val="0"/>
          <w:numId w:val="46"/>
        </w:numPr>
        <w:tabs>
          <w:tab w:val="clear" w:pos="720"/>
          <w:tab w:val="num" w:pos="1134"/>
          <w:tab w:val="left" w:pos="2250"/>
        </w:tabs>
        <w:spacing w:before="120" w:after="120" w:line="240" w:lineRule="auto"/>
        <w:ind w:left="1134" w:hanging="283"/>
        <w:jc w:val="both"/>
        <w:rPr>
          <w:rFonts w:ascii="Times New Roman" w:hAnsi="Times New Roman"/>
          <w:sz w:val="24"/>
          <w:szCs w:val="24"/>
        </w:rPr>
      </w:pPr>
      <w:r w:rsidRPr="000426E1">
        <w:rPr>
          <w:rFonts w:ascii="Times New Roman" w:hAnsi="Times New Roman"/>
          <w:sz w:val="24"/>
          <w:szCs w:val="24"/>
        </w:rPr>
        <w:t>Obszar problemowy MR_2 – Mechelinki, Rewa, Mosty, Połchowo - ujście Redy Wariant 1</w:t>
      </w:r>
    </w:p>
    <w:p w14:paraId="064B8572" w14:textId="77777777" w:rsidR="00BA0236" w:rsidRPr="000426E1" w:rsidRDefault="00BA0236" w:rsidP="008D7CA9">
      <w:pPr>
        <w:numPr>
          <w:ilvl w:val="0"/>
          <w:numId w:val="46"/>
        </w:numPr>
        <w:tabs>
          <w:tab w:val="clear" w:pos="720"/>
          <w:tab w:val="num" w:pos="1134"/>
        </w:tabs>
        <w:spacing w:before="120" w:after="120"/>
        <w:ind w:left="1134" w:hanging="283"/>
        <w:jc w:val="both"/>
      </w:pPr>
      <w:r w:rsidRPr="000426E1">
        <w:t xml:space="preserve">Obszar problemowy </w:t>
      </w:r>
      <w:r w:rsidRPr="000426E1">
        <w:rPr>
          <w:bCs/>
        </w:rPr>
        <w:t>I</w:t>
      </w:r>
      <w:r w:rsidRPr="000426E1">
        <w:t>OP_2 – Mierzeja Helska – Jastarnia, Hel Wariant 1</w:t>
      </w:r>
    </w:p>
    <w:p w14:paraId="1A4B1625" w14:textId="77777777" w:rsidR="00BA0236" w:rsidRPr="000426E1" w:rsidRDefault="00BA0236" w:rsidP="008D7CA9">
      <w:pPr>
        <w:numPr>
          <w:ilvl w:val="0"/>
          <w:numId w:val="46"/>
        </w:numPr>
        <w:tabs>
          <w:tab w:val="clear" w:pos="720"/>
          <w:tab w:val="num" w:pos="1134"/>
        </w:tabs>
        <w:spacing w:before="120" w:after="120"/>
        <w:ind w:left="1134" w:hanging="283"/>
        <w:jc w:val="both"/>
      </w:pPr>
      <w:r w:rsidRPr="000426E1">
        <w:t>Obszar problemowy MR_1 – Żuławy Wiślane, Wariant II</w:t>
      </w:r>
    </w:p>
    <w:p w14:paraId="4D9D57F7" w14:textId="6DA87AA4" w:rsidR="00BA0236" w:rsidRPr="000426E1" w:rsidRDefault="00BA0236" w:rsidP="008D7CA9">
      <w:pPr>
        <w:numPr>
          <w:ilvl w:val="0"/>
          <w:numId w:val="46"/>
        </w:numPr>
        <w:tabs>
          <w:tab w:val="clear" w:pos="720"/>
          <w:tab w:val="num" w:pos="1134"/>
        </w:tabs>
        <w:spacing w:before="120" w:after="120"/>
        <w:ind w:left="1134" w:hanging="283"/>
        <w:jc w:val="both"/>
      </w:pPr>
      <w:r w:rsidRPr="000426E1">
        <w:t>Obszar problemowy IOP_8 – Dębki</w:t>
      </w:r>
      <w:r w:rsidR="003B40C5">
        <w:t>,</w:t>
      </w:r>
      <w:r w:rsidRPr="000426E1">
        <w:t xml:space="preserve"> Wariant II</w:t>
      </w:r>
    </w:p>
    <w:p w14:paraId="2844865C" w14:textId="7E0B032C" w:rsidR="00BA0236" w:rsidRPr="008D7CA9" w:rsidRDefault="00BA0236" w:rsidP="008D7CA9">
      <w:pPr>
        <w:pStyle w:val="Akapitzlist"/>
        <w:numPr>
          <w:ilvl w:val="2"/>
          <w:numId w:val="15"/>
        </w:numPr>
        <w:spacing w:before="120" w:after="120"/>
        <w:ind w:left="567" w:hanging="425"/>
        <w:jc w:val="both"/>
        <w:rPr>
          <w:sz w:val="24"/>
          <w:szCs w:val="24"/>
        </w:rPr>
      </w:pPr>
      <w:r w:rsidRPr="008D7CA9">
        <w:rPr>
          <w:sz w:val="24"/>
          <w:szCs w:val="24"/>
        </w:rPr>
        <w:t>warianty, które uzyskały oceną PZ (oddziaływania potencjalnie znaczące):</w:t>
      </w:r>
    </w:p>
    <w:p w14:paraId="67E332EA" w14:textId="77777777" w:rsidR="00BA0236" w:rsidRPr="000426E1" w:rsidRDefault="00BA0236" w:rsidP="008D7CA9">
      <w:pPr>
        <w:numPr>
          <w:ilvl w:val="0"/>
          <w:numId w:val="47"/>
        </w:numPr>
        <w:tabs>
          <w:tab w:val="clear" w:pos="720"/>
          <w:tab w:val="num" w:pos="1134"/>
        </w:tabs>
        <w:spacing w:before="120" w:after="120"/>
        <w:ind w:left="1134" w:hanging="283"/>
        <w:jc w:val="both"/>
      </w:pPr>
      <w:r w:rsidRPr="000426E1">
        <w:t>Obszar problemowy IOP_7 – Ustka - ujście Słupi Wariant II</w:t>
      </w:r>
    </w:p>
    <w:p w14:paraId="12251D64" w14:textId="77777777" w:rsidR="00BA0236" w:rsidRPr="000426E1" w:rsidRDefault="00BA0236" w:rsidP="000426E1">
      <w:pPr>
        <w:spacing w:before="120" w:after="120"/>
        <w:ind w:left="360"/>
        <w:jc w:val="both"/>
      </w:pPr>
    </w:p>
    <w:p w14:paraId="34E54BC3" w14:textId="77777777" w:rsidR="00BA0236" w:rsidRPr="000426E1" w:rsidRDefault="00BA0236" w:rsidP="000426E1">
      <w:pPr>
        <w:pStyle w:val="ListParagraph2"/>
        <w:tabs>
          <w:tab w:val="left" w:pos="2250"/>
        </w:tabs>
        <w:spacing w:before="120" w:after="120" w:line="240" w:lineRule="auto"/>
        <w:ind w:left="0"/>
        <w:jc w:val="both"/>
        <w:rPr>
          <w:rFonts w:ascii="Times New Roman" w:hAnsi="Times New Roman"/>
          <w:b/>
          <w:bCs/>
          <w:sz w:val="24"/>
          <w:szCs w:val="24"/>
        </w:rPr>
      </w:pPr>
      <w:r w:rsidRPr="000426E1">
        <w:rPr>
          <w:rFonts w:ascii="Times New Roman" w:hAnsi="Times New Roman"/>
          <w:bCs/>
          <w:sz w:val="24"/>
          <w:szCs w:val="24"/>
        </w:rPr>
        <w:t xml:space="preserve">W oparciu o wyniki oceny istotności w następnym kroku przeprowadzona została ocena wpływu działań na </w:t>
      </w:r>
      <w:r w:rsidRPr="000426E1">
        <w:rPr>
          <w:rFonts w:ascii="Times New Roman" w:hAnsi="Times New Roman"/>
          <w:b/>
          <w:bCs/>
          <w:sz w:val="24"/>
          <w:szCs w:val="24"/>
        </w:rPr>
        <w:t>cele środowiskowe jednolitych części wód powierzchniowych (JCWP), o których mowa w art. 56, 57, 59 i 61 ustawy Prawo wodne, ze szczególnym uwzględnieniem elementów hydro-morfologicznych.</w:t>
      </w:r>
    </w:p>
    <w:p w14:paraId="5B9847C9" w14:textId="77777777" w:rsidR="00BA0236" w:rsidRPr="000426E1" w:rsidRDefault="00BA0236" w:rsidP="000426E1">
      <w:pPr>
        <w:pStyle w:val="ReportText"/>
        <w:spacing w:before="120" w:after="120"/>
        <w:rPr>
          <w:szCs w:val="24"/>
        </w:rPr>
      </w:pPr>
      <w:r w:rsidRPr="000426E1">
        <w:rPr>
          <w:szCs w:val="24"/>
        </w:rPr>
        <w:t xml:space="preserve">Zgodnie z art. 56 pr.w. celem środowiskowym dla jednolitych części wód powierzchniowych niewyznaczonych jako sztuczne lub silnie zmienione jest ochrona oraz poprawa ich stanu ekologicznego i stanu chemicznego, tak aby osiągnąć co najmniej dobry stan ekologiczny i dobry stan chemiczny wód powierzchniowych, a także zapobieganie pogorszeniu ich stanu ekologicznego i stanu chemicznego. </w:t>
      </w:r>
    </w:p>
    <w:p w14:paraId="7C06E2F3" w14:textId="77777777" w:rsidR="00BA0236" w:rsidRPr="000426E1" w:rsidRDefault="00BA0236" w:rsidP="000426E1">
      <w:pPr>
        <w:pStyle w:val="ReportText"/>
        <w:spacing w:before="120" w:after="120"/>
        <w:rPr>
          <w:szCs w:val="24"/>
        </w:rPr>
      </w:pPr>
      <w:r w:rsidRPr="000426E1">
        <w:rPr>
          <w:szCs w:val="24"/>
        </w:rPr>
        <w:t xml:space="preserve">Dla sztucznych i silnie zmienionych jednolitych części wód powierzchniowych wg art. 57. pr.w. celem środowiskowym jest ochrona tych wód oraz poprawa ich potencjału ekologicznego i stanu chemicznego, tak aby osiągnąć co najmniej dobry potencjał ekologiczny i dobry stan chemiczny wód powierzchniowych, a także zapobieganie pogorszeniu ich potencjału ekologicznego oraz stanu chemicznego. </w:t>
      </w:r>
    </w:p>
    <w:p w14:paraId="2F3D8AED" w14:textId="77777777" w:rsidR="00BA0236" w:rsidRPr="000426E1" w:rsidRDefault="00BA0236" w:rsidP="000426E1">
      <w:pPr>
        <w:pStyle w:val="ReportText"/>
        <w:spacing w:before="120" w:after="120"/>
        <w:rPr>
          <w:szCs w:val="24"/>
        </w:rPr>
      </w:pPr>
      <w:r w:rsidRPr="000426E1">
        <w:rPr>
          <w:szCs w:val="24"/>
        </w:rPr>
        <w:t xml:space="preserve">Dla jednolitych części wód podziemnych zgodnie z art. 59. pr.w. celem środowiskowym jest zapobieganie lub ograniczanie wprowadzania do nich zanieczyszczeń, zapobieganie pogorszeniu oraz poprawa ich stanu, ich ochrona i podejmowanie działań naprawczych, a także zapewnianie równowagi między poborem a zasilaniem tych wód, tak aby osiągnąć ich dobry stan. </w:t>
      </w:r>
    </w:p>
    <w:p w14:paraId="6707694E" w14:textId="77777777" w:rsidR="00BA0236" w:rsidRPr="000426E1" w:rsidRDefault="00BA0236" w:rsidP="000426E1">
      <w:pPr>
        <w:pStyle w:val="ReportText"/>
        <w:spacing w:before="120" w:after="120"/>
        <w:rPr>
          <w:szCs w:val="24"/>
        </w:rPr>
      </w:pPr>
      <w:r w:rsidRPr="000426E1">
        <w:rPr>
          <w:szCs w:val="24"/>
        </w:rPr>
        <w:t>Zgodnie z art. 61.1. pr.w. celem środowiskowym dla obszarów chronionych jest osiągnięcie norm i celów wynikających z przepisów, na podstawie których te obszary chronione zostały utworzone, przepisów ustanawiających te obszary lub dotyczących tych obszarów, o ile nie zawierają one w tym zakresie odmiennych uregulowań.</w:t>
      </w:r>
    </w:p>
    <w:p w14:paraId="225FD2EB" w14:textId="2FAECF2F" w:rsidR="00BA0236" w:rsidRPr="000426E1" w:rsidRDefault="00BA0236" w:rsidP="000426E1">
      <w:pPr>
        <w:tabs>
          <w:tab w:val="left" w:pos="2250"/>
        </w:tabs>
        <w:spacing w:before="120" w:after="120"/>
        <w:jc w:val="both"/>
        <w:rPr>
          <w:b/>
        </w:rPr>
      </w:pPr>
      <w:r w:rsidRPr="000426E1">
        <w:rPr>
          <w:rStyle w:val="markedcontent"/>
          <w:b/>
        </w:rPr>
        <w:t xml:space="preserve">Według ustawy prawo wodne cele środowiskowe, o których mowa w art. 56, 57, 59, 61 realizuje się w szczególności przez podejmowanie działań zawartych w planie gospodarowania wodami na obszarze dorzecza, wobec czego planowane w ramach PZRP </w:t>
      </w:r>
      <w:r w:rsidRPr="000426E1">
        <w:rPr>
          <w:b/>
          <w:bCs/>
        </w:rPr>
        <w:t>od strony morza, w tym morskich wód wewnętrznych inwestycje i działania powinny być zgodne z zapisami zawartymi w aktualizacji planów gospodarowania wodami na lata 202</w:t>
      </w:r>
      <w:r w:rsidR="00F8560E">
        <w:rPr>
          <w:b/>
          <w:bCs/>
        </w:rPr>
        <w:t>2</w:t>
      </w:r>
      <w:r w:rsidRPr="000426E1">
        <w:rPr>
          <w:b/>
          <w:bCs/>
        </w:rPr>
        <w:t>-2027.</w:t>
      </w:r>
    </w:p>
    <w:p w14:paraId="512B4555" w14:textId="52F2FDF8" w:rsidR="00BA0236" w:rsidRDefault="00BA0236" w:rsidP="00347E16">
      <w:pPr>
        <w:pStyle w:val="ReportLevel3"/>
        <w:numPr>
          <w:ilvl w:val="0"/>
          <w:numId w:val="0"/>
        </w:numPr>
        <w:tabs>
          <w:tab w:val="left" w:pos="720"/>
        </w:tabs>
        <w:rPr>
          <w:rFonts w:cs="Calibri"/>
        </w:rPr>
      </w:pPr>
      <w:r>
        <w:rPr>
          <w:rFonts w:cs="Calibri"/>
        </w:rPr>
        <w:lastRenderedPageBreak/>
        <w:t>6.2.1.</w:t>
      </w:r>
      <w:r w:rsidR="008D7CA9">
        <w:rPr>
          <w:rFonts w:cs="Calibri"/>
        </w:rPr>
        <w:t>1</w:t>
      </w:r>
      <w:r>
        <w:rPr>
          <w:rFonts w:cs="Calibri"/>
        </w:rPr>
        <w:t xml:space="preserve"> Identyfikacja jednolitej części wód oraz celów środowiskowych dla wariantów rekomendowanych, w obrębie, których zlokalizowane są inwestycje i działania oraz </w:t>
      </w:r>
      <w:r>
        <w:rPr>
          <w:rFonts w:cs="Calibri"/>
          <w:bCs/>
        </w:rPr>
        <w:t>JCW</w:t>
      </w:r>
      <w:r>
        <w:rPr>
          <w:rFonts w:cs="Calibri"/>
        </w:rPr>
        <w:t>, na które mogą one oddziaływać</w:t>
      </w:r>
    </w:p>
    <w:p w14:paraId="040F9E0E" w14:textId="5C5D3FC3" w:rsidR="00BA0236" w:rsidRDefault="00BA0236" w:rsidP="00347E16">
      <w:pPr>
        <w:pStyle w:val="ReportText"/>
        <w:spacing w:before="120" w:after="120"/>
      </w:pPr>
      <w:r>
        <w:t>Według aktualizacji planów gospodarowania wodami (202</w:t>
      </w:r>
      <w:r w:rsidR="00DC3CAB">
        <w:t>2</w:t>
      </w:r>
      <w:r>
        <w:t>-2027) planowane inwestycje i działania zlokalizowane są w regionie wodnym Dolnej Wisły, w obrębie następujących JCWP:</w:t>
      </w:r>
    </w:p>
    <w:p w14:paraId="662F4032" w14:textId="77777777" w:rsidR="00BA0236" w:rsidRDefault="00BA0236" w:rsidP="008D7CA9">
      <w:pPr>
        <w:pStyle w:val="ListParagraph2"/>
        <w:numPr>
          <w:ilvl w:val="0"/>
          <w:numId w:val="48"/>
        </w:numPr>
        <w:tabs>
          <w:tab w:val="clear" w:pos="720"/>
          <w:tab w:val="num" w:pos="567"/>
          <w:tab w:val="left" w:pos="2250"/>
        </w:tabs>
        <w:spacing w:before="120" w:after="120" w:line="240" w:lineRule="auto"/>
        <w:ind w:left="567" w:hanging="425"/>
        <w:jc w:val="both"/>
        <w:rPr>
          <w:rFonts w:ascii="Times New Roman" w:hAnsi="Times New Roman"/>
          <w:bCs/>
          <w:sz w:val="24"/>
          <w:szCs w:val="24"/>
        </w:rPr>
      </w:pPr>
      <w:r>
        <w:rPr>
          <w:rFonts w:ascii="Times New Roman" w:hAnsi="Times New Roman"/>
          <w:bCs/>
          <w:sz w:val="24"/>
          <w:szCs w:val="24"/>
        </w:rPr>
        <w:t>Martwa Wisła o kodzie RW200014489</w:t>
      </w:r>
    </w:p>
    <w:p w14:paraId="3DBEB873" w14:textId="77777777" w:rsidR="00BA0236" w:rsidRDefault="00BA0236" w:rsidP="008D7CA9">
      <w:pPr>
        <w:pStyle w:val="ListParagraph2"/>
        <w:numPr>
          <w:ilvl w:val="0"/>
          <w:numId w:val="48"/>
        </w:numPr>
        <w:tabs>
          <w:tab w:val="clear" w:pos="720"/>
          <w:tab w:val="num" w:pos="567"/>
          <w:tab w:val="left" w:pos="2250"/>
        </w:tabs>
        <w:spacing w:before="120" w:after="120" w:line="240" w:lineRule="auto"/>
        <w:ind w:left="567" w:hanging="425"/>
        <w:jc w:val="both"/>
        <w:rPr>
          <w:rFonts w:ascii="Times New Roman" w:hAnsi="Times New Roman"/>
          <w:bCs/>
          <w:sz w:val="24"/>
          <w:szCs w:val="24"/>
        </w:rPr>
      </w:pPr>
      <w:r>
        <w:rPr>
          <w:rFonts w:ascii="Times New Roman" w:hAnsi="Times New Roman"/>
          <w:bCs/>
          <w:sz w:val="24"/>
          <w:szCs w:val="24"/>
        </w:rPr>
        <w:t>Słupia od Otocznicy do ujścia o kodzie</w:t>
      </w:r>
      <w:r>
        <w:rPr>
          <w:rFonts w:ascii="Times New Roman" w:hAnsi="Times New Roman"/>
          <w:sz w:val="24"/>
          <w:szCs w:val="24"/>
        </w:rPr>
        <w:t xml:space="preserve"> </w:t>
      </w:r>
      <w:r>
        <w:rPr>
          <w:rFonts w:ascii="Times New Roman" w:hAnsi="Times New Roman"/>
          <w:bCs/>
          <w:sz w:val="24"/>
          <w:szCs w:val="24"/>
        </w:rPr>
        <w:t>RW20001447299</w:t>
      </w:r>
    </w:p>
    <w:p w14:paraId="58B6D809" w14:textId="77777777" w:rsidR="00BA0236" w:rsidRDefault="00BA0236" w:rsidP="008D7CA9">
      <w:pPr>
        <w:pStyle w:val="ListParagraph2"/>
        <w:numPr>
          <w:ilvl w:val="0"/>
          <w:numId w:val="48"/>
        </w:numPr>
        <w:tabs>
          <w:tab w:val="clear" w:pos="720"/>
          <w:tab w:val="num" w:pos="567"/>
          <w:tab w:val="left" w:pos="2250"/>
        </w:tabs>
        <w:spacing w:before="120" w:after="120" w:line="240" w:lineRule="auto"/>
        <w:ind w:left="567" w:hanging="425"/>
        <w:jc w:val="both"/>
        <w:rPr>
          <w:rFonts w:ascii="Times New Roman" w:hAnsi="Times New Roman"/>
          <w:bCs/>
          <w:sz w:val="24"/>
          <w:szCs w:val="24"/>
          <w:lang w:val="en-GB"/>
        </w:rPr>
      </w:pPr>
      <w:r>
        <w:rPr>
          <w:rFonts w:ascii="Times New Roman" w:hAnsi="Times New Roman"/>
          <w:bCs/>
          <w:sz w:val="24"/>
          <w:szCs w:val="24"/>
        </w:rPr>
        <w:t>Zatoka Pucka Zewnętrzna TW20003WB5</w:t>
      </w:r>
    </w:p>
    <w:p w14:paraId="798ABD50" w14:textId="77777777" w:rsidR="00BA0236" w:rsidRDefault="00BA0236" w:rsidP="008D7CA9">
      <w:pPr>
        <w:pStyle w:val="ListParagraph2"/>
        <w:numPr>
          <w:ilvl w:val="0"/>
          <w:numId w:val="48"/>
        </w:numPr>
        <w:tabs>
          <w:tab w:val="clear" w:pos="720"/>
          <w:tab w:val="num" w:pos="567"/>
          <w:tab w:val="left" w:pos="2250"/>
        </w:tabs>
        <w:spacing w:before="120" w:after="120" w:line="240" w:lineRule="auto"/>
        <w:ind w:left="567" w:hanging="425"/>
        <w:jc w:val="both"/>
        <w:rPr>
          <w:rFonts w:ascii="Times New Roman" w:hAnsi="Times New Roman"/>
          <w:bCs/>
          <w:sz w:val="24"/>
          <w:szCs w:val="24"/>
        </w:rPr>
      </w:pPr>
      <w:r>
        <w:rPr>
          <w:rFonts w:ascii="Times New Roman" w:hAnsi="Times New Roman"/>
          <w:bCs/>
          <w:sz w:val="24"/>
          <w:szCs w:val="24"/>
        </w:rPr>
        <w:t>Zalew Wiślany TW20001WB1</w:t>
      </w:r>
    </w:p>
    <w:p w14:paraId="5A8DA36B" w14:textId="77777777" w:rsidR="00BA0236" w:rsidRDefault="00BA0236" w:rsidP="008D7CA9">
      <w:pPr>
        <w:pStyle w:val="ListParagraph2"/>
        <w:numPr>
          <w:ilvl w:val="0"/>
          <w:numId w:val="48"/>
        </w:numPr>
        <w:tabs>
          <w:tab w:val="clear" w:pos="720"/>
          <w:tab w:val="num" w:pos="567"/>
          <w:tab w:val="left" w:pos="2250"/>
        </w:tabs>
        <w:spacing w:before="120" w:after="120" w:line="240" w:lineRule="auto"/>
        <w:ind w:left="567" w:hanging="425"/>
        <w:jc w:val="both"/>
        <w:rPr>
          <w:rFonts w:ascii="Times New Roman" w:hAnsi="Times New Roman"/>
          <w:bCs/>
          <w:sz w:val="24"/>
          <w:szCs w:val="24"/>
        </w:rPr>
      </w:pPr>
      <w:r>
        <w:rPr>
          <w:rFonts w:ascii="Times New Roman" w:hAnsi="Times New Roman"/>
          <w:bCs/>
          <w:sz w:val="24"/>
          <w:szCs w:val="24"/>
        </w:rPr>
        <w:t>Łeba od jez. Łebsko z Chełstem od jez. Sarbsko RW20001447699</w:t>
      </w:r>
    </w:p>
    <w:p w14:paraId="06C3155E" w14:textId="77777777" w:rsidR="00BA0236" w:rsidRDefault="00BA0236" w:rsidP="008D7CA9">
      <w:pPr>
        <w:pStyle w:val="ListParagraph2"/>
        <w:numPr>
          <w:ilvl w:val="0"/>
          <w:numId w:val="48"/>
        </w:numPr>
        <w:tabs>
          <w:tab w:val="clear" w:pos="720"/>
          <w:tab w:val="num" w:pos="567"/>
          <w:tab w:val="left" w:pos="2250"/>
        </w:tabs>
        <w:spacing w:before="120" w:after="120" w:line="240" w:lineRule="auto"/>
        <w:ind w:left="567" w:hanging="425"/>
        <w:jc w:val="both"/>
        <w:rPr>
          <w:rFonts w:ascii="Times New Roman" w:hAnsi="Times New Roman"/>
          <w:bCs/>
          <w:sz w:val="24"/>
          <w:szCs w:val="24"/>
        </w:rPr>
      </w:pPr>
      <w:r>
        <w:rPr>
          <w:rFonts w:ascii="Times New Roman" w:hAnsi="Times New Roman"/>
          <w:bCs/>
          <w:sz w:val="24"/>
          <w:szCs w:val="24"/>
        </w:rPr>
        <w:t>Zalew Pucki TW20002WB4</w:t>
      </w:r>
    </w:p>
    <w:p w14:paraId="0517744B" w14:textId="77777777" w:rsidR="00BA0236" w:rsidRDefault="00BA0236" w:rsidP="008D7CA9">
      <w:pPr>
        <w:pStyle w:val="ListParagraph2"/>
        <w:numPr>
          <w:ilvl w:val="0"/>
          <w:numId w:val="48"/>
        </w:numPr>
        <w:tabs>
          <w:tab w:val="clear" w:pos="720"/>
          <w:tab w:val="num" w:pos="567"/>
          <w:tab w:val="left" w:pos="2250"/>
        </w:tabs>
        <w:spacing w:before="120" w:after="120" w:line="240" w:lineRule="auto"/>
        <w:ind w:left="567" w:hanging="425"/>
        <w:jc w:val="both"/>
        <w:rPr>
          <w:rFonts w:ascii="Times New Roman" w:hAnsi="Times New Roman"/>
          <w:bCs/>
          <w:sz w:val="24"/>
          <w:szCs w:val="24"/>
        </w:rPr>
      </w:pPr>
      <w:r>
        <w:rPr>
          <w:rFonts w:ascii="Times New Roman" w:hAnsi="Times New Roman"/>
          <w:bCs/>
          <w:sz w:val="24"/>
          <w:szCs w:val="24"/>
        </w:rPr>
        <w:t>Piaśnica od Białogórskiej Strugi do ujścia RW20001447729</w:t>
      </w:r>
    </w:p>
    <w:p w14:paraId="6FD51D1C" w14:textId="77777777" w:rsidR="00BA0236" w:rsidRDefault="00BA0236" w:rsidP="00347E16">
      <w:pPr>
        <w:pStyle w:val="ListParagraph2"/>
        <w:tabs>
          <w:tab w:val="left" w:pos="2250"/>
        </w:tabs>
        <w:spacing w:before="120" w:after="120" w:line="240" w:lineRule="auto"/>
        <w:ind w:left="0"/>
        <w:jc w:val="both"/>
        <w:rPr>
          <w:rFonts w:ascii="Times New Roman" w:hAnsi="Times New Roman"/>
          <w:bCs/>
          <w:sz w:val="24"/>
          <w:szCs w:val="24"/>
        </w:rPr>
      </w:pPr>
      <w:r>
        <w:rPr>
          <w:rFonts w:ascii="Times New Roman" w:hAnsi="Times New Roman"/>
          <w:bCs/>
          <w:sz w:val="24"/>
          <w:szCs w:val="24"/>
        </w:rPr>
        <w:t xml:space="preserve"> Planowane inwestycje i działania mogą mieć pośredni wpływ na JCWP:</w:t>
      </w:r>
    </w:p>
    <w:p w14:paraId="5DCAC065" w14:textId="77777777" w:rsidR="00BA0236" w:rsidRDefault="00BA0236" w:rsidP="008D7CA9">
      <w:pPr>
        <w:pStyle w:val="ListParagraph2"/>
        <w:numPr>
          <w:ilvl w:val="0"/>
          <w:numId w:val="49"/>
        </w:numPr>
        <w:tabs>
          <w:tab w:val="clear" w:pos="720"/>
          <w:tab w:val="num" w:pos="567"/>
          <w:tab w:val="left" w:pos="2250"/>
        </w:tabs>
        <w:spacing w:before="120" w:after="120" w:line="240" w:lineRule="auto"/>
        <w:ind w:left="567" w:hanging="425"/>
        <w:jc w:val="both"/>
        <w:rPr>
          <w:rFonts w:ascii="Times New Roman" w:hAnsi="Times New Roman"/>
          <w:bCs/>
          <w:sz w:val="24"/>
          <w:szCs w:val="24"/>
        </w:rPr>
      </w:pPr>
      <w:r>
        <w:rPr>
          <w:rFonts w:ascii="Times New Roman" w:hAnsi="Times New Roman"/>
          <w:bCs/>
          <w:sz w:val="24"/>
          <w:szCs w:val="24"/>
        </w:rPr>
        <w:t>Polskie wody przybrzeżne Basenu Gotlandzkiego CW20001WB2</w:t>
      </w:r>
    </w:p>
    <w:p w14:paraId="4643BB08" w14:textId="77777777" w:rsidR="00BA0236" w:rsidRDefault="00BA0236" w:rsidP="008D7CA9">
      <w:pPr>
        <w:pStyle w:val="ListParagraph2"/>
        <w:numPr>
          <w:ilvl w:val="0"/>
          <w:numId w:val="49"/>
        </w:numPr>
        <w:tabs>
          <w:tab w:val="clear" w:pos="720"/>
          <w:tab w:val="num" w:pos="567"/>
          <w:tab w:val="left" w:pos="2250"/>
        </w:tabs>
        <w:spacing w:before="120" w:after="120" w:line="240" w:lineRule="auto"/>
        <w:ind w:left="567" w:hanging="425"/>
        <w:jc w:val="both"/>
        <w:rPr>
          <w:rFonts w:ascii="Times New Roman" w:hAnsi="Times New Roman"/>
          <w:bCs/>
          <w:sz w:val="24"/>
          <w:szCs w:val="24"/>
        </w:rPr>
      </w:pPr>
      <w:r>
        <w:rPr>
          <w:rFonts w:ascii="Times New Roman" w:hAnsi="Times New Roman"/>
          <w:bCs/>
          <w:sz w:val="24"/>
          <w:szCs w:val="24"/>
        </w:rPr>
        <w:t>Polskie wody przybrzeżne Basenu Bornholmskiego CW60001WB3</w:t>
      </w:r>
    </w:p>
    <w:p w14:paraId="2F6B01AA" w14:textId="77777777" w:rsidR="00BA0236" w:rsidRDefault="00BA0236" w:rsidP="008D7CA9">
      <w:pPr>
        <w:pStyle w:val="ListParagraph2"/>
        <w:numPr>
          <w:ilvl w:val="0"/>
          <w:numId w:val="49"/>
        </w:numPr>
        <w:tabs>
          <w:tab w:val="clear" w:pos="720"/>
          <w:tab w:val="num" w:pos="567"/>
          <w:tab w:val="left" w:pos="2250"/>
        </w:tabs>
        <w:spacing w:before="120" w:after="120" w:line="240" w:lineRule="auto"/>
        <w:ind w:left="567" w:hanging="425"/>
        <w:jc w:val="both"/>
        <w:rPr>
          <w:rFonts w:ascii="Times New Roman" w:hAnsi="Times New Roman"/>
          <w:bCs/>
          <w:sz w:val="24"/>
          <w:szCs w:val="24"/>
          <w:lang w:val="en-GB"/>
        </w:rPr>
      </w:pPr>
      <w:r>
        <w:rPr>
          <w:rFonts w:ascii="Times New Roman" w:hAnsi="Times New Roman"/>
          <w:bCs/>
          <w:sz w:val="24"/>
          <w:szCs w:val="24"/>
        </w:rPr>
        <w:t>Zatoka Gdańska Wewnętrzna TW20004WB6</w:t>
      </w:r>
    </w:p>
    <w:p w14:paraId="372BB5D8" w14:textId="77777777" w:rsidR="00BA0236" w:rsidRDefault="00BA0236" w:rsidP="008D7CA9">
      <w:pPr>
        <w:pStyle w:val="ListParagraph2"/>
        <w:numPr>
          <w:ilvl w:val="0"/>
          <w:numId w:val="49"/>
        </w:numPr>
        <w:tabs>
          <w:tab w:val="clear" w:pos="720"/>
          <w:tab w:val="num" w:pos="567"/>
          <w:tab w:val="left" w:pos="2250"/>
        </w:tabs>
        <w:spacing w:before="120" w:after="120" w:line="240" w:lineRule="auto"/>
        <w:ind w:left="567" w:hanging="425"/>
        <w:jc w:val="both"/>
        <w:rPr>
          <w:rFonts w:ascii="Times New Roman" w:hAnsi="Times New Roman"/>
          <w:bCs/>
          <w:sz w:val="24"/>
          <w:szCs w:val="24"/>
        </w:rPr>
      </w:pPr>
      <w:r>
        <w:rPr>
          <w:rFonts w:ascii="Times New Roman" w:hAnsi="Times New Roman"/>
          <w:bCs/>
          <w:sz w:val="24"/>
          <w:szCs w:val="24"/>
        </w:rPr>
        <w:t>Piaśnica od Białogórskiej Strugi do ujścia RW20001447729</w:t>
      </w:r>
    </w:p>
    <w:p w14:paraId="22EBE634" w14:textId="77777777" w:rsidR="00BA0236" w:rsidRDefault="00BA0236" w:rsidP="008D7CA9">
      <w:pPr>
        <w:pStyle w:val="ListParagraph2"/>
        <w:numPr>
          <w:ilvl w:val="0"/>
          <w:numId w:val="49"/>
        </w:numPr>
        <w:tabs>
          <w:tab w:val="clear" w:pos="720"/>
          <w:tab w:val="num" w:pos="567"/>
          <w:tab w:val="left" w:pos="2250"/>
        </w:tabs>
        <w:spacing w:before="120" w:after="120" w:line="240" w:lineRule="auto"/>
        <w:ind w:left="567" w:hanging="425"/>
        <w:jc w:val="both"/>
        <w:rPr>
          <w:rFonts w:ascii="Times New Roman" w:hAnsi="Times New Roman"/>
          <w:bCs/>
          <w:sz w:val="24"/>
          <w:szCs w:val="24"/>
        </w:rPr>
      </w:pPr>
      <w:r>
        <w:rPr>
          <w:rFonts w:ascii="Times New Roman" w:hAnsi="Times New Roman"/>
          <w:bCs/>
          <w:sz w:val="24"/>
          <w:szCs w:val="24"/>
        </w:rPr>
        <w:t>Reda od Dopływu z polderu Rekowo do ujścia RW20001447899</w:t>
      </w:r>
    </w:p>
    <w:p w14:paraId="4EEB1E59" w14:textId="77777777" w:rsidR="00BA0236" w:rsidRDefault="00BA0236" w:rsidP="00347E16">
      <w:pPr>
        <w:rPr>
          <w:rFonts w:ascii="Calibri" w:hAnsi="Calibri" w:cs="Calibri"/>
          <w:b/>
          <w:bCs/>
          <w:sz w:val="22"/>
          <w:szCs w:val="22"/>
          <w:lang w:eastAsia="en-US"/>
        </w:rPr>
      </w:pPr>
      <w:r>
        <w:rPr>
          <w:rFonts w:cs="Calibri"/>
          <w:b/>
          <w:bCs/>
        </w:rPr>
        <w:br w:type="page"/>
      </w:r>
    </w:p>
    <w:p w14:paraId="2CF824C9" w14:textId="442AB831" w:rsidR="00BA0236" w:rsidRPr="008D7CA9" w:rsidRDefault="00BA0236" w:rsidP="008D7CA9">
      <w:pPr>
        <w:pStyle w:val="Legenda"/>
        <w:tabs>
          <w:tab w:val="clear" w:pos="1080"/>
        </w:tabs>
        <w:spacing w:before="120" w:after="0"/>
        <w:ind w:left="1134" w:hanging="1134"/>
        <w:jc w:val="both"/>
        <w:rPr>
          <w:sz w:val="24"/>
          <w:szCs w:val="28"/>
        </w:rPr>
      </w:pPr>
      <w:bookmarkStart w:id="197" w:name="_Toc79511777"/>
      <w:bookmarkStart w:id="198" w:name="_Toc80604833"/>
      <w:r w:rsidRPr="008D7CA9">
        <w:rPr>
          <w:sz w:val="24"/>
          <w:szCs w:val="28"/>
        </w:rPr>
        <w:lastRenderedPageBreak/>
        <w:t xml:space="preserve">Tabela </w:t>
      </w:r>
      <w:r w:rsidR="00295C25" w:rsidRPr="008D7CA9">
        <w:rPr>
          <w:sz w:val="24"/>
          <w:szCs w:val="28"/>
        </w:rPr>
        <w:fldChar w:fldCharType="begin"/>
      </w:r>
      <w:r w:rsidR="00295C25" w:rsidRPr="008D7CA9">
        <w:rPr>
          <w:sz w:val="24"/>
          <w:szCs w:val="28"/>
        </w:rPr>
        <w:instrText xml:space="preserve"> SEQ Tabela \* ARABIC </w:instrText>
      </w:r>
      <w:r w:rsidR="00295C25" w:rsidRPr="008D7CA9">
        <w:rPr>
          <w:sz w:val="24"/>
          <w:szCs w:val="28"/>
        </w:rPr>
        <w:fldChar w:fldCharType="separate"/>
      </w:r>
      <w:r w:rsidR="00FD3F9A">
        <w:rPr>
          <w:noProof/>
          <w:sz w:val="24"/>
          <w:szCs w:val="28"/>
        </w:rPr>
        <w:t>23</w:t>
      </w:r>
      <w:r w:rsidR="00295C25" w:rsidRPr="008D7CA9">
        <w:rPr>
          <w:noProof/>
          <w:sz w:val="24"/>
          <w:szCs w:val="28"/>
        </w:rPr>
        <w:fldChar w:fldCharType="end"/>
      </w:r>
      <w:r w:rsidRPr="008D7CA9">
        <w:rPr>
          <w:sz w:val="24"/>
          <w:szCs w:val="28"/>
        </w:rPr>
        <w:tab/>
        <w:t>Identyfikacja JCWP w obrębie, których zlokalizowane są inwestycje i</w:t>
      </w:r>
      <w:r w:rsidR="008D7CA9">
        <w:rPr>
          <w:sz w:val="24"/>
          <w:szCs w:val="28"/>
        </w:rPr>
        <w:t> </w:t>
      </w:r>
      <w:r w:rsidRPr="008D7CA9">
        <w:rPr>
          <w:sz w:val="24"/>
          <w:szCs w:val="28"/>
        </w:rPr>
        <w:t>działania oraz tych, na które mogą one oddziaływać</w:t>
      </w:r>
      <w:bookmarkEnd w:id="197"/>
      <w:bookmarkEnd w:id="198"/>
    </w:p>
    <w:tbl>
      <w:tblPr>
        <w:tblW w:w="79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0"/>
        <w:gridCol w:w="1445"/>
        <w:gridCol w:w="1861"/>
        <w:gridCol w:w="1546"/>
        <w:gridCol w:w="1639"/>
      </w:tblGrid>
      <w:tr w:rsidR="00BA0236" w:rsidRPr="00B32914" w14:paraId="131DC27F" w14:textId="77777777" w:rsidTr="00B94FCD">
        <w:tc>
          <w:tcPr>
            <w:tcW w:w="1741" w:type="dxa"/>
            <w:vMerge w:val="restart"/>
            <w:shd w:val="clear" w:color="auto" w:fill="D4EDF9"/>
          </w:tcPr>
          <w:p w14:paraId="46A7EE70" w14:textId="77777777" w:rsidR="00BA0236" w:rsidRPr="00B32914" w:rsidRDefault="00BA0236" w:rsidP="00B94FCD">
            <w:pPr>
              <w:pStyle w:val="ListParagraph2"/>
              <w:tabs>
                <w:tab w:val="left" w:pos="2250"/>
              </w:tabs>
              <w:spacing w:line="240" w:lineRule="auto"/>
              <w:ind w:left="132"/>
              <w:jc w:val="center"/>
              <w:rPr>
                <w:rFonts w:ascii="Times New Roman" w:hAnsi="Times New Roman"/>
                <w:b/>
                <w:bCs/>
                <w:sz w:val="20"/>
                <w:szCs w:val="20"/>
              </w:rPr>
            </w:pPr>
          </w:p>
          <w:p w14:paraId="33731A1A" w14:textId="77777777" w:rsidR="00BA0236" w:rsidRPr="00B32914" w:rsidRDefault="00BA0236" w:rsidP="00B94FCD">
            <w:pPr>
              <w:pStyle w:val="ListParagraph2"/>
              <w:tabs>
                <w:tab w:val="left" w:pos="2250"/>
              </w:tabs>
              <w:spacing w:line="240" w:lineRule="auto"/>
              <w:ind w:left="132"/>
              <w:jc w:val="center"/>
              <w:rPr>
                <w:rFonts w:ascii="Times New Roman" w:hAnsi="Times New Roman"/>
                <w:b/>
                <w:bCs/>
                <w:sz w:val="20"/>
                <w:szCs w:val="20"/>
                <w:lang w:val="en-GB"/>
              </w:rPr>
            </w:pPr>
            <w:r w:rsidRPr="00B32914">
              <w:rPr>
                <w:rFonts w:ascii="Times New Roman" w:hAnsi="Times New Roman"/>
                <w:b/>
                <w:bCs/>
                <w:sz w:val="20"/>
                <w:szCs w:val="20"/>
              </w:rPr>
              <w:t>OBSZAR PROBLEMOWY</w:t>
            </w:r>
          </w:p>
        </w:tc>
        <w:tc>
          <w:tcPr>
            <w:tcW w:w="3096" w:type="dxa"/>
            <w:gridSpan w:val="2"/>
            <w:shd w:val="clear" w:color="auto" w:fill="D4EDF9"/>
          </w:tcPr>
          <w:p w14:paraId="61BD21FF" w14:textId="77777777" w:rsidR="00BA0236" w:rsidRPr="00B32914" w:rsidRDefault="00BA0236" w:rsidP="00B94FCD">
            <w:pPr>
              <w:pStyle w:val="ListParagraph2"/>
              <w:tabs>
                <w:tab w:val="left" w:pos="2250"/>
              </w:tabs>
              <w:spacing w:line="240" w:lineRule="auto"/>
              <w:ind w:left="0"/>
              <w:jc w:val="center"/>
              <w:rPr>
                <w:rFonts w:ascii="Times New Roman" w:hAnsi="Times New Roman"/>
                <w:b/>
                <w:bCs/>
                <w:sz w:val="20"/>
                <w:szCs w:val="20"/>
              </w:rPr>
            </w:pPr>
            <w:r w:rsidRPr="00B32914">
              <w:rPr>
                <w:rFonts w:ascii="Times New Roman" w:hAnsi="Times New Roman"/>
                <w:b/>
                <w:bCs/>
                <w:sz w:val="20"/>
                <w:szCs w:val="20"/>
              </w:rPr>
              <w:t>ODDZIAŁYWANIA BEZPOŚREDNIE/LOKALIZACJA PRZEDSIĘWZIĘCIA</w:t>
            </w:r>
          </w:p>
        </w:tc>
        <w:tc>
          <w:tcPr>
            <w:tcW w:w="3130" w:type="dxa"/>
            <w:gridSpan w:val="2"/>
            <w:shd w:val="clear" w:color="auto" w:fill="D4EDF9"/>
          </w:tcPr>
          <w:p w14:paraId="2FCE2993" w14:textId="77777777" w:rsidR="00BA0236" w:rsidRPr="00B32914" w:rsidRDefault="00BA0236" w:rsidP="00B94FCD">
            <w:pPr>
              <w:pStyle w:val="ListParagraph2"/>
              <w:tabs>
                <w:tab w:val="left" w:pos="2250"/>
              </w:tabs>
              <w:spacing w:line="240" w:lineRule="auto"/>
              <w:ind w:left="0"/>
              <w:jc w:val="center"/>
              <w:rPr>
                <w:rFonts w:ascii="Times New Roman" w:hAnsi="Times New Roman"/>
                <w:b/>
                <w:bCs/>
                <w:sz w:val="20"/>
                <w:szCs w:val="20"/>
              </w:rPr>
            </w:pPr>
            <w:r w:rsidRPr="00B32914">
              <w:rPr>
                <w:rFonts w:ascii="Times New Roman" w:hAnsi="Times New Roman"/>
                <w:b/>
                <w:bCs/>
                <w:sz w:val="20"/>
                <w:szCs w:val="20"/>
              </w:rPr>
              <w:t>POTENCJALNE ODZIAŁYWANIA POŚREDNIE</w:t>
            </w:r>
          </w:p>
        </w:tc>
      </w:tr>
      <w:tr w:rsidR="00BA0236" w:rsidRPr="00B32914" w14:paraId="1A428CC8" w14:textId="77777777" w:rsidTr="00B94FCD">
        <w:tc>
          <w:tcPr>
            <w:tcW w:w="1741" w:type="dxa"/>
            <w:vMerge/>
            <w:vAlign w:val="center"/>
          </w:tcPr>
          <w:p w14:paraId="77BB50A9" w14:textId="77777777" w:rsidR="00BA0236" w:rsidRPr="00B32914" w:rsidRDefault="00BA0236" w:rsidP="00B94FCD">
            <w:pPr>
              <w:rPr>
                <w:b/>
                <w:bCs/>
                <w:sz w:val="20"/>
                <w:szCs w:val="20"/>
                <w:lang w:val="en-GB" w:eastAsia="en-US"/>
              </w:rPr>
            </w:pPr>
          </w:p>
        </w:tc>
        <w:tc>
          <w:tcPr>
            <w:tcW w:w="1342" w:type="dxa"/>
            <w:shd w:val="clear" w:color="auto" w:fill="D4EDF9"/>
          </w:tcPr>
          <w:p w14:paraId="68124B05" w14:textId="77777777" w:rsidR="00BA0236" w:rsidRPr="00B32914" w:rsidRDefault="00BA0236" w:rsidP="00B94FCD">
            <w:pPr>
              <w:pStyle w:val="ListParagraph2"/>
              <w:tabs>
                <w:tab w:val="left" w:pos="2250"/>
              </w:tabs>
              <w:spacing w:line="240" w:lineRule="auto"/>
              <w:ind w:left="0"/>
              <w:jc w:val="both"/>
              <w:rPr>
                <w:rFonts w:ascii="Times New Roman" w:hAnsi="Times New Roman"/>
                <w:b/>
                <w:bCs/>
                <w:sz w:val="20"/>
                <w:szCs w:val="20"/>
              </w:rPr>
            </w:pPr>
            <w:r w:rsidRPr="00B32914">
              <w:rPr>
                <w:rFonts w:ascii="Times New Roman" w:hAnsi="Times New Roman"/>
                <w:b/>
                <w:bCs/>
                <w:sz w:val="20"/>
                <w:szCs w:val="20"/>
              </w:rPr>
              <w:t>NAZWA JCWP</w:t>
            </w:r>
          </w:p>
        </w:tc>
        <w:tc>
          <w:tcPr>
            <w:tcW w:w="1754" w:type="dxa"/>
            <w:shd w:val="clear" w:color="auto" w:fill="D4EDF9"/>
          </w:tcPr>
          <w:p w14:paraId="20D4E0C0" w14:textId="77777777" w:rsidR="00BA0236" w:rsidRPr="00B32914" w:rsidRDefault="00BA0236" w:rsidP="00B94FCD">
            <w:pPr>
              <w:pStyle w:val="ListParagraph2"/>
              <w:tabs>
                <w:tab w:val="left" w:pos="2250"/>
              </w:tabs>
              <w:spacing w:line="240" w:lineRule="auto"/>
              <w:ind w:left="0"/>
              <w:jc w:val="both"/>
              <w:rPr>
                <w:rFonts w:ascii="Times New Roman" w:hAnsi="Times New Roman"/>
                <w:b/>
                <w:bCs/>
                <w:sz w:val="20"/>
                <w:szCs w:val="20"/>
              </w:rPr>
            </w:pPr>
            <w:r w:rsidRPr="00B32914">
              <w:rPr>
                <w:rFonts w:ascii="Times New Roman" w:hAnsi="Times New Roman"/>
                <w:b/>
                <w:bCs/>
                <w:sz w:val="20"/>
                <w:szCs w:val="20"/>
              </w:rPr>
              <w:t>KOD JCWP</w:t>
            </w:r>
          </w:p>
        </w:tc>
        <w:tc>
          <w:tcPr>
            <w:tcW w:w="1449" w:type="dxa"/>
            <w:shd w:val="clear" w:color="auto" w:fill="D4EDF9"/>
          </w:tcPr>
          <w:p w14:paraId="21BEE8BD" w14:textId="77777777" w:rsidR="00BA0236" w:rsidRPr="00B32914" w:rsidRDefault="00BA0236" w:rsidP="00B94FCD">
            <w:pPr>
              <w:pStyle w:val="ListParagraph2"/>
              <w:tabs>
                <w:tab w:val="left" w:pos="2250"/>
              </w:tabs>
              <w:spacing w:line="240" w:lineRule="auto"/>
              <w:ind w:left="0"/>
              <w:jc w:val="both"/>
              <w:rPr>
                <w:rFonts w:ascii="Times New Roman" w:hAnsi="Times New Roman"/>
                <w:b/>
                <w:bCs/>
                <w:sz w:val="20"/>
                <w:szCs w:val="20"/>
              </w:rPr>
            </w:pPr>
            <w:r w:rsidRPr="00B32914">
              <w:rPr>
                <w:rFonts w:ascii="Times New Roman" w:hAnsi="Times New Roman"/>
                <w:b/>
                <w:bCs/>
                <w:sz w:val="20"/>
                <w:szCs w:val="20"/>
              </w:rPr>
              <w:t>NAZWA JCWP</w:t>
            </w:r>
          </w:p>
        </w:tc>
        <w:tc>
          <w:tcPr>
            <w:tcW w:w="1681" w:type="dxa"/>
            <w:shd w:val="clear" w:color="auto" w:fill="D4EDF9"/>
          </w:tcPr>
          <w:p w14:paraId="33F35CF9" w14:textId="77777777" w:rsidR="00BA0236" w:rsidRPr="00B32914" w:rsidRDefault="00BA0236" w:rsidP="00B94FCD">
            <w:pPr>
              <w:pStyle w:val="ListParagraph2"/>
              <w:tabs>
                <w:tab w:val="left" w:pos="2250"/>
              </w:tabs>
              <w:spacing w:line="240" w:lineRule="auto"/>
              <w:ind w:left="0"/>
              <w:jc w:val="both"/>
              <w:rPr>
                <w:rFonts w:ascii="Times New Roman" w:hAnsi="Times New Roman"/>
                <w:b/>
                <w:bCs/>
                <w:sz w:val="20"/>
                <w:szCs w:val="20"/>
              </w:rPr>
            </w:pPr>
            <w:r w:rsidRPr="00B32914">
              <w:rPr>
                <w:rFonts w:ascii="Times New Roman" w:hAnsi="Times New Roman"/>
                <w:b/>
                <w:bCs/>
                <w:sz w:val="20"/>
                <w:szCs w:val="20"/>
              </w:rPr>
              <w:t>KOD JCWP</w:t>
            </w:r>
          </w:p>
        </w:tc>
      </w:tr>
      <w:tr w:rsidR="00BA0236" w:rsidRPr="00B32914" w14:paraId="23012C68" w14:textId="77777777" w:rsidTr="00B94FCD">
        <w:tc>
          <w:tcPr>
            <w:tcW w:w="1741" w:type="dxa"/>
          </w:tcPr>
          <w:p w14:paraId="061FA3B6" w14:textId="77777777" w:rsidR="00BA0236" w:rsidRPr="00B32914" w:rsidRDefault="00BA0236">
            <w:pPr>
              <w:pStyle w:val="ListParagraph2"/>
              <w:tabs>
                <w:tab w:val="left" w:pos="2250"/>
              </w:tabs>
              <w:spacing w:line="360" w:lineRule="auto"/>
              <w:ind w:left="132"/>
              <w:rPr>
                <w:rFonts w:ascii="Times New Roman" w:hAnsi="Times New Roman"/>
                <w:sz w:val="20"/>
                <w:szCs w:val="20"/>
              </w:rPr>
            </w:pPr>
            <w:r w:rsidRPr="00B32914">
              <w:rPr>
                <w:rFonts w:ascii="Times New Roman" w:hAnsi="Times New Roman"/>
                <w:sz w:val="20"/>
                <w:szCs w:val="20"/>
                <w:lang w:eastAsia="pl-PL"/>
              </w:rPr>
              <w:t>IOP_1 – Miasto Gdańsk</w:t>
            </w:r>
          </w:p>
        </w:tc>
        <w:tc>
          <w:tcPr>
            <w:tcW w:w="1342" w:type="dxa"/>
          </w:tcPr>
          <w:p w14:paraId="06D8226F"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 xml:space="preserve">Martwa Wisła </w:t>
            </w:r>
          </w:p>
          <w:p w14:paraId="2CADC156"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p>
        </w:tc>
        <w:tc>
          <w:tcPr>
            <w:tcW w:w="1754" w:type="dxa"/>
          </w:tcPr>
          <w:p w14:paraId="20DEBEE2"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RW200014489</w:t>
            </w:r>
          </w:p>
        </w:tc>
        <w:tc>
          <w:tcPr>
            <w:tcW w:w="1449" w:type="dxa"/>
          </w:tcPr>
          <w:p w14:paraId="1C4DB840"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Zatoka Gdańska Wewnętrzna</w:t>
            </w:r>
          </w:p>
        </w:tc>
        <w:tc>
          <w:tcPr>
            <w:tcW w:w="1681" w:type="dxa"/>
          </w:tcPr>
          <w:p w14:paraId="6CA2220D"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TW20004WB6</w:t>
            </w:r>
          </w:p>
        </w:tc>
      </w:tr>
      <w:tr w:rsidR="00BA0236" w:rsidRPr="00B32914" w14:paraId="17CD9B44" w14:textId="77777777" w:rsidTr="00B94FCD">
        <w:tc>
          <w:tcPr>
            <w:tcW w:w="1741" w:type="dxa"/>
          </w:tcPr>
          <w:p w14:paraId="7F1169F8" w14:textId="77777777" w:rsidR="00BA0236" w:rsidRPr="00B32914" w:rsidRDefault="00BA0236">
            <w:pPr>
              <w:spacing w:line="360" w:lineRule="auto"/>
              <w:ind w:left="132"/>
              <w:rPr>
                <w:sz w:val="20"/>
                <w:szCs w:val="20"/>
              </w:rPr>
            </w:pPr>
            <w:r w:rsidRPr="00B32914">
              <w:rPr>
                <w:sz w:val="20"/>
                <w:szCs w:val="20"/>
              </w:rPr>
              <w:t>IOP_2 – Mierzeja Helska – Jastarnia, Hel</w:t>
            </w:r>
          </w:p>
        </w:tc>
        <w:tc>
          <w:tcPr>
            <w:tcW w:w="1342" w:type="dxa"/>
          </w:tcPr>
          <w:p w14:paraId="5A1B4747"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Zatoka Pucka Zewnętrzna</w:t>
            </w:r>
          </w:p>
        </w:tc>
        <w:tc>
          <w:tcPr>
            <w:tcW w:w="1754" w:type="dxa"/>
          </w:tcPr>
          <w:p w14:paraId="638A561E"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TW20003WB5</w:t>
            </w:r>
          </w:p>
        </w:tc>
        <w:tc>
          <w:tcPr>
            <w:tcW w:w="1449" w:type="dxa"/>
          </w:tcPr>
          <w:p w14:paraId="4D16A93F"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w:t>
            </w:r>
          </w:p>
        </w:tc>
        <w:tc>
          <w:tcPr>
            <w:tcW w:w="1681" w:type="dxa"/>
          </w:tcPr>
          <w:p w14:paraId="7967A263"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w:t>
            </w:r>
          </w:p>
        </w:tc>
      </w:tr>
      <w:tr w:rsidR="00BA0236" w:rsidRPr="00B32914" w14:paraId="330C2B3E" w14:textId="77777777" w:rsidTr="00B94FCD">
        <w:tc>
          <w:tcPr>
            <w:tcW w:w="1741" w:type="dxa"/>
          </w:tcPr>
          <w:p w14:paraId="45CA3760" w14:textId="77777777" w:rsidR="00BA0236" w:rsidRPr="00B32914" w:rsidRDefault="00BA0236">
            <w:pPr>
              <w:pStyle w:val="ListParagraph2"/>
              <w:tabs>
                <w:tab w:val="left" w:pos="2250"/>
              </w:tabs>
              <w:spacing w:line="360" w:lineRule="auto"/>
              <w:ind w:left="132"/>
              <w:rPr>
                <w:rFonts w:ascii="Times New Roman" w:hAnsi="Times New Roman"/>
                <w:sz w:val="20"/>
                <w:szCs w:val="20"/>
              </w:rPr>
            </w:pPr>
            <w:r w:rsidRPr="00B32914">
              <w:rPr>
                <w:rFonts w:ascii="Times New Roman" w:hAnsi="Times New Roman"/>
                <w:sz w:val="20"/>
                <w:szCs w:val="20"/>
              </w:rPr>
              <w:t>IOP_5 – Krynica Morska - Zalew Wiślany</w:t>
            </w:r>
          </w:p>
        </w:tc>
        <w:tc>
          <w:tcPr>
            <w:tcW w:w="1342" w:type="dxa"/>
          </w:tcPr>
          <w:p w14:paraId="79BB3623" w14:textId="77777777" w:rsidR="00BA0236" w:rsidRPr="00B32914" w:rsidRDefault="00BA0236">
            <w:pPr>
              <w:pStyle w:val="ListParagraph2"/>
              <w:tabs>
                <w:tab w:val="left" w:pos="2250"/>
              </w:tabs>
              <w:spacing w:line="360" w:lineRule="auto"/>
              <w:ind w:left="0"/>
              <w:rPr>
                <w:rFonts w:ascii="Times New Roman" w:hAnsi="Times New Roman"/>
                <w:bCs/>
                <w:sz w:val="20"/>
                <w:szCs w:val="20"/>
                <w:lang w:val="en-GB"/>
              </w:rPr>
            </w:pPr>
            <w:r w:rsidRPr="00B32914">
              <w:rPr>
                <w:rFonts w:ascii="Times New Roman" w:hAnsi="Times New Roman"/>
                <w:bCs/>
                <w:sz w:val="20"/>
                <w:szCs w:val="20"/>
              </w:rPr>
              <w:t>Zalew Wiślany</w:t>
            </w:r>
          </w:p>
        </w:tc>
        <w:tc>
          <w:tcPr>
            <w:tcW w:w="1754" w:type="dxa"/>
          </w:tcPr>
          <w:p w14:paraId="1E18DBDF"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TW20001WB1</w:t>
            </w:r>
          </w:p>
        </w:tc>
        <w:tc>
          <w:tcPr>
            <w:tcW w:w="1449" w:type="dxa"/>
          </w:tcPr>
          <w:p w14:paraId="3AB7B6EE"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w:t>
            </w:r>
          </w:p>
        </w:tc>
        <w:tc>
          <w:tcPr>
            <w:tcW w:w="1681" w:type="dxa"/>
          </w:tcPr>
          <w:p w14:paraId="34F195CA"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w:t>
            </w:r>
          </w:p>
        </w:tc>
      </w:tr>
      <w:tr w:rsidR="00BA0236" w:rsidRPr="00B32914" w14:paraId="764395FE" w14:textId="77777777" w:rsidTr="00B94FCD">
        <w:tc>
          <w:tcPr>
            <w:tcW w:w="1741" w:type="dxa"/>
          </w:tcPr>
          <w:p w14:paraId="74E3C096" w14:textId="77777777" w:rsidR="00BA0236" w:rsidRPr="00B32914" w:rsidRDefault="00BA0236">
            <w:pPr>
              <w:spacing w:line="360" w:lineRule="auto"/>
              <w:ind w:left="132"/>
              <w:rPr>
                <w:sz w:val="20"/>
                <w:szCs w:val="20"/>
              </w:rPr>
            </w:pPr>
            <w:r w:rsidRPr="00B32914">
              <w:rPr>
                <w:sz w:val="20"/>
                <w:szCs w:val="20"/>
              </w:rPr>
              <w:t>IOP_7 – Ustka - ujście Słupi</w:t>
            </w:r>
          </w:p>
        </w:tc>
        <w:tc>
          <w:tcPr>
            <w:tcW w:w="1342" w:type="dxa"/>
          </w:tcPr>
          <w:p w14:paraId="60603D3E" w14:textId="77777777" w:rsidR="00BA0236" w:rsidRPr="00B32914" w:rsidRDefault="00BA0236">
            <w:pPr>
              <w:pStyle w:val="ListParagraph2"/>
              <w:tabs>
                <w:tab w:val="left" w:pos="0"/>
                <w:tab w:val="left" w:pos="2250"/>
              </w:tabs>
              <w:spacing w:line="360" w:lineRule="auto"/>
              <w:ind w:left="-23"/>
              <w:rPr>
                <w:rFonts w:ascii="Times New Roman" w:hAnsi="Times New Roman"/>
                <w:bCs/>
                <w:sz w:val="20"/>
                <w:szCs w:val="20"/>
              </w:rPr>
            </w:pPr>
            <w:r w:rsidRPr="00B32914">
              <w:rPr>
                <w:rFonts w:ascii="Times New Roman" w:hAnsi="Times New Roman"/>
                <w:bCs/>
                <w:sz w:val="20"/>
                <w:szCs w:val="20"/>
              </w:rPr>
              <w:t xml:space="preserve">Słupia od Otocznicy do ujścia </w:t>
            </w:r>
          </w:p>
          <w:p w14:paraId="671A4C03"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p>
        </w:tc>
        <w:tc>
          <w:tcPr>
            <w:tcW w:w="1754" w:type="dxa"/>
          </w:tcPr>
          <w:p w14:paraId="76E2FCC8"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RW20001447299</w:t>
            </w:r>
          </w:p>
        </w:tc>
        <w:tc>
          <w:tcPr>
            <w:tcW w:w="1449" w:type="dxa"/>
          </w:tcPr>
          <w:p w14:paraId="7D0881DC" w14:textId="77777777" w:rsidR="00BA0236" w:rsidRPr="00B32914" w:rsidRDefault="00BA0236">
            <w:pPr>
              <w:pStyle w:val="ListParagraph2"/>
              <w:tabs>
                <w:tab w:val="left" w:pos="2250"/>
              </w:tabs>
              <w:spacing w:line="360" w:lineRule="auto"/>
              <w:ind w:left="-4"/>
              <w:rPr>
                <w:rFonts w:ascii="Times New Roman" w:hAnsi="Times New Roman"/>
                <w:bCs/>
                <w:sz w:val="20"/>
                <w:szCs w:val="20"/>
              </w:rPr>
            </w:pPr>
            <w:r w:rsidRPr="00B32914">
              <w:rPr>
                <w:rFonts w:ascii="Times New Roman" w:hAnsi="Times New Roman"/>
                <w:bCs/>
                <w:sz w:val="20"/>
                <w:szCs w:val="20"/>
              </w:rPr>
              <w:t xml:space="preserve">Polskie wody przybrzeżne Basenu Bornholmskiego </w:t>
            </w:r>
          </w:p>
          <w:p w14:paraId="4A6AC2D7" w14:textId="77777777" w:rsidR="00BA0236" w:rsidRPr="00B32914" w:rsidRDefault="00BA0236">
            <w:pPr>
              <w:pStyle w:val="ListParagraph2"/>
              <w:tabs>
                <w:tab w:val="left" w:pos="2250"/>
              </w:tabs>
              <w:spacing w:line="360" w:lineRule="auto"/>
              <w:ind w:left="28"/>
              <w:rPr>
                <w:rFonts w:ascii="Times New Roman" w:hAnsi="Times New Roman"/>
                <w:bCs/>
                <w:sz w:val="20"/>
                <w:szCs w:val="20"/>
              </w:rPr>
            </w:pPr>
            <w:r w:rsidRPr="00B32914">
              <w:rPr>
                <w:rFonts w:ascii="Times New Roman" w:hAnsi="Times New Roman"/>
                <w:bCs/>
                <w:sz w:val="20"/>
                <w:szCs w:val="20"/>
              </w:rPr>
              <w:t xml:space="preserve">Polskie wody przybrzeżne Basenu Gotlandzkiego </w:t>
            </w:r>
          </w:p>
        </w:tc>
        <w:tc>
          <w:tcPr>
            <w:tcW w:w="1681" w:type="dxa"/>
          </w:tcPr>
          <w:p w14:paraId="7CC19DED" w14:textId="77777777" w:rsidR="00BA0236" w:rsidRPr="00B32914" w:rsidRDefault="00BA0236">
            <w:pPr>
              <w:pStyle w:val="ListParagraph2"/>
              <w:tabs>
                <w:tab w:val="left" w:pos="2250"/>
              </w:tabs>
              <w:spacing w:line="360" w:lineRule="auto"/>
              <w:ind w:left="0"/>
              <w:rPr>
                <w:rFonts w:ascii="Times New Roman" w:hAnsi="Times New Roman"/>
                <w:bCs/>
                <w:sz w:val="20"/>
                <w:szCs w:val="20"/>
                <w:lang w:val="en-GB"/>
              </w:rPr>
            </w:pPr>
            <w:r w:rsidRPr="00B32914">
              <w:rPr>
                <w:rFonts w:ascii="Times New Roman" w:hAnsi="Times New Roman"/>
                <w:bCs/>
                <w:sz w:val="20"/>
                <w:szCs w:val="20"/>
              </w:rPr>
              <w:t>CW60001WB3</w:t>
            </w:r>
          </w:p>
          <w:p w14:paraId="2AD4758D"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p>
          <w:p w14:paraId="33AE5DCB"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p>
          <w:p w14:paraId="4350F7BB"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p>
          <w:p w14:paraId="143CA99D"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CW20001WB2</w:t>
            </w:r>
          </w:p>
        </w:tc>
      </w:tr>
      <w:tr w:rsidR="00BA0236" w:rsidRPr="00B32914" w14:paraId="28B43F96" w14:textId="77777777" w:rsidTr="00B94FCD">
        <w:tc>
          <w:tcPr>
            <w:tcW w:w="1741" w:type="dxa"/>
          </w:tcPr>
          <w:p w14:paraId="19DE26B0" w14:textId="0D75B5FA" w:rsidR="00BA0236" w:rsidRPr="00B32914" w:rsidRDefault="00BA0236">
            <w:pPr>
              <w:spacing w:line="360" w:lineRule="auto"/>
              <w:ind w:left="132"/>
              <w:rPr>
                <w:sz w:val="20"/>
                <w:szCs w:val="20"/>
              </w:rPr>
            </w:pPr>
            <w:r w:rsidRPr="00B32914">
              <w:rPr>
                <w:sz w:val="20"/>
                <w:szCs w:val="20"/>
              </w:rPr>
              <w:t>IOP_8 – Dębki</w:t>
            </w:r>
          </w:p>
        </w:tc>
        <w:tc>
          <w:tcPr>
            <w:tcW w:w="1342" w:type="dxa"/>
          </w:tcPr>
          <w:p w14:paraId="7A7EF9B0"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 xml:space="preserve">Piaśnica od Białogórskiej Strugi do ujścia </w:t>
            </w:r>
          </w:p>
        </w:tc>
        <w:tc>
          <w:tcPr>
            <w:tcW w:w="1754" w:type="dxa"/>
          </w:tcPr>
          <w:p w14:paraId="743DC746" w14:textId="77777777" w:rsidR="00BA0236" w:rsidRPr="00B32914" w:rsidRDefault="00BA0236">
            <w:pPr>
              <w:pStyle w:val="ListParagraph2"/>
              <w:tabs>
                <w:tab w:val="left" w:pos="2250"/>
              </w:tabs>
              <w:spacing w:line="360" w:lineRule="auto"/>
              <w:ind w:left="0"/>
              <w:rPr>
                <w:rFonts w:ascii="Times New Roman" w:hAnsi="Times New Roman"/>
                <w:bCs/>
                <w:sz w:val="20"/>
                <w:szCs w:val="20"/>
                <w:lang w:val="en-GB"/>
              </w:rPr>
            </w:pPr>
            <w:r w:rsidRPr="00B32914">
              <w:rPr>
                <w:rFonts w:ascii="Times New Roman" w:hAnsi="Times New Roman"/>
                <w:bCs/>
                <w:sz w:val="20"/>
                <w:szCs w:val="20"/>
              </w:rPr>
              <w:t>RW20001447729</w:t>
            </w:r>
          </w:p>
        </w:tc>
        <w:tc>
          <w:tcPr>
            <w:tcW w:w="1449" w:type="dxa"/>
          </w:tcPr>
          <w:p w14:paraId="0112CFD4"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 xml:space="preserve">Polskie wody przybrzeżne Basenu Gotlandzkiego </w:t>
            </w:r>
          </w:p>
        </w:tc>
        <w:tc>
          <w:tcPr>
            <w:tcW w:w="1681" w:type="dxa"/>
          </w:tcPr>
          <w:p w14:paraId="49BBB42F" w14:textId="77777777" w:rsidR="00BA0236" w:rsidRPr="00B32914" w:rsidRDefault="00BA0236">
            <w:pPr>
              <w:pStyle w:val="ListParagraph2"/>
              <w:tabs>
                <w:tab w:val="left" w:pos="2250"/>
              </w:tabs>
              <w:spacing w:line="360" w:lineRule="auto"/>
              <w:ind w:left="0"/>
              <w:rPr>
                <w:rFonts w:ascii="Times New Roman" w:hAnsi="Times New Roman"/>
                <w:bCs/>
                <w:sz w:val="20"/>
                <w:szCs w:val="20"/>
                <w:lang w:val="en-GB"/>
              </w:rPr>
            </w:pPr>
            <w:r w:rsidRPr="00B32914">
              <w:rPr>
                <w:rFonts w:ascii="Times New Roman" w:hAnsi="Times New Roman"/>
                <w:bCs/>
                <w:sz w:val="20"/>
                <w:szCs w:val="20"/>
              </w:rPr>
              <w:t>CW20001WB2</w:t>
            </w:r>
          </w:p>
          <w:p w14:paraId="40FC4372"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p>
        </w:tc>
      </w:tr>
      <w:tr w:rsidR="00BA0236" w:rsidRPr="00B32914" w14:paraId="2010E6D9" w14:textId="77777777" w:rsidTr="00B94FCD">
        <w:tc>
          <w:tcPr>
            <w:tcW w:w="1741" w:type="dxa"/>
          </w:tcPr>
          <w:p w14:paraId="25F828CC" w14:textId="77777777" w:rsidR="00BA0236" w:rsidRPr="00B32914" w:rsidRDefault="00BA0236">
            <w:pPr>
              <w:spacing w:line="360" w:lineRule="auto"/>
              <w:ind w:left="132"/>
              <w:rPr>
                <w:sz w:val="20"/>
                <w:szCs w:val="20"/>
              </w:rPr>
            </w:pPr>
            <w:r w:rsidRPr="00B32914">
              <w:rPr>
                <w:sz w:val="20"/>
                <w:szCs w:val="20"/>
              </w:rPr>
              <w:t>IOP_12 – Łeba od Mielnickiego Kanału do Chełstu</w:t>
            </w:r>
          </w:p>
        </w:tc>
        <w:tc>
          <w:tcPr>
            <w:tcW w:w="1342" w:type="dxa"/>
          </w:tcPr>
          <w:p w14:paraId="3C41E2A4"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Łeba od jez. Łebsko z Chełstem od jez. Sarbsko</w:t>
            </w:r>
          </w:p>
        </w:tc>
        <w:tc>
          <w:tcPr>
            <w:tcW w:w="1754" w:type="dxa"/>
          </w:tcPr>
          <w:p w14:paraId="46A080D3"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RW20001447699</w:t>
            </w:r>
          </w:p>
        </w:tc>
        <w:tc>
          <w:tcPr>
            <w:tcW w:w="1449" w:type="dxa"/>
          </w:tcPr>
          <w:p w14:paraId="167AF0ED"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Polskie wody przybrzeżne Basenu Gotlandzkiego</w:t>
            </w:r>
          </w:p>
        </w:tc>
        <w:tc>
          <w:tcPr>
            <w:tcW w:w="1681" w:type="dxa"/>
          </w:tcPr>
          <w:p w14:paraId="05797883" w14:textId="77777777" w:rsidR="00BA0236" w:rsidRPr="00B32914" w:rsidRDefault="00BA0236">
            <w:pPr>
              <w:pStyle w:val="ListParagraph2"/>
              <w:tabs>
                <w:tab w:val="left" w:pos="2250"/>
              </w:tabs>
              <w:spacing w:line="360" w:lineRule="auto"/>
              <w:ind w:left="0"/>
              <w:rPr>
                <w:rFonts w:ascii="Times New Roman" w:hAnsi="Times New Roman"/>
                <w:bCs/>
                <w:sz w:val="20"/>
                <w:szCs w:val="20"/>
                <w:lang w:val="en-GB"/>
              </w:rPr>
            </w:pPr>
            <w:r w:rsidRPr="00B32914">
              <w:rPr>
                <w:rFonts w:ascii="Times New Roman" w:hAnsi="Times New Roman"/>
                <w:bCs/>
                <w:sz w:val="20"/>
                <w:szCs w:val="20"/>
              </w:rPr>
              <w:t>CW20001WB2</w:t>
            </w:r>
          </w:p>
        </w:tc>
      </w:tr>
      <w:tr w:rsidR="00BA0236" w:rsidRPr="00B32914" w14:paraId="4A791BFA" w14:textId="77777777" w:rsidTr="00B94FCD">
        <w:tc>
          <w:tcPr>
            <w:tcW w:w="1741" w:type="dxa"/>
          </w:tcPr>
          <w:p w14:paraId="4374E195" w14:textId="77777777" w:rsidR="00BA0236" w:rsidRPr="00B32914" w:rsidRDefault="00BA0236">
            <w:pPr>
              <w:spacing w:line="360" w:lineRule="auto"/>
              <w:ind w:left="132"/>
              <w:rPr>
                <w:sz w:val="20"/>
                <w:szCs w:val="20"/>
              </w:rPr>
            </w:pPr>
            <w:r w:rsidRPr="00B32914">
              <w:rPr>
                <w:sz w:val="20"/>
                <w:szCs w:val="20"/>
              </w:rPr>
              <w:t>MR_1 – Żuławy Wiślane</w:t>
            </w:r>
          </w:p>
        </w:tc>
        <w:tc>
          <w:tcPr>
            <w:tcW w:w="1342" w:type="dxa"/>
          </w:tcPr>
          <w:p w14:paraId="75FEE74B"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Elbląg od Młynówki do ujścia</w:t>
            </w:r>
          </w:p>
        </w:tc>
        <w:tc>
          <w:tcPr>
            <w:tcW w:w="1754" w:type="dxa"/>
          </w:tcPr>
          <w:p w14:paraId="4EFC241A" w14:textId="77777777" w:rsidR="00BA0236" w:rsidRPr="00B32914" w:rsidRDefault="00BA0236">
            <w:pPr>
              <w:pStyle w:val="ListParagraph2"/>
              <w:tabs>
                <w:tab w:val="left" w:pos="2250"/>
              </w:tabs>
              <w:spacing w:line="360" w:lineRule="auto"/>
              <w:ind w:left="0"/>
              <w:rPr>
                <w:rFonts w:ascii="Times New Roman" w:hAnsi="Times New Roman"/>
                <w:bCs/>
                <w:sz w:val="20"/>
                <w:szCs w:val="20"/>
                <w:lang w:val="en-GB"/>
              </w:rPr>
            </w:pPr>
            <w:r w:rsidRPr="00B32914">
              <w:rPr>
                <w:rFonts w:ascii="Times New Roman" w:hAnsi="Times New Roman"/>
                <w:bCs/>
                <w:sz w:val="20"/>
                <w:szCs w:val="20"/>
              </w:rPr>
              <w:t>RW2000165499</w:t>
            </w:r>
          </w:p>
        </w:tc>
        <w:tc>
          <w:tcPr>
            <w:tcW w:w="1449" w:type="dxa"/>
          </w:tcPr>
          <w:p w14:paraId="3A01DD07"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Zalew Wiślany</w:t>
            </w:r>
          </w:p>
        </w:tc>
        <w:tc>
          <w:tcPr>
            <w:tcW w:w="1681" w:type="dxa"/>
          </w:tcPr>
          <w:p w14:paraId="74891860"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TW20001WB1</w:t>
            </w:r>
          </w:p>
        </w:tc>
      </w:tr>
      <w:tr w:rsidR="00BA0236" w:rsidRPr="00B32914" w14:paraId="46DACF0D" w14:textId="77777777" w:rsidTr="00B94FCD">
        <w:tc>
          <w:tcPr>
            <w:tcW w:w="1741" w:type="dxa"/>
          </w:tcPr>
          <w:p w14:paraId="23331E76" w14:textId="77777777" w:rsidR="00BA0236" w:rsidRPr="00B32914" w:rsidRDefault="00BA0236">
            <w:pPr>
              <w:spacing w:line="360" w:lineRule="auto"/>
              <w:ind w:left="132"/>
              <w:rPr>
                <w:sz w:val="20"/>
                <w:szCs w:val="20"/>
              </w:rPr>
            </w:pPr>
            <w:r w:rsidRPr="00B32914">
              <w:rPr>
                <w:sz w:val="20"/>
                <w:szCs w:val="20"/>
              </w:rPr>
              <w:t>MR_2 – Mechelinki, Rewa, Mosty, Połchowo - ujście Redy</w:t>
            </w:r>
          </w:p>
        </w:tc>
        <w:tc>
          <w:tcPr>
            <w:tcW w:w="1342" w:type="dxa"/>
          </w:tcPr>
          <w:p w14:paraId="7B246A22"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Zalew Pucki</w:t>
            </w:r>
          </w:p>
          <w:p w14:paraId="3F088F51"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p>
          <w:p w14:paraId="466EDEBB"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Zatoka Pucka Zewnętrzna</w:t>
            </w:r>
          </w:p>
        </w:tc>
        <w:tc>
          <w:tcPr>
            <w:tcW w:w="1754" w:type="dxa"/>
          </w:tcPr>
          <w:p w14:paraId="266390A4" w14:textId="77777777" w:rsidR="00BA0236" w:rsidRPr="00B32914" w:rsidRDefault="00BA0236">
            <w:pPr>
              <w:pStyle w:val="ListParagraph2"/>
              <w:tabs>
                <w:tab w:val="left" w:pos="2250"/>
              </w:tabs>
              <w:spacing w:line="360" w:lineRule="auto"/>
              <w:ind w:left="0"/>
              <w:rPr>
                <w:rFonts w:ascii="Times New Roman" w:hAnsi="Times New Roman"/>
                <w:bCs/>
                <w:sz w:val="20"/>
                <w:szCs w:val="20"/>
                <w:lang w:val="en-GB"/>
              </w:rPr>
            </w:pPr>
            <w:r w:rsidRPr="00B32914">
              <w:rPr>
                <w:rFonts w:ascii="Times New Roman" w:hAnsi="Times New Roman"/>
                <w:bCs/>
                <w:sz w:val="20"/>
                <w:szCs w:val="20"/>
              </w:rPr>
              <w:t>TW20002WB4</w:t>
            </w:r>
          </w:p>
          <w:p w14:paraId="54B09BD9"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p>
          <w:p w14:paraId="1657BD7C"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TW20003WB5</w:t>
            </w:r>
          </w:p>
          <w:p w14:paraId="3F0CF5DE"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p>
        </w:tc>
        <w:tc>
          <w:tcPr>
            <w:tcW w:w="1449" w:type="dxa"/>
          </w:tcPr>
          <w:p w14:paraId="6F412BD9"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Reda od Dopływu z polderu Rekowo do ujścia</w:t>
            </w:r>
          </w:p>
        </w:tc>
        <w:tc>
          <w:tcPr>
            <w:tcW w:w="1681" w:type="dxa"/>
          </w:tcPr>
          <w:p w14:paraId="323C1ABF" w14:textId="77777777" w:rsidR="00BA0236" w:rsidRPr="00B32914" w:rsidRDefault="00BA0236">
            <w:pPr>
              <w:pStyle w:val="ListParagraph2"/>
              <w:tabs>
                <w:tab w:val="left" w:pos="2250"/>
              </w:tabs>
              <w:spacing w:line="360" w:lineRule="auto"/>
              <w:ind w:left="0"/>
              <w:rPr>
                <w:rFonts w:ascii="Times New Roman" w:hAnsi="Times New Roman"/>
                <w:bCs/>
                <w:sz w:val="20"/>
                <w:szCs w:val="20"/>
                <w:lang w:val="en-GB"/>
              </w:rPr>
            </w:pPr>
            <w:r w:rsidRPr="00B32914">
              <w:rPr>
                <w:rFonts w:ascii="Times New Roman" w:hAnsi="Times New Roman"/>
                <w:bCs/>
                <w:sz w:val="20"/>
                <w:szCs w:val="20"/>
              </w:rPr>
              <w:t>RW20001447899</w:t>
            </w:r>
          </w:p>
        </w:tc>
      </w:tr>
    </w:tbl>
    <w:p w14:paraId="5346125E" w14:textId="77777777" w:rsidR="00BA0236" w:rsidRDefault="00BA0236" w:rsidP="00347E16">
      <w:pPr>
        <w:pStyle w:val="ListParagraph2"/>
        <w:tabs>
          <w:tab w:val="left" w:pos="2250"/>
        </w:tabs>
        <w:spacing w:line="360" w:lineRule="auto"/>
        <w:jc w:val="both"/>
        <w:rPr>
          <w:rFonts w:cs="Calibri"/>
          <w:bCs/>
          <w:lang w:val="en-GB"/>
        </w:rPr>
      </w:pPr>
    </w:p>
    <w:p w14:paraId="423B8886" w14:textId="49E46963" w:rsidR="00BA0236" w:rsidRDefault="00BA0236" w:rsidP="00347E16">
      <w:pPr>
        <w:pStyle w:val="ReportText"/>
        <w:spacing w:before="120" w:after="120"/>
      </w:pPr>
      <w:r>
        <w:rPr>
          <w:rFonts w:cs="Calibri"/>
          <w:bCs/>
        </w:rPr>
        <w:lastRenderedPageBreak/>
        <w:t xml:space="preserve">Planowane inwestycje zlokalizowane są </w:t>
      </w:r>
      <w:r w:rsidR="003A3AD0">
        <w:rPr>
          <w:rFonts w:cs="Calibri"/>
          <w:bCs/>
        </w:rPr>
        <w:t xml:space="preserve">głównie </w:t>
      </w:r>
      <w:r>
        <w:rPr>
          <w:rFonts w:cs="Calibri"/>
          <w:bCs/>
        </w:rPr>
        <w:t xml:space="preserve">w obrębie </w:t>
      </w:r>
      <w:r w:rsidR="00E072A6">
        <w:rPr>
          <w:rFonts w:cs="Calibri"/>
          <w:bCs/>
        </w:rPr>
        <w:t>Zatoki Gdańskiej</w:t>
      </w:r>
      <w:r>
        <w:rPr>
          <w:rFonts w:cs="Calibri"/>
          <w:bCs/>
        </w:rPr>
        <w:t xml:space="preserve"> oraz w ujściowych odcinkach rzek Parsęty, Wieprzy, Gowienicy. Wszystkie JCWP charakteryzuje zły stan wód oraz są one zagrożone nieosiągnięciem celów środowiskowych wskazanych na lata 202</w:t>
      </w:r>
      <w:r w:rsidR="00DC3CAB">
        <w:rPr>
          <w:rFonts w:cs="Calibri"/>
          <w:bCs/>
        </w:rPr>
        <w:t>2</w:t>
      </w:r>
      <w:r>
        <w:rPr>
          <w:rFonts w:cs="Calibri"/>
          <w:bCs/>
        </w:rPr>
        <w:t>-2027. Szczegółową charakterystykę JCWP prezentuj poniższa tabela</w:t>
      </w:r>
      <w:r>
        <w:t xml:space="preserve">. </w:t>
      </w:r>
    </w:p>
    <w:p w14:paraId="00F1577F" w14:textId="31117D3E" w:rsidR="00BA0236" w:rsidRPr="008D7CA9" w:rsidRDefault="00BA0236" w:rsidP="008D7CA9">
      <w:pPr>
        <w:pStyle w:val="Legenda"/>
        <w:tabs>
          <w:tab w:val="clear" w:pos="1080"/>
        </w:tabs>
        <w:spacing w:before="120" w:after="0"/>
        <w:ind w:left="1134" w:hanging="1134"/>
        <w:jc w:val="both"/>
        <w:rPr>
          <w:sz w:val="24"/>
          <w:szCs w:val="28"/>
        </w:rPr>
      </w:pPr>
      <w:bookmarkStart w:id="199" w:name="_Ref79508332"/>
      <w:bookmarkStart w:id="200" w:name="_Toc79511778"/>
      <w:bookmarkStart w:id="201" w:name="_Toc80604834"/>
      <w:r w:rsidRPr="008D7CA9">
        <w:rPr>
          <w:sz w:val="24"/>
          <w:szCs w:val="28"/>
        </w:rPr>
        <w:t xml:space="preserve">Tabela </w:t>
      </w:r>
      <w:r w:rsidR="00295C25" w:rsidRPr="008D7CA9">
        <w:rPr>
          <w:sz w:val="24"/>
          <w:szCs w:val="28"/>
        </w:rPr>
        <w:fldChar w:fldCharType="begin"/>
      </w:r>
      <w:r w:rsidR="00295C25" w:rsidRPr="008D7CA9">
        <w:rPr>
          <w:sz w:val="24"/>
          <w:szCs w:val="28"/>
        </w:rPr>
        <w:instrText xml:space="preserve"> SEQ Tabela \* ARABIC </w:instrText>
      </w:r>
      <w:r w:rsidR="00295C25" w:rsidRPr="008D7CA9">
        <w:rPr>
          <w:sz w:val="24"/>
          <w:szCs w:val="28"/>
        </w:rPr>
        <w:fldChar w:fldCharType="separate"/>
      </w:r>
      <w:r w:rsidR="00FD3F9A">
        <w:rPr>
          <w:noProof/>
          <w:sz w:val="24"/>
          <w:szCs w:val="28"/>
        </w:rPr>
        <w:t>24</w:t>
      </w:r>
      <w:r w:rsidR="00295C25" w:rsidRPr="008D7CA9">
        <w:rPr>
          <w:noProof/>
          <w:sz w:val="24"/>
          <w:szCs w:val="28"/>
        </w:rPr>
        <w:fldChar w:fldCharType="end"/>
      </w:r>
      <w:bookmarkEnd w:id="199"/>
      <w:r w:rsidRPr="008D7CA9">
        <w:rPr>
          <w:sz w:val="24"/>
          <w:szCs w:val="28"/>
        </w:rPr>
        <w:tab/>
        <w:t>Charakterystyka JCWP w obrębie, których zlokalizowane są inwestycje i</w:t>
      </w:r>
      <w:r w:rsidR="008D7CA9">
        <w:rPr>
          <w:sz w:val="24"/>
          <w:szCs w:val="28"/>
        </w:rPr>
        <w:t> </w:t>
      </w:r>
      <w:r w:rsidRPr="008D7CA9">
        <w:rPr>
          <w:sz w:val="24"/>
          <w:szCs w:val="28"/>
        </w:rPr>
        <w:t>działania oraz JCWP, na które mogą one oddziaływać (wg aktualizacji planów gospodarowania wodami 202</w:t>
      </w:r>
      <w:r w:rsidR="00DC3CAB">
        <w:rPr>
          <w:sz w:val="24"/>
          <w:szCs w:val="28"/>
        </w:rPr>
        <w:t>2</w:t>
      </w:r>
      <w:r w:rsidRPr="008D7CA9">
        <w:rPr>
          <w:sz w:val="24"/>
          <w:szCs w:val="28"/>
        </w:rPr>
        <w:t>-2027)</w:t>
      </w:r>
      <w:bookmarkEnd w:id="200"/>
      <w:bookmarkEnd w:id="201"/>
    </w:p>
    <w:tbl>
      <w:tblPr>
        <w:tblW w:w="93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928"/>
        <w:gridCol w:w="841"/>
        <w:gridCol w:w="1013"/>
        <w:gridCol w:w="1568"/>
        <w:gridCol w:w="1135"/>
        <w:gridCol w:w="2554"/>
      </w:tblGrid>
      <w:tr w:rsidR="00BA0236" w:rsidRPr="00B32914" w14:paraId="36BEB370" w14:textId="77777777" w:rsidTr="003A3AD0">
        <w:trPr>
          <w:cantSplit/>
          <w:tblHeader/>
        </w:trPr>
        <w:tc>
          <w:tcPr>
            <w:tcW w:w="1276" w:type="dxa"/>
            <w:shd w:val="clear" w:color="auto" w:fill="D4EDF9"/>
          </w:tcPr>
          <w:p w14:paraId="45B65C4F" w14:textId="77777777" w:rsidR="00BA0236" w:rsidRPr="00B32914" w:rsidRDefault="00BA0236" w:rsidP="00B94FCD">
            <w:pPr>
              <w:pStyle w:val="ListParagraph2"/>
              <w:tabs>
                <w:tab w:val="left" w:pos="2250"/>
              </w:tabs>
              <w:spacing w:after="0" w:line="240" w:lineRule="auto"/>
              <w:ind w:left="0"/>
              <w:rPr>
                <w:rFonts w:ascii="Times New Roman" w:hAnsi="Times New Roman"/>
                <w:b/>
                <w:bCs/>
                <w:sz w:val="20"/>
                <w:szCs w:val="20"/>
              </w:rPr>
            </w:pPr>
            <w:r w:rsidRPr="00B32914">
              <w:rPr>
                <w:rFonts w:ascii="Times New Roman" w:hAnsi="Times New Roman"/>
                <w:b/>
                <w:bCs/>
                <w:sz w:val="20"/>
                <w:szCs w:val="20"/>
              </w:rPr>
              <w:t>Nazwa JCWP</w:t>
            </w:r>
          </w:p>
        </w:tc>
        <w:tc>
          <w:tcPr>
            <w:tcW w:w="928" w:type="dxa"/>
            <w:shd w:val="clear" w:color="auto" w:fill="D4EDF9"/>
          </w:tcPr>
          <w:p w14:paraId="00000CE2" w14:textId="77777777" w:rsidR="00BA0236" w:rsidRPr="00B32914" w:rsidRDefault="00BA0236" w:rsidP="00B94FCD">
            <w:pPr>
              <w:pStyle w:val="ListParagraph2"/>
              <w:tabs>
                <w:tab w:val="left" w:pos="2250"/>
              </w:tabs>
              <w:spacing w:after="0" w:line="240" w:lineRule="auto"/>
              <w:ind w:left="0"/>
              <w:rPr>
                <w:rFonts w:ascii="Times New Roman" w:hAnsi="Times New Roman"/>
                <w:b/>
                <w:bCs/>
                <w:sz w:val="20"/>
                <w:szCs w:val="20"/>
              </w:rPr>
            </w:pPr>
            <w:r w:rsidRPr="00B32914">
              <w:rPr>
                <w:rFonts w:ascii="Times New Roman" w:hAnsi="Times New Roman"/>
                <w:b/>
                <w:bCs/>
                <w:sz w:val="20"/>
                <w:szCs w:val="20"/>
              </w:rPr>
              <w:t>Kod</w:t>
            </w:r>
          </w:p>
        </w:tc>
        <w:tc>
          <w:tcPr>
            <w:tcW w:w="841" w:type="dxa"/>
            <w:shd w:val="clear" w:color="auto" w:fill="D4EDF9"/>
          </w:tcPr>
          <w:p w14:paraId="1CFAF24D" w14:textId="77777777" w:rsidR="00BA0236" w:rsidRPr="00B32914" w:rsidRDefault="00BA0236" w:rsidP="00B94FCD">
            <w:pPr>
              <w:pStyle w:val="ListParagraph2"/>
              <w:tabs>
                <w:tab w:val="left" w:pos="2250"/>
              </w:tabs>
              <w:spacing w:after="0" w:line="240" w:lineRule="auto"/>
              <w:ind w:left="0"/>
              <w:rPr>
                <w:rFonts w:ascii="Times New Roman" w:hAnsi="Times New Roman"/>
                <w:b/>
                <w:bCs/>
                <w:sz w:val="20"/>
                <w:szCs w:val="20"/>
              </w:rPr>
            </w:pPr>
            <w:r w:rsidRPr="00B32914">
              <w:rPr>
                <w:rFonts w:ascii="Times New Roman" w:hAnsi="Times New Roman"/>
                <w:b/>
                <w:bCs/>
                <w:sz w:val="20"/>
                <w:szCs w:val="20"/>
              </w:rPr>
              <w:t>Status/ uzasad-nienie</w:t>
            </w:r>
          </w:p>
        </w:tc>
        <w:tc>
          <w:tcPr>
            <w:tcW w:w="1013" w:type="dxa"/>
            <w:shd w:val="clear" w:color="auto" w:fill="D4EDF9"/>
          </w:tcPr>
          <w:p w14:paraId="622E304A" w14:textId="77777777" w:rsidR="00BA0236" w:rsidRPr="00B32914" w:rsidRDefault="00BA0236" w:rsidP="00B94FCD">
            <w:pPr>
              <w:pStyle w:val="ListParagraph2"/>
              <w:tabs>
                <w:tab w:val="left" w:pos="2250"/>
              </w:tabs>
              <w:spacing w:after="0" w:line="240" w:lineRule="auto"/>
              <w:ind w:left="0"/>
              <w:rPr>
                <w:rFonts w:ascii="Times New Roman" w:hAnsi="Times New Roman"/>
                <w:b/>
                <w:bCs/>
                <w:sz w:val="20"/>
                <w:szCs w:val="20"/>
              </w:rPr>
            </w:pPr>
            <w:r w:rsidRPr="00B32914">
              <w:rPr>
                <w:rFonts w:ascii="Times New Roman" w:hAnsi="Times New Roman"/>
                <w:b/>
                <w:bCs/>
                <w:sz w:val="20"/>
                <w:szCs w:val="20"/>
              </w:rPr>
              <w:t>JCWPd w obrębie której występuje dana JCWP</w:t>
            </w:r>
          </w:p>
        </w:tc>
        <w:tc>
          <w:tcPr>
            <w:tcW w:w="1568" w:type="dxa"/>
            <w:shd w:val="clear" w:color="auto" w:fill="D4EDF9"/>
          </w:tcPr>
          <w:p w14:paraId="20FF76FA" w14:textId="77777777" w:rsidR="00BA0236" w:rsidRPr="00B32914" w:rsidRDefault="00BA0236" w:rsidP="00B94FCD">
            <w:pPr>
              <w:pStyle w:val="ListParagraph2"/>
              <w:tabs>
                <w:tab w:val="left" w:pos="2250"/>
              </w:tabs>
              <w:spacing w:after="0" w:line="240" w:lineRule="auto"/>
              <w:ind w:left="0"/>
              <w:rPr>
                <w:rFonts w:ascii="Times New Roman" w:hAnsi="Times New Roman"/>
                <w:b/>
                <w:sz w:val="18"/>
                <w:szCs w:val="18"/>
              </w:rPr>
            </w:pPr>
            <w:r w:rsidRPr="00B32914">
              <w:rPr>
                <w:rFonts w:ascii="Times New Roman" w:hAnsi="Times New Roman"/>
                <w:b/>
                <w:sz w:val="18"/>
                <w:szCs w:val="18"/>
              </w:rPr>
              <w:t>Ocena stanu wód wykonana wg klasyfikacji obowiązującej do roku 2022</w:t>
            </w:r>
            <w:r w:rsidRPr="00B32914">
              <w:rPr>
                <w:rFonts w:ascii="Times New Roman" w:hAnsi="Times New Roman"/>
                <w:b/>
                <w:bCs/>
                <w:sz w:val="18"/>
                <w:szCs w:val="18"/>
              </w:rPr>
              <w:t>*</w:t>
            </w:r>
          </w:p>
        </w:tc>
        <w:tc>
          <w:tcPr>
            <w:tcW w:w="1135" w:type="dxa"/>
            <w:shd w:val="clear" w:color="auto" w:fill="D4EDF9"/>
          </w:tcPr>
          <w:p w14:paraId="03842479" w14:textId="2E0E9C90" w:rsidR="00BA0236" w:rsidRPr="00B32914" w:rsidRDefault="00BA0236" w:rsidP="00B94FCD">
            <w:pPr>
              <w:pStyle w:val="ListParagraph2"/>
              <w:tabs>
                <w:tab w:val="left" w:pos="2250"/>
              </w:tabs>
              <w:spacing w:after="0" w:line="240" w:lineRule="auto"/>
              <w:ind w:left="0"/>
              <w:rPr>
                <w:rFonts w:ascii="Times New Roman" w:hAnsi="Times New Roman"/>
                <w:b/>
                <w:bCs/>
                <w:sz w:val="20"/>
                <w:szCs w:val="20"/>
                <w:lang w:val="en-GB"/>
              </w:rPr>
            </w:pPr>
            <w:r w:rsidRPr="00B32914">
              <w:rPr>
                <w:rFonts w:ascii="Times New Roman" w:hAnsi="Times New Roman"/>
                <w:b/>
                <w:bCs/>
                <w:sz w:val="20"/>
                <w:szCs w:val="20"/>
              </w:rPr>
              <w:t>Ocena ryzyka (202</w:t>
            </w:r>
            <w:r w:rsidR="00DC3CAB">
              <w:rPr>
                <w:rFonts w:ascii="Times New Roman" w:hAnsi="Times New Roman"/>
                <w:b/>
                <w:bCs/>
                <w:sz w:val="20"/>
                <w:szCs w:val="20"/>
              </w:rPr>
              <w:t>2</w:t>
            </w:r>
            <w:r w:rsidRPr="00B32914">
              <w:rPr>
                <w:rFonts w:ascii="Times New Roman" w:hAnsi="Times New Roman"/>
                <w:b/>
                <w:bCs/>
                <w:sz w:val="20"/>
                <w:szCs w:val="20"/>
              </w:rPr>
              <w:t>-2027)</w:t>
            </w:r>
          </w:p>
        </w:tc>
        <w:tc>
          <w:tcPr>
            <w:tcW w:w="2554" w:type="dxa"/>
            <w:shd w:val="clear" w:color="auto" w:fill="D4EDF9"/>
          </w:tcPr>
          <w:p w14:paraId="7F77ECA7" w14:textId="77777777" w:rsidR="00BA0236" w:rsidRPr="00B32914" w:rsidRDefault="00BA0236" w:rsidP="00B94FCD">
            <w:pPr>
              <w:pStyle w:val="ListParagraph2"/>
              <w:tabs>
                <w:tab w:val="left" w:pos="2250"/>
              </w:tabs>
              <w:spacing w:after="0" w:line="240" w:lineRule="auto"/>
              <w:ind w:left="0"/>
              <w:rPr>
                <w:rFonts w:ascii="Times New Roman" w:hAnsi="Times New Roman"/>
                <w:b/>
                <w:bCs/>
                <w:sz w:val="20"/>
                <w:szCs w:val="20"/>
              </w:rPr>
            </w:pPr>
            <w:r w:rsidRPr="00B32914">
              <w:rPr>
                <w:rFonts w:ascii="Times New Roman" w:hAnsi="Times New Roman"/>
                <w:b/>
                <w:bCs/>
                <w:sz w:val="20"/>
                <w:szCs w:val="20"/>
              </w:rPr>
              <w:t>Cel środowiskowy JCWP wg 2aPGW</w:t>
            </w:r>
          </w:p>
        </w:tc>
      </w:tr>
      <w:tr w:rsidR="00BA0236" w:rsidRPr="00B32914" w14:paraId="2F8E8701" w14:textId="77777777" w:rsidTr="003A3AD0">
        <w:trPr>
          <w:cantSplit/>
        </w:trPr>
        <w:tc>
          <w:tcPr>
            <w:tcW w:w="1276" w:type="dxa"/>
          </w:tcPr>
          <w:p w14:paraId="4CF69166" w14:textId="77777777" w:rsidR="00BA0236" w:rsidRPr="00B32914" w:rsidRDefault="00BA0236">
            <w:pPr>
              <w:pStyle w:val="ListParagraph2"/>
              <w:tabs>
                <w:tab w:val="left" w:pos="2250"/>
              </w:tabs>
              <w:spacing w:line="360" w:lineRule="auto"/>
              <w:ind w:left="0"/>
              <w:rPr>
                <w:rFonts w:ascii="Times New Roman" w:hAnsi="Times New Roman"/>
                <w:bCs/>
                <w:sz w:val="20"/>
                <w:szCs w:val="20"/>
                <w:lang w:val="en-GB"/>
              </w:rPr>
            </w:pPr>
            <w:r w:rsidRPr="00B32914">
              <w:rPr>
                <w:rFonts w:ascii="Times New Roman" w:hAnsi="Times New Roman"/>
                <w:bCs/>
                <w:sz w:val="20"/>
                <w:szCs w:val="20"/>
              </w:rPr>
              <w:t>Zatoka Pucka Zewnętrzna</w:t>
            </w:r>
          </w:p>
        </w:tc>
        <w:tc>
          <w:tcPr>
            <w:tcW w:w="928" w:type="dxa"/>
          </w:tcPr>
          <w:p w14:paraId="2A34DB5C"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TW20003WB5</w:t>
            </w:r>
          </w:p>
        </w:tc>
        <w:tc>
          <w:tcPr>
            <w:tcW w:w="841" w:type="dxa"/>
          </w:tcPr>
          <w:p w14:paraId="48D02214"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naturalna część wód</w:t>
            </w:r>
          </w:p>
        </w:tc>
        <w:tc>
          <w:tcPr>
            <w:tcW w:w="1013" w:type="dxa"/>
          </w:tcPr>
          <w:p w14:paraId="73B821F1"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PLGW200013</w:t>
            </w:r>
          </w:p>
        </w:tc>
        <w:tc>
          <w:tcPr>
            <w:tcW w:w="1568" w:type="dxa"/>
          </w:tcPr>
          <w:p w14:paraId="79FB2218"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Zły stan wód</w:t>
            </w:r>
          </w:p>
        </w:tc>
        <w:tc>
          <w:tcPr>
            <w:tcW w:w="1135" w:type="dxa"/>
          </w:tcPr>
          <w:p w14:paraId="3257E330"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zagrożona</w:t>
            </w:r>
          </w:p>
        </w:tc>
        <w:tc>
          <w:tcPr>
            <w:tcW w:w="2554" w:type="dxa"/>
          </w:tcPr>
          <w:p w14:paraId="70B374A3"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Dobry stan ekologiczny, dobry stan chemiczny</w:t>
            </w:r>
          </w:p>
        </w:tc>
      </w:tr>
      <w:tr w:rsidR="00BA0236" w:rsidRPr="00B32914" w14:paraId="6A28BAD1" w14:textId="77777777" w:rsidTr="003A3AD0">
        <w:trPr>
          <w:cantSplit/>
        </w:trPr>
        <w:tc>
          <w:tcPr>
            <w:tcW w:w="1276" w:type="dxa"/>
          </w:tcPr>
          <w:p w14:paraId="09DDF986" w14:textId="77777777" w:rsidR="00BA0236" w:rsidRPr="00B32914" w:rsidRDefault="00BA0236">
            <w:pPr>
              <w:pStyle w:val="ListParagraph2"/>
              <w:tabs>
                <w:tab w:val="left" w:pos="2250"/>
              </w:tabs>
              <w:spacing w:line="360" w:lineRule="auto"/>
              <w:ind w:left="0"/>
              <w:rPr>
                <w:rFonts w:ascii="Times New Roman" w:hAnsi="Times New Roman"/>
                <w:bCs/>
                <w:sz w:val="20"/>
                <w:szCs w:val="20"/>
                <w:lang w:val="en-GB"/>
              </w:rPr>
            </w:pPr>
            <w:r w:rsidRPr="00B32914">
              <w:rPr>
                <w:rFonts w:ascii="Times New Roman" w:hAnsi="Times New Roman"/>
                <w:bCs/>
                <w:sz w:val="20"/>
                <w:szCs w:val="20"/>
              </w:rPr>
              <w:t>Zalew Wiślany</w:t>
            </w:r>
          </w:p>
        </w:tc>
        <w:tc>
          <w:tcPr>
            <w:tcW w:w="928" w:type="dxa"/>
          </w:tcPr>
          <w:p w14:paraId="23BA3A16"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TW20001WB1</w:t>
            </w:r>
          </w:p>
        </w:tc>
        <w:tc>
          <w:tcPr>
            <w:tcW w:w="841" w:type="dxa"/>
          </w:tcPr>
          <w:p w14:paraId="3A531E82"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naturalna część wód</w:t>
            </w:r>
          </w:p>
        </w:tc>
        <w:tc>
          <w:tcPr>
            <w:tcW w:w="1013" w:type="dxa"/>
          </w:tcPr>
          <w:p w14:paraId="21C623C4"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PLGW200017; PLGW200018; PLGW200019; PLGW200016</w:t>
            </w:r>
          </w:p>
        </w:tc>
        <w:tc>
          <w:tcPr>
            <w:tcW w:w="1568" w:type="dxa"/>
          </w:tcPr>
          <w:p w14:paraId="4956D511"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Zły stan wód</w:t>
            </w:r>
          </w:p>
        </w:tc>
        <w:tc>
          <w:tcPr>
            <w:tcW w:w="1135" w:type="dxa"/>
          </w:tcPr>
          <w:p w14:paraId="2338D63A"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zagrożona</w:t>
            </w:r>
          </w:p>
        </w:tc>
        <w:tc>
          <w:tcPr>
            <w:tcW w:w="2554" w:type="dxa"/>
          </w:tcPr>
          <w:p w14:paraId="567F3BDF"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Dobry stan ekologiczny, dobry stan chemiczny</w:t>
            </w:r>
          </w:p>
        </w:tc>
      </w:tr>
      <w:tr w:rsidR="00BA0236" w:rsidRPr="00B32914" w14:paraId="3E369590" w14:textId="77777777" w:rsidTr="003A3AD0">
        <w:trPr>
          <w:cantSplit/>
        </w:trPr>
        <w:tc>
          <w:tcPr>
            <w:tcW w:w="1276" w:type="dxa"/>
          </w:tcPr>
          <w:p w14:paraId="3793D7D7"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 xml:space="preserve">Polskie wody przybrzeżne Basenu Bornholmskiego </w:t>
            </w:r>
          </w:p>
        </w:tc>
        <w:tc>
          <w:tcPr>
            <w:tcW w:w="928" w:type="dxa"/>
          </w:tcPr>
          <w:p w14:paraId="3DCC2CDF" w14:textId="77777777" w:rsidR="00BA0236" w:rsidRPr="00B32914" w:rsidRDefault="00BA0236">
            <w:pPr>
              <w:pStyle w:val="ListParagraph2"/>
              <w:tabs>
                <w:tab w:val="left" w:pos="2250"/>
              </w:tabs>
              <w:spacing w:line="360" w:lineRule="auto"/>
              <w:ind w:left="0"/>
              <w:rPr>
                <w:rFonts w:ascii="Times New Roman" w:hAnsi="Times New Roman"/>
                <w:bCs/>
                <w:sz w:val="20"/>
                <w:szCs w:val="20"/>
                <w:lang w:val="en-GB"/>
              </w:rPr>
            </w:pPr>
            <w:r w:rsidRPr="00B32914">
              <w:rPr>
                <w:rFonts w:ascii="Times New Roman" w:hAnsi="Times New Roman"/>
                <w:bCs/>
                <w:sz w:val="20"/>
                <w:szCs w:val="20"/>
              </w:rPr>
              <w:t>CW60001WB3</w:t>
            </w:r>
          </w:p>
        </w:tc>
        <w:tc>
          <w:tcPr>
            <w:tcW w:w="841" w:type="dxa"/>
          </w:tcPr>
          <w:p w14:paraId="5CE231B7"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naturalna część wód</w:t>
            </w:r>
          </w:p>
        </w:tc>
        <w:tc>
          <w:tcPr>
            <w:tcW w:w="1013" w:type="dxa"/>
          </w:tcPr>
          <w:p w14:paraId="6C9A16FD"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PLGW60008; PLGW60009; PLGW600010</w:t>
            </w:r>
          </w:p>
        </w:tc>
        <w:tc>
          <w:tcPr>
            <w:tcW w:w="1568" w:type="dxa"/>
          </w:tcPr>
          <w:p w14:paraId="6E70DC1F"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Zły stan wód</w:t>
            </w:r>
          </w:p>
        </w:tc>
        <w:tc>
          <w:tcPr>
            <w:tcW w:w="1135" w:type="dxa"/>
          </w:tcPr>
          <w:p w14:paraId="7AB986F9"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zagrożona</w:t>
            </w:r>
          </w:p>
        </w:tc>
        <w:tc>
          <w:tcPr>
            <w:tcW w:w="2554" w:type="dxa"/>
          </w:tcPr>
          <w:p w14:paraId="3A7BE615"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 xml:space="preserve">Dobry stan ekologiczny, dobry stan chemiczny </w:t>
            </w:r>
          </w:p>
        </w:tc>
      </w:tr>
      <w:tr w:rsidR="00BA0236" w:rsidRPr="00B32914" w14:paraId="139FEF10" w14:textId="77777777" w:rsidTr="003A3AD0">
        <w:trPr>
          <w:cantSplit/>
        </w:trPr>
        <w:tc>
          <w:tcPr>
            <w:tcW w:w="1276" w:type="dxa"/>
          </w:tcPr>
          <w:p w14:paraId="4F14784C"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Polskie wody przybrzeżne Basenu Gotlandzkie-go</w:t>
            </w:r>
          </w:p>
        </w:tc>
        <w:tc>
          <w:tcPr>
            <w:tcW w:w="928" w:type="dxa"/>
          </w:tcPr>
          <w:p w14:paraId="5F57E448" w14:textId="77777777" w:rsidR="00BA0236" w:rsidRPr="00B32914" w:rsidRDefault="00BA0236">
            <w:pPr>
              <w:pStyle w:val="ListParagraph2"/>
              <w:tabs>
                <w:tab w:val="left" w:pos="2250"/>
              </w:tabs>
              <w:spacing w:line="360" w:lineRule="auto"/>
              <w:ind w:left="0"/>
              <w:rPr>
                <w:rFonts w:ascii="Times New Roman" w:hAnsi="Times New Roman"/>
                <w:bCs/>
                <w:sz w:val="20"/>
                <w:szCs w:val="20"/>
                <w:lang w:val="en-GB"/>
              </w:rPr>
            </w:pPr>
            <w:r w:rsidRPr="00B32914">
              <w:rPr>
                <w:rFonts w:ascii="Times New Roman" w:hAnsi="Times New Roman"/>
                <w:bCs/>
                <w:sz w:val="20"/>
                <w:szCs w:val="20"/>
              </w:rPr>
              <w:t>CW20001WB2</w:t>
            </w:r>
          </w:p>
        </w:tc>
        <w:tc>
          <w:tcPr>
            <w:tcW w:w="841" w:type="dxa"/>
          </w:tcPr>
          <w:p w14:paraId="49DD94D8"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naturalna część wód</w:t>
            </w:r>
          </w:p>
        </w:tc>
        <w:tc>
          <w:tcPr>
            <w:tcW w:w="1013" w:type="dxa"/>
          </w:tcPr>
          <w:p w14:paraId="54A3F184"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PLGW200012; PLGW200014; PLGW200011; PLGW200013</w:t>
            </w:r>
          </w:p>
        </w:tc>
        <w:tc>
          <w:tcPr>
            <w:tcW w:w="1568" w:type="dxa"/>
          </w:tcPr>
          <w:p w14:paraId="307546FF"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Zły stan wód</w:t>
            </w:r>
          </w:p>
        </w:tc>
        <w:tc>
          <w:tcPr>
            <w:tcW w:w="1135" w:type="dxa"/>
          </w:tcPr>
          <w:p w14:paraId="1E3169A6"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zagrożona</w:t>
            </w:r>
          </w:p>
        </w:tc>
        <w:tc>
          <w:tcPr>
            <w:tcW w:w="2554" w:type="dxa"/>
          </w:tcPr>
          <w:p w14:paraId="68AEC3F1"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 xml:space="preserve">Dobry stan ekologiczny, dobry stan chemiczny </w:t>
            </w:r>
          </w:p>
        </w:tc>
      </w:tr>
      <w:tr w:rsidR="00BA0236" w:rsidRPr="00B32914" w14:paraId="6F719536" w14:textId="77777777" w:rsidTr="003A3AD0">
        <w:trPr>
          <w:cantSplit/>
        </w:trPr>
        <w:tc>
          <w:tcPr>
            <w:tcW w:w="1276" w:type="dxa"/>
          </w:tcPr>
          <w:p w14:paraId="79A2EB9C" w14:textId="77777777" w:rsidR="00BA0236" w:rsidRPr="00B32914" w:rsidRDefault="00BA0236">
            <w:pPr>
              <w:pStyle w:val="ListParagraph2"/>
              <w:tabs>
                <w:tab w:val="left" w:pos="2250"/>
              </w:tabs>
              <w:spacing w:line="360" w:lineRule="auto"/>
              <w:ind w:left="0"/>
              <w:rPr>
                <w:rFonts w:ascii="Times New Roman" w:hAnsi="Times New Roman"/>
                <w:bCs/>
                <w:sz w:val="20"/>
                <w:szCs w:val="20"/>
                <w:lang w:val="en-GB"/>
              </w:rPr>
            </w:pPr>
            <w:r w:rsidRPr="00B32914">
              <w:rPr>
                <w:rFonts w:ascii="Times New Roman" w:hAnsi="Times New Roman"/>
                <w:bCs/>
                <w:sz w:val="20"/>
                <w:szCs w:val="20"/>
              </w:rPr>
              <w:lastRenderedPageBreak/>
              <w:t>Zalew Pucki</w:t>
            </w:r>
          </w:p>
          <w:p w14:paraId="7A35C5B7"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p>
        </w:tc>
        <w:tc>
          <w:tcPr>
            <w:tcW w:w="928" w:type="dxa"/>
          </w:tcPr>
          <w:p w14:paraId="7BEEFC08"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TW20002WB4</w:t>
            </w:r>
          </w:p>
        </w:tc>
        <w:tc>
          <w:tcPr>
            <w:tcW w:w="841" w:type="dxa"/>
          </w:tcPr>
          <w:p w14:paraId="1A47B72B"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naturalna część wód</w:t>
            </w:r>
          </w:p>
        </w:tc>
        <w:tc>
          <w:tcPr>
            <w:tcW w:w="1013" w:type="dxa"/>
          </w:tcPr>
          <w:p w14:paraId="4C4AB4A0"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PLGW200013; PLGW200014</w:t>
            </w:r>
          </w:p>
        </w:tc>
        <w:tc>
          <w:tcPr>
            <w:tcW w:w="1568" w:type="dxa"/>
          </w:tcPr>
          <w:p w14:paraId="69004D51"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Zły stan wód</w:t>
            </w:r>
          </w:p>
        </w:tc>
        <w:tc>
          <w:tcPr>
            <w:tcW w:w="1135" w:type="dxa"/>
          </w:tcPr>
          <w:p w14:paraId="4BA30B8B"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zagrożona</w:t>
            </w:r>
          </w:p>
        </w:tc>
        <w:tc>
          <w:tcPr>
            <w:tcW w:w="2554" w:type="dxa"/>
          </w:tcPr>
          <w:p w14:paraId="48FEBBA5"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 xml:space="preserve">Dobry stan ekologiczny, dobry stan chemiczny </w:t>
            </w:r>
          </w:p>
        </w:tc>
      </w:tr>
      <w:tr w:rsidR="00BA0236" w:rsidRPr="00B32914" w14:paraId="2BF9D961" w14:textId="77777777" w:rsidTr="003A3AD0">
        <w:trPr>
          <w:cantSplit/>
        </w:trPr>
        <w:tc>
          <w:tcPr>
            <w:tcW w:w="1276" w:type="dxa"/>
          </w:tcPr>
          <w:p w14:paraId="73762483" w14:textId="77777777" w:rsidR="00BA0236" w:rsidRPr="00B32914" w:rsidRDefault="00BA0236">
            <w:pPr>
              <w:pStyle w:val="ListParagraph2"/>
              <w:tabs>
                <w:tab w:val="left" w:pos="2250"/>
              </w:tabs>
              <w:spacing w:line="360" w:lineRule="auto"/>
              <w:ind w:left="0"/>
              <w:rPr>
                <w:rFonts w:ascii="Times New Roman" w:hAnsi="Times New Roman"/>
                <w:bCs/>
                <w:sz w:val="20"/>
                <w:szCs w:val="20"/>
                <w:lang w:val="en-GB"/>
              </w:rPr>
            </w:pPr>
            <w:r w:rsidRPr="00B32914">
              <w:rPr>
                <w:rFonts w:ascii="Times New Roman" w:hAnsi="Times New Roman"/>
                <w:bCs/>
                <w:sz w:val="20"/>
                <w:szCs w:val="20"/>
              </w:rPr>
              <w:t>Zatoka Gdańska Wewnętrzna</w:t>
            </w:r>
          </w:p>
        </w:tc>
        <w:tc>
          <w:tcPr>
            <w:tcW w:w="928" w:type="dxa"/>
          </w:tcPr>
          <w:p w14:paraId="1663A503"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TW20004WB6</w:t>
            </w:r>
          </w:p>
        </w:tc>
        <w:tc>
          <w:tcPr>
            <w:tcW w:w="841" w:type="dxa"/>
          </w:tcPr>
          <w:p w14:paraId="07BE1B77"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naturalna część wód</w:t>
            </w:r>
          </w:p>
        </w:tc>
        <w:tc>
          <w:tcPr>
            <w:tcW w:w="1013" w:type="dxa"/>
          </w:tcPr>
          <w:p w14:paraId="233060A0"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p>
        </w:tc>
        <w:tc>
          <w:tcPr>
            <w:tcW w:w="1568" w:type="dxa"/>
          </w:tcPr>
          <w:p w14:paraId="11F79D0A"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Zły stan wód</w:t>
            </w:r>
          </w:p>
        </w:tc>
        <w:tc>
          <w:tcPr>
            <w:tcW w:w="1135" w:type="dxa"/>
          </w:tcPr>
          <w:p w14:paraId="635043F9"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zagrożona</w:t>
            </w:r>
          </w:p>
        </w:tc>
        <w:tc>
          <w:tcPr>
            <w:tcW w:w="2554" w:type="dxa"/>
          </w:tcPr>
          <w:p w14:paraId="194CA244"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 xml:space="preserve">Dobry stan ekologiczny, dobry stan chemiczny </w:t>
            </w:r>
          </w:p>
        </w:tc>
      </w:tr>
      <w:tr w:rsidR="00BA0236" w:rsidRPr="00B32914" w14:paraId="552071DC" w14:textId="77777777" w:rsidTr="003A3AD0">
        <w:trPr>
          <w:cantSplit/>
        </w:trPr>
        <w:tc>
          <w:tcPr>
            <w:tcW w:w="1276" w:type="dxa"/>
          </w:tcPr>
          <w:p w14:paraId="2B152D70" w14:textId="77777777" w:rsidR="00BA0236" w:rsidRPr="00B32914" w:rsidRDefault="00BA0236">
            <w:pPr>
              <w:pStyle w:val="ListParagraph2"/>
              <w:tabs>
                <w:tab w:val="left" w:pos="2250"/>
              </w:tabs>
              <w:spacing w:line="360" w:lineRule="auto"/>
              <w:ind w:left="0"/>
              <w:rPr>
                <w:rFonts w:ascii="Times New Roman" w:hAnsi="Times New Roman"/>
                <w:bCs/>
                <w:sz w:val="20"/>
                <w:szCs w:val="20"/>
                <w:lang w:val="en-GB"/>
              </w:rPr>
            </w:pPr>
            <w:r w:rsidRPr="00B32914">
              <w:rPr>
                <w:rFonts w:ascii="Times New Roman" w:hAnsi="Times New Roman"/>
                <w:bCs/>
                <w:sz w:val="20"/>
                <w:szCs w:val="20"/>
              </w:rPr>
              <w:t xml:space="preserve">Martwa Wisła </w:t>
            </w:r>
          </w:p>
          <w:p w14:paraId="667CFB4D"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p>
        </w:tc>
        <w:tc>
          <w:tcPr>
            <w:tcW w:w="928" w:type="dxa"/>
          </w:tcPr>
          <w:p w14:paraId="63C19C1A"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RW200014489</w:t>
            </w:r>
          </w:p>
        </w:tc>
        <w:tc>
          <w:tcPr>
            <w:tcW w:w="841" w:type="dxa"/>
          </w:tcPr>
          <w:p w14:paraId="158E7733"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SZCW</w:t>
            </w:r>
          </w:p>
        </w:tc>
        <w:tc>
          <w:tcPr>
            <w:tcW w:w="1013" w:type="dxa"/>
          </w:tcPr>
          <w:p w14:paraId="157FACA2"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PLGW200015;PLGW200013</w:t>
            </w:r>
          </w:p>
        </w:tc>
        <w:tc>
          <w:tcPr>
            <w:tcW w:w="1568" w:type="dxa"/>
          </w:tcPr>
          <w:p w14:paraId="5E0E72CE"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Zły stan wód</w:t>
            </w:r>
          </w:p>
        </w:tc>
        <w:tc>
          <w:tcPr>
            <w:tcW w:w="1135" w:type="dxa"/>
          </w:tcPr>
          <w:p w14:paraId="6B572C43"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zagrożona</w:t>
            </w:r>
          </w:p>
        </w:tc>
        <w:tc>
          <w:tcPr>
            <w:tcW w:w="2554" w:type="dxa"/>
          </w:tcPr>
          <w:p w14:paraId="0A4A07F8"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Dobry potencjał ekologiczny; zapewnienie drożności cieku dla migracji ichtiofauny na cieku głównym, dobry stan chemiczny, Spełnienie celu wskazanego w rejestrze wykazu obszarów chronionych do ochrony siedlisk i gatunków dla obszarów przypisanych JCWP</w:t>
            </w:r>
          </w:p>
        </w:tc>
      </w:tr>
      <w:tr w:rsidR="00BA0236" w:rsidRPr="00B32914" w14:paraId="16FBC146" w14:textId="77777777" w:rsidTr="003A3AD0">
        <w:trPr>
          <w:cantSplit/>
        </w:trPr>
        <w:tc>
          <w:tcPr>
            <w:tcW w:w="1276" w:type="dxa"/>
          </w:tcPr>
          <w:p w14:paraId="58BCEAAC"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Reda od Dopływu z polderu Rekowo do ujścia</w:t>
            </w:r>
          </w:p>
        </w:tc>
        <w:tc>
          <w:tcPr>
            <w:tcW w:w="928" w:type="dxa"/>
          </w:tcPr>
          <w:p w14:paraId="6283BBF2" w14:textId="77777777" w:rsidR="00BA0236" w:rsidRPr="00B32914" w:rsidRDefault="00BA0236">
            <w:pPr>
              <w:pStyle w:val="ListParagraph2"/>
              <w:tabs>
                <w:tab w:val="left" w:pos="2250"/>
              </w:tabs>
              <w:spacing w:line="360" w:lineRule="auto"/>
              <w:ind w:left="0"/>
              <w:rPr>
                <w:rFonts w:ascii="Times New Roman" w:hAnsi="Times New Roman"/>
                <w:bCs/>
                <w:sz w:val="20"/>
                <w:szCs w:val="20"/>
                <w:lang w:val="en-GB"/>
              </w:rPr>
            </w:pPr>
            <w:r w:rsidRPr="00B32914">
              <w:rPr>
                <w:rFonts w:ascii="Times New Roman" w:hAnsi="Times New Roman"/>
                <w:bCs/>
                <w:sz w:val="20"/>
                <w:szCs w:val="20"/>
              </w:rPr>
              <w:t>RW20001447899</w:t>
            </w:r>
          </w:p>
        </w:tc>
        <w:tc>
          <w:tcPr>
            <w:tcW w:w="841" w:type="dxa"/>
          </w:tcPr>
          <w:p w14:paraId="72CE2F98"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Naturalna część wód</w:t>
            </w:r>
          </w:p>
        </w:tc>
        <w:tc>
          <w:tcPr>
            <w:tcW w:w="1013" w:type="dxa"/>
          </w:tcPr>
          <w:p w14:paraId="6B04BDA5"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 xml:space="preserve">PLGW200013 </w:t>
            </w:r>
          </w:p>
        </w:tc>
        <w:tc>
          <w:tcPr>
            <w:tcW w:w="1568" w:type="dxa"/>
          </w:tcPr>
          <w:p w14:paraId="2FEC64A5"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Zły stan wód</w:t>
            </w:r>
          </w:p>
        </w:tc>
        <w:tc>
          <w:tcPr>
            <w:tcW w:w="1135" w:type="dxa"/>
          </w:tcPr>
          <w:p w14:paraId="1ADDD19B"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zagrożona</w:t>
            </w:r>
          </w:p>
        </w:tc>
        <w:tc>
          <w:tcPr>
            <w:tcW w:w="2554" w:type="dxa"/>
          </w:tcPr>
          <w:p w14:paraId="4ABEDB9C"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Dobry stan ekologiczny; zapewnienie drożności cieku dla migracji ichtiofauny na cieku głównym, stan chemiczny, dla złagodzonych wskaźników: benzo(a)piren(w) - poniżej stanu dobrego, dla pozostałych wskaźników - stan dobry</w:t>
            </w:r>
          </w:p>
        </w:tc>
      </w:tr>
      <w:tr w:rsidR="00BA0236" w:rsidRPr="00B32914" w14:paraId="480B4A0D" w14:textId="77777777" w:rsidTr="003A3AD0">
        <w:trPr>
          <w:cantSplit/>
        </w:trPr>
        <w:tc>
          <w:tcPr>
            <w:tcW w:w="1276" w:type="dxa"/>
          </w:tcPr>
          <w:p w14:paraId="5332467D"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lastRenderedPageBreak/>
              <w:t>Elbląg od Młynówki do ujścia</w:t>
            </w:r>
          </w:p>
        </w:tc>
        <w:tc>
          <w:tcPr>
            <w:tcW w:w="928" w:type="dxa"/>
          </w:tcPr>
          <w:p w14:paraId="4AC6FBC2" w14:textId="77777777" w:rsidR="00BA0236" w:rsidRPr="00B32914" w:rsidRDefault="00BA0236">
            <w:pPr>
              <w:pStyle w:val="ListParagraph2"/>
              <w:tabs>
                <w:tab w:val="left" w:pos="2250"/>
              </w:tabs>
              <w:spacing w:line="360" w:lineRule="auto"/>
              <w:ind w:left="0"/>
              <w:rPr>
                <w:rFonts w:ascii="Times New Roman" w:hAnsi="Times New Roman"/>
                <w:bCs/>
                <w:sz w:val="20"/>
                <w:szCs w:val="20"/>
                <w:lang w:val="en-GB"/>
              </w:rPr>
            </w:pPr>
            <w:r w:rsidRPr="00B32914">
              <w:rPr>
                <w:rFonts w:ascii="Times New Roman" w:hAnsi="Times New Roman"/>
                <w:bCs/>
                <w:sz w:val="20"/>
                <w:szCs w:val="20"/>
              </w:rPr>
              <w:t>RW2000165499</w:t>
            </w:r>
          </w:p>
        </w:tc>
        <w:tc>
          <w:tcPr>
            <w:tcW w:w="841" w:type="dxa"/>
          </w:tcPr>
          <w:p w14:paraId="4EB50CDB"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SZCW</w:t>
            </w:r>
          </w:p>
        </w:tc>
        <w:tc>
          <w:tcPr>
            <w:tcW w:w="1013" w:type="dxa"/>
          </w:tcPr>
          <w:p w14:paraId="12BAFD10"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PLGW200019;PLGW200018;PLGW200016</w:t>
            </w:r>
          </w:p>
        </w:tc>
        <w:tc>
          <w:tcPr>
            <w:tcW w:w="1568" w:type="dxa"/>
          </w:tcPr>
          <w:p w14:paraId="2A8AF793"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Zły stan wód</w:t>
            </w:r>
          </w:p>
        </w:tc>
        <w:tc>
          <w:tcPr>
            <w:tcW w:w="1135" w:type="dxa"/>
          </w:tcPr>
          <w:p w14:paraId="3048950D"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zagrożona</w:t>
            </w:r>
          </w:p>
        </w:tc>
        <w:tc>
          <w:tcPr>
            <w:tcW w:w="2554" w:type="dxa"/>
          </w:tcPr>
          <w:p w14:paraId="6B8AD49C"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Dobry potencjał ekologiczny; zapewnienie drożności cieku dla migracji ichtiofauny na cieku głównym, stan chemiczny, dla złagodzonych wskaźników: benzo(a)piren(w) - poniżej stanu dobrego, dla pozostałych wskaźników - stan dobry, Spełnienie celu wskazanego w rejestrze wykazu obszarów chronionych do ochrony siedlisk i gatunków dla obszarów przypisanych JCWP</w:t>
            </w:r>
          </w:p>
        </w:tc>
      </w:tr>
      <w:tr w:rsidR="00BA0236" w:rsidRPr="00B32914" w14:paraId="4558869A" w14:textId="77777777" w:rsidTr="003A3AD0">
        <w:trPr>
          <w:cantSplit/>
        </w:trPr>
        <w:tc>
          <w:tcPr>
            <w:tcW w:w="1276" w:type="dxa"/>
          </w:tcPr>
          <w:p w14:paraId="7424A56B" w14:textId="77777777" w:rsidR="00BA0236" w:rsidRPr="00B32914" w:rsidRDefault="00BA0236">
            <w:pPr>
              <w:pStyle w:val="ListParagraph2"/>
              <w:tabs>
                <w:tab w:val="left" w:pos="2250"/>
              </w:tabs>
              <w:spacing w:line="360" w:lineRule="auto"/>
              <w:ind w:left="0"/>
              <w:rPr>
                <w:rFonts w:ascii="Times New Roman" w:hAnsi="Times New Roman"/>
                <w:bCs/>
                <w:sz w:val="20"/>
                <w:szCs w:val="20"/>
                <w:lang w:val="en-GB"/>
              </w:rPr>
            </w:pPr>
            <w:r w:rsidRPr="00B32914">
              <w:rPr>
                <w:rFonts w:ascii="Times New Roman" w:hAnsi="Times New Roman"/>
                <w:bCs/>
                <w:sz w:val="20"/>
                <w:szCs w:val="20"/>
              </w:rPr>
              <w:t>Łeba od jez. Łebsko z Chełstem od jez. Sarbsko</w:t>
            </w:r>
          </w:p>
        </w:tc>
        <w:tc>
          <w:tcPr>
            <w:tcW w:w="928" w:type="dxa"/>
          </w:tcPr>
          <w:p w14:paraId="3CEAEBC3"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RW20001447699</w:t>
            </w:r>
          </w:p>
        </w:tc>
        <w:tc>
          <w:tcPr>
            <w:tcW w:w="841" w:type="dxa"/>
          </w:tcPr>
          <w:p w14:paraId="1B637547"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SZCW</w:t>
            </w:r>
          </w:p>
        </w:tc>
        <w:tc>
          <w:tcPr>
            <w:tcW w:w="1013" w:type="dxa"/>
          </w:tcPr>
          <w:p w14:paraId="5196EBAD"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PLGW200012</w:t>
            </w:r>
          </w:p>
        </w:tc>
        <w:tc>
          <w:tcPr>
            <w:tcW w:w="1568" w:type="dxa"/>
          </w:tcPr>
          <w:p w14:paraId="25DC1F3F"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Zły stan wód</w:t>
            </w:r>
          </w:p>
        </w:tc>
        <w:tc>
          <w:tcPr>
            <w:tcW w:w="1135" w:type="dxa"/>
          </w:tcPr>
          <w:p w14:paraId="08A76DBC"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zagrożona</w:t>
            </w:r>
          </w:p>
        </w:tc>
        <w:tc>
          <w:tcPr>
            <w:tcW w:w="2554" w:type="dxa"/>
          </w:tcPr>
          <w:p w14:paraId="1A298178"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Umiarkowany potencjał ekologiczny (złagodzone wskaźniki:</w:t>
            </w:r>
            <w:r w:rsidRPr="00B32914">
              <w:rPr>
                <w:rFonts w:ascii="Times New Roman" w:hAnsi="Times New Roman"/>
                <w:sz w:val="20"/>
                <w:szCs w:val="20"/>
              </w:rPr>
              <w:t xml:space="preserve"> </w:t>
            </w:r>
            <w:r w:rsidRPr="00B32914">
              <w:rPr>
                <w:rFonts w:ascii="Times New Roman" w:hAnsi="Times New Roman"/>
                <w:bCs/>
                <w:sz w:val="20"/>
                <w:szCs w:val="20"/>
              </w:rPr>
              <w:t>przewodność elektrolityczna właściwa w 20°C&gt;2; MMI 3, pozostałe wskaźniki - II klasa jakości); zapewnienie drożności cieku dla migracji ichtiofauny na cieku głównym, dobry stan chemiczny, Spełnienie celu wskazanego w rejestrze wykazu obszarów chronionych do ochrony siedlisk i gatunków dla obszarów przypisanych JCWP</w:t>
            </w:r>
          </w:p>
        </w:tc>
      </w:tr>
      <w:tr w:rsidR="00BA0236" w:rsidRPr="00B32914" w14:paraId="781E1AC2" w14:textId="77777777" w:rsidTr="003A3AD0">
        <w:trPr>
          <w:cantSplit/>
        </w:trPr>
        <w:tc>
          <w:tcPr>
            <w:tcW w:w="1276" w:type="dxa"/>
          </w:tcPr>
          <w:p w14:paraId="703089A6" w14:textId="77777777" w:rsidR="00BA0236" w:rsidRPr="00B32914" w:rsidRDefault="00BA0236">
            <w:pPr>
              <w:pStyle w:val="ListParagraph2"/>
              <w:tabs>
                <w:tab w:val="left" w:pos="0"/>
                <w:tab w:val="left" w:pos="2250"/>
              </w:tabs>
              <w:spacing w:line="360" w:lineRule="auto"/>
              <w:ind w:left="-23"/>
              <w:rPr>
                <w:rFonts w:ascii="Times New Roman" w:hAnsi="Times New Roman"/>
                <w:bCs/>
                <w:sz w:val="20"/>
                <w:szCs w:val="20"/>
                <w:lang w:val="en-GB"/>
              </w:rPr>
            </w:pPr>
            <w:r w:rsidRPr="00B32914">
              <w:rPr>
                <w:rFonts w:ascii="Times New Roman" w:hAnsi="Times New Roman"/>
                <w:bCs/>
                <w:sz w:val="20"/>
                <w:szCs w:val="20"/>
              </w:rPr>
              <w:lastRenderedPageBreak/>
              <w:t xml:space="preserve">Słupia od Otocznicy do ujścia </w:t>
            </w:r>
          </w:p>
          <w:p w14:paraId="111D9EFE"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p>
        </w:tc>
        <w:tc>
          <w:tcPr>
            <w:tcW w:w="928" w:type="dxa"/>
          </w:tcPr>
          <w:p w14:paraId="38692927"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RW20001447299</w:t>
            </w:r>
          </w:p>
        </w:tc>
        <w:tc>
          <w:tcPr>
            <w:tcW w:w="841" w:type="dxa"/>
          </w:tcPr>
          <w:p w14:paraId="355C7D75"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SZCW</w:t>
            </w:r>
          </w:p>
        </w:tc>
        <w:tc>
          <w:tcPr>
            <w:tcW w:w="1013" w:type="dxa"/>
          </w:tcPr>
          <w:p w14:paraId="3845C580"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PLGW200011</w:t>
            </w:r>
          </w:p>
        </w:tc>
        <w:tc>
          <w:tcPr>
            <w:tcW w:w="1568" w:type="dxa"/>
          </w:tcPr>
          <w:p w14:paraId="67B68ABA"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Zły stan wód</w:t>
            </w:r>
          </w:p>
        </w:tc>
        <w:tc>
          <w:tcPr>
            <w:tcW w:w="1135" w:type="dxa"/>
          </w:tcPr>
          <w:p w14:paraId="60F4E97F"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zagrożona</w:t>
            </w:r>
          </w:p>
        </w:tc>
        <w:tc>
          <w:tcPr>
            <w:tcW w:w="2554" w:type="dxa"/>
          </w:tcPr>
          <w:p w14:paraId="2EAE8481"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Dobry potencjał ekologiczny; zapewnienie drożności cieku dla migracji ichtiofauny na cieku głównym, zapewnienie drożności według wymagań gatunków chronionych, stan chemiczny, dla złagodzonych wskaźników:</w:t>
            </w:r>
            <w:r w:rsidRPr="00B32914">
              <w:rPr>
                <w:rFonts w:ascii="Times New Roman" w:hAnsi="Times New Roman"/>
                <w:sz w:val="20"/>
                <w:szCs w:val="20"/>
              </w:rPr>
              <w:t xml:space="preserve"> </w:t>
            </w:r>
            <w:r w:rsidRPr="00B32914">
              <w:rPr>
                <w:rFonts w:ascii="Times New Roman" w:hAnsi="Times New Roman"/>
                <w:bCs/>
                <w:sz w:val="20"/>
                <w:szCs w:val="20"/>
              </w:rPr>
              <w:t>benzo(a)piren(w) - poniżej stanu dobrego, dla pozostałych wskaźników - stan dobry, drożność wg wymagań minoga rzecznego i łososia - droga do i siedl. wewnątrz obsz. chron. wyznaczonego dla ochrony jego tarlisk, Drożność wg wymagań minogów - przedmiotów ochrony w obsz. Natura 2000: Dolina Słupi PLH220052, Spełnienie celu wskazanego w rejestrze wykazu obszarów chronionych do ochrony siedlisk i gatunków dla obszarów przypisanych JCWP</w:t>
            </w:r>
          </w:p>
        </w:tc>
      </w:tr>
      <w:tr w:rsidR="00BA0236" w:rsidRPr="00B32914" w14:paraId="2C636810" w14:textId="77777777" w:rsidTr="003A3AD0">
        <w:trPr>
          <w:cantSplit/>
        </w:trPr>
        <w:tc>
          <w:tcPr>
            <w:tcW w:w="1276" w:type="dxa"/>
          </w:tcPr>
          <w:p w14:paraId="35F572C6" w14:textId="77777777" w:rsidR="00BA0236" w:rsidRPr="00B32914" w:rsidRDefault="00BA0236">
            <w:pPr>
              <w:pStyle w:val="ListParagraph2"/>
              <w:tabs>
                <w:tab w:val="left" w:pos="2250"/>
              </w:tabs>
              <w:spacing w:line="360" w:lineRule="auto"/>
              <w:ind w:left="28"/>
              <w:rPr>
                <w:rFonts w:ascii="Times New Roman" w:hAnsi="Times New Roman"/>
                <w:bCs/>
                <w:sz w:val="20"/>
                <w:szCs w:val="20"/>
              </w:rPr>
            </w:pPr>
            <w:r w:rsidRPr="00B32914">
              <w:rPr>
                <w:rFonts w:ascii="Times New Roman" w:hAnsi="Times New Roman"/>
                <w:bCs/>
                <w:sz w:val="20"/>
                <w:szCs w:val="20"/>
              </w:rPr>
              <w:lastRenderedPageBreak/>
              <w:t>Piaśnica od Białogór-skiej Strugi do ujścia</w:t>
            </w:r>
          </w:p>
        </w:tc>
        <w:tc>
          <w:tcPr>
            <w:tcW w:w="928" w:type="dxa"/>
          </w:tcPr>
          <w:p w14:paraId="2440D7CB" w14:textId="77777777" w:rsidR="00BA0236" w:rsidRPr="00B32914" w:rsidRDefault="00BA0236">
            <w:pPr>
              <w:pStyle w:val="ListParagraph2"/>
              <w:tabs>
                <w:tab w:val="left" w:pos="2250"/>
              </w:tabs>
              <w:spacing w:line="360" w:lineRule="auto"/>
              <w:ind w:left="0"/>
              <w:rPr>
                <w:rFonts w:ascii="Times New Roman" w:hAnsi="Times New Roman"/>
                <w:bCs/>
                <w:sz w:val="20"/>
                <w:szCs w:val="20"/>
                <w:lang w:val="en-GB"/>
              </w:rPr>
            </w:pPr>
            <w:r w:rsidRPr="00B32914">
              <w:rPr>
                <w:rFonts w:ascii="Times New Roman" w:hAnsi="Times New Roman"/>
                <w:bCs/>
                <w:sz w:val="20"/>
                <w:szCs w:val="20"/>
              </w:rPr>
              <w:t>RW20001447729</w:t>
            </w:r>
          </w:p>
        </w:tc>
        <w:tc>
          <w:tcPr>
            <w:tcW w:w="841" w:type="dxa"/>
          </w:tcPr>
          <w:p w14:paraId="66A3539F"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Naturalna część wód</w:t>
            </w:r>
          </w:p>
        </w:tc>
        <w:tc>
          <w:tcPr>
            <w:tcW w:w="1013" w:type="dxa"/>
          </w:tcPr>
          <w:p w14:paraId="22CBE28A"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p>
        </w:tc>
        <w:tc>
          <w:tcPr>
            <w:tcW w:w="1568" w:type="dxa"/>
          </w:tcPr>
          <w:p w14:paraId="02BE9191"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Dobry stan wód</w:t>
            </w:r>
          </w:p>
        </w:tc>
        <w:tc>
          <w:tcPr>
            <w:tcW w:w="1135" w:type="dxa"/>
          </w:tcPr>
          <w:p w14:paraId="63E31B73"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niezagrożona</w:t>
            </w:r>
          </w:p>
        </w:tc>
        <w:tc>
          <w:tcPr>
            <w:tcW w:w="2554" w:type="dxa"/>
          </w:tcPr>
          <w:p w14:paraId="1AA0F854"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Dobry stan ekologiczny; zapewnienie drożności cieku dla migracji ichtiofauny na cieku głównym, dobry stan chemiczny, Spełnienie celu wskazanego w rejestrze wykazu obszarów chronionych do ochrony siedlisk i gatunków dla obszarów przypisanych JCWP</w:t>
            </w:r>
          </w:p>
        </w:tc>
      </w:tr>
    </w:tbl>
    <w:p w14:paraId="7C9BF477" w14:textId="77777777" w:rsidR="00BA0236" w:rsidRDefault="00BA0236" w:rsidP="00347E16">
      <w:pPr>
        <w:pStyle w:val="ListParagraph2"/>
        <w:tabs>
          <w:tab w:val="left" w:pos="2250"/>
        </w:tabs>
        <w:spacing w:after="120" w:line="240" w:lineRule="auto"/>
        <w:ind w:left="0"/>
        <w:jc w:val="both"/>
        <w:rPr>
          <w:rFonts w:ascii="Times New Roman" w:hAnsi="Times New Roman"/>
          <w:b/>
          <w:sz w:val="16"/>
          <w:szCs w:val="16"/>
        </w:rPr>
      </w:pPr>
      <w:r>
        <w:rPr>
          <w:rFonts w:ascii="Times New Roman" w:hAnsi="Times New Roman"/>
          <w:b/>
          <w:bCs/>
          <w:sz w:val="16"/>
          <w:szCs w:val="16"/>
        </w:rPr>
        <w:t>*Ocena stanu GIOŚ 2014-2019 przeniesiona na nowy układ jednostek planistycznych zgodnie z metodyką Ustalenie celów środowiskowych (…)</w:t>
      </w:r>
    </w:p>
    <w:p w14:paraId="05FE8473" w14:textId="77777777" w:rsidR="00BA0236" w:rsidRDefault="00BA0236" w:rsidP="00347E16">
      <w:pPr>
        <w:pStyle w:val="ReportLevel3"/>
        <w:numPr>
          <w:ilvl w:val="0"/>
          <w:numId w:val="0"/>
        </w:numPr>
        <w:tabs>
          <w:tab w:val="left" w:pos="720"/>
        </w:tabs>
        <w:rPr>
          <w:rFonts w:cs="Calibri"/>
          <w:bCs/>
        </w:rPr>
      </w:pPr>
      <w:r>
        <w:rPr>
          <w:rFonts w:cs="Calibri"/>
          <w:bCs/>
        </w:rPr>
        <w:t xml:space="preserve">6.2.2 Identyfikacja obszarów chronionych przeznaczonych dla ochrony siedlisk i gatunków w obrębie, których zlokalizowane są inwestycje i działania oraz tych, na które mogą one oddziaływać </w:t>
      </w:r>
    </w:p>
    <w:p w14:paraId="102BF623" w14:textId="6668400D" w:rsidR="00BA0236" w:rsidRDefault="00BA0236" w:rsidP="00347E16">
      <w:pPr>
        <w:pStyle w:val="ReportText"/>
        <w:spacing w:before="120" w:after="120" w:line="240" w:lineRule="auto"/>
        <w:rPr>
          <w:szCs w:val="24"/>
        </w:rPr>
      </w:pPr>
      <w:r>
        <w:rPr>
          <w:szCs w:val="24"/>
        </w:rPr>
        <w:t>Planowane inwestycje lub działania zlokalizowane są lub mogą potencjalnie oddziaływać na JCWP, w obrębie których położone są obszary chronione przeznaczone dla ochrony siedlisk i gatunków (dla JCWP podano kody Inspire obszaru chronionego wskazane w aktualizacji planów gospodarowania wodami na lata 202</w:t>
      </w:r>
      <w:r w:rsidR="00DC3CAB">
        <w:rPr>
          <w:szCs w:val="24"/>
        </w:rPr>
        <w:t>2</w:t>
      </w:r>
      <w:r>
        <w:rPr>
          <w:szCs w:val="24"/>
        </w:rPr>
        <w:t>-2027):</w:t>
      </w:r>
    </w:p>
    <w:p w14:paraId="018E65B3" w14:textId="77777777" w:rsidR="00BA0236" w:rsidRDefault="00BA0236" w:rsidP="008D7CA9">
      <w:pPr>
        <w:pStyle w:val="ListParagraph2"/>
        <w:numPr>
          <w:ilvl w:val="0"/>
          <w:numId w:val="48"/>
        </w:numPr>
        <w:tabs>
          <w:tab w:val="clear" w:pos="720"/>
          <w:tab w:val="num" w:pos="567"/>
          <w:tab w:val="left" w:pos="2250"/>
        </w:tabs>
        <w:spacing w:before="120" w:after="120" w:line="240" w:lineRule="auto"/>
        <w:ind w:left="567" w:hanging="425"/>
        <w:rPr>
          <w:rFonts w:ascii="Times New Roman" w:hAnsi="Times New Roman"/>
          <w:bCs/>
          <w:sz w:val="24"/>
          <w:szCs w:val="24"/>
        </w:rPr>
      </w:pPr>
      <w:r>
        <w:rPr>
          <w:rFonts w:ascii="Times New Roman" w:hAnsi="Times New Roman"/>
          <w:bCs/>
          <w:sz w:val="24"/>
          <w:szCs w:val="24"/>
        </w:rPr>
        <w:t>Zalew Wiślany TW20001WB1: PL.ZIPOP.1393.RP.1234</w:t>
      </w:r>
    </w:p>
    <w:p w14:paraId="4EE0345B" w14:textId="77777777" w:rsidR="00BA0236" w:rsidRDefault="00BA0236" w:rsidP="008D7CA9">
      <w:pPr>
        <w:pStyle w:val="ListParagraph2"/>
        <w:numPr>
          <w:ilvl w:val="0"/>
          <w:numId w:val="48"/>
        </w:numPr>
        <w:tabs>
          <w:tab w:val="clear" w:pos="720"/>
          <w:tab w:val="num" w:pos="567"/>
          <w:tab w:val="left" w:pos="2250"/>
        </w:tabs>
        <w:spacing w:before="120" w:after="120" w:line="240" w:lineRule="auto"/>
        <w:ind w:left="567" w:hanging="425"/>
        <w:jc w:val="both"/>
        <w:rPr>
          <w:rFonts w:ascii="Times New Roman" w:hAnsi="Times New Roman"/>
          <w:bCs/>
          <w:sz w:val="24"/>
          <w:szCs w:val="24"/>
        </w:rPr>
      </w:pPr>
      <w:r>
        <w:rPr>
          <w:rFonts w:ascii="Times New Roman" w:hAnsi="Times New Roman"/>
          <w:bCs/>
          <w:sz w:val="24"/>
          <w:szCs w:val="24"/>
        </w:rPr>
        <w:t>Zalew Pucki TW20002WB4: PL.ZIPOP.1393.RP.729</w:t>
      </w:r>
    </w:p>
    <w:p w14:paraId="0A4566F9" w14:textId="77777777" w:rsidR="00BA0236" w:rsidRDefault="00BA0236" w:rsidP="008D7CA9">
      <w:pPr>
        <w:pStyle w:val="ListParagraph2"/>
        <w:numPr>
          <w:ilvl w:val="0"/>
          <w:numId w:val="49"/>
        </w:numPr>
        <w:tabs>
          <w:tab w:val="clear" w:pos="720"/>
          <w:tab w:val="num" w:pos="567"/>
          <w:tab w:val="left" w:pos="2250"/>
        </w:tabs>
        <w:spacing w:before="120" w:after="120" w:line="240" w:lineRule="auto"/>
        <w:ind w:left="567" w:hanging="425"/>
        <w:jc w:val="both"/>
        <w:rPr>
          <w:rFonts w:ascii="Times New Roman" w:hAnsi="Times New Roman"/>
          <w:bCs/>
          <w:sz w:val="24"/>
          <w:szCs w:val="24"/>
        </w:rPr>
      </w:pPr>
      <w:r>
        <w:rPr>
          <w:rFonts w:ascii="Times New Roman" w:hAnsi="Times New Roman"/>
          <w:bCs/>
          <w:sz w:val="24"/>
          <w:szCs w:val="24"/>
        </w:rPr>
        <w:t xml:space="preserve">Polskie wody przybrzeżne Basenu Gotlandzkiego CW20001WB2: PL.ZIPOP.1393.N2K.PLH220003.H, PL.ZIPOP.1393.N2K.PLH220021.H, PL.ZIPOP.1393.RP.1272, </w:t>
      </w:r>
    </w:p>
    <w:p w14:paraId="238C0A38" w14:textId="77777777" w:rsidR="00BA0236" w:rsidRDefault="00BA0236" w:rsidP="008D7CA9">
      <w:pPr>
        <w:pStyle w:val="ListParagraph2"/>
        <w:numPr>
          <w:ilvl w:val="0"/>
          <w:numId w:val="49"/>
        </w:numPr>
        <w:tabs>
          <w:tab w:val="clear" w:pos="720"/>
          <w:tab w:val="num" w:pos="567"/>
          <w:tab w:val="left" w:pos="2250"/>
        </w:tabs>
        <w:spacing w:before="120" w:after="120" w:line="240" w:lineRule="auto"/>
        <w:ind w:left="567" w:hanging="425"/>
        <w:jc w:val="both"/>
        <w:rPr>
          <w:rFonts w:ascii="Times New Roman" w:hAnsi="Times New Roman"/>
          <w:bCs/>
          <w:sz w:val="24"/>
          <w:szCs w:val="24"/>
        </w:rPr>
      </w:pPr>
      <w:r>
        <w:rPr>
          <w:rFonts w:ascii="Times New Roman" w:hAnsi="Times New Roman"/>
          <w:bCs/>
          <w:sz w:val="24"/>
          <w:szCs w:val="24"/>
        </w:rPr>
        <w:t>Polskie wody przybrzeżne Basenu Bornholmskiego CW60001WB3:</w:t>
      </w:r>
    </w:p>
    <w:p w14:paraId="4E70BCD1" w14:textId="77777777" w:rsidR="00BA0236" w:rsidRDefault="00BA0236" w:rsidP="008D7CA9">
      <w:pPr>
        <w:pStyle w:val="ListParagraph2"/>
        <w:numPr>
          <w:ilvl w:val="0"/>
          <w:numId w:val="49"/>
        </w:numPr>
        <w:tabs>
          <w:tab w:val="clear" w:pos="720"/>
          <w:tab w:val="num" w:pos="567"/>
          <w:tab w:val="left" w:pos="2250"/>
        </w:tabs>
        <w:spacing w:before="120" w:after="120" w:line="240" w:lineRule="auto"/>
        <w:ind w:left="567" w:hanging="425"/>
        <w:jc w:val="both"/>
        <w:rPr>
          <w:rFonts w:ascii="Times New Roman" w:hAnsi="Times New Roman"/>
          <w:bCs/>
          <w:sz w:val="24"/>
          <w:szCs w:val="24"/>
        </w:rPr>
      </w:pPr>
      <w:r>
        <w:rPr>
          <w:rFonts w:ascii="Times New Roman" w:hAnsi="Times New Roman"/>
          <w:bCs/>
          <w:sz w:val="24"/>
          <w:szCs w:val="24"/>
        </w:rPr>
        <w:t>Zatoka Gdańska Wewnętrzna TW20004WB6: PL.ZIPOP.1393.RP.1211</w:t>
      </w:r>
    </w:p>
    <w:p w14:paraId="560879C9" w14:textId="77777777" w:rsidR="00BA0236" w:rsidRDefault="00BA0236" w:rsidP="008D7CA9">
      <w:pPr>
        <w:pStyle w:val="ListParagraph2"/>
        <w:numPr>
          <w:ilvl w:val="0"/>
          <w:numId w:val="49"/>
        </w:numPr>
        <w:tabs>
          <w:tab w:val="clear" w:pos="720"/>
          <w:tab w:val="num" w:pos="567"/>
          <w:tab w:val="left" w:pos="2250"/>
        </w:tabs>
        <w:spacing w:before="120" w:after="120" w:line="240" w:lineRule="auto"/>
        <w:ind w:left="567" w:hanging="425"/>
        <w:jc w:val="both"/>
        <w:rPr>
          <w:rFonts w:ascii="Times New Roman" w:hAnsi="Times New Roman"/>
          <w:bCs/>
          <w:sz w:val="24"/>
          <w:szCs w:val="24"/>
        </w:rPr>
      </w:pPr>
      <w:r>
        <w:rPr>
          <w:rFonts w:ascii="Times New Roman" w:hAnsi="Times New Roman"/>
          <w:bCs/>
          <w:sz w:val="24"/>
          <w:szCs w:val="24"/>
        </w:rPr>
        <w:t>Piaśnica od Białogórskiej Strugi do ujścia RW20001447729: PL.ZIPOP.1393.N2K.PLH220021.H</w:t>
      </w:r>
    </w:p>
    <w:p w14:paraId="1E350863" w14:textId="77777777" w:rsidR="00BA0236" w:rsidRDefault="00BA0236" w:rsidP="008D7CA9">
      <w:pPr>
        <w:pStyle w:val="ListParagraph2"/>
        <w:numPr>
          <w:ilvl w:val="0"/>
          <w:numId w:val="49"/>
        </w:numPr>
        <w:tabs>
          <w:tab w:val="clear" w:pos="720"/>
          <w:tab w:val="num" w:pos="567"/>
          <w:tab w:val="left" w:pos="2250"/>
        </w:tabs>
        <w:spacing w:before="120" w:after="120" w:line="240" w:lineRule="auto"/>
        <w:ind w:left="567" w:hanging="425"/>
        <w:jc w:val="both"/>
        <w:rPr>
          <w:rFonts w:ascii="Times New Roman" w:hAnsi="Times New Roman"/>
          <w:bCs/>
          <w:sz w:val="24"/>
          <w:szCs w:val="24"/>
        </w:rPr>
      </w:pPr>
      <w:r>
        <w:rPr>
          <w:rFonts w:ascii="Times New Roman" w:hAnsi="Times New Roman"/>
          <w:bCs/>
          <w:sz w:val="24"/>
          <w:szCs w:val="24"/>
        </w:rPr>
        <w:t>Reda od Dopływu z polderu Rekowo do ujścia RW20001447899: PL.ZIPOP.1393.RP.1234, PL.ZIPOP.1393.PK.73</w:t>
      </w:r>
    </w:p>
    <w:p w14:paraId="738F74CF" w14:textId="77777777" w:rsidR="00BA0236" w:rsidRDefault="00BA0236" w:rsidP="008D7CA9">
      <w:pPr>
        <w:pStyle w:val="ListParagraph2"/>
        <w:numPr>
          <w:ilvl w:val="0"/>
          <w:numId w:val="49"/>
        </w:numPr>
        <w:tabs>
          <w:tab w:val="clear" w:pos="720"/>
          <w:tab w:val="num" w:pos="567"/>
          <w:tab w:val="left" w:pos="2250"/>
        </w:tabs>
        <w:spacing w:before="120" w:after="120" w:line="240" w:lineRule="auto"/>
        <w:ind w:left="567" w:hanging="425"/>
        <w:rPr>
          <w:rFonts w:ascii="Times New Roman" w:hAnsi="Times New Roman"/>
          <w:bCs/>
          <w:sz w:val="24"/>
          <w:szCs w:val="24"/>
        </w:rPr>
      </w:pPr>
      <w:r>
        <w:rPr>
          <w:rFonts w:ascii="Times New Roman" w:hAnsi="Times New Roman"/>
          <w:bCs/>
          <w:sz w:val="24"/>
          <w:szCs w:val="24"/>
        </w:rPr>
        <w:t>Martwa Wisła o kodzie RW200014489: PL.ZIPOP.1393.PK.31</w:t>
      </w:r>
    </w:p>
    <w:p w14:paraId="618127E7" w14:textId="77777777" w:rsidR="00BA0236" w:rsidRDefault="00BA0236" w:rsidP="008D7CA9">
      <w:pPr>
        <w:pStyle w:val="ListParagraph2"/>
        <w:numPr>
          <w:ilvl w:val="0"/>
          <w:numId w:val="49"/>
        </w:numPr>
        <w:tabs>
          <w:tab w:val="clear" w:pos="720"/>
          <w:tab w:val="num" w:pos="567"/>
          <w:tab w:val="left" w:pos="2250"/>
        </w:tabs>
        <w:spacing w:before="120" w:after="120" w:line="240" w:lineRule="auto"/>
        <w:ind w:left="567" w:hanging="425"/>
        <w:rPr>
          <w:rFonts w:ascii="Times New Roman" w:hAnsi="Times New Roman"/>
          <w:bCs/>
          <w:sz w:val="24"/>
          <w:szCs w:val="24"/>
        </w:rPr>
      </w:pPr>
      <w:r>
        <w:rPr>
          <w:rFonts w:ascii="Times New Roman" w:hAnsi="Times New Roman"/>
          <w:bCs/>
          <w:sz w:val="24"/>
          <w:szCs w:val="24"/>
        </w:rPr>
        <w:t>Słupia od Otocznicy do ujścia o kodzie</w:t>
      </w:r>
      <w:r>
        <w:rPr>
          <w:rFonts w:ascii="Times New Roman" w:hAnsi="Times New Roman"/>
          <w:sz w:val="24"/>
          <w:szCs w:val="24"/>
        </w:rPr>
        <w:t xml:space="preserve"> </w:t>
      </w:r>
      <w:r>
        <w:rPr>
          <w:rFonts w:ascii="Times New Roman" w:hAnsi="Times New Roman"/>
          <w:bCs/>
          <w:sz w:val="24"/>
          <w:szCs w:val="24"/>
        </w:rPr>
        <w:t>RW20001447299: PL.ZIPOP.1393.N2K.PLH220052.H</w:t>
      </w:r>
    </w:p>
    <w:p w14:paraId="32E4A8C1" w14:textId="77777777" w:rsidR="00BA0236" w:rsidRDefault="00BA0236" w:rsidP="008D7CA9">
      <w:pPr>
        <w:pStyle w:val="ListParagraph2"/>
        <w:numPr>
          <w:ilvl w:val="0"/>
          <w:numId w:val="49"/>
        </w:numPr>
        <w:tabs>
          <w:tab w:val="clear" w:pos="720"/>
          <w:tab w:val="num" w:pos="567"/>
          <w:tab w:val="left" w:pos="2250"/>
        </w:tabs>
        <w:spacing w:before="120" w:after="120" w:line="240" w:lineRule="auto"/>
        <w:ind w:left="567" w:hanging="425"/>
        <w:rPr>
          <w:rFonts w:ascii="Times New Roman" w:hAnsi="Times New Roman"/>
          <w:bCs/>
          <w:sz w:val="24"/>
          <w:szCs w:val="24"/>
        </w:rPr>
      </w:pPr>
      <w:r>
        <w:rPr>
          <w:rFonts w:ascii="Times New Roman" w:hAnsi="Times New Roman"/>
          <w:bCs/>
          <w:sz w:val="24"/>
          <w:szCs w:val="24"/>
        </w:rPr>
        <w:t xml:space="preserve">Łeba od jez. Łebsko z Chełstem od jez. Sarbsko RW20001447699: </w:t>
      </w:r>
      <w:r>
        <w:rPr>
          <w:rFonts w:ascii="Times New Roman" w:hAnsi="Times New Roman"/>
          <w:color w:val="000000"/>
          <w:sz w:val="24"/>
          <w:szCs w:val="24"/>
        </w:rPr>
        <w:t>PL.ZIPOP.1393.N2K.PLH220018.H, PL.ZIPOP.1393.N2K.PLB220003.B, PL.ZIPOP.1393.PN.24</w:t>
      </w:r>
    </w:p>
    <w:p w14:paraId="092AB3CE" w14:textId="77777777" w:rsidR="00BA0236" w:rsidRDefault="00BA0236" w:rsidP="00347E16">
      <w:pPr>
        <w:pStyle w:val="ReportText"/>
        <w:spacing w:before="120" w:after="120" w:line="240" w:lineRule="auto"/>
        <w:rPr>
          <w:szCs w:val="24"/>
        </w:rPr>
      </w:pPr>
      <w:r>
        <w:rPr>
          <w:szCs w:val="24"/>
        </w:rPr>
        <w:lastRenderedPageBreak/>
        <w:t xml:space="preserve">Zgodnie z prawem wodnym art. 61. 1. celem środowiskowym dla obszarów chronionych jest osiągnięcie norm i celów wynikających z przepisów, na podstawie których te obszary chronione zostały utworzone, przepisów ustanawiających te obszary lub dotyczących tych obszarów, o ile nie zawierają one w tym zakresie odmiennych uregulowań. Cele dla obszarów chronionych, takich jak: parki narodowe, rezerwaty przyrody i parki krajobrazowe wynikają z ustanowionych planów ochrony lub planów zadań ochronnych, a jeżeli nie ustanowiono odpowiednich planów dla tych obszarów, wynikają z aktu prawnego tworzącego daną formę ochrony przyrody. Dla obszarów chronionego krajobrazu, celami takimi są normy dotyczące ochrony ekosystemów z aktu wyznaczającego dany obszar. Dla obszarów Natura 2000, celem jest właściwy stan gatunków i siedlisk przyrodniczych będących przedmiotami ochrony w obszarze. </w:t>
      </w:r>
    </w:p>
    <w:p w14:paraId="4640A872" w14:textId="77777777" w:rsidR="00BA0236" w:rsidRDefault="00BA0236" w:rsidP="00347E16">
      <w:pPr>
        <w:pStyle w:val="ReportText"/>
        <w:spacing w:before="120" w:after="120" w:line="240" w:lineRule="auto"/>
        <w:rPr>
          <w:szCs w:val="24"/>
        </w:rPr>
      </w:pPr>
      <w:r>
        <w:rPr>
          <w:szCs w:val="24"/>
        </w:rPr>
        <w:t>W przypadku braku precyzyjnie określonych celów dla poszczególnych typów siedlisk przyrodniczych i gatunków należy odnieść się do wymogów ekologicznych siedlisk i gatunków. Zapewnienie bądź utrzymanie właściwego stanu ochrony siedlisk i gatunków zależnych od wód warunkowane jest przede wszystkim utrzymaniem aktualnych stosunków wodnych, w tym obecności zalewów zapewniających odpowiedni stan siedlisk przyrodniczych solnisk, strefy brzegowej czy doliny rzecznej oraz zachowaniem (utrzymaniem powierzchni) płatów siedlisk i siedlisk gatunków występujących bezpośrednio w strefie brzegowej, tudzież dolinie.</w:t>
      </w:r>
    </w:p>
    <w:p w14:paraId="398B099C" w14:textId="77777777" w:rsidR="00BA0236" w:rsidRDefault="00BA0236" w:rsidP="00347E16">
      <w:pPr>
        <w:pStyle w:val="ReportLevel3"/>
        <w:numPr>
          <w:ilvl w:val="0"/>
          <w:numId w:val="0"/>
        </w:numPr>
        <w:tabs>
          <w:tab w:val="left" w:pos="720"/>
        </w:tabs>
        <w:rPr>
          <w:rFonts w:cs="Calibri"/>
        </w:rPr>
      </w:pPr>
      <w:r>
        <w:rPr>
          <w:rFonts w:cs="Calibri"/>
          <w:bCs/>
        </w:rPr>
        <w:t>6.2.3 Identyfikacja czynników oddziaływania inwestycji i działań na wskaźniki oceny stanu wód</w:t>
      </w:r>
    </w:p>
    <w:p w14:paraId="25FC8A9A" w14:textId="77777777" w:rsidR="00BA0236" w:rsidRDefault="00BA0236" w:rsidP="00347E16">
      <w:pPr>
        <w:pStyle w:val="ReportLevel4"/>
        <w:numPr>
          <w:ilvl w:val="0"/>
          <w:numId w:val="0"/>
        </w:numPr>
        <w:tabs>
          <w:tab w:val="left" w:pos="720"/>
        </w:tabs>
      </w:pPr>
      <w:r>
        <w:t xml:space="preserve">6.2.3.1 Obszar problemowy IOP_1 – Miasto Gdańsk, </w:t>
      </w:r>
    </w:p>
    <w:p w14:paraId="645E031F" w14:textId="77777777" w:rsidR="00BA0236" w:rsidRDefault="00BA0236" w:rsidP="008D7CA9">
      <w:pPr>
        <w:numPr>
          <w:ilvl w:val="0"/>
          <w:numId w:val="50"/>
        </w:numPr>
        <w:tabs>
          <w:tab w:val="clear" w:pos="840"/>
          <w:tab w:val="num" w:pos="567"/>
        </w:tabs>
        <w:spacing w:before="120" w:after="120"/>
        <w:ind w:left="567" w:hanging="425"/>
        <w:rPr>
          <w:b/>
        </w:rPr>
      </w:pPr>
      <w:r>
        <w:rPr>
          <w:b/>
        </w:rPr>
        <w:t>Wariant 1, Zadanie W_AR_10</w:t>
      </w:r>
    </w:p>
    <w:p w14:paraId="05AA998D" w14:textId="16863168" w:rsidR="00BA0236" w:rsidRDefault="00BA0236" w:rsidP="00347E16">
      <w:pPr>
        <w:pStyle w:val="ReportText"/>
        <w:spacing w:before="120" w:after="120"/>
      </w:pPr>
      <w:r>
        <w:t>Inwestycja zaplanowana została w obrębie JCWP Martwa Wisła o kodzie RW200014489, silnie zmienionej część wód o złym stanie, zagrożonej nieosiągnięciem celów środowiskowych. Celem działań jest ochrona przeciwpowodziowa wyspy Stogi (Górki Zachodnie, m. Gdańsk) przy pomocy systemu mobilnych przegród przeciwpowodziowych wzdłuż ul. Kutnowskiej (dł. 1500 m wraz z budową 500 m drogi). Na etapie realizacji inwestycji w tym podczas budowy drogi oraz montażu infrastruktury i elementów przegród mobilnych pojawią się oddziaływania czasowe związane z pracą maszyn i urządzeń spalinowych oraz ewentualną emisją hałasu i spalin do atmosfery, zasięg oddziaływań jest ograniczony do obszaru przedsięwzięcia, czyli ul. Kutnowskiej. Prowadzone działania mogą mieć na etapie realizacji i wykonywania prac budowlanych potencjalny wpływ (np. podczas awarii wycieku paliwa etc.) na jakość wód JCWP Martwa Wisła o kodzie RW200014489 oraz JCWP Zatoka Gdańska Wewnętrzna TW20004WB6. Prace prowadzone będą na terenie miasta i nie wiążą się z trwałą zmianą struktury środowiska mającą wpływ na wskaźniki oceny stanu wód i cele środowiskowe JCWP,</w:t>
      </w:r>
      <w:r w:rsidR="00A26088">
        <w:t xml:space="preserve"> </w:t>
      </w:r>
      <w:r>
        <w:t>a tym samym nie przewiduje się wpływu na stan wód JCWP Martwa Wisła o</w:t>
      </w:r>
      <w:r w:rsidR="00A26088">
        <w:t> </w:t>
      </w:r>
      <w:r>
        <w:t>kodzie RW200014489 oraz Zatoka Gdańska Wewnętrzna TW20004WB6 :</w:t>
      </w:r>
    </w:p>
    <w:p w14:paraId="7CD16F2A" w14:textId="0FA989A0" w:rsidR="00BA0236" w:rsidRDefault="00BA0236" w:rsidP="00A26088">
      <w:pPr>
        <w:pStyle w:val="ReportText"/>
        <w:spacing w:before="120" w:after="120"/>
        <w:ind w:left="567" w:hanging="425"/>
      </w:pPr>
      <w:r>
        <w:t>-</w:t>
      </w:r>
      <w:r w:rsidR="00A26088">
        <w:tab/>
      </w:r>
      <w:r>
        <w:t>elementy biologiczne (brak oddziaływań)</w:t>
      </w:r>
    </w:p>
    <w:p w14:paraId="09A2A043" w14:textId="50AC98F7" w:rsidR="00BA0236" w:rsidRDefault="00BA0236" w:rsidP="00A26088">
      <w:pPr>
        <w:pStyle w:val="ReportText"/>
        <w:spacing w:before="120" w:after="120"/>
        <w:ind w:left="567" w:hanging="425"/>
      </w:pPr>
      <w:r>
        <w:t>-</w:t>
      </w:r>
      <w:r w:rsidR="00A26088">
        <w:tab/>
      </w:r>
      <w:r>
        <w:t>elementy hydromorfologiczne (brak oddziaływań)</w:t>
      </w:r>
    </w:p>
    <w:p w14:paraId="3EEAE383" w14:textId="0934AB7D" w:rsidR="00BA0236" w:rsidRDefault="00BA0236" w:rsidP="00A26088">
      <w:pPr>
        <w:pStyle w:val="ReportText"/>
        <w:spacing w:before="120" w:after="120"/>
        <w:ind w:left="567" w:hanging="425"/>
      </w:pPr>
      <w:r>
        <w:t>-</w:t>
      </w:r>
      <w:r w:rsidR="00A26088">
        <w:tab/>
      </w:r>
      <w:r>
        <w:t>elementy fizykochemiczne (brak oddziaływań na etapie w eksploatacji, możliwe oddziaływania na etapie montażu trwałych elementów przegród mobilnych lub budowy drogi o charakterze lokalnym w wyniku awarii maszyn, wycieku paliwa).</w:t>
      </w:r>
    </w:p>
    <w:p w14:paraId="5426E2C5" w14:textId="77777777" w:rsidR="00BA0236" w:rsidRDefault="00BA0236" w:rsidP="00347E16">
      <w:pPr>
        <w:pStyle w:val="ReportText"/>
        <w:spacing w:before="120" w:after="120"/>
        <w:rPr>
          <w:b/>
        </w:rPr>
      </w:pPr>
      <w:r>
        <w:rPr>
          <w:b/>
        </w:rPr>
        <w:lastRenderedPageBreak/>
        <w:t xml:space="preserve">Minimalizacje: zakaz lokalizacji placu budowy, placów manewrowych oraz miejsc składowania materiałów budowlanych, ziemi, gruzu etc., lokalizowania dróg technologicznych od "strony wody", prace ziemne prowadzone powinny być minimum z zachowaniem 10 m odległości od linii wody w celu ograniczenia ryzyka zanieczyszczeń spowodowanych ewentualnym wyciekiem olejów, paliw etc.  Zakaz składowania ziemi, gruzu w sąsiedztwie wody w celu ograniczenia dostawy zawiesiny do wód powierzchniowych. Ograniczenie wycinki drzew do minimum. </w:t>
      </w:r>
    </w:p>
    <w:p w14:paraId="72D672A9" w14:textId="77777777" w:rsidR="00BA0236" w:rsidRDefault="00BA0236" w:rsidP="00347E16">
      <w:pPr>
        <w:pStyle w:val="ReportText"/>
        <w:spacing w:before="120" w:after="120"/>
        <w:rPr>
          <w:b/>
        </w:rPr>
      </w:pPr>
      <w:r>
        <w:rPr>
          <w:b/>
        </w:rPr>
        <w:t>Ocena końcowa wariantu 1: B (brak oddziaływań)</w:t>
      </w:r>
    </w:p>
    <w:p w14:paraId="27F9A818" w14:textId="77777777" w:rsidR="00BA0236" w:rsidRDefault="00BA0236" w:rsidP="00E8074C">
      <w:pPr>
        <w:pStyle w:val="ReportLevel4"/>
        <w:numPr>
          <w:ilvl w:val="3"/>
          <w:numId w:val="44"/>
        </w:numPr>
      </w:pPr>
      <w:r>
        <w:t>Obszar problemowy IOP_2 – Mierzeja Helska – Jastarnia, Hel</w:t>
      </w:r>
    </w:p>
    <w:p w14:paraId="2FB26D5F" w14:textId="77777777" w:rsidR="00BA0236" w:rsidRPr="000426E1" w:rsidRDefault="00BA0236" w:rsidP="008D7CA9">
      <w:pPr>
        <w:numPr>
          <w:ilvl w:val="0"/>
          <w:numId w:val="50"/>
        </w:numPr>
        <w:tabs>
          <w:tab w:val="clear" w:pos="840"/>
          <w:tab w:val="num" w:pos="567"/>
        </w:tabs>
        <w:spacing w:before="120" w:after="120"/>
        <w:ind w:left="567" w:hanging="425"/>
        <w:rPr>
          <w:rStyle w:val="fontstyle01"/>
          <w:rFonts w:ascii="Times New Roman" w:hAnsi="Times New Roman"/>
          <w:b/>
          <w:sz w:val="24"/>
          <w:szCs w:val="24"/>
        </w:rPr>
      </w:pPr>
      <w:r w:rsidRPr="000426E1">
        <w:rPr>
          <w:rStyle w:val="fontstyle01"/>
          <w:rFonts w:ascii="Times New Roman" w:hAnsi="Times New Roman"/>
          <w:b/>
          <w:sz w:val="24"/>
          <w:szCs w:val="24"/>
        </w:rPr>
        <w:t xml:space="preserve">Wariant 1, Zadania: </w:t>
      </w:r>
    </w:p>
    <w:p w14:paraId="6B1AA861" w14:textId="77777777" w:rsidR="00BA0236" w:rsidRDefault="00BA0236" w:rsidP="00347E16">
      <w:pPr>
        <w:pStyle w:val="ReportText"/>
        <w:spacing w:before="120" w:after="120"/>
      </w:pPr>
      <w:r>
        <w:t xml:space="preserve">Inwestycje w ramach zadań: W_AR_20 Wariant 1, W_MDW_04A Wariant 1, WI_W_AR_80 Wariant 1 zaplanowane zostały w obrębie JCWP Zatoka Pucka Zewnętrzna o kodzie TW20003WB5, wyznaczonej jako naturalna część wód, o złym stanie, zagrożonej nieosiągnięciem celów środowiskowych. Celem środowiskowym dla JCWP jest dobry stan ekologiczny, dobry stan chemiczny. Celem działań planowanych w ramach realizacji inwestycji jest ochrona przeciwpowodziowa miejscowości: Chałupy, Kuźnica oraz Jastarnia. </w:t>
      </w:r>
    </w:p>
    <w:p w14:paraId="78BA8D64" w14:textId="77777777" w:rsidR="00BA0236" w:rsidRDefault="00BA0236" w:rsidP="00347E16">
      <w:pPr>
        <w:pStyle w:val="ReportText"/>
        <w:spacing w:before="120" w:after="120"/>
      </w:pPr>
      <w:r>
        <w:t>Ochronę przeciwpowodziową miejscowości Chałupy zaplanowano w ramach zadnia: W_AR_20 Wariant 1</w:t>
      </w:r>
      <w:r w:rsidRPr="00B32914">
        <w:rPr>
          <w:color w:val="000000"/>
        </w:rPr>
        <w:t xml:space="preserve"> polega na przedłużeniu wału w m. Chałupy wraz z wyniesieniem rzędnej drogi DW216 ponad poziom wody powodziowej w sąsiedztwie podniesionego wału.</w:t>
      </w:r>
      <w:r>
        <w:rPr>
          <w:color w:val="000000"/>
        </w:rPr>
        <w:t xml:space="preserve"> </w:t>
      </w:r>
      <w:r>
        <w:t xml:space="preserve">Realizacja zadania nie będzie miała znaczącego wpływu na elementy stanu wód ze względu na niewielką skalę prac, nie przewiduje się wystąpienia negatywnych oddziaływań mających negatywny wpływ na wskaźniki oceny stanu wód i cele środowiskowe JCWP, a tym samym wpływu na stan wód i cele środowiskowe JCWP Zatoka Pucka Zewnętrzna o kodzie TW20003WB5, w tym na: </w:t>
      </w:r>
    </w:p>
    <w:p w14:paraId="27CF34C8" w14:textId="06C8D239" w:rsidR="00BA0236" w:rsidRDefault="00BA0236" w:rsidP="00A26088">
      <w:pPr>
        <w:pStyle w:val="ReportText"/>
        <w:spacing w:before="120" w:after="120"/>
        <w:ind w:left="567" w:hanging="425"/>
      </w:pPr>
      <w:r>
        <w:t>-</w:t>
      </w:r>
      <w:r w:rsidR="00A26088">
        <w:tab/>
      </w:r>
      <w:r>
        <w:t>elementy biologiczne (brak oddziaływań)</w:t>
      </w:r>
    </w:p>
    <w:p w14:paraId="5328B572" w14:textId="11D104C5" w:rsidR="00BA0236" w:rsidRDefault="00BA0236" w:rsidP="00A26088">
      <w:pPr>
        <w:pStyle w:val="ReportText"/>
        <w:spacing w:before="120" w:after="120"/>
        <w:ind w:left="567" w:hanging="425"/>
      </w:pPr>
      <w:r>
        <w:t>-</w:t>
      </w:r>
      <w:r w:rsidR="00A26088">
        <w:tab/>
      </w:r>
      <w:r>
        <w:t>elementy hydromorfologiczne (UN- przekształcenie strefy brzegu morskiego, ograniczenie zalewu powierzchniwego)</w:t>
      </w:r>
    </w:p>
    <w:p w14:paraId="5BC5B99E" w14:textId="5F4E7261" w:rsidR="00BA0236" w:rsidRDefault="00BA0236" w:rsidP="00A26088">
      <w:pPr>
        <w:pStyle w:val="ReportText"/>
        <w:spacing w:before="120" w:after="120"/>
        <w:ind w:left="567" w:hanging="425"/>
      </w:pPr>
      <w:r>
        <w:t>-</w:t>
      </w:r>
      <w:r w:rsidR="00A26088">
        <w:tab/>
      </w:r>
      <w:r>
        <w:t>lementy fizykochemiczne (brak oddziaływań)</w:t>
      </w:r>
    </w:p>
    <w:p w14:paraId="4B6ECF1E" w14:textId="77777777" w:rsidR="00BA0236" w:rsidRDefault="00BA0236" w:rsidP="00347E16">
      <w:pPr>
        <w:pStyle w:val="ReportText"/>
        <w:spacing w:before="120" w:after="120"/>
        <w:rPr>
          <w:b/>
        </w:rPr>
      </w:pPr>
      <w:r>
        <w:rPr>
          <w:b/>
        </w:rPr>
        <w:t xml:space="preserve">Minimalizacje: zakaz lokalizacji placu budowy, placów manewrowych oraz miejsc składowania materiałów budowlanych, ziemi, gruzu etc., lokalizowania dróg technologicznych od brzegu morskiego, prace ziemne prowadzone powinny być minimum z zachowaniem 10 m odległości od linii wody w celu ograniczenia ryzyka zanieczyszczeń spowodowanych ewentualnym wyciekiem olejów, paliw etc.  Zakaz składowania ziemi, gruzu w sąsiedztwie wody w celu ograniczenia dostawy zawiesiny do wód powierzchniowych. Ograniczenie wycinki drzew do minimum. </w:t>
      </w:r>
    </w:p>
    <w:p w14:paraId="750CA13D" w14:textId="77777777" w:rsidR="00BA0236" w:rsidRDefault="00BA0236" w:rsidP="00347E16">
      <w:pPr>
        <w:pStyle w:val="ReportText"/>
        <w:spacing w:before="120" w:after="120"/>
      </w:pPr>
      <w:r>
        <w:t xml:space="preserve">Ochronę przeciwpowodziową miejscowości Kuźnica zaplanowano w ramach zadnia: W_MDW_04A Wariant 1, przy pomocy budowy bulwarów wraz z murkiem ochronnym wzdłuż wybrzeża Zatoki Puckiej w miejscowości Kuźnica, na podstawie dokumentacji koncepcyjno – projektowej ochrony przeciwpowodziowej dla analizowanego obszaru (km 57+500 - 59+400). Wpływ działań oceniono jako UN/PZ ze względu na zakres planowanych prac, w tym potencjalny negatywny wpływ na hydromorfologię brzegów morskich, przebieg procesów hydromorfologicznych od strony morza, negatywny wpływ </w:t>
      </w:r>
      <w:r>
        <w:lastRenderedPageBreak/>
        <w:t xml:space="preserve">na siedliska i gatunki strefy brzegowej, ingerencje w strukturę brzegów i konieczne wycinki drzew. Ze względu na lokalny zasięg oddziaływań i planowane prace na terenie zabudowanym, w odniesieniu do całej JCWP nie przewiduje się wystąpienia istotnych negatywnych oddziaływań mających negatywny wpływ na stan wód i cele środowiskowe JCWP Zatoka Pucka Zewnętrzna o kodzie TW20003WB5, w tym na: </w:t>
      </w:r>
    </w:p>
    <w:p w14:paraId="00929E38" w14:textId="18DF2B98" w:rsidR="00BA0236" w:rsidRDefault="00BA0236" w:rsidP="00A26088">
      <w:pPr>
        <w:pStyle w:val="ReportText"/>
        <w:spacing w:before="120" w:after="120"/>
        <w:ind w:left="567" w:hanging="425"/>
      </w:pPr>
      <w:r>
        <w:t>-</w:t>
      </w:r>
      <w:r w:rsidR="00A26088">
        <w:tab/>
      </w:r>
      <w:r>
        <w:t>elementy biologiczne (brak oddziaływań)</w:t>
      </w:r>
    </w:p>
    <w:p w14:paraId="13CC83F7" w14:textId="1BD65F8D" w:rsidR="00BA0236" w:rsidRDefault="00BA0236" w:rsidP="00A26088">
      <w:pPr>
        <w:pStyle w:val="ReportText"/>
        <w:spacing w:before="120" w:after="120"/>
        <w:ind w:left="567" w:hanging="425"/>
      </w:pPr>
      <w:r>
        <w:t>-</w:t>
      </w:r>
      <w:r w:rsidR="00A26088">
        <w:tab/>
      </w:r>
      <w:r>
        <w:t>elementy hydromorfologiczne (UN/PZ przekształcenie warunków hydromorfologicznych w strefie brzegu morskiego na długości 1,9 km, wpływ negatywny o zasięgu lokalnym)</w:t>
      </w:r>
    </w:p>
    <w:p w14:paraId="27EF685C" w14:textId="7F8ABB19" w:rsidR="00BA0236" w:rsidRDefault="00BA0236" w:rsidP="00A26088">
      <w:pPr>
        <w:pStyle w:val="ReportText"/>
        <w:spacing w:before="120" w:after="120"/>
        <w:ind w:left="567" w:hanging="425"/>
      </w:pPr>
      <w:r>
        <w:t>-</w:t>
      </w:r>
      <w:r w:rsidR="00A26088">
        <w:tab/>
      </w:r>
      <w:r>
        <w:t>elementy fizykochemiczne (brak oddziaływań na etapie eksploatacji, możliwe oddziaływania na etapie realizacji w wyniku np.  awarii maszyn, wycieku paliwa).</w:t>
      </w:r>
    </w:p>
    <w:p w14:paraId="2683574B" w14:textId="77777777" w:rsidR="00BA0236" w:rsidRDefault="00BA0236" w:rsidP="00347E16">
      <w:pPr>
        <w:pStyle w:val="ReportText"/>
        <w:spacing w:before="120" w:after="120"/>
        <w:rPr>
          <w:b/>
        </w:rPr>
      </w:pPr>
      <w:r>
        <w:rPr>
          <w:b/>
        </w:rPr>
        <w:t xml:space="preserve">Minimalizacje: zakaz lokalizacji placu budowy, placów manewrowych czy miejsc składowania materiałów budowlanych, ziemi, gruzu etc., lokalizowania dróg technologicznych w odległości bliższej niż 10 m od linii brzegowej w celu ograniczenia ryzyka zanieczyszczeń spowodowanych ewentualnym wyciekiem olejów, paliw etc.  Zakaz składowania ziemi, gruzu w sąsiedztwie wody w celu ograniczenia dostawy zawiesiny lub innych zanieczyszczeń do wód powierzchniowych. </w:t>
      </w:r>
    </w:p>
    <w:p w14:paraId="17B8AD7B" w14:textId="77777777" w:rsidR="00BA0236" w:rsidRDefault="00BA0236" w:rsidP="00347E16">
      <w:pPr>
        <w:pStyle w:val="ReportText"/>
        <w:spacing w:before="120" w:after="120"/>
      </w:pPr>
      <w:r>
        <w:t xml:space="preserve">Ochronę przeciwpowodziową miejscowości Jastarnia zaplanowano w ramach zadnia: WI_W_AR_80, przy pomocy budowy muru ochronnego wzdłuż wybrzeża Zatoki Puckiej w miejscowości Jastarnia. Wpływ działań oceniono jako UN ze względu na zakres planowanych prac i lokalizację względem brzegu morskiego, w tym potencjalny umiarkowany negatywny wpływ na hydromorfologię brzegów morskich, przebieg procesów hydromorfologicznych od strony morza, negatywny wpływ na siedliska i gatunki strefy brzegowej. Ze względu na lokalny zasięg oddziaływań i planowane prace na terenie zabudowanym, w odniesieniu do całej JCWP nie przewiduje się wystąpienia istotnych negatywnych oddziaływań mających negatywny wpływ na stan wód i cele środowiskowe JCWP Zatoka Pucka Zewnętrzna o kodzie TW20003WB5, w tym na: </w:t>
      </w:r>
    </w:p>
    <w:p w14:paraId="22E3FF9F" w14:textId="2E537DE2" w:rsidR="00BA0236" w:rsidRDefault="00BA0236" w:rsidP="00A26088">
      <w:pPr>
        <w:pStyle w:val="ReportText"/>
        <w:spacing w:before="120" w:after="120"/>
        <w:ind w:left="567" w:hanging="425"/>
      </w:pPr>
      <w:r>
        <w:t>-</w:t>
      </w:r>
      <w:r w:rsidR="00A26088">
        <w:tab/>
      </w:r>
      <w:r>
        <w:t>elementy biologiczne (brak oddziaływań)</w:t>
      </w:r>
    </w:p>
    <w:p w14:paraId="1FD22DE0" w14:textId="30C7A81C" w:rsidR="00BA0236" w:rsidRDefault="00BA0236" w:rsidP="00A26088">
      <w:pPr>
        <w:pStyle w:val="ReportText"/>
        <w:spacing w:before="120" w:after="120"/>
        <w:ind w:left="567" w:hanging="425"/>
      </w:pPr>
      <w:r>
        <w:t>-</w:t>
      </w:r>
      <w:r w:rsidR="00A26088">
        <w:tab/>
      </w:r>
      <w:r>
        <w:t>elementy hydromorfologiczne (UN przekształcenie warunków hydromorfologicznych w strefie brzegu morskiego o zasięgu lokalnym)</w:t>
      </w:r>
    </w:p>
    <w:p w14:paraId="5D36A18F" w14:textId="76891714" w:rsidR="00BA0236" w:rsidRDefault="00BA0236" w:rsidP="00A26088">
      <w:pPr>
        <w:pStyle w:val="ReportText"/>
        <w:spacing w:before="120" w:after="120"/>
        <w:ind w:left="567" w:hanging="425"/>
      </w:pPr>
      <w:r>
        <w:t>-</w:t>
      </w:r>
      <w:r w:rsidR="00A26088">
        <w:tab/>
      </w:r>
      <w:r>
        <w:t>elementy fizykochemiczne (brak oddziaływań na etapie eksploatacji, możliwe oddziaływania na etapie realizacji w wyniku np.  awarii maszyn, wycieku paliwa).</w:t>
      </w:r>
    </w:p>
    <w:p w14:paraId="13E0CF78" w14:textId="77777777" w:rsidR="00BA0236" w:rsidRDefault="00BA0236" w:rsidP="00347E16">
      <w:pPr>
        <w:pStyle w:val="ReportText"/>
        <w:spacing w:before="120" w:after="120"/>
        <w:rPr>
          <w:b/>
        </w:rPr>
      </w:pPr>
      <w:r>
        <w:rPr>
          <w:b/>
        </w:rPr>
        <w:t xml:space="preserve">Minimalizacje: zakaz lokalizacji placu budowy, placów manewrowych czy miejsc składowania materiałów budowlanych, ziemi, gruzu etc., lokalizowania dróg technologicznych w odległości bliższej niż 10 m od linii brzegowej w celu ograniczenia ryzyka zanieczyszczeń spowodowanych ewentualnym wyciekiem olejów, paliw </w:t>
      </w:r>
      <w:r>
        <w:rPr>
          <w:b/>
          <w:bCs/>
        </w:rPr>
        <w:t>etc.</w:t>
      </w:r>
      <w:r>
        <w:rPr>
          <w:b/>
        </w:rPr>
        <w:t xml:space="preserve">  Zakaz składowania ziemi, gruzu w sąsiedztwie wody w celu ograniczenia dostawy zawiesiny lub innych zanieczyszczeń do wód powierzchniowych. </w:t>
      </w:r>
    </w:p>
    <w:p w14:paraId="3283E897" w14:textId="6316CEDB" w:rsidR="00BA0236" w:rsidRDefault="00A26088" w:rsidP="00E8074C">
      <w:pPr>
        <w:pStyle w:val="ReportLevel4"/>
        <w:numPr>
          <w:ilvl w:val="3"/>
          <w:numId w:val="44"/>
        </w:numPr>
      </w:pPr>
      <w:r>
        <w:br w:type="column"/>
      </w:r>
      <w:r w:rsidR="00BA0236">
        <w:lastRenderedPageBreak/>
        <w:t>Obszar problemowy IOP_5 – Krynica Morska - Zalew Wiślany</w:t>
      </w:r>
    </w:p>
    <w:p w14:paraId="097EB2F7" w14:textId="77777777" w:rsidR="00BA0236" w:rsidRPr="000426E1" w:rsidRDefault="00BA0236" w:rsidP="008D7CA9">
      <w:pPr>
        <w:numPr>
          <w:ilvl w:val="0"/>
          <w:numId w:val="50"/>
        </w:numPr>
        <w:tabs>
          <w:tab w:val="clear" w:pos="840"/>
          <w:tab w:val="num" w:pos="567"/>
        </w:tabs>
        <w:spacing w:before="120" w:after="120"/>
        <w:ind w:left="567" w:hanging="425"/>
        <w:rPr>
          <w:rStyle w:val="fontstyle01"/>
          <w:rFonts w:ascii="Times New Roman" w:hAnsi="Times New Roman"/>
          <w:b/>
          <w:sz w:val="24"/>
          <w:szCs w:val="24"/>
        </w:rPr>
      </w:pPr>
      <w:r w:rsidRPr="000426E1">
        <w:rPr>
          <w:rStyle w:val="fontstyle01"/>
          <w:rFonts w:ascii="Times New Roman" w:hAnsi="Times New Roman"/>
          <w:b/>
          <w:sz w:val="24"/>
          <w:szCs w:val="24"/>
        </w:rPr>
        <w:t xml:space="preserve">Wariant 1, Zadania: </w:t>
      </w:r>
      <w:r w:rsidRPr="009403C4">
        <w:rPr>
          <w:b/>
          <w:color w:val="000000"/>
        </w:rPr>
        <w:t xml:space="preserve">W_AR_12, </w:t>
      </w:r>
      <w:r w:rsidRPr="009403C4">
        <w:rPr>
          <w:rStyle w:val="fontstyle01"/>
          <w:rFonts w:ascii="Times New Roman" w:hAnsi="Times New Roman"/>
          <w:b/>
          <w:sz w:val="24"/>
          <w:szCs w:val="24"/>
        </w:rPr>
        <w:t>W_AR_19</w:t>
      </w:r>
    </w:p>
    <w:p w14:paraId="5CA4537E" w14:textId="77777777" w:rsidR="00BA0236" w:rsidRDefault="00BA0236" w:rsidP="00347E16">
      <w:pPr>
        <w:pStyle w:val="ReportText"/>
        <w:spacing w:before="120" w:after="120"/>
      </w:pPr>
      <w:r>
        <w:t xml:space="preserve">Inwestycja zaplanowana w obrębie strefy brzegowej JCWP Zalew Wiślany TW20001WB1, wyznaczanej jako naturalna część wód, o złym stanie zagrożona nieosiągnięciem celów środowiskowych, dla której wskazano jako cel środowiskowy: dobry stan ekologiczny, dobry stan chemiczny. Celem działań jest ochrona przeciwpowodziowa miejscowości Nowa Karczma (Zalew Wiślany km 97+620 98+240) przy pomocy </w:t>
      </w:r>
      <w:r>
        <w:rPr>
          <w:color w:val="000000"/>
        </w:rPr>
        <w:t>b</w:t>
      </w:r>
      <w:r w:rsidRPr="00B32914">
        <w:rPr>
          <w:color w:val="000000"/>
        </w:rPr>
        <w:t>udow</w:t>
      </w:r>
      <w:r>
        <w:rPr>
          <w:color w:val="000000"/>
        </w:rPr>
        <w:t>y</w:t>
      </w:r>
      <w:r w:rsidRPr="00B32914">
        <w:rPr>
          <w:color w:val="000000"/>
        </w:rPr>
        <w:t xml:space="preserve"> muru oporowego (ok. 160m) wokół oczyszczalni ścieków w m. Frombork</w:t>
      </w:r>
      <w:r>
        <w:t xml:space="preserve"> oraz systemu mobilnych przegród przeciwpowodziowych o długości ok. 540 m, wraz z rozwojem lokalnego systemu ostrzegania przed powodziami i prognozowania zagrożeń na terenie gminy Krynica Morska pow. nowodworski. Ze względu na lokalizacje inwestycji i zakres prac, w znacznym oddaleniu od linii wody nie przewiduje się wystąpienia negatywnych oddziaływań mających negatywny wpływ na wskaźniki oceny stanu wód i cele środowiskowe, a tym samym wpływu na stan wód i cele środowiskowe JCWP Zalew Wiślany TW20001WB1, w tym na: </w:t>
      </w:r>
    </w:p>
    <w:p w14:paraId="2723F798" w14:textId="0F45E128" w:rsidR="00BA0236" w:rsidRDefault="00BA0236" w:rsidP="00A26088">
      <w:pPr>
        <w:pStyle w:val="ReportText"/>
        <w:spacing w:before="120" w:after="120"/>
        <w:ind w:left="567" w:hanging="425"/>
      </w:pPr>
      <w:r>
        <w:t>-</w:t>
      </w:r>
      <w:r w:rsidR="00A26088">
        <w:tab/>
      </w:r>
      <w:r>
        <w:t>elementy biologiczne (brak oddziaływań)</w:t>
      </w:r>
    </w:p>
    <w:p w14:paraId="29DE4E7F" w14:textId="2D24528C" w:rsidR="00BA0236" w:rsidRDefault="00BA0236" w:rsidP="00A26088">
      <w:pPr>
        <w:pStyle w:val="ReportText"/>
        <w:spacing w:before="120" w:after="120"/>
        <w:ind w:left="567" w:hanging="425"/>
      </w:pPr>
      <w:r>
        <w:t>-</w:t>
      </w:r>
      <w:r w:rsidR="00A26088">
        <w:tab/>
      </w:r>
      <w:r>
        <w:t>elementy hydromorfologiczne (brak oddziaływań)</w:t>
      </w:r>
    </w:p>
    <w:p w14:paraId="50763487" w14:textId="657F8F43" w:rsidR="00BA0236" w:rsidRDefault="00BA0236" w:rsidP="00A26088">
      <w:pPr>
        <w:pStyle w:val="ReportText"/>
        <w:spacing w:before="120" w:after="120"/>
        <w:ind w:left="567" w:hanging="425"/>
      </w:pPr>
      <w:r>
        <w:t>-</w:t>
      </w:r>
      <w:r w:rsidR="00A26088">
        <w:tab/>
      </w:r>
      <w:r>
        <w:t>elementy fizykochemiczne (brak oddziaływań).</w:t>
      </w:r>
    </w:p>
    <w:p w14:paraId="61CA0970" w14:textId="77777777" w:rsidR="00BA0236" w:rsidRDefault="00BA0236" w:rsidP="00347E16">
      <w:pPr>
        <w:pStyle w:val="ReportText"/>
        <w:spacing w:before="120" w:after="120"/>
        <w:rPr>
          <w:b/>
        </w:rPr>
      </w:pPr>
      <w:r>
        <w:rPr>
          <w:b/>
        </w:rPr>
        <w:t xml:space="preserve">Minimalizacje: zakaz lokalizacji placu budowy, placów manewrowych czy miejsc składowania materiałów budowlanych, ziemi, gruzu etc., lokalizowania dróg technologicznych na terenie zalesionym na południe od drogi 501.  Zakaz składowania ziemi, gruzu pomiędzy brzegiem morskim a drogą 501, w celu ograniczenia dostawy zawiesiny lub innych zanieczyszczeń do wód powierzchniowych. Zakaz wycinki drzew. Ograniczenie do minimum ingerencji w siedliska zlokalizowane na południe od drogi 501. Prace prowadzone w obszarze zadrzewionym należy prowadzić poza sezonem lęgowym ptaków. </w:t>
      </w:r>
    </w:p>
    <w:p w14:paraId="1ED90B32" w14:textId="77777777" w:rsidR="00BA0236" w:rsidRDefault="00BA0236" w:rsidP="00E8074C">
      <w:pPr>
        <w:pStyle w:val="ReportLevel4"/>
        <w:numPr>
          <w:ilvl w:val="3"/>
          <w:numId w:val="44"/>
        </w:numPr>
        <w:rPr>
          <w:b w:val="0"/>
          <w:sz w:val="24"/>
          <w:szCs w:val="24"/>
        </w:rPr>
      </w:pPr>
      <w:r>
        <w:t>Obszar problemowy IOP_7 – Ustka - ujście Słupi</w:t>
      </w:r>
    </w:p>
    <w:p w14:paraId="078F3A29" w14:textId="77777777" w:rsidR="00BA0236" w:rsidRDefault="00BA0236" w:rsidP="008D7CA9">
      <w:pPr>
        <w:numPr>
          <w:ilvl w:val="0"/>
          <w:numId w:val="50"/>
        </w:numPr>
        <w:tabs>
          <w:tab w:val="clear" w:pos="840"/>
          <w:tab w:val="num" w:pos="567"/>
        </w:tabs>
        <w:ind w:left="567" w:hanging="425"/>
        <w:jc w:val="both"/>
        <w:rPr>
          <w:b/>
        </w:rPr>
      </w:pPr>
      <w:r>
        <w:rPr>
          <w:b/>
        </w:rPr>
        <w:t>Wariant 2, Zadania: W_AR_01, W_AR_02</w:t>
      </w:r>
    </w:p>
    <w:p w14:paraId="1CB6E4D4" w14:textId="77777777" w:rsidR="00BA0236" w:rsidRDefault="00BA0236" w:rsidP="00347E16">
      <w:pPr>
        <w:pStyle w:val="ReportText"/>
        <w:spacing w:before="120" w:after="120"/>
      </w:pPr>
      <w:r>
        <w:t xml:space="preserve">Inwestycja planowana jest w miejscowości Ustka, w obrębie JCWP Słupia od Otocznicy do ujścia RW20001447299, wyznaczonej jako silnie zmieniona część wód, o złym stanie, zagrożona nieosiągnięciem celów środowiskowych. W 2aPGW wskazano dla JCWP cele środowiskowe: dobry potencjał ekologiczny; zapewnienie drożności cieku dla migracji ichtiofauny na cieku głównym, zapewnienie drożności według wymagań gatunków chronionych, stan chemiczny, dla złagodzonych wskaźników: benzo(a)piren(w)  - poniżej stanu dobrego, dla pozostałych wskaźników - stan dobry, drożność wg wymagań minoga rzecznego i łososia - droga do i siedlisk wewnątrz obszaru chronionego wyznaczonego dla ochrony jego tarlisk, Drożność wg wymagań minogów - przedmiotów ochrony w obszarze Natura 2000: Dolina Słupi PLH220052, Spełnienie celu wskazanego w rejestrze wykazu obszarów chronionych do ochrony siedlisk i gatunków dla obszarów przypisanych JCWP. Celem planowanych działań jest ochrona przeciwpowodziowa miejscowości Ustka poprzez budowę wału przeciwpowodziowego na lewym brzegu rzeki Słupia (km 1+170 - 1+640) oraz budowa muru oporowego (ok. 80m) na prawym brzegu rzeki Słupia (km 1+400 - 1+460), m. Ustka, pow. słupski. Ze względu zakres zadania, </w:t>
      </w:r>
      <w:r>
        <w:lastRenderedPageBreak/>
        <w:t>nastąpi trwałe pogorszenie wskaźników oceny stanu hydromorfologicznego wód HIR (PPH6), możliwy jest negatywny wpływu na cele środowiskowe i pogorszenie stanu wód JCWP Słupia od Otocznicy do ujścia RW20001447299, w tym na:</w:t>
      </w:r>
    </w:p>
    <w:p w14:paraId="2F7559C1" w14:textId="7EA32119" w:rsidR="00BA0236" w:rsidRDefault="00BA0236" w:rsidP="00A26088">
      <w:pPr>
        <w:pStyle w:val="ReportText"/>
        <w:spacing w:before="120" w:after="120"/>
        <w:ind w:left="567" w:hanging="425"/>
      </w:pPr>
      <w:r>
        <w:t>-</w:t>
      </w:r>
      <w:r w:rsidR="00A26088">
        <w:tab/>
      </w:r>
      <w:r>
        <w:t>elementy biologiczne (brak oddziaływań)</w:t>
      </w:r>
    </w:p>
    <w:p w14:paraId="4401188E" w14:textId="667DE1D9" w:rsidR="00BA0236" w:rsidRDefault="00BA0236" w:rsidP="00A26088">
      <w:pPr>
        <w:pStyle w:val="ReportText"/>
        <w:spacing w:before="120" w:after="120"/>
        <w:ind w:left="567" w:hanging="425"/>
      </w:pPr>
      <w:r>
        <w:t>-</w:t>
      </w:r>
      <w:r w:rsidR="00A26088">
        <w:tab/>
      </w:r>
      <w:r>
        <w:t>elementy hydromorfologiczne (PZ, trwała zmiana warunków hydromorologicznych - trwałe pogorszenie wskaźnika PPH6),</w:t>
      </w:r>
    </w:p>
    <w:p w14:paraId="7917D873" w14:textId="064E3586" w:rsidR="00BA0236" w:rsidRDefault="00BA0236" w:rsidP="00A26088">
      <w:pPr>
        <w:pStyle w:val="ReportText"/>
        <w:spacing w:before="120" w:after="120"/>
        <w:ind w:left="567" w:hanging="425"/>
        <w:rPr>
          <w:szCs w:val="24"/>
        </w:rPr>
      </w:pPr>
      <w:r>
        <w:t>-</w:t>
      </w:r>
      <w:r w:rsidR="00A26088">
        <w:tab/>
      </w:r>
      <w:r>
        <w:t>elementy fizykochemiczne (brak oddziaływań).</w:t>
      </w:r>
    </w:p>
    <w:p w14:paraId="22D79DF4" w14:textId="77777777" w:rsidR="00BA0236" w:rsidRDefault="00BA0236" w:rsidP="00347E16">
      <w:pPr>
        <w:pStyle w:val="ReportText"/>
        <w:spacing w:before="120" w:after="120"/>
      </w:pPr>
      <w:r>
        <w:t>Ze względu wpływ działań na stan wód JCWP o nazwie Słupia od Otocznicy do ujścia RW20001447299 nie przewiduje się pośredniego wpływu inwestycji na stan JCWP:</w:t>
      </w:r>
    </w:p>
    <w:p w14:paraId="44D35BF4" w14:textId="1129B514" w:rsidR="00BA0236" w:rsidRDefault="00BA0236" w:rsidP="00A26088">
      <w:pPr>
        <w:pStyle w:val="ReportText"/>
        <w:spacing w:before="120" w:after="120"/>
        <w:ind w:left="567" w:hanging="425"/>
      </w:pPr>
      <w:r>
        <w:t>-</w:t>
      </w:r>
      <w:r w:rsidR="00A26088">
        <w:tab/>
      </w:r>
      <w:r>
        <w:t>Polskie wody przybrzeżne Basenu Bornholmskiego CW60001WB3,</w:t>
      </w:r>
    </w:p>
    <w:p w14:paraId="7B7B6FF6" w14:textId="15D6B89C" w:rsidR="00BA0236" w:rsidRDefault="00BA0236" w:rsidP="00A26088">
      <w:pPr>
        <w:pStyle w:val="ReportText"/>
        <w:spacing w:before="120" w:after="120"/>
        <w:ind w:left="567" w:hanging="425"/>
        <w:rPr>
          <w:rStyle w:val="fontstyle01"/>
          <w:rFonts w:ascii="Times New Roman" w:hAnsi="Times New Roman"/>
          <w:color w:val="auto"/>
          <w:sz w:val="24"/>
          <w:szCs w:val="20"/>
        </w:rPr>
      </w:pPr>
      <w:r>
        <w:t>-</w:t>
      </w:r>
      <w:r w:rsidR="00A26088">
        <w:tab/>
      </w:r>
      <w:r>
        <w:t>Polskie wody przybrzeżne Basenu Gotlandzkiego CW20001WB2.</w:t>
      </w:r>
    </w:p>
    <w:p w14:paraId="498325C8" w14:textId="77777777" w:rsidR="00BA0236" w:rsidRDefault="00BA0236" w:rsidP="00E8074C">
      <w:pPr>
        <w:pStyle w:val="ReportLevel4"/>
        <w:numPr>
          <w:ilvl w:val="3"/>
          <w:numId w:val="44"/>
        </w:numPr>
      </w:pPr>
      <w:r>
        <w:t xml:space="preserve">Obszar problemowy IOP_8 – Dębki </w:t>
      </w:r>
    </w:p>
    <w:p w14:paraId="474D3569" w14:textId="77777777" w:rsidR="00BA0236" w:rsidRDefault="00BA0236" w:rsidP="008D7CA9">
      <w:pPr>
        <w:numPr>
          <w:ilvl w:val="0"/>
          <w:numId w:val="50"/>
        </w:numPr>
        <w:tabs>
          <w:tab w:val="clear" w:pos="840"/>
          <w:tab w:val="num" w:pos="567"/>
        </w:tabs>
        <w:ind w:left="567" w:hanging="425"/>
        <w:rPr>
          <w:b/>
        </w:rPr>
      </w:pPr>
      <w:r>
        <w:rPr>
          <w:b/>
        </w:rPr>
        <w:t>Wariant 2, Zadanie W_MDW_09</w:t>
      </w:r>
    </w:p>
    <w:p w14:paraId="7806C91E" w14:textId="77777777" w:rsidR="00BA0236" w:rsidRDefault="00BA0236" w:rsidP="00347E16">
      <w:pPr>
        <w:pStyle w:val="ReportText"/>
        <w:spacing w:before="120" w:after="120"/>
      </w:pPr>
      <w:r>
        <w:t>Inwestycja zaplanowana jest JCWP Piaśnica od Białogórskiej Strugi do ujścia RW20001447729, wyznaczonej jako naturalna część wód o dobrym stanie wód, niezagrożona. W 2 aPGW wskazano dla niej cele środowiskowe: dobry stan ekologiczny; zapewnienie drożności cieku dla migracji ichtiofauny na cieku głównym, dobry stan chemiczny, spełnienie celu wskazanego w rejestrze wykazu obszarów chronionych do ochrony siedlisk i gatunków dla obszarów przypisanych JCWP. Działanie ma na celu ochronę przeciwpowodziową miejscowości Dębki poprzez podwyższenie prawego wału rzeki Piaśnicy na wysokości Dębek (km Piaśnicy 0+300-3+500, km wału 0+000-2+822), pow. pucki, gm. Krokowa.</w:t>
      </w:r>
    </w:p>
    <w:p w14:paraId="375E8B25" w14:textId="77777777" w:rsidR="00BA0236" w:rsidRDefault="00BA0236" w:rsidP="00347E16">
      <w:pPr>
        <w:pStyle w:val="ReportText"/>
        <w:spacing w:before="120" w:after="120"/>
      </w:pPr>
      <w:r>
        <w:t>Ze względu na lokalizację zadania i zakres prac, wystąpią negatywne oddziaływania na etapie realizacji prac, mogą pojawić się negatywne oddziaływania na siedliska i gatunki od wód zależne. Prace nie generują nowych oddziaływań na zmianę zasięgu wód wezbraniowych i wiążą się z modernizacją istniejącego obwałowania.</w:t>
      </w:r>
    </w:p>
    <w:p w14:paraId="410CDF09" w14:textId="77777777" w:rsidR="00BA0236" w:rsidRDefault="00BA0236" w:rsidP="00347E16">
      <w:pPr>
        <w:pStyle w:val="ReportText"/>
        <w:spacing w:before="120" w:after="120"/>
      </w:pPr>
      <w:r>
        <w:t>Biorąc pod uwagę skalę oddziaływań i ich charakter nie przewiduje się znaczącego negatywnego wpływu na stan wód JCWP Piaśnica od Białogórskiej Strugi do ujścia RW20001447729, mogą wystąpić negatywne oddziaływania na siedliska i gatunki chronione od wód zależne, w tym na:</w:t>
      </w:r>
    </w:p>
    <w:p w14:paraId="25D538E2" w14:textId="167DD1FE" w:rsidR="00BA0236" w:rsidRDefault="00BA0236" w:rsidP="00A26088">
      <w:pPr>
        <w:pStyle w:val="ReportText"/>
        <w:spacing w:before="120" w:after="120"/>
        <w:ind w:left="567" w:hanging="425"/>
      </w:pPr>
      <w:r>
        <w:t>-</w:t>
      </w:r>
      <w:r w:rsidR="00A26088">
        <w:tab/>
      </w:r>
      <w:r>
        <w:t>elementy biologiczne (brak oddziaływań)</w:t>
      </w:r>
    </w:p>
    <w:p w14:paraId="7FF3FD0E" w14:textId="00354C57" w:rsidR="00BA0236" w:rsidRDefault="00BA0236" w:rsidP="00A26088">
      <w:pPr>
        <w:pStyle w:val="ReportText"/>
        <w:spacing w:before="120" w:after="120"/>
        <w:ind w:left="567" w:hanging="425"/>
      </w:pPr>
      <w:r>
        <w:t>-</w:t>
      </w:r>
      <w:r w:rsidR="00A26088">
        <w:tab/>
      </w:r>
      <w:r>
        <w:t>elementy hydromorfologiczne (UN/PZ, degradacja siedlisk od wód zależnych, możliwy potencjalny wpływ na cele obszarów chronionych),</w:t>
      </w:r>
    </w:p>
    <w:p w14:paraId="4E4002D0" w14:textId="17BE5BC8" w:rsidR="00BA0236" w:rsidRDefault="00BA0236" w:rsidP="00A26088">
      <w:pPr>
        <w:pStyle w:val="ReportText"/>
        <w:spacing w:before="120" w:after="120"/>
        <w:ind w:left="567" w:hanging="425"/>
      </w:pPr>
      <w:r>
        <w:t>-</w:t>
      </w:r>
      <w:r w:rsidR="00A26088">
        <w:tab/>
      </w:r>
      <w:r>
        <w:t>elementy fizykochemiczne (brak oddziaływań).</w:t>
      </w:r>
    </w:p>
    <w:p w14:paraId="08B8C1CE" w14:textId="77777777" w:rsidR="00BA0236" w:rsidRDefault="00BA0236" w:rsidP="00347E16">
      <w:pPr>
        <w:pStyle w:val="ReportText"/>
        <w:spacing w:before="120" w:after="120"/>
      </w:pPr>
      <w:r>
        <w:t>Biorąc pod uwagę skalę oddziaływań i ich charakter nie przewiduje się wpływ na stan wód JCWP Polskie wody przybrzeżne Basenu Gotlandzkiego CW20001WB2, w tym na:</w:t>
      </w:r>
    </w:p>
    <w:p w14:paraId="32EF9FF4" w14:textId="5D6FFD86" w:rsidR="00BA0236" w:rsidRDefault="00BA0236" w:rsidP="00A26088">
      <w:pPr>
        <w:pStyle w:val="ReportText"/>
        <w:spacing w:before="120" w:after="120"/>
        <w:ind w:left="567" w:hanging="425"/>
      </w:pPr>
      <w:r>
        <w:t>-</w:t>
      </w:r>
      <w:r w:rsidR="00A26088">
        <w:tab/>
      </w:r>
      <w:r>
        <w:t>elementy biologiczne (brak oddziaływań)</w:t>
      </w:r>
    </w:p>
    <w:p w14:paraId="2DD81C3F" w14:textId="27E27253" w:rsidR="00BA0236" w:rsidRDefault="00BA0236" w:rsidP="00A26088">
      <w:pPr>
        <w:pStyle w:val="ReportText"/>
        <w:spacing w:before="120" w:after="120"/>
        <w:ind w:left="567" w:hanging="425"/>
      </w:pPr>
      <w:r>
        <w:t>-</w:t>
      </w:r>
      <w:r w:rsidR="00A26088">
        <w:tab/>
      </w:r>
      <w:r>
        <w:t>elementy hydromorfologiczne (brak oddziaływań),</w:t>
      </w:r>
    </w:p>
    <w:p w14:paraId="56C07719" w14:textId="3548ABFA" w:rsidR="00BA0236" w:rsidRDefault="00BA0236" w:rsidP="00A26088">
      <w:pPr>
        <w:pStyle w:val="ReportText"/>
        <w:spacing w:before="120" w:after="120"/>
        <w:ind w:left="567" w:hanging="425"/>
      </w:pPr>
      <w:r>
        <w:t>-</w:t>
      </w:r>
      <w:r w:rsidR="00A26088">
        <w:tab/>
      </w:r>
      <w:r>
        <w:t>elementy fizykochemiczne (brak oddziaływań).</w:t>
      </w:r>
    </w:p>
    <w:p w14:paraId="30A5EE99" w14:textId="77777777" w:rsidR="00BA0236" w:rsidRDefault="00BA0236" w:rsidP="00E8074C">
      <w:pPr>
        <w:pStyle w:val="ReportLevel4"/>
        <w:numPr>
          <w:ilvl w:val="3"/>
          <w:numId w:val="44"/>
        </w:numPr>
      </w:pPr>
      <w:r>
        <w:lastRenderedPageBreak/>
        <w:t>Obszar problemowy IOP_12 – Łeba od Mielnickiego Kanału do Chełstu</w:t>
      </w:r>
    </w:p>
    <w:p w14:paraId="68BF285D" w14:textId="77777777" w:rsidR="00BA0236" w:rsidRDefault="00BA0236" w:rsidP="008D7CA9">
      <w:pPr>
        <w:numPr>
          <w:ilvl w:val="0"/>
          <w:numId w:val="50"/>
        </w:numPr>
        <w:tabs>
          <w:tab w:val="clear" w:pos="840"/>
          <w:tab w:val="num" w:pos="567"/>
        </w:tabs>
        <w:ind w:left="567" w:hanging="425"/>
        <w:rPr>
          <w:b/>
        </w:rPr>
      </w:pPr>
      <w:r>
        <w:rPr>
          <w:b/>
        </w:rPr>
        <w:t>Wariant 1, Zadanie W_AR_04</w:t>
      </w:r>
    </w:p>
    <w:p w14:paraId="087C6E40" w14:textId="77777777" w:rsidR="00BA0236" w:rsidRDefault="00BA0236" w:rsidP="00347E16">
      <w:pPr>
        <w:pStyle w:val="ReportText"/>
        <w:spacing w:before="120" w:after="120"/>
      </w:pPr>
      <w:r>
        <w:t>Inwestycja zaplanowana jest w miejscowości Łeba, w obrębie JCWP Łeba od jez. Łebsko z Chełstem od jez. Sarbsko RW20001447699, wyznaczonej jako silnie zmieniona część wód, o złym stanie zagrożonej nieosiągnięciem celów środowiskowych. Celem środowiskowym złagodzonym dla JCWP jest umiarkowany potencjał ekologiczny (złagodzone wskaźniki: przewodność elektrolityczna właściwa w 20°C&gt;2; MMI 3, pozostałe wskaźniki - II klasa jakości); zapewnienie drożności cieku dla migracji ichtiofauny na cieku głównym, dobry stan chemiczny, spełnienie celu wskazanego w rejestrze wykazu obszarów chronionych do ochrony siedlisk i gatunków dla obszarów przypisanych JCWP.  Ze względu na lokalizację działania mogą mieć wpływ potencjalny na JCWP Polskie wody przybrzeżne Basenu Gotlandzkiego CW20001WB2.</w:t>
      </w:r>
    </w:p>
    <w:p w14:paraId="289E4765" w14:textId="77777777" w:rsidR="00BA0236" w:rsidRDefault="00BA0236" w:rsidP="00347E16">
      <w:pPr>
        <w:pStyle w:val="ReportText"/>
        <w:spacing w:before="120" w:after="120"/>
      </w:pPr>
      <w:r>
        <w:t>Celem działań jest ochrona przeciwpowodziowa miejscowości Łeba przy pomocy systemu mobilnych przegród przeciwpowodziowych wzdłuż ulicy Turystycznej,</w:t>
      </w:r>
      <w:r>
        <w:br/>
        <w:t>o długości ok. 440 m wraz z rozwojem lokalnego systemu ostrzegania przed powodziami i prognozowania zagrożeń na terenie gminy Łeba, pow. lęborski. Ze względu na lokalizację prac oraz zakres działań nie przewiduje się oddziaływań mających negatywny wpływ na wskaźniki oceny stanu wód i cele środowiskowe JCWP Łeba od jez. Łebsko</w:t>
      </w:r>
      <w:r>
        <w:br/>
        <w:t>z Chełstem od jez. Sarbsko RW20001447699 oraz JCWP Polskie wody przybrzeżne Basenu Gotlandzkiego CW20001WB2, w tym na:</w:t>
      </w:r>
    </w:p>
    <w:p w14:paraId="5B25C5BB" w14:textId="74777443" w:rsidR="00BA0236" w:rsidRDefault="00BA0236" w:rsidP="00A26088">
      <w:pPr>
        <w:pStyle w:val="ReportText"/>
        <w:spacing w:before="120" w:after="120"/>
        <w:ind w:left="567" w:hanging="425"/>
      </w:pPr>
      <w:r>
        <w:t>-</w:t>
      </w:r>
      <w:r w:rsidR="00A26088">
        <w:tab/>
      </w:r>
      <w:r>
        <w:t>elementy biologiczne (brak oddziaływań)</w:t>
      </w:r>
    </w:p>
    <w:p w14:paraId="531F812E" w14:textId="0D1F742C" w:rsidR="00BA0236" w:rsidRDefault="00BA0236" w:rsidP="00A26088">
      <w:pPr>
        <w:pStyle w:val="ReportText"/>
        <w:spacing w:before="120" w:after="120"/>
        <w:ind w:left="567" w:hanging="425"/>
      </w:pPr>
      <w:r>
        <w:t>-</w:t>
      </w:r>
      <w:r w:rsidR="00A26088">
        <w:tab/>
      </w:r>
      <w:r>
        <w:t>elementy hydromorfologiczne (brak oddziaływań),</w:t>
      </w:r>
    </w:p>
    <w:p w14:paraId="7AABB147" w14:textId="0AB885DE" w:rsidR="00BA0236" w:rsidRDefault="00BA0236" w:rsidP="00A26088">
      <w:pPr>
        <w:pStyle w:val="ReportText"/>
        <w:spacing w:before="120" w:after="120"/>
        <w:ind w:left="567" w:hanging="425"/>
      </w:pPr>
      <w:r>
        <w:t>-</w:t>
      </w:r>
      <w:r w:rsidR="00A26088">
        <w:tab/>
      </w:r>
      <w:r>
        <w:t>elementy fizykochemiczne (brak oddziaływań).</w:t>
      </w:r>
    </w:p>
    <w:p w14:paraId="27BCDC64" w14:textId="77777777" w:rsidR="00BA0236" w:rsidRDefault="00BA0236" w:rsidP="00E8074C">
      <w:pPr>
        <w:pStyle w:val="ReportLevel4"/>
        <w:numPr>
          <w:ilvl w:val="3"/>
          <w:numId w:val="44"/>
        </w:numPr>
      </w:pPr>
      <w:r>
        <w:t>Obszar problemowy IOP MR_1 – Żuławy Wiślane</w:t>
      </w:r>
    </w:p>
    <w:p w14:paraId="135FBBE0" w14:textId="77777777" w:rsidR="00BA0236" w:rsidRDefault="00BA0236" w:rsidP="008D7CA9">
      <w:pPr>
        <w:numPr>
          <w:ilvl w:val="0"/>
          <w:numId w:val="50"/>
        </w:numPr>
        <w:tabs>
          <w:tab w:val="clear" w:pos="840"/>
          <w:tab w:val="num" w:pos="567"/>
        </w:tabs>
        <w:ind w:left="567" w:hanging="425"/>
        <w:rPr>
          <w:b/>
        </w:rPr>
      </w:pPr>
      <w:r>
        <w:rPr>
          <w:b/>
        </w:rPr>
        <w:t>Wariant 2, Zadania: W_DW_22, W_DW_23</w:t>
      </w:r>
    </w:p>
    <w:p w14:paraId="5AB74828" w14:textId="77777777" w:rsidR="00BA0236" w:rsidRDefault="00BA0236" w:rsidP="00347E16">
      <w:pPr>
        <w:pStyle w:val="ReportText"/>
        <w:spacing w:before="120" w:after="120"/>
      </w:pPr>
      <w:r>
        <w:t>Inwestycja zaplanowana jest w miejscowości Elbląg, w obrębie JCWP Elbląg od Młynówki do ujścia RW2000165499, wyznaczonej jako silnie zmieniona część wód, o złym stanie zagrożonej nieosiągnięciem celów środowiskowych. Celem środowiskowym złagodzonym dla JCWP jest dobry potencjał ekologiczny; zapewnienie drożności cieku dla migracji ichtiofauny na cieku głównym, stan chemiczny, dla złagodzonych wskaźników: benzo(a)piren(w) - poniżej stanu dobrego, dla pozostałych wskaźników - stan dobry, Spełnienie celu wskazanego w rejestrze wykazu obszarów chronionych do ochrony siedlisk i gatunków dla obszarów przypisanych JCWP. Ze względu na lokalizację zadania, działania mogą mieć potencjalny wpływ na JCWP Zalew Wiślany TW20001WB1.</w:t>
      </w:r>
    </w:p>
    <w:p w14:paraId="445800D2" w14:textId="77777777" w:rsidR="00BA0236" w:rsidRDefault="00BA0236" w:rsidP="00347E16">
      <w:pPr>
        <w:pStyle w:val="ReportText"/>
        <w:spacing w:before="120" w:after="120"/>
      </w:pPr>
      <w:r>
        <w:t>Celem działań jest ochrona przeciwpowodziowa miejscowości Elbląg przy pomocy przebudowy zabezpieczenia przeciwpowodziowego lewego brzegu rzeki Elbląg od ujścia rzeki Fiszewki do Kanału Jagiellońskiego w granicach miasta Elbląg - na odcinkach od Kanału Jagiellońskiego do Wyspy Spichrzów oraz odcinek od Wyspy Spichrzów do ujścia rzeki Fiszewki oraz przebudowy zabezpieczenia przeciwpowodziowego lewego brzegu rzeki Elbląg - Wyspa Spichrzów w Elblągu.</w:t>
      </w:r>
    </w:p>
    <w:p w14:paraId="7F244D67" w14:textId="77777777" w:rsidR="00BA0236" w:rsidRDefault="00BA0236" w:rsidP="00347E16">
      <w:pPr>
        <w:pStyle w:val="ReportText"/>
        <w:spacing w:before="120" w:after="120"/>
      </w:pPr>
      <w:r>
        <w:lastRenderedPageBreak/>
        <w:t>Ze względu na lokalizację prac wzdłuż brzegu cieków oraz zakres działań przewiduje się negatywny wpływ na wskaźniki fizykochemiczne oceny stanu wód na etapie realizacji prac ziemnych i budowlanych, oraz wpływ na pogorszenie warunków hydromorfologicznych w strefie brzegów i dna. Wpływ na stan wód i cele środowiskowe JCWP Elbląg od Młynówki do ujścia RW2000165499 oraz JCWP Zalew Wiślany TW20001WB1, w tym na:</w:t>
      </w:r>
    </w:p>
    <w:p w14:paraId="2EBA75CF" w14:textId="7E056801" w:rsidR="00BA0236" w:rsidRDefault="00BA0236" w:rsidP="00A26088">
      <w:pPr>
        <w:pStyle w:val="ReportText"/>
        <w:spacing w:before="120" w:after="120"/>
        <w:ind w:left="567" w:hanging="425"/>
        <w:rPr>
          <w:szCs w:val="24"/>
        </w:rPr>
      </w:pPr>
      <w:r>
        <w:t>-</w:t>
      </w:r>
      <w:r w:rsidR="00A26088">
        <w:tab/>
      </w:r>
      <w:r>
        <w:rPr>
          <w:szCs w:val="24"/>
        </w:rPr>
        <w:t>elementy biologiczne (</w:t>
      </w:r>
      <w:r>
        <w:rPr>
          <w:bCs/>
          <w:szCs w:val="24"/>
        </w:rPr>
        <w:t>wpływ na pogorszenie warunków siedliskowych w obrębie dna i brzegów UN</w:t>
      </w:r>
      <w:r>
        <w:rPr>
          <w:szCs w:val="24"/>
        </w:rPr>
        <w:t>)</w:t>
      </w:r>
    </w:p>
    <w:p w14:paraId="424656BF" w14:textId="6857FC15" w:rsidR="00BA0236" w:rsidRDefault="00BA0236" w:rsidP="00A26088">
      <w:pPr>
        <w:pStyle w:val="ReportText"/>
        <w:spacing w:before="120" w:after="120"/>
        <w:ind w:left="567" w:hanging="425"/>
        <w:rPr>
          <w:szCs w:val="24"/>
        </w:rPr>
      </w:pPr>
      <w:r>
        <w:rPr>
          <w:szCs w:val="24"/>
        </w:rPr>
        <w:t>-</w:t>
      </w:r>
      <w:r w:rsidR="00A26088">
        <w:rPr>
          <w:szCs w:val="24"/>
        </w:rPr>
        <w:tab/>
      </w:r>
      <w:r>
        <w:rPr>
          <w:szCs w:val="24"/>
        </w:rPr>
        <w:t>elementy hydromorfologiczne (UN/PZ, trwałe pogorszenie wskaźników hydromorfologicznych, HIR),</w:t>
      </w:r>
    </w:p>
    <w:p w14:paraId="1F7AC158" w14:textId="126E997C" w:rsidR="00BA0236" w:rsidRDefault="00BA0236" w:rsidP="00A26088">
      <w:pPr>
        <w:pStyle w:val="ReportText"/>
        <w:spacing w:before="120" w:after="120"/>
        <w:ind w:left="567" w:hanging="425"/>
        <w:rPr>
          <w:szCs w:val="24"/>
        </w:rPr>
      </w:pPr>
      <w:r>
        <w:rPr>
          <w:szCs w:val="24"/>
        </w:rPr>
        <w:t>-</w:t>
      </w:r>
      <w:r w:rsidR="00A26088">
        <w:rPr>
          <w:szCs w:val="24"/>
        </w:rPr>
        <w:tab/>
      </w:r>
      <w:r>
        <w:rPr>
          <w:szCs w:val="24"/>
        </w:rPr>
        <w:t>elementy fizykochemiczne (na etapie budowy, awarii, na etapie eksploatacji: brak oddziaływań).</w:t>
      </w:r>
    </w:p>
    <w:p w14:paraId="43580C49" w14:textId="77777777" w:rsidR="00BA0236" w:rsidRDefault="00BA0236" w:rsidP="00E8074C">
      <w:pPr>
        <w:pStyle w:val="ReportLevel4"/>
        <w:numPr>
          <w:ilvl w:val="3"/>
          <w:numId w:val="44"/>
        </w:numPr>
      </w:pPr>
      <w:r>
        <w:t>Obszar problemowy IOP MR_2 – Mechelinki, Rewa, Mosty, Połchowo - ujście Redy</w:t>
      </w:r>
    </w:p>
    <w:p w14:paraId="23DC12A8" w14:textId="77777777" w:rsidR="00BA0236" w:rsidRDefault="00BA0236" w:rsidP="008D7CA9">
      <w:pPr>
        <w:numPr>
          <w:ilvl w:val="0"/>
          <w:numId w:val="50"/>
        </w:numPr>
        <w:tabs>
          <w:tab w:val="clear" w:pos="840"/>
          <w:tab w:val="num" w:pos="567"/>
        </w:tabs>
        <w:ind w:left="567" w:hanging="425"/>
        <w:rPr>
          <w:b/>
        </w:rPr>
      </w:pPr>
      <w:r>
        <w:rPr>
          <w:b/>
        </w:rPr>
        <w:t xml:space="preserve">Wariant </w:t>
      </w:r>
      <w:r>
        <w:rPr>
          <w:b/>
          <w:bCs/>
        </w:rPr>
        <w:t xml:space="preserve">1, </w:t>
      </w:r>
      <w:r>
        <w:rPr>
          <w:b/>
        </w:rPr>
        <w:t xml:space="preserve">Zadanie W_AR_90 </w:t>
      </w:r>
    </w:p>
    <w:p w14:paraId="4CC46B1B" w14:textId="4146890D" w:rsidR="00BA0236" w:rsidRDefault="00BA0236" w:rsidP="00347E16">
      <w:pPr>
        <w:pStyle w:val="ReportText"/>
        <w:spacing w:before="120" w:after="120"/>
      </w:pPr>
      <w:r>
        <w:t>Inwestycja zaplanowana jest w miejscowości Rewa, w JCWP Zalew Pucki TW20002WB4 oraz Zatoka Pucka Zewnętrzna TW20003WB5, JCWP wyznaczone jako naturalne części wód o złym stanie, zagrożone nieosiągnięciem celów środowiskowych. Cele środowiskowe na lata 202</w:t>
      </w:r>
      <w:r w:rsidR="00DC3CAB">
        <w:t>2</w:t>
      </w:r>
      <w:r>
        <w:t>-2027 dla tych cwp to dobry stan ekologiczny, dobry stan chemiczny. Inwestycja może pośrednio wpłynąć na stan i cele środowiskowe JCWP Reda od Dopływu z polderu Rekowo do ujścia RW20001447899 wyznaczonej jako naturalna część wód o złym stanie, zagrożona, dla której wskazano jako cele środowiskowe: dobry stan ekologiczny; zapewnienie drożności cieku dla migracji ichtiofauny na cieku głównym, stan chemiczny, dla złagodzonych wskaźników: benzo(a)piren(w), - poniżej stanu dobrego, dla pozostałych wskaźników - stan dobry. Celem działań jest ochrona przeciwpowodziowa na terenie gminy Kosakowo i Puck, poprzez budowę nabrzeża</w:t>
      </w:r>
      <w:r>
        <w:br/>
        <w:t xml:space="preserve">w miejscowości Rewa wraz z mobilnymi przegrodami przeciwpowodziowymi oraz podwyższenie fragmentu istniejącego muru oporowego, rozwój lokalnego systemu ostrzegania przed powodziami i prognozowania zagrożeń na terenie gmin Kosakowo i Puck pow. pucki. W ramach działania zaplanowano budowę wały przeciwsztormowego, nabrzeża, podniesienie murku oporowego. Ze względu na zakres zaplanowanych prac możliwy jest negatywny wpływ na warunki hydromorfologiczne brzegu morskiego na odcinku budowy nabrzeża, w tym zahamowanie lub zmiana procesów eolicznych na odcinku objętym oddziaływaniem, degradacja siedlisk w strefie brzegu. Budowa wału przeciwsztormowego będzie miała negatywny wpływ na siedliska zależne od wód morskich, w tym solniska w strefie ujściowej rzeki Redy. Ograniczenie zasięgu wód morskich może mieć potencjalny negatywny wpływ na stan siedlisk w ujściowym odcinku JCWP Reda od Dopływu z polderu Rekowo do ujścia RW20001447899, tym samym wpływ na cele środowiskowe gatunków i obszarów chronionych. </w:t>
      </w:r>
    </w:p>
    <w:p w14:paraId="264DCDDE" w14:textId="77777777" w:rsidR="00BA0236" w:rsidRDefault="00BA0236" w:rsidP="00347E16">
      <w:pPr>
        <w:pStyle w:val="ReportText"/>
        <w:spacing w:before="120" w:after="120"/>
      </w:pPr>
      <w:r>
        <w:t xml:space="preserve">Ze względu na lokalizację prac oraz zakres działań nie przewiduje się znaczącego negatywnego wpływ na wskaźniki oceny stanu wód i cele środowiskowe JCWP Zalew Pucki TW20002WB4 oraz Zatoka Pucka Zewnętrzna TW20003WB5, w tym: </w:t>
      </w:r>
    </w:p>
    <w:p w14:paraId="11DF7613" w14:textId="25B2BD08" w:rsidR="00BA0236" w:rsidRDefault="00BA0236" w:rsidP="00A26088">
      <w:pPr>
        <w:pStyle w:val="ReportText"/>
        <w:spacing w:before="120" w:after="120"/>
        <w:ind w:left="567" w:hanging="425"/>
      </w:pPr>
      <w:r>
        <w:t>-</w:t>
      </w:r>
      <w:r w:rsidR="00A26088">
        <w:tab/>
      </w:r>
      <w:r>
        <w:t>elementy biologiczne (brak oddziaływań)</w:t>
      </w:r>
    </w:p>
    <w:p w14:paraId="44C161C3" w14:textId="12F75F96" w:rsidR="00BA0236" w:rsidRDefault="00BA0236" w:rsidP="00A26088">
      <w:pPr>
        <w:pStyle w:val="ReportText"/>
        <w:spacing w:before="120" w:after="120"/>
        <w:ind w:left="567" w:hanging="425"/>
      </w:pPr>
      <w:r>
        <w:lastRenderedPageBreak/>
        <w:t>-</w:t>
      </w:r>
      <w:r w:rsidR="00A26088">
        <w:tab/>
      </w:r>
      <w:r>
        <w:t>elementy hydromorfologiczne (UN/PZ, trwałe pogorszenie warunków hydromorfologicznych brzegu morskiego na odcinku objętym działaniem, zabudowa brzegu morskiego, zmniejszenie zasięgu zalewu wód morskich),</w:t>
      </w:r>
    </w:p>
    <w:p w14:paraId="49D04BC8" w14:textId="371AA953" w:rsidR="00BA0236" w:rsidRDefault="00BA0236" w:rsidP="00A26088">
      <w:pPr>
        <w:pStyle w:val="ReportText"/>
        <w:spacing w:before="120" w:after="120"/>
        <w:ind w:left="567" w:hanging="425"/>
      </w:pPr>
      <w:r>
        <w:t>-</w:t>
      </w:r>
      <w:r w:rsidR="00A26088">
        <w:tab/>
      </w:r>
      <w:r>
        <w:t>elementy fizykochemiczne (brak).</w:t>
      </w:r>
    </w:p>
    <w:p w14:paraId="56F81E9B" w14:textId="77777777" w:rsidR="00BA0236" w:rsidRDefault="00BA0236" w:rsidP="00E8074C">
      <w:pPr>
        <w:pStyle w:val="ReportLevel3"/>
        <w:numPr>
          <w:ilvl w:val="2"/>
          <w:numId w:val="44"/>
        </w:numPr>
        <w:rPr>
          <w:rFonts w:cs="Calibri"/>
        </w:rPr>
      </w:pPr>
      <w:r>
        <w:rPr>
          <w:rFonts w:cs="Calibri"/>
          <w:bCs/>
        </w:rPr>
        <w:t>Identyfikacja</w:t>
      </w:r>
      <w:r>
        <w:rPr>
          <w:rFonts w:cs="Calibri"/>
        </w:rPr>
        <w:t xml:space="preserve"> czynników oddziaływania inwestycji i działań na przedmioty i cele ochrony obszarowych form ochrony przyrody (parki narodowe, parki krajobrazowe, rezerwaty przyrody, obszary Natura 2000)</w:t>
      </w:r>
    </w:p>
    <w:p w14:paraId="07BB102E" w14:textId="77777777" w:rsidR="00BA0236" w:rsidRDefault="00BA0236" w:rsidP="00347E16">
      <w:pPr>
        <w:pStyle w:val="ReportText"/>
        <w:spacing w:before="120" w:after="120"/>
      </w:pPr>
      <w:r>
        <w:t>Ze względu na lokalizację oraz potencjalne oddziaływania, związane z realizacją wariantów, w tym:</w:t>
      </w:r>
    </w:p>
    <w:p w14:paraId="109D2F20" w14:textId="77777777" w:rsidR="008D7CA9" w:rsidRDefault="00BA0236" w:rsidP="00924BB5">
      <w:pPr>
        <w:pStyle w:val="ReportText"/>
        <w:numPr>
          <w:ilvl w:val="0"/>
          <w:numId w:val="80"/>
        </w:numPr>
        <w:spacing w:before="120" w:after="120"/>
        <w:ind w:left="567" w:hanging="425"/>
      </w:pPr>
      <w:r>
        <w:t xml:space="preserve">ograniczenie zasięgu zalewu wód morskich, </w:t>
      </w:r>
    </w:p>
    <w:p w14:paraId="35E22CC6" w14:textId="77777777" w:rsidR="008D7CA9" w:rsidRDefault="00BA0236" w:rsidP="00924BB5">
      <w:pPr>
        <w:pStyle w:val="ReportText"/>
        <w:numPr>
          <w:ilvl w:val="0"/>
          <w:numId w:val="80"/>
        </w:numPr>
        <w:spacing w:before="120" w:after="120"/>
        <w:ind w:left="567" w:hanging="425"/>
      </w:pPr>
      <w:r>
        <w:t>przekształcenie naturalnej struktury brzegu morskiego,</w:t>
      </w:r>
    </w:p>
    <w:p w14:paraId="4DA89C14" w14:textId="77777777" w:rsidR="008D7CA9" w:rsidRDefault="00BA0236" w:rsidP="00924BB5">
      <w:pPr>
        <w:pStyle w:val="ReportText"/>
        <w:numPr>
          <w:ilvl w:val="0"/>
          <w:numId w:val="80"/>
        </w:numPr>
        <w:spacing w:before="120" w:after="120"/>
        <w:ind w:left="567" w:hanging="425"/>
      </w:pPr>
      <w:r>
        <w:t>przekształcenie warunków hydromorfologicznych koryta i strefy brzegowej,</w:t>
      </w:r>
    </w:p>
    <w:p w14:paraId="213B550C" w14:textId="77777777" w:rsidR="008D7CA9" w:rsidRDefault="00BA0236" w:rsidP="00924BB5">
      <w:pPr>
        <w:pStyle w:val="ReportText"/>
        <w:numPr>
          <w:ilvl w:val="0"/>
          <w:numId w:val="80"/>
        </w:numPr>
        <w:spacing w:before="120" w:after="120"/>
        <w:ind w:left="567" w:hanging="425"/>
      </w:pPr>
      <w:r>
        <w:t>ograniczenie zalewu wód powierzchniowych w strefie doliny,</w:t>
      </w:r>
    </w:p>
    <w:p w14:paraId="25CA5827" w14:textId="77777777" w:rsidR="008D7CA9" w:rsidRDefault="00BA0236" w:rsidP="00924BB5">
      <w:pPr>
        <w:pStyle w:val="ReportText"/>
        <w:numPr>
          <w:ilvl w:val="0"/>
          <w:numId w:val="80"/>
        </w:numPr>
        <w:spacing w:before="120" w:after="120"/>
        <w:ind w:left="567" w:hanging="425"/>
      </w:pPr>
      <w:r>
        <w:t>zahamowanie procesów brzegowych,</w:t>
      </w:r>
    </w:p>
    <w:p w14:paraId="2D3081FB" w14:textId="77777777" w:rsidR="008D7CA9" w:rsidRDefault="00BA0236" w:rsidP="00924BB5">
      <w:pPr>
        <w:pStyle w:val="ReportText"/>
        <w:numPr>
          <w:ilvl w:val="0"/>
          <w:numId w:val="80"/>
        </w:numPr>
        <w:spacing w:before="120" w:after="120"/>
        <w:ind w:left="567" w:hanging="425"/>
      </w:pPr>
      <w:r>
        <w:t>zmiana stosunków wodnych gleb,</w:t>
      </w:r>
    </w:p>
    <w:p w14:paraId="5759FBDE" w14:textId="77777777" w:rsidR="008D7CA9" w:rsidRDefault="00BA0236" w:rsidP="00924BB5">
      <w:pPr>
        <w:pStyle w:val="ReportText"/>
        <w:numPr>
          <w:ilvl w:val="0"/>
          <w:numId w:val="80"/>
        </w:numPr>
        <w:spacing w:before="120" w:after="120"/>
        <w:ind w:left="567" w:hanging="425"/>
      </w:pPr>
      <w:r>
        <w:t>degradację siedlisk, w tym wydm, solnisk</w:t>
      </w:r>
    </w:p>
    <w:p w14:paraId="26D9BDA0" w14:textId="05BA4E49" w:rsidR="00BA0236" w:rsidRDefault="00BA0236" w:rsidP="00924BB5">
      <w:pPr>
        <w:pStyle w:val="ReportText"/>
        <w:numPr>
          <w:ilvl w:val="0"/>
          <w:numId w:val="80"/>
        </w:numPr>
        <w:spacing w:before="120" w:after="120"/>
        <w:ind w:left="567" w:hanging="425"/>
      </w:pPr>
      <w:r>
        <w:t>emisja hałasu i spalin podczas prac ziemnych,</w:t>
      </w:r>
    </w:p>
    <w:p w14:paraId="0A4C62D1" w14:textId="77777777" w:rsidR="00BA0236" w:rsidRDefault="00BA0236" w:rsidP="00347E16">
      <w:pPr>
        <w:pStyle w:val="ReportText"/>
        <w:spacing w:before="120" w:after="120"/>
        <w:rPr>
          <w:szCs w:val="24"/>
        </w:rPr>
      </w:pPr>
      <w:r>
        <w:rPr>
          <w:szCs w:val="24"/>
        </w:rPr>
        <w:t>realizacja działań wiąże się z potencjalnym negatywnym wpływem na przedmioty i cele ochrony obszarowych form ochrony przyrody, dotyczy to w szczególności:</w:t>
      </w:r>
    </w:p>
    <w:p w14:paraId="2F77AE8A" w14:textId="77777777" w:rsidR="00BA0236" w:rsidRDefault="00BA0236" w:rsidP="008D7CA9">
      <w:pPr>
        <w:pStyle w:val="ListParagraph2"/>
        <w:numPr>
          <w:ilvl w:val="0"/>
          <w:numId w:val="50"/>
        </w:numPr>
        <w:tabs>
          <w:tab w:val="clear" w:pos="840"/>
          <w:tab w:val="num" w:pos="567"/>
          <w:tab w:val="left" w:pos="2250"/>
        </w:tabs>
        <w:spacing w:before="120" w:after="120" w:line="240" w:lineRule="auto"/>
        <w:ind w:left="567" w:hanging="425"/>
        <w:jc w:val="both"/>
        <w:rPr>
          <w:rFonts w:ascii="Times New Roman" w:hAnsi="Times New Roman"/>
          <w:sz w:val="24"/>
          <w:szCs w:val="24"/>
        </w:rPr>
      </w:pPr>
      <w:r>
        <w:rPr>
          <w:rFonts w:ascii="Times New Roman" w:hAnsi="Times New Roman"/>
          <w:sz w:val="24"/>
          <w:szCs w:val="24"/>
          <w:lang w:eastAsia="pl-PL"/>
        </w:rPr>
        <w:t xml:space="preserve">obszar problemowy MR_2 –Mechelinki, Rewa, Mosty, Połchowo - ujście Redy, możliwy negatywny potencjalny wpływ na przedmioty ochrony </w:t>
      </w:r>
      <w:r>
        <w:rPr>
          <w:rFonts w:ascii="Times New Roman" w:hAnsi="Times New Roman"/>
          <w:sz w:val="24"/>
          <w:szCs w:val="24"/>
        </w:rPr>
        <w:t xml:space="preserve">Rezerwatu przyrody Beka w obrębie </w:t>
      </w:r>
      <w:r>
        <w:rPr>
          <w:rFonts w:ascii="Times New Roman" w:hAnsi="Times New Roman"/>
          <w:bCs/>
          <w:sz w:val="24"/>
          <w:szCs w:val="24"/>
        </w:rPr>
        <w:t>JCWP</w:t>
      </w:r>
      <w:r>
        <w:rPr>
          <w:rFonts w:ascii="Times New Roman" w:hAnsi="Times New Roman"/>
          <w:sz w:val="24"/>
          <w:szCs w:val="24"/>
        </w:rPr>
        <w:t xml:space="preserve"> Reda od Dopływu z polderu Rekowo do ujścia RW20001447899, oraz przedmioty ochrony i cele środowiskowe: Nadmorskiego Parku Krajobrazowego, Obszarów Natura 2000: Zatoka Pucka oraz Natura 2000 Zatoka Pucka i Półwysep Helski.  </w:t>
      </w:r>
    </w:p>
    <w:p w14:paraId="1D6FA9F8" w14:textId="77777777" w:rsidR="00BA0236" w:rsidRPr="00B32914" w:rsidRDefault="00BA0236" w:rsidP="008D7CA9">
      <w:pPr>
        <w:pStyle w:val="ListParagraph2"/>
        <w:numPr>
          <w:ilvl w:val="0"/>
          <w:numId w:val="50"/>
        </w:numPr>
        <w:tabs>
          <w:tab w:val="clear" w:pos="840"/>
          <w:tab w:val="num" w:pos="567"/>
          <w:tab w:val="left" w:pos="1767"/>
        </w:tabs>
        <w:spacing w:before="120" w:after="120" w:line="240" w:lineRule="auto"/>
        <w:ind w:left="567" w:right="374" w:hanging="425"/>
        <w:jc w:val="both"/>
        <w:rPr>
          <w:rFonts w:ascii="Times New Roman" w:hAnsi="Times New Roman"/>
          <w:sz w:val="20"/>
          <w:szCs w:val="20"/>
        </w:rPr>
      </w:pPr>
      <w:r>
        <w:rPr>
          <w:rFonts w:ascii="Times New Roman" w:hAnsi="Times New Roman"/>
          <w:sz w:val="24"/>
          <w:szCs w:val="24"/>
          <w:lang w:eastAsia="pl-PL"/>
        </w:rPr>
        <w:t xml:space="preserve">obszar problemowy IOP_2 – Mierzeja Helska – Jastarnia, Hel, możliwy potencjalny </w:t>
      </w:r>
      <w:r w:rsidRPr="00C23243">
        <w:rPr>
          <w:rFonts w:ascii="Times New Roman" w:hAnsi="Times New Roman"/>
          <w:sz w:val="24"/>
          <w:szCs w:val="24"/>
          <w:lang w:eastAsia="pl-PL"/>
        </w:rPr>
        <w:t xml:space="preserve">negatywny wpływ na przedmioty ochrony i </w:t>
      </w:r>
      <w:r w:rsidRPr="00C23243">
        <w:rPr>
          <w:rFonts w:ascii="Times New Roman" w:hAnsi="Times New Roman"/>
          <w:sz w:val="24"/>
          <w:szCs w:val="24"/>
        </w:rPr>
        <w:t>cele środowiskowe: Nadmorskiego Parku Krajobrazowego, Obszarów Natura 2000: Zatoka Pucka oraz Natura 2000 Zatoka Pucka i Półwysep Helski, Nadmorski Park Krajobrazowy</w:t>
      </w:r>
    </w:p>
    <w:p w14:paraId="5FD84DA8" w14:textId="06FE8353" w:rsidR="00BA0236" w:rsidRDefault="00BA0236" w:rsidP="008D7CA9">
      <w:pPr>
        <w:pStyle w:val="ListParagraph2"/>
        <w:numPr>
          <w:ilvl w:val="0"/>
          <w:numId w:val="50"/>
        </w:numPr>
        <w:tabs>
          <w:tab w:val="clear" w:pos="840"/>
          <w:tab w:val="num" w:pos="567"/>
          <w:tab w:val="left" w:pos="2250"/>
        </w:tabs>
        <w:spacing w:before="120" w:after="120" w:line="240" w:lineRule="auto"/>
        <w:ind w:left="567" w:hanging="425"/>
        <w:jc w:val="both"/>
        <w:rPr>
          <w:rFonts w:ascii="Times New Roman" w:hAnsi="Times New Roman"/>
          <w:sz w:val="24"/>
          <w:szCs w:val="24"/>
        </w:rPr>
      </w:pPr>
      <w:r>
        <w:rPr>
          <w:rFonts w:ascii="Times New Roman" w:hAnsi="Times New Roman"/>
          <w:sz w:val="24"/>
          <w:szCs w:val="24"/>
          <w:lang w:eastAsia="pl-PL"/>
        </w:rPr>
        <w:t xml:space="preserve">IOP_7 Ustka - ujście Słupi, możliwy potencjalny negatywny wpływ na przedmioty ochrony i </w:t>
      </w:r>
      <w:r>
        <w:rPr>
          <w:rFonts w:ascii="Times New Roman" w:hAnsi="Times New Roman"/>
          <w:sz w:val="24"/>
          <w:szCs w:val="24"/>
        </w:rPr>
        <w:t xml:space="preserve">cele środowiskowe Natura 2000 Dolina Słupi </w:t>
      </w:r>
      <w:hyperlink r:id="rId54" w:tgtFrame="_blank" w:history="1">
        <w:r>
          <w:rPr>
            <w:rStyle w:val="Hipercze"/>
            <w:rFonts w:eastAsia="MS Mincho"/>
            <w:sz w:val="24"/>
            <w:szCs w:val="24"/>
          </w:rPr>
          <w:t>PLH220052</w:t>
        </w:r>
      </w:hyperlink>
    </w:p>
    <w:p w14:paraId="08281993" w14:textId="5296C68B" w:rsidR="00BA0236" w:rsidRDefault="00BA0236" w:rsidP="008D7CA9">
      <w:pPr>
        <w:pStyle w:val="ListParagraph2"/>
        <w:numPr>
          <w:ilvl w:val="0"/>
          <w:numId w:val="50"/>
        </w:numPr>
        <w:tabs>
          <w:tab w:val="clear" w:pos="840"/>
          <w:tab w:val="num" w:pos="567"/>
          <w:tab w:val="left" w:pos="2250"/>
        </w:tabs>
        <w:spacing w:before="120" w:after="120" w:line="240" w:lineRule="auto"/>
        <w:ind w:left="567" w:hanging="425"/>
        <w:jc w:val="both"/>
        <w:rPr>
          <w:rFonts w:ascii="Times New Roman" w:hAnsi="Times New Roman"/>
          <w:bCs/>
          <w:sz w:val="24"/>
          <w:szCs w:val="24"/>
        </w:rPr>
      </w:pPr>
      <w:r>
        <w:rPr>
          <w:rFonts w:ascii="Times New Roman" w:hAnsi="Times New Roman"/>
          <w:sz w:val="24"/>
          <w:szCs w:val="24"/>
        </w:rPr>
        <w:t xml:space="preserve">Obszar problemowy IOP_8 – Dębki, </w:t>
      </w:r>
      <w:r>
        <w:rPr>
          <w:rFonts w:ascii="Times New Roman" w:hAnsi="Times New Roman"/>
          <w:sz w:val="24"/>
          <w:szCs w:val="24"/>
          <w:lang w:eastAsia="pl-PL"/>
        </w:rPr>
        <w:t xml:space="preserve">możliwy potencjalny negatywny wpływ na przedmioty ochrony i </w:t>
      </w:r>
      <w:r>
        <w:rPr>
          <w:rFonts w:ascii="Times New Roman" w:hAnsi="Times New Roman"/>
          <w:sz w:val="24"/>
          <w:szCs w:val="24"/>
        </w:rPr>
        <w:t xml:space="preserve">cele środowiskowe: Rezerwatu </w:t>
      </w:r>
      <w:r>
        <w:rPr>
          <w:rFonts w:ascii="Times New Roman" w:hAnsi="Times New Roman"/>
          <w:bCs/>
          <w:sz w:val="24"/>
          <w:szCs w:val="24"/>
        </w:rPr>
        <w:t>Piaśnickie Łąki (</w:t>
      </w:r>
      <w:hyperlink r:id="rId55" w:tgtFrame="_blank" w:history="1">
        <w:r>
          <w:rPr>
            <w:rStyle w:val="Hipercze"/>
            <w:rFonts w:eastAsia="MS Mincho"/>
            <w:sz w:val="24"/>
            <w:szCs w:val="24"/>
          </w:rPr>
          <w:t>PL.ZIPOP.1393.RP.142</w:t>
        </w:r>
      </w:hyperlink>
      <w:r>
        <w:rPr>
          <w:rFonts w:ascii="Times New Roman" w:hAnsi="Times New Roman"/>
          <w:sz w:val="24"/>
          <w:szCs w:val="24"/>
        </w:rPr>
        <w:t xml:space="preserve">), </w:t>
      </w:r>
      <w:r>
        <w:rPr>
          <w:rFonts w:ascii="Times New Roman" w:hAnsi="Times New Roman"/>
          <w:bCs/>
          <w:sz w:val="24"/>
          <w:szCs w:val="24"/>
        </w:rPr>
        <w:t xml:space="preserve">Nadmorskiego Parku Krajobrazowego  </w:t>
      </w:r>
      <w:hyperlink r:id="rId56" w:tgtFrame="_blank" w:history="1">
        <w:r>
          <w:rPr>
            <w:rStyle w:val="Hipercze"/>
            <w:sz w:val="24"/>
            <w:szCs w:val="24"/>
            <w:lang w:eastAsia="pl-PL"/>
          </w:rPr>
          <w:t>PL.ZIPOP.1393.PK.73</w:t>
        </w:r>
      </w:hyperlink>
    </w:p>
    <w:p w14:paraId="0569D354" w14:textId="5AF8470C" w:rsidR="00BA0236" w:rsidRDefault="00BA0236" w:rsidP="008D7CA9">
      <w:pPr>
        <w:pStyle w:val="ListParagraph2"/>
        <w:numPr>
          <w:ilvl w:val="0"/>
          <w:numId w:val="50"/>
        </w:numPr>
        <w:tabs>
          <w:tab w:val="clear" w:pos="840"/>
          <w:tab w:val="num" w:pos="567"/>
          <w:tab w:val="left" w:pos="2250"/>
        </w:tabs>
        <w:spacing w:before="120" w:after="120" w:line="240" w:lineRule="auto"/>
        <w:ind w:left="567" w:hanging="425"/>
        <w:jc w:val="both"/>
        <w:rPr>
          <w:rFonts w:ascii="Times New Roman" w:hAnsi="Times New Roman"/>
          <w:bCs/>
          <w:sz w:val="24"/>
          <w:szCs w:val="24"/>
          <w:lang w:eastAsia="pl-PL"/>
        </w:rPr>
      </w:pPr>
      <w:r>
        <w:rPr>
          <w:rFonts w:ascii="Times New Roman" w:hAnsi="Times New Roman"/>
          <w:bCs/>
          <w:sz w:val="24"/>
          <w:szCs w:val="24"/>
          <w:lang w:eastAsia="pl-PL"/>
        </w:rPr>
        <w:t xml:space="preserve">IOP_5_Krynica Morska: </w:t>
      </w:r>
      <w:r>
        <w:rPr>
          <w:rFonts w:ascii="Times New Roman" w:hAnsi="Times New Roman"/>
          <w:sz w:val="24"/>
          <w:szCs w:val="24"/>
          <w:lang w:eastAsia="pl-PL"/>
        </w:rPr>
        <w:t xml:space="preserve">możliwy potencjalny negatywny wpływ na przedmioty ochrony i </w:t>
      </w:r>
      <w:r>
        <w:rPr>
          <w:rFonts w:ascii="Times New Roman" w:hAnsi="Times New Roman"/>
          <w:sz w:val="24"/>
          <w:szCs w:val="24"/>
        </w:rPr>
        <w:t xml:space="preserve">cele środowiskowe </w:t>
      </w:r>
      <w:r>
        <w:rPr>
          <w:rFonts w:ascii="Times New Roman" w:hAnsi="Times New Roman"/>
          <w:bCs/>
          <w:sz w:val="24"/>
          <w:szCs w:val="24"/>
        </w:rPr>
        <w:t xml:space="preserve">Park Krajobrazowy Mierzeja Wiślana </w:t>
      </w:r>
      <w:hyperlink r:id="rId57" w:tgtFrame="_blank" w:history="1">
        <w:r>
          <w:rPr>
            <w:rStyle w:val="Hipercze"/>
            <w:rFonts w:eastAsia="MS Mincho"/>
            <w:sz w:val="24"/>
            <w:szCs w:val="24"/>
          </w:rPr>
          <w:t>PL.ZIPOP.1393.PK.39</w:t>
        </w:r>
      </w:hyperlink>
      <w:r>
        <w:rPr>
          <w:rFonts w:ascii="Times New Roman" w:hAnsi="Times New Roman"/>
          <w:sz w:val="24"/>
          <w:szCs w:val="24"/>
        </w:rPr>
        <w:t xml:space="preserve">, Natura 2000 </w:t>
      </w:r>
      <w:r>
        <w:rPr>
          <w:rFonts w:ascii="Times New Roman" w:hAnsi="Times New Roman"/>
          <w:bCs/>
          <w:sz w:val="24"/>
          <w:szCs w:val="24"/>
        </w:rPr>
        <w:t xml:space="preserve">Zalew Wiślany i Mierzeja Wiślana </w:t>
      </w:r>
      <w:hyperlink r:id="rId58" w:tgtFrame="_blank" w:history="1">
        <w:r>
          <w:rPr>
            <w:rStyle w:val="Hipercze"/>
            <w:sz w:val="24"/>
            <w:szCs w:val="24"/>
            <w:lang w:eastAsia="pl-PL"/>
          </w:rPr>
          <w:t>PLH280007</w:t>
        </w:r>
      </w:hyperlink>
    </w:p>
    <w:p w14:paraId="47DCF676" w14:textId="01CA84AF" w:rsidR="00BA0236" w:rsidRDefault="00BA0236" w:rsidP="008D7CA9">
      <w:pPr>
        <w:pStyle w:val="ListParagraph2"/>
        <w:numPr>
          <w:ilvl w:val="0"/>
          <w:numId w:val="50"/>
        </w:numPr>
        <w:tabs>
          <w:tab w:val="clear" w:pos="840"/>
          <w:tab w:val="num" w:pos="567"/>
          <w:tab w:val="left" w:pos="2250"/>
        </w:tabs>
        <w:spacing w:before="120" w:after="120" w:line="240" w:lineRule="auto"/>
        <w:ind w:left="567" w:hanging="425"/>
        <w:jc w:val="both"/>
        <w:rPr>
          <w:rFonts w:ascii="Times New Roman" w:hAnsi="Times New Roman"/>
          <w:bCs/>
          <w:sz w:val="24"/>
          <w:szCs w:val="24"/>
          <w:lang w:eastAsia="pl-PL"/>
        </w:rPr>
      </w:pPr>
      <w:r>
        <w:rPr>
          <w:rFonts w:ascii="Times New Roman" w:hAnsi="Times New Roman"/>
          <w:bCs/>
          <w:sz w:val="24"/>
          <w:szCs w:val="24"/>
          <w:lang w:eastAsia="pl-PL"/>
        </w:rPr>
        <w:t xml:space="preserve">IOP_12 Łeba: </w:t>
      </w:r>
      <w:r>
        <w:rPr>
          <w:rFonts w:ascii="Times New Roman" w:hAnsi="Times New Roman"/>
          <w:bCs/>
          <w:sz w:val="24"/>
          <w:szCs w:val="24"/>
        </w:rPr>
        <w:t xml:space="preserve">Słowiński Park Narodowy - otulina </w:t>
      </w:r>
      <w:hyperlink r:id="rId59" w:tgtFrame="_blank" w:history="1">
        <w:r>
          <w:rPr>
            <w:rStyle w:val="Hipercze"/>
            <w:rFonts w:eastAsia="MS Mincho"/>
            <w:sz w:val="24"/>
            <w:szCs w:val="24"/>
          </w:rPr>
          <w:t>PL.ZIPOP.1393.PN.24</w:t>
        </w:r>
      </w:hyperlink>
    </w:p>
    <w:p w14:paraId="02E7E882" w14:textId="77777777" w:rsidR="00BA0236" w:rsidRDefault="00BA0236" w:rsidP="00E8074C">
      <w:pPr>
        <w:pStyle w:val="ReportLevel3"/>
        <w:numPr>
          <w:ilvl w:val="2"/>
          <w:numId w:val="44"/>
        </w:numPr>
        <w:rPr>
          <w:rFonts w:cs="Calibri"/>
          <w:bCs/>
        </w:rPr>
      </w:pPr>
      <w:r>
        <w:rPr>
          <w:rFonts w:cs="Calibri"/>
          <w:bCs/>
        </w:rPr>
        <w:lastRenderedPageBreak/>
        <w:t>Ocena wpływu wariantów planowanych do realizacji na osiągnięcie celów środowiskowych ustalonych dla aJCWP</w:t>
      </w:r>
    </w:p>
    <w:p w14:paraId="15CF7C53" w14:textId="77777777" w:rsidR="00BA0236" w:rsidRPr="000426E1" w:rsidRDefault="00BA0236" w:rsidP="00347E16">
      <w:pPr>
        <w:pStyle w:val="ReportText"/>
        <w:spacing w:before="120" w:after="120"/>
        <w:rPr>
          <w:szCs w:val="24"/>
        </w:rPr>
      </w:pPr>
      <w:r w:rsidRPr="000426E1">
        <w:rPr>
          <w:szCs w:val="24"/>
        </w:rPr>
        <w:t>Ze względu na zakres planowanych działań wskazanych dla ocenianych wariantów, ich lokalizację oraz charakter potencjalnych oddziaływań przewiduje się wpływu na stan JCWP, elementy oceny stanu wód i cele środowiskowe:</w:t>
      </w:r>
    </w:p>
    <w:p w14:paraId="53E13F5D" w14:textId="77777777" w:rsidR="00BA0236" w:rsidRPr="000426E1" w:rsidRDefault="00BA0236" w:rsidP="008D7CA9">
      <w:pPr>
        <w:pStyle w:val="ReportText"/>
        <w:numPr>
          <w:ilvl w:val="0"/>
          <w:numId w:val="51"/>
        </w:numPr>
        <w:tabs>
          <w:tab w:val="clear" w:pos="720"/>
          <w:tab w:val="num" w:pos="567"/>
        </w:tabs>
        <w:spacing w:before="120" w:after="120"/>
        <w:ind w:left="567" w:hanging="425"/>
        <w:rPr>
          <w:b/>
          <w:bCs/>
          <w:szCs w:val="24"/>
          <w:lang w:eastAsia="pl-PL"/>
        </w:rPr>
      </w:pPr>
      <w:r w:rsidRPr="000426E1">
        <w:rPr>
          <w:b/>
          <w:bCs/>
          <w:szCs w:val="24"/>
          <w:lang w:eastAsia="pl-PL"/>
        </w:rPr>
        <w:t xml:space="preserve">obszar problemowy MR_1 Żuławy Wiślane: </w:t>
      </w:r>
      <w:r w:rsidRPr="000426E1">
        <w:rPr>
          <w:szCs w:val="24"/>
        </w:rPr>
        <w:t xml:space="preserve">Wariant II, ocena wpływu na cele środowiskowe JCWP: UN/PZ (umiarkowany/znaczący wpływ na cele środowiskowe, </w:t>
      </w:r>
      <w:r w:rsidRPr="000426E1">
        <w:rPr>
          <w:szCs w:val="24"/>
          <w:lang w:eastAsia="pl-PL"/>
        </w:rPr>
        <w:t>możliwy potencjalny negatywny wpływ na stan hydromorfologiczny JCWP, wpływ na elementy biologiczne UN)</w:t>
      </w:r>
    </w:p>
    <w:p w14:paraId="0348C102" w14:textId="77777777" w:rsidR="00BA0236" w:rsidRPr="000426E1" w:rsidRDefault="00BA0236" w:rsidP="008D7CA9">
      <w:pPr>
        <w:pStyle w:val="ListParagraph2"/>
        <w:numPr>
          <w:ilvl w:val="0"/>
          <w:numId w:val="50"/>
        </w:numPr>
        <w:tabs>
          <w:tab w:val="num" w:pos="567"/>
          <w:tab w:val="left" w:pos="2250"/>
        </w:tabs>
        <w:spacing w:before="120" w:after="120" w:line="240" w:lineRule="auto"/>
        <w:ind w:left="567" w:hanging="425"/>
        <w:jc w:val="both"/>
        <w:rPr>
          <w:rFonts w:ascii="Times New Roman" w:hAnsi="Times New Roman"/>
          <w:b/>
          <w:bCs/>
          <w:sz w:val="24"/>
          <w:szCs w:val="24"/>
          <w:lang w:eastAsia="pl-PL"/>
        </w:rPr>
      </w:pPr>
      <w:r w:rsidRPr="000426E1">
        <w:rPr>
          <w:rFonts w:ascii="Times New Roman" w:hAnsi="Times New Roman"/>
          <w:b/>
          <w:bCs/>
          <w:sz w:val="24"/>
          <w:szCs w:val="24"/>
          <w:lang w:eastAsia="pl-PL"/>
        </w:rPr>
        <w:t xml:space="preserve">obszar problemowy MR_2 Ujście Redy: </w:t>
      </w:r>
      <w:r w:rsidRPr="000426E1">
        <w:rPr>
          <w:rFonts w:ascii="Times New Roman" w:hAnsi="Times New Roman"/>
          <w:sz w:val="24"/>
          <w:szCs w:val="24"/>
        </w:rPr>
        <w:t xml:space="preserve">Wariant I, ocena wpływu na cele środowiskowe JCWP: UN/PZ (umiarkowany/znaczący wpływ na cele środowiskowe, </w:t>
      </w:r>
      <w:r w:rsidRPr="000426E1">
        <w:rPr>
          <w:rFonts w:ascii="Times New Roman" w:hAnsi="Times New Roman"/>
          <w:sz w:val="24"/>
          <w:szCs w:val="24"/>
          <w:lang w:eastAsia="pl-PL"/>
        </w:rPr>
        <w:t xml:space="preserve">możliwy potencjalny negatywny wpływ na stan hydromorfologiczny JCWP) oraz możliwy negatywny potencjalny wpływ na przedmioty ochrony </w:t>
      </w:r>
      <w:r w:rsidRPr="000426E1">
        <w:rPr>
          <w:rFonts w:ascii="Times New Roman" w:hAnsi="Times New Roman"/>
          <w:sz w:val="24"/>
          <w:szCs w:val="24"/>
        </w:rPr>
        <w:t>Rezerwatu przyrody Beka oraz przedmioty ochrony i cele środowiskowe: Nadmorskiego Parku Krajobrazowego, Obszarów Natura 2000: Zatoka Pucka oraz Natura 2000 Zatoka Pucka i Półwysep Helski.</w:t>
      </w:r>
    </w:p>
    <w:p w14:paraId="1921249F" w14:textId="77777777" w:rsidR="00BA0236" w:rsidRPr="000426E1" w:rsidRDefault="00BA0236" w:rsidP="008D7CA9">
      <w:pPr>
        <w:pStyle w:val="ListParagraph2"/>
        <w:numPr>
          <w:ilvl w:val="0"/>
          <w:numId w:val="50"/>
        </w:numPr>
        <w:tabs>
          <w:tab w:val="num" w:pos="567"/>
          <w:tab w:val="left" w:pos="2250"/>
        </w:tabs>
        <w:spacing w:before="120" w:after="120" w:line="240" w:lineRule="auto"/>
        <w:ind w:left="567" w:hanging="425"/>
        <w:jc w:val="both"/>
        <w:rPr>
          <w:rFonts w:ascii="Times New Roman" w:hAnsi="Times New Roman"/>
          <w:b/>
          <w:bCs/>
          <w:sz w:val="24"/>
          <w:szCs w:val="24"/>
          <w:lang w:eastAsia="pl-PL"/>
        </w:rPr>
      </w:pPr>
      <w:r w:rsidRPr="000426E1">
        <w:rPr>
          <w:rFonts w:ascii="Times New Roman" w:hAnsi="Times New Roman"/>
          <w:b/>
          <w:bCs/>
          <w:sz w:val="24"/>
          <w:szCs w:val="24"/>
          <w:lang w:eastAsia="pl-PL"/>
        </w:rPr>
        <w:t xml:space="preserve">IOP_1 Miasto Gdańsk: </w:t>
      </w:r>
      <w:r w:rsidRPr="000426E1">
        <w:rPr>
          <w:rFonts w:ascii="Times New Roman" w:hAnsi="Times New Roman"/>
          <w:sz w:val="24"/>
          <w:szCs w:val="24"/>
        </w:rPr>
        <w:t>Wariant I, ocena wpływu na cele środowiskowe JCWP: B (brak wpływu, opcja korzystna środowiskowo)</w:t>
      </w:r>
    </w:p>
    <w:p w14:paraId="2786B8C3" w14:textId="77777777" w:rsidR="00BA0236" w:rsidRPr="00B32914" w:rsidRDefault="00BA0236" w:rsidP="008D7CA9">
      <w:pPr>
        <w:pStyle w:val="ListParagraph2"/>
        <w:numPr>
          <w:ilvl w:val="0"/>
          <w:numId w:val="50"/>
        </w:numPr>
        <w:tabs>
          <w:tab w:val="num" w:pos="567"/>
          <w:tab w:val="left" w:pos="1767"/>
        </w:tabs>
        <w:spacing w:before="120" w:after="120" w:line="240" w:lineRule="auto"/>
        <w:ind w:left="567" w:right="374" w:hanging="425"/>
        <w:jc w:val="both"/>
        <w:rPr>
          <w:rFonts w:ascii="Times New Roman" w:hAnsi="Times New Roman"/>
          <w:sz w:val="20"/>
          <w:szCs w:val="20"/>
        </w:rPr>
      </w:pPr>
      <w:r w:rsidRPr="000426E1">
        <w:rPr>
          <w:rFonts w:ascii="Times New Roman" w:hAnsi="Times New Roman"/>
          <w:b/>
          <w:bCs/>
          <w:sz w:val="24"/>
          <w:szCs w:val="24"/>
          <w:lang w:eastAsia="pl-PL"/>
        </w:rPr>
        <w:t xml:space="preserve">IOP_2 Mierzeja Helska </w:t>
      </w:r>
      <w:r w:rsidRPr="000426E1">
        <w:rPr>
          <w:rFonts w:ascii="Times New Roman" w:hAnsi="Times New Roman"/>
          <w:sz w:val="24"/>
          <w:szCs w:val="24"/>
        </w:rPr>
        <w:t xml:space="preserve">Wariant I, ocena wpływu na cele środowiskowe JCWP: UN/PZ (umiarkowany/znaczący wpływ na cele środowiskowe, </w:t>
      </w:r>
      <w:r w:rsidRPr="000426E1">
        <w:rPr>
          <w:rFonts w:ascii="Times New Roman" w:hAnsi="Times New Roman"/>
          <w:sz w:val="24"/>
          <w:szCs w:val="24"/>
          <w:lang w:eastAsia="pl-PL"/>
        </w:rPr>
        <w:t xml:space="preserve">możliwy potencjalny negatywny wpływ na stan hydromorfologiczny JCWP) oraz możliwy potencjalny negatywny wpływ na przedmioty ochrony i </w:t>
      </w:r>
      <w:r w:rsidRPr="000426E1">
        <w:rPr>
          <w:rFonts w:ascii="Times New Roman" w:hAnsi="Times New Roman"/>
          <w:sz w:val="24"/>
          <w:szCs w:val="24"/>
        </w:rPr>
        <w:t xml:space="preserve">cele środowiskowe: Nadmorskiego Parku Krajobrazowego, Obszarów Natura 2000: Zatoka Pucka oraz </w:t>
      </w:r>
      <w:r w:rsidRPr="00CF268F">
        <w:rPr>
          <w:rFonts w:ascii="Times New Roman" w:hAnsi="Times New Roman"/>
          <w:sz w:val="24"/>
          <w:szCs w:val="24"/>
        </w:rPr>
        <w:t>Natura 2000 Zatoka Pucka i Półwysep Helski, Nadmorski Park Krajobrazowy</w:t>
      </w:r>
    </w:p>
    <w:p w14:paraId="766AE8E1" w14:textId="26EAA07E" w:rsidR="00BA0236" w:rsidRPr="000426E1" w:rsidRDefault="00BA0236" w:rsidP="008D7CA9">
      <w:pPr>
        <w:pStyle w:val="ListParagraph2"/>
        <w:numPr>
          <w:ilvl w:val="0"/>
          <w:numId w:val="50"/>
        </w:numPr>
        <w:tabs>
          <w:tab w:val="num" w:pos="567"/>
          <w:tab w:val="left" w:pos="2250"/>
        </w:tabs>
        <w:spacing w:before="120" w:after="120" w:line="240" w:lineRule="auto"/>
        <w:ind w:left="567" w:hanging="425"/>
        <w:jc w:val="both"/>
        <w:rPr>
          <w:rFonts w:ascii="Times New Roman" w:hAnsi="Times New Roman"/>
          <w:bCs/>
          <w:sz w:val="24"/>
          <w:szCs w:val="24"/>
          <w:lang w:eastAsia="pl-PL"/>
        </w:rPr>
      </w:pPr>
      <w:r w:rsidRPr="00B94FCD">
        <w:rPr>
          <w:rFonts w:ascii="Times New Roman" w:hAnsi="Times New Roman"/>
          <w:b/>
          <w:sz w:val="24"/>
          <w:szCs w:val="24"/>
          <w:lang w:eastAsia="pl-PL"/>
        </w:rPr>
        <w:t>IOP_5_Krynica Morska</w:t>
      </w:r>
      <w:r w:rsidRPr="000426E1">
        <w:rPr>
          <w:rFonts w:ascii="Times New Roman" w:hAnsi="Times New Roman"/>
          <w:bCs/>
          <w:sz w:val="24"/>
          <w:szCs w:val="24"/>
          <w:lang w:eastAsia="pl-PL"/>
        </w:rPr>
        <w:t xml:space="preserve">: </w:t>
      </w:r>
      <w:r w:rsidRPr="000426E1">
        <w:rPr>
          <w:rFonts w:ascii="Times New Roman" w:hAnsi="Times New Roman"/>
          <w:sz w:val="24"/>
          <w:szCs w:val="24"/>
        </w:rPr>
        <w:t xml:space="preserve">Wariant I, ocena wpływu na cele środowiskowe JCWP: B (brak wpływu, opcja korzystna środowiskowo), </w:t>
      </w:r>
      <w:r w:rsidRPr="000426E1">
        <w:rPr>
          <w:rFonts w:ascii="Times New Roman" w:hAnsi="Times New Roman"/>
          <w:sz w:val="24"/>
          <w:szCs w:val="24"/>
          <w:lang w:eastAsia="pl-PL"/>
        </w:rPr>
        <w:t xml:space="preserve">możliwy potencjalny negatywny wpływ na przedmioty ochrony i </w:t>
      </w:r>
      <w:r w:rsidRPr="000426E1">
        <w:rPr>
          <w:rFonts w:ascii="Times New Roman" w:hAnsi="Times New Roman"/>
          <w:sz w:val="24"/>
          <w:szCs w:val="24"/>
        </w:rPr>
        <w:t xml:space="preserve">cele środowiskowe </w:t>
      </w:r>
      <w:r w:rsidRPr="000426E1">
        <w:rPr>
          <w:rFonts w:ascii="Times New Roman" w:hAnsi="Times New Roman"/>
          <w:bCs/>
          <w:sz w:val="24"/>
          <w:szCs w:val="24"/>
        </w:rPr>
        <w:t xml:space="preserve">Park Krajobrazowy Mierzeja Wiślana </w:t>
      </w:r>
      <w:hyperlink r:id="rId60" w:tgtFrame="_blank" w:history="1">
        <w:r w:rsidRPr="000426E1">
          <w:rPr>
            <w:rStyle w:val="Hipercze"/>
            <w:rFonts w:eastAsia="MS Mincho"/>
            <w:sz w:val="24"/>
            <w:szCs w:val="24"/>
          </w:rPr>
          <w:t>PL.ZIPOP.1393.PK.39</w:t>
        </w:r>
      </w:hyperlink>
      <w:r w:rsidRPr="000426E1">
        <w:rPr>
          <w:rFonts w:ascii="Times New Roman" w:hAnsi="Times New Roman"/>
          <w:sz w:val="24"/>
          <w:szCs w:val="24"/>
        </w:rPr>
        <w:t xml:space="preserve">, Natura 2000 </w:t>
      </w:r>
      <w:r w:rsidRPr="000426E1">
        <w:rPr>
          <w:rFonts w:ascii="Times New Roman" w:hAnsi="Times New Roman"/>
          <w:bCs/>
          <w:sz w:val="24"/>
          <w:szCs w:val="24"/>
        </w:rPr>
        <w:t xml:space="preserve">Zalew Wiślany i Mierzeja Wiślana </w:t>
      </w:r>
      <w:hyperlink r:id="rId61" w:tgtFrame="_blank" w:history="1">
        <w:r w:rsidRPr="000426E1">
          <w:rPr>
            <w:rStyle w:val="Hipercze"/>
            <w:sz w:val="24"/>
            <w:szCs w:val="24"/>
            <w:lang w:eastAsia="pl-PL"/>
          </w:rPr>
          <w:t>PLH280007</w:t>
        </w:r>
      </w:hyperlink>
    </w:p>
    <w:p w14:paraId="7E74E9FC" w14:textId="77777777" w:rsidR="00BA0236" w:rsidRPr="000426E1" w:rsidRDefault="00BA0236" w:rsidP="008D7CA9">
      <w:pPr>
        <w:pStyle w:val="ListParagraph2"/>
        <w:numPr>
          <w:ilvl w:val="0"/>
          <w:numId w:val="50"/>
        </w:numPr>
        <w:tabs>
          <w:tab w:val="num" w:pos="567"/>
          <w:tab w:val="left" w:pos="2250"/>
        </w:tabs>
        <w:spacing w:before="120" w:after="120" w:line="240" w:lineRule="auto"/>
        <w:ind w:left="567" w:hanging="425"/>
        <w:jc w:val="both"/>
        <w:rPr>
          <w:rFonts w:ascii="Times New Roman" w:hAnsi="Times New Roman"/>
          <w:b/>
          <w:bCs/>
          <w:sz w:val="24"/>
          <w:szCs w:val="24"/>
          <w:lang w:eastAsia="pl-PL"/>
        </w:rPr>
      </w:pPr>
      <w:r w:rsidRPr="000426E1">
        <w:rPr>
          <w:rFonts w:ascii="Times New Roman" w:hAnsi="Times New Roman"/>
          <w:b/>
          <w:bCs/>
          <w:sz w:val="24"/>
          <w:szCs w:val="24"/>
          <w:lang w:eastAsia="pl-PL"/>
        </w:rPr>
        <w:t xml:space="preserve">IOP_7 Ustka - ujście Słupi: </w:t>
      </w:r>
      <w:r w:rsidRPr="000426E1">
        <w:rPr>
          <w:rFonts w:ascii="Times New Roman" w:hAnsi="Times New Roman"/>
          <w:sz w:val="24"/>
          <w:szCs w:val="24"/>
        </w:rPr>
        <w:t xml:space="preserve">Wariant II, ocena wpływu na cele środowiskowe JCWP: PZ (znaczący wpływ na cele środowiskowe, </w:t>
      </w:r>
      <w:r w:rsidRPr="000426E1">
        <w:rPr>
          <w:rFonts w:ascii="Times New Roman" w:hAnsi="Times New Roman"/>
          <w:sz w:val="24"/>
          <w:szCs w:val="24"/>
          <w:lang w:eastAsia="pl-PL"/>
        </w:rPr>
        <w:t xml:space="preserve">możliwy potencjalny negatywny wpływ na stan hydromorfologiczny JCWP) oraz możliwy potencjalny negatywny wpływ na przedmioty ochrony i </w:t>
      </w:r>
      <w:r w:rsidRPr="000426E1">
        <w:rPr>
          <w:rFonts w:ascii="Times New Roman" w:hAnsi="Times New Roman"/>
          <w:sz w:val="24"/>
          <w:szCs w:val="24"/>
        </w:rPr>
        <w:t>cele środowiskowe Natura 2000 Dolina Słupi,</w:t>
      </w:r>
    </w:p>
    <w:p w14:paraId="66415843" w14:textId="77777777" w:rsidR="00BA0236" w:rsidRPr="000426E1" w:rsidRDefault="00BA0236" w:rsidP="008D7CA9">
      <w:pPr>
        <w:pStyle w:val="ListParagraph2"/>
        <w:numPr>
          <w:ilvl w:val="0"/>
          <w:numId w:val="50"/>
        </w:numPr>
        <w:tabs>
          <w:tab w:val="num" w:pos="567"/>
          <w:tab w:val="left" w:pos="2250"/>
        </w:tabs>
        <w:spacing w:before="120" w:after="120" w:line="240" w:lineRule="auto"/>
        <w:ind w:left="567" w:hanging="425"/>
        <w:jc w:val="both"/>
        <w:rPr>
          <w:rFonts w:ascii="Times New Roman" w:hAnsi="Times New Roman"/>
          <w:bCs/>
          <w:sz w:val="24"/>
          <w:szCs w:val="24"/>
        </w:rPr>
      </w:pPr>
      <w:r w:rsidRPr="000426E1">
        <w:rPr>
          <w:rFonts w:ascii="Times New Roman" w:hAnsi="Times New Roman"/>
          <w:b/>
          <w:bCs/>
          <w:sz w:val="24"/>
          <w:szCs w:val="24"/>
          <w:lang w:eastAsia="pl-PL"/>
        </w:rPr>
        <w:t xml:space="preserve">IOP_8_Dębki </w:t>
      </w:r>
      <w:r w:rsidRPr="000426E1">
        <w:rPr>
          <w:rFonts w:ascii="Times New Roman" w:hAnsi="Times New Roman"/>
          <w:sz w:val="24"/>
          <w:szCs w:val="24"/>
        </w:rPr>
        <w:t xml:space="preserve">Wariant II, ocena wpływu na cele środowiskowe JCWP: UN/PZ (umiarkowany/znaczący wpływ na cele środowiskowe, </w:t>
      </w:r>
      <w:r w:rsidRPr="000426E1">
        <w:rPr>
          <w:rFonts w:ascii="Times New Roman" w:hAnsi="Times New Roman"/>
          <w:sz w:val="24"/>
          <w:szCs w:val="24"/>
          <w:lang w:eastAsia="pl-PL"/>
        </w:rPr>
        <w:t xml:space="preserve">możliwy potencjalny negatywny wpływ na stan hydromorfologiczny JCWP) oraz możliwy potencjalny negatywny wpływ na przedmioty ochrony i </w:t>
      </w:r>
      <w:r w:rsidRPr="000426E1">
        <w:rPr>
          <w:rFonts w:ascii="Times New Roman" w:hAnsi="Times New Roman"/>
          <w:sz w:val="24"/>
          <w:szCs w:val="24"/>
        </w:rPr>
        <w:t xml:space="preserve">cele środowiskowe: Rezerwatu </w:t>
      </w:r>
      <w:r w:rsidRPr="000426E1">
        <w:rPr>
          <w:rFonts w:ascii="Times New Roman" w:hAnsi="Times New Roman"/>
          <w:bCs/>
          <w:sz w:val="24"/>
          <w:szCs w:val="24"/>
        </w:rPr>
        <w:t>Piaśnickie Łąki</w:t>
      </w:r>
      <w:r w:rsidRPr="000426E1">
        <w:rPr>
          <w:rFonts w:ascii="Times New Roman" w:hAnsi="Times New Roman"/>
          <w:sz w:val="24"/>
          <w:szCs w:val="24"/>
        </w:rPr>
        <w:t xml:space="preserve"> i </w:t>
      </w:r>
      <w:r w:rsidRPr="000426E1">
        <w:rPr>
          <w:rFonts w:ascii="Times New Roman" w:hAnsi="Times New Roman"/>
          <w:bCs/>
          <w:sz w:val="24"/>
          <w:szCs w:val="24"/>
        </w:rPr>
        <w:t>Nadmorskiego Parku Krajobrazowego</w:t>
      </w:r>
      <w:r w:rsidRPr="000426E1">
        <w:rPr>
          <w:rFonts w:ascii="Times New Roman" w:hAnsi="Times New Roman"/>
          <w:sz w:val="24"/>
          <w:szCs w:val="24"/>
          <w:lang w:eastAsia="pl-PL"/>
        </w:rPr>
        <w:t>,</w:t>
      </w:r>
    </w:p>
    <w:p w14:paraId="73E3FBF2" w14:textId="77777777" w:rsidR="00BA0236" w:rsidRPr="000426E1" w:rsidRDefault="00BA0236" w:rsidP="008D7CA9">
      <w:pPr>
        <w:pStyle w:val="ListParagraph2"/>
        <w:numPr>
          <w:ilvl w:val="0"/>
          <w:numId w:val="50"/>
        </w:numPr>
        <w:tabs>
          <w:tab w:val="num" w:pos="567"/>
          <w:tab w:val="left" w:pos="2250"/>
        </w:tabs>
        <w:spacing w:before="120" w:after="120" w:line="240" w:lineRule="auto"/>
        <w:ind w:left="567" w:hanging="425"/>
        <w:jc w:val="both"/>
        <w:rPr>
          <w:rFonts w:ascii="Times New Roman" w:hAnsi="Times New Roman"/>
          <w:b/>
          <w:bCs/>
          <w:sz w:val="24"/>
          <w:szCs w:val="24"/>
          <w:lang w:eastAsia="pl-PL"/>
        </w:rPr>
      </w:pPr>
      <w:r w:rsidRPr="000426E1">
        <w:rPr>
          <w:rFonts w:ascii="Times New Roman" w:hAnsi="Times New Roman"/>
          <w:b/>
          <w:bCs/>
          <w:sz w:val="24"/>
          <w:szCs w:val="24"/>
          <w:lang w:eastAsia="pl-PL"/>
        </w:rPr>
        <w:t xml:space="preserve">IOP_12 Łeba: </w:t>
      </w:r>
      <w:r w:rsidRPr="000426E1">
        <w:rPr>
          <w:rFonts w:ascii="Times New Roman" w:hAnsi="Times New Roman"/>
          <w:sz w:val="24"/>
          <w:szCs w:val="24"/>
        </w:rPr>
        <w:t xml:space="preserve">Wariant I, ocena wpływu na cele środowiskowe JCWP: B (brak wpływu, opcja korzystna środowiskowo) oraz </w:t>
      </w:r>
      <w:r w:rsidRPr="000426E1">
        <w:rPr>
          <w:rFonts w:ascii="Times New Roman" w:hAnsi="Times New Roman"/>
          <w:sz w:val="24"/>
          <w:szCs w:val="24"/>
          <w:lang w:eastAsia="pl-PL"/>
        </w:rPr>
        <w:t xml:space="preserve">możliwy potencjalny negatywny wpływ na przedmioty ochrony i </w:t>
      </w:r>
      <w:r w:rsidRPr="000426E1">
        <w:rPr>
          <w:rFonts w:ascii="Times New Roman" w:hAnsi="Times New Roman"/>
          <w:sz w:val="24"/>
          <w:szCs w:val="24"/>
        </w:rPr>
        <w:t xml:space="preserve">cele środowiskowe: </w:t>
      </w:r>
      <w:r w:rsidRPr="000426E1">
        <w:rPr>
          <w:rFonts w:ascii="Times New Roman" w:hAnsi="Times New Roman"/>
          <w:b/>
          <w:bCs/>
          <w:sz w:val="24"/>
          <w:szCs w:val="24"/>
        </w:rPr>
        <w:t xml:space="preserve">Słowiński Park Narodowy - otulina </w:t>
      </w:r>
    </w:p>
    <w:p w14:paraId="0C456B8D" w14:textId="77777777" w:rsidR="00BA0236" w:rsidRDefault="00BA0236" w:rsidP="00A26088">
      <w:pPr>
        <w:pStyle w:val="ListParagraph2"/>
        <w:tabs>
          <w:tab w:val="left" w:pos="2250"/>
        </w:tabs>
        <w:spacing w:before="120" w:after="120" w:line="240" w:lineRule="auto"/>
        <w:ind w:left="0"/>
        <w:jc w:val="both"/>
        <w:rPr>
          <w:rFonts w:ascii="Times New Roman" w:hAnsi="Times New Roman"/>
          <w:b/>
          <w:bCs/>
          <w:sz w:val="24"/>
          <w:szCs w:val="24"/>
          <w:lang w:eastAsia="pl-PL"/>
        </w:rPr>
      </w:pPr>
    </w:p>
    <w:p w14:paraId="5E3BC4C8" w14:textId="3DA7DCA2" w:rsidR="00BA0236" w:rsidRPr="008D7CA9" w:rsidRDefault="00BA0236" w:rsidP="008D7CA9">
      <w:pPr>
        <w:pStyle w:val="Legenda"/>
        <w:tabs>
          <w:tab w:val="clear" w:pos="1080"/>
          <w:tab w:val="left" w:pos="1134"/>
        </w:tabs>
        <w:ind w:left="1134" w:hanging="1134"/>
        <w:jc w:val="both"/>
        <w:rPr>
          <w:rFonts w:eastAsia="Times New Roman"/>
          <w:color w:val="000000"/>
          <w:sz w:val="24"/>
          <w:szCs w:val="28"/>
          <w:lang w:eastAsia="pl-PL"/>
        </w:rPr>
      </w:pPr>
      <w:bookmarkStart w:id="202" w:name="_Toc80604835"/>
      <w:r w:rsidRPr="008D7CA9">
        <w:rPr>
          <w:sz w:val="24"/>
          <w:szCs w:val="28"/>
        </w:rPr>
        <w:lastRenderedPageBreak/>
        <w:t xml:space="preserve">Tabela </w:t>
      </w:r>
      <w:r w:rsidR="00295C25" w:rsidRPr="008D7CA9">
        <w:rPr>
          <w:sz w:val="24"/>
          <w:szCs w:val="28"/>
        </w:rPr>
        <w:fldChar w:fldCharType="begin"/>
      </w:r>
      <w:r w:rsidR="00295C25" w:rsidRPr="008D7CA9">
        <w:rPr>
          <w:sz w:val="24"/>
          <w:szCs w:val="28"/>
        </w:rPr>
        <w:instrText xml:space="preserve"> SEQ Tabela \* ARABIC </w:instrText>
      </w:r>
      <w:r w:rsidR="00295C25" w:rsidRPr="008D7CA9">
        <w:rPr>
          <w:sz w:val="24"/>
          <w:szCs w:val="28"/>
        </w:rPr>
        <w:fldChar w:fldCharType="separate"/>
      </w:r>
      <w:r w:rsidR="00FD3F9A">
        <w:rPr>
          <w:noProof/>
          <w:sz w:val="24"/>
          <w:szCs w:val="28"/>
        </w:rPr>
        <w:t>25</w:t>
      </w:r>
      <w:r w:rsidR="00295C25" w:rsidRPr="008D7CA9">
        <w:rPr>
          <w:noProof/>
          <w:sz w:val="24"/>
          <w:szCs w:val="28"/>
        </w:rPr>
        <w:fldChar w:fldCharType="end"/>
      </w:r>
      <w:r w:rsidR="008D7CA9">
        <w:rPr>
          <w:sz w:val="24"/>
          <w:szCs w:val="28"/>
        </w:rPr>
        <w:tab/>
      </w:r>
      <w:r w:rsidRPr="008D7CA9">
        <w:rPr>
          <w:sz w:val="24"/>
          <w:szCs w:val="28"/>
        </w:rPr>
        <w:t>Ocena zgodności z celami środowiskowymi wynikającymi z Ramowej Dyrektywy Wodnej i wymaganiami Dyrektywy Ptasiej i Siedliskowej oraz wymaganiami ustawy o Ochronie Przyrody- podsumowanie oceny dla obszaru problemowego MR_1 Żuławy Wiślane</w:t>
      </w:r>
      <w:bookmarkEnd w:id="202"/>
      <w:r w:rsidRPr="008D7CA9">
        <w:rPr>
          <w:sz w:val="24"/>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1"/>
        <w:gridCol w:w="3708"/>
        <w:gridCol w:w="1756"/>
        <w:gridCol w:w="871"/>
      </w:tblGrid>
      <w:tr w:rsidR="00BA0236" w:rsidRPr="00B32914" w14:paraId="137ED8F8" w14:textId="77777777" w:rsidTr="000426E1">
        <w:tc>
          <w:tcPr>
            <w:tcW w:w="8775" w:type="dxa"/>
            <w:gridSpan w:val="4"/>
            <w:shd w:val="clear" w:color="auto" w:fill="D4EDF9"/>
          </w:tcPr>
          <w:p w14:paraId="35F90E37" w14:textId="77777777" w:rsidR="00BA0236" w:rsidRPr="00B32914" w:rsidRDefault="00BA0236">
            <w:pPr>
              <w:jc w:val="center"/>
              <w:rPr>
                <w:b/>
                <w:bCs/>
                <w:sz w:val="20"/>
                <w:szCs w:val="20"/>
              </w:rPr>
            </w:pPr>
            <w:r w:rsidRPr="00B32914">
              <w:rPr>
                <w:rStyle w:val="fontstyle01"/>
                <w:rFonts w:ascii="Times New Roman" w:hAnsi="Times New Roman"/>
                <w:b/>
                <w:bCs/>
                <w:sz w:val="20"/>
                <w:szCs w:val="20"/>
              </w:rPr>
              <w:t>Ocena stopnia udatności środowiskowej wariantów działań</w:t>
            </w:r>
          </w:p>
          <w:p w14:paraId="2EA31A7D" w14:textId="77777777" w:rsidR="00BA0236" w:rsidRPr="00B32914" w:rsidRDefault="00BA0236">
            <w:pPr>
              <w:spacing w:before="40" w:after="40"/>
              <w:jc w:val="center"/>
              <w:rPr>
                <w:b/>
                <w:bCs/>
                <w:color w:val="000000"/>
                <w:sz w:val="20"/>
                <w:szCs w:val="20"/>
              </w:rPr>
            </w:pPr>
            <w:r w:rsidRPr="00B32914">
              <w:rPr>
                <w:b/>
                <w:bCs/>
                <w:color w:val="000000"/>
                <w:sz w:val="20"/>
                <w:szCs w:val="20"/>
              </w:rPr>
              <w:t>K- korzystna środowiskowo, U - umiarkowanie korzystna środowiskowo,</w:t>
            </w:r>
          </w:p>
          <w:p w14:paraId="423C0454" w14:textId="77777777" w:rsidR="00BA0236" w:rsidRPr="00B32914" w:rsidRDefault="00BA0236">
            <w:pPr>
              <w:spacing w:before="40" w:after="40"/>
              <w:jc w:val="center"/>
            </w:pPr>
            <w:r w:rsidRPr="00B32914">
              <w:rPr>
                <w:b/>
                <w:bCs/>
                <w:color w:val="000000"/>
                <w:sz w:val="20"/>
                <w:szCs w:val="20"/>
              </w:rPr>
              <w:t xml:space="preserve">N - </w:t>
            </w:r>
            <w:r w:rsidRPr="00B32914">
              <w:rPr>
                <w:b/>
                <w:bCs/>
                <w:sz w:val="20"/>
                <w:szCs w:val="20"/>
              </w:rPr>
              <w:t>niekorzystna środowiskowo,</w:t>
            </w:r>
          </w:p>
        </w:tc>
      </w:tr>
      <w:tr w:rsidR="00BA0236" w:rsidRPr="00B32914" w14:paraId="002327F2" w14:textId="77777777" w:rsidTr="00347E16">
        <w:tc>
          <w:tcPr>
            <w:tcW w:w="8775" w:type="dxa"/>
            <w:gridSpan w:val="4"/>
          </w:tcPr>
          <w:p w14:paraId="04565C64" w14:textId="77777777" w:rsidR="00BA0236" w:rsidRPr="00B32914" w:rsidRDefault="00BA0236">
            <w:pPr>
              <w:spacing w:before="100" w:beforeAutospacing="1" w:after="100" w:afterAutospacing="1"/>
              <w:rPr>
                <w:sz w:val="20"/>
                <w:szCs w:val="20"/>
                <w:lang w:eastAsia="pl-PL"/>
              </w:rPr>
            </w:pPr>
            <w:r w:rsidRPr="00B32914">
              <w:rPr>
                <w:sz w:val="20"/>
                <w:szCs w:val="20"/>
              </w:rPr>
              <w:t xml:space="preserve">obszar problemowy </w:t>
            </w:r>
            <w:r w:rsidRPr="00B32914">
              <w:rPr>
                <w:color w:val="000000"/>
                <w:sz w:val="20"/>
                <w:szCs w:val="20"/>
                <w:lang w:eastAsia="pl-PL"/>
              </w:rPr>
              <w:t xml:space="preserve">MR_1 Żuławy Wiślane  </w:t>
            </w:r>
          </w:p>
        </w:tc>
      </w:tr>
      <w:tr w:rsidR="00BA0236" w:rsidRPr="00B32914" w14:paraId="7E396595" w14:textId="77777777" w:rsidTr="00347E16">
        <w:tc>
          <w:tcPr>
            <w:tcW w:w="2193" w:type="dxa"/>
          </w:tcPr>
          <w:p w14:paraId="5FC02A8E"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0"/>
                <w:szCs w:val="20"/>
              </w:rPr>
            </w:pPr>
            <w:r w:rsidRPr="000426E1">
              <w:rPr>
                <w:rFonts w:ascii="Times New Roman" w:eastAsia="MS Mincho" w:hAnsi="Times New Roman"/>
                <w:bCs/>
                <w:sz w:val="20"/>
                <w:szCs w:val="20"/>
              </w:rPr>
              <w:t xml:space="preserve">Wpływ na parametry biologiczne </w:t>
            </w:r>
          </w:p>
        </w:tc>
        <w:tc>
          <w:tcPr>
            <w:tcW w:w="3917" w:type="dxa"/>
          </w:tcPr>
          <w:p w14:paraId="6A2D79E7"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TW20002WB4</w:t>
            </w:r>
          </w:p>
          <w:p w14:paraId="6DAA85DB"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TW20003WB5</w:t>
            </w:r>
          </w:p>
          <w:p w14:paraId="41DE14D3"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0"/>
                <w:szCs w:val="20"/>
              </w:rPr>
            </w:pPr>
          </w:p>
        </w:tc>
        <w:tc>
          <w:tcPr>
            <w:tcW w:w="1763" w:type="dxa"/>
          </w:tcPr>
          <w:p w14:paraId="7FD1BCA3"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0"/>
                <w:szCs w:val="20"/>
              </w:rPr>
            </w:pPr>
            <w:r w:rsidRPr="000426E1">
              <w:rPr>
                <w:rFonts w:ascii="Times New Roman" w:eastAsia="MS Mincho" w:hAnsi="Times New Roman"/>
                <w:bCs/>
                <w:sz w:val="20"/>
                <w:szCs w:val="20"/>
              </w:rPr>
              <w:t>nd</w:t>
            </w:r>
          </w:p>
        </w:tc>
        <w:tc>
          <w:tcPr>
            <w:tcW w:w="902" w:type="dxa"/>
          </w:tcPr>
          <w:p w14:paraId="2C3EBF30"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0"/>
                <w:szCs w:val="20"/>
              </w:rPr>
            </w:pPr>
            <w:r w:rsidRPr="000426E1">
              <w:rPr>
                <w:rFonts w:ascii="Times New Roman" w:eastAsia="MS Mincho" w:hAnsi="Times New Roman"/>
                <w:bCs/>
                <w:sz w:val="20"/>
                <w:szCs w:val="20"/>
              </w:rPr>
              <w:t>nd</w:t>
            </w:r>
          </w:p>
        </w:tc>
      </w:tr>
      <w:tr w:rsidR="00BA0236" w:rsidRPr="00B32914" w14:paraId="04812456" w14:textId="77777777" w:rsidTr="00347E16">
        <w:tc>
          <w:tcPr>
            <w:tcW w:w="2193" w:type="dxa"/>
          </w:tcPr>
          <w:p w14:paraId="7AFAFA77"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0"/>
                <w:szCs w:val="20"/>
              </w:rPr>
            </w:pPr>
            <w:r w:rsidRPr="000426E1">
              <w:rPr>
                <w:rFonts w:ascii="Times New Roman" w:eastAsia="MS Mincho" w:hAnsi="Times New Roman"/>
                <w:bCs/>
                <w:sz w:val="20"/>
                <w:szCs w:val="20"/>
              </w:rPr>
              <w:t xml:space="preserve">Wpływ na parametry hydromorfologiczne </w:t>
            </w:r>
          </w:p>
          <w:p w14:paraId="09679275"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0"/>
                <w:szCs w:val="20"/>
              </w:rPr>
            </w:pPr>
          </w:p>
        </w:tc>
        <w:tc>
          <w:tcPr>
            <w:tcW w:w="3917" w:type="dxa"/>
          </w:tcPr>
          <w:p w14:paraId="656A4348"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TW20002WB4</w:t>
            </w:r>
          </w:p>
          <w:p w14:paraId="38A40483"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0"/>
                <w:szCs w:val="20"/>
              </w:rPr>
            </w:pPr>
            <w:r w:rsidRPr="000426E1">
              <w:rPr>
                <w:rFonts w:ascii="Times New Roman" w:hAnsi="Times New Roman"/>
                <w:bCs/>
                <w:sz w:val="20"/>
                <w:szCs w:val="20"/>
              </w:rPr>
              <w:t>RW20001447899</w:t>
            </w:r>
          </w:p>
        </w:tc>
        <w:tc>
          <w:tcPr>
            <w:tcW w:w="1763" w:type="dxa"/>
          </w:tcPr>
          <w:p w14:paraId="074DE9E3" w14:textId="77777777" w:rsidR="00BA0236" w:rsidRPr="00B32914" w:rsidRDefault="00BA0236">
            <w:pPr>
              <w:jc w:val="both"/>
              <w:rPr>
                <w:sz w:val="20"/>
                <w:szCs w:val="20"/>
              </w:rPr>
            </w:pPr>
            <w:r w:rsidRPr="00B32914">
              <w:rPr>
                <w:bCs/>
                <w:sz w:val="20"/>
                <w:szCs w:val="20"/>
              </w:rPr>
              <w:t>Pogorszenie wskaźnika PPH6, pogorszenie wskaźnika HIR JCWP RW20001447899,</w:t>
            </w:r>
            <w:r w:rsidRPr="00B32914">
              <w:rPr>
                <w:rStyle w:val="fontstyle01"/>
                <w:rFonts w:ascii="Times New Roman" w:hAnsi="Times New Roman"/>
                <w:sz w:val="20"/>
                <w:szCs w:val="20"/>
              </w:rPr>
              <w:t xml:space="preserve"> ograniczenie terenów naturalnie okresowo zalewanych, zmiana strefy zalewu wód morskich</w:t>
            </w:r>
          </w:p>
        </w:tc>
        <w:tc>
          <w:tcPr>
            <w:tcW w:w="902" w:type="dxa"/>
          </w:tcPr>
          <w:p w14:paraId="53126A34"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0"/>
                <w:szCs w:val="20"/>
              </w:rPr>
            </w:pPr>
            <w:r w:rsidRPr="000426E1">
              <w:rPr>
                <w:rFonts w:ascii="Times New Roman" w:eastAsia="MS Mincho" w:hAnsi="Times New Roman"/>
                <w:bCs/>
                <w:sz w:val="20"/>
                <w:szCs w:val="20"/>
              </w:rPr>
              <w:t>U/N</w:t>
            </w:r>
          </w:p>
        </w:tc>
      </w:tr>
      <w:tr w:rsidR="00BA0236" w:rsidRPr="00B32914" w14:paraId="22AFC71F" w14:textId="77777777" w:rsidTr="00347E16">
        <w:tc>
          <w:tcPr>
            <w:tcW w:w="2193" w:type="dxa"/>
          </w:tcPr>
          <w:p w14:paraId="695BA9BE"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0"/>
                <w:szCs w:val="20"/>
              </w:rPr>
            </w:pPr>
            <w:r w:rsidRPr="000426E1">
              <w:rPr>
                <w:rFonts w:ascii="Times New Roman" w:eastAsia="MS Mincho" w:hAnsi="Times New Roman"/>
                <w:bCs/>
                <w:sz w:val="20"/>
                <w:szCs w:val="20"/>
              </w:rPr>
              <w:t>Wpływ na obszary chronione i korytarze ekologiczne</w:t>
            </w:r>
          </w:p>
        </w:tc>
        <w:tc>
          <w:tcPr>
            <w:tcW w:w="3917" w:type="dxa"/>
          </w:tcPr>
          <w:p w14:paraId="7C8BC832"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0"/>
                <w:szCs w:val="20"/>
              </w:rPr>
            </w:pPr>
            <w:r w:rsidRPr="000426E1">
              <w:rPr>
                <w:rFonts w:ascii="Times New Roman" w:eastAsia="MS Mincho" w:hAnsi="Times New Roman"/>
                <w:bCs/>
                <w:sz w:val="20"/>
                <w:szCs w:val="20"/>
              </w:rPr>
              <w:t>nd</w:t>
            </w:r>
          </w:p>
        </w:tc>
        <w:tc>
          <w:tcPr>
            <w:tcW w:w="1763" w:type="dxa"/>
          </w:tcPr>
          <w:p w14:paraId="198C0EC4" w14:textId="77777777" w:rsidR="00BA0236" w:rsidRPr="00B32914" w:rsidRDefault="00BA0236" w:rsidP="00347E16">
            <w:pPr>
              <w:jc w:val="both"/>
              <w:rPr>
                <w:b/>
                <w:color w:val="28AAE1"/>
                <w:sz w:val="20"/>
                <w:szCs w:val="20"/>
              </w:rPr>
            </w:pPr>
            <w:r w:rsidRPr="00B32914">
              <w:rPr>
                <w:rStyle w:val="fontstyle01"/>
                <w:rFonts w:ascii="Times New Roman" w:hAnsi="Times New Roman"/>
                <w:sz w:val="20"/>
                <w:szCs w:val="20"/>
              </w:rPr>
              <w:t>Nie wpływa na funkcjonowanie korytarza ekologicznego oraz migrację ssaków</w:t>
            </w:r>
          </w:p>
        </w:tc>
        <w:tc>
          <w:tcPr>
            <w:tcW w:w="902" w:type="dxa"/>
          </w:tcPr>
          <w:p w14:paraId="2D1F3E8F"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0"/>
                <w:szCs w:val="20"/>
              </w:rPr>
            </w:pPr>
            <w:r w:rsidRPr="000426E1">
              <w:rPr>
                <w:rFonts w:ascii="Times New Roman" w:eastAsia="MS Mincho" w:hAnsi="Times New Roman"/>
                <w:bCs/>
                <w:sz w:val="20"/>
                <w:szCs w:val="20"/>
              </w:rPr>
              <w:t>nd</w:t>
            </w:r>
          </w:p>
        </w:tc>
      </w:tr>
      <w:tr w:rsidR="00BA0236" w:rsidRPr="00B32914" w14:paraId="6DFCB6C5" w14:textId="77777777" w:rsidTr="00347E16">
        <w:tc>
          <w:tcPr>
            <w:tcW w:w="6110" w:type="dxa"/>
            <w:gridSpan w:val="2"/>
          </w:tcPr>
          <w:p w14:paraId="4C76BB90" w14:textId="77777777" w:rsidR="00BA0236" w:rsidRPr="00B32914" w:rsidRDefault="00BA0236">
            <w:pPr>
              <w:jc w:val="both"/>
              <w:rPr>
                <w:sz w:val="20"/>
                <w:szCs w:val="20"/>
              </w:rPr>
            </w:pPr>
            <w:r w:rsidRPr="00B32914">
              <w:rPr>
                <w:rStyle w:val="fontstyle01"/>
                <w:rFonts w:ascii="Times New Roman" w:hAnsi="Times New Roman"/>
                <w:sz w:val="20"/>
                <w:szCs w:val="20"/>
              </w:rPr>
              <w:t xml:space="preserve">Stopień udatności środowiskowej </w:t>
            </w:r>
          </w:p>
          <w:p w14:paraId="02067236" w14:textId="77777777" w:rsidR="00BA0236" w:rsidRPr="000426E1" w:rsidRDefault="00BA0236">
            <w:pPr>
              <w:pStyle w:val="Akapitzlist1"/>
              <w:tabs>
                <w:tab w:val="left" w:pos="2250"/>
              </w:tabs>
              <w:spacing w:line="240" w:lineRule="auto"/>
              <w:ind w:left="0"/>
              <w:jc w:val="both"/>
              <w:rPr>
                <w:rFonts w:ascii="Times New Roman" w:hAnsi="Times New Roman"/>
                <w:bCs/>
                <w:sz w:val="20"/>
                <w:szCs w:val="20"/>
              </w:rPr>
            </w:pPr>
          </w:p>
        </w:tc>
        <w:tc>
          <w:tcPr>
            <w:tcW w:w="2665" w:type="dxa"/>
            <w:gridSpan w:val="2"/>
          </w:tcPr>
          <w:p w14:paraId="4C582E80"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0"/>
                <w:szCs w:val="20"/>
              </w:rPr>
            </w:pPr>
            <w:r w:rsidRPr="000426E1">
              <w:rPr>
                <w:rFonts w:ascii="Times New Roman" w:eastAsia="MS Mincho" w:hAnsi="Times New Roman"/>
                <w:bCs/>
                <w:sz w:val="20"/>
                <w:szCs w:val="20"/>
              </w:rPr>
              <w:t>U/N</w:t>
            </w:r>
          </w:p>
        </w:tc>
      </w:tr>
      <w:tr w:rsidR="00BA0236" w:rsidRPr="00B32914" w14:paraId="015FEB87" w14:textId="77777777" w:rsidTr="00347E16">
        <w:tc>
          <w:tcPr>
            <w:tcW w:w="8775" w:type="dxa"/>
            <w:gridSpan w:val="4"/>
          </w:tcPr>
          <w:p w14:paraId="12FCA558"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0"/>
                <w:szCs w:val="20"/>
              </w:rPr>
            </w:pPr>
            <w:r w:rsidRPr="000426E1">
              <w:rPr>
                <w:rFonts w:ascii="Times New Roman" w:eastAsia="MS Mincho" w:hAnsi="Times New Roman"/>
                <w:sz w:val="20"/>
                <w:szCs w:val="20"/>
              </w:rPr>
              <w:t xml:space="preserve">Z uwagi na skalę prac działania będą negatywnie oddziaływać na parametry hydromorfologiczne JCWP, dlatego Wariant został oceniony jako U/N środowiskowo </w:t>
            </w:r>
            <w:r w:rsidRPr="000426E1">
              <w:rPr>
                <w:rStyle w:val="fontstyle01"/>
                <w:rFonts w:ascii="Times New Roman" w:eastAsia="MS Mincho" w:hAnsi="Times New Roman"/>
                <w:sz w:val="20"/>
                <w:szCs w:val="20"/>
              </w:rPr>
              <w:t>mogąc</w:t>
            </w:r>
            <w:r w:rsidRPr="000426E1">
              <w:rPr>
                <w:rStyle w:val="fontstyle01"/>
                <w:rFonts w:ascii="Times New Roman" w:hAnsi="Times New Roman"/>
                <w:sz w:val="20"/>
                <w:szCs w:val="20"/>
              </w:rPr>
              <w:t>y</w:t>
            </w:r>
            <w:r w:rsidRPr="000426E1">
              <w:rPr>
                <w:rStyle w:val="fontstyle01"/>
                <w:rFonts w:ascii="Times New Roman" w:eastAsia="MS Mincho" w:hAnsi="Times New Roman"/>
                <w:sz w:val="20"/>
                <w:szCs w:val="20"/>
              </w:rPr>
              <w:t xml:space="preserve"> wpłynąć negatywnie na</w:t>
            </w:r>
            <w:r w:rsidRPr="000426E1">
              <w:rPr>
                <w:rFonts w:ascii="Times New Roman" w:hAnsi="Times New Roman"/>
                <w:color w:val="000000"/>
                <w:sz w:val="20"/>
                <w:szCs w:val="20"/>
              </w:rPr>
              <w:t xml:space="preserve"> </w:t>
            </w:r>
            <w:r w:rsidRPr="000426E1">
              <w:rPr>
                <w:rStyle w:val="fontstyle01"/>
                <w:rFonts w:ascii="Times New Roman" w:eastAsia="MS Mincho" w:hAnsi="Times New Roman"/>
                <w:sz w:val="20"/>
                <w:szCs w:val="20"/>
              </w:rPr>
              <w:t>możliwość osiągnięcia celów ochrony wód w rozumieniu RDW</w:t>
            </w:r>
            <w:r w:rsidRPr="000426E1">
              <w:rPr>
                <w:rFonts w:ascii="Times New Roman" w:eastAsia="MS Mincho" w:hAnsi="Times New Roman"/>
                <w:bCs/>
                <w:sz w:val="20"/>
                <w:szCs w:val="20"/>
              </w:rPr>
              <w:t xml:space="preserve">. Działanie zlokalizowane jest poza granicami obszarów chronionych, nie przewiduje się negatywnego oddziaływania na przedmioty ochrony, a ewentualne oddziaływania związane z hałasem ocenia się jako możliwe do zminimalizowania. </w:t>
            </w:r>
            <w:r w:rsidRPr="000426E1">
              <w:rPr>
                <w:rFonts w:ascii="Times New Roman" w:eastAsia="MS Mincho" w:hAnsi="Times New Roman"/>
                <w:b/>
                <w:bCs/>
                <w:sz w:val="20"/>
                <w:szCs w:val="20"/>
              </w:rPr>
              <w:t>Stopień udatności środowiskowej określono jako umiarkowanie korzystny / niekorzystny.</w:t>
            </w:r>
          </w:p>
        </w:tc>
      </w:tr>
    </w:tbl>
    <w:p w14:paraId="57DB4341" w14:textId="77777777" w:rsidR="00BA0236" w:rsidRDefault="00BA0236" w:rsidP="000426E1">
      <w:pPr>
        <w:pStyle w:val="Legenda"/>
      </w:pPr>
    </w:p>
    <w:p w14:paraId="11AFEAB6" w14:textId="415FA690" w:rsidR="00BA0236" w:rsidRDefault="00A26088" w:rsidP="008D7CA9">
      <w:pPr>
        <w:pStyle w:val="Legenda"/>
        <w:tabs>
          <w:tab w:val="clear" w:pos="1080"/>
          <w:tab w:val="left" w:pos="1134"/>
        </w:tabs>
        <w:ind w:left="1134" w:hanging="1134"/>
        <w:jc w:val="both"/>
        <w:rPr>
          <w:rFonts w:eastAsia="Times New Roman"/>
          <w:lang w:eastAsia="pl-PL"/>
        </w:rPr>
      </w:pPr>
      <w:r>
        <w:br w:type="column"/>
      </w:r>
      <w:bookmarkStart w:id="203" w:name="_Toc80604836"/>
      <w:r w:rsidR="00BA0236" w:rsidRPr="008D7CA9">
        <w:rPr>
          <w:sz w:val="24"/>
          <w:szCs w:val="28"/>
        </w:rPr>
        <w:lastRenderedPageBreak/>
        <w:t xml:space="preserve">Tabela </w:t>
      </w:r>
      <w:r w:rsidR="00295C25" w:rsidRPr="008D7CA9">
        <w:rPr>
          <w:sz w:val="24"/>
          <w:szCs w:val="28"/>
        </w:rPr>
        <w:fldChar w:fldCharType="begin"/>
      </w:r>
      <w:r w:rsidR="00295C25" w:rsidRPr="008D7CA9">
        <w:rPr>
          <w:sz w:val="24"/>
          <w:szCs w:val="28"/>
        </w:rPr>
        <w:instrText xml:space="preserve"> SEQ Tabela \* ARABIC </w:instrText>
      </w:r>
      <w:r w:rsidR="00295C25" w:rsidRPr="008D7CA9">
        <w:rPr>
          <w:sz w:val="24"/>
          <w:szCs w:val="28"/>
        </w:rPr>
        <w:fldChar w:fldCharType="separate"/>
      </w:r>
      <w:r w:rsidR="00FD3F9A">
        <w:rPr>
          <w:noProof/>
          <w:sz w:val="24"/>
          <w:szCs w:val="28"/>
        </w:rPr>
        <w:t>26</w:t>
      </w:r>
      <w:r w:rsidR="00295C25" w:rsidRPr="008D7CA9">
        <w:rPr>
          <w:noProof/>
          <w:sz w:val="24"/>
          <w:szCs w:val="28"/>
        </w:rPr>
        <w:fldChar w:fldCharType="end"/>
      </w:r>
      <w:r w:rsidR="008D7CA9">
        <w:rPr>
          <w:sz w:val="24"/>
          <w:szCs w:val="28"/>
        </w:rPr>
        <w:tab/>
      </w:r>
      <w:r w:rsidR="00BA0236" w:rsidRPr="008D7CA9">
        <w:rPr>
          <w:sz w:val="24"/>
          <w:szCs w:val="28"/>
        </w:rPr>
        <w:t>Ocena zgodności z celami środowiskowymi wynikającymi z Ramowej Dyrektywy Wodnej i wymaganiami Dyrektywy Ptasiej i Siedliskowej oraz wymaganiami ustawy o Ochronie Przyrody- podsumowanie oceny dla obszaru problemowego MR_2 Ujście Redy</w:t>
      </w:r>
      <w:bookmarkEnd w:id="20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1"/>
        <w:gridCol w:w="3333"/>
        <w:gridCol w:w="2102"/>
        <w:gridCol w:w="870"/>
      </w:tblGrid>
      <w:tr w:rsidR="00BA0236" w:rsidRPr="00B32914" w14:paraId="6F9885F9" w14:textId="77777777" w:rsidTr="00A95C85">
        <w:tc>
          <w:tcPr>
            <w:tcW w:w="8496" w:type="dxa"/>
            <w:gridSpan w:val="4"/>
            <w:shd w:val="clear" w:color="auto" w:fill="D4EDF9"/>
          </w:tcPr>
          <w:p w14:paraId="24CBFBBF" w14:textId="77777777" w:rsidR="00BA0236" w:rsidRPr="00B32914" w:rsidRDefault="00BA0236" w:rsidP="000426E1">
            <w:pPr>
              <w:spacing w:before="40" w:after="40"/>
              <w:jc w:val="center"/>
              <w:rPr>
                <w:b/>
                <w:bCs/>
                <w:color w:val="000000"/>
                <w:sz w:val="20"/>
                <w:szCs w:val="20"/>
              </w:rPr>
            </w:pPr>
            <w:r w:rsidRPr="00B32914">
              <w:rPr>
                <w:b/>
                <w:bCs/>
                <w:color w:val="000000"/>
                <w:sz w:val="20"/>
                <w:szCs w:val="20"/>
              </w:rPr>
              <w:t>Ocena stopnia udatności środowiskowej wariantów działań</w:t>
            </w:r>
          </w:p>
          <w:p w14:paraId="408587A2" w14:textId="77777777" w:rsidR="00BA0236" w:rsidRPr="00B32914" w:rsidRDefault="00BA0236">
            <w:pPr>
              <w:spacing w:before="40" w:after="40"/>
              <w:jc w:val="center"/>
              <w:rPr>
                <w:b/>
                <w:bCs/>
                <w:color w:val="000000"/>
                <w:sz w:val="20"/>
                <w:szCs w:val="20"/>
              </w:rPr>
            </w:pPr>
            <w:r w:rsidRPr="00B32914">
              <w:rPr>
                <w:b/>
                <w:bCs/>
                <w:color w:val="000000"/>
                <w:sz w:val="20"/>
                <w:szCs w:val="20"/>
              </w:rPr>
              <w:t>K- korzystna środowiskowo, U - umiarkowanie korzystna środowiskowo,</w:t>
            </w:r>
          </w:p>
          <w:p w14:paraId="5DB122FF" w14:textId="77777777" w:rsidR="00BA0236" w:rsidRPr="00B32914" w:rsidRDefault="00BA0236">
            <w:pPr>
              <w:spacing w:before="40" w:after="40"/>
              <w:jc w:val="center"/>
            </w:pPr>
            <w:r w:rsidRPr="00B32914">
              <w:rPr>
                <w:b/>
                <w:bCs/>
                <w:color w:val="000000"/>
                <w:sz w:val="20"/>
                <w:szCs w:val="20"/>
              </w:rPr>
              <w:t>N - niekorzystna środowiskowo,</w:t>
            </w:r>
          </w:p>
        </w:tc>
      </w:tr>
      <w:tr w:rsidR="00BA0236" w:rsidRPr="00B32914" w14:paraId="6514069C" w14:textId="77777777" w:rsidTr="00A95C85">
        <w:tc>
          <w:tcPr>
            <w:tcW w:w="8496" w:type="dxa"/>
            <w:gridSpan w:val="4"/>
          </w:tcPr>
          <w:p w14:paraId="49588C88"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4"/>
                <w:szCs w:val="24"/>
              </w:rPr>
            </w:pPr>
            <w:r w:rsidRPr="000426E1">
              <w:rPr>
                <w:rFonts w:ascii="Times New Roman" w:hAnsi="Times New Roman"/>
                <w:color w:val="000000"/>
                <w:sz w:val="24"/>
                <w:szCs w:val="24"/>
                <w:lang w:eastAsia="pl-PL"/>
              </w:rPr>
              <w:t>MR_2 Ujście Redy</w:t>
            </w:r>
          </w:p>
        </w:tc>
      </w:tr>
      <w:tr w:rsidR="00BA0236" w:rsidRPr="00B32914" w14:paraId="45F5AF0A" w14:textId="77777777" w:rsidTr="00A95C85">
        <w:tc>
          <w:tcPr>
            <w:tcW w:w="2191" w:type="dxa"/>
          </w:tcPr>
          <w:p w14:paraId="4C4E7A45" w14:textId="77777777" w:rsidR="00BA0236" w:rsidRPr="000426E1" w:rsidRDefault="00BA0236" w:rsidP="00A95C85">
            <w:pPr>
              <w:pStyle w:val="Akapitzlist1"/>
              <w:tabs>
                <w:tab w:val="left" w:pos="2250"/>
              </w:tabs>
              <w:spacing w:line="240" w:lineRule="auto"/>
              <w:ind w:left="0"/>
              <w:rPr>
                <w:rFonts w:ascii="Times New Roman" w:eastAsia="MS Mincho" w:hAnsi="Times New Roman"/>
                <w:bCs/>
                <w:sz w:val="24"/>
                <w:szCs w:val="24"/>
              </w:rPr>
            </w:pPr>
            <w:r w:rsidRPr="000426E1">
              <w:rPr>
                <w:rFonts w:ascii="Times New Roman" w:eastAsia="MS Mincho" w:hAnsi="Times New Roman"/>
                <w:bCs/>
                <w:sz w:val="24"/>
                <w:szCs w:val="24"/>
              </w:rPr>
              <w:t xml:space="preserve">Wpływ na parametry biologiczne </w:t>
            </w:r>
          </w:p>
        </w:tc>
        <w:tc>
          <w:tcPr>
            <w:tcW w:w="3333" w:type="dxa"/>
          </w:tcPr>
          <w:p w14:paraId="79B57C9C" w14:textId="77777777" w:rsidR="00BA0236" w:rsidRPr="000426E1" w:rsidRDefault="00BA0236">
            <w:pPr>
              <w:pStyle w:val="Akapitzlist1"/>
              <w:tabs>
                <w:tab w:val="left" w:pos="2250"/>
              </w:tabs>
              <w:spacing w:line="240" w:lineRule="auto"/>
              <w:ind w:left="0"/>
              <w:jc w:val="both"/>
              <w:rPr>
                <w:rFonts w:ascii="Times New Roman" w:hAnsi="Times New Roman"/>
                <w:bCs/>
                <w:sz w:val="24"/>
                <w:szCs w:val="24"/>
              </w:rPr>
            </w:pPr>
            <w:r w:rsidRPr="000426E1">
              <w:rPr>
                <w:rFonts w:ascii="Times New Roman" w:eastAsia="MS Mincho" w:hAnsi="Times New Roman"/>
                <w:sz w:val="24"/>
                <w:szCs w:val="24"/>
              </w:rPr>
              <w:t xml:space="preserve">JCWP </w:t>
            </w:r>
            <w:r w:rsidRPr="000426E1">
              <w:rPr>
                <w:rFonts w:ascii="Times New Roman" w:hAnsi="Times New Roman"/>
                <w:bCs/>
                <w:sz w:val="24"/>
                <w:szCs w:val="24"/>
              </w:rPr>
              <w:t>RW2000165499</w:t>
            </w:r>
          </w:p>
          <w:p w14:paraId="427A5AD1"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4"/>
                <w:szCs w:val="24"/>
              </w:rPr>
            </w:pPr>
            <w:r w:rsidRPr="000426E1">
              <w:rPr>
                <w:rFonts w:ascii="Times New Roman" w:hAnsi="Times New Roman"/>
                <w:bCs/>
                <w:sz w:val="24"/>
                <w:szCs w:val="24"/>
              </w:rPr>
              <w:t>TW20001WB1</w:t>
            </w:r>
          </w:p>
        </w:tc>
        <w:tc>
          <w:tcPr>
            <w:tcW w:w="2102" w:type="dxa"/>
          </w:tcPr>
          <w:p w14:paraId="6AFADE5D"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4"/>
                <w:szCs w:val="24"/>
              </w:rPr>
            </w:pPr>
            <w:r w:rsidRPr="000426E1">
              <w:rPr>
                <w:rFonts w:ascii="Times New Roman" w:eastAsia="MS Mincho" w:hAnsi="Times New Roman"/>
                <w:bCs/>
                <w:sz w:val="24"/>
                <w:szCs w:val="24"/>
              </w:rPr>
              <w:t>nd</w:t>
            </w:r>
          </w:p>
        </w:tc>
        <w:tc>
          <w:tcPr>
            <w:tcW w:w="870" w:type="dxa"/>
          </w:tcPr>
          <w:p w14:paraId="353178D7"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4"/>
                <w:szCs w:val="24"/>
              </w:rPr>
            </w:pPr>
            <w:r w:rsidRPr="000426E1">
              <w:rPr>
                <w:rFonts w:ascii="Times New Roman" w:eastAsia="MS Mincho" w:hAnsi="Times New Roman"/>
                <w:bCs/>
                <w:sz w:val="24"/>
                <w:szCs w:val="24"/>
              </w:rPr>
              <w:t>K</w:t>
            </w:r>
          </w:p>
        </w:tc>
      </w:tr>
      <w:tr w:rsidR="00BA0236" w:rsidRPr="00B32914" w14:paraId="09E64C7F" w14:textId="77777777" w:rsidTr="00A95C85">
        <w:tc>
          <w:tcPr>
            <w:tcW w:w="2191" w:type="dxa"/>
          </w:tcPr>
          <w:p w14:paraId="7D48F1CA" w14:textId="77777777" w:rsidR="00BA0236" w:rsidRPr="000426E1" w:rsidRDefault="00BA0236" w:rsidP="00A95C85">
            <w:pPr>
              <w:pStyle w:val="Akapitzlist1"/>
              <w:tabs>
                <w:tab w:val="left" w:pos="2250"/>
              </w:tabs>
              <w:spacing w:line="240" w:lineRule="auto"/>
              <w:ind w:left="0"/>
              <w:rPr>
                <w:rFonts w:ascii="Times New Roman" w:eastAsia="MS Mincho" w:hAnsi="Times New Roman"/>
                <w:bCs/>
                <w:sz w:val="24"/>
                <w:szCs w:val="24"/>
              </w:rPr>
            </w:pPr>
            <w:r w:rsidRPr="000426E1">
              <w:rPr>
                <w:rFonts w:ascii="Times New Roman" w:eastAsia="MS Mincho" w:hAnsi="Times New Roman"/>
                <w:bCs/>
                <w:sz w:val="24"/>
                <w:szCs w:val="24"/>
              </w:rPr>
              <w:t xml:space="preserve">Wpływ na parametry hydromorfologiczne </w:t>
            </w:r>
          </w:p>
          <w:p w14:paraId="7270C672" w14:textId="77777777" w:rsidR="00BA0236" w:rsidRPr="000426E1" w:rsidRDefault="00BA0236" w:rsidP="00A95C85">
            <w:pPr>
              <w:pStyle w:val="Akapitzlist1"/>
              <w:tabs>
                <w:tab w:val="left" w:pos="2250"/>
              </w:tabs>
              <w:spacing w:line="240" w:lineRule="auto"/>
              <w:ind w:left="0"/>
              <w:rPr>
                <w:rFonts w:ascii="Times New Roman" w:eastAsia="MS Mincho" w:hAnsi="Times New Roman"/>
                <w:bCs/>
                <w:sz w:val="24"/>
                <w:szCs w:val="24"/>
              </w:rPr>
            </w:pPr>
          </w:p>
        </w:tc>
        <w:tc>
          <w:tcPr>
            <w:tcW w:w="3333" w:type="dxa"/>
          </w:tcPr>
          <w:p w14:paraId="6B79EB30" w14:textId="77777777" w:rsidR="00BA0236" w:rsidRPr="000426E1" w:rsidRDefault="00BA0236" w:rsidP="00A95C85">
            <w:pPr>
              <w:pStyle w:val="Akapitzlist1"/>
              <w:tabs>
                <w:tab w:val="left" w:pos="2250"/>
              </w:tabs>
              <w:spacing w:line="240" w:lineRule="auto"/>
              <w:ind w:left="0"/>
              <w:rPr>
                <w:rFonts w:ascii="Times New Roman" w:hAnsi="Times New Roman"/>
                <w:bCs/>
                <w:sz w:val="24"/>
                <w:szCs w:val="24"/>
              </w:rPr>
            </w:pPr>
            <w:r w:rsidRPr="000426E1">
              <w:rPr>
                <w:rFonts w:ascii="Times New Roman" w:eastAsia="MS Mincho" w:hAnsi="Times New Roman"/>
                <w:sz w:val="24"/>
                <w:szCs w:val="24"/>
              </w:rPr>
              <w:t xml:space="preserve">JCWP </w:t>
            </w:r>
            <w:r w:rsidRPr="000426E1">
              <w:rPr>
                <w:rFonts w:ascii="Times New Roman" w:hAnsi="Times New Roman"/>
                <w:bCs/>
                <w:sz w:val="24"/>
                <w:szCs w:val="24"/>
              </w:rPr>
              <w:t>RW2000165499</w:t>
            </w:r>
          </w:p>
          <w:p w14:paraId="3F40804E" w14:textId="77777777" w:rsidR="00BA0236" w:rsidRPr="000426E1" w:rsidRDefault="00BA0236" w:rsidP="00A95C85">
            <w:pPr>
              <w:pStyle w:val="Akapitzlist1"/>
              <w:tabs>
                <w:tab w:val="left" w:pos="2250"/>
              </w:tabs>
              <w:spacing w:line="240" w:lineRule="auto"/>
              <w:ind w:left="0"/>
              <w:rPr>
                <w:rFonts w:ascii="Times New Roman" w:eastAsia="MS Mincho" w:hAnsi="Times New Roman"/>
                <w:bCs/>
                <w:sz w:val="24"/>
                <w:szCs w:val="24"/>
              </w:rPr>
            </w:pPr>
          </w:p>
        </w:tc>
        <w:tc>
          <w:tcPr>
            <w:tcW w:w="2102" w:type="dxa"/>
          </w:tcPr>
          <w:p w14:paraId="28871185" w14:textId="77777777" w:rsidR="00BA0236" w:rsidRPr="000426E1" w:rsidRDefault="00BA0236" w:rsidP="00A95C85">
            <w:r w:rsidRPr="00B32914">
              <w:rPr>
                <w:bCs/>
              </w:rPr>
              <w:t>Pogorszenie wskaźnika PPH4, PPH6, pogorszenie wskaźnika HIR,</w:t>
            </w:r>
            <w:r w:rsidRPr="00B32914">
              <w:rPr>
                <w:rStyle w:val="fontstyle01"/>
                <w:rFonts w:ascii="Times New Roman" w:hAnsi="Times New Roman"/>
                <w:sz w:val="24"/>
                <w:szCs w:val="24"/>
              </w:rPr>
              <w:t xml:space="preserve"> ograniczenie terenów naturalnie okresowo zalewanych</w:t>
            </w:r>
          </w:p>
        </w:tc>
        <w:tc>
          <w:tcPr>
            <w:tcW w:w="870" w:type="dxa"/>
          </w:tcPr>
          <w:p w14:paraId="60B7E558"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4"/>
                <w:szCs w:val="24"/>
              </w:rPr>
            </w:pPr>
            <w:r w:rsidRPr="000426E1">
              <w:rPr>
                <w:rFonts w:ascii="Times New Roman" w:eastAsia="MS Mincho" w:hAnsi="Times New Roman"/>
                <w:bCs/>
                <w:sz w:val="24"/>
                <w:szCs w:val="24"/>
              </w:rPr>
              <w:t>U/N</w:t>
            </w:r>
          </w:p>
        </w:tc>
      </w:tr>
      <w:tr w:rsidR="00BA0236" w:rsidRPr="00B32914" w14:paraId="620F40E5" w14:textId="77777777" w:rsidTr="00A95C85">
        <w:tc>
          <w:tcPr>
            <w:tcW w:w="2191" w:type="dxa"/>
          </w:tcPr>
          <w:p w14:paraId="63114A59" w14:textId="77777777" w:rsidR="00BA0236" w:rsidRPr="000426E1" w:rsidRDefault="00BA0236" w:rsidP="00A95C85">
            <w:pPr>
              <w:pStyle w:val="Akapitzlist1"/>
              <w:tabs>
                <w:tab w:val="left" w:pos="2250"/>
              </w:tabs>
              <w:spacing w:line="240" w:lineRule="auto"/>
              <w:ind w:left="0"/>
              <w:rPr>
                <w:rFonts w:ascii="Times New Roman" w:eastAsia="MS Mincho" w:hAnsi="Times New Roman"/>
                <w:bCs/>
                <w:sz w:val="24"/>
                <w:szCs w:val="24"/>
              </w:rPr>
            </w:pPr>
            <w:r w:rsidRPr="000426E1">
              <w:rPr>
                <w:rFonts w:ascii="Times New Roman" w:eastAsia="MS Mincho" w:hAnsi="Times New Roman"/>
                <w:bCs/>
                <w:sz w:val="24"/>
                <w:szCs w:val="24"/>
              </w:rPr>
              <w:t>Wpływ na obszary chronione i korytarze ekologiczne</w:t>
            </w:r>
          </w:p>
        </w:tc>
        <w:tc>
          <w:tcPr>
            <w:tcW w:w="3333" w:type="dxa"/>
          </w:tcPr>
          <w:p w14:paraId="295E2A99" w14:textId="77777777" w:rsidR="00BA0236" w:rsidRPr="000426E1" w:rsidRDefault="00BA0236" w:rsidP="00A95C85">
            <w:pPr>
              <w:pStyle w:val="Akapitzlist1"/>
              <w:tabs>
                <w:tab w:val="left" w:pos="2250"/>
              </w:tabs>
              <w:spacing w:line="240" w:lineRule="auto"/>
              <w:ind w:left="0"/>
              <w:rPr>
                <w:rFonts w:ascii="Times New Roman" w:hAnsi="Times New Roman"/>
                <w:sz w:val="24"/>
                <w:szCs w:val="24"/>
              </w:rPr>
            </w:pPr>
            <w:r w:rsidRPr="000426E1">
              <w:rPr>
                <w:rFonts w:ascii="Times New Roman" w:hAnsi="Times New Roman"/>
                <w:sz w:val="24"/>
                <w:szCs w:val="24"/>
              </w:rPr>
              <w:t xml:space="preserve">Nadmorski Park Krajobrazowy, </w:t>
            </w:r>
          </w:p>
          <w:p w14:paraId="1C950980" w14:textId="77777777" w:rsidR="00BA0236" w:rsidRPr="000426E1" w:rsidRDefault="00BA0236" w:rsidP="00A95C85">
            <w:pPr>
              <w:pStyle w:val="Akapitzlist1"/>
              <w:tabs>
                <w:tab w:val="left" w:pos="2250"/>
              </w:tabs>
              <w:spacing w:line="240" w:lineRule="auto"/>
              <w:ind w:left="0"/>
              <w:rPr>
                <w:rFonts w:ascii="Times New Roman" w:hAnsi="Times New Roman"/>
                <w:sz w:val="24"/>
                <w:szCs w:val="24"/>
              </w:rPr>
            </w:pPr>
            <w:r w:rsidRPr="000426E1">
              <w:rPr>
                <w:rFonts w:ascii="Times New Roman" w:hAnsi="Times New Roman"/>
                <w:sz w:val="24"/>
                <w:szCs w:val="24"/>
              </w:rPr>
              <w:t xml:space="preserve">Obszar Natura 2000: Zatoka Pucka </w:t>
            </w:r>
          </w:p>
          <w:p w14:paraId="1C9A25C8" w14:textId="77777777" w:rsidR="00BA0236" w:rsidRDefault="00BA0236" w:rsidP="00A95C85">
            <w:pPr>
              <w:pStyle w:val="Akapitzlist1"/>
              <w:tabs>
                <w:tab w:val="left" w:pos="2250"/>
              </w:tabs>
              <w:spacing w:line="240" w:lineRule="auto"/>
              <w:ind w:left="0"/>
              <w:rPr>
                <w:rFonts w:ascii="Times New Roman" w:hAnsi="Times New Roman"/>
                <w:sz w:val="24"/>
                <w:szCs w:val="24"/>
              </w:rPr>
            </w:pPr>
            <w:r w:rsidRPr="000426E1">
              <w:rPr>
                <w:rFonts w:ascii="Times New Roman" w:hAnsi="Times New Roman"/>
                <w:sz w:val="24"/>
                <w:szCs w:val="24"/>
              </w:rPr>
              <w:t>Obszar Natura 2000 Zatoka Pucka i Półwysep Helski.</w:t>
            </w:r>
          </w:p>
          <w:p w14:paraId="60A8188F" w14:textId="77777777" w:rsidR="00BA0236" w:rsidRPr="000426E1" w:rsidRDefault="00BA0236" w:rsidP="00A95C85">
            <w:pPr>
              <w:pStyle w:val="Akapitzlist1"/>
              <w:tabs>
                <w:tab w:val="left" w:pos="2250"/>
              </w:tabs>
              <w:spacing w:line="240" w:lineRule="auto"/>
              <w:ind w:left="0"/>
              <w:rPr>
                <w:rFonts w:ascii="Times New Roman" w:eastAsia="MS Mincho" w:hAnsi="Times New Roman"/>
                <w:bCs/>
                <w:sz w:val="24"/>
                <w:szCs w:val="24"/>
              </w:rPr>
            </w:pPr>
            <w:r>
              <w:rPr>
                <w:rFonts w:ascii="Times New Roman" w:hAnsi="Times New Roman"/>
                <w:sz w:val="24"/>
                <w:szCs w:val="24"/>
              </w:rPr>
              <w:t>Rezerwat Beka</w:t>
            </w:r>
          </w:p>
        </w:tc>
        <w:tc>
          <w:tcPr>
            <w:tcW w:w="2102" w:type="dxa"/>
          </w:tcPr>
          <w:p w14:paraId="2BC31AEA" w14:textId="77777777" w:rsidR="00BA0236" w:rsidRPr="000426E1" w:rsidRDefault="00BA0236" w:rsidP="00A95C85">
            <w:pPr>
              <w:rPr>
                <w:b/>
                <w:color w:val="28AAE1"/>
              </w:rPr>
            </w:pPr>
            <w:r w:rsidRPr="00B32914">
              <w:rPr>
                <w:rStyle w:val="fontstyle01"/>
                <w:rFonts w:ascii="Times New Roman" w:hAnsi="Times New Roman"/>
                <w:sz w:val="24"/>
                <w:szCs w:val="24"/>
              </w:rPr>
              <w:t>Bez istotnego wpływu na funkcjonowanie korytarza ekologicznego rzeki Redy oraz migrację ssaków</w:t>
            </w:r>
            <w:r w:rsidRPr="00B32914">
              <w:rPr>
                <w:lang w:eastAsia="pl-PL"/>
              </w:rPr>
              <w:t xml:space="preserve"> możliwy negatywny potencjalny wpływ na przedmioty ochrony </w:t>
            </w:r>
            <w:r w:rsidRPr="00B32914">
              <w:t>Rezerwatu przyrody Beka oraz przedmioty ochrony i cele środowiskowe</w:t>
            </w:r>
          </w:p>
        </w:tc>
        <w:tc>
          <w:tcPr>
            <w:tcW w:w="870" w:type="dxa"/>
          </w:tcPr>
          <w:p w14:paraId="76EC4B3C"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4"/>
                <w:szCs w:val="24"/>
              </w:rPr>
            </w:pPr>
            <w:r w:rsidRPr="000426E1">
              <w:rPr>
                <w:rFonts w:ascii="Times New Roman" w:eastAsia="MS Mincho" w:hAnsi="Times New Roman"/>
                <w:bCs/>
                <w:sz w:val="24"/>
                <w:szCs w:val="24"/>
              </w:rPr>
              <w:t>U/N</w:t>
            </w:r>
          </w:p>
        </w:tc>
      </w:tr>
      <w:tr w:rsidR="00BA0236" w:rsidRPr="00B32914" w14:paraId="4C4DEAE7" w14:textId="77777777" w:rsidTr="00A95C85">
        <w:tc>
          <w:tcPr>
            <w:tcW w:w="5524" w:type="dxa"/>
            <w:gridSpan w:val="2"/>
          </w:tcPr>
          <w:p w14:paraId="7E397405" w14:textId="77777777" w:rsidR="00BA0236" w:rsidRPr="000426E1" w:rsidRDefault="00BA0236">
            <w:pPr>
              <w:jc w:val="both"/>
            </w:pPr>
            <w:r w:rsidRPr="00B32914">
              <w:rPr>
                <w:rStyle w:val="fontstyle01"/>
                <w:rFonts w:ascii="Times New Roman" w:hAnsi="Times New Roman"/>
                <w:sz w:val="24"/>
                <w:szCs w:val="24"/>
              </w:rPr>
              <w:t xml:space="preserve">Stopień udatności środowiskowej </w:t>
            </w:r>
          </w:p>
          <w:p w14:paraId="7D24D40E" w14:textId="77777777" w:rsidR="00BA0236" w:rsidRPr="000426E1" w:rsidRDefault="00BA0236">
            <w:pPr>
              <w:pStyle w:val="Akapitzlist1"/>
              <w:tabs>
                <w:tab w:val="left" w:pos="2250"/>
              </w:tabs>
              <w:spacing w:line="240" w:lineRule="auto"/>
              <w:ind w:left="0"/>
              <w:jc w:val="both"/>
              <w:rPr>
                <w:rFonts w:ascii="Times New Roman" w:hAnsi="Times New Roman"/>
                <w:bCs/>
                <w:sz w:val="24"/>
                <w:szCs w:val="24"/>
              </w:rPr>
            </w:pPr>
          </w:p>
        </w:tc>
        <w:tc>
          <w:tcPr>
            <w:tcW w:w="2972" w:type="dxa"/>
            <w:gridSpan w:val="2"/>
          </w:tcPr>
          <w:p w14:paraId="08E82130"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4"/>
                <w:szCs w:val="24"/>
              </w:rPr>
            </w:pPr>
            <w:r w:rsidRPr="000426E1">
              <w:rPr>
                <w:rFonts w:ascii="Times New Roman" w:eastAsia="MS Mincho" w:hAnsi="Times New Roman"/>
                <w:bCs/>
                <w:sz w:val="24"/>
                <w:szCs w:val="24"/>
              </w:rPr>
              <w:t>U/N</w:t>
            </w:r>
          </w:p>
        </w:tc>
      </w:tr>
      <w:tr w:rsidR="00BA0236" w:rsidRPr="00B32914" w14:paraId="0F5C527C" w14:textId="77777777" w:rsidTr="00A95C85">
        <w:tc>
          <w:tcPr>
            <w:tcW w:w="8496" w:type="dxa"/>
            <w:gridSpan w:val="4"/>
          </w:tcPr>
          <w:p w14:paraId="64399029" w14:textId="11A6B494" w:rsidR="00BA0236" w:rsidRPr="000426E1" w:rsidRDefault="00BA0236">
            <w:pPr>
              <w:pStyle w:val="Akapitzlist1"/>
              <w:tabs>
                <w:tab w:val="left" w:pos="2250"/>
              </w:tabs>
              <w:spacing w:line="240" w:lineRule="auto"/>
              <w:ind w:left="0"/>
              <w:jc w:val="both"/>
              <w:rPr>
                <w:rFonts w:ascii="Times New Roman" w:eastAsia="MS Mincho" w:hAnsi="Times New Roman"/>
                <w:bCs/>
                <w:sz w:val="24"/>
                <w:szCs w:val="24"/>
              </w:rPr>
            </w:pPr>
            <w:r w:rsidRPr="000426E1">
              <w:rPr>
                <w:rFonts w:ascii="Times New Roman" w:eastAsia="MS Mincho" w:hAnsi="Times New Roman"/>
                <w:sz w:val="24"/>
                <w:szCs w:val="24"/>
              </w:rPr>
              <w:t xml:space="preserve">Z uwagi na skalę prac działania będą negatywnie oddziaływać na parametry hydromorfologiczne JCWP, dlatego Wariant został oceniony jako U/N środowiskowo </w:t>
            </w:r>
            <w:r w:rsidRPr="000426E1">
              <w:rPr>
                <w:rStyle w:val="fontstyle01"/>
                <w:rFonts w:ascii="Times New Roman" w:eastAsia="MS Mincho" w:hAnsi="Times New Roman"/>
                <w:sz w:val="24"/>
                <w:szCs w:val="24"/>
              </w:rPr>
              <w:t>mogąc</w:t>
            </w:r>
            <w:r w:rsidRPr="000426E1">
              <w:rPr>
                <w:rStyle w:val="fontstyle01"/>
                <w:rFonts w:ascii="Times New Roman" w:hAnsi="Times New Roman"/>
                <w:sz w:val="24"/>
                <w:szCs w:val="24"/>
              </w:rPr>
              <w:t>y</w:t>
            </w:r>
            <w:r w:rsidRPr="000426E1">
              <w:rPr>
                <w:rStyle w:val="fontstyle01"/>
                <w:rFonts w:ascii="Times New Roman" w:eastAsia="MS Mincho" w:hAnsi="Times New Roman"/>
                <w:sz w:val="24"/>
                <w:szCs w:val="24"/>
              </w:rPr>
              <w:t xml:space="preserve"> wpłynąć negatywnie na</w:t>
            </w:r>
            <w:r w:rsidRPr="000426E1">
              <w:rPr>
                <w:rFonts w:ascii="Times New Roman" w:hAnsi="Times New Roman"/>
                <w:color w:val="000000"/>
                <w:sz w:val="24"/>
                <w:szCs w:val="24"/>
              </w:rPr>
              <w:t xml:space="preserve"> </w:t>
            </w:r>
            <w:r w:rsidRPr="000426E1">
              <w:rPr>
                <w:rStyle w:val="fontstyle01"/>
                <w:rFonts w:ascii="Times New Roman" w:eastAsia="MS Mincho" w:hAnsi="Times New Roman"/>
                <w:sz w:val="24"/>
                <w:szCs w:val="24"/>
              </w:rPr>
              <w:t>możliwość osiągnięcia celów ochrony wód w</w:t>
            </w:r>
            <w:r w:rsidR="00A95C85">
              <w:rPr>
                <w:rStyle w:val="fontstyle01"/>
                <w:rFonts w:ascii="Times New Roman" w:eastAsia="MS Mincho" w:hAnsi="Times New Roman"/>
                <w:sz w:val="24"/>
                <w:szCs w:val="24"/>
              </w:rPr>
              <w:t> </w:t>
            </w:r>
            <w:r w:rsidRPr="000426E1">
              <w:rPr>
                <w:rStyle w:val="fontstyle01"/>
                <w:rFonts w:ascii="Times New Roman" w:eastAsia="MS Mincho" w:hAnsi="Times New Roman"/>
                <w:sz w:val="24"/>
                <w:szCs w:val="24"/>
              </w:rPr>
              <w:t>rozumieniu RDW</w:t>
            </w:r>
            <w:r w:rsidRPr="000426E1">
              <w:rPr>
                <w:rFonts w:ascii="Times New Roman" w:eastAsia="MS Mincho" w:hAnsi="Times New Roman"/>
                <w:bCs/>
                <w:sz w:val="24"/>
                <w:szCs w:val="24"/>
              </w:rPr>
              <w:t>. Działanie zlokalizowane jest w granicach obszarów chronionych, możliwe wystąpienie negatywnego oddziaływania na przedmioty ochrony, a</w:t>
            </w:r>
            <w:r w:rsidR="00A95C85">
              <w:rPr>
                <w:rFonts w:ascii="Times New Roman" w:eastAsia="MS Mincho" w:hAnsi="Times New Roman"/>
                <w:bCs/>
                <w:sz w:val="24"/>
                <w:szCs w:val="24"/>
              </w:rPr>
              <w:t> </w:t>
            </w:r>
            <w:r w:rsidRPr="000426E1">
              <w:rPr>
                <w:rFonts w:ascii="Times New Roman" w:eastAsia="MS Mincho" w:hAnsi="Times New Roman"/>
                <w:bCs/>
                <w:sz w:val="24"/>
                <w:szCs w:val="24"/>
              </w:rPr>
              <w:t xml:space="preserve">ewentualne oddziaływania ocenia się jako możliwe do częściowego zminimalizowania. </w:t>
            </w:r>
            <w:r w:rsidRPr="000426E1">
              <w:rPr>
                <w:rFonts w:ascii="Times New Roman" w:eastAsia="MS Mincho" w:hAnsi="Times New Roman"/>
                <w:b/>
                <w:bCs/>
                <w:sz w:val="24"/>
                <w:szCs w:val="24"/>
              </w:rPr>
              <w:t>Stopień udatności środowiskowej określono jako umiarkowanie korzystny / niekorzystny.</w:t>
            </w:r>
          </w:p>
        </w:tc>
      </w:tr>
    </w:tbl>
    <w:p w14:paraId="7F73D903" w14:textId="50F81693" w:rsidR="00BA0236" w:rsidRPr="008D7CA9" w:rsidRDefault="00BA0236" w:rsidP="008D7CA9">
      <w:pPr>
        <w:pStyle w:val="Legenda"/>
        <w:tabs>
          <w:tab w:val="clear" w:pos="1080"/>
          <w:tab w:val="left" w:pos="1134"/>
        </w:tabs>
        <w:ind w:left="1134" w:hanging="1134"/>
        <w:jc w:val="both"/>
        <w:rPr>
          <w:rFonts w:eastAsia="Times New Roman"/>
          <w:sz w:val="28"/>
          <w:szCs w:val="28"/>
        </w:rPr>
      </w:pPr>
      <w:bookmarkStart w:id="204" w:name="_Toc80604837"/>
      <w:r w:rsidRPr="008D7CA9">
        <w:rPr>
          <w:sz w:val="24"/>
          <w:szCs w:val="28"/>
        </w:rPr>
        <w:lastRenderedPageBreak/>
        <w:t xml:space="preserve">Tabela </w:t>
      </w:r>
      <w:r w:rsidR="00295C25" w:rsidRPr="008D7CA9">
        <w:rPr>
          <w:sz w:val="24"/>
          <w:szCs w:val="28"/>
        </w:rPr>
        <w:fldChar w:fldCharType="begin"/>
      </w:r>
      <w:r w:rsidR="00295C25" w:rsidRPr="008D7CA9">
        <w:rPr>
          <w:sz w:val="24"/>
          <w:szCs w:val="28"/>
        </w:rPr>
        <w:instrText xml:space="preserve"> SEQ Tabela \* ARABIC </w:instrText>
      </w:r>
      <w:r w:rsidR="00295C25" w:rsidRPr="008D7CA9">
        <w:rPr>
          <w:sz w:val="24"/>
          <w:szCs w:val="28"/>
        </w:rPr>
        <w:fldChar w:fldCharType="separate"/>
      </w:r>
      <w:r w:rsidR="00FD3F9A">
        <w:rPr>
          <w:noProof/>
          <w:sz w:val="24"/>
          <w:szCs w:val="28"/>
        </w:rPr>
        <w:t>27</w:t>
      </w:r>
      <w:r w:rsidR="00295C25" w:rsidRPr="008D7CA9">
        <w:rPr>
          <w:noProof/>
          <w:sz w:val="24"/>
          <w:szCs w:val="28"/>
        </w:rPr>
        <w:fldChar w:fldCharType="end"/>
      </w:r>
      <w:r w:rsidR="008D7CA9">
        <w:rPr>
          <w:sz w:val="24"/>
          <w:szCs w:val="28"/>
        </w:rPr>
        <w:tab/>
      </w:r>
      <w:r w:rsidRPr="008D7CA9">
        <w:rPr>
          <w:sz w:val="24"/>
          <w:szCs w:val="28"/>
        </w:rPr>
        <w:t>Ocena zgodności z celami środowiskowymi wynikającymi z Ramowej Dyrektywy Wodnej i wymaganiami Dyrektywy Ptasiej i Siedliskowej oraz wymaganiami ustawy o Ochronie Przyrody- podsumowanie oceny dla obszaru problemowego IOP_1 Miasto Gdańsk</w:t>
      </w:r>
      <w:bookmarkEnd w:id="204"/>
      <w:r w:rsidRPr="008D7CA9">
        <w:rPr>
          <w:sz w:val="24"/>
          <w:szCs w:val="28"/>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2770"/>
        <w:gridCol w:w="2717"/>
        <w:gridCol w:w="669"/>
      </w:tblGrid>
      <w:tr w:rsidR="00BA0236" w:rsidRPr="00B32914" w14:paraId="4A15D442" w14:textId="77777777" w:rsidTr="008D7CA9">
        <w:tc>
          <w:tcPr>
            <w:tcW w:w="5000" w:type="pct"/>
            <w:gridSpan w:val="4"/>
            <w:shd w:val="clear" w:color="auto" w:fill="D4EDF9"/>
          </w:tcPr>
          <w:p w14:paraId="1A594F6A" w14:textId="77777777" w:rsidR="00BA0236" w:rsidRPr="00B32914" w:rsidRDefault="00BA0236" w:rsidP="000426E1">
            <w:pPr>
              <w:spacing w:before="40" w:after="40"/>
              <w:jc w:val="center"/>
              <w:rPr>
                <w:b/>
                <w:bCs/>
                <w:color w:val="000000"/>
                <w:sz w:val="20"/>
                <w:szCs w:val="20"/>
              </w:rPr>
            </w:pPr>
            <w:r w:rsidRPr="00B32914">
              <w:rPr>
                <w:b/>
                <w:bCs/>
                <w:color w:val="000000"/>
                <w:sz w:val="20"/>
                <w:szCs w:val="20"/>
              </w:rPr>
              <w:t>Ocena stopnia udatności środowiskowej wariantów działań</w:t>
            </w:r>
          </w:p>
          <w:p w14:paraId="6F484AC7" w14:textId="77777777" w:rsidR="00BA0236" w:rsidRPr="00B32914" w:rsidRDefault="00BA0236">
            <w:pPr>
              <w:spacing w:before="40" w:after="40"/>
              <w:jc w:val="center"/>
              <w:rPr>
                <w:b/>
                <w:bCs/>
                <w:color w:val="000000"/>
                <w:sz w:val="20"/>
                <w:szCs w:val="20"/>
              </w:rPr>
            </w:pPr>
            <w:r w:rsidRPr="00B32914">
              <w:rPr>
                <w:b/>
                <w:bCs/>
                <w:color w:val="000000"/>
                <w:sz w:val="20"/>
                <w:szCs w:val="20"/>
              </w:rPr>
              <w:t>K- korzystna środowiskowo, U - umiarkowanie korzystna środowiskowo,</w:t>
            </w:r>
          </w:p>
          <w:p w14:paraId="4369BA1D" w14:textId="77777777" w:rsidR="00BA0236" w:rsidRPr="00B32914" w:rsidRDefault="00BA0236">
            <w:pPr>
              <w:spacing w:before="40" w:after="40"/>
              <w:jc w:val="center"/>
            </w:pPr>
            <w:r w:rsidRPr="00B32914">
              <w:rPr>
                <w:b/>
                <w:bCs/>
                <w:color w:val="000000"/>
                <w:sz w:val="20"/>
                <w:szCs w:val="20"/>
              </w:rPr>
              <w:t>N - niekorzystna środowiskowo,</w:t>
            </w:r>
          </w:p>
        </w:tc>
      </w:tr>
      <w:tr w:rsidR="00BA0236" w:rsidRPr="00B32914" w14:paraId="60577C76" w14:textId="77777777" w:rsidTr="008D7CA9">
        <w:tc>
          <w:tcPr>
            <w:tcW w:w="5000" w:type="pct"/>
            <w:gridSpan w:val="4"/>
          </w:tcPr>
          <w:p w14:paraId="427CCD21" w14:textId="77777777" w:rsidR="00BA0236" w:rsidRPr="00B32914" w:rsidRDefault="00BA0236">
            <w:pPr>
              <w:spacing w:before="100" w:beforeAutospacing="1" w:after="100" w:afterAutospacing="1"/>
              <w:rPr>
                <w:lang w:eastAsia="pl-PL"/>
              </w:rPr>
            </w:pPr>
            <w:r w:rsidRPr="00B32914">
              <w:rPr>
                <w:color w:val="000000"/>
                <w:lang w:eastAsia="pl-PL"/>
              </w:rPr>
              <w:t xml:space="preserve">IOP_1 Miasto Gdańsk </w:t>
            </w:r>
          </w:p>
          <w:p w14:paraId="48D64D12"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4"/>
                <w:szCs w:val="24"/>
              </w:rPr>
            </w:pPr>
          </w:p>
        </w:tc>
      </w:tr>
      <w:tr w:rsidR="00BA0236" w:rsidRPr="00B32914" w14:paraId="117D8C57" w14:textId="77777777" w:rsidTr="008D7CA9">
        <w:tc>
          <w:tcPr>
            <w:tcW w:w="1377" w:type="pct"/>
          </w:tcPr>
          <w:p w14:paraId="174E9B4D"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4"/>
                <w:szCs w:val="24"/>
              </w:rPr>
            </w:pPr>
            <w:r w:rsidRPr="000426E1">
              <w:rPr>
                <w:rFonts w:ascii="Times New Roman" w:eastAsia="MS Mincho" w:hAnsi="Times New Roman"/>
                <w:bCs/>
                <w:sz w:val="24"/>
                <w:szCs w:val="24"/>
              </w:rPr>
              <w:t xml:space="preserve">Wpływ na parametry biologiczne </w:t>
            </w:r>
          </w:p>
        </w:tc>
        <w:tc>
          <w:tcPr>
            <w:tcW w:w="1629" w:type="pct"/>
          </w:tcPr>
          <w:p w14:paraId="3DA8AA0C" w14:textId="77777777" w:rsidR="00BA0236" w:rsidRPr="000426E1" w:rsidRDefault="00BA0236">
            <w:pPr>
              <w:pStyle w:val="Akapitzlist1"/>
              <w:tabs>
                <w:tab w:val="left" w:pos="2250"/>
              </w:tabs>
              <w:spacing w:line="240" w:lineRule="auto"/>
              <w:ind w:left="0"/>
              <w:jc w:val="both"/>
              <w:rPr>
                <w:rFonts w:ascii="Times New Roman" w:hAnsi="Times New Roman"/>
                <w:bCs/>
                <w:sz w:val="24"/>
                <w:szCs w:val="24"/>
              </w:rPr>
            </w:pPr>
            <w:r w:rsidRPr="000426E1">
              <w:rPr>
                <w:rFonts w:ascii="Times New Roman" w:hAnsi="Times New Roman"/>
                <w:bCs/>
                <w:sz w:val="24"/>
                <w:szCs w:val="24"/>
              </w:rPr>
              <w:t>RW200014489</w:t>
            </w:r>
          </w:p>
          <w:p w14:paraId="0A90565E"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4"/>
                <w:szCs w:val="24"/>
              </w:rPr>
            </w:pPr>
            <w:r w:rsidRPr="000426E1">
              <w:rPr>
                <w:rFonts w:ascii="Times New Roman" w:hAnsi="Times New Roman"/>
                <w:bCs/>
                <w:sz w:val="24"/>
                <w:szCs w:val="24"/>
              </w:rPr>
              <w:t>TW20004WB6</w:t>
            </w:r>
          </w:p>
        </w:tc>
        <w:tc>
          <w:tcPr>
            <w:tcW w:w="1599" w:type="pct"/>
          </w:tcPr>
          <w:p w14:paraId="5E4E1CFA"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4"/>
                <w:szCs w:val="24"/>
              </w:rPr>
            </w:pPr>
            <w:r w:rsidRPr="000426E1">
              <w:rPr>
                <w:rFonts w:ascii="Times New Roman" w:eastAsia="MS Mincho" w:hAnsi="Times New Roman"/>
                <w:bCs/>
                <w:sz w:val="24"/>
                <w:szCs w:val="24"/>
              </w:rPr>
              <w:t>nd</w:t>
            </w:r>
          </w:p>
        </w:tc>
        <w:tc>
          <w:tcPr>
            <w:tcW w:w="394" w:type="pct"/>
          </w:tcPr>
          <w:p w14:paraId="75BA91F0"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4"/>
                <w:szCs w:val="24"/>
              </w:rPr>
            </w:pPr>
            <w:r w:rsidRPr="000426E1">
              <w:rPr>
                <w:rFonts w:ascii="Times New Roman" w:eastAsia="MS Mincho" w:hAnsi="Times New Roman"/>
                <w:bCs/>
                <w:sz w:val="24"/>
                <w:szCs w:val="24"/>
              </w:rPr>
              <w:t>K</w:t>
            </w:r>
          </w:p>
        </w:tc>
      </w:tr>
      <w:tr w:rsidR="00BA0236" w:rsidRPr="00B32914" w14:paraId="1C7B319B" w14:textId="77777777" w:rsidTr="008D7CA9">
        <w:tc>
          <w:tcPr>
            <w:tcW w:w="1377" w:type="pct"/>
          </w:tcPr>
          <w:p w14:paraId="187DABAB"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4"/>
                <w:szCs w:val="24"/>
              </w:rPr>
            </w:pPr>
            <w:r w:rsidRPr="000426E1">
              <w:rPr>
                <w:rFonts w:ascii="Times New Roman" w:eastAsia="MS Mincho" w:hAnsi="Times New Roman"/>
                <w:bCs/>
                <w:sz w:val="24"/>
                <w:szCs w:val="24"/>
              </w:rPr>
              <w:t xml:space="preserve">Wpływ na parametry hydromorfologiczne </w:t>
            </w:r>
          </w:p>
          <w:p w14:paraId="282F6C3B"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4"/>
                <w:szCs w:val="24"/>
              </w:rPr>
            </w:pPr>
          </w:p>
        </w:tc>
        <w:tc>
          <w:tcPr>
            <w:tcW w:w="1629" w:type="pct"/>
          </w:tcPr>
          <w:p w14:paraId="3E57D43F" w14:textId="77777777" w:rsidR="00BA0236" w:rsidRPr="000426E1" w:rsidRDefault="00BA0236">
            <w:pPr>
              <w:pStyle w:val="Akapitzlist1"/>
              <w:tabs>
                <w:tab w:val="left" w:pos="2250"/>
              </w:tabs>
              <w:spacing w:line="240" w:lineRule="auto"/>
              <w:ind w:left="0"/>
              <w:jc w:val="both"/>
              <w:rPr>
                <w:rFonts w:ascii="Times New Roman" w:hAnsi="Times New Roman"/>
                <w:bCs/>
                <w:sz w:val="24"/>
                <w:szCs w:val="24"/>
              </w:rPr>
            </w:pPr>
            <w:r w:rsidRPr="000426E1">
              <w:rPr>
                <w:rFonts w:ascii="Times New Roman" w:hAnsi="Times New Roman"/>
                <w:bCs/>
                <w:sz w:val="24"/>
                <w:szCs w:val="24"/>
              </w:rPr>
              <w:t>RW200014489</w:t>
            </w:r>
          </w:p>
          <w:p w14:paraId="4A76534C"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4"/>
                <w:szCs w:val="24"/>
              </w:rPr>
            </w:pPr>
          </w:p>
        </w:tc>
        <w:tc>
          <w:tcPr>
            <w:tcW w:w="1599" w:type="pct"/>
          </w:tcPr>
          <w:p w14:paraId="38665F5B" w14:textId="77777777" w:rsidR="00BA0236" w:rsidRPr="00B32914" w:rsidRDefault="00BA0236">
            <w:pPr>
              <w:jc w:val="both"/>
            </w:pPr>
            <w:r w:rsidRPr="00B32914">
              <w:t>nd</w:t>
            </w:r>
          </w:p>
        </w:tc>
        <w:tc>
          <w:tcPr>
            <w:tcW w:w="394" w:type="pct"/>
          </w:tcPr>
          <w:p w14:paraId="4A64EA3E"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4"/>
                <w:szCs w:val="24"/>
              </w:rPr>
            </w:pPr>
            <w:r w:rsidRPr="000426E1">
              <w:rPr>
                <w:rFonts w:ascii="Times New Roman" w:eastAsia="MS Mincho" w:hAnsi="Times New Roman"/>
                <w:bCs/>
                <w:sz w:val="24"/>
                <w:szCs w:val="24"/>
              </w:rPr>
              <w:t>K</w:t>
            </w:r>
          </w:p>
        </w:tc>
      </w:tr>
      <w:tr w:rsidR="00BA0236" w:rsidRPr="00B32914" w14:paraId="47ABF911" w14:textId="77777777" w:rsidTr="008D7CA9">
        <w:tc>
          <w:tcPr>
            <w:tcW w:w="1377" w:type="pct"/>
          </w:tcPr>
          <w:p w14:paraId="3D2ABC0F"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4"/>
                <w:szCs w:val="24"/>
              </w:rPr>
            </w:pPr>
            <w:r w:rsidRPr="000426E1">
              <w:rPr>
                <w:rFonts w:ascii="Times New Roman" w:eastAsia="MS Mincho" w:hAnsi="Times New Roman"/>
                <w:bCs/>
                <w:sz w:val="24"/>
                <w:szCs w:val="24"/>
              </w:rPr>
              <w:t>Wpływ na obszary chronione i korytarze ekologiczne</w:t>
            </w:r>
          </w:p>
        </w:tc>
        <w:tc>
          <w:tcPr>
            <w:tcW w:w="1629" w:type="pct"/>
          </w:tcPr>
          <w:p w14:paraId="2B7D607F"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4"/>
                <w:szCs w:val="24"/>
              </w:rPr>
            </w:pPr>
          </w:p>
        </w:tc>
        <w:tc>
          <w:tcPr>
            <w:tcW w:w="1599" w:type="pct"/>
            <w:vAlign w:val="center"/>
          </w:tcPr>
          <w:p w14:paraId="03EBA1D6" w14:textId="77777777" w:rsidR="00BA0236" w:rsidRPr="00B32914" w:rsidRDefault="00BA0236" w:rsidP="008D7CA9">
            <w:pPr>
              <w:rPr>
                <w:b/>
                <w:color w:val="28AAE1"/>
              </w:rPr>
            </w:pPr>
            <w:r w:rsidRPr="00B32914">
              <w:rPr>
                <w:rStyle w:val="fontstyle01"/>
                <w:rFonts w:ascii="Times New Roman" w:hAnsi="Times New Roman"/>
                <w:sz w:val="24"/>
                <w:szCs w:val="24"/>
              </w:rPr>
              <w:t>Bez wpływu na funkcjonowanie korytarza ekologicznego oraz migrację ssaków</w:t>
            </w:r>
            <w:r w:rsidRPr="00B32914">
              <w:rPr>
                <w:lang w:eastAsia="pl-PL"/>
              </w:rPr>
              <w:t xml:space="preserve"> </w:t>
            </w:r>
          </w:p>
        </w:tc>
        <w:tc>
          <w:tcPr>
            <w:tcW w:w="394" w:type="pct"/>
          </w:tcPr>
          <w:p w14:paraId="01AC3CFA"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4"/>
                <w:szCs w:val="24"/>
              </w:rPr>
            </w:pPr>
            <w:r w:rsidRPr="000426E1">
              <w:rPr>
                <w:rFonts w:ascii="Times New Roman" w:eastAsia="MS Mincho" w:hAnsi="Times New Roman"/>
                <w:bCs/>
                <w:sz w:val="24"/>
                <w:szCs w:val="24"/>
              </w:rPr>
              <w:t>K</w:t>
            </w:r>
          </w:p>
        </w:tc>
      </w:tr>
      <w:tr w:rsidR="00BA0236" w:rsidRPr="00B32914" w14:paraId="170113D5" w14:textId="77777777" w:rsidTr="008D7CA9">
        <w:tc>
          <w:tcPr>
            <w:tcW w:w="3007" w:type="pct"/>
            <w:gridSpan w:val="2"/>
          </w:tcPr>
          <w:p w14:paraId="2B7EEE80" w14:textId="77777777" w:rsidR="00BA0236" w:rsidRPr="00B32914" w:rsidRDefault="00BA0236">
            <w:pPr>
              <w:jc w:val="both"/>
            </w:pPr>
            <w:r w:rsidRPr="00B32914">
              <w:rPr>
                <w:rStyle w:val="fontstyle01"/>
                <w:rFonts w:ascii="Times New Roman" w:hAnsi="Times New Roman"/>
                <w:sz w:val="24"/>
                <w:szCs w:val="24"/>
              </w:rPr>
              <w:t xml:space="preserve">Stopień udatności środowiskowej </w:t>
            </w:r>
          </w:p>
          <w:p w14:paraId="3F906F81" w14:textId="77777777" w:rsidR="00BA0236" w:rsidRPr="000426E1" w:rsidRDefault="00BA0236">
            <w:pPr>
              <w:pStyle w:val="Akapitzlist1"/>
              <w:tabs>
                <w:tab w:val="left" w:pos="2250"/>
              </w:tabs>
              <w:spacing w:line="240" w:lineRule="auto"/>
              <w:ind w:left="0"/>
              <w:jc w:val="both"/>
              <w:rPr>
                <w:rFonts w:ascii="Times New Roman" w:hAnsi="Times New Roman"/>
                <w:bCs/>
                <w:sz w:val="24"/>
                <w:szCs w:val="24"/>
              </w:rPr>
            </w:pPr>
          </w:p>
        </w:tc>
        <w:tc>
          <w:tcPr>
            <w:tcW w:w="1993" w:type="pct"/>
            <w:gridSpan w:val="2"/>
          </w:tcPr>
          <w:p w14:paraId="23127AE3"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4"/>
                <w:szCs w:val="24"/>
              </w:rPr>
            </w:pPr>
            <w:r w:rsidRPr="000426E1">
              <w:rPr>
                <w:rFonts w:ascii="Times New Roman" w:eastAsia="MS Mincho" w:hAnsi="Times New Roman"/>
                <w:bCs/>
                <w:sz w:val="24"/>
                <w:szCs w:val="24"/>
              </w:rPr>
              <w:t>K</w:t>
            </w:r>
          </w:p>
        </w:tc>
      </w:tr>
      <w:tr w:rsidR="00BA0236" w:rsidRPr="00B32914" w14:paraId="2619E1AA" w14:textId="77777777" w:rsidTr="008D7CA9">
        <w:tc>
          <w:tcPr>
            <w:tcW w:w="5000" w:type="pct"/>
            <w:gridSpan w:val="4"/>
          </w:tcPr>
          <w:p w14:paraId="1F62A327"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4"/>
                <w:szCs w:val="24"/>
              </w:rPr>
            </w:pPr>
            <w:r w:rsidRPr="000426E1">
              <w:rPr>
                <w:rFonts w:ascii="Times New Roman" w:eastAsia="MS Mincho" w:hAnsi="Times New Roman"/>
                <w:sz w:val="24"/>
                <w:szCs w:val="24"/>
              </w:rPr>
              <w:t xml:space="preserve">Z uwagi na skalę prac działania nie będą negatywnie oddziaływać na parametry oceny stanu JCWP oraz cele środowiskowe, dlatego Wariant został oceniony jako K korzystny środowiskowo </w:t>
            </w:r>
            <w:r w:rsidRPr="000426E1">
              <w:rPr>
                <w:rStyle w:val="fontstyle01"/>
                <w:rFonts w:ascii="Times New Roman" w:eastAsia="MS Mincho" w:hAnsi="Times New Roman"/>
                <w:sz w:val="24"/>
                <w:szCs w:val="24"/>
              </w:rPr>
              <w:t>bez negatywnego wpływu na</w:t>
            </w:r>
            <w:r w:rsidRPr="000426E1">
              <w:rPr>
                <w:rFonts w:ascii="Times New Roman" w:hAnsi="Times New Roman"/>
                <w:color w:val="000000"/>
                <w:sz w:val="24"/>
                <w:szCs w:val="24"/>
              </w:rPr>
              <w:t xml:space="preserve"> </w:t>
            </w:r>
            <w:r w:rsidRPr="000426E1">
              <w:rPr>
                <w:rStyle w:val="fontstyle01"/>
                <w:rFonts w:ascii="Times New Roman" w:eastAsia="MS Mincho" w:hAnsi="Times New Roman"/>
                <w:sz w:val="24"/>
                <w:szCs w:val="24"/>
              </w:rPr>
              <w:t>możliwość osiągnięcia celów ochrony wód w rozumieniu RDW</w:t>
            </w:r>
            <w:r w:rsidRPr="000426E1">
              <w:rPr>
                <w:rFonts w:ascii="Times New Roman" w:eastAsia="MS Mincho" w:hAnsi="Times New Roman"/>
                <w:bCs/>
                <w:sz w:val="24"/>
                <w:szCs w:val="24"/>
              </w:rPr>
              <w:t xml:space="preserve">. Działanie zlokalizowane jest poza obszarami chronionymi. </w:t>
            </w:r>
            <w:r w:rsidRPr="000426E1">
              <w:rPr>
                <w:rFonts w:ascii="Times New Roman" w:eastAsia="MS Mincho" w:hAnsi="Times New Roman"/>
                <w:b/>
                <w:bCs/>
                <w:sz w:val="24"/>
                <w:szCs w:val="24"/>
              </w:rPr>
              <w:t xml:space="preserve">Stopień udatności środowiskowej określono jako opcja Korzystna środowiskowo. </w:t>
            </w:r>
          </w:p>
        </w:tc>
      </w:tr>
    </w:tbl>
    <w:p w14:paraId="49F31012" w14:textId="77777777" w:rsidR="00BA0236" w:rsidRDefault="00BA0236" w:rsidP="00347E16">
      <w:pPr>
        <w:pStyle w:val="ListParagraph2"/>
        <w:tabs>
          <w:tab w:val="left" w:pos="2250"/>
        </w:tabs>
        <w:spacing w:before="120" w:after="120" w:line="240" w:lineRule="auto"/>
        <w:jc w:val="both"/>
        <w:rPr>
          <w:rFonts w:ascii="Times New Roman" w:hAnsi="Times New Roman"/>
          <w:sz w:val="24"/>
          <w:szCs w:val="24"/>
        </w:rPr>
      </w:pPr>
    </w:p>
    <w:p w14:paraId="0CBC702A" w14:textId="7D052284" w:rsidR="00BA0236" w:rsidRDefault="00A95C85" w:rsidP="008D7CA9">
      <w:pPr>
        <w:pStyle w:val="Legenda"/>
        <w:tabs>
          <w:tab w:val="clear" w:pos="1080"/>
          <w:tab w:val="left" w:pos="1134"/>
        </w:tabs>
        <w:ind w:left="1134" w:hanging="1134"/>
        <w:jc w:val="both"/>
        <w:rPr>
          <w:rFonts w:eastAsia="Times New Roman"/>
          <w:lang w:eastAsia="pl-PL"/>
        </w:rPr>
      </w:pPr>
      <w:r>
        <w:br w:type="column"/>
      </w:r>
      <w:bookmarkStart w:id="205" w:name="_Toc80604838"/>
      <w:r w:rsidR="00BA0236" w:rsidRPr="008D7CA9">
        <w:rPr>
          <w:sz w:val="24"/>
          <w:szCs w:val="28"/>
        </w:rPr>
        <w:lastRenderedPageBreak/>
        <w:t xml:space="preserve">Tabela </w:t>
      </w:r>
      <w:r w:rsidR="00295C25" w:rsidRPr="008D7CA9">
        <w:rPr>
          <w:sz w:val="24"/>
          <w:szCs w:val="28"/>
        </w:rPr>
        <w:fldChar w:fldCharType="begin"/>
      </w:r>
      <w:r w:rsidR="00295C25" w:rsidRPr="008D7CA9">
        <w:rPr>
          <w:sz w:val="24"/>
          <w:szCs w:val="28"/>
        </w:rPr>
        <w:instrText xml:space="preserve"> SEQ Tabela \* ARABIC </w:instrText>
      </w:r>
      <w:r w:rsidR="00295C25" w:rsidRPr="008D7CA9">
        <w:rPr>
          <w:sz w:val="24"/>
          <w:szCs w:val="28"/>
        </w:rPr>
        <w:fldChar w:fldCharType="separate"/>
      </w:r>
      <w:r w:rsidR="00FD3F9A">
        <w:rPr>
          <w:noProof/>
          <w:sz w:val="24"/>
          <w:szCs w:val="28"/>
        </w:rPr>
        <w:t>28</w:t>
      </w:r>
      <w:r w:rsidR="00295C25" w:rsidRPr="008D7CA9">
        <w:rPr>
          <w:noProof/>
          <w:sz w:val="24"/>
          <w:szCs w:val="28"/>
        </w:rPr>
        <w:fldChar w:fldCharType="end"/>
      </w:r>
      <w:r w:rsidR="008D7CA9">
        <w:rPr>
          <w:sz w:val="24"/>
          <w:szCs w:val="28"/>
        </w:rPr>
        <w:tab/>
      </w:r>
      <w:r w:rsidR="00BA0236" w:rsidRPr="008D7CA9">
        <w:rPr>
          <w:sz w:val="24"/>
          <w:szCs w:val="28"/>
        </w:rPr>
        <w:t>Ocena zgodności z celami środowiskowymi wynikającymi z Ramowej Dyrektywy Wodnej i wymaganiami Dyrektywy Ptasiej i Siedliskowej oraz wymaganiami ustawy o Ochronie Przyrody- podsumowanie oceny dla obszaru problemowego IOP_2 Mierzeja Helska</w:t>
      </w:r>
      <w:bookmarkEnd w:id="20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5"/>
        <w:gridCol w:w="3776"/>
        <w:gridCol w:w="1681"/>
        <w:gridCol w:w="874"/>
      </w:tblGrid>
      <w:tr w:rsidR="00BA0236" w:rsidRPr="00B32914" w14:paraId="79C4DA4D" w14:textId="77777777" w:rsidTr="000426E1">
        <w:tc>
          <w:tcPr>
            <w:tcW w:w="8721" w:type="dxa"/>
            <w:gridSpan w:val="4"/>
            <w:shd w:val="clear" w:color="auto" w:fill="D4EDF9"/>
          </w:tcPr>
          <w:p w14:paraId="3427A4C5" w14:textId="77777777" w:rsidR="00BA0236" w:rsidRPr="00B32914" w:rsidRDefault="00BA0236">
            <w:pPr>
              <w:jc w:val="center"/>
              <w:rPr>
                <w:b/>
                <w:bCs/>
                <w:sz w:val="20"/>
                <w:szCs w:val="20"/>
              </w:rPr>
            </w:pPr>
            <w:r w:rsidRPr="00B32914">
              <w:rPr>
                <w:rStyle w:val="fontstyle01"/>
                <w:rFonts w:ascii="Times New Roman" w:hAnsi="Times New Roman"/>
                <w:b/>
                <w:bCs/>
                <w:sz w:val="20"/>
                <w:szCs w:val="20"/>
              </w:rPr>
              <w:t>Ocena stopnia udatności środowiskowej wariantów działań</w:t>
            </w:r>
          </w:p>
          <w:p w14:paraId="6FE8E52B" w14:textId="77777777" w:rsidR="00BA0236" w:rsidRPr="00B32914" w:rsidRDefault="00BA0236">
            <w:pPr>
              <w:spacing w:before="40" w:after="40"/>
              <w:jc w:val="center"/>
              <w:rPr>
                <w:b/>
                <w:bCs/>
                <w:color w:val="000000"/>
                <w:sz w:val="20"/>
                <w:szCs w:val="20"/>
              </w:rPr>
            </w:pPr>
            <w:r w:rsidRPr="00B32914">
              <w:rPr>
                <w:b/>
                <w:bCs/>
                <w:color w:val="000000"/>
                <w:sz w:val="20"/>
                <w:szCs w:val="20"/>
              </w:rPr>
              <w:t>K- korzystna środowiskowo, U - umiarkowanie korzystna środowiskowo,</w:t>
            </w:r>
          </w:p>
          <w:p w14:paraId="54AC8706" w14:textId="77777777" w:rsidR="00BA0236" w:rsidRPr="00B32914" w:rsidRDefault="00BA0236">
            <w:pPr>
              <w:spacing w:before="40" w:after="40"/>
              <w:jc w:val="center"/>
              <w:rPr>
                <w:sz w:val="20"/>
                <w:szCs w:val="20"/>
              </w:rPr>
            </w:pPr>
            <w:r w:rsidRPr="00B32914">
              <w:rPr>
                <w:b/>
                <w:bCs/>
                <w:color w:val="000000"/>
                <w:sz w:val="20"/>
                <w:szCs w:val="20"/>
              </w:rPr>
              <w:t xml:space="preserve">N - </w:t>
            </w:r>
            <w:r w:rsidRPr="00B32914">
              <w:rPr>
                <w:b/>
                <w:bCs/>
                <w:sz w:val="20"/>
                <w:szCs w:val="20"/>
              </w:rPr>
              <w:t>niekorzystna środowiskowo,</w:t>
            </w:r>
          </w:p>
        </w:tc>
      </w:tr>
      <w:tr w:rsidR="00BA0236" w:rsidRPr="00B32914" w14:paraId="2795C3CE" w14:textId="77777777" w:rsidTr="00347E16">
        <w:tc>
          <w:tcPr>
            <w:tcW w:w="8721" w:type="dxa"/>
            <w:gridSpan w:val="4"/>
          </w:tcPr>
          <w:p w14:paraId="0FF7B61C" w14:textId="77777777" w:rsidR="00BA0236" w:rsidRPr="00B32914" w:rsidRDefault="00BA0236">
            <w:pPr>
              <w:spacing w:before="100" w:beforeAutospacing="1" w:after="100" w:afterAutospacing="1"/>
              <w:rPr>
                <w:sz w:val="20"/>
                <w:szCs w:val="20"/>
                <w:lang w:eastAsia="pl-PL"/>
              </w:rPr>
            </w:pPr>
            <w:r w:rsidRPr="00B32914">
              <w:rPr>
                <w:color w:val="000000"/>
                <w:sz w:val="20"/>
                <w:szCs w:val="20"/>
                <w:lang w:eastAsia="pl-PL"/>
              </w:rPr>
              <w:t xml:space="preserve">IOP_2 Mierzeja Helska </w:t>
            </w:r>
          </w:p>
          <w:p w14:paraId="2D1206A5"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0"/>
                <w:szCs w:val="20"/>
              </w:rPr>
            </w:pPr>
          </w:p>
        </w:tc>
      </w:tr>
      <w:tr w:rsidR="00BA0236" w:rsidRPr="00B32914" w14:paraId="1E0849A3" w14:textId="77777777" w:rsidTr="00347E16">
        <w:tc>
          <w:tcPr>
            <w:tcW w:w="2193" w:type="dxa"/>
          </w:tcPr>
          <w:p w14:paraId="378583D6"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0"/>
                <w:szCs w:val="20"/>
              </w:rPr>
            </w:pPr>
            <w:r w:rsidRPr="000426E1">
              <w:rPr>
                <w:rFonts w:ascii="Times New Roman" w:eastAsia="MS Mincho" w:hAnsi="Times New Roman"/>
                <w:bCs/>
                <w:sz w:val="20"/>
                <w:szCs w:val="20"/>
              </w:rPr>
              <w:t xml:space="preserve">Wpływ na parametry biologiczne </w:t>
            </w:r>
          </w:p>
        </w:tc>
        <w:tc>
          <w:tcPr>
            <w:tcW w:w="3917" w:type="dxa"/>
          </w:tcPr>
          <w:p w14:paraId="181F85F5"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0"/>
                <w:szCs w:val="20"/>
              </w:rPr>
            </w:pPr>
            <w:r w:rsidRPr="000426E1">
              <w:rPr>
                <w:rFonts w:ascii="Times New Roman" w:hAnsi="Times New Roman"/>
                <w:bCs/>
                <w:sz w:val="20"/>
                <w:szCs w:val="20"/>
              </w:rPr>
              <w:t>TW20003WB5</w:t>
            </w:r>
          </w:p>
        </w:tc>
        <w:tc>
          <w:tcPr>
            <w:tcW w:w="1709" w:type="dxa"/>
          </w:tcPr>
          <w:p w14:paraId="0C62B9FC"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0"/>
                <w:szCs w:val="20"/>
              </w:rPr>
            </w:pPr>
            <w:r w:rsidRPr="000426E1">
              <w:rPr>
                <w:rFonts w:ascii="Times New Roman" w:eastAsia="MS Mincho" w:hAnsi="Times New Roman"/>
                <w:bCs/>
                <w:sz w:val="20"/>
                <w:szCs w:val="20"/>
              </w:rPr>
              <w:t>nd</w:t>
            </w:r>
          </w:p>
        </w:tc>
        <w:tc>
          <w:tcPr>
            <w:tcW w:w="902" w:type="dxa"/>
          </w:tcPr>
          <w:p w14:paraId="4285B1F1"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0"/>
                <w:szCs w:val="20"/>
              </w:rPr>
            </w:pPr>
            <w:r w:rsidRPr="000426E1">
              <w:rPr>
                <w:rFonts w:ascii="Times New Roman" w:eastAsia="MS Mincho" w:hAnsi="Times New Roman"/>
                <w:bCs/>
                <w:sz w:val="20"/>
                <w:szCs w:val="20"/>
              </w:rPr>
              <w:t>K</w:t>
            </w:r>
          </w:p>
        </w:tc>
      </w:tr>
      <w:tr w:rsidR="00BA0236" w:rsidRPr="00B32914" w14:paraId="31D380D3" w14:textId="77777777" w:rsidTr="00347E16">
        <w:tc>
          <w:tcPr>
            <w:tcW w:w="2193" w:type="dxa"/>
          </w:tcPr>
          <w:p w14:paraId="3EFDB8F3"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0"/>
                <w:szCs w:val="20"/>
              </w:rPr>
            </w:pPr>
            <w:r w:rsidRPr="000426E1">
              <w:rPr>
                <w:rFonts w:ascii="Times New Roman" w:eastAsia="MS Mincho" w:hAnsi="Times New Roman"/>
                <w:bCs/>
                <w:sz w:val="20"/>
                <w:szCs w:val="20"/>
              </w:rPr>
              <w:t xml:space="preserve">Wpływ na parametry hydromorfologiczne </w:t>
            </w:r>
          </w:p>
          <w:p w14:paraId="26AD07BD"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0"/>
                <w:szCs w:val="20"/>
              </w:rPr>
            </w:pPr>
          </w:p>
        </w:tc>
        <w:tc>
          <w:tcPr>
            <w:tcW w:w="3917" w:type="dxa"/>
          </w:tcPr>
          <w:p w14:paraId="570E9FBF"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0"/>
                <w:szCs w:val="20"/>
              </w:rPr>
            </w:pPr>
            <w:r w:rsidRPr="000426E1">
              <w:rPr>
                <w:rFonts w:ascii="Times New Roman" w:hAnsi="Times New Roman"/>
                <w:bCs/>
                <w:sz w:val="20"/>
                <w:szCs w:val="20"/>
              </w:rPr>
              <w:t>TW20003WB5</w:t>
            </w:r>
          </w:p>
        </w:tc>
        <w:tc>
          <w:tcPr>
            <w:tcW w:w="1709" w:type="dxa"/>
          </w:tcPr>
          <w:p w14:paraId="6713442B" w14:textId="77777777" w:rsidR="00BA0236" w:rsidRPr="00B32914" w:rsidRDefault="00BA0236">
            <w:pPr>
              <w:jc w:val="both"/>
              <w:rPr>
                <w:sz w:val="20"/>
                <w:szCs w:val="20"/>
              </w:rPr>
            </w:pPr>
            <w:r w:rsidRPr="00B32914">
              <w:rPr>
                <w:rStyle w:val="fontstyle01"/>
                <w:rFonts w:ascii="Times New Roman" w:hAnsi="Times New Roman"/>
                <w:sz w:val="20"/>
                <w:szCs w:val="20"/>
              </w:rPr>
              <w:t>ograniczenie terenów naturalnie okresowo zalewanych</w:t>
            </w:r>
          </w:p>
        </w:tc>
        <w:tc>
          <w:tcPr>
            <w:tcW w:w="902" w:type="dxa"/>
          </w:tcPr>
          <w:p w14:paraId="692B0108"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0"/>
                <w:szCs w:val="20"/>
              </w:rPr>
            </w:pPr>
            <w:r w:rsidRPr="000426E1">
              <w:rPr>
                <w:rFonts w:ascii="Times New Roman" w:eastAsia="MS Mincho" w:hAnsi="Times New Roman"/>
                <w:bCs/>
                <w:sz w:val="20"/>
                <w:szCs w:val="20"/>
              </w:rPr>
              <w:t>U/N</w:t>
            </w:r>
          </w:p>
        </w:tc>
      </w:tr>
      <w:tr w:rsidR="00BA0236" w:rsidRPr="00B32914" w14:paraId="5964E747" w14:textId="77777777" w:rsidTr="00347E16">
        <w:tc>
          <w:tcPr>
            <w:tcW w:w="2193" w:type="dxa"/>
          </w:tcPr>
          <w:p w14:paraId="1A01EE3B"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0"/>
                <w:szCs w:val="20"/>
              </w:rPr>
            </w:pPr>
            <w:r w:rsidRPr="000426E1">
              <w:rPr>
                <w:rFonts w:ascii="Times New Roman" w:eastAsia="MS Mincho" w:hAnsi="Times New Roman"/>
                <w:bCs/>
                <w:sz w:val="20"/>
                <w:szCs w:val="20"/>
              </w:rPr>
              <w:t>Wpływ na obszary chronione i korytarze ekologiczne</w:t>
            </w:r>
          </w:p>
        </w:tc>
        <w:tc>
          <w:tcPr>
            <w:tcW w:w="3917" w:type="dxa"/>
          </w:tcPr>
          <w:p w14:paraId="571CFD29" w14:textId="77777777" w:rsidR="00BA0236" w:rsidRPr="00B32914" w:rsidRDefault="00BA0236">
            <w:pPr>
              <w:pStyle w:val="ListParagraph2"/>
              <w:tabs>
                <w:tab w:val="left" w:pos="1767"/>
              </w:tabs>
              <w:spacing w:before="120" w:after="120" w:line="240" w:lineRule="auto"/>
              <w:ind w:left="482" w:right="374"/>
              <w:jc w:val="both"/>
              <w:rPr>
                <w:rFonts w:ascii="Times New Roman" w:hAnsi="Times New Roman"/>
                <w:sz w:val="20"/>
                <w:szCs w:val="20"/>
              </w:rPr>
            </w:pPr>
            <w:r w:rsidRPr="00B32914">
              <w:rPr>
                <w:rFonts w:ascii="Times New Roman" w:hAnsi="Times New Roman"/>
                <w:sz w:val="20"/>
                <w:szCs w:val="20"/>
              </w:rPr>
              <w:t>Nadmorski Park Krajobrazowy</w:t>
            </w:r>
          </w:p>
          <w:p w14:paraId="0E2902C9" w14:textId="77777777" w:rsidR="00BA0236" w:rsidRPr="00B32914" w:rsidRDefault="00BA0236">
            <w:pPr>
              <w:pStyle w:val="ListParagraph2"/>
              <w:tabs>
                <w:tab w:val="left" w:pos="1767"/>
              </w:tabs>
              <w:spacing w:before="120" w:after="120" w:line="240" w:lineRule="auto"/>
              <w:ind w:left="482" w:right="374"/>
              <w:jc w:val="both"/>
              <w:rPr>
                <w:rFonts w:ascii="Times New Roman" w:hAnsi="Times New Roman"/>
                <w:sz w:val="20"/>
                <w:szCs w:val="20"/>
              </w:rPr>
            </w:pPr>
            <w:r w:rsidRPr="00B32914">
              <w:rPr>
                <w:rFonts w:ascii="Times New Roman" w:hAnsi="Times New Roman"/>
                <w:sz w:val="20"/>
                <w:szCs w:val="20"/>
              </w:rPr>
              <w:t xml:space="preserve">Obszarów Natura 2000 Zatoka Pucka </w:t>
            </w:r>
          </w:p>
          <w:p w14:paraId="565C9A48" w14:textId="77777777" w:rsidR="00BA0236" w:rsidRPr="00B32914" w:rsidRDefault="00BA0236">
            <w:pPr>
              <w:pStyle w:val="ListParagraph2"/>
              <w:tabs>
                <w:tab w:val="left" w:pos="1767"/>
              </w:tabs>
              <w:spacing w:before="120" w:after="120" w:line="240" w:lineRule="auto"/>
              <w:ind w:left="482" w:right="374"/>
              <w:jc w:val="both"/>
              <w:rPr>
                <w:rFonts w:ascii="Times New Roman" w:hAnsi="Times New Roman"/>
                <w:sz w:val="20"/>
                <w:szCs w:val="20"/>
              </w:rPr>
            </w:pPr>
            <w:r w:rsidRPr="00B32914">
              <w:rPr>
                <w:rFonts w:ascii="Times New Roman" w:hAnsi="Times New Roman"/>
                <w:sz w:val="20"/>
                <w:szCs w:val="20"/>
              </w:rPr>
              <w:t xml:space="preserve">Natura 2000 Zatoka Pucka i Półwysep Helski.  </w:t>
            </w:r>
          </w:p>
          <w:p w14:paraId="39979E03"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0"/>
                <w:szCs w:val="20"/>
              </w:rPr>
            </w:pPr>
          </w:p>
        </w:tc>
        <w:tc>
          <w:tcPr>
            <w:tcW w:w="1709" w:type="dxa"/>
          </w:tcPr>
          <w:p w14:paraId="0895BB79" w14:textId="77777777" w:rsidR="00BA0236" w:rsidRPr="00B32914" w:rsidRDefault="00BA0236" w:rsidP="00347E16">
            <w:pPr>
              <w:jc w:val="both"/>
              <w:rPr>
                <w:b/>
                <w:color w:val="28AAE1"/>
                <w:sz w:val="20"/>
                <w:szCs w:val="20"/>
              </w:rPr>
            </w:pPr>
            <w:r w:rsidRPr="00B32914">
              <w:rPr>
                <w:sz w:val="20"/>
                <w:szCs w:val="20"/>
                <w:lang w:eastAsia="pl-PL"/>
              </w:rPr>
              <w:t xml:space="preserve">możliwy negatywny potencjalny wpływ na przedmioty ochrony i </w:t>
            </w:r>
            <w:r w:rsidRPr="00B32914">
              <w:rPr>
                <w:sz w:val="20"/>
                <w:szCs w:val="20"/>
              </w:rPr>
              <w:t>cele środowiskowe obszarów chronionych</w:t>
            </w:r>
          </w:p>
        </w:tc>
        <w:tc>
          <w:tcPr>
            <w:tcW w:w="902" w:type="dxa"/>
          </w:tcPr>
          <w:p w14:paraId="7345D763"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0"/>
                <w:szCs w:val="20"/>
              </w:rPr>
            </w:pPr>
            <w:r w:rsidRPr="000426E1">
              <w:rPr>
                <w:rFonts w:ascii="Times New Roman" w:eastAsia="MS Mincho" w:hAnsi="Times New Roman"/>
                <w:bCs/>
                <w:sz w:val="20"/>
                <w:szCs w:val="20"/>
              </w:rPr>
              <w:t>U/N</w:t>
            </w:r>
          </w:p>
        </w:tc>
      </w:tr>
      <w:tr w:rsidR="00BA0236" w:rsidRPr="00B32914" w14:paraId="1402C360" w14:textId="77777777" w:rsidTr="00347E16">
        <w:tc>
          <w:tcPr>
            <w:tcW w:w="6110" w:type="dxa"/>
            <w:gridSpan w:val="2"/>
          </w:tcPr>
          <w:p w14:paraId="0F096171" w14:textId="77777777" w:rsidR="00BA0236" w:rsidRPr="00B32914" w:rsidRDefault="00BA0236">
            <w:pPr>
              <w:jc w:val="both"/>
              <w:rPr>
                <w:sz w:val="20"/>
                <w:szCs w:val="20"/>
              </w:rPr>
            </w:pPr>
            <w:r w:rsidRPr="00B32914">
              <w:rPr>
                <w:rStyle w:val="fontstyle01"/>
                <w:rFonts w:ascii="Times New Roman" w:hAnsi="Times New Roman"/>
                <w:sz w:val="20"/>
                <w:szCs w:val="20"/>
              </w:rPr>
              <w:t xml:space="preserve">Stopień udatności środowiskowej </w:t>
            </w:r>
          </w:p>
          <w:p w14:paraId="75EBECF0" w14:textId="77777777" w:rsidR="00BA0236" w:rsidRPr="000426E1" w:rsidRDefault="00BA0236">
            <w:pPr>
              <w:pStyle w:val="Akapitzlist1"/>
              <w:tabs>
                <w:tab w:val="left" w:pos="2250"/>
              </w:tabs>
              <w:spacing w:line="240" w:lineRule="auto"/>
              <w:ind w:left="0"/>
              <w:jc w:val="both"/>
              <w:rPr>
                <w:rFonts w:ascii="Times New Roman" w:hAnsi="Times New Roman"/>
                <w:bCs/>
                <w:sz w:val="20"/>
                <w:szCs w:val="20"/>
              </w:rPr>
            </w:pPr>
          </w:p>
        </w:tc>
        <w:tc>
          <w:tcPr>
            <w:tcW w:w="2611" w:type="dxa"/>
            <w:gridSpan w:val="2"/>
          </w:tcPr>
          <w:p w14:paraId="76ED9890"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0"/>
                <w:szCs w:val="20"/>
              </w:rPr>
            </w:pPr>
            <w:r w:rsidRPr="000426E1">
              <w:rPr>
                <w:rFonts w:ascii="Times New Roman" w:eastAsia="MS Mincho" w:hAnsi="Times New Roman"/>
                <w:bCs/>
                <w:sz w:val="20"/>
                <w:szCs w:val="20"/>
              </w:rPr>
              <w:t>U/N</w:t>
            </w:r>
          </w:p>
        </w:tc>
      </w:tr>
      <w:tr w:rsidR="00BA0236" w:rsidRPr="00B32914" w14:paraId="39F4FDBA" w14:textId="77777777" w:rsidTr="00347E16">
        <w:tc>
          <w:tcPr>
            <w:tcW w:w="8721" w:type="dxa"/>
            <w:gridSpan w:val="4"/>
          </w:tcPr>
          <w:p w14:paraId="490E057A" w14:textId="77777777" w:rsidR="00BA0236" w:rsidRPr="000426E1" w:rsidRDefault="00BA0236">
            <w:pPr>
              <w:pStyle w:val="Akapitzlist1"/>
              <w:tabs>
                <w:tab w:val="left" w:pos="2250"/>
              </w:tabs>
              <w:spacing w:line="240" w:lineRule="auto"/>
              <w:ind w:left="0"/>
              <w:jc w:val="both"/>
              <w:rPr>
                <w:rFonts w:ascii="Times New Roman" w:eastAsia="MS Mincho" w:hAnsi="Times New Roman"/>
                <w:bCs/>
                <w:sz w:val="20"/>
                <w:szCs w:val="20"/>
              </w:rPr>
            </w:pPr>
            <w:r w:rsidRPr="000426E1">
              <w:rPr>
                <w:rFonts w:ascii="Times New Roman" w:eastAsia="MS Mincho" w:hAnsi="Times New Roman"/>
                <w:sz w:val="20"/>
                <w:szCs w:val="20"/>
              </w:rPr>
              <w:t xml:space="preserve">Z uwagi na skalę prac działania będą negatywnie oddziaływać na strefę brzegową JCWP, prowadząc do zahamowania zalewu powierzchniowego, przekształcenia warunków hydromorfologicznych strefy brzegowej, dlatego Wariant został oceniony jako U/N środowiskowo </w:t>
            </w:r>
            <w:r w:rsidRPr="000426E1">
              <w:rPr>
                <w:rStyle w:val="fontstyle01"/>
                <w:rFonts w:ascii="Times New Roman" w:eastAsia="MS Mincho" w:hAnsi="Times New Roman"/>
                <w:sz w:val="20"/>
                <w:szCs w:val="20"/>
              </w:rPr>
              <w:t>mogąc</w:t>
            </w:r>
            <w:r w:rsidRPr="000426E1">
              <w:rPr>
                <w:rStyle w:val="fontstyle01"/>
                <w:rFonts w:ascii="Times New Roman" w:hAnsi="Times New Roman"/>
                <w:sz w:val="20"/>
                <w:szCs w:val="20"/>
              </w:rPr>
              <w:t>y</w:t>
            </w:r>
            <w:r w:rsidRPr="000426E1">
              <w:rPr>
                <w:rStyle w:val="fontstyle01"/>
                <w:rFonts w:ascii="Times New Roman" w:eastAsia="MS Mincho" w:hAnsi="Times New Roman"/>
                <w:sz w:val="20"/>
                <w:szCs w:val="20"/>
              </w:rPr>
              <w:t xml:space="preserve"> wpłynąć negatywnie na</w:t>
            </w:r>
            <w:r w:rsidRPr="000426E1">
              <w:rPr>
                <w:rFonts w:ascii="Times New Roman" w:hAnsi="Times New Roman"/>
                <w:color w:val="000000"/>
                <w:sz w:val="20"/>
                <w:szCs w:val="20"/>
              </w:rPr>
              <w:t xml:space="preserve"> </w:t>
            </w:r>
            <w:r w:rsidRPr="000426E1">
              <w:rPr>
                <w:rStyle w:val="fontstyle01"/>
                <w:rFonts w:ascii="Times New Roman" w:eastAsia="MS Mincho" w:hAnsi="Times New Roman"/>
                <w:sz w:val="20"/>
                <w:szCs w:val="20"/>
              </w:rPr>
              <w:t>możliwość osiągnięcia celów ochrony wód w rozumieniu RDW</w:t>
            </w:r>
            <w:r w:rsidRPr="000426E1">
              <w:rPr>
                <w:rFonts w:ascii="Times New Roman" w:eastAsia="MS Mincho" w:hAnsi="Times New Roman"/>
                <w:bCs/>
                <w:sz w:val="20"/>
                <w:szCs w:val="20"/>
              </w:rPr>
              <w:t xml:space="preserve">. Działanie zlokalizowane jest w granicach obszarów chronionych, możliwe wystąpienie negatywnego oddziaływania na przedmioty ochrony, a ewentualne oddziaływania ocenia się jako możliwe do częściowego zminimalizowania. </w:t>
            </w:r>
            <w:r w:rsidRPr="000426E1">
              <w:rPr>
                <w:rFonts w:ascii="Times New Roman" w:eastAsia="MS Mincho" w:hAnsi="Times New Roman"/>
                <w:b/>
                <w:bCs/>
                <w:sz w:val="20"/>
                <w:szCs w:val="20"/>
              </w:rPr>
              <w:t>Stopień udatności środowiskowej określono jako umiarkowanie korzystny / niekorzystny.</w:t>
            </w:r>
          </w:p>
        </w:tc>
      </w:tr>
    </w:tbl>
    <w:p w14:paraId="06B68B56" w14:textId="77777777" w:rsidR="00BA0236" w:rsidRDefault="00BA0236" w:rsidP="00347E16">
      <w:pPr>
        <w:pStyle w:val="ListParagraph2"/>
        <w:tabs>
          <w:tab w:val="left" w:pos="2250"/>
        </w:tabs>
        <w:spacing w:before="120" w:after="120" w:line="240" w:lineRule="auto"/>
        <w:jc w:val="both"/>
        <w:rPr>
          <w:rFonts w:ascii="Times New Roman" w:hAnsi="Times New Roman"/>
          <w:sz w:val="24"/>
          <w:szCs w:val="24"/>
        </w:rPr>
      </w:pPr>
    </w:p>
    <w:p w14:paraId="7DC12FFD" w14:textId="71096CA8" w:rsidR="00BA0236" w:rsidRDefault="00A95C85" w:rsidP="008D7CA9">
      <w:pPr>
        <w:pStyle w:val="Legenda"/>
        <w:tabs>
          <w:tab w:val="clear" w:pos="1080"/>
          <w:tab w:val="left" w:pos="1134"/>
        </w:tabs>
        <w:ind w:left="1134" w:hanging="1134"/>
        <w:jc w:val="both"/>
        <w:rPr>
          <w:rFonts w:eastAsia="Times New Roman"/>
          <w:lang w:eastAsia="pl-PL"/>
        </w:rPr>
      </w:pPr>
      <w:r>
        <w:br w:type="column"/>
      </w:r>
      <w:bookmarkStart w:id="206" w:name="_Toc80604839"/>
      <w:r w:rsidR="00BA0236" w:rsidRPr="008D7CA9">
        <w:rPr>
          <w:sz w:val="24"/>
          <w:szCs w:val="28"/>
        </w:rPr>
        <w:lastRenderedPageBreak/>
        <w:t xml:space="preserve">Tabela </w:t>
      </w:r>
      <w:r w:rsidR="00295C25" w:rsidRPr="008D7CA9">
        <w:rPr>
          <w:sz w:val="24"/>
          <w:szCs w:val="28"/>
        </w:rPr>
        <w:fldChar w:fldCharType="begin"/>
      </w:r>
      <w:r w:rsidR="00295C25" w:rsidRPr="008D7CA9">
        <w:rPr>
          <w:sz w:val="24"/>
          <w:szCs w:val="28"/>
        </w:rPr>
        <w:instrText xml:space="preserve"> SEQ Tabela \* ARABIC </w:instrText>
      </w:r>
      <w:r w:rsidR="00295C25" w:rsidRPr="008D7CA9">
        <w:rPr>
          <w:sz w:val="24"/>
          <w:szCs w:val="28"/>
        </w:rPr>
        <w:fldChar w:fldCharType="separate"/>
      </w:r>
      <w:r w:rsidR="00FD3F9A">
        <w:rPr>
          <w:noProof/>
          <w:sz w:val="24"/>
          <w:szCs w:val="28"/>
        </w:rPr>
        <w:t>29</w:t>
      </w:r>
      <w:r w:rsidR="00295C25" w:rsidRPr="008D7CA9">
        <w:rPr>
          <w:noProof/>
          <w:sz w:val="24"/>
          <w:szCs w:val="28"/>
        </w:rPr>
        <w:fldChar w:fldCharType="end"/>
      </w:r>
      <w:r w:rsidR="008D7CA9">
        <w:rPr>
          <w:sz w:val="24"/>
          <w:szCs w:val="28"/>
        </w:rPr>
        <w:tab/>
      </w:r>
      <w:r w:rsidR="00BA0236" w:rsidRPr="008D7CA9">
        <w:rPr>
          <w:sz w:val="24"/>
          <w:szCs w:val="28"/>
        </w:rPr>
        <w:t>Ocena zgodności z celami środowiskowymi wynikającymi z Ramowej Dyrektywy Wodnej i wymaganiami Dyrektywy Ptasiej i Siedliskowej oraz wymaganiami ustawy o Ochronie Przyrody- podsumowanie oceny dla obszaru problemowego IOP_5_Krynica Morska</w:t>
      </w:r>
      <w:bookmarkEnd w:id="20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9"/>
        <w:gridCol w:w="3743"/>
        <w:gridCol w:w="1701"/>
        <w:gridCol w:w="883"/>
      </w:tblGrid>
      <w:tr w:rsidR="00BA0236" w:rsidRPr="00B32914" w14:paraId="2F36E4E0" w14:textId="77777777" w:rsidTr="00854EA5">
        <w:tc>
          <w:tcPr>
            <w:tcW w:w="8721" w:type="dxa"/>
            <w:gridSpan w:val="4"/>
            <w:shd w:val="clear" w:color="auto" w:fill="D4EDF9"/>
          </w:tcPr>
          <w:p w14:paraId="775AF132" w14:textId="77777777" w:rsidR="00BA0236" w:rsidRPr="00B32914" w:rsidRDefault="00BA0236">
            <w:pPr>
              <w:jc w:val="center"/>
              <w:rPr>
                <w:b/>
                <w:bCs/>
                <w:sz w:val="20"/>
                <w:szCs w:val="20"/>
              </w:rPr>
            </w:pPr>
            <w:r w:rsidRPr="00B32914">
              <w:rPr>
                <w:rStyle w:val="fontstyle01"/>
                <w:rFonts w:ascii="Times New Roman" w:hAnsi="Times New Roman"/>
                <w:b/>
                <w:bCs/>
                <w:sz w:val="20"/>
                <w:szCs w:val="20"/>
              </w:rPr>
              <w:t>Ocena stopnia udatności środowiskowej wariantów działań</w:t>
            </w:r>
          </w:p>
          <w:p w14:paraId="76E407C4" w14:textId="77777777" w:rsidR="00BA0236" w:rsidRPr="00B32914" w:rsidRDefault="00BA0236">
            <w:pPr>
              <w:spacing w:before="40" w:after="40"/>
              <w:jc w:val="center"/>
              <w:rPr>
                <w:b/>
                <w:bCs/>
                <w:color w:val="000000"/>
                <w:sz w:val="20"/>
                <w:szCs w:val="20"/>
              </w:rPr>
            </w:pPr>
            <w:r w:rsidRPr="00B32914">
              <w:rPr>
                <w:b/>
                <w:bCs/>
                <w:color w:val="000000"/>
                <w:sz w:val="20"/>
                <w:szCs w:val="20"/>
              </w:rPr>
              <w:t>K- korzystna środowiskowo, U - umiarkowanie korzystna środowiskowo,</w:t>
            </w:r>
          </w:p>
          <w:p w14:paraId="250AED1B" w14:textId="77777777" w:rsidR="00BA0236" w:rsidRPr="00B32914" w:rsidRDefault="00BA0236">
            <w:pPr>
              <w:spacing w:before="40" w:after="40"/>
              <w:jc w:val="center"/>
              <w:rPr>
                <w:sz w:val="20"/>
                <w:szCs w:val="20"/>
              </w:rPr>
            </w:pPr>
            <w:r w:rsidRPr="00B32914">
              <w:rPr>
                <w:b/>
                <w:bCs/>
                <w:color w:val="000000"/>
                <w:sz w:val="20"/>
                <w:szCs w:val="20"/>
              </w:rPr>
              <w:t xml:space="preserve">N - </w:t>
            </w:r>
            <w:r w:rsidRPr="00B32914">
              <w:rPr>
                <w:b/>
                <w:bCs/>
                <w:sz w:val="20"/>
                <w:szCs w:val="20"/>
              </w:rPr>
              <w:t>niekorzystna środowiskowo,</w:t>
            </w:r>
          </w:p>
        </w:tc>
      </w:tr>
      <w:tr w:rsidR="00BA0236" w:rsidRPr="00B32914" w14:paraId="0F3EC0D3" w14:textId="77777777" w:rsidTr="00347E16">
        <w:tc>
          <w:tcPr>
            <w:tcW w:w="8721" w:type="dxa"/>
            <w:gridSpan w:val="4"/>
          </w:tcPr>
          <w:p w14:paraId="67F72476" w14:textId="77777777" w:rsidR="00BA0236" w:rsidRPr="00854EA5" w:rsidRDefault="00BA0236">
            <w:pPr>
              <w:pStyle w:val="Akapitzlist1"/>
              <w:tabs>
                <w:tab w:val="left" w:pos="2250"/>
              </w:tabs>
              <w:spacing w:line="240" w:lineRule="auto"/>
              <w:ind w:left="0"/>
              <w:jc w:val="both"/>
              <w:rPr>
                <w:rFonts w:ascii="Times New Roman" w:eastAsia="MS Mincho" w:hAnsi="Times New Roman"/>
                <w:bCs/>
                <w:sz w:val="20"/>
                <w:szCs w:val="20"/>
              </w:rPr>
            </w:pPr>
            <w:r w:rsidRPr="00854EA5">
              <w:rPr>
                <w:rFonts w:ascii="Times New Roman" w:hAnsi="Times New Roman"/>
                <w:color w:val="000000"/>
                <w:sz w:val="20"/>
                <w:szCs w:val="20"/>
                <w:lang w:eastAsia="pl-PL"/>
              </w:rPr>
              <w:t xml:space="preserve">IOP_5_Krynica Morska </w:t>
            </w:r>
          </w:p>
        </w:tc>
      </w:tr>
      <w:tr w:rsidR="00BA0236" w:rsidRPr="00B32914" w14:paraId="2C3E575E" w14:textId="77777777" w:rsidTr="00347E16">
        <w:tc>
          <w:tcPr>
            <w:tcW w:w="2193" w:type="dxa"/>
          </w:tcPr>
          <w:p w14:paraId="75781F16" w14:textId="77777777" w:rsidR="00BA0236" w:rsidRPr="00854EA5" w:rsidRDefault="00BA0236">
            <w:pPr>
              <w:pStyle w:val="Akapitzlist1"/>
              <w:tabs>
                <w:tab w:val="left" w:pos="2250"/>
              </w:tabs>
              <w:spacing w:line="240" w:lineRule="auto"/>
              <w:ind w:left="0"/>
              <w:jc w:val="both"/>
              <w:rPr>
                <w:rFonts w:ascii="Times New Roman" w:eastAsia="MS Mincho" w:hAnsi="Times New Roman"/>
                <w:bCs/>
                <w:sz w:val="20"/>
                <w:szCs w:val="20"/>
              </w:rPr>
            </w:pPr>
            <w:r w:rsidRPr="00854EA5">
              <w:rPr>
                <w:rFonts w:ascii="Times New Roman" w:eastAsia="MS Mincho" w:hAnsi="Times New Roman"/>
                <w:bCs/>
                <w:sz w:val="20"/>
                <w:szCs w:val="20"/>
              </w:rPr>
              <w:t xml:space="preserve">Wpływ na parametry biologiczne </w:t>
            </w:r>
          </w:p>
        </w:tc>
        <w:tc>
          <w:tcPr>
            <w:tcW w:w="3917" w:type="dxa"/>
          </w:tcPr>
          <w:p w14:paraId="1C4D974A" w14:textId="77777777" w:rsidR="00BA0236" w:rsidRPr="00854EA5" w:rsidRDefault="00BA0236">
            <w:pPr>
              <w:pStyle w:val="Akapitzlist1"/>
              <w:tabs>
                <w:tab w:val="left" w:pos="2250"/>
              </w:tabs>
              <w:spacing w:line="240" w:lineRule="auto"/>
              <w:ind w:left="0"/>
              <w:jc w:val="both"/>
              <w:rPr>
                <w:rFonts w:ascii="Times New Roman" w:eastAsia="MS Mincho" w:hAnsi="Times New Roman"/>
                <w:bCs/>
                <w:sz w:val="20"/>
                <w:szCs w:val="20"/>
              </w:rPr>
            </w:pPr>
            <w:r w:rsidRPr="00854EA5">
              <w:rPr>
                <w:rFonts w:ascii="Times New Roman" w:hAnsi="Times New Roman"/>
                <w:bCs/>
                <w:sz w:val="20"/>
                <w:szCs w:val="20"/>
              </w:rPr>
              <w:t>TW20001WB1</w:t>
            </w:r>
          </w:p>
        </w:tc>
        <w:tc>
          <w:tcPr>
            <w:tcW w:w="1709" w:type="dxa"/>
          </w:tcPr>
          <w:p w14:paraId="67B1B4F1" w14:textId="77777777" w:rsidR="00BA0236" w:rsidRDefault="00BA0236">
            <w:pPr>
              <w:pStyle w:val="Akapitzlist1"/>
              <w:tabs>
                <w:tab w:val="left" w:pos="2250"/>
              </w:tabs>
              <w:spacing w:line="240" w:lineRule="auto"/>
              <w:ind w:left="0"/>
              <w:jc w:val="both"/>
              <w:rPr>
                <w:rFonts w:ascii="Times New Roman" w:eastAsia="MS Mincho" w:hAnsi="Times New Roman"/>
                <w:bCs/>
                <w:sz w:val="24"/>
                <w:szCs w:val="24"/>
              </w:rPr>
            </w:pPr>
            <w:r>
              <w:rPr>
                <w:rFonts w:ascii="Times New Roman" w:eastAsia="MS Mincho" w:hAnsi="Times New Roman"/>
                <w:bCs/>
                <w:sz w:val="24"/>
                <w:szCs w:val="24"/>
              </w:rPr>
              <w:t>nd</w:t>
            </w:r>
          </w:p>
        </w:tc>
        <w:tc>
          <w:tcPr>
            <w:tcW w:w="902" w:type="dxa"/>
          </w:tcPr>
          <w:p w14:paraId="27777132" w14:textId="77777777" w:rsidR="00BA0236" w:rsidRDefault="00BA0236">
            <w:pPr>
              <w:pStyle w:val="Akapitzlist1"/>
              <w:tabs>
                <w:tab w:val="left" w:pos="2250"/>
              </w:tabs>
              <w:spacing w:line="240" w:lineRule="auto"/>
              <w:ind w:left="0"/>
              <w:jc w:val="both"/>
              <w:rPr>
                <w:rFonts w:ascii="Times New Roman" w:eastAsia="MS Mincho" w:hAnsi="Times New Roman"/>
                <w:bCs/>
                <w:sz w:val="24"/>
                <w:szCs w:val="24"/>
              </w:rPr>
            </w:pPr>
            <w:r>
              <w:rPr>
                <w:rFonts w:ascii="Times New Roman" w:eastAsia="MS Mincho" w:hAnsi="Times New Roman"/>
                <w:bCs/>
                <w:sz w:val="24"/>
                <w:szCs w:val="24"/>
              </w:rPr>
              <w:t>K</w:t>
            </w:r>
          </w:p>
        </w:tc>
      </w:tr>
      <w:tr w:rsidR="00BA0236" w:rsidRPr="00B32914" w14:paraId="780C696F" w14:textId="77777777" w:rsidTr="00347E16">
        <w:tc>
          <w:tcPr>
            <w:tcW w:w="2193" w:type="dxa"/>
          </w:tcPr>
          <w:p w14:paraId="6EAA8092" w14:textId="77777777" w:rsidR="00BA0236" w:rsidRPr="00854EA5" w:rsidRDefault="00BA0236">
            <w:pPr>
              <w:pStyle w:val="Akapitzlist1"/>
              <w:tabs>
                <w:tab w:val="left" w:pos="2250"/>
              </w:tabs>
              <w:spacing w:line="240" w:lineRule="auto"/>
              <w:ind w:left="0"/>
              <w:jc w:val="both"/>
              <w:rPr>
                <w:rFonts w:ascii="Times New Roman" w:eastAsia="MS Mincho" w:hAnsi="Times New Roman"/>
                <w:bCs/>
                <w:sz w:val="20"/>
                <w:szCs w:val="20"/>
              </w:rPr>
            </w:pPr>
            <w:r w:rsidRPr="00854EA5">
              <w:rPr>
                <w:rFonts w:ascii="Times New Roman" w:eastAsia="MS Mincho" w:hAnsi="Times New Roman"/>
                <w:bCs/>
                <w:sz w:val="20"/>
                <w:szCs w:val="20"/>
              </w:rPr>
              <w:t xml:space="preserve">Wpływ na parametry hydromorfologiczne </w:t>
            </w:r>
          </w:p>
          <w:p w14:paraId="1E134F90" w14:textId="77777777" w:rsidR="00BA0236" w:rsidRPr="00854EA5" w:rsidRDefault="00BA0236">
            <w:pPr>
              <w:pStyle w:val="Akapitzlist1"/>
              <w:tabs>
                <w:tab w:val="left" w:pos="2250"/>
              </w:tabs>
              <w:spacing w:line="240" w:lineRule="auto"/>
              <w:ind w:left="0"/>
              <w:jc w:val="both"/>
              <w:rPr>
                <w:rFonts w:ascii="Times New Roman" w:eastAsia="MS Mincho" w:hAnsi="Times New Roman"/>
                <w:bCs/>
                <w:sz w:val="20"/>
                <w:szCs w:val="20"/>
              </w:rPr>
            </w:pPr>
          </w:p>
        </w:tc>
        <w:tc>
          <w:tcPr>
            <w:tcW w:w="3917" w:type="dxa"/>
          </w:tcPr>
          <w:p w14:paraId="65DFF7CA" w14:textId="77777777" w:rsidR="00BA0236" w:rsidRPr="00854EA5" w:rsidRDefault="00BA0236">
            <w:pPr>
              <w:pStyle w:val="Akapitzlist1"/>
              <w:tabs>
                <w:tab w:val="left" w:pos="2250"/>
              </w:tabs>
              <w:spacing w:line="240" w:lineRule="auto"/>
              <w:ind w:left="0"/>
              <w:jc w:val="both"/>
              <w:rPr>
                <w:rFonts w:ascii="Times New Roman" w:eastAsia="MS Mincho" w:hAnsi="Times New Roman"/>
                <w:bCs/>
                <w:sz w:val="20"/>
                <w:szCs w:val="20"/>
              </w:rPr>
            </w:pPr>
            <w:r w:rsidRPr="00854EA5">
              <w:rPr>
                <w:rFonts w:ascii="Times New Roman" w:hAnsi="Times New Roman"/>
                <w:bCs/>
                <w:sz w:val="20"/>
                <w:szCs w:val="20"/>
              </w:rPr>
              <w:t>TW20001WB1</w:t>
            </w:r>
          </w:p>
        </w:tc>
        <w:tc>
          <w:tcPr>
            <w:tcW w:w="1709" w:type="dxa"/>
          </w:tcPr>
          <w:p w14:paraId="5C31EE3A" w14:textId="77777777" w:rsidR="00BA0236" w:rsidRPr="00B32914" w:rsidRDefault="00BA0236">
            <w:pPr>
              <w:jc w:val="both"/>
            </w:pPr>
            <w:r w:rsidRPr="00B32914">
              <w:t>nd</w:t>
            </w:r>
          </w:p>
        </w:tc>
        <w:tc>
          <w:tcPr>
            <w:tcW w:w="902" w:type="dxa"/>
          </w:tcPr>
          <w:p w14:paraId="028D0BDA" w14:textId="77777777" w:rsidR="00BA0236" w:rsidRDefault="00BA0236">
            <w:pPr>
              <w:pStyle w:val="Akapitzlist1"/>
              <w:tabs>
                <w:tab w:val="left" w:pos="2250"/>
              </w:tabs>
              <w:spacing w:line="240" w:lineRule="auto"/>
              <w:ind w:left="0"/>
              <w:jc w:val="both"/>
              <w:rPr>
                <w:rFonts w:ascii="Times New Roman" w:eastAsia="MS Mincho" w:hAnsi="Times New Roman"/>
                <w:bCs/>
                <w:sz w:val="24"/>
                <w:szCs w:val="24"/>
              </w:rPr>
            </w:pPr>
            <w:r>
              <w:rPr>
                <w:rFonts w:ascii="Times New Roman" w:eastAsia="MS Mincho" w:hAnsi="Times New Roman"/>
                <w:bCs/>
                <w:sz w:val="24"/>
                <w:szCs w:val="24"/>
              </w:rPr>
              <w:t>K</w:t>
            </w:r>
          </w:p>
        </w:tc>
      </w:tr>
      <w:tr w:rsidR="00BA0236" w:rsidRPr="00B32914" w14:paraId="1A1C0C94" w14:textId="77777777" w:rsidTr="00347E16">
        <w:tc>
          <w:tcPr>
            <w:tcW w:w="2193" w:type="dxa"/>
          </w:tcPr>
          <w:p w14:paraId="0F35ACDC" w14:textId="77777777" w:rsidR="00BA0236" w:rsidRPr="00854EA5" w:rsidRDefault="00BA0236">
            <w:pPr>
              <w:pStyle w:val="Akapitzlist1"/>
              <w:tabs>
                <w:tab w:val="left" w:pos="2250"/>
              </w:tabs>
              <w:spacing w:line="240" w:lineRule="auto"/>
              <w:ind w:left="0"/>
              <w:jc w:val="both"/>
              <w:rPr>
                <w:rFonts w:ascii="Times New Roman" w:eastAsia="MS Mincho" w:hAnsi="Times New Roman"/>
                <w:bCs/>
                <w:sz w:val="20"/>
                <w:szCs w:val="20"/>
              </w:rPr>
            </w:pPr>
            <w:r w:rsidRPr="00854EA5">
              <w:rPr>
                <w:rFonts w:ascii="Times New Roman" w:eastAsia="MS Mincho" w:hAnsi="Times New Roman"/>
                <w:bCs/>
                <w:sz w:val="20"/>
                <w:szCs w:val="20"/>
              </w:rPr>
              <w:t>Wpływ na obszary chronione i korytarze ekologiczne</w:t>
            </w:r>
          </w:p>
        </w:tc>
        <w:tc>
          <w:tcPr>
            <w:tcW w:w="3917" w:type="dxa"/>
          </w:tcPr>
          <w:p w14:paraId="19351CC3" w14:textId="77777777" w:rsidR="00BA0236" w:rsidRPr="00854EA5" w:rsidRDefault="00BA0236">
            <w:pPr>
              <w:pStyle w:val="Akapitzlist1"/>
              <w:tabs>
                <w:tab w:val="left" w:pos="2250"/>
              </w:tabs>
              <w:spacing w:line="240" w:lineRule="auto"/>
              <w:ind w:left="0"/>
              <w:jc w:val="both"/>
              <w:rPr>
                <w:rFonts w:ascii="Times New Roman" w:hAnsi="Times New Roman"/>
                <w:b/>
                <w:bCs/>
                <w:sz w:val="20"/>
                <w:szCs w:val="20"/>
              </w:rPr>
            </w:pPr>
            <w:r w:rsidRPr="00854EA5">
              <w:rPr>
                <w:rFonts w:ascii="Times New Roman" w:hAnsi="Times New Roman"/>
                <w:b/>
                <w:bCs/>
                <w:sz w:val="20"/>
                <w:szCs w:val="20"/>
              </w:rPr>
              <w:t>Park Krajobrazowy Mierzeja Wiślana</w:t>
            </w:r>
          </w:p>
          <w:p w14:paraId="259D1818" w14:textId="77777777" w:rsidR="00BA0236" w:rsidRPr="00854EA5" w:rsidRDefault="00BA0236">
            <w:pPr>
              <w:pStyle w:val="Akapitzlist1"/>
              <w:tabs>
                <w:tab w:val="left" w:pos="2250"/>
              </w:tabs>
              <w:spacing w:line="240" w:lineRule="auto"/>
              <w:ind w:left="0"/>
              <w:jc w:val="both"/>
              <w:rPr>
                <w:rFonts w:ascii="Times New Roman" w:eastAsia="MS Mincho" w:hAnsi="Times New Roman"/>
                <w:bCs/>
                <w:sz w:val="20"/>
                <w:szCs w:val="20"/>
              </w:rPr>
            </w:pPr>
            <w:r w:rsidRPr="00854EA5">
              <w:rPr>
                <w:rFonts w:ascii="Times New Roman" w:hAnsi="Times New Roman"/>
                <w:b/>
                <w:bCs/>
                <w:sz w:val="20"/>
                <w:szCs w:val="20"/>
              </w:rPr>
              <w:t>Zalew Wiślany i Mierzeja Wiślana</w:t>
            </w:r>
          </w:p>
        </w:tc>
        <w:tc>
          <w:tcPr>
            <w:tcW w:w="1709" w:type="dxa"/>
          </w:tcPr>
          <w:p w14:paraId="16B20D7D" w14:textId="77777777" w:rsidR="00BA0236" w:rsidRPr="00B32914" w:rsidRDefault="00BA0236" w:rsidP="00347E16">
            <w:pPr>
              <w:jc w:val="both"/>
              <w:rPr>
                <w:b/>
                <w:color w:val="28AAE1"/>
              </w:rPr>
            </w:pPr>
            <w:r w:rsidRPr="00B32914">
              <w:rPr>
                <w:lang w:eastAsia="pl-PL"/>
              </w:rPr>
              <w:t xml:space="preserve">możliwy negatywny potencjalny wpływ na przedmioty ochrony i </w:t>
            </w:r>
            <w:r w:rsidRPr="00B32914">
              <w:t>cele środowiskowe obszarów chronionych</w:t>
            </w:r>
          </w:p>
        </w:tc>
        <w:tc>
          <w:tcPr>
            <w:tcW w:w="902" w:type="dxa"/>
          </w:tcPr>
          <w:p w14:paraId="47BC33CD" w14:textId="77777777" w:rsidR="00BA0236" w:rsidRDefault="00BA0236">
            <w:pPr>
              <w:pStyle w:val="Akapitzlist1"/>
              <w:tabs>
                <w:tab w:val="left" w:pos="2250"/>
              </w:tabs>
              <w:spacing w:line="240" w:lineRule="auto"/>
              <w:ind w:left="0"/>
              <w:jc w:val="both"/>
              <w:rPr>
                <w:rFonts w:ascii="Times New Roman" w:eastAsia="MS Mincho" w:hAnsi="Times New Roman"/>
                <w:bCs/>
                <w:sz w:val="24"/>
                <w:szCs w:val="24"/>
              </w:rPr>
            </w:pPr>
            <w:r>
              <w:rPr>
                <w:rFonts w:ascii="Times New Roman" w:eastAsia="MS Mincho" w:hAnsi="Times New Roman"/>
                <w:bCs/>
                <w:sz w:val="24"/>
                <w:szCs w:val="24"/>
              </w:rPr>
              <w:t>U/N</w:t>
            </w:r>
          </w:p>
        </w:tc>
      </w:tr>
      <w:tr w:rsidR="00BA0236" w:rsidRPr="00B32914" w14:paraId="2AA52448" w14:textId="77777777" w:rsidTr="00347E16">
        <w:tc>
          <w:tcPr>
            <w:tcW w:w="6110" w:type="dxa"/>
            <w:gridSpan w:val="2"/>
          </w:tcPr>
          <w:p w14:paraId="411B39B8" w14:textId="77777777" w:rsidR="00BA0236" w:rsidRPr="00B32914" w:rsidRDefault="00BA0236">
            <w:pPr>
              <w:jc w:val="both"/>
              <w:rPr>
                <w:sz w:val="20"/>
                <w:szCs w:val="20"/>
              </w:rPr>
            </w:pPr>
            <w:r w:rsidRPr="00B32914">
              <w:rPr>
                <w:rStyle w:val="fontstyle01"/>
                <w:rFonts w:ascii="Times New Roman" w:hAnsi="Times New Roman"/>
                <w:sz w:val="20"/>
                <w:szCs w:val="20"/>
              </w:rPr>
              <w:t xml:space="preserve">Stopień udatności środowiskowej </w:t>
            </w:r>
          </w:p>
          <w:p w14:paraId="4C822B46" w14:textId="77777777" w:rsidR="00BA0236" w:rsidRPr="00854EA5" w:rsidRDefault="00BA0236">
            <w:pPr>
              <w:pStyle w:val="Akapitzlist1"/>
              <w:tabs>
                <w:tab w:val="left" w:pos="2250"/>
              </w:tabs>
              <w:spacing w:line="240" w:lineRule="auto"/>
              <w:ind w:left="0"/>
              <w:jc w:val="both"/>
              <w:rPr>
                <w:rFonts w:ascii="Times New Roman" w:hAnsi="Times New Roman"/>
                <w:bCs/>
                <w:sz w:val="20"/>
                <w:szCs w:val="20"/>
              </w:rPr>
            </w:pPr>
          </w:p>
        </w:tc>
        <w:tc>
          <w:tcPr>
            <w:tcW w:w="2611" w:type="dxa"/>
            <w:gridSpan w:val="2"/>
          </w:tcPr>
          <w:p w14:paraId="38C2F7B1" w14:textId="77777777" w:rsidR="00BA0236" w:rsidRDefault="00BA0236">
            <w:pPr>
              <w:pStyle w:val="Akapitzlist1"/>
              <w:tabs>
                <w:tab w:val="left" w:pos="2250"/>
              </w:tabs>
              <w:spacing w:line="240" w:lineRule="auto"/>
              <w:ind w:left="0"/>
              <w:jc w:val="both"/>
              <w:rPr>
                <w:rFonts w:ascii="Times New Roman" w:eastAsia="MS Mincho" w:hAnsi="Times New Roman"/>
                <w:bCs/>
                <w:sz w:val="24"/>
                <w:szCs w:val="24"/>
              </w:rPr>
            </w:pPr>
            <w:r>
              <w:rPr>
                <w:rFonts w:ascii="Times New Roman" w:eastAsia="MS Mincho" w:hAnsi="Times New Roman"/>
                <w:bCs/>
                <w:sz w:val="24"/>
                <w:szCs w:val="24"/>
              </w:rPr>
              <w:t>U/N</w:t>
            </w:r>
          </w:p>
        </w:tc>
      </w:tr>
      <w:tr w:rsidR="00BA0236" w:rsidRPr="00B32914" w14:paraId="37EAE6CD" w14:textId="77777777" w:rsidTr="00347E16">
        <w:tc>
          <w:tcPr>
            <w:tcW w:w="8721" w:type="dxa"/>
            <w:gridSpan w:val="4"/>
          </w:tcPr>
          <w:p w14:paraId="1C6DB5FA" w14:textId="77777777" w:rsidR="00BA0236" w:rsidRPr="00854EA5" w:rsidRDefault="00BA0236">
            <w:pPr>
              <w:pStyle w:val="Akapitzlist1"/>
              <w:tabs>
                <w:tab w:val="left" w:pos="2250"/>
              </w:tabs>
              <w:spacing w:line="240" w:lineRule="auto"/>
              <w:ind w:left="0"/>
              <w:jc w:val="both"/>
              <w:rPr>
                <w:rFonts w:ascii="Times New Roman" w:eastAsia="MS Mincho" w:hAnsi="Times New Roman"/>
                <w:bCs/>
                <w:sz w:val="20"/>
                <w:szCs w:val="20"/>
              </w:rPr>
            </w:pPr>
            <w:r w:rsidRPr="00854EA5">
              <w:rPr>
                <w:rFonts w:ascii="Times New Roman" w:eastAsia="MS Mincho" w:hAnsi="Times New Roman"/>
                <w:sz w:val="20"/>
                <w:szCs w:val="20"/>
              </w:rPr>
              <w:t xml:space="preserve">Z uwagi na skalę prac działania nie będą negatywnie oddziaływać na parametry oceny stanu JCWP oraz cele środowiskowe, dlatego Wariant został oceniony jako K korzystny środowiskowo </w:t>
            </w:r>
            <w:r w:rsidRPr="00854EA5">
              <w:rPr>
                <w:rStyle w:val="fontstyle01"/>
                <w:rFonts w:ascii="Times New Roman" w:eastAsia="MS Mincho" w:hAnsi="Times New Roman"/>
                <w:sz w:val="20"/>
                <w:szCs w:val="20"/>
              </w:rPr>
              <w:t>bez negatywnego wpływu na</w:t>
            </w:r>
            <w:r w:rsidRPr="00854EA5">
              <w:rPr>
                <w:rFonts w:ascii="Times New Roman" w:hAnsi="Times New Roman"/>
                <w:color w:val="000000"/>
                <w:sz w:val="20"/>
                <w:szCs w:val="20"/>
              </w:rPr>
              <w:t xml:space="preserve"> </w:t>
            </w:r>
            <w:r w:rsidRPr="00854EA5">
              <w:rPr>
                <w:rStyle w:val="fontstyle01"/>
                <w:rFonts w:ascii="Times New Roman" w:eastAsia="MS Mincho" w:hAnsi="Times New Roman"/>
                <w:sz w:val="20"/>
                <w:szCs w:val="20"/>
              </w:rPr>
              <w:t>możliwość osiągnięcia celów ochrony wód w rozumieniu RDW</w:t>
            </w:r>
            <w:r w:rsidRPr="00854EA5">
              <w:rPr>
                <w:rFonts w:ascii="Times New Roman" w:eastAsia="MS Mincho" w:hAnsi="Times New Roman"/>
                <w:bCs/>
                <w:sz w:val="20"/>
                <w:szCs w:val="20"/>
              </w:rPr>
              <w:t xml:space="preserve">. Działanie zlokalizowane jest w granicach obszarów chronionych, możliwe wystąpienie negatywnego oddziaływania na przedmioty ochrony, a ewentualne oddziaływania ocenia się jako możliwe do częściowego zminimalizowania. </w:t>
            </w:r>
            <w:r w:rsidRPr="00854EA5">
              <w:rPr>
                <w:rFonts w:ascii="Times New Roman" w:eastAsia="MS Mincho" w:hAnsi="Times New Roman"/>
                <w:b/>
                <w:bCs/>
                <w:sz w:val="20"/>
                <w:szCs w:val="20"/>
              </w:rPr>
              <w:t xml:space="preserve">Stopień udatności środowiskowej określono jako umiarkowanie korzystny / niekorzystny. </w:t>
            </w:r>
          </w:p>
        </w:tc>
      </w:tr>
    </w:tbl>
    <w:p w14:paraId="49A51C0A" w14:textId="77777777" w:rsidR="00BA0236" w:rsidRDefault="00BA0236" w:rsidP="00347E16">
      <w:pPr>
        <w:pStyle w:val="ListParagraph2"/>
        <w:tabs>
          <w:tab w:val="left" w:pos="2250"/>
        </w:tabs>
        <w:spacing w:before="120" w:after="120" w:line="240" w:lineRule="auto"/>
        <w:jc w:val="both"/>
        <w:rPr>
          <w:rFonts w:ascii="Times New Roman" w:hAnsi="Times New Roman"/>
          <w:sz w:val="24"/>
          <w:szCs w:val="24"/>
        </w:rPr>
      </w:pPr>
    </w:p>
    <w:p w14:paraId="2A5291C5" w14:textId="77777777" w:rsidR="00307D31" w:rsidRDefault="00307D31">
      <w:pPr>
        <w:rPr>
          <w:sz w:val="22"/>
        </w:rPr>
      </w:pPr>
      <w:r>
        <w:br w:type="page"/>
      </w:r>
    </w:p>
    <w:p w14:paraId="5E31961B" w14:textId="7BF6A413" w:rsidR="00BA0236" w:rsidRPr="008D7CA9" w:rsidRDefault="00BA0236" w:rsidP="008D7CA9">
      <w:pPr>
        <w:pStyle w:val="Legenda"/>
        <w:tabs>
          <w:tab w:val="clear" w:pos="1080"/>
          <w:tab w:val="left" w:pos="1134"/>
        </w:tabs>
        <w:ind w:left="1134" w:hanging="1134"/>
        <w:jc w:val="both"/>
        <w:rPr>
          <w:rFonts w:eastAsia="Times New Roman"/>
          <w:sz w:val="24"/>
          <w:szCs w:val="28"/>
          <w:lang w:eastAsia="pl-PL"/>
        </w:rPr>
      </w:pPr>
      <w:bookmarkStart w:id="207" w:name="_Toc80604840"/>
      <w:r w:rsidRPr="008D7CA9">
        <w:rPr>
          <w:sz w:val="24"/>
          <w:szCs w:val="28"/>
        </w:rPr>
        <w:lastRenderedPageBreak/>
        <w:t xml:space="preserve">Tabela </w:t>
      </w:r>
      <w:r w:rsidR="00295C25" w:rsidRPr="008D7CA9">
        <w:rPr>
          <w:sz w:val="24"/>
          <w:szCs w:val="28"/>
        </w:rPr>
        <w:fldChar w:fldCharType="begin"/>
      </w:r>
      <w:r w:rsidR="00295C25" w:rsidRPr="008D7CA9">
        <w:rPr>
          <w:sz w:val="24"/>
          <w:szCs w:val="28"/>
        </w:rPr>
        <w:instrText xml:space="preserve"> SEQ Tabela \* ARABIC </w:instrText>
      </w:r>
      <w:r w:rsidR="00295C25" w:rsidRPr="008D7CA9">
        <w:rPr>
          <w:sz w:val="24"/>
          <w:szCs w:val="28"/>
        </w:rPr>
        <w:fldChar w:fldCharType="separate"/>
      </w:r>
      <w:r w:rsidR="00FD3F9A">
        <w:rPr>
          <w:noProof/>
          <w:sz w:val="24"/>
          <w:szCs w:val="28"/>
        </w:rPr>
        <w:t>30</w:t>
      </w:r>
      <w:r w:rsidR="00295C25" w:rsidRPr="008D7CA9">
        <w:rPr>
          <w:noProof/>
          <w:sz w:val="24"/>
          <w:szCs w:val="28"/>
        </w:rPr>
        <w:fldChar w:fldCharType="end"/>
      </w:r>
      <w:r w:rsidR="008D7CA9" w:rsidRPr="008D7CA9">
        <w:rPr>
          <w:sz w:val="24"/>
          <w:szCs w:val="28"/>
        </w:rPr>
        <w:tab/>
      </w:r>
      <w:r w:rsidRPr="008D7CA9">
        <w:rPr>
          <w:sz w:val="24"/>
          <w:szCs w:val="28"/>
        </w:rPr>
        <w:t>Ocena zgodności z celami środowiskowymi wynikającymi z Ramowej Dyrektywy Wodnej i wymaganiami Dyrektywy Ptasiej i Siedliskowej oraz wymaganiami ustawy o Ochronie Przyrody- podsumowanie oceny dla obszaru problemowego IOP_7 Ustka - ujście Słupi</w:t>
      </w:r>
      <w:bookmarkEnd w:id="20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6"/>
        <w:gridCol w:w="3772"/>
        <w:gridCol w:w="1683"/>
        <w:gridCol w:w="875"/>
      </w:tblGrid>
      <w:tr w:rsidR="00BA0236" w:rsidRPr="00B32914" w14:paraId="7690B98C" w14:textId="77777777" w:rsidTr="00417B13">
        <w:tc>
          <w:tcPr>
            <w:tcW w:w="8721" w:type="dxa"/>
            <w:gridSpan w:val="4"/>
            <w:shd w:val="clear" w:color="auto" w:fill="D4EDF9"/>
          </w:tcPr>
          <w:p w14:paraId="2F5867EB" w14:textId="77777777" w:rsidR="00BA0236" w:rsidRPr="00B32914" w:rsidRDefault="00BA0236">
            <w:pPr>
              <w:jc w:val="center"/>
              <w:rPr>
                <w:b/>
                <w:bCs/>
                <w:sz w:val="20"/>
                <w:szCs w:val="20"/>
              </w:rPr>
            </w:pPr>
            <w:r w:rsidRPr="00B32914">
              <w:rPr>
                <w:rStyle w:val="fontstyle01"/>
                <w:rFonts w:ascii="Times New Roman" w:hAnsi="Times New Roman"/>
                <w:b/>
                <w:bCs/>
                <w:sz w:val="20"/>
                <w:szCs w:val="20"/>
              </w:rPr>
              <w:t>Ocena stopnia udatności środowiskowej wariantów działań</w:t>
            </w:r>
          </w:p>
          <w:p w14:paraId="6D97819A" w14:textId="77777777" w:rsidR="00BA0236" w:rsidRPr="00B32914" w:rsidRDefault="00BA0236">
            <w:pPr>
              <w:spacing w:before="40" w:after="40"/>
              <w:jc w:val="center"/>
              <w:rPr>
                <w:b/>
                <w:bCs/>
                <w:color w:val="000000"/>
                <w:sz w:val="20"/>
                <w:szCs w:val="20"/>
              </w:rPr>
            </w:pPr>
            <w:r w:rsidRPr="00B32914">
              <w:rPr>
                <w:b/>
                <w:bCs/>
                <w:color w:val="000000"/>
                <w:sz w:val="20"/>
                <w:szCs w:val="20"/>
              </w:rPr>
              <w:t>K- korzystna środowiskowo, U - umiarkowanie korzystna środowiskowo,</w:t>
            </w:r>
          </w:p>
          <w:p w14:paraId="6853EBFA" w14:textId="77777777" w:rsidR="00BA0236" w:rsidRPr="00B32914" w:rsidRDefault="00BA0236">
            <w:pPr>
              <w:spacing w:before="40" w:after="40"/>
              <w:jc w:val="center"/>
              <w:rPr>
                <w:sz w:val="20"/>
                <w:szCs w:val="20"/>
              </w:rPr>
            </w:pPr>
            <w:r w:rsidRPr="00B32914">
              <w:rPr>
                <w:b/>
                <w:bCs/>
                <w:color w:val="000000"/>
                <w:sz w:val="20"/>
                <w:szCs w:val="20"/>
              </w:rPr>
              <w:t xml:space="preserve">N - </w:t>
            </w:r>
            <w:r w:rsidRPr="00B32914">
              <w:rPr>
                <w:b/>
                <w:bCs/>
                <w:sz w:val="20"/>
                <w:szCs w:val="20"/>
              </w:rPr>
              <w:t>niekorzystna środowiskowo,</w:t>
            </w:r>
          </w:p>
        </w:tc>
      </w:tr>
      <w:tr w:rsidR="00BA0236" w:rsidRPr="00B32914" w14:paraId="7783D748" w14:textId="77777777" w:rsidTr="00347E16">
        <w:tc>
          <w:tcPr>
            <w:tcW w:w="8721" w:type="dxa"/>
            <w:gridSpan w:val="4"/>
          </w:tcPr>
          <w:p w14:paraId="292B26FF" w14:textId="77777777" w:rsidR="00BA0236" w:rsidRPr="00B32914" w:rsidRDefault="00BA0236">
            <w:pPr>
              <w:spacing w:before="100" w:beforeAutospacing="1" w:after="100" w:afterAutospacing="1"/>
              <w:rPr>
                <w:sz w:val="20"/>
                <w:szCs w:val="20"/>
                <w:lang w:eastAsia="pl-PL"/>
              </w:rPr>
            </w:pPr>
            <w:r w:rsidRPr="00B32914">
              <w:rPr>
                <w:sz w:val="20"/>
                <w:szCs w:val="20"/>
                <w:lang w:eastAsia="pl-PL"/>
              </w:rPr>
              <w:t xml:space="preserve">IOP_7 Ustka - ujście Słupi </w:t>
            </w:r>
          </w:p>
        </w:tc>
      </w:tr>
      <w:tr w:rsidR="00BA0236" w:rsidRPr="00B32914" w14:paraId="0B54C0B0" w14:textId="77777777" w:rsidTr="00347E16">
        <w:tc>
          <w:tcPr>
            <w:tcW w:w="2193" w:type="dxa"/>
          </w:tcPr>
          <w:p w14:paraId="17E6CC69" w14:textId="77777777" w:rsidR="00BA0236" w:rsidRPr="00854EA5" w:rsidRDefault="00BA0236">
            <w:pPr>
              <w:pStyle w:val="Akapitzlist1"/>
              <w:tabs>
                <w:tab w:val="left" w:pos="2250"/>
              </w:tabs>
              <w:spacing w:line="240" w:lineRule="auto"/>
              <w:ind w:left="0"/>
              <w:jc w:val="both"/>
              <w:rPr>
                <w:rFonts w:ascii="Times New Roman" w:eastAsia="MS Mincho" w:hAnsi="Times New Roman"/>
                <w:bCs/>
                <w:sz w:val="20"/>
                <w:szCs w:val="20"/>
              </w:rPr>
            </w:pPr>
            <w:r w:rsidRPr="00854EA5">
              <w:rPr>
                <w:rFonts w:ascii="Times New Roman" w:eastAsia="MS Mincho" w:hAnsi="Times New Roman"/>
                <w:bCs/>
                <w:sz w:val="20"/>
                <w:szCs w:val="20"/>
              </w:rPr>
              <w:t xml:space="preserve">Wpływ na parametry biologiczne </w:t>
            </w:r>
          </w:p>
        </w:tc>
        <w:tc>
          <w:tcPr>
            <w:tcW w:w="3917" w:type="dxa"/>
          </w:tcPr>
          <w:p w14:paraId="0C3C9750" w14:textId="77777777" w:rsidR="00BA0236" w:rsidRPr="00854EA5" w:rsidRDefault="00BA0236">
            <w:pPr>
              <w:pStyle w:val="Akapitzlist1"/>
              <w:tabs>
                <w:tab w:val="left" w:pos="2250"/>
              </w:tabs>
              <w:spacing w:line="240" w:lineRule="auto"/>
              <w:ind w:left="0"/>
              <w:jc w:val="both"/>
              <w:rPr>
                <w:rFonts w:ascii="Times New Roman" w:hAnsi="Times New Roman"/>
                <w:bCs/>
                <w:sz w:val="20"/>
                <w:szCs w:val="20"/>
              </w:rPr>
            </w:pPr>
            <w:r w:rsidRPr="00854EA5">
              <w:rPr>
                <w:rFonts w:ascii="Times New Roman" w:hAnsi="Times New Roman"/>
                <w:bCs/>
                <w:sz w:val="20"/>
                <w:szCs w:val="20"/>
              </w:rPr>
              <w:t>RW20001447299</w:t>
            </w:r>
          </w:p>
          <w:p w14:paraId="0B859043"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CW60001WB3</w:t>
            </w:r>
          </w:p>
          <w:p w14:paraId="1DFC16A9" w14:textId="77777777" w:rsidR="00BA0236" w:rsidRPr="00854EA5" w:rsidRDefault="00BA0236">
            <w:pPr>
              <w:pStyle w:val="Akapitzlist1"/>
              <w:tabs>
                <w:tab w:val="left" w:pos="2250"/>
              </w:tabs>
              <w:spacing w:line="240" w:lineRule="auto"/>
              <w:ind w:left="0"/>
              <w:jc w:val="both"/>
              <w:rPr>
                <w:rFonts w:ascii="Times New Roman" w:eastAsia="MS Mincho" w:hAnsi="Times New Roman"/>
                <w:bCs/>
                <w:sz w:val="20"/>
                <w:szCs w:val="20"/>
              </w:rPr>
            </w:pPr>
            <w:r w:rsidRPr="00854EA5">
              <w:rPr>
                <w:rFonts w:ascii="Times New Roman" w:hAnsi="Times New Roman"/>
                <w:bCs/>
                <w:sz w:val="20"/>
                <w:szCs w:val="20"/>
              </w:rPr>
              <w:t>CW20001WB2</w:t>
            </w:r>
          </w:p>
        </w:tc>
        <w:tc>
          <w:tcPr>
            <w:tcW w:w="1709" w:type="dxa"/>
          </w:tcPr>
          <w:p w14:paraId="6AFE0D56" w14:textId="77777777" w:rsidR="00BA0236" w:rsidRPr="00854EA5" w:rsidRDefault="00BA0236">
            <w:pPr>
              <w:pStyle w:val="Akapitzlist1"/>
              <w:tabs>
                <w:tab w:val="left" w:pos="2250"/>
              </w:tabs>
              <w:spacing w:line="240" w:lineRule="auto"/>
              <w:ind w:left="0"/>
              <w:jc w:val="both"/>
              <w:rPr>
                <w:rFonts w:ascii="Times New Roman" w:eastAsia="MS Mincho" w:hAnsi="Times New Roman"/>
                <w:bCs/>
                <w:sz w:val="20"/>
                <w:szCs w:val="20"/>
              </w:rPr>
            </w:pPr>
            <w:r w:rsidRPr="00854EA5">
              <w:rPr>
                <w:rFonts w:ascii="Times New Roman" w:eastAsia="MS Mincho" w:hAnsi="Times New Roman"/>
                <w:bCs/>
                <w:sz w:val="20"/>
                <w:szCs w:val="20"/>
              </w:rPr>
              <w:t>nd</w:t>
            </w:r>
          </w:p>
        </w:tc>
        <w:tc>
          <w:tcPr>
            <w:tcW w:w="902" w:type="dxa"/>
          </w:tcPr>
          <w:p w14:paraId="2F528212" w14:textId="77777777" w:rsidR="00BA0236" w:rsidRPr="00854EA5" w:rsidRDefault="00BA0236">
            <w:pPr>
              <w:pStyle w:val="Akapitzlist1"/>
              <w:tabs>
                <w:tab w:val="left" w:pos="2250"/>
              </w:tabs>
              <w:spacing w:line="240" w:lineRule="auto"/>
              <w:ind w:left="0"/>
              <w:jc w:val="both"/>
              <w:rPr>
                <w:rFonts w:ascii="Times New Roman" w:eastAsia="MS Mincho" w:hAnsi="Times New Roman"/>
                <w:bCs/>
                <w:sz w:val="20"/>
                <w:szCs w:val="20"/>
              </w:rPr>
            </w:pPr>
            <w:r w:rsidRPr="00854EA5">
              <w:rPr>
                <w:rFonts w:ascii="Times New Roman" w:eastAsia="MS Mincho" w:hAnsi="Times New Roman"/>
                <w:bCs/>
                <w:sz w:val="20"/>
                <w:szCs w:val="20"/>
              </w:rPr>
              <w:t>nd</w:t>
            </w:r>
          </w:p>
        </w:tc>
      </w:tr>
      <w:tr w:rsidR="00BA0236" w:rsidRPr="00B32914" w14:paraId="7A852BFA" w14:textId="77777777" w:rsidTr="00347E16">
        <w:tc>
          <w:tcPr>
            <w:tcW w:w="2193" w:type="dxa"/>
          </w:tcPr>
          <w:p w14:paraId="4D70D2BD" w14:textId="77777777" w:rsidR="00BA0236" w:rsidRPr="00854EA5" w:rsidRDefault="00BA0236">
            <w:pPr>
              <w:pStyle w:val="Akapitzlist1"/>
              <w:tabs>
                <w:tab w:val="left" w:pos="2250"/>
              </w:tabs>
              <w:spacing w:line="240" w:lineRule="auto"/>
              <w:ind w:left="0"/>
              <w:jc w:val="both"/>
              <w:rPr>
                <w:rFonts w:ascii="Times New Roman" w:eastAsia="MS Mincho" w:hAnsi="Times New Roman"/>
                <w:bCs/>
                <w:sz w:val="20"/>
                <w:szCs w:val="20"/>
              </w:rPr>
            </w:pPr>
            <w:r w:rsidRPr="00854EA5">
              <w:rPr>
                <w:rFonts w:ascii="Times New Roman" w:eastAsia="MS Mincho" w:hAnsi="Times New Roman"/>
                <w:bCs/>
                <w:sz w:val="20"/>
                <w:szCs w:val="20"/>
              </w:rPr>
              <w:t xml:space="preserve">Wpływ na parametry hydromorfologiczne </w:t>
            </w:r>
          </w:p>
          <w:p w14:paraId="7C517C57" w14:textId="77777777" w:rsidR="00BA0236" w:rsidRPr="00854EA5" w:rsidRDefault="00BA0236">
            <w:pPr>
              <w:pStyle w:val="Akapitzlist1"/>
              <w:tabs>
                <w:tab w:val="left" w:pos="2250"/>
              </w:tabs>
              <w:spacing w:line="240" w:lineRule="auto"/>
              <w:ind w:left="0"/>
              <w:jc w:val="both"/>
              <w:rPr>
                <w:rFonts w:ascii="Times New Roman" w:eastAsia="MS Mincho" w:hAnsi="Times New Roman"/>
                <w:bCs/>
                <w:sz w:val="20"/>
                <w:szCs w:val="20"/>
              </w:rPr>
            </w:pPr>
          </w:p>
        </w:tc>
        <w:tc>
          <w:tcPr>
            <w:tcW w:w="3917" w:type="dxa"/>
          </w:tcPr>
          <w:p w14:paraId="5D1C1415" w14:textId="77777777" w:rsidR="00BA0236" w:rsidRPr="00854EA5" w:rsidRDefault="00BA0236">
            <w:pPr>
              <w:pStyle w:val="Akapitzlist1"/>
              <w:tabs>
                <w:tab w:val="left" w:pos="2250"/>
              </w:tabs>
              <w:spacing w:line="240" w:lineRule="auto"/>
              <w:ind w:left="0"/>
              <w:jc w:val="both"/>
              <w:rPr>
                <w:rFonts w:ascii="Times New Roman" w:eastAsia="MS Mincho" w:hAnsi="Times New Roman"/>
                <w:bCs/>
                <w:sz w:val="20"/>
                <w:szCs w:val="20"/>
              </w:rPr>
            </w:pPr>
            <w:r w:rsidRPr="00854EA5">
              <w:rPr>
                <w:rFonts w:ascii="Times New Roman" w:hAnsi="Times New Roman"/>
                <w:bCs/>
                <w:sz w:val="20"/>
                <w:szCs w:val="20"/>
              </w:rPr>
              <w:t>RW20001447299</w:t>
            </w:r>
          </w:p>
        </w:tc>
        <w:tc>
          <w:tcPr>
            <w:tcW w:w="1709" w:type="dxa"/>
          </w:tcPr>
          <w:p w14:paraId="193B5AD9" w14:textId="77777777" w:rsidR="00BA0236" w:rsidRPr="00B32914" w:rsidRDefault="00BA0236">
            <w:pPr>
              <w:jc w:val="both"/>
              <w:rPr>
                <w:sz w:val="20"/>
                <w:szCs w:val="20"/>
              </w:rPr>
            </w:pPr>
            <w:r w:rsidRPr="00B32914">
              <w:rPr>
                <w:rStyle w:val="fontstyle01"/>
                <w:rFonts w:ascii="Times New Roman" w:hAnsi="Times New Roman"/>
                <w:sz w:val="20"/>
                <w:szCs w:val="20"/>
              </w:rPr>
              <w:t>ograniczenie terenów naturalnie okresowo zalewanych pogorszenie wskaźników PPH6, PPH4</w:t>
            </w:r>
          </w:p>
        </w:tc>
        <w:tc>
          <w:tcPr>
            <w:tcW w:w="902" w:type="dxa"/>
          </w:tcPr>
          <w:p w14:paraId="1518FBEB" w14:textId="77777777" w:rsidR="00BA0236" w:rsidRPr="00854EA5" w:rsidRDefault="00BA0236">
            <w:pPr>
              <w:pStyle w:val="Akapitzlist1"/>
              <w:tabs>
                <w:tab w:val="left" w:pos="2250"/>
              </w:tabs>
              <w:spacing w:line="240" w:lineRule="auto"/>
              <w:ind w:left="0"/>
              <w:jc w:val="both"/>
              <w:rPr>
                <w:rFonts w:ascii="Times New Roman" w:eastAsia="MS Mincho" w:hAnsi="Times New Roman"/>
                <w:bCs/>
                <w:sz w:val="20"/>
                <w:szCs w:val="20"/>
              </w:rPr>
            </w:pPr>
            <w:r w:rsidRPr="00854EA5">
              <w:rPr>
                <w:rFonts w:ascii="Times New Roman" w:eastAsia="MS Mincho" w:hAnsi="Times New Roman"/>
                <w:bCs/>
                <w:sz w:val="20"/>
                <w:szCs w:val="20"/>
              </w:rPr>
              <w:t>N</w:t>
            </w:r>
          </w:p>
        </w:tc>
      </w:tr>
      <w:tr w:rsidR="00BA0236" w:rsidRPr="00B32914" w14:paraId="24B97E43" w14:textId="77777777" w:rsidTr="00347E16">
        <w:tc>
          <w:tcPr>
            <w:tcW w:w="2193" w:type="dxa"/>
          </w:tcPr>
          <w:p w14:paraId="61F50C35" w14:textId="77777777" w:rsidR="00BA0236" w:rsidRPr="00854EA5" w:rsidRDefault="00BA0236">
            <w:pPr>
              <w:pStyle w:val="Akapitzlist1"/>
              <w:tabs>
                <w:tab w:val="left" w:pos="2250"/>
              </w:tabs>
              <w:spacing w:line="240" w:lineRule="auto"/>
              <w:ind w:left="0"/>
              <w:jc w:val="both"/>
              <w:rPr>
                <w:rFonts w:ascii="Times New Roman" w:eastAsia="MS Mincho" w:hAnsi="Times New Roman"/>
                <w:bCs/>
                <w:sz w:val="20"/>
                <w:szCs w:val="20"/>
              </w:rPr>
            </w:pPr>
            <w:r w:rsidRPr="00854EA5">
              <w:rPr>
                <w:rFonts w:ascii="Times New Roman" w:eastAsia="MS Mincho" w:hAnsi="Times New Roman"/>
                <w:bCs/>
                <w:sz w:val="20"/>
                <w:szCs w:val="20"/>
              </w:rPr>
              <w:t>Wpływ na obszary chronione i korytarze ekologiczne</w:t>
            </w:r>
          </w:p>
        </w:tc>
        <w:tc>
          <w:tcPr>
            <w:tcW w:w="3917" w:type="dxa"/>
          </w:tcPr>
          <w:p w14:paraId="10E226CC" w14:textId="40015833" w:rsidR="00BA0236" w:rsidRPr="00854EA5" w:rsidRDefault="00BA0236">
            <w:pPr>
              <w:pStyle w:val="ListParagraph2"/>
              <w:tabs>
                <w:tab w:val="left" w:pos="1767"/>
              </w:tabs>
              <w:spacing w:before="120" w:after="120" w:line="240" w:lineRule="auto"/>
              <w:ind w:left="482" w:right="374"/>
              <w:jc w:val="both"/>
              <w:rPr>
                <w:rFonts w:ascii="Times New Roman" w:eastAsia="MS Mincho" w:hAnsi="Times New Roman"/>
                <w:bCs/>
                <w:sz w:val="20"/>
                <w:szCs w:val="20"/>
              </w:rPr>
            </w:pPr>
            <w:r w:rsidRPr="00B32914">
              <w:rPr>
                <w:rFonts w:ascii="Times New Roman" w:hAnsi="Times New Roman"/>
                <w:sz w:val="20"/>
                <w:szCs w:val="20"/>
              </w:rPr>
              <w:t xml:space="preserve">Natura 2000 Dolina Słupi </w:t>
            </w:r>
            <w:hyperlink r:id="rId62" w:tgtFrame="_blank" w:history="1">
              <w:r w:rsidRPr="00B32914">
                <w:rPr>
                  <w:rStyle w:val="Hipercze"/>
                  <w:rFonts w:eastAsia="MS Mincho"/>
                  <w:sz w:val="20"/>
                  <w:szCs w:val="20"/>
                </w:rPr>
                <w:t>PLH220052</w:t>
              </w:r>
            </w:hyperlink>
          </w:p>
        </w:tc>
        <w:tc>
          <w:tcPr>
            <w:tcW w:w="1709" w:type="dxa"/>
          </w:tcPr>
          <w:p w14:paraId="4EF715E8" w14:textId="77777777" w:rsidR="00BA0236" w:rsidRPr="00B32914" w:rsidRDefault="00BA0236" w:rsidP="00347E16">
            <w:pPr>
              <w:jc w:val="both"/>
              <w:rPr>
                <w:b/>
                <w:color w:val="28AAE1"/>
                <w:sz w:val="20"/>
                <w:szCs w:val="20"/>
              </w:rPr>
            </w:pPr>
            <w:r w:rsidRPr="00B32914">
              <w:rPr>
                <w:sz w:val="20"/>
                <w:szCs w:val="20"/>
                <w:lang w:eastAsia="pl-PL"/>
              </w:rPr>
              <w:t xml:space="preserve">możliwy negatywny potencjalny wpływ na przedmioty ochrony i </w:t>
            </w:r>
            <w:r w:rsidRPr="00B32914">
              <w:rPr>
                <w:sz w:val="20"/>
                <w:szCs w:val="20"/>
              </w:rPr>
              <w:t>cele środowiskowe obszarów chronionych</w:t>
            </w:r>
          </w:p>
        </w:tc>
        <w:tc>
          <w:tcPr>
            <w:tcW w:w="902" w:type="dxa"/>
          </w:tcPr>
          <w:p w14:paraId="78104F27" w14:textId="77777777" w:rsidR="00BA0236" w:rsidRPr="00854EA5" w:rsidRDefault="00BA0236">
            <w:pPr>
              <w:pStyle w:val="Akapitzlist1"/>
              <w:tabs>
                <w:tab w:val="left" w:pos="2250"/>
              </w:tabs>
              <w:spacing w:line="240" w:lineRule="auto"/>
              <w:ind w:left="0"/>
              <w:jc w:val="both"/>
              <w:rPr>
                <w:rFonts w:ascii="Times New Roman" w:eastAsia="MS Mincho" w:hAnsi="Times New Roman"/>
                <w:bCs/>
                <w:sz w:val="20"/>
                <w:szCs w:val="20"/>
              </w:rPr>
            </w:pPr>
            <w:r w:rsidRPr="00854EA5">
              <w:rPr>
                <w:rFonts w:ascii="Times New Roman" w:eastAsia="MS Mincho" w:hAnsi="Times New Roman"/>
                <w:bCs/>
                <w:sz w:val="20"/>
                <w:szCs w:val="20"/>
              </w:rPr>
              <w:t>U/N</w:t>
            </w:r>
          </w:p>
        </w:tc>
      </w:tr>
      <w:tr w:rsidR="00BA0236" w:rsidRPr="00B32914" w14:paraId="3E54D66D" w14:textId="77777777" w:rsidTr="00347E16">
        <w:tc>
          <w:tcPr>
            <w:tcW w:w="6110" w:type="dxa"/>
            <w:gridSpan w:val="2"/>
          </w:tcPr>
          <w:p w14:paraId="7B2D83D0" w14:textId="77777777" w:rsidR="00BA0236" w:rsidRPr="00B32914" w:rsidRDefault="00BA0236">
            <w:pPr>
              <w:jc w:val="both"/>
              <w:rPr>
                <w:sz w:val="20"/>
                <w:szCs w:val="20"/>
              </w:rPr>
            </w:pPr>
            <w:r w:rsidRPr="00B32914">
              <w:rPr>
                <w:rStyle w:val="fontstyle01"/>
                <w:rFonts w:ascii="Times New Roman" w:hAnsi="Times New Roman"/>
                <w:sz w:val="20"/>
                <w:szCs w:val="20"/>
              </w:rPr>
              <w:t xml:space="preserve">Stopień udatności środowiskowej </w:t>
            </w:r>
          </w:p>
          <w:p w14:paraId="1C26BA9A" w14:textId="77777777" w:rsidR="00BA0236" w:rsidRPr="00854EA5" w:rsidRDefault="00BA0236">
            <w:pPr>
              <w:pStyle w:val="Akapitzlist1"/>
              <w:tabs>
                <w:tab w:val="left" w:pos="2250"/>
              </w:tabs>
              <w:spacing w:line="240" w:lineRule="auto"/>
              <w:ind w:left="0"/>
              <w:jc w:val="both"/>
              <w:rPr>
                <w:rFonts w:ascii="Times New Roman" w:hAnsi="Times New Roman"/>
                <w:bCs/>
                <w:sz w:val="20"/>
                <w:szCs w:val="20"/>
              </w:rPr>
            </w:pPr>
          </w:p>
        </w:tc>
        <w:tc>
          <w:tcPr>
            <w:tcW w:w="2611" w:type="dxa"/>
            <w:gridSpan w:val="2"/>
          </w:tcPr>
          <w:p w14:paraId="14D15920" w14:textId="77777777" w:rsidR="00BA0236" w:rsidRPr="00854EA5" w:rsidRDefault="00BA0236">
            <w:pPr>
              <w:pStyle w:val="Akapitzlist1"/>
              <w:tabs>
                <w:tab w:val="left" w:pos="2250"/>
              </w:tabs>
              <w:spacing w:line="240" w:lineRule="auto"/>
              <w:ind w:left="0"/>
              <w:jc w:val="both"/>
              <w:rPr>
                <w:rFonts w:ascii="Times New Roman" w:eastAsia="MS Mincho" w:hAnsi="Times New Roman"/>
                <w:bCs/>
                <w:sz w:val="20"/>
                <w:szCs w:val="20"/>
              </w:rPr>
            </w:pPr>
            <w:r w:rsidRPr="00854EA5">
              <w:rPr>
                <w:rFonts w:ascii="Times New Roman" w:eastAsia="MS Mincho" w:hAnsi="Times New Roman"/>
                <w:bCs/>
                <w:sz w:val="20"/>
                <w:szCs w:val="20"/>
              </w:rPr>
              <w:t>N</w:t>
            </w:r>
          </w:p>
        </w:tc>
      </w:tr>
      <w:tr w:rsidR="00BA0236" w:rsidRPr="00B32914" w14:paraId="02F319E7" w14:textId="77777777" w:rsidTr="00347E16">
        <w:tc>
          <w:tcPr>
            <w:tcW w:w="8721" w:type="dxa"/>
            <w:gridSpan w:val="4"/>
          </w:tcPr>
          <w:p w14:paraId="57B2D71B" w14:textId="77777777" w:rsidR="00BA0236" w:rsidRPr="00854EA5" w:rsidRDefault="00BA0236">
            <w:pPr>
              <w:pStyle w:val="Akapitzlist1"/>
              <w:tabs>
                <w:tab w:val="left" w:pos="2250"/>
              </w:tabs>
              <w:spacing w:line="240" w:lineRule="auto"/>
              <w:ind w:left="0"/>
              <w:jc w:val="both"/>
              <w:rPr>
                <w:rFonts w:ascii="Times New Roman" w:eastAsia="MS Mincho" w:hAnsi="Times New Roman"/>
                <w:bCs/>
                <w:sz w:val="20"/>
                <w:szCs w:val="20"/>
              </w:rPr>
            </w:pPr>
            <w:r w:rsidRPr="00854EA5">
              <w:rPr>
                <w:rFonts w:ascii="Times New Roman" w:eastAsia="MS Mincho" w:hAnsi="Times New Roman"/>
                <w:sz w:val="20"/>
                <w:szCs w:val="20"/>
              </w:rPr>
              <w:t xml:space="preserve">Z uwagi na skalę prac działania będą negatywnie oddziaływać na strefę brzegową JCWP, prowadząc do zahamowania zalewu powierzchniowego, przekształcenia warunków hydromorfologicznych strefy brzegowej JCWP, dlatego Wariant został oceniony jako N środowiskowo </w:t>
            </w:r>
            <w:r w:rsidRPr="00854EA5">
              <w:rPr>
                <w:rStyle w:val="fontstyle01"/>
                <w:rFonts w:ascii="Times New Roman" w:eastAsia="MS Mincho" w:hAnsi="Times New Roman"/>
                <w:sz w:val="20"/>
                <w:szCs w:val="20"/>
              </w:rPr>
              <w:t>mogąc</w:t>
            </w:r>
            <w:r w:rsidRPr="00854EA5">
              <w:rPr>
                <w:rStyle w:val="fontstyle01"/>
                <w:rFonts w:ascii="Times New Roman" w:hAnsi="Times New Roman"/>
                <w:sz w:val="20"/>
                <w:szCs w:val="20"/>
              </w:rPr>
              <w:t>y</w:t>
            </w:r>
            <w:r w:rsidRPr="00854EA5">
              <w:rPr>
                <w:rStyle w:val="fontstyle01"/>
                <w:rFonts w:ascii="Times New Roman" w:eastAsia="MS Mincho" w:hAnsi="Times New Roman"/>
                <w:sz w:val="20"/>
                <w:szCs w:val="20"/>
              </w:rPr>
              <w:t xml:space="preserve"> wpłynąć negatywnie na</w:t>
            </w:r>
            <w:r w:rsidRPr="00854EA5">
              <w:rPr>
                <w:rFonts w:ascii="Times New Roman" w:hAnsi="Times New Roman"/>
                <w:color w:val="000000"/>
                <w:sz w:val="20"/>
                <w:szCs w:val="20"/>
              </w:rPr>
              <w:t xml:space="preserve"> </w:t>
            </w:r>
            <w:r w:rsidRPr="00854EA5">
              <w:rPr>
                <w:rStyle w:val="fontstyle01"/>
                <w:rFonts w:ascii="Times New Roman" w:eastAsia="MS Mincho" w:hAnsi="Times New Roman"/>
                <w:sz w:val="20"/>
                <w:szCs w:val="20"/>
              </w:rPr>
              <w:t>możliwość osiągnięcia celów ochrony wód w rozumieniu RDW</w:t>
            </w:r>
            <w:r w:rsidRPr="00854EA5">
              <w:rPr>
                <w:rFonts w:ascii="Times New Roman" w:eastAsia="MS Mincho" w:hAnsi="Times New Roman"/>
                <w:bCs/>
                <w:sz w:val="20"/>
                <w:szCs w:val="20"/>
              </w:rPr>
              <w:t xml:space="preserve">. Działanie zlokalizowane jest w granicach obszarów chronionych, możliwe wystąpienie negatywnego oddziaływania na przedmioty ochrony. </w:t>
            </w:r>
            <w:r w:rsidRPr="00854EA5">
              <w:rPr>
                <w:rFonts w:ascii="Times New Roman" w:eastAsia="MS Mincho" w:hAnsi="Times New Roman"/>
                <w:b/>
                <w:bCs/>
                <w:sz w:val="20"/>
                <w:szCs w:val="20"/>
              </w:rPr>
              <w:t>Stopień udatności środowiskowej określono jako niekorzystny.</w:t>
            </w:r>
          </w:p>
        </w:tc>
      </w:tr>
    </w:tbl>
    <w:p w14:paraId="0998FB54" w14:textId="77777777" w:rsidR="00A95C85" w:rsidRDefault="00A95C85" w:rsidP="00417B13">
      <w:pPr>
        <w:pStyle w:val="Legenda"/>
      </w:pPr>
    </w:p>
    <w:p w14:paraId="72A6025D" w14:textId="73F986CA" w:rsidR="00BA0236" w:rsidRDefault="00A95C85" w:rsidP="008D7CA9">
      <w:pPr>
        <w:pStyle w:val="Legenda"/>
        <w:tabs>
          <w:tab w:val="clear" w:pos="1080"/>
          <w:tab w:val="left" w:pos="1134"/>
        </w:tabs>
        <w:ind w:left="1134" w:hanging="1134"/>
        <w:jc w:val="both"/>
        <w:rPr>
          <w:rFonts w:eastAsia="Times New Roman"/>
          <w:color w:val="000000"/>
          <w:lang w:eastAsia="pl-PL"/>
        </w:rPr>
      </w:pPr>
      <w:r>
        <w:br w:type="column"/>
      </w:r>
      <w:bookmarkStart w:id="208" w:name="_Toc80604841"/>
      <w:r w:rsidR="00BA0236" w:rsidRPr="008D7CA9">
        <w:rPr>
          <w:sz w:val="24"/>
          <w:szCs w:val="28"/>
        </w:rPr>
        <w:lastRenderedPageBreak/>
        <w:t xml:space="preserve">Tabela </w:t>
      </w:r>
      <w:r w:rsidR="00295C25" w:rsidRPr="008D7CA9">
        <w:rPr>
          <w:sz w:val="24"/>
          <w:szCs w:val="28"/>
        </w:rPr>
        <w:fldChar w:fldCharType="begin"/>
      </w:r>
      <w:r w:rsidR="00295C25" w:rsidRPr="008D7CA9">
        <w:rPr>
          <w:sz w:val="24"/>
          <w:szCs w:val="28"/>
        </w:rPr>
        <w:instrText xml:space="preserve"> SEQ Tabela \* ARABIC </w:instrText>
      </w:r>
      <w:r w:rsidR="00295C25" w:rsidRPr="008D7CA9">
        <w:rPr>
          <w:sz w:val="24"/>
          <w:szCs w:val="28"/>
        </w:rPr>
        <w:fldChar w:fldCharType="separate"/>
      </w:r>
      <w:r w:rsidR="00FD3F9A">
        <w:rPr>
          <w:noProof/>
          <w:sz w:val="24"/>
          <w:szCs w:val="28"/>
        </w:rPr>
        <w:t>31</w:t>
      </w:r>
      <w:r w:rsidR="00295C25" w:rsidRPr="008D7CA9">
        <w:rPr>
          <w:noProof/>
          <w:sz w:val="24"/>
          <w:szCs w:val="28"/>
        </w:rPr>
        <w:fldChar w:fldCharType="end"/>
      </w:r>
      <w:r w:rsidR="008D7CA9">
        <w:rPr>
          <w:sz w:val="24"/>
          <w:szCs w:val="28"/>
        </w:rPr>
        <w:tab/>
      </w:r>
      <w:r w:rsidR="00BA0236" w:rsidRPr="008D7CA9">
        <w:rPr>
          <w:sz w:val="24"/>
          <w:szCs w:val="28"/>
        </w:rPr>
        <w:t>Ocena zgodności z celami środowiskowymi wynikającymi z Ramowej Dyrektywy Wodnej i wymaganiami Dyrektywy Ptasiej i Siedliskowej oraz wymaganiami ustawy o Ochronie Przyrody- podsumowanie oceny dla obszaru problemowego IOP_8 – Dębki</w:t>
      </w:r>
      <w:bookmarkEnd w:id="208"/>
      <w:r w:rsidR="00BA0236" w:rsidRPr="008D7CA9">
        <w:rPr>
          <w:sz w:val="24"/>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8"/>
        <w:gridCol w:w="3766"/>
        <w:gridCol w:w="1685"/>
        <w:gridCol w:w="877"/>
      </w:tblGrid>
      <w:tr w:rsidR="00BA0236" w:rsidRPr="00B32914" w14:paraId="7F281AC2" w14:textId="77777777" w:rsidTr="00417B13">
        <w:tc>
          <w:tcPr>
            <w:tcW w:w="8721" w:type="dxa"/>
            <w:gridSpan w:val="4"/>
            <w:shd w:val="clear" w:color="auto" w:fill="D4EDF9"/>
          </w:tcPr>
          <w:p w14:paraId="65B59A2D" w14:textId="77777777" w:rsidR="00BA0236" w:rsidRPr="00B32914" w:rsidRDefault="00BA0236">
            <w:pPr>
              <w:jc w:val="center"/>
              <w:rPr>
                <w:b/>
                <w:bCs/>
                <w:sz w:val="20"/>
                <w:szCs w:val="20"/>
              </w:rPr>
            </w:pPr>
            <w:r w:rsidRPr="00B32914">
              <w:rPr>
                <w:rStyle w:val="fontstyle01"/>
                <w:rFonts w:ascii="Times New Roman" w:hAnsi="Times New Roman"/>
                <w:b/>
                <w:bCs/>
                <w:sz w:val="20"/>
                <w:szCs w:val="20"/>
              </w:rPr>
              <w:t>Ocena stopnia udatności środowiskowej wariantów działań</w:t>
            </w:r>
          </w:p>
          <w:p w14:paraId="02E89BE0" w14:textId="77777777" w:rsidR="00BA0236" w:rsidRPr="00B32914" w:rsidRDefault="00BA0236">
            <w:pPr>
              <w:spacing w:before="40" w:after="40"/>
              <w:jc w:val="center"/>
              <w:rPr>
                <w:b/>
                <w:bCs/>
                <w:color w:val="000000"/>
                <w:sz w:val="20"/>
                <w:szCs w:val="20"/>
              </w:rPr>
            </w:pPr>
            <w:r w:rsidRPr="00B32914">
              <w:rPr>
                <w:b/>
                <w:bCs/>
                <w:color w:val="000000"/>
                <w:sz w:val="20"/>
                <w:szCs w:val="20"/>
              </w:rPr>
              <w:t>K- korzystna środowiskowo, U - umiarkowanie korzystna środowiskowo,</w:t>
            </w:r>
          </w:p>
          <w:p w14:paraId="30B08697" w14:textId="77777777" w:rsidR="00BA0236" w:rsidRPr="00B32914" w:rsidRDefault="00BA0236">
            <w:pPr>
              <w:spacing w:before="40" w:after="40"/>
              <w:jc w:val="center"/>
              <w:rPr>
                <w:sz w:val="20"/>
                <w:szCs w:val="20"/>
              </w:rPr>
            </w:pPr>
            <w:r w:rsidRPr="00B32914">
              <w:rPr>
                <w:b/>
                <w:bCs/>
                <w:color w:val="000000"/>
                <w:sz w:val="20"/>
                <w:szCs w:val="20"/>
              </w:rPr>
              <w:t xml:space="preserve">N - </w:t>
            </w:r>
            <w:r w:rsidRPr="00B32914">
              <w:rPr>
                <w:b/>
                <w:bCs/>
                <w:sz w:val="20"/>
                <w:szCs w:val="20"/>
              </w:rPr>
              <w:t>niekorzystna środowiskowo,</w:t>
            </w:r>
          </w:p>
        </w:tc>
      </w:tr>
      <w:tr w:rsidR="00BA0236" w:rsidRPr="00B32914" w14:paraId="6D78ADAA" w14:textId="77777777" w:rsidTr="00347E16">
        <w:tc>
          <w:tcPr>
            <w:tcW w:w="8721" w:type="dxa"/>
            <w:gridSpan w:val="4"/>
          </w:tcPr>
          <w:p w14:paraId="0D7F7358" w14:textId="22D88A89" w:rsidR="00BA0236" w:rsidRPr="00B32914" w:rsidRDefault="00BA0236" w:rsidP="003B40C5">
            <w:pPr>
              <w:spacing w:before="100" w:beforeAutospacing="1" w:after="100" w:afterAutospacing="1"/>
              <w:rPr>
                <w:sz w:val="20"/>
                <w:szCs w:val="20"/>
                <w:lang w:eastAsia="pl-PL"/>
              </w:rPr>
            </w:pPr>
            <w:r w:rsidRPr="00B32914">
              <w:rPr>
                <w:sz w:val="20"/>
                <w:szCs w:val="20"/>
              </w:rPr>
              <w:t>Obszar problemowy IOP_8 – Dębki</w:t>
            </w:r>
          </w:p>
        </w:tc>
      </w:tr>
      <w:tr w:rsidR="00BA0236" w:rsidRPr="00B32914" w14:paraId="7077A55B" w14:textId="77777777" w:rsidTr="00347E16">
        <w:tc>
          <w:tcPr>
            <w:tcW w:w="2193" w:type="dxa"/>
          </w:tcPr>
          <w:p w14:paraId="49AB4386" w14:textId="77777777" w:rsidR="00BA0236" w:rsidRPr="00417B13" w:rsidRDefault="00BA0236">
            <w:pPr>
              <w:pStyle w:val="Akapitzlist1"/>
              <w:tabs>
                <w:tab w:val="left" w:pos="2250"/>
              </w:tabs>
              <w:spacing w:line="240" w:lineRule="auto"/>
              <w:ind w:left="0"/>
              <w:jc w:val="both"/>
              <w:rPr>
                <w:rFonts w:ascii="Times New Roman" w:eastAsia="MS Mincho" w:hAnsi="Times New Roman"/>
                <w:bCs/>
                <w:sz w:val="20"/>
                <w:szCs w:val="20"/>
              </w:rPr>
            </w:pPr>
            <w:r w:rsidRPr="00417B13">
              <w:rPr>
                <w:rFonts w:ascii="Times New Roman" w:eastAsia="MS Mincho" w:hAnsi="Times New Roman"/>
                <w:bCs/>
                <w:sz w:val="20"/>
                <w:szCs w:val="20"/>
              </w:rPr>
              <w:t xml:space="preserve">Wpływ na parametry biologiczne </w:t>
            </w:r>
          </w:p>
        </w:tc>
        <w:tc>
          <w:tcPr>
            <w:tcW w:w="3917" w:type="dxa"/>
          </w:tcPr>
          <w:p w14:paraId="4A4A53C1" w14:textId="77777777" w:rsidR="00BA0236" w:rsidRPr="00417B13" w:rsidRDefault="00BA0236">
            <w:pPr>
              <w:pStyle w:val="Akapitzlist1"/>
              <w:tabs>
                <w:tab w:val="left" w:pos="2250"/>
              </w:tabs>
              <w:spacing w:line="240" w:lineRule="auto"/>
              <w:ind w:left="0"/>
              <w:jc w:val="both"/>
              <w:rPr>
                <w:rFonts w:ascii="Times New Roman" w:hAnsi="Times New Roman"/>
                <w:bCs/>
                <w:sz w:val="20"/>
                <w:szCs w:val="20"/>
              </w:rPr>
            </w:pPr>
            <w:r w:rsidRPr="00417B13">
              <w:rPr>
                <w:rFonts w:ascii="Times New Roman" w:hAnsi="Times New Roman"/>
                <w:bCs/>
                <w:sz w:val="20"/>
                <w:szCs w:val="20"/>
              </w:rPr>
              <w:t>RW20001447729</w:t>
            </w:r>
          </w:p>
          <w:p w14:paraId="207BF86B" w14:textId="77777777" w:rsidR="00BA0236" w:rsidRPr="00B32914" w:rsidRDefault="00BA0236">
            <w:pPr>
              <w:pStyle w:val="ListParagraph2"/>
              <w:tabs>
                <w:tab w:val="left" w:pos="2250"/>
              </w:tabs>
              <w:spacing w:line="360" w:lineRule="auto"/>
              <w:ind w:left="0"/>
              <w:rPr>
                <w:rFonts w:ascii="Times New Roman" w:hAnsi="Times New Roman"/>
                <w:bCs/>
                <w:sz w:val="20"/>
                <w:szCs w:val="20"/>
              </w:rPr>
            </w:pPr>
            <w:r w:rsidRPr="00B32914">
              <w:rPr>
                <w:rFonts w:ascii="Times New Roman" w:hAnsi="Times New Roman"/>
                <w:bCs/>
                <w:sz w:val="20"/>
                <w:szCs w:val="20"/>
              </w:rPr>
              <w:t>CW20001WB2</w:t>
            </w:r>
          </w:p>
          <w:p w14:paraId="4EF5EA86" w14:textId="77777777" w:rsidR="00BA0236" w:rsidRPr="00417B13" w:rsidRDefault="00BA0236">
            <w:pPr>
              <w:pStyle w:val="Akapitzlist1"/>
              <w:tabs>
                <w:tab w:val="left" w:pos="2250"/>
              </w:tabs>
              <w:spacing w:line="240" w:lineRule="auto"/>
              <w:ind w:left="0"/>
              <w:jc w:val="both"/>
              <w:rPr>
                <w:rFonts w:ascii="Times New Roman" w:eastAsia="MS Mincho" w:hAnsi="Times New Roman"/>
                <w:bCs/>
                <w:sz w:val="20"/>
                <w:szCs w:val="20"/>
              </w:rPr>
            </w:pPr>
          </w:p>
        </w:tc>
        <w:tc>
          <w:tcPr>
            <w:tcW w:w="1709" w:type="dxa"/>
          </w:tcPr>
          <w:p w14:paraId="4B3305B9" w14:textId="77777777" w:rsidR="00BA0236" w:rsidRPr="00417B13" w:rsidRDefault="00BA0236">
            <w:pPr>
              <w:pStyle w:val="Akapitzlist1"/>
              <w:tabs>
                <w:tab w:val="left" w:pos="2250"/>
              </w:tabs>
              <w:spacing w:line="240" w:lineRule="auto"/>
              <w:ind w:left="0"/>
              <w:jc w:val="both"/>
              <w:rPr>
                <w:rFonts w:ascii="Times New Roman" w:eastAsia="MS Mincho" w:hAnsi="Times New Roman"/>
                <w:bCs/>
                <w:sz w:val="20"/>
                <w:szCs w:val="20"/>
              </w:rPr>
            </w:pPr>
            <w:r w:rsidRPr="00417B13">
              <w:rPr>
                <w:rFonts w:ascii="Times New Roman" w:eastAsia="MS Mincho" w:hAnsi="Times New Roman"/>
                <w:bCs/>
                <w:sz w:val="20"/>
                <w:szCs w:val="20"/>
              </w:rPr>
              <w:t>nd</w:t>
            </w:r>
          </w:p>
        </w:tc>
        <w:tc>
          <w:tcPr>
            <w:tcW w:w="902" w:type="dxa"/>
          </w:tcPr>
          <w:p w14:paraId="7F6F6B63" w14:textId="77777777" w:rsidR="00BA0236" w:rsidRPr="00417B13" w:rsidRDefault="00BA0236">
            <w:pPr>
              <w:pStyle w:val="Akapitzlist1"/>
              <w:tabs>
                <w:tab w:val="left" w:pos="2250"/>
              </w:tabs>
              <w:spacing w:line="240" w:lineRule="auto"/>
              <w:ind w:left="0"/>
              <w:jc w:val="both"/>
              <w:rPr>
                <w:rFonts w:ascii="Times New Roman" w:eastAsia="MS Mincho" w:hAnsi="Times New Roman"/>
                <w:bCs/>
                <w:sz w:val="20"/>
                <w:szCs w:val="20"/>
              </w:rPr>
            </w:pPr>
            <w:r w:rsidRPr="00417B13">
              <w:rPr>
                <w:rFonts w:ascii="Times New Roman" w:eastAsia="MS Mincho" w:hAnsi="Times New Roman"/>
                <w:bCs/>
                <w:sz w:val="20"/>
                <w:szCs w:val="20"/>
              </w:rPr>
              <w:t>nd</w:t>
            </w:r>
          </w:p>
        </w:tc>
      </w:tr>
      <w:tr w:rsidR="00BA0236" w:rsidRPr="00B32914" w14:paraId="62942039" w14:textId="77777777" w:rsidTr="00347E16">
        <w:tc>
          <w:tcPr>
            <w:tcW w:w="2193" w:type="dxa"/>
          </w:tcPr>
          <w:p w14:paraId="390F7F95" w14:textId="77777777" w:rsidR="00BA0236" w:rsidRPr="00417B13" w:rsidRDefault="00BA0236">
            <w:pPr>
              <w:pStyle w:val="Akapitzlist1"/>
              <w:tabs>
                <w:tab w:val="left" w:pos="2250"/>
              </w:tabs>
              <w:spacing w:line="240" w:lineRule="auto"/>
              <w:ind w:left="0"/>
              <w:jc w:val="both"/>
              <w:rPr>
                <w:rFonts w:ascii="Times New Roman" w:eastAsia="MS Mincho" w:hAnsi="Times New Roman"/>
                <w:bCs/>
                <w:sz w:val="20"/>
                <w:szCs w:val="20"/>
              </w:rPr>
            </w:pPr>
            <w:r w:rsidRPr="00417B13">
              <w:rPr>
                <w:rFonts w:ascii="Times New Roman" w:eastAsia="MS Mincho" w:hAnsi="Times New Roman"/>
                <w:bCs/>
                <w:sz w:val="20"/>
                <w:szCs w:val="20"/>
              </w:rPr>
              <w:t xml:space="preserve">Wpływ na parametry hydromorfologiczne </w:t>
            </w:r>
          </w:p>
          <w:p w14:paraId="229E43C8" w14:textId="77777777" w:rsidR="00BA0236" w:rsidRPr="00417B13" w:rsidRDefault="00BA0236">
            <w:pPr>
              <w:pStyle w:val="Akapitzlist1"/>
              <w:tabs>
                <w:tab w:val="left" w:pos="2250"/>
              </w:tabs>
              <w:spacing w:line="240" w:lineRule="auto"/>
              <w:ind w:left="0"/>
              <w:jc w:val="both"/>
              <w:rPr>
                <w:rFonts w:ascii="Times New Roman" w:eastAsia="MS Mincho" w:hAnsi="Times New Roman"/>
                <w:bCs/>
                <w:sz w:val="20"/>
                <w:szCs w:val="20"/>
              </w:rPr>
            </w:pPr>
          </w:p>
        </w:tc>
        <w:tc>
          <w:tcPr>
            <w:tcW w:w="3917" w:type="dxa"/>
          </w:tcPr>
          <w:p w14:paraId="2C9B2287" w14:textId="77777777" w:rsidR="00BA0236" w:rsidRPr="00417B13" w:rsidRDefault="00BA0236">
            <w:pPr>
              <w:pStyle w:val="Akapitzlist1"/>
              <w:tabs>
                <w:tab w:val="left" w:pos="2250"/>
              </w:tabs>
              <w:spacing w:line="240" w:lineRule="auto"/>
              <w:ind w:left="0"/>
              <w:jc w:val="both"/>
              <w:rPr>
                <w:rFonts w:ascii="Times New Roman" w:eastAsia="MS Mincho" w:hAnsi="Times New Roman"/>
                <w:bCs/>
                <w:sz w:val="20"/>
                <w:szCs w:val="20"/>
              </w:rPr>
            </w:pPr>
            <w:r w:rsidRPr="00417B13">
              <w:rPr>
                <w:rFonts w:ascii="Times New Roman" w:hAnsi="Times New Roman"/>
                <w:bCs/>
                <w:sz w:val="20"/>
                <w:szCs w:val="20"/>
              </w:rPr>
              <w:t>RW20001447729</w:t>
            </w:r>
          </w:p>
        </w:tc>
        <w:tc>
          <w:tcPr>
            <w:tcW w:w="1709" w:type="dxa"/>
          </w:tcPr>
          <w:p w14:paraId="56886AD6" w14:textId="77777777" w:rsidR="00BA0236" w:rsidRPr="00B32914" w:rsidRDefault="00BA0236">
            <w:pPr>
              <w:jc w:val="both"/>
              <w:rPr>
                <w:sz w:val="20"/>
                <w:szCs w:val="20"/>
              </w:rPr>
            </w:pPr>
            <w:r w:rsidRPr="00B32914">
              <w:rPr>
                <w:rStyle w:val="fontstyle01"/>
                <w:rFonts w:ascii="Times New Roman" w:hAnsi="Times New Roman"/>
                <w:sz w:val="20"/>
                <w:szCs w:val="20"/>
              </w:rPr>
              <w:t>ograniczenie terenów naturalnie okresowo zalewanych, pogorszenie wskaźników PPH6</w:t>
            </w:r>
          </w:p>
        </w:tc>
        <w:tc>
          <w:tcPr>
            <w:tcW w:w="902" w:type="dxa"/>
          </w:tcPr>
          <w:p w14:paraId="4A776CC2" w14:textId="77777777" w:rsidR="00BA0236" w:rsidRPr="00417B13" w:rsidRDefault="00BA0236">
            <w:pPr>
              <w:pStyle w:val="Akapitzlist1"/>
              <w:tabs>
                <w:tab w:val="left" w:pos="2250"/>
              </w:tabs>
              <w:spacing w:line="240" w:lineRule="auto"/>
              <w:ind w:left="0"/>
              <w:jc w:val="both"/>
              <w:rPr>
                <w:rFonts w:ascii="Times New Roman" w:eastAsia="MS Mincho" w:hAnsi="Times New Roman"/>
                <w:bCs/>
                <w:sz w:val="20"/>
                <w:szCs w:val="20"/>
              </w:rPr>
            </w:pPr>
            <w:r w:rsidRPr="00417B13">
              <w:rPr>
                <w:rFonts w:ascii="Times New Roman" w:eastAsia="MS Mincho" w:hAnsi="Times New Roman"/>
                <w:bCs/>
                <w:sz w:val="20"/>
                <w:szCs w:val="20"/>
              </w:rPr>
              <w:t>U/N</w:t>
            </w:r>
          </w:p>
        </w:tc>
      </w:tr>
      <w:tr w:rsidR="00BA0236" w:rsidRPr="00B32914" w14:paraId="1F6B875C" w14:textId="77777777" w:rsidTr="00347E16">
        <w:tc>
          <w:tcPr>
            <w:tcW w:w="2193" w:type="dxa"/>
          </w:tcPr>
          <w:p w14:paraId="67A50B10" w14:textId="77777777" w:rsidR="00BA0236" w:rsidRPr="00417B13" w:rsidRDefault="00BA0236">
            <w:pPr>
              <w:pStyle w:val="Akapitzlist1"/>
              <w:tabs>
                <w:tab w:val="left" w:pos="2250"/>
              </w:tabs>
              <w:spacing w:line="240" w:lineRule="auto"/>
              <w:ind w:left="0"/>
              <w:jc w:val="both"/>
              <w:rPr>
                <w:rFonts w:ascii="Times New Roman" w:eastAsia="MS Mincho" w:hAnsi="Times New Roman"/>
                <w:bCs/>
                <w:sz w:val="20"/>
                <w:szCs w:val="20"/>
              </w:rPr>
            </w:pPr>
            <w:r w:rsidRPr="00417B13">
              <w:rPr>
                <w:rFonts w:ascii="Times New Roman" w:eastAsia="MS Mincho" w:hAnsi="Times New Roman"/>
                <w:bCs/>
                <w:sz w:val="20"/>
                <w:szCs w:val="20"/>
              </w:rPr>
              <w:t>Wpływ na obszary chronione i korytarze ekologiczne</w:t>
            </w:r>
          </w:p>
        </w:tc>
        <w:tc>
          <w:tcPr>
            <w:tcW w:w="3917" w:type="dxa"/>
          </w:tcPr>
          <w:p w14:paraId="41A65548" w14:textId="77777777" w:rsidR="00BA0236" w:rsidRPr="00B32914" w:rsidRDefault="00BA0236">
            <w:pPr>
              <w:pStyle w:val="ListParagraph2"/>
              <w:tabs>
                <w:tab w:val="left" w:pos="2250"/>
              </w:tabs>
              <w:spacing w:before="120" w:after="120" w:line="240" w:lineRule="auto"/>
              <w:ind w:left="482"/>
              <w:jc w:val="both"/>
              <w:rPr>
                <w:rFonts w:ascii="Times New Roman" w:hAnsi="Times New Roman"/>
                <w:sz w:val="20"/>
                <w:szCs w:val="20"/>
              </w:rPr>
            </w:pPr>
            <w:r w:rsidRPr="00B32914">
              <w:rPr>
                <w:rFonts w:ascii="Times New Roman" w:hAnsi="Times New Roman"/>
                <w:sz w:val="20"/>
                <w:szCs w:val="20"/>
              </w:rPr>
              <w:t xml:space="preserve">Rezerwat </w:t>
            </w:r>
            <w:r w:rsidRPr="00B32914">
              <w:rPr>
                <w:rFonts w:ascii="Times New Roman" w:hAnsi="Times New Roman"/>
                <w:sz w:val="20"/>
                <w:szCs w:val="20"/>
                <w:lang w:eastAsia="pl-PL"/>
              </w:rPr>
              <w:t xml:space="preserve"> </w:t>
            </w:r>
            <w:r w:rsidRPr="00B32914">
              <w:rPr>
                <w:rFonts w:ascii="Times New Roman" w:hAnsi="Times New Roman"/>
                <w:bCs/>
                <w:sz w:val="20"/>
                <w:szCs w:val="20"/>
              </w:rPr>
              <w:t>Piaśnickie Łąki</w:t>
            </w:r>
            <w:r w:rsidRPr="00B32914">
              <w:rPr>
                <w:rFonts w:ascii="Times New Roman" w:hAnsi="Times New Roman"/>
                <w:sz w:val="20"/>
                <w:szCs w:val="20"/>
              </w:rPr>
              <w:t xml:space="preserve"> </w:t>
            </w:r>
          </w:p>
          <w:p w14:paraId="25227749" w14:textId="77777777" w:rsidR="00BA0236" w:rsidRPr="00B32914" w:rsidRDefault="00BA0236">
            <w:pPr>
              <w:pStyle w:val="ListParagraph2"/>
              <w:tabs>
                <w:tab w:val="left" w:pos="2250"/>
              </w:tabs>
              <w:spacing w:before="120" w:after="120" w:line="240" w:lineRule="auto"/>
              <w:ind w:left="482"/>
              <w:jc w:val="both"/>
              <w:rPr>
                <w:rFonts w:ascii="Times New Roman" w:hAnsi="Times New Roman"/>
                <w:bCs/>
                <w:sz w:val="20"/>
                <w:szCs w:val="20"/>
              </w:rPr>
            </w:pPr>
            <w:r w:rsidRPr="00B32914">
              <w:rPr>
                <w:rFonts w:ascii="Times New Roman" w:hAnsi="Times New Roman"/>
                <w:bCs/>
                <w:sz w:val="20"/>
                <w:szCs w:val="20"/>
              </w:rPr>
              <w:t>Nadmorski Park Krajobrazowy</w:t>
            </w:r>
          </w:p>
          <w:p w14:paraId="3646F3FA" w14:textId="77777777" w:rsidR="00BA0236" w:rsidRPr="00B32914" w:rsidRDefault="00BA0236">
            <w:pPr>
              <w:pStyle w:val="ListParagraph2"/>
              <w:tabs>
                <w:tab w:val="left" w:pos="1767"/>
              </w:tabs>
              <w:spacing w:before="120" w:after="120" w:line="240" w:lineRule="auto"/>
              <w:ind w:left="482" w:right="374"/>
              <w:jc w:val="both"/>
              <w:rPr>
                <w:rFonts w:ascii="Times New Roman" w:eastAsia="MS Mincho" w:hAnsi="Times New Roman"/>
                <w:bCs/>
                <w:sz w:val="20"/>
                <w:szCs w:val="20"/>
              </w:rPr>
            </w:pPr>
          </w:p>
        </w:tc>
        <w:tc>
          <w:tcPr>
            <w:tcW w:w="1709" w:type="dxa"/>
          </w:tcPr>
          <w:p w14:paraId="5B0A8A19" w14:textId="77777777" w:rsidR="00BA0236" w:rsidRPr="00B32914" w:rsidRDefault="00BA0236" w:rsidP="00347E16">
            <w:pPr>
              <w:jc w:val="both"/>
              <w:rPr>
                <w:b/>
                <w:color w:val="28AAE1"/>
                <w:sz w:val="20"/>
                <w:szCs w:val="20"/>
              </w:rPr>
            </w:pPr>
            <w:r w:rsidRPr="00B32914">
              <w:rPr>
                <w:sz w:val="20"/>
                <w:szCs w:val="20"/>
                <w:lang w:eastAsia="pl-PL"/>
              </w:rPr>
              <w:t xml:space="preserve">możliwy negatywny potencjalny wpływ na przedmioty ochrony i </w:t>
            </w:r>
            <w:r w:rsidRPr="00B32914">
              <w:rPr>
                <w:sz w:val="20"/>
                <w:szCs w:val="20"/>
              </w:rPr>
              <w:t xml:space="preserve">cele środowiskowe obszarów chronionych, </w:t>
            </w:r>
            <w:r w:rsidRPr="00B32914">
              <w:rPr>
                <w:rStyle w:val="fontstyle01"/>
                <w:rFonts w:ascii="Times New Roman" w:hAnsi="Times New Roman"/>
                <w:sz w:val="20"/>
                <w:szCs w:val="20"/>
              </w:rPr>
              <w:t>możliwy wpływ na migrację ssaków</w:t>
            </w:r>
          </w:p>
        </w:tc>
        <w:tc>
          <w:tcPr>
            <w:tcW w:w="902" w:type="dxa"/>
          </w:tcPr>
          <w:p w14:paraId="3E60B77A" w14:textId="77777777" w:rsidR="00BA0236" w:rsidRPr="00417B13" w:rsidRDefault="00BA0236">
            <w:pPr>
              <w:pStyle w:val="Akapitzlist1"/>
              <w:tabs>
                <w:tab w:val="left" w:pos="2250"/>
              </w:tabs>
              <w:spacing w:line="240" w:lineRule="auto"/>
              <w:ind w:left="0"/>
              <w:jc w:val="both"/>
              <w:rPr>
                <w:rFonts w:ascii="Times New Roman" w:eastAsia="MS Mincho" w:hAnsi="Times New Roman"/>
                <w:bCs/>
                <w:sz w:val="20"/>
                <w:szCs w:val="20"/>
              </w:rPr>
            </w:pPr>
            <w:r w:rsidRPr="00417B13">
              <w:rPr>
                <w:rFonts w:ascii="Times New Roman" w:eastAsia="MS Mincho" w:hAnsi="Times New Roman"/>
                <w:bCs/>
                <w:sz w:val="20"/>
                <w:szCs w:val="20"/>
              </w:rPr>
              <w:t>U/N</w:t>
            </w:r>
          </w:p>
        </w:tc>
      </w:tr>
      <w:tr w:rsidR="00BA0236" w:rsidRPr="00B32914" w14:paraId="1C3C0B89" w14:textId="77777777" w:rsidTr="00347E16">
        <w:tc>
          <w:tcPr>
            <w:tcW w:w="6110" w:type="dxa"/>
            <w:gridSpan w:val="2"/>
          </w:tcPr>
          <w:p w14:paraId="7B348532" w14:textId="77777777" w:rsidR="00BA0236" w:rsidRPr="00B32914" w:rsidRDefault="00BA0236">
            <w:pPr>
              <w:jc w:val="both"/>
              <w:rPr>
                <w:sz w:val="20"/>
                <w:szCs w:val="20"/>
              </w:rPr>
            </w:pPr>
            <w:r w:rsidRPr="00B32914">
              <w:rPr>
                <w:rStyle w:val="fontstyle01"/>
                <w:rFonts w:ascii="Times New Roman" w:hAnsi="Times New Roman"/>
                <w:sz w:val="20"/>
                <w:szCs w:val="20"/>
              </w:rPr>
              <w:t xml:space="preserve">Stopień udatności środowiskowej </w:t>
            </w:r>
          </w:p>
          <w:p w14:paraId="28E6D8E2" w14:textId="77777777" w:rsidR="00BA0236" w:rsidRPr="00417B13" w:rsidRDefault="00BA0236">
            <w:pPr>
              <w:pStyle w:val="Akapitzlist1"/>
              <w:tabs>
                <w:tab w:val="left" w:pos="2250"/>
              </w:tabs>
              <w:spacing w:line="240" w:lineRule="auto"/>
              <w:ind w:left="0"/>
              <w:jc w:val="both"/>
              <w:rPr>
                <w:rFonts w:ascii="Times New Roman" w:hAnsi="Times New Roman"/>
                <w:bCs/>
                <w:sz w:val="20"/>
                <w:szCs w:val="20"/>
              </w:rPr>
            </w:pPr>
          </w:p>
        </w:tc>
        <w:tc>
          <w:tcPr>
            <w:tcW w:w="2611" w:type="dxa"/>
            <w:gridSpan w:val="2"/>
          </w:tcPr>
          <w:p w14:paraId="3B1B2A8C" w14:textId="77777777" w:rsidR="00BA0236" w:rsidRPr="00417B13" w:rsidRDefault="00BA0236">
            <w:pPr>
              <w:pStyle w:val="Akapitzlist1"/>
              <w:tabs>
                <w:tab w:val="left" w:pos="2250"/>
              </w:tabs>
              <w:spacing w:line="240" w:lineRule="auto"/>
              <w:ind w:left="0"/>
              <w:jc w:val="both"/>
              <w:rPr>
                <w:rFonts w:ascii="Times New Roman" w:eastAsia="MS Mincho" w:hAnsi="Times New Roman"/>
                <w:bCs/>
                <w:sz w:val="20"/>
                <w:szCs w:val="20"/>
              </w:rPr>
            </w:pPr>
            <w:r w:rsidRPr="00417B13">
              <w:rPr>
                <w:rFonts w:ascii="Times New Roman" w:eastAsia="MS Mincho" w:hAnsi="Times New Roman"/>
                <w:bCs/>
                <w:sz w:val="20"/>
                <w:szCs w:val="20"/>
              </w:rPr>
              <w:t>U/N</w:t>
            </w:r>
          </w:p>
        </w:tc>
      </w:tr>
      <w:tr w:rsidR="00BA0236" w:rsidRPr="00B32914" w14:paraId="1D55E4B6" w14:textId="77777777" w:rsidTr="00347E16">
        <w:tc>
          <w:tcPr>
            <w:tcW w:w="8721" w:type="dxa"/>
            <w:gridSpan w:val="4"/>
          </w:tcPr>
          <w:p w14:paraId="469355F8" w14:textId="77777777" w:rsidR="00BA0236" w:rsidRPr="00417B13" w:rsidRDefault="00BA0236">
            <w:pPr>
              <w:pStyle w:val="Akapitzlist1"/>
              <w:tabs>
                <w:tab w:val="left" w:pos="2250"/>
              </w:tabs>
              <w:spacing w:line="240" w:lineRule="auto"/>
              <w:ind w:left="0"/>
              <w:jc w:val="both"/>
              <w:rPr>
                <w:rFonts w:ascii="Times New Roman" w:eastAsia="MS Mincho" w:hAnsi="Times New Roman"/>
                <w:bCs/>
                <w:sz w:val="20"/>
                <w:szCs w:val="20"/>
              </w:rPr>
            </w:pPr>
            <w:r w:rsidRPr="00417B13">
              <w:rPr>
                <w:rFonts w:ascii="Times New Roman" w:eastAsia="MS Mincho" w:hAnsi="Times New Roman"/>
                <w:sz w:val="20"/>
                <w:szCs w:val="20"/>
              </w:rPr>
              <w:t xml:space="preserve">Z uwagi na skalę prac działania będą negatywnie oddziaływać na warunki hydromorfologiczne strefy zalewowej, dlatego Wariant został oceniony jako U/N środowiskowo </w:t>
            </w:r>
            <w:r w:rsidRPr="00417B13">
              <w:rPr>
                <w:rStyle w:val="fontstyle01"/>
                <w:rFonts w:ascii="Times New Roman" w:eastAsia="MS Mincho" w:hAnsi="Times New Roman"/>
                <w:sz w:val="20"/>
                <w:szCs w:val="20"/>
              </w:rPr>
              <w:t>mogąc</w:t>
            </w:r>
            <w:r w:rsidRPr="00417B13">
              <w:rPr>
                <w:rStyle w:val="fontstyle01"/>
                <w:rFonts w:ascii="Times New Roman" w:hAnsi="Times New Roman"/>
                <w:sz w:val="20"/>
                <w:szCs w:val="20"/>
              </w:rPr>
              <w:t>y</w:t>
            </w:r>
            <w:r w:rsidRPr="00417B13">
              <w:rPr>
                <w:rStyle w:val="fontstyle01"/>
                <w:rFonts w:ascii="Times New Roman" w:eastAsia="MS Mincho" w:hAnsi="Times New Roman"/>
                <w:sz w:val="20"/>
                <w:szCs w:val="20"/>
              </w:rPr>
              <w:t xml:space="preserve"> wpłynąć negatywnie na</w:t>
            </w:r>
            <w:r w:rsidRPr="00417B13">
              <w:rPr>
                <w:rFonts w:ascii="Times New Roman" w:hAnsi="Times New Roman"/>
                <w:color w:val="000000"/>
                <w:sz w:val="20"/>
                <w:szCs w:val="20"/>
              </w:rPr>
              <w:t xml:space="preserve"> </w:t>
            </w:r>
            <w:r w:rsidRPr="00417B13">
              <w:rPr>
                <w:rStyle w:val="fontstyle01"/>
                <w:rFonts w:ascii="Times New Roman" w:eastAsia="MS Mincho" w:hAnsi="Times New Roman"/>
                <w:sz w:val="20"/>
                <w:szCs w:val="20"/>
              </w:rPr>
              <w:t>możliwość osiągnięcia celów ochrony wód w rozumieniu RDW</w:t>
            </w:r>
            <w:r w:rsidRPr="00417B13">
              <w:rPr>
                <w:rFonts w:ascii="Times New Roman" w:eastAsia="MS Mincho" w:hAnsi="Times New Roman"/>
                <w:bCs/>
                <w:sz w:val="20"/>
                <w:szCs w:val="20"/>
              </w:rPr>
              <w:t xml:space="preserve">. Działanie zlokalizowane jest w granicach obszarów chronionych, możliwe wystąpienie negatywnego oddziaływania na przedmioty ochrony oceniane jako możliwe do częściowego zminimalizowania. </w:t>
            </w:r>
            <w:r w:rsidRPr="00417B13">
              <w:rPr>
                <w:rFonts w:ascii="Times New Roman" w:eastAsia="MS Mincho" w:hAnsi="Times New Roman"/>
                <w:b/>
                <w:bCs/>
                <w:sz w:val="20"/>
                <w:szCs w:val="20"/>
              </w:rPr>
              <w:t>Stopień udatności środowiskowej określono jako umiarkowanie korzystny / niekorzystny.</w:t>
            </w:r>
          </w:p>
        </w:tc>
      </w:tr>
    </w:tbl>
    <w:p w14:paraId="0333D6E3" w14:textId="77777777" w:rsidR="00BA0236" w:rsidRDefault="00BA0236" w:rsidP="00347E16">
      <w:pPr>
        <w:pStyle w:val="ListParagraph2"/>
        <w:tabs>
          <w:tab w:val="left" w:pos="2250"/>
        </w:tabs>
        <w:spacing w:before="120" w:after="120" w:line="240" w:lineRule="auto"/>
        <w:jc w:val="both"/>
        <w:rPr>
          <w:rFonts w:ascii="Times New Roman" w:hAnsi="Times New Roman"/>
          <w:sz w:val="24"/>
          <w:szCs w:val="24"/>
        </w:rPr>
      </w:pPr>
    </w:p>
    <w:p w14:paraId="76C781DA" w14:textId="776A22B3" w:rsidR="00BA0236" w:rsidRDefault="00A95C85" w:rsidP="008D7CA9">
      <w:pPr>
        <w:pStyle w:val="Legenda"/>
        <w:tabs>
          <w:tab w:val="clear" w:pos="1080"/>
          <w:tab w:val="left" w:pos="1134"/>
        </w:tabs>
        <w:ind w:left="1134" w:hanging="1134"/>
        <w:jc w:val="both"/>
        <w:rPr>
          <w:rFonts w:eastAsia="Times New Roman"/>
          <w:lang w:eastAsia="pl-PL"/>
        </w:rPr>
      </w:pPr>
      <w:r>
        <w:br w:type="column"/>
      </w:r>
      <w:bookmarkStart w:id="209" w:name="_Toc80604842"/>
      <w:r w:rsidR="00BA0236" w:rsidRPr="008D7CA9">
        <w:rPr>
          <w:sz w:val="24"/>
          <w:szCs w:val="28"/>
        </w:rPr>
        <w:lastRenderedPageBreak/>
        <w:t xml:space="preserve">Tabela </w:t>
      </w:r>
      <w:r w:rsidR="00295C25" w:rsidRPr="008D7CA9">
        <w:rPr>
          <w:sz w:val="24"/>
          <w:szCs w:val="28"/>
        </w:rPr>
        <w:fldChar w:fldCharType="begin"/>
      </w:r>
      <w:r w:rsidR="00295C25" w:rsidRPr="008D7CA9">
        <w:rPr>
          <w:sz w:val="24"/>
          <w:szCs w:val="28"/>
        </w:rPr>
        <w:instrText xml:space="preserve"> SEQ Tabela \* ARABIC </w:instrText>
      </w:r>
      <w:r w:rsidR="00295C25" w:rsidRPr="008D7CA9">
        <w:rPr>
          <w:sz w:val="24"/>
          <w:szCs w:val="28"/>
        </w:rPr>
        <w:fldChar w:fldCharType="separate"/>
      </w:r>
      <w:r w:rsidR="00FD3F9A">
        <w:rPr>
          <w:noProof/>
          <w:sz w:val="24"/>
          <w:szCs w:val="28"/>
        </w:rPr>
        <w:t>32</w:t>
      </w:r>
      <w:r w:rsidR="00295C25" w:rsidRPr="008D7CA9">
        <w:rPr>
          <w:noProof/>
          <w:sz w:val="24"/>
          <w:szCs w:val="28"/>
        </w:rPr>
        <w:fldChar w:fldCharType="end"/>
      </w:r>
      <w:r w:rsidR="008D7CA9" w:rsidRPr="008D7CA9">
        <w:rPr>
          <w:sz w:val="24"/>
          <w:szCs w:val="28"/>
        </w:rPr>
        <w:tab/>
      </w:r>
      <w:r w:rsidR="00BA0236" w:rsidRPr="008D7CA9">
        <w:rPr>
          <w:sz w:val="24"/>
          <w:szCs w:val="28"/>
        </w:rPr>
        <w:t>Ocena zgodności z celami środowiskowymi wynikającymi z Ramowej Dyrektywy Wodnej i wymaganiami Dyrektywy Ptasiej i Siedliskowej oraz wymaganiami ustawy o Ochronie Przyrody- podsumowanie oceny dla obszaru problemowego IOP_12 Łeba od Mielnickiego Kanału do Chełstu</w:t>
      </w:r>
      <w:bookmarkEnd w:id="20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0"/>
        <w:gridCol w:w="3765"/>
        <w:gridCol w:w="1695"/>
        <w:gridCol w:w="866"/>
      </w:tblGrid>
      <w:tr w:rsidR="00BA0236" w:rsidRPr="00B32914" w14:paraId="04964F8F" w14:textId="77777777" w:rsidTr="00417B13">
        <w:tc>
          <w:tcPr>
            <w:tcW w:w="8721" w:type="dxa"/>
            <w:gridSpan w:val="4"/>
            <w:shd w:val="clear" w:color="auto" w:fill="D4EDF9"/>
          </w:tcPr>
          <w:p w14:paraId="5ECD7BA9" w14:textId="77777777" w:rsidR="00BA0236" w:rsidRPr="00B32914" w:rsidRDefault="00BA0236">
            <w:pPr>
              <w:jc w:val="center"/>
              <w:rPr>
                <w:b/>
                <w:bCs/>
                <w:sz w:val="20"/>
                <w:szCs w:val="20"/>
              </w:rPr>
            </w:pPr>
            <w:r w:rsidRPr="00B32914">
              <w:rPr>
                <w:rStyle w:val="fontstyle01"/>
                <w:rFonts w:ascii="Times New Roman" w:hAnsi="Times New Roman"/>
                <w:b/>
                <w:bCs/>
                <w:sz w:val="20"/>
                <w:szCs w:val="20"/>
              </w:rPr>
              <w:t>Ocena stopnia udatności środowiskowej wariantów działań</w:t>
            </w:r>
          </w:p>
          <w:p w14:paraId="0C0DEFB8" w14:textId="77777777" w:rsidR="00BA0236" w:rsidRPr="00B32914" w:rsidRDefault="00BA0236">
            <w:pPr>
              <w:spacing w:before="40" w:after="40"/>
              <w:jc w:val="center"/>
              <w:rPr>
                <w:b/>
                <w:bCs/>
                <w:color w:val="000000"/>
                <w:sz w:val="20"/>
                <w:szCs w:val="20"/>
              </w:rPr>
            </w:pPr>
            <w:r w:rsidRPr="00B32914">
              <w:rPr>
                <w:b/>
                <w:bCs/>
                <w:color w:val="000000"/>
                <w:sz w:val="20"/>
                <w:szCs w:val="20"/>
              </w:rPr>
              <w:t>K- korzystna środowiskowo, U - umiarkowanie korzystna środowiskowo,</w:t>
            </w:r>
          </w:p>
          <w:p w14:paraId="0DB219D9" w14:textId="77777777" w:rsidR="00BA0236" w:rsidRPr="00B32914" w:rsidRDefault="00BA0236">
            <w:pPr>
              <w:spacing w:before="40" w:after="40"/>
              <w:jc w:val="center"/>
              <w:rPr>
                <w:sz w:val="20"/>
                <w:szCs w:val="20"/>
              </w:rPr>
            </w:pPr>
            <w:r w:rsidRPr="00B32914">
              <w:rPr>
                <w:b/>
                <w:bCs/>
                <w:color w:val="000000"/>
                <w:sz w:val="20"/>
                <w:szCs w:val="20"/>
              </w:rPr>
              <w:t xml:space="preserve">N - </w:t>
            </w:r>
            <w:r w:rsidRPr="00B32914">
              <w:rPr>
                <w:b/>
                <w:bCs/>
                <w:sz w:val="20"/>
                <w:szCs w:val="20"/>
              </w:rPr>
              <w:t>niekorzystna środowiskowo,</w:t>
            </w:r>
          </w:p>
        </w:tc>
      </w:tr>
      <w:tr w:rsidR="00BA0236" w:rsidRPr="00B32914" w14:paraId="0C1BFBA0" w14:textId="77777777" w:rsidTr="00347E16">
        <w:tc>
          <w:tcPr>
            <w:tcW w:w="8721" w:type="dxa"/>
            <w:gridSpan w:val="4"/>
          </w:tcPr>
          <w:p w14:paraId="1576DD7F" w14:textId="77777777" w:rsidR="00BA0236" w:rsidRPr="00417B13" w:rsidRDefault="00BA0236">
            <w:pPr>
              <w:pStyle w:val="Akapitzlist1"/>
              <w:tabs>
                <w:tab w:val="left" w:pos="2250"/>
              </w:tabs>
              <w:spacing w:line="240" w:lineRule="auto"/>
              <w:ind w:left="0"/>
              <w:jc w:val="both"/>
              <w:rPr>
                <w:rFonts w:ascii="Times New Roman" w:eastAsia="MS Mincho" w:hAnsi="Times New Roman"/>
                <w:bCs/>
                <w:sz w:val="20"/>
                <w:szCs w:val="20"/>
              </w:rPr>
            </w:pPr>
            <w:r w:rsidRPr="00417B13">
              <w:rPr>
                <w:rFonts w:ascii="Times New Roman" w:hAnsi="Times New Roman"/>
                <w:color w:val="000000"/>
                <w:sz w:val="20"/>
                <w:szCs w:val="20"/>
                <w:lang w:eastAsia="pl-PL"/>
              </w:rPr>
              <w:t xml:space="preserve">IOP_12 </w:t>
            </w:r>
            <w:r w:rsidRPr="00417B13">
              <w:rPr>
                <w:rFonts w:ascii="Times New Roman" w:hAnsi="Times New Roman"/>
                <w:sz w:val="20"/>
                <w:szCs w:val="20"/>
              </w:rPr>
              <w:t>Łeba od Mielnickiego Kanału do Chełstu</w:t>
            </w:r>
            <w:r w:rsidRPr="00417B13">
              <w:rPr>
                <w:rFonts w:ascii="Times New Roman" w:hAnsi="Times New Roman"/>
                <w:color w:val="000000"/>
                <w:sz w:val="20"/>
                <w:szCs w:val="20"/>
                <w:lang w:eastAsia="pl-PL"/>
              </w:rPr>
              <w:t xml:space="preserve"> </w:t>
            </w:r>
          </w:p>
        </w:tc>
      </w:tr>
      <w:tr w:rsidR="00BA0236" w:rsidRPr="00B32914" w14:paraId="6E25F90A" w14:textId="77777777" w:rsidTr="00347E16">
        <w:tc>
          <w:tcPr>
            <w:tcW w:w="2193" w:type="dxa"/>
          </w:tcPr>
          <w:p w14:paraId="2890DC3A" w14:textId="77777777" w:rsidR="00BA0236" w:rsidRPr="00417B13" w:rsidRDefault="00BA0236">
            <w:pPr>
              <w:pStyle w:val="Akapitzlist1"/>
              <w:tabs>
                <w:tab w:val="left" w:pos="2250"/>
              </w:tabs>
              <w:spacing w:line="240" w:lineRule="auto"/>
              <w:ind w:left="0"/>
              <w:jc w:val="both"/>
              <w:rPr>
                <w:rFonts w:ascii="Times New Roman" w:eastAsia="MS Mincho" w:hAnsi="Times New Roman"/>
                <w:bCs/>
                <w:sz w:val="20"/>
                <w:szCs w:val="20"/>
              </w:rPr>
            </w:pPr>
            <w:r w:rsidRPr="00417B13">
              <w:rPr>
                <w:rFonts w:ascii="Times New Roman" w:eastAsia="MS Mincho" w:hAnsi="Times New Roman"/>
                <w:bCs/>
                <w:sz w:val="20"/>
                <w:szCs w:val="20"/>
              </w:rPr>
              <w:t xml:space="preserve">Wpływ na parametry biologiczne </w:t>
            </w:r>
          </w:p>
        </w:tc>
        <w:tc>
          <w:tcPr>
            <w:tcW w:w="3917" w:type="dxa"/>
          </w:tcPr>
          <w:p w14:paraId="585D7243" w14:textId="77777777" w:rsidR="00BA0236" w:rsidRPr="00417B13" w:rsidRDefault="00BA0236">
            <w:pPr>
              <w:pStyle w:val="Akapitzlist1"/>
              <w:tabs>
                <w:tab w:val="left" w:pos="2250"/>
              </w:tabs>
              <w:spacing w:line="240" w:lineRule="auto"/>
              <w:ind w:left="0"/>
              <w:jc w:val="both"/>
              <w:rPr>
                <w:rFonts w:ascii="Times New Roman" w:hAnsi="Times New Roman"/>
                <w:bCs/>
                <w:sz w:val="20"/>
                <w:szCs w:val="20"/>
              </w:rPr>
            </w:pPr>
            <w:r w:rsidRPr="00417B13">
              <w:rPr>
                <w:rFonts w:ascii="Times New Roman" w:hAnsi="Times New Roman"/>
                <w:bCs/>
                <w:sz w:val="20"/>
                <w:szCs w:val="20"/>
              </w:rPr>
              <w:t>RW20001447699</w:t>
            </w:r>
          </w:p>
          <w:p w14:paraId="13F56256" w14:textId="77777777" w:rsidR="00BA0236" w:rsidRPr="00417B13" w:rsidRDefault="00BA0236">
            <w:pPr>
              <w:pStyle w:val="Akapitzlist1"/>
              <w:tabs>
                <w:tab w:val="left" w:pos="2250"/>
              </w:tabs>
              <w:spacing w:line="240" w:lineRule="auto"/>
              <w:ind w:left="0"/>
              <w:jc w:val="both"/>
              <w:rPr>
                <w:rFonts w:ascii="Times New Roman" w:eastAsia="MS Mincho" w:hAnsi="Times New Roman"/>
                <w:bCs/>
                <w:sz w:val="20"/>
                <w:szCs w:val="20"/>
              </w:rPr>
            </w:pPr>
            <w:r w:rsidRPr="00417B13">
              <w:rPr>
                <w:rFonts w:ascii="Times New Roman" w:hAnsi="Times New Roman"/>
                <w:bCs/>
                <w:sz w:val="20"/>
                <w:szCs w:val="20"/>
              </w:rPr>
              <w:t>CW20001WB2</w:t>
            </w:r>
          </w:p>
        </w:tc>
        <w:tc>
          <w:tcPr>
            <w:tcW w:w="1709" w:type="dxa"/>
          </w:tcPr>
          <w:p w14:paraId="47CA4998" w14:textId="77777777" w:rsidR="00BA0236" w:rsidRPr="00417B13" w:rsidRDefault="00BA0236">
            <w:pPr>
              <w:pStyle w:val="Akapitzlist1"/>
              <w:tabs>
                <w:tab w:val="left" w:pos="2250"/>
              </w:tabs>
              <w:spacing w:line="240" w:lineRule="auto"/>
              <w:ind w:left="0"/>
              <w:jc w:val="both"/>
              <w:rPr>
                <w:rFonts w:ascii="Times New Roman" w:eastAsia="MS Mincho" w:hAnsi="Times New Roman"/>
                <w:bCs/>
                <w:sz w:val="20"/>
                <w:szCs w:val="20"/>
              </w:rPr>
            </w:pPr>
            <w:r w:rsidRPr="00417B13">
              <w:rPr>
                <w:rFonts w:ascii="Times New Roman" w:eastAsia="MS Mincho" w:hAnsi="Times New Roman"/>
                <w:bCs/>
                <w:sz w:val="20"/>
                <w:szCs w:val="20"/>
              </w:rPr>
              <w:t>nd</w:t>
            </w:r>
          </w:p>
        </w:tc>
        <w:tc>
          <w:tcPr>
            <w:tcW w:w="902" w:type="dxa"/>
          </w:tcPr>
          <w:p w14:paraId="36762995" w14:textId="77777777" w:rsidR="00BA0236" w:rsidRPr="00417B13" w:rsidRDefault="00BA0236">
            <w:pPr>
              <w:pStyle w:val="Akapitzlist1"/>
              <w:tabs>
                <w:tab w:val="left" w:pos="2250"/>
              </w:tabs>
              <w:spacing w:line="240" w:lineRule="auto"/>
              <w:ind w:left="0"/>
              <w:jc w:val="both"/>
              <w:rPr>
                <w:rFonts w:ascii="Times New Roman" w:eastAsia="MS Mincho" w:hAnsi="Times New Roman"/>
                <w:bCs/>
                <w:sz w:val="20"/>
                <w:szCs w:val="20"/>
              </w:rPr>
            </w:pPr>
            <w:r w:rsidRPr="00417B13">
              <w:rPr>
                <w:rFonts w:ascii="Times New Roman" w:eastAsia="MS Mincho" w:hAnsi="Times New Roman"/>
                <w:bCs/>
                <w:sz w:val="20"/>
                <w:szCs w:val="20"/>
              </w:rPr>
              <w:t>K</w:t>
            </w:r>
          </w:p>
        </w:tc>
      </w:tr>
      <w:tr w:rsidR="00BA0236" w:rsidRPr="00B32914" w14:paraId="7DC0AD05" w14:textId="77777777" w:rsidTr="00347E16">
        <w:tc>
          <w:tcPr>
            <w:tcW w:w="2193" w:type="dxa"/>
          </w:tcPr>
          <w:p w14:paraId="41CFF283" w14:textId="77777777" w:rsidR="00BA0236" w:rsidRPr="00417B13" w:rsidRDefault="00BA0236">
            <w:pPr>
              <w:pStyle w:val="Akapitzlist1"/>
              <w:tabs>
                <w:tab w:val="left" w:pos="2250"/>
              </w:tabs>
              <w:spacing w:line="240" w:lineRule="auto"/>
              <w:ind w:left="0"/>
              <w:jc w:val="both"/>
              <w:rPr>
                <w:rFonts w:ascii="Times New Roman" w:eastAsia="MS Mincho" w:hAnsi="Times New Roman"/>
                <w:bCs/>
                <w:sz w:val="20"/>
                <w:szCs w:val="20"/>
              </w:rPr>
            </w:pPr>
            <w:r w:rsidRPr="00417B13">
              <w:rPr>
                <w:rFonts w:ascii="Times New Roman" w:eastAsia="MS Mincho" w:hAnsi="Times New Roman"/>
                <w:bCs/>
                <w:sz w:val="20"/>
                <w:szCs w:val="20"/>
              </w:rPr>
              <w:t xml:space="preserve">Wpływ na parametry hydromorfologiczne </w:t>
            </w:r>
          </w:p>
          <w:p w14:paraId="61976B6C" w14:textId="77777777" w:rsidR="00BA0236" w:rsidRPr="00417B13" w:rsidRDefault="00BA0236">
            <w:pPr>
              <w:pStyle w:val="Akapitzlist1"/>
              <w:tabs>
                <w:tab w:val="left" w:pos="2250"/>
              </w:tabs>
              <w:spacing w:line="240" w:lineRule="auto"/>
              <w:ind w:left="0"/>
              <w:jc w:val="both"/>
              <w:rPr>
                <w:rFonts w:ascii="Times New Roman" w:eastAsia="MS Mincho" w:hAnsi="Times New Roman"/>
                <w:bCs/>
                <w:sz w:val="20"/>
                <w:szCs w:val="20"/>
              </w:rPr>
            </w:pPr>
          </w:p>
        </w:tc>
        <w:tc>
          <w:tcPr>
            <w:tcW w:w="3917" w:type="dxa"/>
          </w:tcPr>
          <w:p w14:paraId="0900F44A" w14:textId="77777777" w:rsidR="00BA0236" w:rsidRPr="00417B13" w:rsidRDefault="00BA0236">
            <w:pPr>
              <w:pStyle w:val="Akapitzlist1"/>
              <w:tabs>
                <w:tab w:val="left" w:pos="2250"/>
              </w:tabs>
              <w:spacing w:line="240" w:lineRule="auto"/>
              <w:ind w:left="0"/>
              <w:jc w:val="both"/>
              <w:rPr>
                <w:rFonts w:ascii="Times New Roman" w:eastAsia="MS Mincho" w:hAnsi="Times New Roman"/>
                <w:bCs/>
                <w:sz w:val="20"/>
                <w:szCs w:val="20"/>
              </w:rPr>
            </w:pPr>
            <w:r w:rsidRPr="00417B13">
              <w:rPr>
                <w:rFonts w:ascii="Times New Roman" w:hAnsi="Times New Roman"/>
                <w:bCs/>
                <w:sz w:val="20"/>
                <w:szCs w:val="20"/>
              </w:rPr>
              <w:t>RW20001447699</w:t>
            </w:r>
          </w:p>
        </w:tc>
        <w:tc>
          <w:tcPr>
            <w:tcW w:w="1709" w:type="dxa"/>
          </w:tcPr>
          <w:p w14:paraId="04A87D7F" w14:textId="77777777" w:rsidR="00BA0236" w:rsidRPr="00B32914" w:rsidRDefault="00BA0236">
            <w:pPr>
              <w:jc w:val="both"/>
              <w:rPr>
                <w:sz w:val="20"/>
                <w:szCs w:val="20"/>
              </w:rPr>
            </w:pPr>
            <w:r w:rsidRPr="00B32914">
              <w:rPr>
                <w:sz w:val="20"/>
                <w:szCs w:val="20"/>
              </w:rPr>
              <w:t>nd</w:t>
            </w:r>
          </w:p>
        </w:tc>
        <w:tc>
          <w:tcPr>
            <w:tcW w:w="902" w:type="dxa"/>
          </w:tcPr>
          <w:p w14:paraId="4EE336F8" w14:textId="77777777" w:rsidR="00BA0236" w:rsidRPr="00417B13" w:rsidRDefault="00BA0236">
            <w:pPr>
              <w:pStyle w:val="Akapitzlist1"/>
              <w:tabs>
                <w:tab w:val="left" w:pos="2250"/>
              </w:tabs>
              <w:spacing w:line="240" w:lineRule="auto"/>
              <w:ind w:left="0"/>
              <w:jc w:val="both"/>
              <w:rPr>
                <w:rFonts w:ascii="Times New Roman" w:eastAsia="MS Mincho" w:hAnsi="Times New Roman"/>
                <w:bCs/>
                <w:sz w:val="20"/>
                <w:szCs w:val="20"/>
              </w:rPr>
            </w:pPr>
            <w:r w:rsidRPr="00417B13">
              <w:rPr>
                <w:rFonts w:ascii="Times New Roman" w:eastAsia="MS Mincho" w:hAnsi="Times New Roman"/>
                <w:bCs/>
                <w:sz w:val="20"/>
                <w:szCs w:val="20"/>
              </w:rPr>
              <w:t>K</w:t>
            </w:r>
          </w:p>
        </w:tc>
      </w:tr>
      <w:tr w:rsidR="00BA0236" w:rsidRPr="00B32914" w14:paraId="60C6B1D3" w14:textId="77777777" w:rsidTr="00347E16">
        <w:tc>
          <w:tcPr>
            <w:tcW w:w="2193" w:type="dxa"/>
          </w:tcPr>
          <w:p w14:paraId="63BA8C5B" w14:textId="77777777" w:rsidR="00BA0236" w:rsidRPr="00417B13" w:rsidRDefault="00BA0236">
            <w:pPr>
              <w:pStyle w:val="Akapitzlist1"/>
              <w:tabs>
                <w:tab w:val="left" w:pos="2250"/>
              </w:tabs>
              <w:spacing w:line="240" w:lineRule="auto"/>
              <w:ind w:left="0"/>
              <w:jc w:val="both"/>
              <w:rPr>
                <w:rFonts w:ascii="Times New Roman" w:eastAsia="MS Mincho" w:hAnsi="Times New Roman"/>
                <w:bCs/>
                <w:sz w:val="20"/>
                <w:szCs w:val="20"/>
              </w:rPr>
            </w:pPr>
            <w:r w:rsidRPr="00417B13">
              <w:rPr>
                <w:rFonts w:ascii="Times New Roman" w:eastAsia="MS Mincho" w:hAnsi="Times New Roman"/>
                <w:bCs/>
                <w:sz w:val="20"/>
                <w:szCs w:val="20"/>
              </w:rPr>
              <w:t>Wpływ na obszary chronione i korytarze ekologiczne</w:t>
            </w:r>
          </w:p>
        </w:tc>
        <w:tc>
          <w:tcPr>
            <w:tcW w:w="3917" w:type="dxa"/>
          </w:tcPr>
          <w:p w14:paraId="06A75C7F" w14:textId="77777777" w:rsidR="00BA0236" w:rsidRPr="00417B13" w:rsidRDefault="00BA0236">
            <w:pPr>
              <w:pStyle w:val="Akapitzlist1"/>
              <w:tabs>
                <w:tab w:val="left" w:pos="2250"/>
              </w:tabs>
              <w:spacing w:line="240" w:lineRule="auto"/>
              <w:ind w:left="0"/>
              <w:jc w:val="both"/>
              <w:rPr>
                <w:rFonts w:ascii="Times New Roman" w:eastAsia="MS Mincho" w:hAnsi="Times New Roman"/>
                <w:bCs/>
                <w:sz w:val="20"/>
                <w:szCs w:val="20"/>
              </w:rPr>
            </w:pPr>
            <w:r w:rsidRPr="00417B13">
              <w:rPr>
                <w:rFonts w:ascii="Times New Roman" w:hAnsi="Times New Roman"/>
                <w:bCs/>
                <w:sz w:val="20"/>
                <w:szCs w:val="20"/>
              </w:rPr>
              <w:t>Słowiński Park Narodowy - otulina</w:t>
            </w:r>
          </w:p>
        </w:tc>
        <w:tc>
          <w:tcPr>
            <w:tcW w:w="1709" w:type="dxa"/>
          </w:tcPr>
          <w:p w14:paraId="5D943B04" w14:textId="77777777" w:rsidR="00BA0236" w:rsidRPr="00B32914" w:rsidRDefault="00BA0236" w:rsidP="00347E16">
            <w:pPr>
              <w:jc w:val="both"/>
              <w:rPr>
                <w:b/>
                <w:color w:val="28AAE1"/>
                <w:sz w:val="20"/>
                <w:szCs w:val="20"/>
              </w:rPr>
            </w:pPr>
            <w:r w:rsidRPr="00B32914">
              <w:rPr>
                <w:rStyle w:val="fontstyle01"/>
                <w:rFonts w:ascii="Times New Roman" w:hAnsi="Times New Roman"/>
                <w:sz w:val="20"/>
                <w:szCs w:val="20"/>
              </w:rPr>
              <w:t>Bez istotnego wpływu na funkcjonowanie korytarza ekologicznego oraz migrację ssaków</w:t>
            </w:r>
            <w:r w:rsidRPr="00B32914">
              <w:rPr>
                <w:sz w:val="20"/>
                <w:szCs w:val="20"/>
                <w:lang w:eastAsia="pl-PL"/>
              </w:rPr>
              <w:t xml:space="preserve"> </w:t>
            </w:r>
          </w:p>
        </w:tc>
        <w:tc>
          <w:tcPr>
            <w:tcW w:w="902" w:type="dxa"/>
          </w:tcPr>
          <w:p w14:paraId="1AA90237" w14:textId="77777777" w:rsidR="00BA0236" w:rsidRPr="00417B13" w:rsidRDefault="00BA0236">
            <w:pPr>
              <w:pStyle w:val="Akapitzlist1"/>
              <w:tabs>
                <w:tab w:val="left" w:pos="2250"/>
              </w:tabs>
              <w:spacing w:line="240" w:lineRule="auto"/>
              <w:ind w:left="0"/>
              <w:jc w:val="both"/>
              <w:rPr>
                <w:rFonts w:ascii="Times New Roman" w:eastAsia="MS Mincho" w:hAnsi="Times New Roman"/>
                <w:bCs/>
                <w:sz w:val="20"/>
                <w:szCs w:val="20"/>
              </w:rPr>
            </w:pPr>
            <w:r w:rsidRPr="00417B13">
              <w:rPr>
                <w:rFonts w:ascii="Times New Roman" w:eastAsia="MS Mincho" w:hAnsi="Times New Roman"/>
                <w:bCs/>
                <w:sz w:val="20"/>
                <w:szCs w:val="20"/>
              </w:rPr>
              <w:t>U</w:t>
            </w:r>
          </w:p>
        </w:tc>
      </w:tr>
      <w:tr w:rsidR="00BA0236" w:rsidRPr="00B32914" w14:paraId="6609DE94" w14:textId="77777777" w:rsidTr="00347E16">
        <w:tc>
          <w:tcPr>
            <w:tcW w:w="6110" w:type="dxa"/>
            <w:gridSpan w:val="2"/>
          </w:tcPr>
          <w:p w14:paraId="41A0CE2F" w14:textId="77777777" w:rsidR="00BA0236" w:rsidRPr="00B32914" w:rsidRDefault="00BA0236">
            <w:pPr>
              <w:jc w:val="both"/>
              <w:rPr>
                <w:sz w:val="20"/>
                <w:szCs w:val="20"/>
              </w:rPr>
            </w:pPr>
            <w:r w:rsidRPr="00B32914">
              <w:rPr>
                <w:rStyle w:val="fontstyle01"/>
                <w:rFonts w:ascii="Times New Roman" w:hAnsi="Times New Roman"/>
                <w:sz w:val="20"/>
                <w:szCs w:val="20"/>
              </w:rPr>
              <w:t xml:space="preserve">Stopień udatności środowiskowej </w:t>
            </w:r>
          </w:p>
          <w:p w14:paraId="5112B571" w14:textId="77777777" w:rsidR="00BA0236" w:rsidRPr="00417B13" w:rsidRDefault="00BA0236">
            <w:pPr>
              <w:pStyle w:val="Akapitzlist1"/>
              <w:tabs>
                <w:tab w:val="left" w:pos="2250"/>
              </w:tabs>
              <w:spacing w:line="240" w:lineRule="auto"/>
              <w:ind w:left="0"/>
              <w:jc w:val="both"/>
              <w:rPr>
                <w:rFonts w:ascii="Times New Roman" w:hAnsi="Times New Roman"/>
                <w:bCs/>
                <w:sz w:val="20"/>
                <w:szCs w:val="20"/>
              </w:rPr>
            </w:pPr>
          </w:p>
        </w:tc>
        <w:tc>
          <w:tcPr>
            <w:tcW w:w="2611" w:type="dxa"/>
            <w:gridSpan w:val="2"/>
          </w:tcPr>
          <w:p w14:paraId="55C79E1F" w14:textId="77777777" w:rsidR="00BA0236" w:rsidRPr="00417B13" w:rsidRDefault="00BA0236">
            <w:pPr>
              <w:pStyle w:val="Akapitzlist1"/>
              <w:tabs>
                <w:tab w:val="left" w:pos="2250"/>
              </w:tabs>
              <w:spacing w:line="240" w:lineRule="auto"/>
              <w:ind w:left="0"/>
              <w:jc w:val="both"/>
              <w:rPr>
                <w:rFonts w:ascii="Times New Roman" w:eastAsia="MS Mincho" w:hAnsi="Times New Roman"/>
                <w:bCs/>
                <w:sz w:val="20"/>
                <w:szCs w:val="20"/>
              </w:rPr>
            </w:pPr>
            <w:r w:rsidRPr="00417B13">
              <w:rPr>
                <w:rFonts w:ascii="Times New Roman" w:eastAsia="MS Mincho" w:hAnsi="Times New Roman"/>
                <w:bCs/>
                <w:sz w:val="20"/>
                <w:szCs w:val="20"/>
              </w:rPr>
              <w:t>U</w:t>
            </w:r>
          </w:p>
        </w:tc>
      </w:tr>
      <w:tr w:rsidR="00BA0236" w:rsidRPr="00B32914" w14:paraId="3835A3CD" w14:textId="77777777" w:rsidTr="00347E16">
        <w:tc>
          <w:tcPr>
            <w:tcW w:w="8721" w:type="dxa"/>
            <w:gridSpan w:val="4"/>
          </w:tcPr>
          <w:p w14:paraId="23ACD35F" w14:textId="77777777" w:rsidR="00BA0236" w:rsidRPr="00417B13" w:rsidRDefault="00BA0236">
            <w:pPr>
              <w:pStyle w:val="Akapitzlist1"/>
              <w:tabs>
                <w:tab w:val="left" w:pos="2250"/>
              </w:tabs>
              <w:spacing w:line="240" w:lineRule="auto"/>
              <w:ind w:left="0"/>
              <w:jc w:val="both"/>
              <w:rPr>
                <w:rFonts w:ascii="Times New Roman" w:eastAsia="MS Mincho" w:hAnsi="Times New Roman"/>
                <w:bCs/>
                <w:sz w:val="20"/>
                <w:szCs w:val="20"/>
              </w:rPr>
            </w:pPr>
            <w:r w:rsidRPr="00417B13">
              <w:rPr>
                <w:rFonts w:ascii="Times New Roman" w:eastAsia="MS Mincho" w:hAnsi="Times New Roman"/>
                <w:sz w:val="20"/>
                <w:szCs w:val="20"/>
              </w:rPr>
              <w:t xml:space="preserve">Z uwagi na skalę prac działania nie będą negatywnie oddziaływać na parametry oceny stanu JCWP oraz cele środowiskowe, dlatego Wariant został oceniony jako K korzystny środowiskowo </w:t>
            </w:r>
            <w:r w:rsidRPr="00417B13">
              <w:rPr>
                <w:rStyle w:val="fontstyle01"/>
                <w:rFonts w:ascii="Times New Roman" w:eastAsia="MS Mincho" w:hAnsi="Times New Roman"/>
                <w:sz w:val="20"/>
                <w:szCs w:val="20"/>
              </w:rPr>
              <w:t>bez negatywnego wpływu na</w:t>
            </w:r>
            <w:r w:rsidRPr="00417B13">
              <w:rPr>
                <w:rFonts w:ascii="Times New Roman" w:hAnsi="Times New Roman"/>
                <w:color w:val="000000"/>
                <w:sz w:val="20"/>
                <w:szCs w:val="20"/>
              </w:rPr>
              <w:t xml:space="preserve"> </w:t>
            </w:r>
            <w:r w:rsidRPr="00417B13">
              <w:rPr>
                <w:rStyle w:val="fontstyle01"/>
                <w:rFonts w:ascii="Times New Roman" w:eastAsia="MS Mincho" w:hAnsi="Times New Roman"/>
                <w:sz w:val="20"/>
                <w:szCs w:val="20"/>
              </w:rPr>
              <w:t>możliwość osiągnięcia celów ochrony wód w rozumieniu RDW</w:t>
            </w:r>
            <w:r w:rsidRPr="00417B13">
              <w:rPr>
                <w:rFonts w:ascii="Times New Roman" w:eastAsia="MS Mincho" w:hAnsi="Times New Roman"/>
                <w:bCs/>
                <w:sz w:val="20"/>
                <w:szCs w:val="20"/>
              </w:rPr>
              <w:t xml:space="preserve">. Działanie zlokalizowane jest w obrębie obszaru chronionego. </w:t>
            </w:r>
            <w:r w:rsidRPr="00417B13">
              <w:rPr>
                <w:rFonts w:ascii="Times New Roman" w:eastAsia="MS Mincho" w:hAnsi="Times New Roman"/>
                <w:b/>
                <w:bCs/>
                <w:sz w:val="20"/>
                <w:szCs w:val="20"/>
              </w:rPr>
              <w:t xml:space="preserve">Stopień udatności środowiskowej określono jako opcja umiarkowanie korzystna środowiskowo. </w:t>
            </w:r>
          </w:p>
        </w:tc>
      </w:tr>
    </w:tbl>
    <w:p w14:paraId="7CD9C377" w14:textId="77777777" w:rsidR="00BA0236" w:rsidRDefault="00BA0236">
      <w:pPr>
        <w:rPr>
          <w:rFonts w:cs="Calibri"/>
          <w:b/>
          <w:bCs/>
          <w:color w:val="28AAE1"/>
          <w:sz w:val="28"/>
          <w:szCs w:val="18"/>
          <w:lang w:eastAsia="en-US"/>
        </w:rPr>
      </w:pPr>
      <w:r>
        <w:rPr>
          <w:rFonts w:cs="Calibri"/>
          <w:bCs/>
        </w:rPr>
        <w:br w:type="page"/>
      </w:r>
    </w:p>
    <w:p w14:paraId="492C9DD2" w14:textId="77777777" w:rsidR="00BA0236" w:rsidRDefault="00BA0236" w:rsidP="00E8074C">
      <w:pPr>
        <w:pStyle w:val="ReportLevel3"/>
        <w:numPr>
          <w:ilvl w:val="2"/>
          <w:numId w:val="44"/>
        </w:numPr>
        <w:rPr>
          <w:rFonts w:cs="Calibri"/>
          <w:bCs/>
        </w:rPr>
      </w:pPr>
      <w:r>
        <w:rPr>
          <w:rFonts w:cs="Calibri"/>
          <w:bCs/>
        </w:rPr>
        <w:lastRenderedPageBreak/>
        <w:t>Ocena zgodności planowanych wariantów z dokumentami wskazanymi w OPZ</w:t>
      </w:r>
    </w:p>
    <w:p w14:paraId="4FAF6937" w14:textId="77777777" w:rsidR="00BA0236" w:rsidRDefault="00BA0236" w:rsidP="00347E16">
      <w:pPr>
        <w:autoSpaceDE w:val="0"/>
        <w:autoSpaceDN w:val="0"/>
        <w:adjustRightInd w:val="0"/>
        <w:spacing w:after="160"/>
        <w:jc w:val="both"/>
      </w:pPr>
      <w:r>
        <w:t xml:space="preserve">Zgodnie z RDW oraz Dyrektywą morską państwa członkowskie zobligowane zostały do podjęcia niezbędnych działania na rzecz osiągnięcia lub utrzymania dobrego stanu ekologicznego JCWP najpóźniej do 2027 roku.  Strategia Unii Europejskiej dla regionu Morza Bałtyckiego (2009) jednoznacznie wskazuje na konieczność poprawy jakości wód oraz ograniczenia degradacji ekosystemów Morza Bałtyckiego, oraz osiągnięcie i utrzymanie dobrego stanu ekologicznego środowiska morskiego, w szczególności w zakresie różnorodności biologicznej morskich obszarów chronionych. Dokumenty tj.: Polityka morska RP do 2020 roku (z perspektywą do 2030 roku), Strategia Rozwoju Kraju 2020, POWM, POBM, SUKZP OM wskazują jednoznacznie na konieczność zrównoważonego rozwoju obszarów przybrzeżnych. </w:t>
      </w:r>
    </w:p>
    <w:p w14:paraId="17643A5A" w14:textId="77777777" w:rsidR="00BA0236" w:rsidRDefault="00BA0236" w:rsidP="00347E16">
      <w:pPr>
        <w:autoSpaceDE w:val="0"/>
        <w:autoSpaceDN w:val="0"/>
        <w:adjustRightInd w:val="0"/>
        <w:spacing w:after="160"/>
        <w:jc w:val="both"/>
      </w:pPr>
      <w:r>
        <w:t xml:space="preserve">Planowane warianty zostały ocenione pod kątem zgodności z zapisami dokumentów strategicznych wskazanych w OPZ. Stwierdzono zgodność wariantów z celami i zapisami analizowanych dokumentów. </w:t>
      </w:r>
    </w:p>
    <w:p w14:paraId="7B1F3A3A" w14:textId="2D0BEA94" w:rsidR="00BA0236" w:rsidRDefault="00BA0236" w:rsidP="00347E16">
      <w:pPr>
        <w:autoSpaceDE w:val="0"/>
        <w:autoSpaceDN w:val="0"/>
        <w:adjustRightInd w:val="0"/>
        <w:spacing w:after="160"/>
        <w:jc w:val="both"/>
        <w:rPr>
          <w:b/>
          <w:bCs/>
        </w:rPr>
      </w:pPr>
      <w:r>
        <w:rPr>
          <w:b/>
          <w:bCs/>
        </w:rPr>
        <w:t>Aktualizacja planów gospodarowania wodami 202</w:t>
      </w:r>
      <w:r w:rsidR="00DC3CAB">
        <w:rPr>
          <w:b/>
          <w:bCs/>
        </w:rPr>
        <w:t>2</w:t>
      </w:r>
      <w:r>
        <w:rPr>
          <w:b/>
          <w:bCs/>
        </w:rPr>
        <w:t>-2027</w:t>
      </w:r>
    </w:p>
    <w:p w14:paraId="7809B15D" w14:textId="6A0CF097" w:rsidR="00BA0236" w:rsidRDefault="00BA0236" w:rsidP="00347E16">
      <w:pPr>
        <w:autoSpaceDE w:val="0"/>
        <w:autoSpaceDN w:val="0"/>
        <w:adjustRightInd w:val="0"/>
        <w:spacing w:after="160"/>
        <w:jc w:val="both"/>
      </w:pPr>
      <w:r>
        <w:t>W projektach planów gospodarowania wodami na lata 202</w:t>
      </w:r>
      <w:r w:rsidR="00DC3CAB">
        <w:t>2</w:t>
      </w:r>
      <w:r>
        <w:t xml:space="preserve">-2027 wskazane zostały cele środowiskowe dla wszystkich typów wód, ponadto opracowano zestawy działań naprawczych, których celem jest: ograniczenie presji znaczących powodujących ryzyko nieosiągnięcia celów środowiskowych JCW, a także zachowanie dobrego stanu oraz poprawę złego stanu wód, osiągnięcie celów środowiskowych JCW, w tym celów dla obszarów chronionych. </w:t>
      </w:r>
    </w:p>
    <w:p w14:paraId="26E62503" w14:textId="77777777" w:rsidR="00BA0236" w:rsidRDefault="00BA0236" w:rsidP="00347E16">
      <w:pPr>
        <w:autoSpaceDE w:val="0"/>
        <w:autoSpaceDN w:val="0"/>
        <w:adjustRightInd w:val="0"/>
        <w:spacing w:after="160"/>
        <w:jc w:val="both"/>
      </w:pPr>
      <w:r>
        <w:t xml:space="preserve">Już na etapie wstępnej oceny istotności oddziaływań i wpływu Wariantów na cele środowiskowe JCW, uwzględniono potencjalne oddziaływania negatywne, rekomendując do realizacji warianty, dla których nie stwierdzono wpływu na cele środowiskowe wód i na stan wód - ocena B, brak lub oddziaływania są umiarkowania nieistotne UN. </w:t>
      </w:r>
    </w:p>
    <w:p w14:paraId="6626B10A" w14:textId="3C367638" w:rsidR="00BA0236" w:rsidRDefault="00BA0236" w:rsidP="00347E16">
      <w:pPr>
        <w:autoSpaceDE w:val="0"/>
        <w:autoSpaceDN w:val="0"/>
        <w:adjustRightInd w:val="0"/>
        <w:spacing w:after="160"/>
        <w:jc w:val="both"/>
      </w:pPr>
      <w:r>
        <w:t>W ocenie zgodności zaplanowanych działań z projektami planów gospodarowania wodami przeanalizowano zestawy działań naprawczych opracowanych na cykl 202</w:t>
      </w:r>
      <w:r w:rsidR="00DC3CAB">
        <w:t>2</w:t>
      </w:r>
      <w:r>
        <w:t xml:space="preserve">-2027, z uwzględnieniem JCWP, w obrębie których planowane są inwestycje, lub JCWP na które inwestycje mogą potencjalnie oddziaływać.  </w:t>
      </w:r>
    </w:p>
    <w:p w14:paraId="7562BB60" w14:textId="77777777" w:rsidR="00BA0236" w:rsidRDefault="00BA0236" w:rsidP="00347E16">
      <w:pPr>
        <w:autoSpaceDE w:val="0"/>
        <w:autoSpaceDN w:val="0"/>
        <w:adjustRightInd w:val="0"/>
        <w:spacing w:after="160"/>
        <w:jc w:val="both"/>
      </w:pPr>
      <w:r>
        <w:t xml:space="preserve">Warianty, które uzyskały oceny UN/PZ mogące powodować pogorszenie elementów oceny stanu wód i wpływające na cele środowiskowe JCWP i obszary chronione wymagają szczegółowych ocen wpływu na wskaźniki oceny stanu wód wraz z badaniami terenowymi wg metodyk GIOŚ. </w:t>
      </w:r>
    </w:p>
    <w:p w14:paraId="67BB3D8B" w14:textId="77777777" w:rsidR="00BA0236" w:rsidRDefault="00BA0236" w:rsidP="00E8074C">
      <w:pPr>
        <w:pStyle w:val="ReportLevel4"/>
        <w:numPr>
          <w:ilvl w:val="3"/>
          <w:numId w:val="44"/>
        </w:numPr>
        <w:jc w:val="both"/>
      </w:pPr>
      <w:r>
        <w:t>Plan przeciwdziałania skutkom suszy</w:t>
      </w:r>
    </w:p>
    <w:p w14:paraId="1534FE73" w14:textId="005CD5E8" w:rsidR="00BA0236" w:rsidRDefault="00BA0236" w:rsidP="00347E16">
      <w:pPr>
        <w:pStyle w:val="Tekstkomentarza"/>
        <w:spacing w:after="384"/>
        <w:jc w:val="both"/>
        <w:rPr>
          <w:rFonts w:ascii="Times New Roman" w:hAnsi="Times New Roman"/>
          <w:sz w:val="24"/>
        </w:rPr>
      </w:pPr>
      <w:r>
        <w:rPr>
          <w:rFonts w:ascii="Times New Roman" w:hAnsi="Times New Roman"/>
          <w:sz w:val="24"/>
        </w:rPr>
        <w:t xml:space="preserve">Zgodnie </w:t>
      </w:r>
      <w:r w:rsidR="00B366D3" w:rsidRPr="00366162">
        <w:rPr>
          <w:rFonts w:ascii="Times New Roman" w:hAnsi="Times New Roman"/>
          <w:sz w:val="24"/>
        </w:rPr>
        <w:t xml:space="preserve">z </w:t>
      </w:r>
      <w:r w:rsidR="00B366D3">
        <w:rPr>
          <w:rFonts w:ascii="Times New Roman" w:hAnsi="Times New Roman"/>
          <w:sz w:val="24"/>
        </w:rPr>
        <w:t>art. 184 U</w:t>
      </w:r>
      <w:r w:rsidR="00B366D3" w:rsidRPr="00366162">
        <w:rPr>
          <w:rFonts w:ascii="Times New Roman" w:hAnsi="Times New Roman"/>
          <w:sz w:val="24"/>
        </w:rPr>
        <w:t>staw</w:t>
      </w:r>
      <w:r w:rsidR="00B366D3">
        <w:rPr>
          <w:rFonts w:ascii="Times New Roman" w:hAnsi="Times New Roman"/>
          <w:sz w:val="24"/>
        </w:rPr>
        <w:t>y</w:t>
      </w:r>
      <w:r w:rsidR="00B366D3" w:rsidRPr="00366162">
        <w:rPr>
          <w:rFonts w:ascii="Times New Roman" w:hAnsi="Times New Roman"/>
          <w:sz w:val="24"/>
        </w:rPr>
        <w:t xml:space="preserve"> z dnia 18 lipca 2001 r. Prawo wodne </w:t>
      </w:r>
      <w:r w:rsidR="00B366D3" w:rsidRPr="0085646F">
        <w:rPr>
          <w:rFonts w:ascii="Times New Roman" w:hAnsi="Times New Roman"/>
          <w:sz w:val="24"/>
        </w:rPr>
        <w:t xml:space="preserve">(Dz. U. z 2021 r. poz. 624 ze zm.) </w:t>
      </w:r>
      <w:r>
        <w:rPr>
          <w:rFonts w:ascii="Times New Roman" w:hAnsi="Times New Roman"/>
          <w:sz w:val="24"/>
        </w:rPr>
        <w:t xml:space="preserve">głównymi dokumentami planistycznymi w zakresie przeciwdziałania zjawisku suszy są plany przeciwdziałania skutkom suszy w regionach wodnych oraz na obszarach dorzeczy. Zgodnie z ustawą plan przeciwdziałania skutkom suszy zawiera 4 kluczowe elementy: analizę możliwości powiększenia dyspozycyjnych zasobów wodnych, propozycje budowy lub przebudowy urządzeń wodnych, propozycje niezbędnych zmian w zakresie korzystania z zasobów wodnych oraz zmian naturalnej i </w:t>
      </w:r>
      <w:r>
        <w:rPr>
          <w:rFonts w:ascii="Times New Roman" w:hAnsi="Times New Roman"/>
          <w:sz w:val="24"/>
        </w:rPr>
        <w:lastRenderedPageBreak/>
        <w:t xml:space="preserve">sztucznej retencji oraz działania służące przeciwdziałaniu skutkom suszy. Celem PPSS była analiza możliwości powiększenia dyspozycyjnych zasobów wodnych w obrębie zlewni JCWP, propozycja budowy, rozbudowy lub przebudowy urządzeń wodnych, propozycja niezbędnych zmian w zakresie korzystania z zasobów wodnych oraz zmian naturalnej i sztucznej retencji. W ramach projektu opracowano katalog działań służących ograniczeniu skutków suszy, dokonano hierarchizacji zlewni JCWP narażonych na skutki występowania różnych typów suszy, wskazano działania łagodzące skutki suszy. </w:t>
      </w:r>
    </w:p>
    <w:p w14:paraId="2D124C68" w14:textId="77777777" w:rsidR="00BA0236" w:rsidRDefault="00BA0236" w:rsidP="00AA0506">
      <w:pPr>
        <w:spacing w:afterLines="160" w:after="384"/>
        <w:jc w:val="both"/>
      </w:pPr>
      <w:r>
        <w:t xml:space="preserve">Działania mające na celu ograniczenie powodzi od strony morza nie generują znaczących negatywnych oddziaływań na zasoby wodne JCWP, nie wpływają znacząco na zmianę stosunków wodnych w zlewniach JCWP, nie mają znaczącego wpływu na ograniczenie potencjału retencyjnego zlewni. </w:t>
      </w:r>
    </w:p>
    <w:p w14:paraId="320A0853" w14:textId="77777777" w:rsidR="00BA0236" w:rsidRDefault="00BA0236" w:rsidP="00AA0506">
      <w:pPr>
        <w:spacing w:afterLines="160" w:after="384"/>
        <w:jc w:val="both"/>
      </w:pPr>
      <w:r>
        <w:t>Uwzględniając zapisy PPSS działania zaplanowano dla ochrony terenów zabudowanych. Warianty, które uzyskały oceny UN/PZ mogące powodować pogorszenie elementów oceny stanu wód i wpływające na cele środowiskowe JCWP i obszary chronione wymagają szczegółowych ocen wpływu na wskaźniki oceny stanu wód wraz z badaniami terenowymi wg metodyk GIOŚ.</w:t>
      </w:r>
    </w:p>
    <w:p w14:paraId="45EE2A20" w14:textId="77777777" w:rsidR="00BA0236" w:rsidRDefault="00BA0236" w:rsidP="00E8074C">
      <w:pPr>
        <w:pStyle w:val="ReportLevel4"/>
        <w:numPr>
          <w:ilvl w:val="3"/>
          <w:numId w:val="44"/>
        </w:numPr>
      </w:pPr>
      <w:r>
        <w:t>Program przeciwdziałania niedoborowi wody (Program Rozwoju Retencji)</w:t>
      </w:r>
    </w:p>
    <w:p w14:paraId="5CD2DC86" w14:textId="77777777" w:rsidR="00BA0236" w:rsidRPr="00417B13" w:rsidRDefault="00BA0236" w:rsidP="008D7CA9">
      <w:pPr>
        <w:pStyle w:val="Tekstkomentarza"/>
        <w:spacing w:after="120"/>
        <w:jc w:val="both"/>
        <w:rPr>
          <w:rFonts w:ascii="Times New Roman" w:hAnsi="Times New Roman"/>
          <w:sz w:val="24"/>
        </w:rPr>
      </w:pPr>
      <w:r w:rsidRPr="00417B13">
        <w:rPr>
          <w:rFonts w:ascii="Times New Roman" w:hAnsi="Times New Roman"/>
          <w:sz w:val="24"/>
        </w:rPr>
        <w:t>Program Rozwoju Retencji ma na celu przeciwdziałanie obserwowanemu deficytowi wody oraz zjawisku suszy, będącym skutkiem zarówno zmian klimatu jak i zwiększającej się antropopresji. Podejmowanie działania w zakresie retencji wodnej przyczynią się do zmniejszenia lub spowolnienia odpływu wód ze zlewni, stanowiąc równocześnie jeden ze sposobów przeciwdziałania powstawaniu powodzi lub ograniczania skali ich skutków.  Działania wskazane w Programie przeciwdziałania niedoborowi wody obejmują między innymi:</w:t>
      </w:r>
    </w:p>
    <w:p w14:paraId="2062E4C9" w14:textId="77777777" w:rsidR="00BA0236" w:rsidRDefault="00BA0236" w:rsidP="008D7CA9">
      <w:pPr>
        <w:numPr>
          <w:ilvl w:val="0"/>
          <w:numId w:val="52"/>
        </w:numPr>
        <w:tabs>
          <w:tab w:val="clear" w:pos="720"/>
          <w:tab w:val="num" w:pos="567"/>
        </w:tabs>
        <w:ind w:left="567" w:hanging="425"/>
        <w:jc w:val="both"/>
      </w:pPr>
      <w:r>
        <w:t>renaturyzację ekosystemów mokradłowych (poprzez między innymi zatrzymanie wody w rowach melioracyjnych);</w:t>
      </w:r>
    </w:p>
    <w:p w14:paraId="0CEFC046" w14:textId="77777777" w:rsidR="00BA0236" w:rsidRDefault="00BA0236" w:rsidP="008D7CA9">
      <w:pPr>
        <w:numPr>
          <w:ilvl w:val="0"/>
          <w:numId w:val="52"/>
        </w:numPr>
        <w:tabs>
          <w:tab w:val="clear" w:pos="720"/>
          <w:tab w:val="num" w:pos="567"/>
        </w:tabs>
        <w:ind w:left="567" w:hanging="425"/>
        <w:jc w:val="both"/>
      </w:pPr>
      <w:r>
        <w:t>renaturyzacja rzek;</w:t>
      </w:r>
    </w:p>
    <w:p w14:paraId="64AFFB52" w14:textId="77777777" w:rsidR="00BA0236" w:rsidRDefault="00BA0236" w:rsidP="008D7CA9">
      <w:pPr>
        <w:numPr>
          <w:ilvl w:val="0"/>
          <w:numId w:val="52"/>
        </w:numPr>
        <w:tabs>
          <w:tab w:val="clear" w:pos="720"/>
          <w:tab w:val="num" w:pos="567"/>
        </w:tabs>
        <w:ind w:left="567" w:hanging="425"/>
        <w:jc w:val="both"/>
      </w:pPr>
      <w:r>
        <w:t>realizację i odtwarzanie obiektów małej retencji i mikroretencji na terenach leśnych;</w:t>
      </w:r>
    </w:p>
    <w:p w14:paraId="4E4953FA" w14:textId="77777777" w:rsidR="00BA0236" w:rsidRDefault="00BA0236" w:rsidP="008D7CA9">
      <w:pPr>
        <w:numPr>
          <w:ilvl w:val="0"/>
          <w:numId w:val="52"/>
        </w:numPr>
        <w:tabs>
          <w:tab w:val="clear" w:pos="720"/>
          <w:tab w:val="num" w:pos="567"/>
        </w:tabs>
        <w:ind w:left="567" w:hanging="425"/>
        <w:jc w:val="both"/>
      </w:pPr>
      <w:r>
        <w:t>zalesiania, zadrzewiania oraz przebudowę drzewostanów;</w:t>
      </w:r>
    </w:p>
    <w:p w14:paraId="6E2779D4" w14:textId="77777777" w:rsidR="00BA0236" w:rsidRDefault="00BA0236" w:rsidP="008D7CA9">
      <w:pPr>
        <w:numPr>
          <w:ilvl w:val="0"/>
          <w:numId w:val="52"/>
        </w:numPr>
        <w:tabs>
          <w:tab w:val="clear" w:pos="720"/>
          <w:tab w:val="num" w:pos="567"/>
        </w:tabs>
        <w:ind w:left="567" w:hanging="425"/>
        <w:jc w:val="both"/>
      </w:pPr>
      <w:r>
        <w:t>realizację i odtwarzanie obiektów małej retencji i mikroretencji na terenach rolniczych;</w:t>
      </w:r>
    </w:p>
    <w:p w14:paraId="7B79BC50" w14:textId="77777777" w:rsidR="00BA0236" w:rsidRDefault="00BA0236" w:rsidP="008D7CA9">
      <w:pPr>
        <w:numPr>
          <w:ilvl w:val="0"/>
          <w:numId w:val="52"/>
        </w:numPr>
        <w:tabs>
          <w:tab w:val="clear" w:pos="720"/>
          <w:tab w:val="num" w:pos="567"/>
        </w:tabs>
        <w:ind w:left="567" w:hanging="425"/>
        <w:jc w:val="both"/>
      </w:pPr>
      <w:r>
        <w:t>promowanie i wdrażanie zabiegów agrotechnicznych zwiększających retencję glebową;</w:t>
      </w:r>
    </w:p>
    <w:p w14:paraId="083A4479" w14:textId="77777777" w:rsidR="00BA0236" w:rsidRDefault="00BA0236" w:rsidP="008D7CA9">
      <w:pPr>
        <w:numPr>
          <w:ilvl w:val="0"/>
          <w:numId w:val="52"/>
        </w:numPr>
        <w:tabs>
          <w:tab w:val="clear" w:pos="720"/>
          <w:tab w:val="num" w:pos="567"/>
        </w:tabs>
        <w:ind w:left="567" w:hanging="425"/>
        <w:jc w:val="both"/>
      </w:pPr>
      <w:r>
        <w:t>tworzenie i odtwarzanie zadrzewień śródpolnych, przydrożonych i przywodnych;</w:t>
      </w:r>
    </w:p>
    <w:p w14:paraId="3E618FBA" w14:textId="77777777" w:rsidR="00BA0236" w:rsidRDefault="00BA0236" w:rsidP="008D7CA9">
      <w:pPr>
        <w:numPr>
          <w:ilvl w:val="0"/>
          <w:numId w:val="52"/>
        </w:numPr>
        <w:tabs>
          <w:tab w:val="clear" w:pos="720"/>
          <w:tab w:val="num" w:pos="567"/>
        </w:tabs>
        <w:ind w:left="567" w:hanging="425"/>
        <w:jc w:val="both"/>
      </w:pPr>
      <w:r>
        <w:t>realizacja MPA oraz inne działania mające na celu zwiększenie retencji w miastach (m.in. błękitno-zielona infrastruktura, retencja wód opadowych i zwiększanie udziału powierzchni biologiczne czynnych).</w:t>
      </w:r>
    </w:p>
    <w:p w14:paraId="3FD3AE22" w14:textId="77777777" w:rsidR="00BA0236" w:rsidRDefault="00BA0236" w:rsidP="00347E16">
      <w:pPr>
        <w:ind w:left="357"/>
        <w:jc w:val="both"/>
      </w:pPr>
    </w:p>
    <w:p w14:paraId="36CC26D8" w14:textId="77777777" w:rsidR="00BA0236" w:rsidRDefault="00BA0236" w:rsidP="00347E16">
      <w:pPr>
        <w:spacing w:before="160" w:after="160"/>
        <w:jc w:val="both"/>
      </w:pPr>
      <w:r>
        <w:rPr>
          <w:color w:val="000000"/>
        </w:rPr>
        <w:t>Program Rozwoju Retencji przyczyni się do poprawy funkcjonowania</w:t>
      </w:r>
      <w:r>
        <w:rPr>
          <w:color w:val="000000"/>
        </w:rPr>
        <w:br/>
        <w:t>gospodarki wodnej w kraju przyczyniając się równocześnie do ograniczenia ryzyka</w:t>
      </w:r>
      <w:r>
        <w:rPr>
          <w:color w:val="000000"/>
        </w:rPr>
        <w:br/>
        <w:t xml:space="preserve">powodziowego jak i łagodzenia skutków zmian klimatu związanych z występowaniem </w:t>
      </w:r>
      <w:r>
        <w:rPr>
          <w:color w:val="000000"/>
        </w:rPr>
        <w:lastRenderedPageBreak/>
        <w:t>suszy i niedoborów wody</w:t>
      </w:r>
      <w:r>
        <w:t xml:space="preserve"> Oceniane warianty mające na celu ograniczenie powodzi od strony morza nie generują negatywnych znaczących oddziaływań na zasoby wodne JCWP. Działania zaplanowano uwzględniając zapisy PRR optymalnie na terenach zabudowanych. </w:t>
      </w:r>
    </w:p>
    <w:p w14:paraId="50FAF3CD" w14:textId="2AD1CA73" w:rsidR="00BA0236" w:rsidRDefault="00BA0236" w:rsidP="00347E16">
      <w:pPr>
        <w:spacing w:before="160" w:after="160"/>
        <w:jc w:val="both"/>
        <w:rPr>
          <w:b/>
        </w:rPr>
      </w:pPr>
      <w:r>
        <w:t>Warianty, które uzyskały oceny UN/PZ mogące powodować pogorszenie elementów oceny stanu wód i wpływające na cele środowiskowe JCWP i obszary chronione wymagają szczegółowych ocen wpływu na wskaźniki oceny stanu wód wraz z badaniami terenowymi wg metodyk GIOŚ</w:t>
      </w:r>
      <w:r w:rsidR="00A72801">
        <w:t>.</w:t>
      </w:r>
    </w:p>
    <w:p w14:paraId="4667D651" w14:textId="77777777" w:rsidR="00BA0236" w:rsidRDefault="00BA0236" w:rsidP="00E8074C">
      <w:pPr>
        <w:pStyle w:val="ReportLevel4"/>
        <w:numPr>
          <w:ilvl w:val="3"/>
          <w:numId w:val="44"/>
        </w:numPr>
        <w:rPr>
          <w:sz w:val="24"/>
          <w:szCs w:val="24"/>
        </w:rPr>
      </w:pPr>
      <w:r>
        <w:rPr>
          <w:sz w:val="24"/>
          <w:szCs w:val="24"/>
        </w:rPr>
        <w:t>Wdrożenie instrumentów wspierających realizację działań PZRP.</w:t>
      </w:r>
    </w:p>
    <w:p w14:paraId="1895A8E9" w14:textId="1B145456" w:rsidR="00BA0236" w:rsidRDefault="00BA0236" w:rsidP="00347E16">
      <w:pPr>
        <w:pStyle w:val="Tekstkomentarza"/>
        <w:spacing w:after="384"/>
        <w:jc w:val="both"/>
        <w:rPr>
          <w:rFonts w:ascii="Times New Roman" w:hAnsi="Times New Roman"/>
          <w:sz w:val="24"/>
        </w:rPr>
      </w:pPr>
      <w:r>
        <w:rPr>
          <w:rFonts w:ascii="Times New Roman" w:hAnsi="Times New Roman"/>
          <w:color w:val="000000"/>
          <w:sz w:val="24"/>
        </w:rPr>
        <w:t>Wdrożenie instrumentów wspierających realizację działań aPZRP ma na celu zapewnienie wysokiego stopnia bezpieczeństwa ludności oraz infrastruktury technicznej, a tym samym ograniczenie wielkości strat będących skutkiem wystąpienia powodzi. Wprowadzono zapisy w polskim systemie prawnym oraz w dokumentach prawa miejscowego, pozwalające na prowadzenie działań mających na celu ograniczenie ryzyka powodziowego, w tym poprzez wyeliminowanie lub unikanie wzrostu zagospodarowania w obrębie obszarów szczególnego zagrożenia wystąpieniem powodzi, a także ograniczanie istniejącego zagospodarowania. Stworzone przepisy prawne umożliwiają prowadzenie działań w celu</w:t>
      </w:r>
      <w:r w:rsidR="00A72801">
        <w:rPr>
          <w:rFonts w:ascii="Times New Roman" w:hAnsi="Times New Roman"/>
          <w:color w:val="000000"/>
          <w:sz w:val="24"/>
        </w:rPr>
        <w:t xml:space="preserve"> </w:t>
      </w:r>
      <w:r>
        <w:rPr>
          <w:rFonts w:ascii="Times New Roman" w:hAnsi="Times New Roman"/>
          <w:color w:val="000000"/>
          <w:sz w:val="24"/>
        </w:rPr>
        <w:t>ochrony obszarów występowania naturalnej retencji, przywracania naturalnej retencji, naturalnych warunków przepływu oraz hydromorfologii cieków wodnych. Stworzone zostały</w:t>
      </w:r>
      <w:r>
        <w:rPr>
          <w:rFonts w:ascii="Times New Roman" w:hAnsi="Times New Roman"/>
          <w:sz w:val="24"/>
        </w:rPr>
        <w:t xml:space="preserve"> </w:t>
      </w:r>
      <w:r>
        <w:rPr>
          <w:rFonts w:ascii="Times New Roman" w:hAnsi="Times New Roman"/>
          <w:color w:val="000000"/>
          <w:sz w:val="24"/>
        </w:rPr>
        <w:t xml:space="preserve">także instrumenty pozwalające na realizację infrastruktury przeciwpowodziowej poprzez opracowanie oceny kompletności zestawu obiektów przeciwpowodziowych wraz z obiektami towarzyszącymi przewidzianych do realizacji, a także wskazany sposób pozyskiwania praw do nieruchomości, na których obiekty te mają powstać. </w:t>
      </w:r>
      <w:r>
        <w:rPr>
          <w:rFonts w:ascii="Times New Roman" w:hAnsi="Times New Roman"/>
          <w:sz w:val="24"/>
        </w:rPr>
        <w:t>W ramach opracowanych instrumentów przygotowano: rozwiązania prawne, administracyjne, kontrolne i inwestycyjne, będące podstawą do dalszych prac legislacyjnych. które ochronią społeczności przed nadmiernym ryzykiem powodziowym i ograniczą straty w przyszłości. Ich treści wspierają osiągnięcie celów szczegółowych sformułowanych w aPZRPM.</w:t>
      </w:r>
    </w:p>
    <w:p w14:paraId="407DB10F" w14:textId="77777777" w:rsidR="00BA0236" w:rsidRDefault="00BA0236" w:rsidP="00E8074C">
      <w:pPr>
        <w:pStyle w:val="ReportLevel4"/>
        <w:numPr>
          <w:ilvl w:val="3"/>
          <w:numId w:val="44"/>
        </w:numPr>
      </w:pPr>
      <w:r>
        <w:t xml:space="preserve">Krajowy program renaturyzacji wód powierzchniowych. </w:t>
      </w:r>
    </w:p>
    <w:p w14:paraId="30FE720E" w14:textId="77777777" w:rsidR="00BA0236" w:rsidRDefault="00BA0236" w:rsidP="00AA0506">
      <w:pPr>
        <w:pStyle w:val="NormalnyWeb"/>
        <w:spacing w:before="0" w:beforeAutospacing="0" w:afterLines="160" w:after="384"/>
        <w:jc w:val="both"/>
      </w:pPr>
      <w:r>
        <w:t xml:space="preserve">KPRWP opracowany został na zlecenie Państwowego Gospodarstwa Wodnego Wody Polskie w 2020 roku, stanowi zestaw działań wskazanych dla wszystkich typów wód powierzchniowych opracowanych w celu likwidacji lub ograniczenia presji hydromorfologicznych i poprawy stanu wód powierzchniowych. W ramach KPRWP wskazano tzw. Obszary Wymagające Renaturyzacji oraz Obszary Priorytetowe, w których działania renaturyzacyjne powinny zostać zrealizowane w pierwszej kolejności. Każdej jednolitej części wód powierzchniowych, która została zaliczona do tych obszarów, przypisano potencjalne zestawy działań renaturyzacyjnych. Renaturyzacja wód powierzchniowych wg KPRWP obejmuje działania naprawcze mające na celu likwidację presji hydromorfologicznych oraz przywrócenie naturalnych procesów, odbudowę i normalizację stosunków wodnych, poprawę i odtworzenie retencji korytowej, dolinowej, normalizację stosunków wodnych w zlewni, renaturalizację mokradeł i torfowisk, przywracanie ciągłości i różnorodności hydromorfologicznej cieków i jezior. W KPRWP wykazano, że renaturyzacja wód wpływa na zmniejszenie </w:t>
      </w:r>
      <w:r>
        <w:lastRenderedPageBreak/>
        <w:t>ryzyka powodziowego, łagodzi skutki suszy, redukuje niezbędne koszty prowadzenia prac utrzymaniowych i tworzy miejsca atrakcyjne społecznie</w:t>
      </w:r>
      <w:r>
        <w:rPr>
          <w:rStyle w:val="Odwoanieprzypisudolnego"/>
        </w:rPr>
        <w:footnoteReference w:id="1"/>
      </w:r>
      <w:r>
        <w:t xml:space="preserve">.  </w:t>
      </w:r>
    </w:p>
    <w:p w14:paraId="2C6A4241" w14:textId="6CAB07DF" w:rsidR="00BA0236" w:rsidRDefault="00BA0236" w:rsidP="00AA0506">
      <w:pPr>
        <w:spacing w:afterLines="160" w:after="384"/>
        <w:jc w:val="both"/>
      </w:pPr>
      <w:r>
        <w:t xml:space="preserve">Głównym celem KPRWP jest poprawa stanu hydromorfologicznego JCWP powierzchniowych w zakresie umożliwiającym spełnienie celów środowiskowych JCWP. Działania zawarte w KPRWP służą między innymi </w:t>
      </w:r>
      <w:r>
        <w:rPr>
          <w:color w:val="000000"/>
        </w:rPr>
        <w:t xml:space="preserve">ochronie i zwiększeniu naturalnej retencji oraz przywracaniu naturalnych warunków przepływu wód w obrębie cieków, </w:t>
      </w:r>
      <w:r>
        <w:t>skierowane na poprawę retencji naturalnej w tym odtwarzanie mokradeł i torfowisk oraz poprawę naturalnej retencji korytowej poprzez renaturyzację. Z założenia działania KPRWP mają pośrednio przyczynić się do zmniejszenia ryzyka powodziowego w zlewniach oraz ograniczenia negatywnych skutków suszy i powodzi także od strony morza.</w:t>
      </w:r>
    </w:p>
    <w:p w14:paraId="037C6FD0" w14:textId="77777777" w:rsidR="00BA0236" w:rsidRDefault="00BA0236" w:rsidP="00AA0506">
      <w:pPr>
        <w:pStyle w:val="NormalnyWeb"/>
        <w:spacing w:before="0" w:beforeAutospacing="0" w:afterLines="160" w:after="384"/>
        <w:jc w:val="both"/>
      </w:pPr>
      <w:r>
        <w:t xml:space="preserve">Działania, które generują nowe presje hydromorfologiczne, wpłyną na pogorszenie wskaźnika przekształcenia hydromorfologii PPH4, PPH6, prowadząc do pogorszenia wartości multimetriksu HIR i mogą wpłynąć na pogorszenie stanu hydromorfologicznego JCWP, tym samym mogą utrudniać lub uniemożliwiać będą osiągnięcie celów środowiskowych wskazanych dla JCWP. Działania mogą powodować pogorszenie warunków hydromorfologicznych JCWP, w obrębie których są zlokalizowane, i na które potencjalnie oddziałują. Działania nie wpływają na ciągłość biologiczną i morfologiczną JCWP rzecznych, nie generują pogorszenia wskaźników biologicznych, tym samym nie prowadzą do pogorszenia stanu biologicznego JCWP. </w:t>
      </w:r>
    </w:p>
    <w:p w14:paraId="57DA3AE1" w14:textId="77777777" w:rsidR="00BA0236" w:rsidRDefault="00BA0236" w:rsidP="00AA0506">
      <w:pPr>
        <w:pStyle w:val="NormalnyWeb"/>
        <w:spacing w:before="0" w:beforeAutospacing="0" w:afterLines="160" w:after="384"/>
        <w:jc w:val="both"/>
      </w:pPr>
      <w:r>
        <w:t>Warianty, które uzyskały oceny UN/PZ mogące powodować pogorszenie elementów oceny stanu wód i wpływające na cele środowiskowe JCWP i obszary chronione wymagają szczegółowych ocen wpływu na wskaźniki oceny stanu wód wraz z badaniami terenowymi wg metodyk GIOŚ. Warianty, które zawierają działania nietechniczne zgodne polegające między innymi na montażu mobilnych przegród przeciwpowodziowych wraz z rozwojem lokalnego systemu ostrzegania przed powodziami i prognozowania zagrożeń, nie maja wpływu na warunki hydromorfologiczne JCWP, nie są sprzeczne z założeniami KPRWP. Uwzględniając zapisy KPRWP działania zaplanowano dla ochrony terenów zabudowanych.</w:t>
      </w:r>
    </w:p>
    <w:p w14:paraId="6A11AC0B" w14:textId="77777777" w:rsidR="00BA0236" w:rsidRPr="007C28CC" w:rsidRDefault="00BA0236" w:rsidP="007C28CC">
      <w:pPr>
        <w:rPr>
          <w:b/>
          <w:color w:val="28AAE1"/>
          <w:sz w:val="32"/>
          <w:szCs w:val="20"/>
          <w:lang w:eastAsia="en-US"/>
        </w:rPr>
      </w:pPr>
      <w:r w:rsidRPr="007C28CC">
        <w:br w:type="page"/>
      </w:r>
    </w:p>
    <w:p w14:paraId="430207D3" w14:textId="77777777" w:rsidR="00BA0236" w:rsidRPr="007C28CC" w:rsidRDefault="00BA0236" w:rsidP="00E8074C">
      <w:pPr>
        <w:pStyle w:val="ReportLevel2"/>
        <w:numPr>
          <w:ilvl w:val="1"/>
          <w:numId w:val="9"/>
        </w:numPr>
      </w:pPr>
      <w:bookmarkStart w:id="210" w:name="_Toc79511690"/>
      <w:bookmarkStart w:id="211" w:name="_Toc80604870"/>
      <w:r w:rsidRPr="007C28CC">
        <w:lastRenderedPageBreak/>
        <w:t>Możliwe konflikty społeczne związane z realizacją działań</w:t>
      </w:r>
      <w:bookmarkEnd w:id="195"/>
      <w:bookmarkEnd w:id="210"/>
      <w:bookmarkEnd w:id="211"/>
    </w:p>
    <w:p w14:paraId="3FF2FDB9" w14:textId="77777777" w:rsidR="00BA0236" w:rsidRPr="007C28CC" w:rsidRDefault="00BA0236" w:rsidP="007C28CC">
      <w:pPr>
        <w:pStyle w:val="ReportText"/>
        <w:spacing w:before="120"/>
      </w:pPr>
      <w:r w:rsidRPr="007C28CC">
        <w:t xml:space="preserve">W ramach analizy wielokryterialnej oceniano następujące kryteria związane z możliwymi konfliktami społecznymi: </w:t>
      </w:r>
    </w:p>
    <w:p w14:paraId="67FC7467" w14:textId="77777777" w:rsidR="00BA0236" w:rsidRPr="008D7CA9" w:rsidRDefault="00BA0236" w:rsidP="008D7CA9">
      <w:pPr>
        <w:pStyle w:val="Akapitzlist"/>
        <w:numPr>
          <w:ilvl w:val="0"/>
          <w:numId w:val="18"/>
        </w:numPr>
        <w:spacing w:after="160" w:line="259" w:lineRule="auto"/>
        <w:ind w:left="567" w:hanging="425"/>
        <w:jc w:val="both"/>
        <w:rPr>
          <w:sz w:val="24"/>
          <w:szCs w:val="24"/>
        </w:rPr>
      </w:pPr>
      <w:r w:rsidRPr="008D7CA9">
        <w:rPr>
          <w:sz w:val="24"/>
          <w:szCs w:val="24"/>
        </w:rPr>
        <w:t>potencjalne konflikty społeczne związane z koniecznością zajęcia terenu pod daną inwestycję;</w:t>
      </w:r>
    </w:p>
    <w:p w14:paraId="5B0A7739" w14:textId="77777777" w:rsidR="00BA0236" w:rsidRPr="008D7CA9" w:rsidRDefault="00BA0236" w:rsidP="008D7CA9">
      <w:pPr>
        <w:pStyle w:val="Akapitzlist"/>
        <w:numPr>
          <w:ilvl w:val="0"/>
          <w:numId w:val="18"/>
        </w:numPr>
        <w:spacing w:after="160" w:line="259" w:lineRule="auto"/>
        <w:ind w:left="567" w:hanging="425"/>
        <w:jc w:val="both"/>
        <w:rPr>
          <w:sz w:val="24"/>
          <w:szCs w:val="24"/>
        </w:rPr>
      </w:pPr>
      <w:r w:rsidRPr="008D7CA9">
        <w:rPr>
          <w:sz w:val="24"/>
          <w:szCs w:val="24"/>
        </w:rPr>
        <w:t>potencjalne konflikty społeczne związane z przekształceniami naturalnymi i semi-naturalnymi;</w:t>
      </w:r>
    </w:p>
    <w:p w14:paraId="3B8C9D73" w14:textId="77777777" w:rsidR="00BA0236" w:rsidRPr="008D7CA9" w:rsidRDefault="00BA0236" w:rsidP="008D7CA9">
      <w:pPr>
        <w:pStyle w:val="Akapitzlist"/>
        <w:numPr>
          <w:ilvl w:val="0"/>
          <w:numId w:val="18"/>
        </w:numPr>
        <w:spacing w:after="160" w:line="259" w:lineRule="auto"/>
        <w:ind w:left="567" w:hanging="425"/>
        <w:jc w:val="both"/>
        <w:rPr>
          <w:sz w:val="24"/>
          <w:szCs w:val="24"/>
        </w:rPr>
      </w:pPr>
      <w:r w:rsidRPr="008D7CA9">
        <w:rPr>
          <w:sz w:val="24"/>
          <w:szCs w:val="24"/>
        </w:rPr>
        <w:t xml:space="preserve">potencjalne konflikty społeczne związane z koniecznością wyburzenia budynków. </w:t>
      </w:r>
    </w:p>
    <w:p w14:paraId="1C811328" w14:textId="77777777" w:rsidR="00BA0236" w:rsidRPr="007C28CC" w:rsidRDefault="00BA0236" w:rsidP="007C28CC">
      <w:pPr>
        <w:pStyle w:val="ReportText"/>
        <w:spacing w:before="120"/>
      </w:pPr>
      <w:r w:rsidRPr="007C28CC">
        <w:t xml:space="preserve">Poniżej przedstawiono analizę możliwych konfliktów społecznych uwzględniających powyższe kryteria oraz ewentualne dodatkowe czynniki, uzależnione od indywidualnego charakteru obszaru, w którym planowane są działania ochronne.  </w:t>
      </w:r>
    </w:p>
    <w:p w14:paraId="1EC898DC" w14:textId="77777777" w:rsidR="00BA0236" w:rsidRPr="007C28CC" w:rsidRDefault="00BA0236" w:rsidP="00E8074C">
      <w:pPr>
        <w:pStyle w:val="ReportLevel3"/>
        <w:numPr>
          <w:ilvl w:val="2"/>
          <w:numId w:val="9"/>
        </w:numPr>
      </w:pPr>
      <w:r w:rsidRPr="007C28CC">
        <w:rPr>
          <w:bCs/>
        </w:rPr>
        <w:t>Obszar problemowy IOP_1 Miasto Gdańsk</w:t>
      </w:r>
    </w:p>
    <w:p w14:paraId="109CF3A9" w14:textId="77777777" w:rsidR="00BA0236" w:rsidRPr="007C28CC" w:rsidRDefault="00BA0236" w:rsidP="007C28CC">
      <w:pPr>
        <w:pStyle w:val="ReportText"/>
        <w:spacing w:before="120" w:after="120"/>
      </w:pPr>
      <w:r w:rsidRPr="007C28CC">
        <w:t>Dla obszaru problemowego IOP_1 Miasto Gdańsk działania obejmują:</w:t>
      </w:r>
    </w:p>
    <w:p w14:paraId="703C55A9" w14:textId="77777777" w:rsidR="00BA0236" w:rsidRPr="007C28CC" w:rsidRDefault="00BA0236" w:rsidP="008D7CA9">
      <w:pPr>
        <w:pStyle w:val="ReportText"/>
        <w:numPr>
          <w:ilvl w:val="0"/>
          <w:numId w:val="43"/>
        </w:numPr>
        <w:spacing w:before="120" w:after="120"/>
        <w:ind w:left="567" w:hanging="425"/>
      </w:pPr>
      <w:r w:rsidRPr="007C28CC">
        <w:t xml:space="preserve">Wariant „1” </w:t>
      </w:r>
    </w:p>
    <w:p w14:paraId="55AF283C" w14:textId="77777777" w:rsidR="00BA0236" w:rsidRPr="007C28CC" w:rsidRDefault="00BA0236" w:rsidP="008D7CA9">
      <w:pPr>
        <w:pStyle w:val="ReportText"/>
        <w:numPr>
          <w:ilvl w:val="2"/>
          <w:numId w:val="21"/>
        </w:numPr>
        <w:spacing w:before="120" w:after="120"/>
        <w:ind w:left="1134" w:hanging="283"/>
      </w:pPr>
      <w:r w:rsidRPr="007C28CC">
        <w:t>mobilne przegrody przeciwpowodziowe (belki zaporowe - szandory);</w:t>
      </w:r>
    </w:p>
    <w:p w14:paraId="3BA758BE" w14:textId="77777777" w:rsidR="00BA0236" w:rsidRPr="007C28CC" w:rsidRDefault="00BA0236" w:rsidP="008D7CA9">
      <w:pPr>
        <w:pStyle w:val="ReportText"/>
        <w:numPr>
          <w:ilvl w:val="2"/>
          <w:numId w:val="21"/>
        </w:numPr>
        <w:spacing w:before="120" w:after="120"/>
        <w:ind w:left="1134" w:hanging="283"/>
      </w:pPr>
      <w:r w:rsidRPr="007C28CC">
        <w:t>budowa 500 m drogi (utwardzenie fragmentu ul. Kutnowskiej);</w:t>
      </w:r>
    </w:p>
    <w:p w14:paraId="1E044DC9" w14:textId="77777777" w:rsidR="00BA0236" w:rsidRPr="007C28CC" w:rsidRDefault="00BA0236" w:rsidP="007C28CC">
      <w:pPr>
        <w:pStyle w:val="ReportText"/>
        <w:spacing w:before="120"/>
      </w:pPr>
      <w:r w:rsidRPr="007C28CC">
        <w:t>Nie przewiduje się konfliktów społecznych związanych z działaniem dotyczącym mobilnych systemów ochrony przeciwpowodziowej. Ewentualne przygotowanie terenu pod te obiekty (w tym budowa drogi) będzie stanowiło krótkotrwałą uciążliwość, po zakończeniu przygotowań elementy przegród mobilnych będą niemal niewidoczne i nie będą stanowiły przeszkód komunikacyjnych, jak również nie będą zakłócały krajobrazu, a wybudowana droga będzie stanowiła wygodny dojazd do przyległych posesji. Teren, na którym planuje się budowę muru nie jest zajęty pod działalność gospodarczą, związaną z zabudową stałą. Nie przewiduje się wywłaszczeń gruntu. W ramach działań w wariancie I nie przewiduje się przesiedleń ludności.</w:t>
      </w:r>
    </w:p>
    <w:p w14:paraId="2628ECEA" w14:textId="77777777" w:rsidR="00BA0236" w:rsidRPr="007C28CC" w:rsidRDefault="00BA0236" w:rsidP="008D7CA9">
      <w:pPr>
        <w:pStyle w:val="ReportText"/>
        <w:numPr>
          <w:ilvl w:val="0"/>
          <w:numId w:val="43"/>
        </w:numPr>
        <w:spacing w:before="120" w:after="120"/>
        <w:ind w:left="567" w:hanging="425"/>
      </w:pPr>
      <w:r w:rsidRPr="007C28CC">
        <w:t xml:space="preserve">Wariant „2” </w:t>
      </w:r>
    </w:p>
    <w:p w14:paraId="0B159F22" w14:textId="77777777" w:rsidR="00BA0236" w:rsidRPr="007C28CC" w:rsidRDefault="00BA0236" w:rsidP="008D7CA9">
      <w:pPr>
        <w:pStyle w:val="ReportText"/>
        <w:numPr>
          <w:ilvl w:val="2"/>
          <w:numId w:val="21"/>
        </w:numPr>
        <w:spacing w:before="120" w:after="120"/>
        <w:ind w:left="1134" w:hanging="283"/>
      </w:pPr>
      <w:r w:rsidRPr="007C28CC">
        <w:t>przebudowa nabrzeża;</w:t>
      </w:r>
    </w:p>
    <w:p w14:paraId="578691D3" w14:textId="77777777" w:rsidR="00BA0236" w:rsidRPr="007C28CC" w:rsidRDefault="00BA0236" w:rsidP="00AA0506">
      <w:pPr>
        <w:spacing w:afterLines="160" w:after="384"/>
        <w:jc w:val="both"/>
        <w:rPr>
          <w:b/>
          <w:bCs/>
          <w:color w:val="28AAE1"/>
          <w:sz w:val="28"/>
          <w:szCs w:val="18"/>
          <w:lang w:eastAsia="en-US"/>
        </w:rPr>
      </w:pPr>
      <w:r w:rsidRPr="007C28CC">
        <w:rPr>
          <w:bCs/>
        </w:rPr>
        <w:t xml:space="preserve">Wariant 2 różni się od wariantu 1 przebudową nabrzeża zamiast mobilnych systemów ochrony, wzdłuż ul. Kutnowskiej. Nabrzeże jest planowane na terenie niezabudowanym, wzdłuż podmokłego terenu, porośniętego roślinnością wodną, trzcinami. Może ono stanowić ewentualne zakłócenie krajobrazu dla mieszkańców zabudowań w sąsiedztwie co może spotkać się z negatywnym odbiorem społecznym. Teren nie jest zabudowany, nie jest tam prowadzona żadna działalność. Nie będzie konieczności przesiedleń, wyburzeń ewentualne wywłaszczenia nie obejmują cennych terenów. </w:t>
      </w:r>
      <w:r w:rsidRPr="007C28CC">
        <w:rPr>
          <w:bCs/>
        </w:rPr>
        <w:br w:type="page"/>
      </w:r>
    </w:p>
    <w:p w14:paraId="60952783" w14:textId="77777777" w:rsidR="00BA0236" w:rsidRPr="007C28CC" w:rsidRDefault="00BA0236" w:rsidP="00E8074C">
      <w:pPr>
        <w:pStyle w:val="ReportLevel3"/>
        <w:numPr>
          <w:ilvl w:val="2"/>
          <w:numId w:val="9"/>
        </w:numPr>
      </w:pPr>
      <w:r w:rsidRPr="007C28CC">
        <w:rPr>
          <w:bCs/>
        </w:rPr>
        <w:lastRenderedPageBreak/>
        <w:t>Obszar problemowy IOP_2 Mierzeja Helska</w:t>
      </w:r>
    </w:p>
    <w:p w14:paraId="5519C0F4" w14:textId="77777777" w:rsidR="00BA0236" w:rsidRPr="007C28CC" w:rsidRDefault="00BA0236" w:rsidP="007C28CC">
      <w:pPr>
        <w:pStyle w:val="ReportText"/>
        <w:spacing w:before="120" w:after="120"/>
      </w:pPr>
      <w:r w:rsidRPr="007C28CC">
        <w:t xml:space="preserve">Dla obszaru problemowego IOP_2 Mierzeja Helska działania obejmują: </w:t>
      </w:r>
    </w:p>
    <w:p w14:paraId="580C2DDA" w14:textId="77777777" w:rsidR="00BA0236" w:rsidRPr="007C28CC" w:rsidRDefault="00BA0236" w:rsidP="008D7CA9">
      <w:pPr>
        <w:pStyle w:val="ReportText"/>
        <w:numPr>
          <w:ilvl w:val="0"/>
          <w:numId w:val="43"/>
        </w:numPr>
        <w:spacing w:before="120" w:after="120"/>
        <w:ind w:left="567" w:hanging="425"/>
      </w:pPr>
      <w:r w:rsidRPr="007C28CC">
        <w:t xml:space="preserve">Wariant „1” </w:t>
      </w:r>
    </w:p>
    <w:p w14:paraId="6647DC89" w14:textId="77777777" w:rsidR="00BA0236" w:rsidRPr="007C28CC" w:rsidRDefault="00BA0236" w:rsidP="008D7CA9">
      <w:pPr>
        <w:pStyle w:val="ReportText"/>
        <w:numPr>
          <w:ilvl w:val="2"/>
          <w:numId w:val="21"/>
        </w:numPr>
        <w:spacing w:before="120" w:after="120"/>
        <w:ind w:left="1134" w:hanging="283"/>
      </w:pPr>
      <w:r w:rsidRPr="007C28CC">
        <w:t>przedłużenie wału wraz z wyniesieniem rzędnej drogi DW216 (m. Chałupy);</w:t>
      </w:r>
    </w:p>
    <w:p w14:paraId="6DE45387" w14:textId="77777777" w:rsidR="00BA0236" w:rsidRPr="007C28CC" w:rsidRDefault="00BA0236" w:rsidP="008D7CA9">
      <w:pPr>
        <w:pStyle w:val="ReportText"/>
        <w:numPr>
          <w:ilvl w:val="2"/>
          <w:numId w:val="21"/>
        </w:numPr>
        <w:spacing w:before="120" w:after="120"/>
        <w:ind w:left="1134" w:hanging="283"/>
      </w:pPr>
      <w:r w:rsidRPr="007C28CC">
        <w:t>budowa bulwarów wraz z murkiem ochronnym (m. Kuźnica);</w:t>
      </w:r>
    </w:p>
    <w:p w14:paraId="6B654120" w14:textId="77777777" w:rsidR="00BA0236" w:rsidRPr="007C28CC" w:rsidRDefault="00BA0236" w:rsidP="008D7CA9">
      <w:pPr>
        <w:pStyle w:val="ReportText"/>
        <w:numPr>
          <w:ilvl w:val="2"/>
          <w:numId w:val="21"/>
        </w:numPr>
        <w:spacing w:before="120" w:after="120"/>
        <w:ind w:left="1134" w:hanging="283"/>
      </w:pPr>
      <w:r w:rsidRPr="007C28CC">
        <w:t>budowa umocnień brzegowych (m. Jastarnia);</w:t>
      </w:r>
    </w:p>
    <w:p w14:paraId="268055CC" w14:textId="77777777" w:rsidR="00BA0236" w:rsidRPr="007C28CC" w:rsidRDefault="00BA0236" w:rsidP="008D7CA9">
      <w:pPr>
        <w:pStyle w:val="ReportText"/>
        <w:numPr>
          <w:ilvl w:val="2"/>
          <w:numId w:val="21"/>
        </w:numPr>
        <w:spacing w:before="120" w:after="120"/>
        <w:ind w:left="1134" w:hanging="283"/>
      </w:pPr>
      <w:r w:rsidRPr="007C28CC">
        <w:t>budowa wału wydmowego (m. Jastarnia);</w:t>
      </w:r>
    </w:p>
    <w:p w14:paraId="24683F9D" w14:textId="77777777" w:rsidR="00BA0236" w:rsidRPr="007C28CC" w:rsidRDefault="00BA0236" w:rsidP="008D7CA9">
      <w:pPr>
        <w:pStyle w:val="ReportText"/>
        <w:numPr>
          <w:ilvl w:val="2"/>
          <w:numId w:val="21"/>
        </w:numPr>
        <w:spacing w:before="120" w:after="120"/>
        <w:ind w:left="1134" w:hanging="283"/>
      </w:pPr>
      <w:r w:rsidRPr="007C28CC">
        <w:t>budowa murku oporowego (m. Jastarnia);</w:t>
      </w:r>
    </w:p>
    <w:p w14:paraId="4E5D2EF8" w14:textId="77777777" w:rsidR="00BA0236" w:rsidRPr="007C28CC" w:rsidRDefault="00BA0236" w:rsidP="008D7CA9">
      <w:pPr>
        <w:pStyle w:val="ReportText"/>
        <w:numPr>
          <w:ilvl w:val="2"/>
          <w:numId w:val="21"/>
        </w:numPr>
        <w:spacing w:before="120" w:after="120"/>
        <w:ind w:left="1134" w:hanging="283"/>
      </w:pPr>
      <w:r w:rsidRPr="007C28CC">
        <w:t>budowa wału przeciwsztormowego (m. Jastarnia);</w:t>
      </w:r>
    </w:p>
    <w:p w14:paraId="67DFBE20" w14:textId="77777777" w:rsidR="00BA0236" w:rsidRPr="007C28CC" w:rsidRDefault="00BA0236" w:rsidP="008D7CA9">
      <w:pPr>
        <w:pStyle w:val="ReportText"/>
        <w:numPr>
          <w:ilvl w:val="2"/>
          <w:numId w:val="21"/>
        </w:numPr>
        <w:spacing w:before="120" w:after="120"/>
        <w:ind w:left="1134" w:hanging="283"/>
      </w:pPr>
      <w:r w:rsidRPr="007C28CC">
        <w:t>mobilne przegrody przeciwpowodziowe (belki zaporowe - szandory).</w:t>
      </w:r>
    </w:p>
    <w:p w14:paraId="0D8DD042" w14:textId="77777777" w:rsidR="00BA0236" w:rsidRPr="007C28CC" w:rsidRDefault="00BA0236" w:rsidP="007C28CC">
      <w:pPr>
        <w:pStyle w:val="ReportText"/>
        <w:spacing w:before="120" w:after="120"/>
      </w:pPr>
      <w:r w:rsidRPr="007C28CC">
        <w:t>W przypadku działań na terenie Chałup planuje się w Wariancie 1 przedłużenie istniejącego wału wraz z podniesieniem rzędnej drogi DW216. Nie przewiduje się, aby powyższe działania miały potencjał konfliktogenny. W przypadku właściwego przeprowadzenia prac (wykonanie tymczasowego objazdu, prowadzenie prac poza sezonem urlopowym itd.) realizacja wariantu będzie miała charakter tymczasowej uciążliwości dla mieszkańców. W przypadku tej inwestycji nie przewiduje się wyburzania budynków ani przesiedleń ludności.</w:t>
      </w:r>
    </w:p>
    <w:p w14:paraId="147B2668" w14:textId="77777777" w:rsidR="00BA0236" w:rsidRPr="007C28CC" w:rsidRDefault="00BA0236" w:rsidP="007C28CC">
      <w:pPr>
        <w:pStyle w:val="ReportText"/>
        <w:spacing w:before="120" w:after="120"/>
      </w:pPr>
      <w:r w:rsidRPr="007C28CC">
        <w:t>Budowa bulwarów wraz z murkiem ochronnym w miejscowości Kuźnica może spotkać się z negatywnym odbiorem społecznym. Realizacja tego zadania będzie wymagała przekształcenia części nabrzeża co może nie spodobać się części społeczności lokalnej (m.in. zostanie utrudniony dostęp do wody co w niektórych przypadkach może świadczyć o atutach danej nieruchomości jako miejsca wypoczynku). Prace konieczne do wykonania będą stanowiły niewątpliwą uciążliwość dla mieszkańców i prognozuje się, że nie da się przeprowadzić ich wyłącznie poza okresem wakacyjno-urlopowym co może mieć wpływ na obniżenie zainteresowania turystów przedmiotową miejscowością.</w:t>
      </w:r>
      <w:r w:rsidRPr="007C28CC">
        <w:br/>
        <w:t>W przypadku tej inwestycji nie przewiduje się wyburzania budynków ani przesiedleń ludności.</w:t>
      </w:r>
    </w:p>
    <w:p w14:paraId="537D209F" w14:textId="77777777" w:rsidR="00BA0236" w:rsidRPr="007C28CC" w:rsidRDefault="00BA0236" w:rsidP="007C28CC">
      <w:pPr>
        <w:pStyle w:val="ReportText"/>
        <w:spacing w:before="120" w:after="120"/>
      </w:pPr>
      <w:r w:rsidRPr="007C28CC">
        <w:t>Realizacja wariantu „1” ochrony przeciwpowodziowej miejscowości Jastarnia także może spotkać się z negatywnym odbiorem społecznym. Realizacja tego zadania będzie wymagała przekształcenia części nabrzeża poprzez budowę wałów i umocnień brzegowych co może nie spodobać się części społeczności lokalnej (m.in. tak jak</w:t>
      </w:r>
      <w:r>
        <w:t xml:space="preserve"> </w:t>
      </w:r>
      <w:r w:rsidRPr="007C28CC">
        <w:t>w przypadku m. Kuźnica, zostanie utrudniony dostęp do wody co w niektórych przypadkach może świadczyć o atutach danej nieruchomości jako miejsca wypoczynku). Prace konieczne do wykonania będą stanowiły niewątpliwą uciążliwość dla mieszkańców jednak w przypadku etapowego prowadzenia prac może się udać zrealizować inwestycję poza sezonem urlopowym. W przypadku tej inwestycji nie przewiduje się wyburzania budynków ani przesiedleń ludności.</w:t>
      </w:r>
    </w:p>
    <w:p w14:paraId="0259607D" w14:textId="77777777" w:rsidR="00BA0236" w:rsidRPr="007C28CC" w:rsidRDefault="00BA0236" w:rsidP="008D7CA9">
      <w:pPr>
        <w:pStyle w:val="ReportText"/>
        <w:numPr>
          <w:ilvl w:val="0"/>
          <w:numId w:val="43"/>
        </w:numPr>
        <w:spacing w:before="120" w:after="120"/>
        <w:ind w:left="567" w:hanging="425"/>
      </w:pPr>
      <w:r w:rsidRPr="007C28CC">
        <w:t xml:space="preserve">Wariant „2”  </w:t>
      </w:r>
    </w:p>
    <w:p w14:paraId="39D73E07" w14:textId="77777777" w:rsidR="00BA0236" w:rsidRPr="007C28CC" w:rsidRDefault="00BA0236" w:rsidP="008D7CA9">
      <w:pPr>
        <w:pStyle w:val="ReportText"/>
        <w:numPr>
          <w:ilvl w:val="2"/>
          <w:numId w:val="21"/>
        </w:numPr>
        <w:spacing w:before="120" w:after="120"/>
        <w:ind w:left="1134" w:hanging="283"/>
      </w:pPr>
      <w:r w:rsidRPr="007C28CC">
        <w:t>mobilne przegrody przeciwpowodziowe (belki zaporowe - szandory) - m. Chałupy;</w:t>
      </w:r>
    </w:p>
    <w:p w14:paraId="1173693E" w14:textId="77777777" w:rsidR="00BA0236" w:rsidRPr="007C28CC" w:rsidRDefault="00BA0236" w:rsidP="008D7CA9">
      <w:pPr>
        <w:pStyle w:val="ReportText"/>
        <w:numPr>
          <w:ilvl w:val="2"/>
          <w:numId w:val="21"/>
        </w:numPr>
        <w:spacing w:before="120" w:after="120"/>
        <w:ind w:left="1134" w:hanging="283"/>
      </w:pPr>
      <w:r w:rsidRPr="007C28CC">
        <w:t>budowa wału przeciwsztormowego (m. Kuźnica);</w:t>
      </w:r>
    </w:p>
    <w:p w14:paraId="139919B6" w14:textId="77777777" w:rsidR="00BA0236" w:rsidRPr="007C28CC" w:rsidRDefault="00BA0236" w:rsidP="008D7CA9">
      <w:pPr>
        <w:pStyle w:val="ReportText"/>
        <w:numPr>
          <w:ilvl w:val="2"/>
          <w:numId w:val="21"/>
        </w:numPr>
        <w:spacing w:before="120" w:after="120"/>
        <w:ind w:left="1134" w:hanging="283"/>
      </w:pPr>
      <w:r w:rsidRPr="007C28CC">
        <w:t>budowa umocnień brzegowych (m. Jastarnia);</w:t>
      </w:r>
    </w:p>
    <w:p w14:paraId="737C18B5" w14:textId="77777777" w:rsidR="00BA0236" w:rsidRPr="007C28CC" w:rsidRDefault="00BA0236" w:rsidP="008D7CA9">
      <w:pPr>
        <w:pStyle w:val="ReportText"/>
        <w:numPr>
          <w:ilvl w:val="2"/>
          <w:numId w:val="21"/>
        </w:numPr>
        <w:spacing w:before="120" w:after="120"/>
        <w:ind w:left="1134" w:hanging="283"/>
      </w:pPr>
      <w:r w:rsidRPr="007C28CC">
        <w:lastRenderedPageBreak/>
        <w:t>budowa wału wydmowego (m. Jastarnia);</w:t>
      </w:r>
    </w:p>
    <w:p w14:paraId="7ACCBD6E" w14:textId="77777777" w:rsidR="00BA0236" w:rsidRPr="007C28CC" w:rsidRDefault="00BA0236" w:rsidP="008D7CA9">
      <w:pPr>
        <w:pStyle w:val="ReportText"/>
        <w:numPr>
          <w:ilvl w:val="2"/>
          <w:numId w:val="21"/>
        </w:numPr>
        <w:spacing w:before="120" w:after="120"/>
        <w:ind w:left="1134" w:hanging="283"/>
      </w:pPr>
      <w:r w:rsidRPr="007C28CC">
        <w:t>budowa murku oporowego (m. Jastarnia);</w:t>
      </w:r>
    </w:p>
    <w:p w14:paraId="1B8C1189" w14:textId="77777777" w:rsidR="00BA0236" w:rsidRPr="007C28CC" w:rsidRDefault="00BA0236" w:rsidP="008D7CA9">
      <w:pPr>
        <w:pStyle w:val="ReportText"/>
        <w:numPr>
          <w:ilvl w:val="2"/>
          <w:numId w:val="21"/>
        </w:numPr>
        <w:spacing w:before="120" w:after="120"/>
        <w:ind w:left="1134" w:hanging="283"/>
      </w:pPr>
      <w:r w:rsidRPr="007C28CC">
        <w:t>budowa wału przeciwsztormowego (m. Jastarnia);</w:t>
      </w:r>
    </w:p>
    <w:p w14:paraId="67896FE3" w14:textId="77777777" w:rsidR="00BA0236" w:rsidRPr="007C28CC" w:rsidRDefault="00BA0236" w:rsidP="008D7CA9">
      <w:pPr>
        <w:pStyle w:val="ReportText"/>
        <w:numPr>
          <w:ilvl w:val="2"/>
          <w:numId w:val="21"/>
        </w:numPr>
        <w:spacing w:before="120" w:after="120"/>
        <w:ind w:left="1134" w:hanging="283"/>
      </w:pPr>
      <w:r w:rsidRPr="007C28CC">
        <w:t>mobilne przegrody przeciwpowodziowe (belki zaporowe - szandory).</w:t>
      </w:r>
    </w:p>
    <w:p w14:paraId="1E963D5F" w14:textId="77777777" w:rsidR="00BA0236" w:rsidRPr="007C28CC" w:rsidRDefault="00BA0236" w:rsidP="007C28CC">
      <w:pPr>
        <w:pStyle w:val="ReportText"/>
        <w:spacing w:before="120" w:after="120"/>
      </w:pPr>
      <w:r w:rsidRPr="007C28CC">
        <w:t>W przypadku działań na terenie Chałup planuje się w Wariancie 2 ochronę przeciwpowodziową miejscowości przy pomocy mobilnych przegród przeciwpowodziowych. Ewentualne przygotowanie terenu pod te obiekty będzie stanowiło krótkotrwałą uciążliwość, po zakończeniu przygotowań elementy przegród mobilnych będą niemal niewidoczne i nie będą stanowiły przeszkód komunikacyjnych, jak również nie będą zakłócały krajobrazu. W przypadku zagrożenia powodziowego nastąpi konieczność częściowego rozłożenia przegród tak aby zachować możliwość przejazdu drogą DW216. Gdy poziom wód będzie wymagał ustawienia przegród przeciwpowodziowych w pełnym zakresie nastąpi przegrodzenie drogi i nie będzie możliwości przejazdu co może rodzić sytuacje konfliktowe.</w:t>
      </w:r>
    </w:p>
    <w:p w14:paraId="04BD1A31" w14:textId="77777777" w:rsidR="00BA0236" w:rsidRPr="007C28CC" w:rsidRDefault="00BA0236" w:rsidP="007C28CC">
      <w:pPr>
        <w:pStyle w:val="ReportText"/>
        <w:spacing w:before="120" w:after="120"/>
      </w:pPr>
      <w:r w:rsidRPr="007C28CC">
        <w:t>Budowa wału przeciwsztormowego w miejscowości Kuźnica może spotkać się z negatywnym odbiorem społecznym. Realizacja tego zadania będzie wymagała przekształcenia części terenu położonego w bezpośrednim sąsiedztwie brzegu co może nie spodobać się części społeczności lokalnej (m.in. zostanie utrudniony dostęp do wody co w niektórych przypadkach może świadczyć o atutach danej nieruchomości jako miejsca wypoczynku). Prace konieczne do wykonania będą stanowiły niewątpliwą uciążliwość dla mieszkańców i prognozuje się, że nie da się przeprowadzić ich wyłącznie poza okresem wakacyjno-urlopowym co może mieć wpływ na obniżenie zainteresowania turystów przedmiotową miejscowością. W przypadku tej inwestycji nie przewiduje się wyburzania budynków ani przesiedleń ludności.</w:t>
      </w:r>
    </w:p>
    <w:p w14:paraId="65A27183" w14:textId="77777777" w:rsidR="00BA0236" w:rsidRPr="007C28CC" w:rsidRDefault="00BA0236" w:rsidP="007C28CC">
      <w:pPr>
        <w:pStyle w:val="ReportText"/>
        <w:spacing w:before="120" w:after="120"/>
      </w:pPr>
      <w:r w:rsidRPr="007C28CC">
        <w:t>Realizacja wariantu „2” ochrony przeciwpowodziowej miejscowości Jastarnia także może spotkać się z negatywnym odbiorem społecznym. Realizacja tego zadania będzie wymagała przekształcenia części nabrzeża poprzez budowę wałów i umocnień brzegowych co może nie spodobać się części społeczności lokalnej (m.in. tak jak</w:t>
      </w:r>
      <w:r>
        <w:t xml:space="preserve"> </w:t>
      </w:r>
      <w:r w:rsidRPr="007C28CC">
        <w:t>w przypadku m. Kuźnica, zostanie utrudniony dostęp do wody co w niektórych przypadkach może świadczyć o atutach danej nieruchomości jako miejsca wypoczynku). Prace konieczne do wykonania będą stanowiły niewątpliwą uciążliwość dla mieszkańców jednak w przypadku etapowego prowadzenia prac może się udać zrealizować inwestycję poza sezonem urlopowym. W przypadku tej inwestycji nie przewiduje się wyburzania budynków ani przesiedleń ludności.</w:t>
      </w:r>
    </w:p>
    <w:p w14:paraId="23E992C5" w14:textId="77777777" w:rsidR="00BA0236" w:rsidRPr="007C28CC" w:rsidRDefault="00BA0236" w:rsidP="007C28CC">
      <w:pPr>
        <w:rPr>
          <w:b/>
          <w:bCs/>
          <w:color w:val="28AAE1"/>
          <w:sz w:val="28"/>
          <w:szCs w:val="18"/>
          <w:lang w:eastAsia="en-US"/>
        </w:rPr>
      </w:pPr>
      <w:r w:rsidRPr="007C28CC">
        <w:rPr>
          <w:bCs/>
        </w:rPr>
        <w:br w:type="page"/>
      </w:r>
    </w:p>
    <w:p w14:paraId="52B063C9" w14:textId="77777777" w:rsidR="00BA0236" w:rsidRPr="007C28CC" w:rsidRDefault="00BA0236" w:rsidP="00E8074C">
      <w:pPr>
        <w:pStyle w:val="ReportLevel3"/>
        <w:numPr>
          <w:ilvl w:val="2"/>
          <w:numId w:val="9"/>
        </w:numPr>
      </w:pPr>
      <w:r w:rsidRPr="007C28CC">
        <w:rPr>
          <w:bCs/>
        </w:rPr>
        <w:lastRenderedPageBreak/>
        <w:t>Obszar problemowy IOP_7 Ustka – Ujście Słupi</w:t>
      </w:r>
    </w:p>
    <w:p w14:paraId="53F0F627" w14:textId="77777777" w:rsidR="00BA0236" w:rsidRPr="007C28CC" w:rsidRDefault="00BA0236" w:rsidP="007C28CC">
      <w:pPr>
        <w:pStyle w:val="ReportText"/>
        <w:spacing w:before="120" w:after="120"/>
      </w:pPr>
      <w:r w:rsidRPr="007C28CC">
        <w:t xml:space="preserve">Dla obszaru problemowego IOP_7 Ustka – Ujście Słupi działania przeciwpowodziowe obejmują: </w:t>
      </w:r>
    </w:p>
    <w:p w14:paraId="5E2011BB" w14:textId="77777777" w:rsidR="00BA0236" w:rsidRPr="007C28CC" w:rsidRDefault="00BA0236" w:rsidP="008D7CA9">
      <w:pPr>
        <w:pStyle w:val="ReportText"/>
        <w:numPr>
          <w:ilvl w:val="0"/>
          <w:numId w:val="37"/>
        </w:numPr>
        <w:spacing w:before="120" w:after="120"/>
        <w:ind w:left="567" w:hanging="425"/>
      </w:pPr>
      <w:r w:rsidRPr="007C28CC">
        <w:t xml:space="preserve">Wariant „1” </w:t>
      </w:r>
    </w:p>
    <w:p w14:paraId="0F550B6D" w14:textId="77777777" w:rsidR="00BA0236" w:rsidRPr="007C28CC" w:rsidRDefault="00BA0236" w:rsidP="008D7CA9">
      <w:pPr>
        <w:pStyle w:val="ReportText"/>
        <w:numPr>
          <w:ilvl w:val="2"/>
          <w:numId w:val="21"/>
        </w:numPr>
        <w:spacing w:before="120" w:after="120"/>
        <w:ind w:left="1134" w:hanging="283"/>
      </w:pPr>
      <w:r w:rsidRPr="007C28CC">
        <w:t>budowa murów oporowych;</w:t>
      </w:r>
    </w:p>
    <w:p w14:paraId="4CA41BEE" w14:textId="77777777" w:rsidR="00BA0236" w:rsidRPr="007C28CC" w:rsidRDefault="00BA0236" w:rsidP="007C28CC">
      <w:pPr>
        <w:pStyle w:val="ReportText"/>
        <w:spacing w:before="120" w:after="120"/>
      </w:pPr>
      <w:r w:rsidRPr="007C28CC">
        <w:t>W wariancie 1 planowana jest budowa dwóch odcinków wałów murów oporowych</w:t>
      </w:r>
      <w:r w:rsidRPr="007C28CC">
        <w:br/>
        <w:t>o długości ok. 850 i 80 m. Pierwszy z nich planowany jest na terenie nieużytków</w:t>
      </w:r>
      <w:r w:rsidRPr="007C28CC">
        <w:br/>
        <w:t>w pobliżu Oddziału Zewnętrznego w Ustce, na terenie porośniętym niską roślinnością krzewiastą, nie jest to teren atrakcyjny pod względem turystycznym, nie znajdują się</w:t>
      </w:r>
      <w:r>
        <w:t xml:space="preserve"> </w:t>
      </w:r>
      <w:r w:rsidRPr="007C28CC">
        <w:t>w bezpośrednim sąsiedztwie zabudowania, nie jest prowadzona działalność</w:t>
      </w:r>
      <w:r>
        <w:t xml:space="preserve"> </w:t>
      </w:r>
      <w:r w:rsidRPr="007C28CC">
        <w:t>związana</w:t>
      </w:r>
      <w:r>
        <w:t xml:space="preserve"> </w:t>
      </w:r>
      <w:r w:rsidRPr="007C28CC">
        <w:t xml:space="preserve">z zabudową stałą. Nie przewiduje się poprzez budowę murów oporowych zakłócania walorów krajobrazowych czy widokowych na tym terenie w związku z tym nie przewiduje się konfliktów społecznych z tym związanych. Budowa muru oporowego będzie wymagała zajęcia terenu, stąd można się spodziewać utrudnień od właścicieli działek, na których jest on planowany. Nie przewiduje się wyburzeń ani przesiedleń ludności. </w:t>
      </w:r>
    </w:p>
    <w:p w14:paraId="4ED0504D" w14:textId="77777777" w:rsidR="00BA0236" w:rsidRPr="007C28CC" w:rsidRDefault="00BA0236" w:rsidP="007C28CC">
      <w:pPr>
        <w:pStyle w:val="ReportText"/>
        <w:spacing w:before="120" w:after="120"/>
      </w:pPr>
      <w:r w:rsidRPr="007C28CC">
        <w:t xml:space="preserve">Drugi z odcinków muru mieści się na tyłach stacji kolejowej PKP Ustka. Długość muru to ok. 80 m. W przypadku realizacji tej części proponowanego wariantu nie należy się spodziewać sprzeciwów ze strony PKP. Nie będzie konieczności wyburzeń budynków ani przesiedleń związanych z realizacją opisywanej inwestycji.  </w:t>
      </w:r>
    </w:p>
    <w:p w14:paraId="28A587D2" w14:textId="77777777" w:rsidR="00BA0236" w:rsidRPr="007C28CC" w:rsidRDefault="00BA0236" w:rsidP="008D7CA9">
      <w:pPr>
        <w:pStyle w:val="ReportText"/>
        <w:numPr>
          <w:ilvl w:val="0"/>
          <w:numId w:val="37"/>
        </w:numPr>
        <w:spacing w:before="120" w:after="120"/>
        <w:ind w:left="567" w:hanging="425"/>
      </w:pPr>
      <w:r w:rsidRPr="007C28CC">
        <w:t xml:space="preserve">Wariant „2” </w:t>
      </w:r>
    </w:p>
    <w:p w14:paraId="715841B4" w14:textId="77777777" w:rsidR="00BA0236" w:rsidRPr="007C28CC" w:rsidRDefault="00BA0236" w:rsidP="008D7CA9">
      <w:pPr>
        <w:pStyle w:val="ReportText"/>
        <w:numPr>
          <w:ilvl w:val="2"/>
          <w:numId w:val="21"/>
        </w:numPr>
        <w:spacing w:before="120" w:after="120"/>
        <w:ind w:left="1134" w:hanging="283"/>
      </w:pPr>
      <w:r w:rsidRPr="007C28CC">
        <w:t>budowa muru oporowego;</w:t>
      </w:r>
    </w:p>
    <w:p w14:paraId="61DD7BFE" w14:textId="77777777" w:rsidR="00BA0236" w:rsidRPr="007C28CC" w:rsidRDefault="00BA0236" w:rsidP="008D7CA9">
      <w:pPr>
        <w:pStyle w:val="ReportText"/>
        <w:numPr>
          <w:ilvl w:val="2"/>
          <w:numId w:val="21"/>
        </w:numPr>
        <w:spacing w:before="120" w:after="120"/>
        <w:ind w:left="1134" w:hanging="283"/>
      </w:pPr>
      <w:r w:rsidRPr="007C28CC">
        <w:t>budowa wału przeciwpowodziowego;</w:t>
      </w:r>
    </w:p>
    <w:p w14:paraId="08EAA4CE" w14:textId="77777777" w:rsidR="00BA0236" w:rsidRPr="007C28CC" w:rsidRDefault="00BA0236" w:rsidP="007C28CC">
      <w:pPr>
        <w:pStyle w:val="ReportText"/>
        <w:spacing w:before="120" w:after="120"/>
      </w:pPr>
      <w:r w:rsidRPr="007C28CC">
        <w:t xml:space="preserve">Wariant 2 różni się od poprzedniego wariantu tym, że zamiast muru oporowego na lewym brzegu rzeki Słupi planowany jest wał przeciwpowodziowy. Planowany wał położony jest na terenie nieużytków w pobliżu Oddziału Zewnętrznego w Ustce, na terenie porośniętym niską roślinnością krzewiastą. Nie jest to teren atrakcyjny pod względem turystycznym, nie znajdują się w bezpośrednim sąsiedztwie zabudowania, nie jest prowadzona działalność związana z zabudową stałą. Budowa wału spowoduje zakłócenie walorów krajobrazowych czy widokowych na tym terenie, ale w związku z tym, że jest to terenu mało uczęszczany nie przewiduje się konfliktów społecznych z tym związanych. Budowa wału będzie wymagała zajęcia terenu, stąd można się spodziewać utrudnień od właścicieli działek, na których jest on planowany. Nie przewiduje się wyburzeń ani przesiedleń ludności. </w:t>
      </w:r>
    </w:p>
    <w:p w14:paraId="2CC12B09" w14:textId="77777777" w:rsidR="00BA0236" w:rsidRPr="007C28CC" w:rsidRDefault="00BA0236" w:rsidP="007C28CC">
      <w:pPr>
        <w:pStyle w:val="ReportText"/>
        <w:spacing w:before="120" w:after="120"/>
      </w:pPr>
      <w:r w:rsidRPr="007C28CC">
        <w:t xml:space="preserve">Podobnie jak w wariancie „1” na prawym brzegu proponuje się budowę krótkiego odcinka muru, na tyłach stacji kolejowej PKP Ustka. Długość muru to ok. 80 m. Także w tym przypadku nie należy się spodziewać sprzeciwów ze strony PKP. Nie będzie konieczności wyburzeń budynków ani przesiedleń związanych z realizacją opisywanej inwestycji.  </w:t>
      </w:r>
    </w:p>
    <w:p w14:paraId="099CB497" w14:textId="77777777" w:rsidR="00BA0236" w:rsidRPr="007C28CC" w:rsidRDefault="00BA0236" w:rsidP="007C28CC">
      <w:pPr>
        <w:rPr>
          <w:b/>
          <w:bCs/>
          <w:color w:val="28AAE1"/>
          <w:sz w:val="28"/>
          <w:szCs w:val="18"/>
          <w:lang w:eastAsia="en-US"/>
        </w:rPr>
      </w:pPr>
      <w:r w:rsidRPr="007C28CC">
        <w:rPr>
          <w:bCs/>
        </w:rPr>
        <w:br w:type="page"/>
      </w:r>
    </w:p>
    <w:p w14:paraId="5BC8C0CC" w14:textId="77777777" w:rsidR="00BA0236" w:rsidRPr="007C28CC" w:rsidRDefault="00BA0236" w:rsidP="00E8074C">
      <w:pPr>
        <w:pStyle w:val="ReportLevel3"/>
        <w:numPr>
          <w:ilvl w:val="2"/>
          <w:numId w:val="9"/>
        </w:numPr>
      </w:pPr>
      <w:r w:rsidRPr="007C28CC">
        <w:rPr>
          <w:bCs/>
        </w:rPr>
        <w:lastRenderedPageBreak/>
        <w:t>Obszar problemowy IOP_12 Łeba</w:t>
      </w:r>
    </w:p>
    <w:p w14:paraId="3F9937F0" w14:textId="77777777" w:rsidR="00BA0236" w:rsidRPr="007C28CC" w:rsidRDefault="00BA0236" w:rsidP="007C28CC">
      <w:pPr>
        <w:pStyle w:val="ReportText"/>
        <w:spacing w:before="120" w:after="120"/>
      </w:pPr>
      <w:r w:rsidRPr="007C28CC">
        <w:t xml:space="preserve">Dla obszaru problemowego IOP_12 Łeba działania przeciwpowodziowe obejmują: </w:t>
      </w:r>
    </w:p>
    <w:p w14:paraId="7403C641" w14:textId="77777777" w:rsidR="00BA0236" w:rsidRPr="007C28CC" w:rsidRDefault="00BA0236" w:rsidP="008D7CA9">
      <w:pPr>
        <w:pStyle w:val="ReportText"/>
        <w:numPr>
          <w:ilvl w:val="0"/>
          <w:numId w:val="37"/>
        </w:numPr>
        <w:spacing w:before="120" w:after="120"/>
        <w:ind w:left="567" w:hanging="425"/>
      </w:pPr>
      <w:r w:rsidRPr="007C28CC">
        <w:t xml:space="preserve">Wariant „1” </w:t>
      </w:r>
    </w:p>
    <w:p w14:paraId="4FD9A42C" w14:textId="77777777" w:rsidR="00BA0236" w:rsidRPr="007C28CC" w:rsidRDefault="00BA0236" w:rsidP="008D7CA9">
      <w:pPr>
        <w:pStyle w:val="ReportText"/>
        <w:numPr>
          <w:ilvl w:val="2"/>
          <w:numId w:val="21"/>
        </w:numPr>
        <w:spacing w:before="120" w:after="120"/>
        <w:ind w:left="1134" w:hanging="283"/>
      </w:pPr>
      <w:r w:rsidRPr="007C28CC">
        <w:t>mobilne przegrody przeciwpowodziowe (belki zaporowe - szandory).</w:t>
      </w:r>
    </w:p>
    <w:p w14:paraId="6B7C0FDD" w14:textId="77777777" w:rsidR="00BA0236" w:rsidRPr="007C28CC" w:rsidRDefault="00BA0236" w:rsidP="007C28CC">
      <w:pPr>
        <w:pStyle w:val="ReportText"/>
        <w:spacing w:before="120" w:after="120"/>
      </w:pPr>
      <w:r w:rsidRPr="007C28CC">
        <w:t>W wariancie 1 planowana jest realizacja ochrony przeciwpowodziowej za pomocą mobilnych systemów przeciwpowodziowych wzdłuż ul. Turystycznej. Nie przewiduje się konfliktów społecznych związanych z tym działaniem. Ewentualne przygotowanie terenu pod te obiekty będzie stanowiło krótkotrwałą uciążliwość, po zakończeniu przygotowań elementy przegród mobilnych będą niemal niewidoczne i nie będą stanowiły przeszkód komunikacyjnych, jak również nie będą zakłócały krajobrazu.</w:t>
      </w:r>
    </w:p>
    <w:p w14:paraId="11796FFF" w14:textId="77777777" w:rsidR="00BA0236" w:rsidRPr="007C28CC" w:rsidRDefault="00BA0236" w:rsidP="008D7CA9">
      <w:pPr>
        <w:pStyle w:val="ReportText"/>
        <w:numPr>
          <w:ilvl w:val="0"/>
          <w:numId w:val="37"/>
        </w:numPr>
        <w:spacing w:before="120" w:after="120"/>
        <w:ind w:left="567" w:hanging="425"/>
      </w:pPr>
      <w:r w:rsidRPr="007C28CC">
        <w:t xml:space="preserve">Wariant „2” </w:t>
      </w:r>
    </w:p>
    <w:p w14:paraId="7ACA53E3" w14:textId="77777777" w:rsidR="00BA0236" w:rsidRPr="007C28CC" w:rsidRDefault="00BA0236" w:rsidP="008D7CA9">
      <w:pPr>
        <w:pStyle w:val="ReportText"/>
        <w:numPr>
          <w:ilvl w:val="2"/>
          <w:numId w:val="21"/>
        </w:numPr>
        <w:spacing w:before="120" w:after="120"/>
        <w:ind w:left="1134" w:hanging="283"/>
      </w:pPr>
      <w:r w:rsidRPr="007C28CC">
        <w:t>budowa muru oporowego;</w:t>
      </w:r>
    </w:p>
    <w:p w14:paraId="3F012BE4" w14:textId="77777777" w:rsidR="00BA0236" w:rsidRPr="007C28CC" w:rsidRDefault="00BA0236" w:rsidP="007C28CC">
      <w:pPr>
        <w:pStyle w:val="ReportText"/>
        <w:spacing w:before="120" w:after="120"/>
      </w:pPr>
      <w:r w:rsidRPr="007C28CC">
        <w:t>W wariancie „2” zaproponowano budowę muru oporowego na lewym brzegu rzeki Łeba. Przedmiotowa inwestycja może potencjalnie powodować konflikty społeczne, ponieważ jej realizacja wymagać będzie wywłaszczeń, wyburzeń nieruchomości oraz zmiany zagospodarowania części działek (konieczność likwidacji części nabrzeża portowego). Można spodziewać się utrudnień ze strony właścicieli działek, na których planowana jest inwestycja.</w:t>
      </w:r>
    </w:p>
    <w:p w14:paraId="2AFDB08E" w14:textId="77777777" w:rsidR="00BA0236" w:rsidRPr="007C28CC" w:rsidRDefault="00BA0236" w:rsidP="00E8074C">
      <w:pPr>
        <w:pStyle w:val="ReportLevel3"/>
        <w:numPr>
          <w:ilvl w:val="2"/>
          <w:numId w:val="9"/>
        </w:numPr>
      </w:pPr>
      <w:r w:rsidRPr="007C28CC">
        <w:rPr>
          <w:bCs/>
        </w:rPr>
        <w:t>Obszar problemowy MR_1 Żuławy Wiślane</w:t>
      </w:r>
    </w:p>
    <w:p w14:paraId="616B128C" w14:textId="77777777" w:rsidR="00BA0236" w:rsidRPr="007C28CC" w:rsidRDefault="00BA0236" w:rsidP="007C28CC">
      <w:pPr>
        <w:pStyle w:val="ReportText"/>
        <w:spacing w:before="120" w:after="120"/>
      </w:pPr>
      <w:r w:rsidRPr="007C28CC">
        <w:t xml:space="preserve">Dla obszaru problemowego MR_1 Żuławy Wiślane działania przeciwpowodziowe obejmują: </w:t>
      </w:r>
    </w:p>
    <w:p w14:paraId="63B37254" w14:textId="77777777" w:rsidR="00BA0236" w:rsidRPr="007C28CC" w:rsidRDefault="00BA0236" w:rsidP="008D7CA9">
      <w:pPr>
        <w:pStyle w:val="ReportText"/>
        <w:numPr>
          <w:ilvl w:val="0"/>
          <w:numId w:val="37"/>
        </w:numPr>
        <w:spacing w:before="120" w:after="120"/>
        <w:ind w:left="567" w:hanging="425"/>
      </w:pPr>
      <w:r w:rsidRPr="007C28CC">
        <w:t xml:space="preserve">Wariant „1” </w:t>
      </w:r>
    </w:p>
    <w:p w14:paraId="7635E8D0" w14:textId="77777777" w:rsidR="00BA0236" w:rsidRPr="007C28CC" w:rsidRDefault="00BA0236" w:rsidP="008D7CA9">
      <w:pPr>
        <w:pStyle w:val="ReportText"/>
        <w:numPr>
          <w:ilvl w:val="2"/>
          <w:numId w:val="21"/>
        </w:numPr>
        <w:spacing w:before="120" w:after="120"/>
        <w:ind w:left="1134" w:hanging="283"/>
      </w:pPr>
      <w:r w:rsidRPr="007C28CC">
        <w:t>mobilne przegrody przeciwpowodziowe (belki zaporowe - szandory).</w:t>
      </w:r>
    </w:p>
    <w:p w14:paraId="0D316DC6" w14:textId="77777777" w:rsidR="00BA0236" w:rsidRPr="007C28CC" w:rsidRDefault="00BA0236" w:rsidP="007C28CC">
      <w:pPr>
        <w:pStyle w:val="ReportText"/>
        <w:spacing w:before="120" w:after="120"/>
      </w:pPr>
      <w:r w:rsidRPr="007C28CC">
        <w:t>W wariancie 1 planowana jest realizacja ochrony przeciwpowodziowej za pomocą mobilnych systemów przeciwpowodziowych wzdłuż ul. Radomskiej (1250 m)</w:t>
      </w:r>
      <w:r w:rsidRPr="007C28CC">
        <w:br/>
        <w:t>i ul. Stawidłowej (150 m). Nie przewiduje się konfliktów społecznych związanych z tym działaniem. Ewentualne przygotowanie terenu pod te obiekty będzie stanowiło krótkotrwałą uciążliwość, po zakończeniu przygotowań elementy przegród mobilnych będą niemal niewidoczne i nie będą stanowiły przeszkód komunikacyjnych, jak również nie będą zakłócały krajobrazu.</w:t>
      </w:r>
    </w:p>
    <w:p w14:paraId="3C4D024C" w14:textId="77777777" w:rsidR="00BA0236" w:rsidRPr="007C28CC" w:rsidRDefault="00BA0236" w:rsidP="008D7CA9">
      <w:pPr>
        <w:pStyle w:val="ReportText"/>
        <w:numPr>
          <w:ilvl w:val="0"/>
          <w:numId w:val="37"/>
        </w:numPr>
        <w:spacing w:before="120" w:after="120"/>
        <w:ind w:left="567" w:hanging="425"/>
      </w:pPr>
      <w:r w:rsidRPr="007C28CC">
        <w:t xml:space="preserve">Wariant „2” </w:t>
      </w:r>
    </w:p>
    <w:p w14:paraId="715DEE61" w14:textId="77777777" w:rsidR="00BA0236" w:rsidRPr="007C28CC" w:rsidRDefault="00BA0236" w:rsidP="008D7CA9">
      <w:pPr>
        <w:pStyle w:val="ReportText"/>
        <w:numPr>
          <w:ilvl w:val="2"/>
          <w:numId w:val="21"/>
        </w:numPr>
        <w:spacing w:before="120" w:after="120"/>
        <w:ind w:left="1134" w:hanging="283"/>
      </w:pPr>
      <w:r w:rsidRPr="007C28CC">
        <w:t>przebudowa nabrzeża;</w:t>
      </w:r>
    </w:p>
    <w:p w14:paraId="3B8EF819" w14:textId="77777777" w:rsidR="00BA0236" w:rsidRPr="007C28CC" w:rsidRDefault="00BA0236" w:rsidP="008D7CA9">
      <w:pPr>
        <w:pStyle w:val="ReportText"/>
        <w:numPr>
          <w:ilvl w:val="2"/>
          <w:numId w:val="21"/>
        </w:numPr>
        <w:spacing w:before="120" w:after="120"/>
        <w:ind w:left="1134" w:hanging="283"/>
      </w:pPr>
      <w:r w:rsidRPr="007C28CC">
        <w:t>umocnienie brzegów;</w:t>
      </w:r>
    </w:p>
    <w:p w14:paraId="76D0B078" w14:textId="77777777" w:rsidR="00BA0236" w:rsidRPr="007C28CC" w:rsidRDefault="00BA0236" w:rsidP="008D7CA9">
      <w:pPr>
        <w:pStyle w:val="ReportText"/>
        <w:numPr>
          <w:ilvl w:val="2"/>
          <w:numId w:val="21"/>
        </w:numPr>
        <w:spacing w:before="120" w:after="120"/>
        <w:ind w:left="1134" w:hanging="283"/>
      </w:pPr>
      <w:r w:rsidRPr="007C28CC">
        <w:t>budowa wałów przeciwpowodziowych (podwyższenie).</w:t>
      </w:r>
    </w:p>
    <w:p w14:paraId="3F0EE02F" w14:textId="77777777" w:rsidR="00BA0236" w:rsidRPr="007C28CC" w:rsidRDefault="00BA0236" w:rsidP="007C28CC">
      <w:pPr>
        <w:pStyle w:val="ReportText"/>
        <w:spacing w:before="120" w:after="120"/>
      </w:pPr>
      <w:r w:rsidRPr="007C28CC">
        <w:t>W wariancie „2” zaproponowano przebudowę nabrzeża i umocnienie brzegów wraz</w:t>
      </w:r>
      <w:r w:rsidRPr="007C28CC">
        <w:br/>
        <w:t>z budową wałów przeciwpowodziowych. Nie przewiduje się, aby przedmiotowe inwestycje powodowały konflikty społeczne, ponieważ ich realizacja będzie przebiegała na terenach już zagospodarowanych w ten sam sposób (istniejący wał i nabrzeża).</w:t>
      </w:r>
    </w:p>
    <w:p w14:paraId="38BB36D4" w14:textId="77777777" w:rsidR="00BA0236" w:rsidRPr="007C28CC" w:rsidRDefault="00BA0236" w:rsidP="00E8074C">
      <w:pPr>
        <w:pStyle w:val="ReportLevel3"/>
        <w:numPr>
          <w:ilvl w:val="2"/>
          <w:numId w:val="9"/>
        </w:numPr>
      </w:pPr>
      <w:r w:rsidRPr="007C28CC">
        <w:rPr>
          <w:bCs/>
        </w:rPr>
        <w:lastRenderedPageBreak/>
        <w:t>Obszar problemowy MR_2 Ujście Redy</w:t>
      </w:r>
    </w:p>
    <w:p w14:paraId="01332EFF" w14:textId="77777777" w:rsidR="00BA0236" w:rsidRPr="007C28CC" w:rsidRDefault="00BA0236" w:rsidP="007C28CC">
      <w:pPr>
        <w:pStyle w:val="ReportText"/>
        <w:spacing w:before="120" w:after="120"/>
      </w:pPr>
      <w:r w:rsidRPr="007C28CC">
        <w:t xml:space="preserve">Dla obszaru problemowego MR_2 Ujście Redy działania przeciwpowodziowe obejmują: </w:t>
      </w:r>
    </w:p>
    <w:p w14:paraId="239EA728" w14:textId="77777777" w:rsidR="00BA0236" w:rsidRPr="007C28CC" w:rsidRDefault="00BA0236" w:rsidP="008D7CA9">
      <w:pPr>
        <w:pStyle w:val="ReportText"/>
        <w:numPr>
          <w:ilvl w:val="0"/>
          <w:numId w:val="37"/>
        </w:numPr>
        <w:spacing w:before="120" w:after="120"/>
        <w:ind w:left="567" w:hanging="283"/>
      </w:pPr>
      <w:r w:rsidRPr="007C28CC">
        <w:t xml:space="preserve">Wariant „1” </w:t>
      </w:r>
    </w:p>
    <w:p w14:paraId="187F7E0E" w14:textId="77777777" w:rsidR="00BA0236" w:rsidRPr="007C28CC" w:rsidRDefault="00BA0236" w:rsidP="008D7CA9">
      <w:pPr>
        <w:pStyle w:val="ReportText"/>
        <w:numPr>
          <w:ilvl w:val="2"/>
          <w:numId w:val="21"/>
        </w:numPr>
        <w:spacing w:before="120" w:after="120"/>
        <w:ind w:left="1134" w:hanging="283"/>
      </w:pPr>
      <w:r w:rsidRPr="007C28CC">
        <w:t>budowa nabrzeża;</w:t>
      </w:r>
    </w:p>
    <w:p w14:paraId="6E1399DD" w14:textId="77777777" w:rsidR="00BA0236" w:rsidRPr="007C28CC" w:rsidRDefault="00BA0236" w:rsidP="008D7CA9">
      <w:pPr>
        <w:pStyle w:val="ReportText"/>
        <w:numPr>
          <w:ilvl w:val="2"/>
          <w:numId w:val="21"/>
        </w:numPr>
        <w:spacing w:before="120" w:after="120"/>
        <w:ind w:left="1134" w:hanging="283"/>
      </w:pPr>
      <w:r w:rsidRPr="007C28CC">
        <w:t>podwyższenie fragmentu istniejącego muru oporowego;</w:t>
      </w:r>
    </w:p>
    <w:p w14:paraId="0102B361" w14:textId="77777777" w:rsidR="00BA0236" w:rsidRPr="007C28CC" w:rsidRDefault="00BA0236" w:rsidP="008D7CA9">
      <w:pPr>
        <w:pStyle w:val="ReportText"/>
        <w:numPr>
          <w:ilvl w:val="2"/>
          <w:numId w:val="21"/>
        </w:numPr>
        <w:spacing w:before="120" w:after="120"/>
        <w:ind w:left="1134" w:hanging="283"/>
      </w:pPr>
      <w:r w:rsidRPr="007C28CC">
        <w:t>budowa dwóch odcinków wału przeciwpowodziowego;</w:t>
      </w:r>
    </w:p>
    <w:p w14:paraId="5FA84450" w14:textId="77777777" w:rsidR="00BA0236" w:rsidRPr="007C28CC" w:rsidRDefault="00BA0236" w:rsidP="008D7CA9">
      <w:pPr>
        <w:pStyle w:val="ReportText"/>
        <w:numPr>
          <w:ilvl w:val="2"/>
          <w:numId w:val="21"/>
        </w:numPr>
        <w:spacing w:before="120" w:after="120"/>
        <w:ind w:left="1134" w:hanging="283"/>
      </w:pPr>
      <w:r w:rsidRPr="007C28CC">
        <w:t>mobilne przegrody przeciwpowodziowe (belki zaporowe - szandory).</w:t>
      </w:r>
    </w:p>
    <w:p w14:paraId="5551941E" w14:textId="77777777" w:rsidR="00BA0236" w:rsidRPr="007C28CC" w:rsidRDefault="00BA0236" w:rsidP="007C28CC">
      <w:pPr>
        <w:pStyle w:val="ReportText"/>
        <w:spacing w:before="120" w:after="120"/>
      </w:pPr>
      <w:r w:rsidRPr="007C28CC">
        <w:t>W wariancie „1” planowana jest realizacja ochrony przeciwpowodziowej za pomocą przebudowy nabrzeża, podwyższenia istniejącego muru oporowego i budowę dwóch odcinków wału przeciwpowodziowego. Nie przewiduje się konfliktów społecznych związanych z realizacją mobilnych przegród przeciwpowodziowych. Ewentualne przygotowanie terenu pod te obiekty będzie stanowiło krótkotrwałą uciążliwość. Po zakończeniu przygotowań elementy przegród mobilnych będą niemal niewidoczne i nie będą stanowiły przeszkód komunikacyjnych, jak również nie będą zakłócały krajobrazu. Pozostałe działania mogą wywołać konflikty społeczne. Podwyższenie istniejącego muru oporowego oraz budowa nabrzeża spowodują zmianę krajobrazu (ograniczenie bezpośredniego dostępu do morza, ograniczenie widoku na wodę) co może spotkać się</w:t>
      </w:r>
      <w:r w:rsidRPr="007C28CC">
        <w:br/>
        <w:t xml:space="preserve">z negatywnym odbiorem społecznym. Realizacja wału przeciwpowodziowego wzdłuż zachodniej granicy Rezerwatu Mechelińskie Łąki może spotkać się z negatywnym odbiorem organizacji ekologicznych. </w:t>
      </w:r>
    </w:p>
    <w:p w14:paraId="35AC2D26" w14:textId="77777777" w:rsidR="00BA0236" w:rsidRPr="007C28CC" w:rsidRDefault="00BA0236" w:rsidP="008D7CA9">
      <w:pPr>
        <w:pStyle w:val="ReportText"/>
        <w:numPr>
          <w:ilvl w:val="0"/>
          <w:numId w:val="37"/>
        </w:numPr>
        <w:spacing w:before="120" w:after="120"/>
        <w:ind w:left="567" w:hanging="425"/>
      </w:pPr>
      <w:r w:rsidRPr="007C28CC">
        <w:t xml:space="preserve">Wariant „2” </w:t>
      </w:r>
    </w:p>
    <w:p w14:paraId="294CD403" w14:textId="77777777" w:rsidR="00BA0236" w:rsidRPr="007C28CC" w:rsidRDefault="00BA0236" w:rsidP="008D7CA9">
      <w:pPr>
        <w:pStyle w:val="ReportText"/>
        <w:numPr>
          <w:ilvl w:val="2"/>
          <w:numId w:val="21"/>
        </w:numPr>
        <w:spacing w:before="120" w:after="120"/>
        <w:ind w:left="1134" w:hanging="283"/>
      </w:pPr>
      <w:r w:rsidRPr="007C28CC">
        <w:t>budowa dwóch odcinków wału przeciwsztormowego;</w:t>
      </w:r>
    </w:p>
    <w:p w14:paraId="036E3C54" w14:textId="77777777" w:rsidR="00BA0236" w:rsidRPr="007C28CC" w:rsidRDefault="00BA0236" w:rsidP="008D7CA9">
      <w:pPr>
        <w:pStyle w:val="ReportText"/>
        <w:numPr>
          <w:ilvl w:val="2"/>
          <w:numId w:val="21"/>
        </w:numPr>
        <w:spacing w:before="120" w:after="120"/>
        <w:ind w:left="1134" w:hanging="283"/>
      </w:pPr>
      <w:r w:rsidRPr="007C28CC">
        <w:t>podwyższenie fragmentu istniejącego muru oporowego;</w:t>
      </w:r>
    </w:p>
    <w:p w14:paraId="370D0FB3" w14:textId="77777777" w:rsidR="00BA0236" w:rsidRPr="007C28CC" w:rsidRDefault="00BA0236" w:rsidP="008D7CA9">
      <w:pPr>
        <w:pStyle w:val="ReportText"/>
        <w:numPr>
          <w:ilvl w:val="2"/>
          <w:numId w:val="21"/>
        </w:numPr>
        <w:spacing w:before="120" w:after="120"/>
        <w:ind w:left="1134" w:hanging="283"/>
      </w:pPr>
      <w:r w:rsidRPr="007C28CC">
        <w:t>mobilne przegrody przeciwpowodziowe (belki zaporowe - szandory).</w:t>
      </w:r>
    </w:p>
    <w:p w14:paraId="0B200DD0" w14:textId="77777777" w:rsidR="00BA0236" w:rsidRPr="007C28CC" w:rsidRDefault="00BA0236" w:rsidP="007C28CC">
      <w:pPr>
        <w:pStyle w:val="ReportText"/>
        <w:spacing w:before="120" w:after="120"/>
      </w:pPr>
      <w:r w:rsidRPr="007C28CC">
        <w:t>W wariancie „2” planowana jest realizacja ochrony przeciwpowodziowej za pomocą podwyższenia istniejącego muru oporowego i budowę dwóch odcinków wału przeciwpowodziowego. Nie przewiduje się konfliktów społecznych związanych</w:t>
      </w:r>
      <w:r>
        <w:t xml:space="preserve"> </w:t>
      </w:r>
      <w:r w:rsidRPr="007C28CC">
        <w:t xml:space="preserve">z realizacją mobilnych przegród przeciwpowodziowych. Ewentualne przygotowanie terenu pod te obiekty będzie stanowiło krótkotrwałą uciążliwość. Po zakończeniu przygotowań elementy przegród mobilnych będą niemal niewidoczne i nie będą stanowiły przeszkód komunikacyjnych, jak również nie będą zakłócały krajobrazu. Pozostałe działania mogą wywołać konflikty społeczne. Podwyższenie istniejącego muru oporowego oraz budowa wału przeciwsztormowego spowoduje zmianę krajobrazu (ograniczenie bezpośredniego dostępu do morza, ograniczenie widoku na wodę) co może spotkać się z negatywnym odbiorem społecznym. Dodatkowo realizacja wału przeciwpowodziowego wzdłuż zachodniej granicy Rezerwatu Mechelińskie Łąki może spotkać się z negatywnym odbiorem organizacji ekologicznych. </w:t>
      </w:r>
    </w:p>
    <w:p w14:paraId="67BE987C" w14:textId="77777777" w:rsidR="00BA0236" w:rsidRPr="007C28CC" w:rsidRDefault="00BA0236" w:rsidP="007C28CC">
      <w:pPr>
        <w:rPr>
          <w:b/>
          <w:color w:val="FF0000"/>
          <w:sz w:val="36"/>
          <w:szCs w:val="20"/>
          <w:lang w:eastAsia="en-US"/>
        </w:rPr>
      </w:pPr>
      <w:r w:rsidRPr="007C28CC">
        <w:rPr>
          <w:b/>
          <w:color w:val="FF0000"/>
          <w:sz w:val="36"/>
        </w:rPr>
        <w:br w:type="page"/>
      </w:r>
    </w:p>
    <w:p w14:paraId="15ECC888" w14:textId="77777777" w:rsidR="00BA0236" w:rsidRPr="007C28CC" w:rsidRDefault="00BA0236" w:rsidP="00E8074C">
      <w:pPr>
        <w:pStyle w:val="ReportLevel1"/>
        <w:numPr>
          <w:ilvl w:val="0"/>
          <w:numId w:val="9"/>
        </w:numPr>
      </w:pPr>
      <w:bookmarkStart w:id="212" w:name="_Toc79511691"/>
      <w:bookmarkStart w:id="213" w:name="_Toc80604871"/>
      <w:r w:rsidRPr="007C28CC">
        <w:lastRenderedPageBreak/>
        <w:t>Aktualizacja katalogu działań przypisanych celom szczegółowym</w:t>
      </w:r>
      <w:bookmarkEnd w:id="212"/>
      <w:bookmarkEnd w:id="213"/>
    </w:p>
    <w:p w14:paraId="37D5CA12" w14:textId="00697237" w:rsidR="00BA0236" w:rsidRDefault="00BA0236" w:rsidP="007C28CC">
      <w:pPr>
        <w:pStyle w:val="ReportText"/>
        <w:spacing w:before="120"/>
      </w:pPr>
      <w:bookmarkStart w:id="214" w:name="_Toc39180331"/>
      <w:bookmarkStart w:id="215" w:name="_Toc58600756"/>
      <w:bookmarkStart w:id="216" w:name="_Toc58612747"/>
      <w:r w:rsidRPr="007C28CC">
        <w:t>Na podstawie wybranych wariantów planistycznych zaktualizowano listę działań dla obszaru zlewni planistycznej Dolnej Wisły (załącznik 5). Po przeanalizowaniu ostatecznej listy działań dokonano aktualizacji katalogu działań usuwając cele szczegółowe do których nie zostaną przypisanie działania.</w:t>
      </w:r>
    </w:p>
    <w:p w14:paraId="32E5C306" w14:textId="331A6265" w:rsidR="00FF6FAD" w:rsidRPr="008D7CA9" w:rsidRDefault="00FF6FAD" w:rsidP="008D7CA9">
      <w:pPr>
        <w:pStyle w:val="Legenda"/>
        <w:tabs>
          <w:tab w:val="clear" w:pos="1080"/>
        </w:tabs>
        <w:spacing w:before="120" w:after="0"/>
        <w:ind w:left="1134" w:hanging="1134"/>
        <w:jc w:val="both"/>
        <w:rPr>
          <w:sz w:val="24"/>
          <w:szCs w:val="28"/>
        </w:rPr>
      </w:pPr>
      <w:bookmarkStart w:id="217" w:name="_Toc80273949"/>
      <w:bookmarkStart w:id="218" w:name="_Toc80604843"/>
      <w:r w:rsidRPr="008D7CA9">
        <w:rPr>
          <w:sz w:val="24"/>
          <w:szCs w:val="28"/>
        </w:rPr>
        <w:t xml:space="preserve">Tabela </w:t>
      </w:r>
      <w:r w:rsidR="00295C25" w:rsidRPr="008D7CA9">
        <w:rPr>
          <w:sz w:val="24"/>
          <w:szCs w:val="28"/>
        </w:rPr>
        <w:fldChar w:fldCharType="begin"/>
      </w:r>
      <w:r w:rsidR="00295C25" w:rsidRPr="008D7CA9">
        <w:rPr>
          <w:sz w:val="24"/>
          <w:szCs w:val="28"/>
        </w:rPr>
        <w:instrText xml:space="preserve"> SEQ Tabela \* ARABIC </w:instrText>
      </w:r>
      <w:r w:rsidR="00295C25" w:rsidRPr="008D7CA9">
        <w:rPr>
          <w:sz w:val="24"/>
          <w:szCs w:val="28"/>
        </w:rPr>
        <w:fldChar w:fldCharType="separate"/>
      </w:r>
      <w:r w:rsidR="00FD3F9A">
        <w:rPr>
          <w:noProof/>
          <w:sz w:val="24"/>
          <w:szCs w:val="28"/>
        </w:rPr>
        <w:t>33</w:t>
      </w:r>
      <w:r w:rsidR="00295C25" w:rsidRPr="008D7CA9">
        <w:rPr>
          <w:noProof/>
          <w:sz w:val="24"/>
          <w:szCs w:val="28"/>
        </w:rPr>
        <w:fldChar w:fldCharType="end"/>
      </w:r>
      <w:r w:rsidRPr="008D7CA9">
        <w:rPr>
          <w:sz w:val="24"/>
          <w:szCs w:val="28"/>
        </w:rPr>
        <w:tab/>
        <w:t>Katalog celów głównych, szczegółowych i przypisanych im typów działań w aPZRPM</w:t>
      </w:r>
      <w:bookmarkEnd w:id="217"/>
      <w:bookmarkEnd w:id="218"/>
    </w:p>
    <w:tbl>
      <w:tblPr>
        <w:tblW w:w="8500" w:type="dxa"/>
        <w:tblBorders>
          <w:top w:val="single" w:sz="4" w:space="0" w:color="28AAE1"/>
          <w:left w:val="single" w:sz="4" w:space="0" w:color="28AAE1"/>
          <w:bottom w:val="single" w:sz="4" w:space="0" w:color="28AAE1"/>
          <w:right w:val="single" w:sz="4" w:space="0" w:color="28AAE1"/>
          <w:insideH w:val="single" w:sz="4" w:space="0" w:color="28AAE1"/>
          <w:insideV w:val="single" w:sz="4" w:space="0" w:color="28AAE1"/>
        </w:tblBorders>
        <w:tblCellMar>
          <w:left w:w="70" w:type="dxa"/>
          <w:right w:w="70" w:type="dxa"/>
        </w:tblCellMar>
        <w:tblLook w:val="04A0" w:firstRow="1" w:lastRow="0" w:firstColumn="1" w:lastColumn="0" w:noHBand="0" w:noVBand="1"/>
      </w:tblPr>
      <w:tblGrid>
        <w:gridCol w:w="444"/>
        <w:gridCol w:w="8056"/>
      </w:tblGrid>
      <w:tr w:rsidR="00FF6FAD" w:rsidRPr="00FF6FAD" w14:paraId="0D1A75CE" w14:textId="77777777" w:rsidTr="00993CF2">
        <w:trPr>
          <w:trHeight w:val="259"/>
          <w:tblHeader/>
        </w:trPr>
        <w:tc>
          <w:tcPr>
            <w:tcW w:w="8500" w:type="dxa"/>
            <w:gridSpan w:val="2"/>
            <w:shd w:val="clear" w:color="auto" w:fill="F2DBDB" w:themeFill="accent2" w:themeFillTint="33"/>
            <w:noWrap/>
            <w:hideMark/>
          </w:tcPr>
          <w:p w14:paraId="337791A0" w14:textId="77777777" w:rsidR="00FF6FAD" w:rsidRPr="00FF6FAD" w:rsidRDefault="00FF6FAD" w:rsidP="00FF6FAD">
            <w:pPr>
              <w:tabs>
                <w:tab w:val="left" w:pos="3480"/>
              </w:tabs>
            </w:pPr>
            <w:r w:rsidRPr="00FF6FAD">
              <w:t>Nazwa i typ działania</w:t>
            </w:r>
          </w:p>
        </w:tc>
      </w:tr>
      <w:tr w:rsidR="00FF6FAD" w:rsidRPr="00FF6FAD" w14:paraId="0D27881A" w14:textId="77777777" w:rsidTr="00993CF2">
        <w:trPr>
          <w:trHeight w:val="259"/>
        </w:trPr>
        <w:tc>
          <w:tcPr>
            <w:tcW w:w="8500" w:type="dxa"/>
            <w:gridSpan w:val="2"/>
            <w:shd w:val="clear" w:color="auto" w:fill="F2DBDB" w:themeFill="accent2" w:themeFillTint="33"/>
            <w:noWrap/>
          </w:tcPr>
          <w:p w14:paraId="4B2608AC" w14:textId="77777777" w:rsidR="00FF6FAD" w:rsidRPr="00FF6FAD" w:rsidRDefault="00FF6FAD" w:rsidP="00FF6FAD">
            <w:pPr>
              <w:tabs>
                <w:tab w:val="left" w:pos="3480"/>
              </w:tabs>
            </w:pPr>
            <w:r w:rsidRPr="00FF6FAD">
              <w:t>1. Zahamowanie wzrostu ryzyka powodziowego</w:t>
            </w:r>
          </w:p>
        </w:tc>
      </w:tr>
      <w:tr w:rsidR="00FF6FAD" w:rsidRPr="00FF6FAD" w14:paraId="30F7CC9D" w14:textId="77777777" w:rsidTr="00993CF2">
        <w:trPr>
          <w:trHeight w:val="259"/>
        </w:trPr>
        <w:tc>
          <w:tcPr>
            <w:tcW w:w="444" w:type="dxa"/>
            <w:vMerge w:val="restart"/>
            <w:shd w:val="clear" w:color="auto" w:fill="auto"/>
            <w:noWrap/>
            <w:hideMark/>
          </w:tcPr>
          <w:p w14:paraId="409D0A36" w14:textId="77777777" w:rsidR="00FF6FAD" w:rsidRPr="00FF6FAD" w:rsidRDefault="00FF6FAD" w:rsidP="00993CF2">
            <w:pPr>
              <w:spacing w:before="120"/>
            </w:pPr>
            <w:r w:rsidRPr="00FF6FAD">
              <w:t>1.1</w:t>
            </w:r>
          </w:p>
        </w:tc>
        <w:tc>
          <w:tcPr>
            <w:tcW w:w="8056" w:type="dxa"/>
            <w:shd w:val="clear" w:color="auto" w:fill="F2DBDB" w:themeFill="accent2" w:themeFillTint="33"/>
            <w:noWrap/>
            <w:hideMark/>
          </w:tcPr>
          <w:p w14:paraId="639D9F5E" w14:textId="77777777" w:rsidR="00FF6FAD" w:rsidRPr="00FF6FAD" w:rsidRDefault="00FF6FAD" w:rsidP="00993CF2">
            <w:pPr>
              <w:spacing w:before="120"/>
            </w:pPr>
            <w:r w:rsidRPr="00FF6FAD">
              <w:t>Zapewnienie warunków ograniczających możliwość występowania powodzi</w:t>
            </w:r>
          </w:p>
        </w:tc>
      </w:tr>
      <w:tr w:rsidR="00FF6FAD" w:rsidRPr="00FF6FAD" w14:paraId="195387E4" w14:textId="77777777" w:rsidTr="00993CF2">
        <w:trPr>
          <w:trHeight w:val="259"/>
        </w:trPr>
        <w:tc>
          <w:tcPr>
            <w:tcW w:w="444" w:type="dxa"/>
            <w:vMerge/>
          </w:tcPr>
          <w:p w14:paraId="2D71795B" w14:textId="77777777" w:rsidR="00FF6FAD" w:rsidRPr="00FF6FAD" w:rsidRDefault="00FF6FAD" w:rsidP="00993CF2"/>
        </w:tc>
        <w:tc>
          <w:tcPr>
            <w:tcW w:w="8056" w:type="dxa"/>
            <w:shd w:val="clear" w:color="auto" w:fill="auto"/>
          </w:tcPr>
          <w:p w14:paraId="7549551F" w14:textId="77777777" w:rsidR="00FF6FAD" w:rsidRPr="00FF6FAD" w:rsidRDefault="00FF6FAD" w:rsidP="00FF6FAD">
            <w:pPr>
              <w:pStyle w:val="Akapitzlist"/>
              <w:numPr>
                <w:ilvl w:val="0"/>
                <w:numId w:val="37"/>
              </w:numPr>
              <w:ind w:left="192" w:hanging="192"/>
              <w:rPr>
                <w:sz w:val="24"/>
                <w:szCs w:val="24"/>
              </w:rPr>
            </w:pPr>
            <w:r w:rsidRPr="00FF6FAD">
              <w:rPr>
                <w:sz w:val="24"/>
                <w:szCs w:val="24"/>
              </w:rPr>
              <w:t>Budowa, przebudowa wałów przeciwpowodziowych/ przeciwsztormowych, murów oporowych</w:t>
            </w:r>
          </w:p>
        </w:tc>
      </w:tr>
      <w:tr w:rsidR="00FF6FAD" w:rsidRPr="00FF6FAD" w14:paraId="19279B90" w14:textId="77777777" w:rsidTr="00993CF2">
        <w:trPr>
          <w:trHeight w:val="259"/>
        </w:trPr>
        <w:tc>
          <w:tcPr>
            <w:tcW w:w="444" w:type="dxa"/>
            <w:vMerge/>
          </w:tcPr>
          <w:p w14:paraId="3490F299" w14:textId="77777777" w:rsidR="00FF6FAD" w:rsidRPr="00FF6FAD" w:rsidRDefault="00FF6FAD" w:rsidP="00993CF2"/>
        </w:tc>
        <w:tc>
          <w:tcPr>
            <w:tcW w:w="8056" w:type="dxa"/>
            <w:shd w:val="clear" w:color="auto" w:fill="auto"/>
          </w:tcPr>
          <w:p w14:paraId="37B796F9" w14:textId="77777777" w:rsidR="00FF6FAD" w:rsidRPr="00FF6FAD" w:rsidRDefault="00FF6FAD" w:rsidP="00FF6FAD">
            <w:pPr>
              <w:pStyle w:val="Akapitzlist"/>
              <w:numPr>
                <w:ilvl w:val="0"/>
                <w:numId w:val="37"/>
              </w:numPr>
              <w:ind w:left="192" w:hanging="192"/>
              <w:rPr>
                <w:sz w:val="24"/>
                <w:szCs w:val="24"/>
              </w:rPr>
            </w:pPr>
            <w:r w:rsidRPr="00FF6FAD">
              <w:rPr>
                <w:sz w:val="24"/>
                <w:szCs w:val="24"/>
              </w:rPr>
              <w:t>Budowa mobilnych systemów ochrony przed powodzią</w:t>
            </w:r>
          </w:p>
        </w:tc>
      </w:tr>
      <w:tr w:rsidR="00FF6FAD" w:rsidRPr="00FF6FAD" w14:paraId="6565A29D" w14:textId="77777777" w:rsidTr="00993CF2">
        <w:trPr>
          <w:trHeight w:val="88"/>
        </w:trPr>
        <w:tc>
          <w:tcPr>
            <w:tcW w:w="444" w:type="dxa"/>
            <w:vMerge/>
          </w:tcPr>
          <w:p w14:paraId="1F879345" w14:textId="77777777" w:rsidR="00FF6FAD" w:rsidRPr="00FF6FAD" w:rsidRDefault="00FF6FAD" w:rsidP="00993CF2"/>
        </w:tc>
        <w:tc>
          <w:tcPr>
            <w:tcW w:w="8056" w:type="dxa"/>
            <w:shd w:val="clear" w:color="auto" w:fill="auto"/>
          </w:tcPr>
          <w:p w14:paraId="2F297B22" w14:textId="77777777" w:rsidR="00FF6FAD" w:rsidRPr="00FF6FAD" w:rsidRDefault="00FF6FAD" w:rsidP="00FF6FAD">
            <w:pPr>
              <w:pStyle w:val="Akapitzlist"/>
              <w:numPr>
                <w:ilvl w:val="0"/>
                <w:numId w:val="37"/>
              </w:numPr>
              <w:ind w:left="192" w:hanging="192"/>
              <w:rPr>
                <w:sz w:val="24"/>
                <w:szCs w:val="24"/>
              </w:rPr>
            </w:pPr>
            <w:r w:rsidRPr="00FF6FAD">
              <w:rPr>
                <w:sz w:val="24"/>
                <w:szCs w:val="24"/>
              </w:rPr>
              <w:t>Zapewnienie funkcjonalności istniejącej infrastruktury przeciwpowodziowej</w:t>
            </w:r>
          </w:p>
        </w:tc>
      </w:tr>
      <w:tr w:rsidR="00FF6FAD" w:rsidRPr="00FF6FAD" w14:paraId="1D249D6A" w14:textId="77777777" w:rsidTr="00993CF2">
        <w:trPr>
          <w:trHeight w:val="88"/>
        </w:trPr>
        <w:tc>
          <w:tcPr>
            <w:tcW w:w="444" w:type="dxa"/>
            <w:vMerge/>
          </w:tcPr>
          <w:p w14:paraId="071C4405" w14:textId="77777777" w:rsidR="00FF6FAD" w:rsidRPr="00FF6FAD" w:rsidRDefault="00FF6FAD" w:rsidP="00993CF2"/>
        </w:tc>
        <w:tc>
          <w:tcPr>
            <w:tcW w:w="8056" w:type="dxa"/>
            <w:shd w:val="clear" w:color="auto" w:fill="auto"/>
          </w:tcPr>
          <w:p w14:paraId="626A2544" w14:textId="77777777" w:rsidR="00FF6FAD" w:rsidRPr="00FF6FAD" w:rsidRDefault="00FF6FAD" w:rsidP="00FF6FAD">
            <w:pPr>
              <w:pStyle w:val="Akapitzlist"/>
              <w:numPr>
                <w:ilvl w:val="0"/>
                <w:numId w:val="37"/>
              </w:numPr>
              <w:ind w:left="192" w:hanging="192"/>
              <w:rPr>
                <w:sz w:val="24"/>
                <w:szCs w:val="24"/>
              </w:rPr>
            </w:pPr>
            <w:r w:rsidRPr="00FF6FAD">
              <w:rPr>
                <w:sz w:val="24"/>
                <w:szCs w:val="24"/>
              </w:rPr>
              <w:t>Zapewnienie możliwości prowadzenia akcji lodołamania</w:t>
            </w:r>
          </w:p>
        </w:tc>
      </w:tr>
      <w:tr w:rsidR="00FF6FAD" w:rsidRPr="00FF6FAD" w14:paraId="3EB72297" w14:textId="77777777" w:rsidTr="00993CF2">
        <w:trPr>
          <w:trHeight w:val="259"/>
        </w:trPr>
        <w:tc>
          <w:tcPr>
            <w:tcW w:w="8500" w:type="dxa"/>
            <w:gridSpan w:val="2"/>
            <w:shd w:val="clear" w:color="auto" w:fill="F2DBDB" w:themeFill="accent2" w:themeFillTint="33"/>
            <w:noWrap/>
            <w:hideMark/>
          </w:tcPr>
          <w:p w14:paraId="20B79AB7" w14:textId="77777777" w:rsidR="00FF6FAD" w:rsidRPr="00FF6FAD" w:rsidRDefault="00FF6FAD" w:rsidP="00993CF2">
            <w:pPr>
              <w:rPr>
                <w:highlight w:val="green"/>
              </w:rPr>
            </w:pPr>
            <w:r w:rsidRPr="00FF6FAD">
              <w:t>2. Obniżenie istniejącego ryzyka powodziowego</w:t>
            </w:r>
          </w:p>
        </w:tc>
      </w:tr>
      <w:tr w:rsidR="00FF6FAD" w:rsidRPr="00FF6FAD" w14:paraId="3AE48A66" w14:textId="77777777" w:rsidTr="00993CF2">
        <w:trPr>
          <w:trHeight w:val="259"/>
        </w:trPr>
        <w:tc>
          <w:tcPr>
            <w:tcW w:w="444" w:type="dxa"/>
            <w:vMerge w:val="restart"/>
            <w:shd w:val="clear" w:color="auto" w:fill="auto"/>
            <w:noWrap/>
            <w:hideMark/>
          </w:tcPr>
          <w:p w14:paraId="12B6D8F8" w14:textId="77777777" w:rsidR="00FF6FAD" w:rsidRPr="00FF6FAD" w:rsidRDefault="00FF6FAD" w:rsidP="00993CF2">
            <w:r w:rsidRPr="00FF6FAD">
              <w:t>2.2</w:t>
            </w:r>
          </w:p>
        </w:tc>
        <w:tc>
          <w:tcPr>
            <w:tcW w:w="8056" w:type="dxa"/>
            <w:shd w:val="clear" w:color="auto" w:fill="F2DBDB" w:themeFill="accent2" w:themeFillTint="33"/>
            <w:noWrap/>
            <w:hideMark/>
          </w:tcPr>
          <w:p w14:paraId="0BAE5AF8" w14:textId="77777777" w:rsidR="00FF6FAD" w:rsidRPr="00FF6FAD" w:rsidRDefault="00FF6FAD" w:rsidP="00993CF2">
            <w:pPr>
              <w:rPr>
                <w:highlight w:val="green"/>
              </w:rPr>
            </w:pPr>
            <w:r w:rsidRPr="00FF6FAD">
              <w:t>Redukcja obszaru zagrożonego powodzią oraz zapewnienie racjonalnego gospodarowania obszarami zagrożenia powodziowego</w:t>
            </w:r>
          </w:p>
        </w:tc>
      </w:tr>
      <w:tr w:rsidR="00FF6FAD" w:rsidRPr="00FF6FAD" w14:paraId="56927B76" w14:textId="77777777" w:rsidTr="00993CF2">
        <w:trPr>
          <w:trHeight w:val="259"/>
        </w:trPr>
        <w:tc>
          <w:tcPr>
            <w:tcW w:w="444" w:type="dxa"/>
            <w:vMerge/>
            <w:hideMark/>
          </w:tcPr>
          <w:p w14:paraId="6C9E4EA2" w14:textId="77777777" w:rsidR="00FF6FAD" w:rsidRPr="00FF6FAD" w:rsidRDefault="00FF6FAD" w:rsidP="00993CF2"/>
        </w:tc>
        <w:tc>
          <w:tcPr>
            <w:tcW w:w="8056" w:type="dxa"/>
            <w:shd w:val="clear" w:color="auto" w:fill="auto"/>
            <w:hideMark/>
          </w:tcPr>
          <w:p w14:paraId="103B860E" w14:textId="77777777" w:rsidR="00FF6FAD" w:rsidRPr="00FF6FAD" w:rsidRDefault="00FF6FAD" w:rsidP="00FF6FAD">
            <w:pPr>
              <w:pStyle w:val="Akapitzlist"/>
              <w:numPr>
                <w:ilvl w:val="0"/>
                <w:numId w:val="39"/>
              </w:numPr>
              <w:ind w:left="192" w:hanging="192"/>
              <w:rPr>
                <w:sz w:val="24"/>
                <w:szCs w:val="24"/>
              </w:rPr>
            </w:pPr>
            <w:r w:rsidRPr="00FF6FAD">
              <w:rPr>
                <w:sz w:val="24"/>
                <w:szCs w:val="24"/>
              </w:rPr>
              <w:t>Budowa, przebudowa wałów przeciwpowodziowych / przeciwsztormowych, murów oporowych</w:t>
            </w:r>
          </w:p>
        </w:tc>
      </w:tr>
      <w:tr w:rsidR="00FF6FAD" w:rsidRPr="00FF6FAD" w14:paraId="630DE2D8" w14:textId="77777777" w:rsidTr="00993CF2">
        <w:trPr>
          <w:trHeight w:val="259"/>
        </w:trPr>
        <w:tc>
          <w:tcPr>
            <w:tcW w:w="444" w:type="dxa"/>
            <w:vMerge/>
            <w:hideMark/>
          </w:tcPr>
          <w:p w14:paraId="4C97366F" w14:textId="77777777" w:rsidR="00FF6FAD" w:rsidRPr="00FF6FAD" w:rsidRDefault="00FF6FAD" w:rsidP="00993CF2"/>
        </w:tc>
        <w:tc>
          <w:tcPr>
            <w:tcW w:w="8056" w:type="dxa"/>
            <w:shd w:val="clear" w:color="auto" w:fill="auto"/>
            <w:hideMark/>
          </w:tcPr>
          <w:p w14:paraId="60100E9F" w14:textId="77777777" w:rsidR="00FF6FAD" w:rsidRPr="00FF6FAD" w:rsidRDefault="00FF6FAD" w:rsidP="00FF6FAD">
            <w:pPr>
              <w:pStyle w:val="Akapitzlist"/>
              <w:numPr>
                <w:ilvl w:val="0"/>
                <w:numId w:val="39"/>
              </w:numPr>
              <w:ind w:left="192" w:hanging="192"/>
              <w:rPr>
                <w:sz w:val="24"/>
                <w:szCs w:val="24"/>
              </w:rPr>
            </w:pPr>
            <w:r w:rsidRPr="00FF6FAD">
              <w:rPr>
                <w:sz w:val="24"/>
                <w:szCs w:val="24"/>
              </w:rPr>
              <w:t>Budowa mobilnych systemów ochrony przed powodzią</w:t>
            </w:r>
          </w:p>
        </w:tc>
      </w:tr>
      <w:tr w:rsidR="00FF6FAD" w:rsidRPr="00FF6FAD" w14:paraId="557F0229" w14:textId="77777777" w:rsidTr="00993CF2">
        <w:trPr>
          <w:trHeight w:val="259"/>
        </w:trPr>
        <w:tc>
          <w:tcPr>
            <w:tcW w:w="444" w:type="dxa"/>
            <w:vMerge/>
            <w:hideMark/>
          </w:tcPr>
          <w:p w14:paraId="26C466B1" w14:textId="77777777" w:rsidR="00FF6FAD" w:rsidRPr="00FF6FAD" w:rsidRDefault="00FF6FAD" w:rsidP="00993CF2"/>
        </w:tc>
        <w:tc>
          <w:tcPr>
            <w:tcW w:w="8056" w:type="dxa"/>
            <w:shd w:val="clear" w:color="auto" w:fill="auto"/>
            <w:hideMark/>
          </w:tcPr>
          <w:p w14:paraId="57A44F31" w14:textId="77777777" w:rsidR="00FF6FAD" w:rsidRPr="00FF6FAD" w:rsidRDefault="00FF6FAD" w:rsidP="00FF6FAD">
            <w:pPr>
              <w:pStyle w:val="Akapitzlist"/>
              <w:numPr>
                <w:ilvl w:val="0"/>
                <w:numId w:val="39"/>
              </w:numPr>
              <w:ind w:left="192" w:hanging="192"/>
              <w:rPr>
                <w:sz w:val="24"/>
                <w:szCs w:val="24"/>
              </w:rPr>
            </w:pPr>
            <w:r w:rsidRPr="00FF6FAD">
              <w:rPr>
                <w:sz w:val="24"/>
                <w:szCs w:val="24"/>
              </w:rPr>
              <w:t>Zapewnienie funkcjonalności istniejącej infrastruktury przeciwpowodziowej</w:t>
            </w:r>
          </w:p>
        </w:tc>
      </w:tr>
      <w:tr w:rsidR="00FF6FAD" w:rsidRPr="00FF6FAD" w14:paraId="5AE742B1" w14:textId="77777777" w:rsidTr="00993CF2">
        <w:trPr>
          <w:trHeight w:val="259"/>
        </w:trPr>
        <w:tc>
          <w:tcPr>
            <w:tcW w:w="444" w:type="dxa"/>
            <w:vMerge/>
            <w:hideMark/>
          </w:tcPr>
          <w:p w14:paraId="0482C64D" w14:textId="77777777" w:rsidR="00FF6FAD" w:rsidRPr="00FF6FAD" w:rsidRDefault="00FF6FAD" w:rsidP="00993CF2"/>
        </w:tc>
        <w:tc>
          <w:tcPr>
            <w:tcW w:w="8056" w:type="dxa"/>
            <w:shd w:val="clear" w:color="auto" w:fill="auto"/>
            <w:hideMark/>
          </w:tcPr>
          <w:p w14:paraId="27FE1E90" w14:textId="77777777" w:rsidR="00FF6FAD" w:rsidRPr="00FF6FAD" w:rsidRDefault="00FF6FAD" w:rsidP="00FF6FAD">
            <w:pPr>
              <w:pStyle w:val="Akapitzlist"/>
              <w:numPr>
                <w:ilvl w:val="0"/>
                <w:numId w:val="39"/>
              </w:numPr>
              <w:ind w:left="192" w:hanging="192"/>
              <w:rPr>
                <w:sz w:val="24"/>
                <w:szCs w:val="24"/>
              </w:rPr>
            </w:pPr>
            <w:r w:rsidRPr="00FF6FAD">
              <w:rPr>
                <w:sz w:val="24"/>
                <w:szCs w:val="24"/>
              </w:rPr>
              <w:t>Zapewnienie możliwości prowadzenia akcji lodołamania</w:t>
            </w:r>
          </w:p>
        </w:tc>
      </w:tr>
      <w:tr w:rsidR="00FF6FAD" w:rsidRPr="00FF6FAD" w14:paraId="0620591F" w14:textId="77777777" w:rsidTr="00993CF2">
        <w:trPr>
          <w:trHeight w:val="259"/>
        </w:trPr>
        <w:tc>
          <w:tcPr>
            <w:tcW w:w="444" w:type="dxa"/>
            <w:vMerge/>
          </w:tcPr>
          <w:p w14:paraId="74F66BF8" w14:textId="77777777" w:rsidR="00FF6FAD" w:rsidRPr="00FF6FAD" w:rsidRDefault="00FF6FAD" w:rsidP="00993CF2"/>
        </w:tc>
        <w:tc>
          <w:tcPr>
            <w:tcW w:w="8056" w:type="dxa"/>
            <w:shd w:val="clear" w:color="auto" w:fill="auto"/>
          </w:tcPr>
          <w:p w14:paraId="2C9909F9" w14:textId="77777777" w:rsidR="00FF6FAD" w:rsidRPr="00FF6FAD" w:rsidRDefault="00FF6FAD" w:rsidP="00FF6FAD">
            <w:pPr>
              <w:pStyle w:val="Akapitzlist"/>
              <w:numPr>
                <w:ilvl w:val="0"/>
                <w:numId w:val="39"/>
              </w:numPr>
              <w:ind w:left="192" w:hanging="192"/>
              <w:rPr>
                <w:sz w:val="24"/>
                <w:szCs w:val="24"/>
              </w:rPr>
            </w:pPr>
            <w:r w:rsidRPr="00FF6FAD">
              <w:rPr>
                <w:sz w:val="24"/>
                <w:szCs w:val="24"/>
              </w:rPr>
              <w:t>Opracowanie koncepcji ochrony przed powodzią dla obszarów zagrożonych</w:t>
            </w:r>
          </w:p>
        </w:tc>
      </w:tr>
      <w:tr w:rsidR="00FF6FAD" w:rsidRPr="00FF6FAD" w14:paraId="472A0C11" w14:textId="77777777" w:rsidTr="00993CF2">
        <w:trPr>
          <w:trHeight w:val="259"/>
        </w:trPr>
        <w:tc>
          <w:tcPr>
            <w:tcW w:w="444" w:type="dxa"/>
            <w:vMerge w:val="restart"/>
          </w:tcPr>
          <w:p w14:paraId="2207AE90" w14:textId="77777777" w:rsidR="00FF6FAD" w:rsidRPr="00FF6FAD" w:rsidRDefault="00FF6FAD" w:rsidP="00993CF2">
            <w:r w:rsidRPr="00FF6FAD">
              <w:t>2.3</w:t>
            </w:r>
          </w:p>
        </w:tc>
        <w:tc>
          <w:tcPr>
            <w:tcW w:w="8056" w:type="dxa"/>
            <w:shd w:val="clear" w:color="auto" w:fill="F2DBDB" w:themeFill="accent2" w:themeFillTint="33"/>
          </w:tcPr>
          <w:p w14:paraId="1BC09BE9" w14:textId="77777777" w:rsidR="00FF6FAD" w:rsidRPr="00FF6FAD" w:rsidRDefault="00FF6FAD" w:rsidP="00993CF2">
            <w:r w:rsidRPr="00FF6FAD">
              <w:t>Redukcja wrażliwości społeczności i obiektów na obszarze zagrożenia powodzią</w:t>
            </w:r>
          </w:p>
        </w:tc>
      </w:tr>
      <w:tr w:rsidR="00FF6FAD" w:rsidRPr="00FF6FAD" w14:paraId="31E978F3" w14:textId="77777777" w:rsidTr="00993CF2">
        <w:trPr>
          <w:trHeight w:val="259"/>
        </w:trPr>
        <w:tc>
          <w:tcPr>
            <w:tcW w:w="444" w:type="dxa"/>
            <w:vMerge/>
          </w:tcPr>
          <w:p w14:paraId="331DBA86" w14:textId="77777777" w:rsidR="00FF6FAD" w:rsidRPr="00FF6FAD" w:rsidRDefault="00FF6FAD" w:rsidP="00993CF2"/>
        </w:tc>
        <w:tc>
          <w:tcPr>
            <w:tcW w:w="8056" w:type="dxa"/>
            <w:shd w:val="clear" w:color="auto" w:fill="auto"/>
          </w:tcPr>
          <w:p w14:paraId="1689720F" w14:textId="77777777" w:rsidR="00FF6FAD" w:rsidRPr="00FF6FAD" w:rsidRDefault="00FF6FAD" w:rsidP="00FF6FAD">
            <w:pPr>
              <w:pStyle w:val="Akapitzlist"/>
              <w:numPr>
                <w:ilvl w:val="0"/>
                <w:numId w:val="40"/>
              </w:numPr>
              <w:ind w:left="192" w:hanging="192"/>
              <w:rPr>
                <w:sz w:val="24"/>
                <w:szCs w:val="24"/>
              </w:rPr>
            </w:pPr>
            <w:r w:rsidRPr="00FF6FAD">
              <w:rPr>
                <w:sz w:val="24"/>
                <w:szCs w:val="24"/>
              </w:rPr>
              <w:t>Opracowanie koncepcji ochrony przed powodzią dla obszarów zagrożonych</w:t>
            </w:r>
          </w:p>
        </w:tc>
      </w:tr>
      <w:tr w:rsidR="00FF6FAD" w:rsidRPr="00FF6FAD" w14:paraId="605B2F10" w14:textId="77777777" w:rsidTr="00993CF2">
        <w:trPr>
          <w:trHeight w:val="259"/>
        </w:trPr>
        <w:tc>
          <w:tcPr>
            <w:tcW w:w="8500" w:type="dxa"/>
            <w:gridSpan w:val="2"/>
            <w:shd w:val="clear" w:color="auto" w:fill="F2DBDB" w:themeFill="accent2" w:themeFillTint="33"/>
            <w:noWrap/>
            <w:hideMark/>
          </w:tcPr>
          <w:p w14:paraId="64D1D166" w14:textId="77777777" w:rsidR="00FF6FAD" w:rsidRPr="00FF6FAD" w:rsidRDefault="00FF6FAD" w:rsidP="00993CF2">
            <w:r w:rsidRPr="00FF6FAD">
              <w:t>3. Poprawa systemu zarządzania ryzykiem powodziowym</w:t>
            </w:r>
          </w:p>
        </w:tc>
      </w:tr>
      <w:tr w:rsidR="00FF6FAD" w:rsidRPr="00FF6FAD" w14:paraId="0E20C76D" w14:textId="77777777" w:rsidTr="00993CF2">
        <w:trPr>
          <w:trHeight w:val="259"/>
        </w:trPr>
        <w:tc>
          <w:tcPr>
            <w:tcW w:w="444" w:type="dxa"/>
            <w:vMerge w:val="restart"/>
            <w:shd w:val="clear" w:color="auto" w:fill="auto"/>
            <w:noWrap/>
          </w:tcPr>
          <w:p w14:paraId="25296011" w14:textId="77777777" w:rsidR="00FF6FAD" w:rsidRPr="00FF6FAD" w:rsidRDefault="00FF6FAD" w:rsidP="00993CF2">
            <w:r w:rsidRPr="00FF6FAD">
              <w:t>3.1</w:t>
            </w:r>
          </w:p>
        </w:tc>
        <w:tc>
          <w:tcPr>
            <w:tcW w:w="8056" w:type="dxa"/>
            <w:shd w:val="clear" w:color="auto" w:fill="F2DBDB" w:themeFill="accent2" w:themeFillTint="33"/>
            <w:noWrap/>
          </w:tcPr>
          <w:p w14:paraId="3F572B31" w14:textId="77777777" w:rsidR="00FF6FAD" w:rsidRPr="00FF6FAD" w:rsidRDefault="00FF6FAD" w:rsidP="00993CF2">
            <w:r w:rsidRPr="00FF6FAD">
              <w:t>Doskonalenie prognozowania i ostrzegania o zagrożeniach meteorologicznych</w:t>
            </w:r>
            <w:r w:rsidRPr="00FF6FAD">
              <w:br/>
              <w:t>i hydrologicznych</w:t>
            </w:r>
          </w:p>
        </w:tc>
      </w:tr>
      <w:tr w:rsidR="00FF6FAD" w:rsidRPr="00FF6FAD" w14:paraId="5152E5DD" w14:textId="77777777" w:rsidTr="00993CF2">
        <w:trPr>
          <w:trHeight w:val="283"/>
        </w:trPr>
        <w:tc>
          <w:tcPr>
            <w:tcW w:w="444" w:type="dxa"/>
            <w:vMerge/>
          </w:tcPr>
          <w:p w14:paraId="1A8F6529" w14:textId="77777777" w:rsidR="00FF6FAD" w:rsidRPr="00FF6FAD" w:rsidRDefault="00FF6FAD" w:rsidP="00993CF2"/>
        </w:tc>
        <w:tc>
          <w:tcPr>
            <w:tcW w:w="8056" w:type="dxa"/>
            <w:shd w:val="clear" w:color="auto" w:fill="auto"/>
          </w:tcPr>
          <w:p w14:paraId="0A289117" w14:textId="77777777" w:rsidR="00FF6FAD" w:rsidRPr="00FF6FAD" w:rsidRDefault="00FF6FAD" w:rsidP="00FF6FAD">
            <w:pPr>
              <w:pStyle w:val="Akapitzlist"/>
              <w:numPr>
                <w:ilvl w:val="0"/>
                <w:numId w:val="40"/>
              </w:numPr>
              <w:ind w:left="192" w:hanging="192"/>
              <w:rPr>
                <w:sz w:val="24"/>
                <w:szCs w:val="24"/>
              </w:rPr>
            </w:pPr>
            <w:r w:rsidRPr="00FF6FAD">
              <w:rPr>
                <w:sz w:val="24"/>
                <w:szCs w:val="24"/>
              </w:rPr>
              <w:t>Rozwój krajowego systemu prognoz, monitoringu i ostrzeżeń</w:t>
            </w:r>
          </w:p>
        </w:tc>
      </w:tr>
      <w:tr w:rsidR="00FF6FAD" w:rsidRPr="00FF6FAD" w14:paraId="28C85557" w14:textId="77777777" w:rsidTr="00993CF2">
        <w:trPr>
          <w:trHeight w:val="357"/>
        </w:trPr>
        <w:tc>
          <w:tcPr>
            <w:tcW w:w="444" w:type="dxa"/>
            <w:vMerge/>
          </w:tcPr>
          <w:p w14:paraId="74492633" w14:textId="77777777" w:rsidR="00FF6FAD" w:rsidRPr="00FF6FAD" w:rsidRDefault="00FF6FAD" w:rsidP="00993CF2"/>
        </w:tc>
        <w:tc>
          <w:tcPr>
            <w:tcW w:w="8056" w:type="dxa"/>
            <w:shd w:val="clear" w:color="auto" w:fill="auto"/>
          </w:tcPr>
          <w:p w14:paraId="354B6757" w14:textId="77777777" w:rsidR="00FF6FAD" w:rsidRPr="00FF6FAD" w:rsidRDefault="00FF6FAD" w:rsidP="00FF6FAD">
            <w:pPr>
              <w:pStyle w:val="Akapitzlist"/>
              <w:numPr>
                <w:ilvl w:val="0"/>
                <w:numId w:val="40"/>
              </w:numPr>
              <w:ind w:left="192" w:hanging="192"/>
              <w:rPr>
                <w:sz w:val="24"/>
                <w:szCs w:val="24"/>
              </w:rPr>
            </w:pPr>
            <w:r w:rsidRPr="00FF6FAD">
              <w:rPr>
                <w:sz w:val="24"/>
                <w:szCs w:val="24"/>
              </w:rPr>
              <w:t>Budowa i rozwój lokalnych systemów ostrzegania przed powodziami</w:t>
            </w:r>
          </w:p>
        </w:tc>
      </w:tr>
      <w:tr w:rsidR="00FF6FAD" w:rsidRPr="00FF6FAD" w14:paraId="4EC2A67B" w14:textId="77777777" w:rsidTr="00993CF2">
        <w:trPr>
          <w:trHeight w:val="259"/>
        </w:trPr>
        <w:tc>
          <w:tcPr>
            <w:tcW w:w="444" w:type="dxa"/>
            <w:vMerge w:val="restart"/>
            <w:shd w:val="clear" w:color="auto" w:fill="auto"/>
            <w:noWrap/>
          </w:tcPr>
          <w:p w14:paraId="287EB131" w14:textId="77777777" w:rsidR="00FF6FAD" w:rsidRPr="00FF6FAD" w:rsidRDefault="00FF6FAD" w:rsidP="00993CF2">
            <w:pPr>
              <w:spacing w:before="120"/>
            </w:pPr>
            <w:r w:rsidRPr="00FF6FAD">
              <w:t>3.2</w:t>
            </w:r>
          </w:p>
        </w:tc>
        <w:tc>
          <w:tcPr>
            <w:tcW w:w="8056" w:type="dxa"/>
            <w:shd w:val="clear" w:color="auto" w:fill="F2DBDB" w:themeFill="accent2" w:themeFillTint="33"/>
            <w:noWrap/>
          </w:tcPr>
          <w:p w14:paraId="1F605C53" w14:textId="77777777" w:rsidR="00FF6FAD" w:rsidRPr="00FF6FAD" w:rsidRDefault="00FF6FAD" w:rsidP="00993CF2">
            <w:r w:rsidRPr="00FF6FAD">
              <w:t>Doskonalenie skuteczności reagowania ludzi, firm i instytucji publicznych</w:t>
            </w:r>
          </w:p>
        </w:tc>
      </w:tr>
      <w:tr w:rsidR="00FF6FAD" w:rsidRPr="00FF6FAD" w14:paraId="3BCE5F97" w14:textId="77777777" w:rsidTr="00993CF2">
        <w:trPr>
          <w:trHeight w:val="259"/>
        </w:trPr>
        <w:tc>
          <w:tcPr>
            <w:tcW w:w="444" w:type="dxa"/>
            <w:vMerge/>
          </w:tcPr>
          <w:p w14:paraId="1C799DB8" w14:textId="77777777" w:rsidR="00FF6FAD" w:rsidRPr="00FF6FAD" w:rsidRDefault="00FF6FAD" w:rsidP="00993CF2"/>
        </w:tc>
        <w:tc>
          <w:tcPr>
            <w:tcW w:w="8056" w:type="dxa"/>
            <w:shd w:val="clear" w:color="auto" w:fill="auto"/>
          </w:tcPr>
          <w:p w14:paraId="00A457F1" w14:textId="77777777" w:rsidR="00FF6FAD" w:rsidRPr="00FF6FAD" w:rsidRDefault="00FF6FAD" w:rsidP="00FF6FAD">
            <w:pPr>
              <w:pStyle w:val="Akapitzlist"/>
              <w:numPr>
                <w:ilvl w:val="0"/>
                <w:numId w:val="41"/>
              </w:numPr>
              <w:ind w:left="192" w:hanging="192"/>
              <w:rPr>
                <w:sz w:val="24"/>
                <w:szCs w:val="24"/>
              </w:rPr>
            </w:pPr>
            <w:r w:rsidRPr="00FF6FAD">
              <w:rPr>
                <w:sz w:val="24"/>
                <w:szCs w:val="24"/>
              </w:rPr>
              <w:t xml:space="preserve">Budowa i rozwój lokalnych systemów ostrzegania przed powodziami </w:t>
            </w:r>
          </w:p>
        </w:tc>
      </w:tr>
      <w:tr w:rsidR="00FF6FAD" w:rsidRPr="00FF6FAD" w14:paraId="019B9A4B" w14:textId="77777777" w:rsidTr="00993CF2">
        <w:trPr>
          <w:trHeight w:val="259"/>
        </w:trPr>
        <w:tc>
          <w:tcPr>
            <w:tcW w:w="444" w:type="dxa"/>
            <w:vMerge w:val="restart"/>
          </w:tcPr>
          <w:p w14:paraId="7735EFAE" w14:textId="77777777" w:rsidR="00FF6FAD" w:rsidRPr="00FF6FAD" w:rsidRDefault="00FF6FAD" w:rsidP="00993CF2">
            <w:r w:rsidRPr="00FF6FAD">
              <w:t>3.6</w:t>
            </w:r>
          </w:p>
        </w:tc>
        <w:tc>
          <w:tcPr>
            <w:tcW w:w="8056" w:type="dxa"/>
            <w:shd w:val="clear" w:color="auto" w:fill="F2DBDB" w:themeFill="accent2" w:themeFillTint="33"/>
          </w:tcPr>
          <w:p w14:paraId="6B38EAFB" w14:textId="77777777" w:rsidR="00FF6FAD" w:rsidRPr="00FF6FAD" w:rsidRDefault="00FF6FAD" w:rsidP="00993CF2">
            <w:r w:rsidRPr="00FF6FAD">
              <w:t>Zwiększenie świadomości i wiedzy na temat źródeł zagrożenia powodziowego i ryzyka powodziowego</w:t>
            </w:r>
          </w:p>
        </w:tc>
      </w:tr>
      <w:tr w:rsidR="00FF6FAD" w:rsidRPr="00FF6FAD" w14:paraId="0356D81B" w14:textId="77777777" w:rsidTr="00993CF2">
        <w:trPr>
          <w:trHeight w:val="259"/>
        </w:trPr>
        <w:tc>
          <w:tcPr>
            <w:tcW w:w="444" w:type="dxa"/>
            <w:vMerge/>
          </w:tcPr>
          <w:p w14:paraId="497AF381" w14:textId="77777777" w:rsidR="00FF6FAD" w:rsidRPr="00FF6FAD" w:rsidRDefault="00FF6FAD" w:rsidP="00993CF2"/>
        </w:tc>
        <w:tc>
          <w:tcPr>
            <w:tcW w:w="8056" w:type="dxa"/>
            <w:shd w:val="clear" w:color="auto" w:fill="auto"/>
          </w:tcPr>
          <w:p w14:paraId="0CDC87EA" w14:textId="77777777" w:rsidR="00FF6FAD" w:rsidRPr="00FF6FAD" w:rsidRDefault="00FF6FAD" w:rsidP="00FF6FAD">
            <w:pPr>
              <w:pStyle w:val="Akapitzlist"/>
              <w:numPr>
                <w:ilvl w:val="0"/>
                <w:numId w:val="41"/>
              </w:numPr>
              <w:ind w:left="192" w:hanging="192"/>
              <w:rPr>
                <w:sz w:val="24"/>
                <w:szCs w:val="24"/>
              </w:rPr>
            </w:pPr>
            <w:r w:rsidRPr="00FF6FAD">
              <w:rPr>
                <w:sz w:val="24"/>
                <w:szCs w:val="24"/>
              </w:rPr>
              <w:t>Inicjowanie programów edukacyjnych dla różnych odbiorców, w tym również dostarczanie materiałów metodycznych i edukacyjnych w zakresie zarządzania ryzykiem powodziowym</w:t>
            </w:r>
          </w:p>
        </w:tc>
      </w:tr>
      <w:tr w:rsidR="00FF6FAD" w:rsidRPr="00FF6FAD" w14:paraId="07743058" w14:textId="77777777" w:rsidTr="00993CF2">
        <w:trPr>
          <w:trHeight w:val="259"/>
        </w:trPr>
        <w:tc>
          <w:tcPr>
            <w:tcW w:w="444" w:type="dxa"/>
            <w:vMerge/>
          </w:tcPr>
          <w:p w14:paraId="35AD2AD9" w14:textId="77777777" w:rsidR="00FF6FAD" w:rsidRPr="00FF6FAD" w:rsidRDefault="00FF6FAD" w:rsidP="00993CF2"/>
        </w:tc>
        <w:tc>
          <w:tcPr>
            <w:tcW w:w="8056" w:type="dxa"/>
            <w:shd w:val="clear" w:color="auto" w:fill="auto"/>
          </w:tcPr>
          <w:p w14:paraId="4F5192A9" w14:textId="77777777" w:rsidR="00FF6FAD" w:rsidRPr="00FF6FAD" w:rsidRDefault="00FF6FAD" w:rsidP="00FF6FAD">
            <w:pPr>
              <w:pStyle w:val="Akapitzlist"/>
              <w:numPr>
                <w:ilvl w:val="0"/>
                <w:numId w:val="41"/>
              </w:numPr>
              <w:ind w:left="192" w:hanging="192"/>
              <w:rPr>
                <w:sz w:val="24"/>
                <w:szCs w:val="24"/>
              </w:rPr>
            </w:pPr>
            <w:r w:rsidRPr="00FF6FAD">
              <w:rPr>
                <w:sz w:val="24"/>
                <w:szCs w:val="24"/>
              </w:rPr>
              <w:t>Realizacja programów edukacyjno-promocyjnych dla różnych odbiorców w zakresie zarządzania ryzykiem powodziowym</w:t>
            </w:r>
          </w:p>
        </w:tc>
      </w:tr>
    </w:tbl>
    <w:p w14:paraId="156AB075" w14:textId="7CA031ED" w:rsidR="00FF6FAD" w:rsidRDefault="00FF6FAD" w:rsidP="007C28CC">
      <w:pPr>
        <w:pStyle w:val="ReportText"/>
        <w:spacing w:before="120"/>
      </w:pPr>
    </w:p>
    <w:p w14:paraId="1C5B5166" w14:textId="77777777" w:rsidR="00BA0236" w:rsidRPr="007C28CC" w:rsidRDefault="00BA0236" w:rsidP="007C28CC">
      <w:pPr>
        <w:pStyle w:val="ReportText"/>
        <w:spacing w:before="120"/>
      </w:pPr>
      <w:r w:rsidRPr="007C28CC">
        <w:br w:type="page"/>
      </w:r>
    </w:p>
    <w:p w14:paraId="40223DFB" w14:textId="77777777" w:rsidR="00BA0236" w:rsidRPr="007C28CC" w:rsidRDefault="00BA0236" w:rsidP="00E8074C">
      <w:pPr>
        <w:pStyle w:val="ReportLevel1"/>
        <w:numPr>
          <w:ilvl w:val="0"/>
          <w:numId w:val="9"/>
        </w:numPr>
      </w:pPr>
      <w:bookmarkStart w:id="219" w:name="_Toc79178597"/>
      <w:bookmarkStart w:id="220" w:name="_Toc79511693"/>
      <w:bookmarkStart w:id="221" w:name="_Toc80604872"/>
      <w:r w:rsidRPr="007C28CC">
        <w:lastRenderedPageBreak/>
        <w:t>Opis sposobu przypisania priorytetów działaniom służącym osiągnięciu celów zarządzania ryzykiem powodziowym</w:t>
      </w:r>
      <w:bookmarkEnd w:id="219"/>
      <w:bookmarkEnd w:id="220"/>
      <w:bookmarkEnd w:id="221"/>
    </w:p>
    <w:p w14:paraId="7CB0A603" w14:textId="77777777" w:rsidR="00BA0236" w:rsidRPr="00FF6FAD" w:rsidRDefault="00BA0236" w:rsidP="007C28CC">
      <w:pPr>
        <w:pStyle w:val="ReportText"/>
        <w:spacing w:before="120" w:after="120"/>
        <w:rPr>
          <w:szCs w:val="24"/>
        </w:rPr>
      </w:pPr>
      <w:r w:rsidRPr="007C28CC">
        <w:t xml:space="preserve">Wszystkim działaniom ujętym na ostatecznej liście przypisano priorytety ich realizacji z zastosowaniem 5 stopniowej skali, zgodnej z zaleceniami Komisji </w:t>
      </w:r>
      <w:r w:rsidRPr="00FF6FAD">
        <w:rPr>
          <w:szCs w:val="24"/>
        </w:rPr>
        <w:t xml:space="preserve">Europejskiej, wskazując działania o: </w:t>
      </w:r>
    </w:p>
    <w:p w14:paraId="1FDDCD82" w14:textId="77777777" w:rsidR="00BA0236" w:rsidRPr="00FF6FAD" w:rsidRDefault="00BA0236" w:rsidP="00E8074C">
      <w:pPr>
        <w:pStyle w:val="Akapitzlist"/>
        <w:numPr>
          <w:ilvl w:val="0"/>
          <w:numId w:val="19"/>
        </w:numPr>
        <w:spacing w:after="160" w:line="259" w:lineRule="auto"/>
        <w:jc w:val="both"/>
        <w:rPr>
          <w:sz w:val="24"/>
          <w:szCs w:val="24"/>
        </w:rPr>
      </w:pPr>
      <w:r w:rsidRPr="00FF6FAD">
        <w:rPr>
          <w:sz w:val="24"/>
          <w:szCs w:val="24"/>
        </w:rPr>
        <w:t xml:space="preserve">niskim priorytecie (low - 1); </w:t>
      </w:r>
    </w:p>
    <w:p w14:paraId="1B21B6FE" w14:textId="77777777" w:rsidR="00BA0236" w:rsidRPr="00FF6FAD" w:rsidRDefault="00BA0236" w:rsidP="00E8074C">
      <w:pPr>
        <w:pStyle w:val="Akapitzlist"/>
        <w:numPr>
          <w:ilvl w:val="0"/>
          <w:numId w:val="19"/>
        </w:numPr>
        <w:spacing w:after="160" w:line="259" w:lineRule="auto"/>
        <w:jc w:val="both"/>
        <w:rPr>
          <w:sz w:val="24"/>
          <w:szCs w:val="24"/>
        </w:rPr>
      </w:pPr>
      <w:r w:rsidRPr="00FF6FAD">
        <w:rPr>
          <w:sz w:val="24"/>
          <w:szCs w:val="24"/>
        </w:rPr>
        <w:t xml:space="preserve">umiarkowanym priorytecie (moderate - 2); </w:t>
      </w:r>
    </w:p>
    <w:p w14:paraId="7775DBAD" w14:textId="77777777" w:rsidR="00BA0236" w:rsidRPr="00FF6FAD" w:rsidRDefault="00BA0236" w:rsidP="00E8074C">
      <w:pPr>
        <w:pStyle w:val="Akapitzlist"/>
        <w:numPr>
          <w:ilvl w:val="0"/>
          <w:numId w:val="19"/>
        </w:numPr>
        <w:spacing w:after="160" w:line="259" w:lineRule="auto"/>
        <w:jc w:val="both"/>
        <w:rPr>
          <w:sz w:val="24"/>
          <w:szCs w:val="24"/>
        </w:rPr>
      </w:pPr>
      <w:r w:rsidRPr="00FF6FAD">
        <w:rPr>
          <w:sz w:val="24"/>
          <w:szCs w:val="24"/>
        </w:rPr>
        <w:t xml:space="preserve">wysokim priorytecie (high - 3); </w:t>
      </w:r>
    </w:p>
    <w:p w14:paraId="7F797EE5" w14:textId="77777777" w:rsidR="00BA0236" w:rsidRPr="00FF6FAD" w:rsidRDefault="00BA0236" w:rsidP="00E8074C">
      <w:pPr>
        <w:pStyle w:val="Akapitzlist"/>
        <w:numPr>
          <w:ilvl w:val="0"/>
          <w:numId w:val="19"/>
        </w:numPr>
        <w:spacing w:after="160" w:line="259" w:lineRule="auto"/>
        <w:jc w:val="both"/>
        <w:rPr>
          <w:sz w:val="24"/>
          <w:szCs w:val="24"/>
        </w:rPr>
      </w:pPr>
      <w:r w:rsidRPr="00FF6FAD">
        <w:rPr>
          <w:sz w:val="24"/>
          <w:szCs w:val="24"/>
        </w:rPr>
        <w:t xml:space="preserve">bardzo wysokim priorytecie (very high - 4); </w:t>
      </w:r>
    </w:p>
    <w:p w14:paraId="73060B8D" w14:textId="77777777" w:rsidR="00BA0236" w:rsidRPr="00FF6FAD" w:rsidRDefault="00BA0236" w:rsidP="00E8074C">
      <w:pPr>
        <w:pStyle w:val="Akapitzlist"/>
        <w:numPr>
          <w:ilvl w:val="0"/>
          <w:numId w:val="19"/>
        </w:numPr>
        <w:spacing w:after="160" w:line="259" w:lineRule="auto"/>
        <w:jc w:val="both"/>
        <w:rPr>
          <w:sz w:val="24"/>
          <w:szCs w:val="24"/>
        </w:rPr>
      </w:pPr>
      <w:r w:rsidRPr="00FF6FAD">
        <w:rPr>
          <w:sz w:val="24"/>
          <w:szCs w:val="24"/>
        </w:rPr>
        <w:t xml:space="preserve">bezzwłocznym priorytecie (critical - 5). </w:t>
      </w:r>
    </w:p>
    <w:p w14:paraId="49F623DF" w14:textId="77777777" w:rsidR="00BA0236" w:rsidRPr="00FF6FAD" w:rsidRDefault="00BA0236" w:rsidP="007C28CC">
      <w:pPr>
        <w:pStyle w:val="ReportText"/>
        <w:spacing w:before="120" w:after="120"/>
        <w:rPr>
          <w:szCs w:val="24"/>
        </w:rPr>
      </w:pPr>
      <w:r w:rsidRPr="00FF6FAD">
        <w:rPr>
          <w:szCs w:val="24"/>
        </w:rPr>
        <w:t>Działania, którym należy przypisać bezzwłoczny priorytet (5) wynikający z konieczności zrealizowania tych działań, bez względu na to jaki te działania realizują cel główny aPZRP obejmują:</w:t>
      </w:r>
    </w:p>
    <w:p w14:paraId="02CB0166" w14:textId="77777777" w:rsidR="00BA0236" w:rsidRPr="00FF6FAD" w:rsidRDefault="00BA0236" w:rsidP="00E8074C">
      <w:pPr>
        <w:pStyle w:val="Akapitzlist"/>
        <w:numPr>
          <w:ilvl w:val="0"/>
          <w:numId w:val="19"/>
        </w:numPr>
        <w:spacing w:after="160" w:line="259" w:lineRule="auto"/>
        <w:jc w:val="both"/>
        <w:rPr>
          <w:sz w:val="24"/>
          <w:szCs w:val="24"/>
        </w:rPr>
      </w:pPr>
      <w:r w:rsidRPr="00FF6FAD">
        <w:rPr>
          <w:sz w:val="24"/>
          <w:szCs w:val="24"/>
        </w:rPr>
        <w:t>rozpoczęte w I cyklu planistycznym i przechodzącym do aPZRP;</w:t>
      </w:r>
    </w:p>
    <w:p w14:paraId="4101624C" w14:textId="77777777" w:rsidR="00BA0236" w:rsidRPr="00FF6FAD" w:rsidRDefault="00BA0236" w:rsidP="00E8074C">
      <w:pPr>
        <w:pStyle w:val="Akapitzlist"/>
        <w:numPr>
          <w:ilvl w:val="0"/>
          <w:numId w:val="19"/>
        </w:numPr>
        <w:spacing w:after="160" w:line="259" w:lineRule="auto"/>
        <w:jc w:val="both"/>
        <w:rPr>
          <w:sz w:val="24"/>
          <w:szCs w:val="24"/>
        </w:rPr>
      </w:pPr>
      <w:r w:rsidRPr="00FF6FAD">
        <w:rPr>
          <w:sz w:val="24"/>
          <w:szCs w:val="24"/>
        </w:rPr>
        <w:t xml:space="preserve">na które są wydane nakazy nadzoru budowlanego, ponieważ ich stan zagraża bezpieczeństwu; </w:t>
      </w:r>
    </w:p>
    <w:p w14:paraId="6D24D8F2" w14:textId="77777777" w:rsidR="00BA0236" w:rsidRPr="00FF6FAD" w:rsidRDefault="00BA0236" w:rsidP="00E8074C">
      <w:pPr>
        <w:pStyle w:val="Akapitzlist"/>
        <w:numPr>
          <w:ilvl w:val="0"/>
          <w:numId w:val="19"/>
        </w:numPr>
        <w:spacing w:after="160" w:line="259" w:lineRule="auto"/>
        <w:jc w:val="both"/>
        <w:rPr>
          <w:sz w:val="24"/>
          <w:szCs w:val="24"/>
        </w:rPr>
      </w:pPr>
      <w:r w:rsidRPr="00FF6FAD">
        <w:rPr>
          <w:sz w:val="24"/>
          <w:szCs w:val="24"/>
        </w:rPr>
        <w:t>wspólne dla aPZRP i aPZRPM</w:t>
      </w:r>
    </w:p>
    <w:p w14:paraId="39A3BCDE" w14:textId="77777777" w:rsidR="00BA0236" w:rsidRPr="00FF6FAD" w:rsidRDefault="00BA0236" w:rsidP="007C28CC">
      <w:pPr>
        <w:pStyle w:val="ReportText"/>
        <w:spacing w:before="120" w:after="120"/>
        <w:rPr>
          <w:szCs w:val="24"/>
        </w:rPr>
      </w:pPr>
      <w:r w:rsidRPr="00FF6FAD">
        <w:rPr>
          <w:szCs w:val="24"/>
        </w:rPr>
        <w:t>Działaniom nietechnicznym o charakterze horyzontalnym, tj. nie odnoszącym się do konkretnego obszaru problemowego, a także działaniom technicznym (z wyłączeniem działań technicznych realizujących cel 2) należy przypisać priorytety (w skali 1 – 5) uwzględniające przynależność danego działania do typu działania (któremu wcześniej przypisano priorytet niski, średni lub wysoki, przedstawiony w rozdziale 7) oraz ocenę indywidualnych cech priorytetyzowanego działania, czyli zastosowano następujące kryteria oceny:</w:t>
      </w:r>
    </w:p>
    <w:p w14:paraId="59915B5A" w14:textId="77777777" w:rsidR="00BA0236" w:rsidRPr="00FF6FAD" w:rsidRDefault="00BA0236" w:rsidP="00E8074C">
      <w:pPr>
        <w:pStyle w:val="Akapitzlist"/>
        <w:numPr>
          <w:ilvl w:val="0"/>
          <w:numId w:val="19"/>
        </w:numPr>
        <w:spacing w:after="120" w:line="259" w:lineRule="auto"/>
        <w:jc w:val="both"/>
        <w:rPr>
          <w:sz w:val="24"/>
          <w:szCs w:val="24"/>
        </w:rPr>
      </w:pPr>
      <w:r w:rsidRPr="00FF6FAD">
        <w:rPr>
          <w:sz w:val="24"/>
          <w:szCs w:val="24"/>
        </w:rPr>
        <w:t xml:space="preserve">Kryterium 1. Stan zaawansowania działania, o wadze 30%: </w:t>
      </w:r>
    </w:p>
    <w:p w14:paraId="386A6935" w14:textId="77777777" w:rsidR="00BA0236" w:rsidRPr="00FF6FAD" w:rsidRDefault="00BA0236" w:rsidP="00E8074C">
      <w:pPr>
        <w:pStyle w:val="Akapitzlist"/>
        <w:numPr>
          <w:ilvl w:val="0"/>
          <w:numId w:val="42"/>
        </w:numPr>
        <w:spacing w:after="120" w:line="259" w:lineRule="auto"/>
        <w:jc w:val="both"/>
        <w:rPr>
          <w:sz w:val="24"/>
          <w:szCs w:val="24"/>
        </w:rPr>
      </w:pPr>
      <w:r w:rsidRPr="00FF6FAD">
        <w:rPr>
          <w:sz w:val="24"/>
          <w:szCs w:val="24"/>
        </w:rPr>
        <w:t>Działanie w fazie pomysłu - dla działań technicznych - brak dokumentacji – ocena: 1</w:t>
      </w:r>
    </w:p>
    <w:p w14:paraId="6552E41A" w14:textId="77777777" w:rsidR="00BA0236" w:rsidRPr="00FF6FAD" w:rsidRDefault="00BA0236" w:rsidP="00E8074C">
      <w:pPr>
        <w:pStyle w:val="Akapitzlist"/>
        <w:numPr>
          <w:ilvl w:val="0"/>
          <w:numId w:val="42"/>
        </w:numPr>
        <w:spacing w:after="120" w:line="259" w:lineRule="auto"/>
        <w:jc w:val="both"/>
        <w:rPr>
          <w:sz w:val="24"/>
          <w:szCs w:val="24"/>
        </w:rPr>
      </w:pPr>
      <w:r w:rsidRPr="00FF6FAD">
        <w:rPr>
          <w:sz w:val="24"/>
          <w:szCs w:val="24"/>
        </w:rPr>
        <w:t>Działanie w fazie przygotowawczej - dla działań technicznych - jest koncepcja techniczna – ocena: 2</w:t>
      </w:r>
    </w:p>
    <w:p w14:paraId="3805AF15" w14:textId="77777777" w:rsidR="00BA0236" w:rsidRPr="00FF6FAD" w:rsidRDefault="00BA0236" w:rsidP="00E8074C">
      <w:pPr>
        <w:pStyle w:val="Akapitzlist"/>
        <w:numPr>
          <w:ilvl w:val="0"/>
          <w:numId w:val="42"/>
        </w:numPr>
        <w:spacing w:after="120" w:line="259" w:lineRule="auto"/>
        <w:jc w:val="both"/>
        <w:rPr>
          <w:sz w:val="24"/>
          <w:szCs w:val="24"/>
        </w:rPr>
      </w:pPr>
      <w:r w:rsidRPr="00FF6FAD">
        <w:rPr>
          <w:sz w:val="24"/>
          <w:szCs w:val="24"/>
        </w:rPr>
        <w:t xml:space="preserve">Dla działań technicznych - jest decyzja środowiskowa – ocena: 3 </w:t>
      </w:r>
    </w:p>
    <w:p w14:paraId="4D1A9936" w14:textId="77777777" w:rsidR="00BA0236" w:rsidRPr="00FF6FAD" w:rsidRDefault="00BA0236" w:rsidP="00E8074C">
      <w:pPr>
        <w:pStyle w:val="Akapitzlist"/>
        <w:numPr>
          <w:ilvl w:val="0"/>
          <w:numId w:val="42"/>
        </w:numPr>
        <w:spacing w:after="120" w:line="259" w:lineRule="auto"/>
        <w:jc w:val="both"/>
        <w:rPr>
          <w:sz w:val="24"/>
          <w:szCs w:val="24"/>
        </w:rPr>
      </w:pPr>
      <w:r w:rsidRPr="00FF6FAD">
        <w:rPr>
          <w:sz w:val="24"/>
          <w:szCs w:val="24"/>
        </w:rPr>
        <w:t xml:space="preserve">Działanie gotowe do wdrożenia - dla działań technicznych - jest pozwolenie na budowę – ocena: 4 </w:t>
      </w:r>
    </w:p>
    <w:p w14:paraId="10748BA1" w14:textId="77777777" w:rsidR="00BA0236" w:rsidRPr="00FF6FAD" w:rsidRDefault="00BA0236" w:rsidP="00E8074C">
      <w:pPr>
        <w:pStyle w:val="Akapitzlist"/>
        <w:numPr>
          <w:ilvl w:val="0"/>
          <w:numId w:val="19"/>
        </w:numPr>
        <w:spacing w:after="120" w:line="259" w:lineRule="auto"/>
        <w:jc w:val="both"/>
        <w:rPr>
          <w:sz w:val="24"/>
          <w:szCs w:val="24"/>
        </w:rPr>
      </w:pPr>
      <w:r w:rsidRPr="00FF6FAD">
        <w:rPr>
          <w:sz w:val="24"/>
          <w:szCs w:val="24"/>
        </w:rPr>
        <w:t xml:space="preserve">Kryterium 2. Zapewnienie finansowania, o wadze 30%: </w:t>
      </w:r>
    </w:p>
    <w:p w14:paraId="621D5F40" w14:textId="77777777" w:rsidR="00BA0236" w:rsidRPr="00FF6FAD" w:rsidRDefault="00BA0236" w:rsidP="00E8074C">
      <w:pPr>
        <w:pStyle w:val="Akapitzlist"/>
        <w:numPr>
          <w:ilvl w:val="0"/>
          <w:numId w:val="42"/>
        </w:numPr>
        <w:spacing w:after="120" w:line="259" w:lineRule="auto"/>
        <w:jc w:val="both"/>
        <w:rPr>
          <w:sz w:val="24"/>
          <w:szCs w:val="24"/>
        </w:rPr>
      </w:pPr>
      <w:r w:rsidRPr="00FF6FAD">
        <w:rPr>
          <w:sz w:val="24"/>
          <w:szCs w:val="24"/>
        </w:rPr>
        <w:t xml:space="preserve">Posiada potwierdzone finansowanie – ocena: 2 </w:t>
      </w:r>
    </w:p>
    <w:p w14:paraId="1BDC0A32" w14:textId="77777777" w:rsidR="00BA0236" w:rsidRPr="00FF6FAD" w:rsidRDefault="00BA0236" w:rsidP="00E8074C">
      <w:pPr>
        <w:pStyle w:val="Akapitzlist"/>
        <w:numPr>
          <w:ilvl w:val="0"/>
          <w:numId w:val="42"/>
        </w:numPr>
        <w:spacing w:after="120" w:line="259" w:lineRule="auto"/>
        <w:jc w:val="both"/>
        <w:rPr>
          <w:sz w:val="24"/>
          <w:szCs w:val="24"/>
        </w:rPr>
      </w:pPr>
      <w:r w:rsidRPr="00FF6FAD">
        <w:rPr>
          <w:sz w:val="24"/>
          <w:szCs w:val="24"/>
        </w:rPr>
        <w:t>Planuje się pozyskać finansowanie – ocena: 1</w:t>
      </w:r>
    </w:p>
    <w:p w14:paraId="637FE1E0" w14:textId="77777777" w:rsidR="00BA0236" w:rsidRPr="00FF6FAD" w:rsidRDefault="00BA0236" w:rsidP="00E8074C">
      <w:pPr>
        <w:pStyle w:val="Akapitzlist"/>
        <w:numPr>
          <w:ilvl w:val="0"/>
          <w:numId w:val="19"/>
        </w:numPr>
        <w:spacing w:after="120" w:line="259" w:lineRule="auto"/>
        <w:jc w:val="both"/>
        <w:rPr>
          <w:sz w:val="24"/>
          <w:szCs w:val="24"/>
        </w:rPr>
      </w:pPr>
      <w:r w:rsidRPr="00FF6FAD">
        <w:rPr>
          <w:sz w:val="24"/>
          <w:szCs w:val="24"/>
        </w:rPr>
        <w:t xml:space="preserve">Kryterium 3. Przynależność ocenianego działania do typu działania o danym priorytecie, o wadze 40%: </w:t>
      </w:r>
    </w:p>
    <w:p w14:paraId="3C0933AE" w14:textId="77777777" w:rsidR="00BA0236" w:rsidRPr="00FF6FAD" w:rsidRDefault="00BA0236" w:rsidP="00E8074C">
      <w:pPr>
        <w:pStyle w:val="Akapitzlist"/>
        <w:numPr>
          <w:ilvl w:val="0"/>
          <w:numId w:val="42"/>
        </w:numPr>
        <w:spacing w:after="120" w:line="259" w:lineRule="auto"/>
        <w:jc w:val="both"/>
        <w:rPr>
          <w:sz w:val="24"/>
          <w:szCs w:val="24"/>
        </w:rPr>
      </w:pPr>
      <w:r w:rsidRPr="00FF6FAD">
        <w:rPr>
          <w:sz w:val="24"/>
          <w:szCs w:val="24"/>
        </w:rPr>
        <w:t xml:space="preserve">Działania należące do typu o wysokim priorytecie - ocena: 3 </w:t>
      </w:r>
    </w:p>
    <w:p w14:paraId="481063DE" w14:textId="77777777" w:rsidR="00BA0236" w:rsidRPr="00FF6FAD" w:rsidRDefault="00BA0236" w:rsidP="00E8074C">
      <w:pPr>
        <w:pStyle w:val="Akapitzlist"/>
        <w:numPr>
          <w:ilvl w:val="0"/>
          <w:numId w:val="42"/>
        </w:numPr>
        <w:spacing w:after="120" w:line="259" w:lineRule="auto"/>
        <w:jc w:val="both"/>
        <w:rPr>
          <w:sz w:val="24"/>
          <w:szCs w:val="24"/>
        </w:rPr>
      </w:pPr>
      <w:r w:rsidRPr="00FF6FAD">
        <w:rPr>
          <w:sz w:val="24"/>
          <w:szCs w:val="24"/>
        </w:rPr>
        <w:t xml:space="preserve">Działania należące do typu o średnim priorytecie - ocena: 2 </w:t>
      </w:r>
    </w:p>
    <w:p w14:paraId="37D40454" w14:textId="77777777" w:rsidR="00BA0236" w:rsidRPr="00FF6FAD" w:rsidRDefault="00BA0236" w:rsidP="00E8074C">
      <w:pPr>
        <w:pStyle w:val="Akapitzlist"/>
        <w:numPr>
          <w:ilvl w:val="0"/>
          <w:numId w:val="42"/>
        </w:numPr>
        <w:spacing w:after="120" w:line="259" w:lineRule="auto"/>
        <w:jc w:val="both"/>
        <w:rPr>
          <w:sz w:val="24"/>
          <w:szCs w:val="24"/>
        </w:rPr>
      </w:pPr>
      <w:r w:rsidRPr="00FF6FAD">
        <w:rPr>
          <w:sz w:val="24"/>
          <w:szCs w:val="24"/>
        </w:rPr>
        <w:t>Działania należące do typu o niskim priorytecie - ocena: 1.</w:t>
      </w:r>
    </w:p>
    <w:p w14:paraId="5BB6EBB2" w14:textId="77777777" w:rsidR="00BA0236" w:rsidRPr="007C28CC" w:rsidRDefault="00BA0236" w:rsidP="007C28CC">
      <w:pPr>
        <w:pStyle w:val="ReportText"/>
        <w:spacing w:before="120" w:after="120"/>
      </w:pPr>
      <w:r w:rsidRPr="00FF6FAD">
        <w:rPr>
          <w:szCs w:val="24"/>
        </w:rPr>
        <w:lastRenderedPageBreak/>
        <w:t>Działaniom nietechnicznym, odnoszącym się do konkretnego</w:t>
      </w:r>
      <w:r w:rsidRPr="007C28CC">
        <w:t xml:space="preserve"> obszaru problemowego, należy przypisać priorytety (w skali 1 – 5), kierując się wartością średniorocznych strat powodziowych AAD w obszarze problemowym, do którego dane działanie się odnosi. </w:t>
      </w:r>
    </w:p>
    <w:p w14:paraId="137CFC0F" w14:textId="77777777" w:rsidR="00BA0236" w:rsidRPr="007C28CC" w:rsidRDefault="00BA0236" w:rsidP="007C28CC">
      <w:pPr>
        <w:pStyle w:val="ReportText"/>
        <w:spacing w:before="120" w:after="120"/>
      </w:pPr>
      <w:r w:rsidRPr="007C28CC">
        <w:t xml:space="preserve">Nowym działaniom technicznym przewidzianym w aPZRP realizującym cel 2, należy przypisać priorytety (w skali 1 – 5) na poziomie regionu wodnego (lub dorzecza) jako wypadkową wyznaczonego wstępnie priorytetu na poziomie typu działania, a także priorytetu redukcji ryzyka powodziowego w obszarze problemowym, któremu dedykowane jest to działanie. </w:t>
      </w:r>
    </w:p>
    <w:p w14:paraId="415E7D40" w14:textId="77AE3AD9" w:rsidR="00BA0236" w:rsidRDefault="00BA0236" w:rsidP="00BD676A">
      <w:pPr>
        <w:pStyle w:val="ReportText"/>
        <w:spacing w:before="120" w:after="120"/>
      </w:pPr>
      <w:r w:rsidRPr="007C28CC">
        <w:t>Lista działań z przypisanymi priorytetami znajduje się w Załączniku 5 – Ostateczna lista działań.</w:t>
      </w:r>
    </w:p>
    <w:p w14:paraId="32C50C5D" w14:textId="77777777" w:rsidR="00F31701" w:rsidRDefault="00F31701">
      <w:pPr>
        <w:rPr>
          <w:b/>
          <w:color w:val="28AAE1"/>
          <w:sz w:val="36"/>
          <w:szCs w:val="20"/>
          <w:lang w:eastAsia="en-US"/>
        </w:rPr>
      </w:pPr>
      <w:r>
        <w:br w:type="page"/>
      </w:r>
    </w:p>
    <w:p w14:paraId="5EA6B7DF" w14:textId="79008941" w:rsidR="0039605B" w:rsidRPr="0039605B" w:rsidRDefault="0039605B" w:rsidP="0039605B">
      <w:pPr>
        <w:pStyle w:val="ReportLevel1"/>
        <w:numPr>
          <w:ilvl w:val="0"/>
          <w:numId w:val="9"/>
        </w:numPr>
      </w:pPr>
      <w:bookmarkStart w:id="222" w:name="_Toc80604873"/>
      <w:r w:rsidRPr="0039605B">
        <w:lastRenderedPageBreak/>
        <w:t>Podsumowanie działań prowadzonych podczas prac nad aPZRPM</w:t>
      </w:r>
      <w:bookmarkEnd w:id="222"/>
      <w:r w:rsidRPr="0039605B">
        <w:t xml:space="preserve"> </w:t>
      </w:r>
    </w:p>
    <w:p w14:paraId="0694F19D" w14:textId="1C46AEA5" w:rsidR="005F0BA9" w:rsidRDefault="005F0BA9" w:rsidP="0039605B">
      <w:pPr>
        <w:pStyle w:val="ReportLevel2"/>
        <w:numPr>
          <w:ilvl w:val="1"/>
          <w:numId w:val="9"/>
        </w:numPr>
      </w:pPr>
      <w:bookmarkStart w:id="223" w:name="_Toc80604874"/>
      <w:r>
        <w:t>Podsumowanie przeglądu i aktualizacji MZP i MRP</w:t>
      </w:r>
      <w:bookmarkEnd w:id="223"/>
      <w:r>
        <w:t xml:space="preserve"> </w:t>
      </w:r>
    </w:p>
    <w:p w14:paraId="1B05B6F4" w14:textId="77777777" w:rsidR="005F0BA9" w:rsidRDefault="005F0BA9" w:rsidP="005F0BA9">
      <w:pPr>
        <w:pStyle w:val="ReportText"/>
        <w:spacing w:before="120" w:after="120"/>
      </w:pPr>
      <w:r>
        <w:t xml:space="preserve">Realizacja projektu: Przegląd i aktualizacja map zagrożenia powodziowego (MZP) i map ryzyka powodziowego (MRP) w II cyklu planistycznym wdrażania Dyrektywy Powodziowej, finansowana była ze środków Programu Operacyjnego Infrastruktura i Środowisko 2014- 2020, Oś priorytetowa II: Ochrona środowiska w tym adaptacja do zmian klimatu, Działanie 2.1 Adaptacja do zmian klimatu wraz z zabezpieczeniem i zwiększeniem odporności na klęski żywiołowe, w szczególności katastrofy naturalne oraz monitoring środowiska. Projekt opracowywany był w latach 2017 – 2020. </w:t>
      </w:r>
    </w:p>
    <w:p w14:paraId="45487AD8" w14:textId="77777777" w:rsidR="005F0BA9" w:rsidRDefault="005F0BA9" w:rsidP="005F0BA9">
      <w:pPr>
        <w:pStyle w:val="ReportText"/>
        <w:spacing w:before="120" w:after="120"/>
      </w:pPr>
      <w:r>
        <w:t>Zakres prac zrealizowanych w II cyklu planistycznym (2016-2021) obejmował:</w:t>
      </w:r>
    </w:p>
    <w:p w14:paraId="089D7FE5" w14:textId="77777777" w:rsidR="005F0BA9" w:rsidRDefault="005F0BA9" w:rsidP="00F31701">
      <w:pPr>
        <w:pStyle w:val="ReportText"/>
        <w:numPr>
          <w:ilvl w:val="0"/>
          <w:numId w:val="60"/>
        </w:numPr>
        <w:spacing w:before="120" w:after="120"/>
      </w:pPr>
      <w:r>
        <w:t xml:space="preserve">przegląd MZP i MRP opracowanych w I cyklu planistycznym oraz ich aktualizację w razie stwierdzenia takiej potrzeby; </w:t>
      </w:r>
    </w:p>
    <w:p w14:paraId="1D403C5A" w14:textId="77777777" w:rsidR="005F0BA9" w:rsidRDefault="005F0BA9" w:rsidP="00F31701">
      <w:pPr>
        <w:pStyle w:val="ReportText"/>
        <w:numPr>
          <w:ilvl w:val="0"/>
          <w:numId w:val="60"/>
        </w:numPr>
        <w:spacing w:before="120" w:after="120"/>
      </w:pPr>
      <w:r>
        <w:t xml:space="preserve">sporządzenie nowych map zagrożenia powodziowego i map ryzyka powodziowego dla obszarów i typów powodzi wskazanych w wyniku przeglądu i aktualizacji wstępnej oceny ryzyka powodziowego zakończonej w 2018 r. </w:t>
      </w:r>
    </w:p>
    <w:p w14:paraId="4457F919" w14:textId="77777777" w:rsidR="005F0BA9" w:rsidRDefault="005F0BA9" w:rsidP="005F0BA9">
      <w:pPr>
        <w:pStyle w:val="ReportText"/>
        <w:spacing w:before="120" w:after="120"/>
      </w:pPr>
      <w:r>
        <w:t xml:space="preserve">Podstawę przeglądu, aktualizacji oraz opracowania map zagrożenia powodziowego i map ryzyka powodziowego stanowiły następujące akty prawne: </w:t>
      </w:r>
    </w:p>
    <w:p w14:paraId="7DFC1AF5" w14:textId="77777777" w:rsidR="005F0BA9" w:rsidRDefault="005F0BA9" w:rsidP="00F31701">
      <w:pPr>
        <w:pStyle w:val="ReportText"/>
        <w:numPr>
          <w:ilvl w:val="0"/>
          <w:numId w:val="61"/>
        </w:numPr>
        <w:spacing w:before="120" w:after="120"/>
      </w:pPr>
      <w:r>
        <w:t xml:space="preserve">Dyrektywa 2007/60/WE Parlamentu Europejskiego i Rady z dnia 23 października 2007 r. w sprawie oceny ryzyka powodziowego i zarządzania nim (Dyrektywa Powodziowa); </w:t>
      </w:r>
    </w:p>
    <w:p w14:paraId="4BA311E7" w14:textId="77777777" w:rsidR="005F0BA9" w:rsidRDefault="005F0BA9" w:rsidP="00F31701">
      <w:pPr>
        <w:pStyle w:val="ReportText"/>
        <w:numPr>
          <w:ilvl w:val="0"/>
          <w:numId w:val="61"/>
        </w:numPr>
        <w:spacing w:before="120" w:after="120"/>
      </w:pPr>
      <w:r>
        <w:t xml:space="preserve">Ustawa z dnia 20 lipca 2017 r. – Prawo wodne (Dz. U. z 2020 r. poz. 310, z późn. zm.); </w:t>
      </w:r>
    </w:p>
    <w:p w14:paraId="49F2B025" w14:textId="77777777" w:rsidR="005F0BA9" w:rsidRDefault="005F0BA9" w:rsidP="00F31701">
      <w:pPr>
        <w:pStyle w:val="ReportText"/>
        <w:numPr>
          <w:ilvl w:val="0"/>
          <w:numId w:val="61"/>
        </w:numPr>
        <w:spacing w:before="120" w:after="120"/>
      </w:pPr>
      <w:r>
        <w:t xml:space="preserve">Rozporządzenie Ministra Gospodarki Morskiej i Żeglugi Śródlądowej z dnia 4 października 2018 r. w sprawie opracowania map zagrożenia powodziowego oraz map ryzyka powodziowego (Dz. U z 2018 r. poz. 2031). </w:t>
      </w:r>
    </w:p>
    <w:p w14:paraId="7E5C647D" w14:textId="77777777" w:rsidR="005F0BA9" w:rsidRDefault="005F0BA9" w:rsidP="005F0BA9">
      <w:pPr>
        <w:pStyle w:val="ReportText"/>
        <w:spacing w:before="120" w:after="120"/>
      </w:pPr>
      <w:r>
        <w:t>Zgodnie z art. 555 ust. 2 pkt 4 i 5 ustawy z dnia 20 lipca 2017 r. – Prawo wodne (</w:t>
      </w:r>
      <w:r w:rsidRPr="00725707">
        <w:t>Dz. U. z 2021 r. poz. 624 ze zm.)</w:t>
      </w:r>
      <w:r>
        <w:t xml:space="preserve">, zwanej dalej „ustawą – Prawo wodne”, opracowane dotychczas mapy zagrożenia powodziowego i mapy ryzyka powodziowego zachowują ważność. </w:t>
      </w:r>
    </w:p>
    <w:p w14:paraId="39880293" w14:textId="77777777" w:rsidR="005F0BA9" w:rsidRDefault="005F0BA9" w:rsidP="005F0BA9">
      <w:pPr>
        <w:pStyle w:val="ReportText"/>
        <w:spacing w:before="120" w:after="120"/>
      </w:pPr>
      <w:r>
        <w:t xml:space="preserve">Zgodnie z art. 171 ust. 8 ustawy – Prawo wodne, mapy zagrożenia powodziowego i mapy ryzyka powodziowego podlegają przeglądowi co 6 lat oraz w razie potrzeby aktualizacji. Ostatni przegląd i aktualizacja map zagrożenia powodziowego i map ryzyka powodziowego, zostały podane do publicznej wiadomości w dniu 22.10.2020 r. </w:t>
      </w:r>
    </w:p>
    <w:p w14:paraId="31D7A249" w14:textId="77777777" w:rsidR="005F0BA9" w:rsidRDefault="005F0BA9" w:rsidP="005F0BA9">
      <w:pPr>
        <w:pStyle w:val="ReportText"/>
        <w:spacing w:before="120" w:after="120"/>
      </w:pPr>
      <w:r>
        <w:t xml:space="preserve">Zgodnie z art. 169 ust. 1 ustawy – Prawo wodne mapy zagrożenia powodziowego i mapy ryzyka powodziowego sporządzane są dla obszarów narażonych na niebezpieczeństwo powodzi, wyznaczonych na podstawie wstępnej oceny ryzyka powodziowego. </w:t>
      </w:r>
    </w:p>
    <w:p w14:paraId="38799F0A" w14:textId="77777777" w:rsidR="005F0BA9" w:rsidRDefault="005F0BA9" w:rsidP="005F0BA9">
      <w:pPr>
        <w:pStyle w:val="ReportText"/>
        <w:spacing w:before="120" w:after="120"/>
      </w:pPr>
      <w:r>
        <w:t xml:space="preserve">Zakres oraz sposób opracowania map zagrożenia powodziowego i map ryzyka powodziowego określony został w art. 169-171 ustawy – Prawo wodne. Ww. artykuły wskazują również tryb ich opiniowania oraz uzgadniania. </w:t>
      </w:r>
    </w:p>
    <w:p w14:paraId="2CD71847" w14:textId="77777777" w:rsidR="005F0BA9" w:rsidRDefault="005F0BA9" w:rsidP="005F0BA9">
      <w:pPr>
        <w:pStyle w:val="ReportText"/>
        <w:spacing w:before="120" w:after="120"/>
      </w:pPr>
      <w:r>
        <w:lastRenderedPageBreak/>
        <w:t>Zgodnie z ustawą – Prawo wodne (art. 169 ust. 2) na mapach zagrożenia powodziowego przedstawia się w szczególności:</w:t>
      </w:r>
    </w:p>
    <w:p w14:paraId="52CB26DF" w14:textId="77777777" w:rsidR="005F0BA9" w:rsidRDefault="005F0BA9" w:rsidP="00F31701">
      <w:pPr>
        <w:pStyle w:val="ReportText"/>
        <w:numPr>
          <w:ilvl w:val="0"/>
          <w:numId w:val="63"/>
        </w:numPr>
        <w:spacing w:before="120" w:after="120"/>
      </w:pPr>
      <w:r>
        <w:t xml:space="preserve">obszary, na których prawdopodobieństwo powodzi jest niskie i wynosi 0,2% lub na których istnieje prawdopodobieństwo wystąpienia zdarzenia ekstremalnego; </w:t>
      </w:r>
    </w:p>
    <w:p w14:paraId="569F1300" w14:textId="77777777" w:rsidR="005F0BA9" w:rsidRDefault="005F0BA9" w:rsidP="00F31701">
      <w:pPr>
        <w:pStyle w:val="ReportText"/>
        <w:numPr>
          <w:ilvl w:val="0"/>
          <w:numId w:val="63"/>
        </w:numPr>
        <w:spacing w:before="120" w:after="120"/>
      </w:pPr>
      <w:r>
        <w:t xml:space="preserve">obszary szczególnego zagrożenia powodzią; </w:t>
      </w:r>
    </w:p>
    <w:p w14:paraId="2FA8C69C" w14:textId="77777777" w:rsidR="005F0BA9" w:rsidRDefault="005F0BA9" w:rsidP="00F31701">
      <w:pPr>
        <w:pStyle w:val="ReportText"/>
        <w:numPr>
          <w:ilvl w:val="0"/>
          <w:numId w:val="63"/>
        </w:numPr>
        <w:spacing w:before="120" w:after="120"/>
      </w:pPr>
      <w:r>
        <w:t xml:space="preserve">obszary obejmujące tereny narażone na zalanie w przypadku uszkodzenia lub zniszczenia: </w:t>
      </w:r>
    </w:p>
    <w:p w14:paraId="78D81FD1" w14:textId="77777777" w:rsidR="005F0BA9" w:rsidRDefault="005F0BA9" w:rsidP="00F31701">
      <w:pPr>
        <w:pStyle w:val="ReportText"/>
        <w:numPr>
          <w:ilvl w:val="0"/>
          <w:numId w:val="62"/>
        </w:numPr>
        <w:spacing w:before="120" w:after="120"/>
      </w:pPr>
      <w:r>
        <w:t xml:space="preserve">wału przeciwpowodziowego; </w:t>
      </w:r>
    </w:p>
    <w:p w14:paraId="16498A44" w14:textId="77777777" w:rsidR="005F0BA9" w:rsidRDefault="005F0BA9" w:rsidP="00F31701">
      <w:pPr>
        <w:pStyle w:val="ReportText"/>
        <w:numPr>
          <w:ilvl w:val="0"/>
          <w:numId w:val="62"/>
        </w:numPr>
        <w:spacing w:before="120" w:after="120"/>
      </w:pPr>
      <w:r>
        <w:t xml:space="preserve">wału przeciwsztormowego; </w:t>
      </w:r>
    </w:p>
    <w:p w14:paraId="1E4A1791" w14:textId="77777777" w:rsidR="005F0BA9" w:rsidRDefault="005F0BA9" w:rsidP="00F31701">
      <w:pPr>
        <w:pStyle w:val="ReportText"/>
        <w:numPr>
          <w:ilvl w:val="0"/>
          <w:numId w:val="62"/>
        </w:numPr>
        <w:spacing w:before="120" w:after="120"/>
      </w:pPr>
      <w:r>
        <w:t>budowli piętrzącej.</w:t>
      </w:r>
    </w:p>
    <w:p w14:paraId="1B76C662" w14:textId="77777777" w:rsidR="005F0BA9" w:rsidRDefault="005F0BA9" w:rsidP="005F0BA9">
      <w:pPr>
        <w:pStyle w:val="ReportText"/>
        <w:spacing w:before="120" w:after="120"/>
      </w:pPr>
      <w:r>
        <w:t>Dla obszarów, o których mowa w art. 169 ust. 2 ustawy, sporządza się mapy ryzyka powodziowego. Na mapach ryzyka powodziowego (zgodnie z art. 170 ust. 2) przedstawia się potencjalnie negatywne skutki związane z powodzią, uwzględniające:</w:t>
      </w:r>
    </w:p>
    <w:p w14:paraId="36A553A0" w14:textId="77777777" w:rsidR="005F0BA9" w:rsidRDefault="005F0BA9" w:rsidP="00F31701">
      <w:pPr>
        <w:pStyle w:val="ReportText"/>
        <w:numPr>
          <w:ilvl w:val="0"/>
          <w:numId w:val="64"/>
        </w:numPr>
        <w:spacing w:before="120" w:after="120"/>
      </w:pPr>
      <w:r>
        <w:t>szacunkową liczbę mieszkańców, którzy mogą być dotknięci powodzią;</w:t>
      </w:r>
    </w:p>
    <w:p w14:paraId="7F85F989" w14:textId="77777777" w:rsidR="005F0BA9" w:rsidRDefault="005F0BA9" w:rsidP="00F31701">
      <w:pPr>
        <w:pStyle w:val="ReportText"/>
        <w:numPr>
          <w:ilvl w:val="0"/>
          <w:numId w:val="64"/>
        </w:numPr>
        <w:spacing w:before="120" w:after="120"/>
      </w:pPr>
      <w:r>
        <w:t>rodzaje działalności gospodarczej wykonywanych na obszarach, o których mowa w art. 169 ust.2;</w:t>
      </w:r>
    </w:p>
    <w:p w14:paraId="51C309DC" w14:textId="77777777" w:rsidR="005F0BA9" w:rsidRDefault="005F0BA9" w:rsidP="00F31701">
      <w:pPr>
        <w:pStyle w:val="ReportText"/>
        <w:numPr>
          <w:ilvl w:val="0"/>
          <w:numId w:val="64"/>
        </w:numPr>
        <w:spacing w:before="120" w:after="120"/>
      </w:pPr>
      <w:r>
        <w:t>instalacje mogące, w razie wystąpienia powodzi, spowodować znaczne zanieczyszczenie poszczególnych elementów przyrodniczych albo środowiska jako całości;</w:t>
      </w:r>
    </w:p>
    <w:p w14:paraId="425E17F6" w14:textId="77777777" w:rsidR="005F0BA9" w:rsidRDefault="005F0BA9" w:rsidP="00F31701">
      <w:pPr>
        <w:pStyle w:val="ReportText"/>
        <w:numPr>
          <w:ilvl w:val="0"/>
          <w:numId w:val="64"/>
        </w:numPr>
        <w:spacing w:before="120" w:after="120"/>
      </w:pPr>
      <w:r>
        <w:t xml:space="preserve">występowanie: </w:t>
      </w:r>
    </w:p>
    <w:p w14:paraId="2ECA0672" w14:textId="77777777" w:rsidR="005F0BA9" w:rsidRDefault="005F0BA9" w:rsidP="00F31701">
      <w:pPr>
        <w:pStyle w:val="ReportText"/>
        <w:numPr>
          <w:ilvl w:val="0"/>
          <w:numId w:val="65"/>
        </w:numPr>
        <w:spacing w:before="120" w:after="120"/>
      </w:pPr>
      <w:r>
        <w:t xml:space="preserve">ujęć wody, stref ochronnych lub obszarów ochronnych; </w:t>
      </w:r>
    </w:p>
    <w:p w14:paraId="1766013C" w14:textId="77777777" w:rsidR="005F0BA9" w:rsidRDefault="005F0BA9" w:rsidP="00F31701">
      <w:pPr>
        <w:pStyle w:val="ReportText"/>
        <w:numPr>
          <w:ilvl w:val="0"/>
          <w:numId w:val="65"/>
        </w:numPr>
        <w:spacing w:before="120" w:after="120"/>
      </w:pPr>
      <w:r>
        <w:t xml:space="preserve">kąpielisk; </w:t>
      </w:r>
    </w:p>
    <w:p w14:paraId="3F4A08A7" w14:textId="77777777" w:rsidR="005F0BA9" w:rsidRDefault="005F0BA9" w:rsidP="00F31701">
      <w:pPr>
        <w:pStyle w:val="ReportText"/>
        <w:numPr>
          <w:ilvl w:val="0"/>
          <w:numId w:val="65"/>
        </w:numPr>
        <w:spacing w:before="120" w:after="120"/>
      </w:pPr>
      <w:r>
        <w:t xml:space="preserve">obszarów Natura 2000, parków narodowych oraz rezerwatów przyrody; </w:t>
      </w:r>
    </w:p>
    <w:p w14:paraId="163ACECE" w14:textId="77777777" w:rsidR="005F0BA9" w:rsidRDefault="005F0BA9" w:rsidP="00F31701">
      <w:pPr>
        <w:pStyle w:val="ReportText"/>
        <w:numPr>
          <w:ilvl w:val="0"/>
          <w:numId w:val="64"/>
        </w:numPr>
        <w:spacing w:before="120" w:after="120"/>
      </w:pPr>
      <w:r>
        <w:t xml:space="preserve">w uzasadnionych przypadkach: </w:t>
      </w:r>
    </w:p>
    <w:p w14:paraId="691C6A08" w14:textId="77777777" w:rsidR="005F0BA9" w:rsidRDefault="005F0BA9" w:rsidP="00F31701">
      <w:pPr>
        <w:pStyle w:val="ReportText"/>
        <w:numPr>
          <w:ilvl w:val="0"/>
          <w:numId w:val="66"/>
        </w:numPr>
        <w:spacing w:before="120" w:after="120"/>
      </w:pPr>
      <w:r>
        <w:t xml:space="preserve">obszary, na których mogą wystąpić powodzie, którym towarzyszy transport dużej ilości osadów i rumowiska; </w:t>
      </w:r>
    </w:p>
    <w:p w14:paraId="021CB3C4" w14:textId="77777777" w:rsidR="005F0BA9" w:rsidRDefault="005F0BA9" w:rsidP="00F31701">
      <w:pPr>
        <w:pStyle w:val="ReportText"/>
        <w:numPr>
          <w:ilvl w:val="0"/>
          <w:numId w:val="66"/>
        </w:numPr>
        <w:spacing w:before="120" w:after="120"/>
      </w:pPr>
      <w:r>
        <w:t xml:space="preserve">potencjalne ogniska zanieczyszczeń wód. </w:t>
      </w:r>
    </w:p>
    <w:p w14:paraId="2229072C" w14:textId="77777777" w:rsidR="005F0BA9" w:rsidRDefault="005F0BA9" w:rsidP="005F0BA9">
      <w:pPr>
        <w:pStyle w:val="ReportText"/>
        <w:spacing w:before="120" w:after="120"/>
      </w:pPr>
      <w:r>
        <w:t>Szczegółowy zakres i wymagania dotyczące opracowywania map zagrożenia powodziowego oraz map ryzyka powodziowego, jak również skalę map, określa Rozporządzenie Ministra Gospodarki Morskiej i Żeglugi Śródlądowej z dnia 4 października 2018 r. w sprawie opracowywania map zagrożenia powodziowego oraz map ryzyka powodziowego (Dz. U. 2018 poz. 2031), zwanego dalej „Rozporządzeniem”.</w:t>
      </w:r>
    </w:p>
    <w:p w14:paraId="1B04F9D5" w14:textId="77777777" w:rsidR="005F0BA9" w:rsidRDefault="005F0BA9" w:rsidP="005F0BA9">
      <w:pPr>
        <w:pStyle w:val="ReportText"/>
        <w:spacing w:before="120" w:after="120"/>
      </w:pPr>
      <w:r>
        <w:t>Mapy zagrożenia powodziowego i mapy ryzyka powodziowego są zatwierdzane przez ministra właściwego do spraw gospodarki wodnej. Zatwierdzone mapy przekazywane są w postaci elektronicznej organom administracji wskazanym w art. 171 ust. 4 ustawy – Prawo wodne oraz podawane do publicznej wiadomości poprzez ich umieszczenie na stronie internetowej Biuletynu Informacji Publicznej PGW WP.</w:t>
      </w:r>
    </w:p>
    <w:p w14:paraId="28F11880" w14:textId="77777777" w:rsidR="005F0BA9" w:rsidRDefault="005F0BA9" w:rsidP="005F0BA9">
      <w:pPr>
        <w:pStyle w:val="ReportText"/>
        <w:spacing w:before="120" w:after="120"/>
      </w:pPr>
      <w:r>
        <w:t>Zgodnie z wymaganiami Dyrektywy Powodziowej mapy zagrożenia powodziowego i mapy ryzyka powodziowego sporządzane są dla obszarów i typów powodzi, wskazanych we Wstępnej ocenie ryzyka powodziowego (WORP).</w:t>
      </w:r>
    </w:p>
    <w:p w14:paraId="4445C236" w14:textId="77777777" w:rsidR="005F0BA9" w:rsidRDefault="005F0BA9" w:rsidP="005F0BA9">
      <w:pPr>
        <w:pStyle w:val="ReportText"/>
        <w:spacing w:before="120" w:after="120"/>
      </w:pPr>
      <w:r>
        <w:lastRenderedPageBreak/>
        <w:t>Wynikiem prac w ramach przeglądu i aktualizacji WORP w 2018 r. było wyznaczenie następujących znaczących typów powodzi w Polsce (ze względu na źródło ich powstania):</w:t>
      </w:r>
    </w:p>
    <w:p w14:paraId="4338780B" w14:textId="77777777" w:rsidR="005F0BA9" w:rsidRDefault="005F0BA9" w:rsidP="00F31701">
      <w:pPr>
        <w:pStyle w:val="ReportText"/>
        <w:numPr>
          <w:ilvl w:val="1"/>
          <w:numId w:val="64"/>
        </w:numPr>
        <w:spacing w:before="120" w:after="120"/>
        <w:ind w:left="567"/>
      </w:pPr>
      <w:r>
        <w:t xml:space="preserve">powódź rzeczna – dla dwóch scenariuszy: </w:t>
      </w:r>
    </w:p>
    <w:p w14:paraId="68622372" w14:textId="77777777" w:rsidR="005F0BA9" w:rsidRDefault="005F0BA9" w:rsidP="00F31701">
      <w:pPr>
        <w:pStyle w:val="ReportText"/>
        <w:numPr>
          <w:ilvl w:val="0"/>
          <w:numId w:val="67"/>
        </w:numPr>
        <w:spacing w:before="120" w:after="120"/>
      </w:pPr>
      <w:r>
        <w:t>naturalnego wezbrania;</w:t>
      </w:r>
    </w:p>
    <w:p w14:paraId="17F6CA5F" w14:textId="77777777" w:rsidR="005F0BA9" w:rsidRDefault="005F0BA9" w:rsidP="00F31701">
      <w:pPr>
        <w:pStyle w:val="ReportText"/>
        <w:numPr>
          <w:ilvl w:val="0"/>
          <w:numId w:val="67"/>
        </w:numPr>
        <w:spacing w:before="120" w:after="120"/>
      </w:pPr>
      <w:r>
        <w:t xml:space="preserve">zniszczenia wałów przeciwpowodziowych; </w:t>
      </w:r>
    </w:p>
    <w:p w14:paraId="71BE5EF3" w14:textId="77777777" w:rsidR="005F0BA9" w:rsidRDefault="005F0BA9" w:rsidP="00F31701">
      <w:pPr>
        <w:pStyle w:val="ReportText"/>
        <w:numPr>
          <w:ilvl w:val="1"/>
          <w:numId w:val="64"/>
        </w:numPr>
        <w:spacing w:before="120" w:after="120"/>
        <w:ind w:left="567"/>
      </w:pPr>
      <w:r>
        <w:t xml:space="preserve">powódź od strony morza – dla dwóch scenariuszy: </w:t>
      </w:r>
    </w:p>
    <w:p w14:paraId="2F4D7236" w14:textId="77777777" w:rsidR="005F0BA9" w:rsidRDefault="005F0BA9" w:rsidP="00F31701">
      <w:pPr>
        <w:pStyle w:val="ReportText"/>
        <w:numPr>
          <w:ilvl w:val="0"/>
          <w:numId w:val="68"/>
        </w:numPr>
        <w:spacing w:before="120" w:after="120"/>
      </w:pPr>
      <w:r>
        <w:t xml:space="preserve">naturalnego wezbrania; </w:t>
      </w:r>
    </w:p>
    <w:p w14:paraId="492344AE" w14:textId="77777777" w:rsidR="005F0BA9" w:rsidRDefault="005F0BA9" w:rsidP="00F31701">
      <w:pPr>
        <w:pStyle w:val="ReportText"/>
        <w:numPr>
          <w:ilvl w:val="0"/>
          <w:numId w:val="68"/>
        </w:numPr>
        <w:spacing w:before="120" w:after="120"/>
      </w:pPr>
      <w:r>
        <w:t xml:space="preserve">zniszczenia wałów przeciwpowodziowych lub przeciwsztormowych; </w:t>
      </w:r>
    </w:p>
    <w:p w14:paraId="690E907D" w14:textId="77777777" w:rsidR="005F0BA9" w:rsidRDefault="005F0BA9" w:rsidP="00F31701">
      <w:pPr>
        <w:pStyle w:val="ReportText"/>
        <w:numPr>
          <w:ilvl w:val="1"/>
          <w:numId w:val="64"/>
        </w:numPr>
        <w:spacing w:before="120" w:after="120"/>
        <w:ind w:left="567"/>
      </w:pPr>
      <w:r>
        <w:t>powódź od urządzeń hydrotechnicznych – związana z zalaniem terenu będącym skutkiem uszkodzenia lub zniszczenia budowli piętrzących.</w:t>
      </w:r>
    </w:p>
    <w:p w14:paraId="6EC9FDF9" w14:textId="77777777" w:rsidR="005F0BA9" w:rsidRDefault="005F0BA9" w:rsidP="005F0BA9">
      <w:pPr>
        <w:pStyle w:val="ReportText"/>
        <w:spacing w:before="120" w:after="120"/>
      </w:pPr>
      <w:r>
        <w:t>Mapy zagrożenia powodziowego i mapy ryzyka powodziowego dla powodzi rzecznych oraz powodzi od strony morza zostały opracowane już w ramach I cyklu planistycznego opracowania MZP i MRP. Wynikiem prac przeprowadzonych w II cyklu planistycznym w ramach przeglądu i aktualizacji Wstępnej oceny ryzyka powodziowego było wyznaczenie dodatkowo obszarów narażonych na niebezpieczeństwo powodzi w wyniku zniszczenia lub uszkodzenia budowli piętrzących. Tym samym zakres przeglądu i aktualizacji MZP i MRP w II cyklu planistycznym obejmował także opracowanie po raz pierwszy MZP i MRP dla powodzi będącej skutkiem uszkodzenia lub zniszczenia budowli piętrzących.</w:t>
      </w:r>
    </w:p>
    <w:p w14:paraId="6C127874" w14:textId="021D4619" w:rsidR="0039605B" w:rsidRDefault="0039605B">
      <w:pPr>
        <w:rPr>
          <w:b/>
          <w:color w:val="28AAE1"/>
          <w:sz w:val="36"/>
          <w:szCs w:val="20"/>
          <w:lang w:eastAsia="en-US"/>
        </w:rPr>
      </w:pPr>
    </w:p>
    <w:p w14:paraId="78A8E31A" w14:textId="77777777" w:rsidR="0039605B" w:rsidRDefault="0039605B">
      <w:pPr>
        <w:rPr>
          <w:b/>
          <w:color w:val="28AAE1"/>
          <w:sz w:val="36"/>
          <w:szCs w:val="20"/>
          <w:lang w:eastAsia="en-US"/>
        </w:rPr>
      </w:pPr>
      <w:r>
        <w:br w:type="page"/>
      </w:r>
    </w:p>
    <w:p w14:paraId="5667CF8A" w14:textId="1BA3DED9" w:rsidR="0039605B" w:rsidRDefault="0039605B" w:rsidP="0039605B">
      <w:pPr>
        <w:pStyle w:val="ReportLevel1"/>
        <w:numPr>
          <w:ilvl w:val="0"/>
          <w:numId w:val="9"/>
        </w:numPr>
      </w:pPr>
      <w:bookmarkStart w:id="224" w:name="_Toc80604875"/>
      <w:r>
        <w:lastRenderedPageBreak/>
        <w:t>Podsumowanie działań służących ustaleniu celów i działań w aPZRPM</w:t>
      </w:r>
      <w:bookmarkEnd w:id="224"/>
    </w:p>
    <w:p w14:paraId="376BB990" w14:textId="48574110" w:rsidR="005F0BA9" w:rsidRDefault="005F0BA9" w:rsidP="005F0BA9">
      <w:pPr>
        <w:pStyle w:val="ReportLevel2"/>
        <w:numPr>
          <w:ilvl w:val="1"/>
          <w:numId w:val="9"/>
        </w:numPr>
      </w:pPr>
      <w:bookmarkStart w:id="225" w:name="_Toc80604876"/>
      <w:r>
        <w:t>Ankietyzacja</w:t>
      </w:r>
      <w:bookmarkEnd w:id="225"/>
    </w:p>
    <w:p w14:paraId="3ABAA2ED" w14:textId="77777777" w:rsidR="005F0BA9" w:rsidRDefault="005F0BA9" w:rsidP="005F0BA9">
      <w:pPr>
        <w:pStyle w:val="ReportText"/>
      </w:pPr>
      <w:r>
        <w:t>Podczas prac nad aPZRPM przeprowadzono a</w:t>
      </w:r>
      <w:r w:rsidRPr="00B80ECE">
        <w:t>nkietyzacj</w:t>
      </w:r>
      <w:r>
        <w:t>ę</w:t>
      </w:r>
      <w:r w:rsidRPr="00B80ECE">
        <w:t xml:space="preserve"> interesariuszy – podmiotów odpowiedzialnych za realizację zadań związanych z ryzykiem powodziowym</w:t>
      </w:r>
      <w:r>
        <w:t>. O</w:t>
      </w:r>
      <w:r w:rsidRPr="00B80ECE">
        <w:t xml:space="preserve">bjęto </w:t>
      </w:r>
      <w:r>
        <w:t xml:space="preserve">nią </w:t>
      </w:r>
      <w:r w:rsidRPr="00B80ECE">
        <w:t>jednostki samorządowe realizujące zadania mające na celu zmniejszenie zagrożenia powodziowego od strony morza, w tym morskich wód wewnętrznych.</w:t>
      </w:r>
      <w:r>
        <w:t xml:space="preserve"> Podstawą do określenia listy interesariuszy były: </w:t>
      </w:r>
    </w:p>
    <w:p w14:paraId="2509413B" w14:textId="77777777" w:rsidR="005F0BA9" w:rsidRDefault="005F0BA9" w:rsidP="00F31701">
      <w:pPr>
        <w:pStyle w:val="ReportText"/>
        <w:numPr>
          <w:ilvl w:val="0"/>
          <w:numId w:val="59"/>
        </w:numPr>
      </w:pPr>
      <w:r>
        <w:t>Plany zarządzania ryzykiem powodziowym dla obszarów dorzeczy i regionów wodnych opracowane w pierwszym cyklu planistycznym (karty działań);</w:t>
      </w:r>
    </w:p>
    <w:p w14:paraId="6F1833D2" w14:textId="77777777" w:rsidR="005F0BA9" w:rsidRDefault="005F0BA9" w:rsidP="00F31701">
      <w:pPr>
        <w:pStyle w:val="ReportText"/>
        <w:numPr>
          <w:ilvl w:val="0"/>
          <w:numId w:val="59"/>
        </w:numPr>
      </w:pPr>
      <w:r>
        <w:t>Krajowy Plan Zarządzania Kryzysowego, a w szczególności zawarte w nim:</w:t>
      </w:r>
    </w:p>
    <w:p w14:paraId="0E88F2C2" w14:textId="77777777" w:rsidR="005F0BA9" w:rsidRDefault="005F0BA9" w:rsidP="00984D1B">
      <w:pPr>
        <w:pStyle w:val="ReportText"/>
        <w:numPr>
          <w:ilvl w:val="0"/>
          <w:numId w:val="58"/>
        </w:numPr>
        <w:spacing w:before="120" w:after="120"/>
      </w:pPr>
      <w:r>
        <w:t>zadania i obowiązki uczestników zarządzania kryzysowego dla faz zapobiegania, przygotowania, reagowania i odbudowy;</w:t>
      </w:r>
    </w:p>
    <w:p w14:paraId="36D5AC82" w14:textId="77777777" w:rsidR="005F0BA9" w:rsidRDefault="005F0BA9" w:rsidP="00984D1B">
      <w:pPr>
        <w:pStyle w:val="ReportText"/>
        <w:numPr>
          <w:ilvl w:val="0"/>
          <w:numId w:val="58"/>
        </w:numPr>
        <w:spacing w:before="120" w:after="120"/>
      </w:pPr>
      <w:r>
        <w:t>zadania w zakresie monitorowania zagrożenia powodzią;</w:t>
      </w:r>
    </w:p>
    <w:p w14:paraId="3E47BB43" w14:textId="77777777" w:rsidR="005F0BA9" w:rsidRDefault="005F0BA9" w:rsidP="00984D1B">
      <w:pPr>
        <w:pStyle w:val="ReportText"/>
        <w:numPr>
          <w:ilvl w:val="0"/>
          <w:numId w:val="58"/>
        </w:numPr>
        <w:spacing w:before="120" w:after="120"/>
      </w:pPr>
      <w:r>
        <w:t>procedury reagowania kryzysowego, określające sposób postępowania w sytuacjach kryzysowych – zestawienie katalogów i modułów zadaniowych ministrów i wojewodów;</w:t>
      </w:r>
    </w:p>
    <w:p w14:paraId="60E7D07B" w14:textId="77777777" w:rsidR="005F0BA9" w:rsidRDefault="005F0BA9" w:rsidP="00984D1B">
      <w:pPr>
        <w:pStyle w:val="ReportText"/>
        <w:numPr>
          <w:ilvl w:val="0"/>
          <w:numId w:val="58"/>
        </w:numPr>
        <w:spacing w:before="120" w:after="120"/>
      </w:pPr>
      <w:r>
        <w:t>procedury realizacji zadań z zakresu zarządzania kryzysowego –standardowe procedury operacyjne, w tym związane z ochroną infrastruktury krytycznej</w:t>
      </w:r>
      <w:r>
        <w:br/>
        <w:t>(SPO-5 Wprowadzenie stanu klęski żywiołowej).</w:t>
      </w:r>
    </w:p>
    <w:p w14:paraId="3835E20A" w14:textId="77777777" w:rsidR="005F0BA9" w:rsidRDefault="005F0BA9" w:rsidP="00F31701">
      <w:pPr>
        <w:pStyle w:val="ReportText"/>
        <w:numPr>
          <w:ilvl w:val="0"/>
          <w:numId w:val="59"/>
        </w:numPr>
      </w:pPr>
      <w:r>
        <w:t>podmioty odpowiedzialne za wykonywanie działań, które przyczyniają się do redukcji ryzyka powodziowego, zgodnie z obowiązującymi przepisami prawa;</w:t>
      </w:r>
    </w:p>
    <w:p w14:paraId="062D6DEE" w14:textId="77777777" w:rsidR="005F0BA9" w:rsidRDefault="005F0BA9" w:rsidP="00F31701">
      <w:pPr>
        <w:pStyle w:val="ReportText"/>
        <w:numPr>
          <w:ilvl w:val="0"/>
          <w:numId w:val="59"/>
        </w:numPr>
      </w:pPr>
      <w:r>
        <w:t>jednostki samorządu terytorialnego realizujące tzw. działania nietechniczne (np. Miejskie Plany Adaptacji, ekspertyzy, projekty).</w:t>
      </w:r>
    </w:p>
    <w:p w14:paraId="17DF0434" w14:textId="77777777" w:rsidR="005F0BA9" w:rsidRDefault="005F0BA9" w:rsidP="005F0BA9">
      <w:pPr>
        <w:pStyle w:val="ReportText"/>
      </w:pPr>
      <w:r>
        <w:t>Celem ankietyzacji było zebranie kompleksowych informacji na temat działań przeciwpowodziowych (technicznych i nietechnicznych), jakie jednostki samorządowe realizują na terenie swojej jurysdykcji. Ankietyzacja przeprowadzona została w zakresie:</w:t>
      </w:r>
    </w:p>
    <w:p w14:paraId="61B0EFF8" w14:textId="77777777" w:rsidR="005F0BA9" w:rsidRDefault="005F0BA9" w:rsidP="00984D1B">
      <w:pPr>
        <w:pStyle w:val="ReportText"/>
        <w:numPr>
          <w:ilvl w:val="0"/>
          <w:numId w:val="58"/>
        </w:numPr>
        <w:spacing w:before="120" w:after="120"/>
      </w:pPr>
      <w:r>
        <w:t>działań podjętych lub prowadzonych w okresie obowiązywania PZRP opracowanych w I cyklu planistycznym, wskazanych w planach zarządzania ryzykiem powodziowym;</w:t>
      </w:r>
    </w:p>
    <w:p w14:paraId="5BF2D5F5" w14:textId="77777777" w:rsidR="005F0BA9" w:rsidRDefault="005F0BA9" w:rsidP="00984D1B">
      <w:pPr>
        <w:pStyle w:val="ReportText"/>
        <w:numPr>
          <w:ilvl w:val="0"/>
          <w:numId w:val="58"/>
        </w:numPr>
        <w:spacing w:before="120" w:after="120"/>
      </w:pPr>
      <w:r>
        <w:t>działań podjętych lub prowadzonych w okresie obowiązywania PZRP opracowanych w I cyklu planistycznym nie zawartych w planach zarządzania ryzykiem powodziowym, a realizujących cele PZRPM;</w:t>
      </w:r>
    </w:p>
    <w:p w14:paraId="0E07022E" w14:textId="77777777" w:rsidR="005F0BA9" w:rsidRDefault="005F0BA9" w:rsidP="00984D1B">
      <w:pPr>
        <w:pStyle w:val="ReportText"/>
        <w:numPr>
          <w:ilvl w:val="0"/>
          <w:numId w:val="58"/>
        </w:numPr>
        <w:spacing w:before="120" w:after="120"/>
      </w:pPr>
      <w:r>
        <w:t>działań, których podjęcie jest planowane w okresie obowiązywania przeglądu i aktualizacji PZRPM w II cyklu planistycznym (lata 2022 – 2027);</w:t>
      </w:r>
    </w:p>
    <w:p w14:paraId="3DEB60F3" w14:textId="77777777" w:rsidR="005F0BA9" w:rsidRDefault="005F0BA9" w:rsidP="00984D1B">
      <w:pPr>
        <w:pStyle w:val="ReportText"/>
        <w:numPr>
          <w:ilvl w:val="0"/>
          <w:numId w:val="58"/>
        </w:numPr>
        <w:spacing w:before="120" w:after="120"/>
      </w:pPr>
      <w:r>
        <w:t>określenia przyczyn niepodjęcia działań lub niezrealizowania działań w planowanym przedziale czasu wraz z informacją czy planowana jest realizacja/kontynuacja działań.</w:t>
      </w:r>
    </w:p>
    <w:p w14:paraId="09F313A3" w14:textId="77777777" w:rsidR="005F0BA9" w:rsidRDefault="005F0BA9" w:rsidP="005F0BA9">
      <w:pPr>
        <w:pStyle w:val="ReportText"/>
      </w:pPr>
      <w:r>
        <w:lastRenderedPageBreak/>
        <w:t>Zadaniem dodatkowym ankietyzacji był monitoring postępu realizacji działań zawartych w Planach zarządzania ryzykiem powodziowym, których obowiązek sprawozdawczy określony jest w Rozporządzeniu Ministra Gospodarki Morskiej i Żeglugi Śródlądowej z dnia 14 grudnia 2018 r. w sprawie zakresu informacji z realizacji działań zawartych w planach gospodarowania wodami na obszarach dorzeczy, planach zarządzania ryzykiem powodziowym i programie ochrony wód morskich (Dz.U. 2018 poz. 2390).</w:t>
      </w:r>
    </w:p>
    <w:p w14:paraId="76448305" w14:textId="77777777" w:rsidR="00984D1B" w:rsidRDefault="00984D1B" w:rsidP="00984D1B">
      <w:pPr>
        <w:pStyle w:val="ReportLevel3"/>
        <w:numPr>
          <w:ilvl w:val="2"/>
          <w:numId w:val="44"/>
        </w:numPr>
        <w:spacing w:before="120"/>
      </w:pPr>
      <w:bookmarkStart w:id="226" w:name="_Toc70508822"/>
      <w:bookmarkStart w:id="227" w:name="_Toc70664353"/>
      <w:r>
        <w:t>Ankietyzowane podmioty</w:t>
      </w:r>
      <w:bookmarkEnd w:id="226"/>
      <w:bookmarkEnd w:id="227"/>
    </w:p>
    <w:p w14:paraId="3D6340EA" w14:textId="77777777" w:rsidR="00984D1B" w:rsidRDefault="00984D1B" w:rsidP="00984D1B">
      <w:pPr>
        <w:pStyle w:val="ReportText"/>
        <w:spacing w:before="120" w:after="120"/>
      </w:pPr>
      <w:r>
        <w:t xml:space="preserve">Na potrzeby ankietyzacji przygotowano listę respondentów/interesariuszy, odpowiedzialnych za realizację działań związanych z zarządzaniem ryzykiem powodziowym. Podstawą do określenia listy interesariuszy były: </w:t>
      </w:r>
    </w:p>
    <w:p w14:paraId="23BE32A4" w14:textId="77777777" w:rsidR="00984D1B" w:rsidRDefault="00984D1B" w:rsidP="00984D1B">
      <w:pPr>
        <w:pStyle w:val="ReportList1"/>
        <w:spacing w:before="120" w:after="120"/>
        <w:jc w:val="both"/>
        <w:rPr>
          <w:lang w:eastAsia="en-US"/>
        </w:rPr>
      </w:pPr>
      <w:r>
        <w:rPr>
          <w:lang w:eastAsia="en-US"/>
        </w:rPr>
        <w:t>Plany zarządzania ryzykiem powodziowym dla obszarów dorzeczy i regionów wodnych opracowane w pierwszym cyklu planistycznym (karty działań);</w:t>
      </w:r>
    </w:p>
    <w:p w14:paraId="52A98B0E" w14:textId="77777777" w:rsidR="00984D1B" w:rsidRDefault="00984D1B" w:rsidP="00984D1B">
      <w:pPr>
        <w:pStyle w:val="ReportList1"/>
        <w:spacing w:before="120" w:after="120"/>
        <w:jc w:val="both"/>
        <w:rPr>
          <w:lang w:eastAsia="en-US"/>
        </w:rPr>
      </w:pPr>
      <w:r>
        <w:rPr>
          <w:lang w:eastAsia="en-US"/>
        </w:rPr>
        <w:t>Krajowy Plan Zarządzania Kryzysowego, a w szczególności zawarte w nim:</w:t>
      </w:r>
    </w:p>
    <w:p w14:paraId="4D486AE2" w14:textId="77777777" w:rsidR="00984D1B" w:rsidRPr="00881433" w:rsidRDefault="00984D1B" w:rsidP="00924BB5">
      <w:pPr>
        <w:pStyle w:val="Akapitzlist"/>
        <w:numPr>
          <w:ilvl w:val="2"/>
          <w:numId w:val="70"/>
        </w:numPr>
        <w:spacing w:before="120" w:after="120"/>
        <w:ind w:left="993"/>
        <w:jc w:val="both"/>
        <w:rPr>
          <w:sz w:val="24"/>
          <w:szCs w:val="24"/>
          <w:lang w:eastAsia="en-US"/>
        </w:rPr>
      </w:pPr>
      <w:r w:rsidRPr="00881433">
        <w:rPr>
          <w:sz w:val="24"/>
          <w:szCs w:val="24"/>
          <w:lang w:eastAsia="en-US"/>
        </w:rPr>
        <w:t>zadania i obowiązki uczestników zarządzania kryzysowego dla faz zapobiegania, przygotowania, reagowania i odbudowy;</w:t>
      </w:r>
    </w:p>
    <w:p w14:paraId="6E392EEC" w14:textId="77777777" w:rsidR="00984D1B" w:rsidRPr="00881433" w:rsidRDefault="00984D1B" w:rsidP="00924BB5">
      <w:pPr>
        <w:pStyle w:val="Akapitzlist"/>
        <w:numPr>
          <w:ilvl w:val="2"/>
          <w:numId w:val="70"/>
        </w:numPr>
        <w:spacing w:before="120" w:after="120"/>
        <w:ind w:left="993"/>
        <w:jc w:val="both"/>
        <w:rPr>
          <w:sz w:val="24"/>
          <w:szCs w:val="24"/>
          <w:lang w:eastAsia="en-US"/>
        </w:rPr>
      </w:pPr>
      <w:r w:rsidRPr="00881433">
        <w:rPr>
          <w:sz w:val="24"/>
          <w:szCs w:val="24"/>
          <w:lang w:eastAsia="en-US"/>
        </w:rPr>
        <w:t>zadania w zakresie monitorowania zagrożenia powodzią;</w:t>
      </w:r>
    </w:p>
    <w:p w14:paraId="22CA173C" w14:textId="77777777" w:rsidR="00984D1B" w:rsidRPr="00881433" w:rsidRDefault="00984D1B" w:rsidP="00924BB5">
      <w:pPr>
        <w:pStyle w:val="Akapitzlist"/>
        <w:numPr>
          <w:ilvl w:val="2"/>
          <w:numId w:val="70"/>
        </w:numPr>
        <w:spacing w:before="120" w:after="120"/>
        <w:ind w:left="993"/>
        <w:jc w:val="both"/>
        <w:rPr>
          <w:sz w:val="24"/>
          <w:szCs w:val="24"/>
          <w:lang w:eastAsia="en-US"/>
        </w:rPr>
      </w:pPr>
      <w:r w:rsidRPr="00881433">
        <w:rPr>
          <w:sz w:val="24"/>
          <w:szCs w:val="24"/>
          <w:lang w:eastAsia="en-US"/>
        </w:rPr>
        <w:t>procedury reagowania kryzysowego, określające sposób postępowania w sytuacjach kryzysowych – zestawienie katalogów i modułów zadaniowych ministrów i wojewodów;</w:t>
      </w:r>
    </w:p>
    <w:p w14:paraId="3DEA2A3F" w14:textId="77777777" w:rsidR="00984D1B" w:rsidRPr="00881433" w:rsidRDefault="00984D1B" w:rsidP="00924BB5">
      <w:pPr>
        <w:pStyle w:val="Akapitzlist"/>
        <w:numPr>
          <w:ilvl w:val="2"/>
          <w:numId w:val="70"/>
        </w:numPr>
        <w:spacing w:before="120" w:after="120"/>
        <w:ind w:left="993"/>
        <w:jc w:val="both"/>
        <w:rPr>
          <w:sz w:val="24"/>
          <w:szCs w:val="24"/>
          <w:lang w:eastAsia="en-US"/>
        </w:rPr>
      </w:pPr>
      <w:r w:rsidRPr="00881433">
        <w:rPr>
          <w:sz w:val="24"/>
          <w:szCs w:val="24"/>
          <w:lang w:eastAsia="en-US"/>
        </w:rPr>
        <w:t>procedury realizacji zadań z zakresu zarządzania kryzysowego –standardowe procedury operacyjne, w tym związane z ochroną infrastruktury krytycznej (SPO-5 Wprowadzenie stanu klęski żywiołowej).</w:t>
      </w:r>
    </w:p>
    <w:p w14:paraId="5B63775F" w14:textId="77777777" w:rsidR="00984D1B" w:rsidRDefault="00984D1B" w:rsidP="00984D1B">
      <w:pPr>
        <w:pStyle w:val="ReportList1"/>
        <w:spacing w:before="120" w:after="120"/>
        <w:jc w:val="both"/>
        <w:rPr>
          <w:lang w:eastAsia="en-US"/>
        </w:rPr>
      </w:pPr>
      <w:r>
        <w:rPr>
          <w:lang w:eastAsia="en-US"/>
        </w:rPr>
        <w:t>podmioty odpowiedzialne za wykonywanie działań, które przyczyniają się do redukcji ryzyka powodziowego, zgodnie z obowiązującymi przepisami prawa;</w:t>
      </w:r>
    </w:p>
    <w:p w14:paraId="11E7521A" w14:textId="77777777" w:rsidR="00984D1B" w:rsidRDefault="00984D1B" w:rsidP="00984D1B">
      <w:pPr>
        <w:pStyle w:val="ReportList1"/>
        <w:spacing w:before="120" w:after="120"/>
        <w:jc w:val="both"/>
        <w:rPr>
          <w:lang w:eastAsia="en-US"/>
        </w:rPr>
      </w:pPr>
      <w:r>
        <w:rPr>
          <w:lang w:eastAsia="en-US"/>
        </w:rPr>
        <w:t>jednostki samorządu terytorialnego realizujące tzw. działania nietechniczne (np. Miejskie Plany Adaptacji, ekspertyzy, projekty).</w:t>
      </w:r>
    </w:p>
    <w:p w14:paraId="72457A12" w14:textId="77777777" w:rsidR="00984D1B" w:rsidRDefault="00984D1B" w:rsidP="00984D1B">
      <w:pPr>
        <w:pStyle w:val="ReportText"/>
        <w:spacing w:before="120" w:after="120"/>
      </w:pPr>
      <w:r>
        <w:t>Wytypowano</w:t>
      </w:r>
      <w:r w:rsidRPr="00BF1AF6">
        <w:t xml:space="preserve"> łącznie </w:t>
      </w:r>
      <w:r>
        <w:t>104</w:t>
      </w:r>
      <w:r w:rsidRPr="00BF1AF6">
        <w:t xml:space="preserve"> </w:t>
      </w:r>
      <w:r>
        <w:t xml:space="preserve">jednostki położone w granicach trzech województw: zachodnio-pomorskiego, pomorskiego i warmińsko-mazurskiego. Wytypowane gminy zlokalizowane są w pasie przybrzeżnym morza Bałtyckiego, na Żuławach Wiślanych oraz w sąsiedztwie Zalewu Szczecińskiego. Ankietyzację powiatów rozszerzono na starostwa powiatowe znajdujące się w granicach województw: pomorskiego i zachodnio-pomorskiego oraz jedno starostwo w województwie warmińsko-mazurskim. Ankietowane grupy interesariuszy zestawiono w poniższej tabeli. </w:t>
      </w:r>
    </w:p>
    <w:p w14:paraId="6E690171" w14:textId="70295231" w:rsidR="00984D1B" w:rsidRDefault="00984D1B" w:rsidP="00984D1B">
      <w:pPr>
        <w:pStyle w:val="Legenda"/>
      </w:pPr>
    </w:p>
    <w:p w14:paraId="6004329B" w14:textId="7AC686F6" w:rsidR="00B55A5C" w:rsidRPr="00B55A5C" w:rsidRDefault="00B55A5C" w:rsidP="008D7CA9">
      <w:pPr>
        <w:pStyle w:val="Legenda"/>
        <w:tabs>
          <w:tab w:val="clear" w:pos="1080"/>
          <w:tab w:val="left" w:pos="1134"/>
        </w:tabs>
        <w:ind w:left="1134" w:hanging="1134"/>
        <w:rPr>
          <w:sz w:val="24"/>
          <w:szCs w:val="28"/>
        </w:rPr>
      </w:pPr>
      <w:bookmarkStart w:id="228" w:name="_Toc80604844"/>
      <w:r w:rsidRPr="00B55A5C">
        <w:rPr>
          <w:sz w:val="24"/>
          <w:szCs w:val="28"/>
        </w:rPr>
        <w:t xml:space="preserve">Tabela </w:t>
      </w:r>
      <w:r w:rsidRPr="00B55A5C">
        <w:rPr>
          <w:sz w:val="24"/>
          <w:szCs w:val="28"/>
        </w:rPr>
        <w:fldChar w:fldCharType="begin"/>
      </w:r>
      <w:r w:rsidRPr="00B55A5C">
        <w:rPr>
          <w:sz w:val="24"/>
          <w:szCs w:val="28"/>
        </w:rPr>
        <w:instrText xml:space="preserve"> SEQ Tabela \* ARABIC </w:instrText>
      </w:r>
      <w:r w:rsidRPr="00B55A5C">
        <w:rPr>
          <w:sz w:val="24"/>
          <w:szCs w:val="28"/>
        </w:rPr>
        <w:fldChar w:fldCharType="separate"/>
      </w:r>
      <w:r w:rsidR="00FD3F9A">
        <w:rPr>
          <w:noProof/>
          <w:sz w:val="24"/>
          <w:szCs w:val="28"/>
        </w:rPr>
        <w:t>34</w:t>
      </w:r>
      <w:r w:rsidRPr="00B55A5C">
        <w:rPr>
          <w:sz w:val="24"/>
          <w:szCs w:val="28"/>
        </w:rPr>
        <w:fldChar w:fldCharType="end"/>
      </w:r>
      <w:r>
        <w:rPr>
          <w:sz w:val="24"/>
          <w:szCs w:val="28"/>
        </w:rPr>
        <w:tab/>
      </w:r>
      <w:r w:rsidRPr="00B55A5C">
        <w:rPr>
          <w:sz w:val="24"/>
          <w:szCs w:val="28"/>
        </w:rPr>
        <w:t>Grupy interesariuszy, do których skierowano ankietę</w:t>
      </w:r>
      <w:bookmarkEnd w:id="228"/>
    </w:p>
    <w:tbl>
      <w:tblPr>
        <w:tblStyle w:val="Tabelasiatki4akcent21"/>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3828"/>
      </w:tblGrid>
      <w:tr w:rsidR="00984D1B" w:rsidRPr="007435EC" w14:paraId="37B44427" w14:textId="77777777" w:rsidTr="00A95C8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64" w:type="dxa"/>
            <w:tcBorders>
              <w:top w:val="none" w:sz="0" w:space="0" w:color="auto"/>
              <w:left w:val="none" w:sz="0" w:space="0" w:color="auto"/>
              <w:bottom w:val="none" w:sz="0" w:space="0" w:color="auto"/>
              <w:right w:val="none" w:sz="0" w:space="0" w:color="auto"/>
            </w:tcBorders>
            <w:shd w:val="clear" w:color="auto" w:fill="FFFFFF" w:themeFill="background1"/>
          </w:tcPr>
          <w:p w14:paraId="4D694476" w14:textId="77777777" w:rsidR="00984D1B" w:rsidRPr="00B55A5C" w:rsidRDefault="00984D1B" w:rsidP="00E419E1">
            <w:pPr>
              <w:jc w:val="center"/>
              <w:rPr>
                <w:b w:val="0"/>
                <w:color w:val="auto"/>
                <w:lang w:val="pl-PL"/>
              </w:rPr>
            </w:pPr>
            <w:r w:rsidRPr="00B55A5C">
              <w:rPr>
                <w:b w:val="0"/>
                <w:color w:val="auto"/>
                <w:lang w:val="pl-PL"/>
              </w:rPr>
              <w:t>Grupa interesariuszy</w:t>
            </w:r>
          </w:p>
        </w:tc>
        <w:tc>
          <w:tcPr>
            <w:tcW w:w="3828" w:type="dxa"/>
            <w:tcBorders>
              <w:top w:val="none" w:sz="0" w:space="0" w:color="auto"/>
              <w:left w:val="none" w:sz="0" w:space="0" w:color="auto"/>
              <w:bottom w:val="none" w:sz="0" w:space="0" w:color="auto"/>
              <w:right w:val="none" w:sz="0" w:space="0" w:color="auto"/>
            </w:tcBorders>
            <w:shd w:val="clear" w:color="auto" w:fill="FFFFFF" w:themeFill="background1"/>
          </w:tcPr>
          <w:p w14:paraId="5A7438CF" w14:textId="77777777" w:rsidR="00984D1B" w:rsidRPr="00B55A5C" w:rsidRDefault="00984D1B" w:rsidP="00E419E1">
            <w:pPr>
              <w:jc w:val="center"/>
              <w:cnfStyle w:val="100000000000" w:firstRow="1" w:lastRow="0" w:firstColumn="0" w:lastColumn="0" w:oddVBand="0" w:evenVBand="0" w:oddHBand="0" w:evenHBand="0" w:firstRowFirstColumn="0" w:firstRowLastColumn="0" w:lastRowFirstColumn="0" w:lastRowLastColumn="0"/>
              <w:rPr>
                <w:b w:val="0"/>
                <w:color w:val="auto"/>
                <w:lang w:val="pl-PL"/>
              </w:rPr>
            </w:pPr>
            <w:r w:rsidRPr="00B55A5C">
              <w:rPr>
                <w:b w:val="0"/>
                <w:color w:val="auto"/>
                <w:lang w:val="pl-PL"/>
              </w:rPr>
              <w:t>Liczba interesariuszy</w:t>
            </w:r>
          </w:p>
        </w:tc>
      </w:tr>
      <w:tr w:rsidR="00984D1B" w:rsidRPr="007435EC" w14:paraId="4E1AF247" w14:textId="77777777" w:rsidTr="00A95C8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64" w:type="dxa"/>
          </w:tcPr>
          <w:p w14:paraId="19A755AD" w14:textId="77777777" w:rsidR="00984D1B" w:rsidRPr="00B55A5C" w:rsidRDefault="00984D1B" w:rsidP="00E419E1">
            <w:pPr>
              <w:jc w:val="center"/>
              <w:rPr>
                <w:b/>
                <w:lang w:val="pl-PL"/>
              </w:rPr>
            </w:pPr>
            <w:r w:rsidRPr="00B55A5C">
              <w:rPr>
                <w:lang w:val="pl-PL"/>
              </w:rPr>
              <w:t>Urzędy Gminy</w:t>
            </w:r>
          </w:p>
        </w:tc>
        <w:tc>
          <w:tcPr>
            <w:tcW w:w="3828" w:type="dxa"/>
          </w:tcPr>
          <w:p w14:paraId="438E8897" w14:textId="77777777" w:rsidR="00984D1B" w:rsidRPr="00B55A5C" w:rsidRDefault="00984D1B" w:rsidP="00E419E1">
            <w:pPr>
              <w:jc w:val="center"/>
              <w:cnfStyle w:val="000000100000" w:firstRow="0" w:lastRow="0" w:firstColumn="0" w:lastColumn="0" w:oddVBand="0" w:evenVBand="0" w:oddHBand="1" w:evenHBand="0" w:firstRowFirstColumn="0" w:firstRowLastColumn="0" w:lastRowFirstColumn="0" w:lastRowLastColumn="0"/>
              <w:rPr>
                <w:bCs/>
                <w:lang w:val="pl-PL"/>
              </w:rPr>
            </w:pPr>
            <w:r w:rsidRPr="00B55A5C">
              <w:rPr>
                <w:bCs/>
                <w:lang w:val="pl-PL"/>
              </w:rPr>
              <w:t>38</w:t>
            </w:r>
          </w:p>
        </w:tc>
      </w:tr>
      <w:tr w:rsidR="00984D1B" w:rsidRPr="007435EC" w14:paraId="3C85E354" w14:textId="77777777" w:rsidTr="00A95C85">
        <w:trPr>
          <w:trHeight w:val="20"/>
        </w:trPr>
        <w:tc>
          <w:tcPr>
            <w:cnfStyle w:val="001000000000" w:firstRow="0" w:lastRow="0" w:firstColumn="1" w:lastColumn="0" w:oddVBand="0" w:evenVBand="0" w:oddHBand="0" w:evenHBand="0" w:firstRowFirstColumn="0" w:firstRowLastColumn="0" w:lastRowFirstColumn="0" w:lastRowLastColumn="0"/>
            <w:tcW w:w="3964" w:type="dxa"/>
          </w:tcPr>
          <w:p w14:paraId="7ACD7D6F" w14:textId="77777777" w:rsidR="00984D1B" w:rsidRPr="00B55A5C" w:rsidRDefault="00984D1B" w:rsidP="00E419E1">
            <w:pPr>
              <w:jc w:val="center"/>
              <w:rPr>
                <w:b/>
                <w:lang w:val="pl-PL"/>
              </w:rPr>
            </w:pPr>
            <w:r w:rsidRPr="00B55A5C">
              <w:rPr>
                <w:lang w:val="pl-PL"/>
              </w:rPr>
              <w:t>Urzędy Miasta i Gminy</w:t>
            </w:r>
          </w:p>
        </w:tc>
        <w:tc>
          <w:tcPr>
            <w:tcW w:w="3828" w:type="dxa"/>
          </w:tcPr>
          <w:p w14:paraId="3851FDE4" w14:textId="77777777" w:rsidR="00984D1B" w:rsidRPr="00B55A5C" w:rsidRDefault="00984D1B" w:rsidP="00E419E1">
            <w:pPr>
              <w:jc w:val="center"/>
              <w:cnfStyle w:val="000000000000" w:firstRow="0" w:lastRow="0" w:firstColumn="0" w:lastColumn="0" w:oddVBand="0" w:evenVBand="0" w:oddHBand="0" w:evenHBand="0" w:firstRowFirstColumn="0" w:firstRowLastColumn="0" w:lastRowFirstColumn="0" w:lastRowLastColumn="0"/>
              <w:rPr>
                <w:bCs/>
                <w:lang w:val="pl-PL"/>
              </w:rPr>
            </w:pPr>
            <w:r w:rsidRPr="00B55A5C">
              <w:rPr>
                <w:bCs/>
                <w:lang w:val="pl-PL"/>
              </w:rPr>
              <w:t>4</w:t>
            </w:r>
          </w:p>
        </w:tc>
      </w:tr>
      <w:tr w:rsidR="00984D1B" w:rsidRPr="007435EC" w14:paraId="47463C08" w14:textId="77777777" w:rsidTr="00A95C8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64" w:type="dxa"/>
          </w:tcPr>
          <w:p w14:paraId="776EDCA3" w14:textId="77777777" w:rsidR="00984D1B" w:rsidRPr="00B55A5C" w:rsidRDefault="00984D1B" w:rsidP="00E419E1">
            <w:pPr>
              <w:jc w:val="center"/>
              <w:rPr>
                <w:b/>
                <w:lang w:val="pl-PL"/>
              </w:rPr>
            </w:pPr>
            <w:r w:rsidRPr="00B55A5C">
              <w:rPr>
                <w:lang w:val="pl-PL"/>
              </w:rPr>
              <w:t>Urzędy Miejskie</w:t>
            </w:r>
          </w:p>
        </w:tc>
        <w:tc>
          <w:tcPr>
            <w:tcW w:w="3828" w:type="dxa"/>
          </w:tcPr>
          <w:p w14:paraId="73135239" w14:textId="77777777" w:rsidR="00984D1B" w:rsidRPr="00B55A5C" w:rsidRDefault="00984D1B" w:rsidP="00E419E1">
            <w:pPr>
              <w:jc w:val="center"/>
              <w:cnfStyle w:val="000000100000" w:firstRow="0" w:lastRow="0" w:firstColumn="0" w:lastColumn="0" w:oddVBand="0" w:evenVBand="0" w:oddHBand="1" w:evenHBand="0" w:firstRowFirstColumn="0" w:firstRowLastColumn="0" w:lastRowFirstColumn="0" w:lastRowLastColumn="0"/>
              <w:rPr>
                <w:bCs/>
                <w:lang w:val="pl-PL"/>
              </w:rPr>
            </w:pPr>
            <w:r w:rsidRPr="00B55A5C">
              <w:rPr>
                <w:bCs/>
                <w:lang w:val="pl-PL"/>
              </w:rPr>
              <w:t>21</w:t>
            </w:r>
          </w:p>
        </w:tc>
      </w:tr>
      <w:tr w:rsidR="00984D1B" w:rsidRPr="007435EC" w14:paraId="3C3C52E0" w14:textId="77777777" w:rsidTr="00A95C85">
        <w:trPr>
          <w:trHeight w:val="20"/>
        </w:trPr>
        <w:tc>
          <w:tcPr>
            <w:cnfStyle w:val="001000000000" w:firstRow="0" w:lastRow="0" w:firstColumn="1" w:lastColumn="0" w:oddVBand="0" w:evenVBand="0" w:oddHBand="0" w:evenHBand="0" w:firstRowFirstColumn="0" w:firstRowLastColumn="0" w:lastRowFirstColumn="0" w:lastRowLastColumn="0"/>
            <w:tcW w:w="3964" w:type="dxa"/>
          </w:tcPr>
          <w:p w14:paraId="6C79EB53" w14:textId="77777777" w:rsidR="00984D1B" w:rsidRPr="00B55A5C" w:rsidRDefault="00984D1B" w:rsidP="00E419E1">
            <w:pPr>
              <w:jc w:val="center"/>
              <w:rPr>
                <w:b/>
                <w:lang w:val="pl-PL"/>
              </w:rPr>
            </w:pPr>
            <w:r w:rsidRPr="00B55A5C">
              <w:rPr>
                <w:lang w:val="pl-PL"/>
              </w:rPr>
              <w:t>Starostwa Powiatowe</w:t>
            </w:r>
          </w:p>
        </w:tc>
        <w:tc>
          <w:tcPr>
            <w:tcW w:w="3828" w:type="dxa"/>
          </w:tcPr>
          <w:p w14:paraId="1C45C8FD" w14:textId="77777777" w:rsidR="00984D1B" w:rsidRPr="00B55A5C" w:rsidRDefault="00984D1B" w:rsidP="00E419E1">
            <w:pPr>
              <w:jc w:val="center"/>
              <w:cnfStyle w:val="000000000000" w:firstRow="0" w:lastRow="0" w:firstColumn="0" w:lastColumn="0" w:oddVBand="0" w:evenVBand="0" w:oddHBand="0" w:evenHBand="0" w:firstRowFirstColumn="0" w:firstRowLastColumn="0" w:lastRowFirstColumn="0" w:lastRowLastColumn="0"/>
              <w:rPr>
                <w:bCs/>
                <w:lang w:val="pl-PL"/>
              </w:rPr>
            </w:pPr>
            <w:r w:rsidRPr="00B55A5C">
              <w:rPr>
                <w:bCs/>
                <w:lang w:val="pl-PL"/>
              </w:rPr>
              <w:t>35</w:t>
            </w:r>
          </w:p>
        </w:tc>
      </w:tr>
      <w:tr w:rsidR="00984D1B" w:rsidRPr="007435EC" w14:paraId="3FD1531B" w14:textId="77777777" w:rsidTr="00A95C8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64" w:type="dxa"/>
          </w:tcPr>
          <w:p w14:paraId="7144215B" w14:textId="77777777" w:rsidR="00984D1B" w:rsidRPr="00B55A5C" w:rsidRDefault="00984D1B" w:rsidP="00E419E1">
            <w:pPr>
              <w:jc w:val="center"/>
              <w:rPr>
                <w:b/>
                <w:lang w:val="pl-PL"/>
              </w:rPr>
            </w:pPr>
            <w:r w:rsidRPr="00B55A5C">
              <w:rPr>
                <w:lang w:val="pl-PL"/>
              </w:rPr>
              <w:t>Urzędy Wojewódzkie</w:t>
            </w:r>
          </w:p>
        </w:tc>
        <w:tc>
          <w:tcPr>
            <w:tcW w:w="3828" w:type="dxa"/>
          </w:tcPr>
          <w:p w14:paraId="5DC092EC" w14:textId="77777777" w:rsidR="00984D1B" w:rsidRPr="00B55A5C" w:rsidRDefault="00984D1B" w:rsidP="00E419E1">
            <w:pPr>
              <w:jc w:val="center"/>
              <w:cnfStyle w:val="000000100000" w:firstRow="0" w:lastRow="0" w:firstColumn="0" w:lastColumn="0" w:oddVBand="0" w:evenVBand="0" w:oddHBand="1" w:evenHBand="0" w:firstRowFirstColumn="0" w:firstRowLastColumn="0" w:lastRowFirstColumn="0" w:lastRowLastColumn="0"/>
              <w:rPr>
                <w:bCs/>
                <w:lang w:val="pl-PL"/>
              </w:rPr>
            </w:pPr>
            <w:r w:rsidRPr="00B55A5C">
              <w:rPr>
                <w:bCs/>
                <w:lang w:val="pl-PL"/>
              </w:rPr>
              <w:t>3</w:t>
            </w:r>
          </w:p>
        </w:tc>
      </w:tr>
      <w:tr w:rsidR="00984D1B" w:rsidRPr="007435EC" w14:paraId="0468AAEC" w14:textId="77777777" w:rsidTr="00A95C85">
        <w:trPr>
          <w:trHeight w:val="20"/>
        </w:trPr>
        <w:tc>
          <w:tcPr>
            <w:cnfStyle w:val="001000000000" w:firstRow="0" w:lastRow="0" w:firstColumn="1" w:lastColumn="0" w:oddVBand="0" w:evenVBand="0" w:oddHBand="0" w:evenHBand="0" w:firstRowFirstColumn="0" w:firstRowLastColumn="0" w:lastRowFirstColumn="0" w:lastRowLastColumn="0"/>
            <w:tcW w:w="3964" w:type="dxa"/>
          </w:tcPr>
          <w:p w14:paraId="5C6E17CF" w14:textId="77777777" w:rsidR="00984D1B" w:rsidRPr="00B55A5C" w:rsidRDefault="00984D1B" w:rsidP="00E419E1">
            <w:pPr>
              <w:jc w:val="center"/>
              <w:rPr>
                <w:b/>
                <w:lang w:val="pl-PL"/>
              </w:rPr>
            </w:pPr>
            <w:r w:rsidRPr="00B55A5C">
              <w:rPr>
                <w:lang w:val="pl-PL"/>
              </w:rPr>
              <w:t>Urzędy Marszałkowskie</w:t>
            </w:r>
          </w:p>
        </w:tc>
        <w:tc>
          <w:tcPr>
            <w:tcW w:w="3828" w:type="dxa"/>
          </w:tcPr>
          <w:p w14:paraId="06945AB6" w14:textId="77777777" w:rsidR="00984D1B" w:rsidRPr="00B55A5C" w:rsidRDefault="00984D1B" w:rsidP="00E419E1">
            <w:pPr>
              <w:jc w:val="center"/>
              <w:cnfStyle w:val="000000000000" w:firstRow="0" w:lastRow="0" w:firstColumn="0" w:lastColumn="0" w:oddVBand="0" w:evenVBand="0" w:oddHBand="0" w:evenHBand="0" w:firstRowFirstColumn="0" w:firstRowLastColumn="0" w:lastRowFirstColumn="0" w:lastRowLastColumn="0"/>
              <w:rPr>
                <w:bCs/>
                <w:lang w:val="pl-PL"/>
              </w:rPr>
            </w:pPr>
            <w:r w:rsidRPr="00B55A5C">
              <w:rPr>
                <w:bCs/>
                <w:lang w:val="pl-PL"/>
              </w:rPr>
              <w:t>3</w:t>
            </w:r>
          </w:p>
        </w:tc>
      </w:tr>
      <w:tr w:rsidR="00984D1B" w:rsidRPr="007435EC" w14:paraId="22E083BF" w14:textId="77777777" w:rsidTr="00A95C8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64" w:type="dxa"/>
          </w:tcPr>
          <w:p w14:paraId="3E71D90E" w14:textId="77777777" w:rsidR="00984D1B" w:rsidRPr="00B55A5C" w:rsidRDefault="00984D1B" w:rsidP="00E419E1">
            <w:pPr>
              <w:jc w:val="center"/>
              <w:rPr>
                <w:b/>
                <w:lang w:val="pl-PL"/>
              </w:rPr>
            </w:pPr>
            <w:r w:rsidRPr="00B55A5C">
              <w:rPr>
                <w:lang w:val="pl-PL"/>
              </w:rPr>
              <w:t>RAZEM</w:t>
            </w:r>
          </w:p>
        </w:tc>
        <w:tc>
          <w:tcPr>
            <w:tcW w:w="3828" w:type="dxa"/>
          </w:tcPr>
          <w:p w14:paraId="30A0C634" w14:textId="77777777" w:rsidR="00984D1B" w:rsidRPr="00B55A5C" w:rsidRDefault="00984D1B" w:rsidP="00E419E1">
            <w:pPr>
              <w:jc w:val="center"/>
              <w:cnfStyle w:val="000000100000" w:firstRow="0" w:lastRow="0" w:firstColumn="0" w:lastColumn="0" w:oddVBand="0" w:evenVBand="0" w:oddHBand="1" w:evenHBand="0" w:firstRowFirstColumn="0" w:firstRowLastColumn="0" w:lastRowFirstColumn="0" w:lastRowLastColumn="0"/>
              <w:rPr>
                <w:bCs/>
                <w:lang w:val="pl-PL"/>
              </w:rPr>
            </w:pPr>
            <w:r w:rsidRPr="00B55A5C">
              <w:rPr>
                <w:bCs/>
                <w:lang w:val="pl-PL"/>
              </w:rPr>
              <w:t>104</w:t>
            </w:r>
          </w:p>
        </w:tc>
      </w:tr>
    </w:tbl>
    <w:p w14:paraId="6B450E7B" w14:textId="77777777" w:rsidR="005F0BA9" w:rsidRDefault="005F0BA9" w:rsidP="005F0BA9">
      <w:pPr>
        <w:pStyle w:val="ReportLevel2"/>
        <w:numPr>
          <w:ilvl w:val="1"/>
          <w:numId w:val="9"/>
        </w:numPr>
      </w:pPr>
      <w:bookmarkStart w:id="229" w:name="_Toc80604877"/>
      <w:r>
        <w:lastRenderedPageBreak/>
        <w:t>Spotkania warsztatowe</w:t>
      </w:r>
      <w:bookmarkEnd w:id="229"/>
    </w:p>
    <w:p w14:paraId="53497394" w14:textId="497AC36F" w:rsidR="005F0BA9" w:rsidRDefault="005F0BA9" w:rsidP="005F0BA9">
      <w:pPr>
        <w:pStyle w:val="ReportText"/>
      </w:pPr>
      <w:r w:rsidRPr="009401DA">
        <w:t>Podczas prac nad aPZRPM</w:t>
      </w:r>
      <w:r>
        <w:t xml:space="preserve"> odbywał się szereg spotkań konsultacyjnych</w:t>
      </w:r>
      <w:r>
        <w:br/>
        <w:t>z przedstawicielami Ministerstwa Infrastruktury, Urzędów Morskich w Gdyni i w Szczecinie, Regionalnych Zarządów Gospodarki Wodnej w Gdańsku i w Szczecinie. Tematami spotkań było ustalenie celów i działań w planie zarządzania ryzykiem powodziowym od strony morza, w tym morskich wód wewnętrznych, a także opracowanie wstępnych i bazowych list zadań. Przedmiotowe listy były weryfikowane i aktualizowane przez Interesariuszy. Na spotkaniach o</w:t>
      </w:r>
      <w:r w:rsidRPr="009401DA">
        <w:t>mawiano</w:t>
      </w:r>
      <w:r>
        <w:t xml:space="preserve"> także wyznaczone w toku analiz obszary problemowe. Na dalszym etapie omawiane były warianty planistyczne zaprezentowane dla każdego z wyznaczonych obszarów problemowych wraz z prezentacją działań, które je tworzyły. </w:t>
      </w:r>
    </w:p>
    <w:p w14:paraId="249980BD" w14:textId="77777777" w:rsidR="00984D1B" w:rsidRDefault="00984D1B" w:rsidP="00984D1B">
      <w:pPr>
        <w:pStyle w:val="ReportLevel2"/>
        <w:numPr>
          <w:ilvl w:val="1"/>
          <w:numId w:val="44"/>
        </w:numPr>
        <w:rPr>
          <w:rFonts w:eastAsiaTheme="minorEastAsia"/>
        </w:rPr>
      </w:pPr>
      <w:bookmarkStart w:id="230" w:name="_Toc80341926"/>
      <w:bookmarkStart w:id="231" w:name="_Toc80604878"/>
      <w:r>
        <w:t>Ocena postępów w realizacji celów zarządzania ryzykiem powodziowym</w:t>
      </w:r>
      <w:bookmarkEnd w:id="230"/>
      <w:bookmarkEnd w:id="231"/>
      <w:r>
        <w:t xml:space="preserve"> </w:t>
      </w:r>
    </w:p>
    <w:p w14:paraId="2FECA130" w14:textId="77777777" w:rsidR="00984D1B" w:rsidRDefault="00984D1B" w:rsidP="00984D1B">
      <w:pPr>
        <w:pStyle w:val="ReportLevel3"/>
        <w:numPr>
          <w:ilvl w:val="2"/>
          <w:numId w:val="44"/>
        </w:numPr>
      </w:pPr>
      <w:r>
        <w:t>Sposób przeprowadzania oceny postępów w realizacji celów</w:t>
      </w:r>
    </w:p>
    <w:p w14:paraId="23F06FB4" w14:textId="77777777" w:rsidR="00984D1B" w:rsidRDefault="00984D1B" w:rsidP="00984D1B">
      <w:pPr>
        <w:pStyle w:val="ReportText"/>
        <w:spacing w:before="120"/>
      </w:pPr>
      <w:r>
        <w:t xml:space="preserve">Analiza oceny postępów w realizacji celów pierwszego cyklu obejmowała: </w:t>
      </w:r>
    </w:p>
    <w:p w14:paraId="59FA07E2" w14:textId="77777777" w:rsidR="00984D1B" w:rsidRDefault="00984D1B" w:rsidP="00924BB5">
      <w:pPr>
        <w:pStyle w:val="ReportText"/>
        <w:numPr>
          <w:ilvl w:val="0"/>
          <w:numId w:val="71"/>
        </w:numPr>
        <w:spacing w:before="120" w:after="120"/>
      </w:pPr>
      <w:r>
        <w:t>obliczenie procentowej wartości wskaźników realizacji celów, które w sprawozdaniach Ministerstwa Infrastruktury mają podane wyłącznie wartości bezwzględne,</w:t>
      </w:r>
    </w:p>
    <w:p w14:paraId="680D4B7B" w14:textId="77777777" w:rsidR="00984D1B" w:rsidRDefault="00984D1B" w:rsidP="00924BB5">
      <w:pPr>
        <w:pStyle w:val="ReportText"/>
        <w:numPr>
          <w:ilvl w:val="0"/>
          <w:numId w:val="71"/>
        </w:numPr>
        <w:spacing w:before="120" w:after="120"/>
      </w:pPr>
      <w:r>
        <w:t>obliczenie wartości wskaźników rezultatu (RA) wymienionych w rozporządzeniu</w:t>
      </w:r>
      <w:r>
        <w:rPr>
          <w:vertAlign w:val="superscript"/>
        </w:rPr>
        <w:footnoteReference w:id="2"/>
      </w:r>
      <w:r>
        <w:t xml:space="preserve">, </w:t>
      </w:r>
    </w:p>
    <w:p w14:paraId="61159A7A" w14:textId="77777777" w:rsidR="00984D1B" w:rsidRDefault="00984D1B" w:rsidP="00924BB5">
      <w:pPr>
        <w:pStyle w:val="ReportText"/>
        <w:numPr>
          <w:ilvl w:val="0"/>
          <w:numId w:val="71"/>
        </w:numPr>
        <w:spacing w:before="120" w:after="120"/>
      </w:pPr>
      <w:r>
        <w:t>obliczenie wartości wskaźników rezultatu (RA) wymienionych w PZRPM, a nieobjętych zakresem Rozporządzenia,</w:t>
      </w:r>
    </w:p>
    <w:p w14:paraId="14D430A3" w14:textId="77777777" w:rsidR="00984D1B" w:rsidRDefault="00984D1B" w:rsidP="00924BB5">
      <w:pPr>
        <w:pStyle w:val="ReportText"/>
        <w:numPr>
          <w:ilvl w:val="0"/>
          <w:numId w:val="71"/>
        </w:numPr>
        <w:spacing w:before="120" w:after="120"/>
      </w:pPr>
      <w:r>
        <w:t>ocenę i opis postępów w realizacji celów na podstawie obliczonych wskaźników,</w:t>
      </w:r>
    </w:p>
    <w:p w14:paraId="2B5A896D" w14:textId="77777777" w:rsidR="00984D1B" w:rsidRDefault="00984D1B" w:rsidP="00924BB5">
      <w:pPr>
        <w:pStyle w:val="ReportText"/>
        <w:numPr>
          <w:ilvl w:val="0"/>
          <w:numId w:val="71"/>
        </w:numPr>
        <w:spacing w:before="120" w:after="120"/>
      </w:pPr>
      <w:r>
        <w:t>ocenę skuteczności realizowanych celów,</w:t>
      </w:r>
    </w:p>
    <w:p w14:paraId="4B56D484" w14:textId="77777777" w:rsidR="00984D1B" w:rsidRDefault="00984D1B" w:rsidP="00924BB5">
      <w:pPr>
        <w:pStyle w:val="ReportText"/>
        <w:numPr>
          <w:ilvl w:val="0"/>
          <w:numId w:val="71"/>
        </w:numPr>
        <w:spacing w:before="120" w:after="120"/>
      </w:pPr>
      <w:r>
        <w:t>opis i wyjaśnienie przyczyn niezrealizowania poszczególnych celów.</w:t>
      </w:r>
    </w:p>
    <w:p w14:paraId="5D23B573" w14:textId="77777777" w:rsidR="00984D1B" w:rsidRDefault="00984D1B" w:rsidP="00984D1B">
      <w:pPr>
        <w:pStyle w:val="ReportText"/>
        <w:spacing w:before="120"/>
      </w:pPr>
      <w:r>
        <w:t xml:space="preserve">W poniższej tabeli zestawiono wskaźniki rezultatu (RA), używane w celu monitorowania postępów w realizacji celów I cyklu PZRP. </w:t>
      </w:r>
    </w:p>
    <w:p w14:paraId="3DF4F364" w14:textId="77777777" w:rsidR="00984D1B" w:rsidRDefault="00984D1B" w:rsidP="00984D1B">
      <w:pPr>
        <w:pStyle w:val="ReportText"/>
        <w:spacing w:before="120"/>
      </w:pPr>
      <w:r>
        <w:t xml:space="preserve">Narzędziem pomocnym w przedstawieniu wyników przeprowadzonych analiz była poniższa matryca pokazująca porównanie wartości docelowej wskaźnika określonej w Raporcie dla każdego z dorzeczy z wartościami policzonymi na podstawie otrzymanych sprawozdań i przeprowadzonej ankietyzacji. </w:t>
      </w:r>
    </w:p>
    <w:p w14:paraId="792A0B68" w14:textId="475F44CC" w:rsidR="00984D1B" w:rsidRPr="008D7CA9" w:rsidRDefault="00984D1B" w:rsidP="008D7CA9">
      <w:pPr>
        <w:pStyle w:val="Legenda"/>
        <w:tabs>
          <w:tab w:val="clear" w:pos="1080"/>
          <w:tab w:val="left" w:pos="1134"/>
        </w:tabs>
        <w:ind w:left="1134" w:hanging="1134"/>
        <w:jc w:val="both"/>
        <w:rPr>
          <w:sz w:val="24"/>
          <w:szCs w:val="28"/>
        </w:rPr>
      </w:pPr>
      <w:bookmarkStart w:id="233" w:name="_Toc80604845"/>
      <w:bookmarkStart w:id="234" w:name="_Toc70672449"/>
      <w:r w:rsidRPr="008D7CA9">
        <w:rPr>
          <w:sz w:val="24"/>
          <w:szCs w:val="28"/>
        </w:rPr>
        <w:lastRenderedPageBreak/>
        <w:t xml:space="preserve">Tabela </w:t>
      </w:r>
      <w:r w:rsidRPr="008D7CA9">
        <w:rPr>
          <w:sz w:val="24"/>
          <w:szCs w:val="28"/>
        </w:rPr>
        <w:fldChar w:fldCharType="begin"/>
      </w:r>
      <w:r w:rsidRPr="008D7CA9">
        <w:rPr>
          <w:sz w:val="24"/>
          <w:szCs w:val="28"/>
        </w:rPr>
        <w:instrText xml:space="preserve"> SEQ Tabela \* ARABIC </w:instrText>
      </w:r>
      <w:r w:rsidRPr="008D7CA9">
        <w:rPr>
          <w:sz w:val="24"/>
          <w:szCs w:val="28"/>
        </w:rPr>
        <w:fldChar w:fldCharType="separate"/>
      </w:r>
      <w:r w:rsidR="00FD3F9A">
        <w:rPr>
          <w:noProof/>
          <w:sz w:val="24"/>
          <w:szCs w:val="28"/>
        </w:rPr>
        <w:t>35</w:t>
      </w:r>
      <w:r w:rsidRPr="008D7CA9">
        <w:rPr>
          <w:noProof/>
          <w:sz w:val="24"/>
          <w:szCs w:val="28"/>
        </w:rPr>
        <w:fldChar w:fldCharType="end"/>
      </w:r>
      <w:r w:rsidRPr="008D7CA9">
        <w:rPr>
          <w:sz w:val="24"/>
          <w:szCs w:val="28"/>
        </w:rPr>
        <w:tab/>
        <w:t>Wskaźniki rezultatów dla monitorowania postępu realizacji PZRP wraz z sumaryczną wartością dla obszaru dorzecza Wisły</w:t>
      </w:r>
      <w:bookmarkEnd w:id="233"/>
      <w:r w:rsidRPr="008D7CA9">
        <w:rPr>
          <w:sz w:val="24"/>
          <w:szCs w:val="28"/>
        </w:rPr>
        <w:t xml:space="preserve"> </w:t>
      </w:r>
      <w:bookmarkEnd w:id="234"/>
    </w:p>
    <w:tbl>
      <w:tblPr>
        <w:tblW w:w="8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31"/>
        <w:gridCol w:w="1416"/>
        <w:gridCol w:w="1433"/>
        <w:gridCol w:w="1556"/>
      </w:tblGrid>
      <w:tr w:rsidR="00984D1B" w14:paraId="0BB1733F" w14:textId="77777777" w:rsidTr="00E419E1">
        <w:trPr>
          <w:cantSplit/>
          <w:trHeight w:val="315"/>
          <w:tblHeader/>
        </w:trPr>
        <w:tc>
          <w:tcPr>
            <w:tcW w:w="4531" w:type="dxa"/>
            <w:vMerge w:val="restart"/>
            <w:tcBorders>
              <w:top w:val="single" w:sz="4" w:space="0" w:color="auto"/>
              <w:left w:val="single" w:sz="4" w:space="0" w:color="auto"/>
              <w:bottom w:val="single" w:sz="4" w:space="0" w:color="auto"/>
              <w:right w:val="single" w:sz="4" w:space="0" w:color="auto"/>
            </w:tcBorders>
            <w:shd w:val="clear" w:color="auto" w:fill="A9DCF3"/>
            <w:vAlign w:val="center"/>
            <w:hideMark/>
          </w:tcPr>
          <w:p w14:paraId="5D048AF1" w14:textId="77777777" w:rsidR="00984D1B" w:rsidRPr="00076156" w:rsidRDefault="00984D1B" w:rsidP="00E419E1">
            <w:r w:rsidRPr="00076156">
              <w:t>Wskaźnik monitoringu wdrażania I cyklu planistycznego PZRP</w:t>
            </w:r>
          </w:p>
        </w:tc>
        <w:tc>
          <w:tcPr>
            <w:tcW w:w="2849" w:type="dxa"/>
            <w:gridSpan w:val="2"/>
            <w:tcBorders>
              <w:top w:val="single" w:sz="4" w:space="0" w:color="auto"/>
              <w:left w:val="single" w:sz="4" w:space="0" w:color="auto"/>
              <w:bottom w:val="single" w:sz="4" w:space="0" w:color="auto"/>
              <w:right w:val="single" w:sz="4" w:space="0" w:color="auto"/>
            </w:tcBorders>
            <w:shd w:val="clear" w:color="auto" w:fill="A9DCF3"/>
            <w:vAlign w:val="center"/>
            <w:hideMark/>
          </w:tcPr>
          <w:p w14:paraId="12532AA0" w14:textId="77777777" w:rsidR="00984D1B" w:rsidRDefault="00984D1B" w:rsidP="00E419E1">
            <w:pPr>
              <w:rPr>
                <w:lang w:val="en-GB"/>
              </w:rPr>
            </w:pPr>
            <w:r>
              <w:rPr>
                <w:lang w:val="en-GB"/>
              </w:rPr>
              <w:t>Wartość docelowa wskaźnika rezultatu</w:t>
            </w:r>
          </w:p>
        </w:tc>
        <w:tc>
          <w:tcPr>
            <w:tcW w:w="1556" w:type="dxa"/>
            <w:vMerge w:val="restart"/>
            <w:tcBorders>
              <w:top w:val="single" w:sz="4" w:space="0" w:color="auto"/>
              <w:left w:val="single" w:sz="4" w:space="0" w:color="auto"/>
              <w:bottom w:val="single" w:sz="4" w:space="0" w:color="auto"/>
              <w:right w:val="single" w:sz="4" w:space="0" w:color="auto"/>
            </w:tcBorders>
            <w:shd w:val="clear" w:color="auto" w:fill="A9DCF3"/>
            <w:vAlign w:val="center"/>
            <w:hideMark/>
          </w:tcPr>
          <w:p w14:paraId="1B970542" w14:textId="77777777" w:rsidR="00984D1B" w:rsidRPr="00076156" w:rsidRDefault="00984D1B" w:rsidP="00E419E1">
            <w:r w:rsidRPr="00076156">
              <w:t>Wartość wskaźnika uzyskana z monitoringu</w:t>
            </w:r>
          </w:p>
        </w:tc>
      </w:tr>
      <w:tr w:rsidR="00984D1B" w14:paraId="25AC7AED" w14:textId="77777777" w:rsidTr="00E419E1">
        <w:trPr>
          <w:cantSplit/>
          <w:trHeight w:val="315"/>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9EE931" w14:textId="77777777" w:rsidR="00984D1B" w:rsidRPr="00076156" w:rsidRDefault="00984D1B" w:rsidP="00E419E1">
            <w:pPr>
              <w:rPr>
                <w:rFonts w:eastAsiaTheme="minorEastAsia"/>
              </w:rPr>
            </w:pPr>
          </w:p>
        </w:tc>
        <w:tc>
          <w:tcPr>
            <w:tcW w:w="1416" w:type="dxa"/>
            <w:tcBorders>
              <w:top w:val="single" w:sz="4" w:space="0" w:color="auto"/>
              <w:left w:val="single" w:sz="4" w:space="0" w:color="auto"/>
              <w:bottom w:val="single" w:sz="4" w:space="0" w:color="auto"/>
              <w:right w:val="single" w:sz="4" w:space="0" w:color="auto"/>
            </w:tcBorders>
            <w:shd w:val="clear" w:color="auto" w:fill="A9DCF3"/>
            <w:vAlign w:val="center"/>
            <w:hideMark/>
          </w:tcPr>
          <w:p w14:paraId="3864C435" w14:textId="77777777" w:rsidR="00984D1B" w:rsidRDefault="00984D1B" w:rsidP="00E419E1">
            <w:pPr>
              <w:rPr>
                <w:lang w:val="en-GB"/>
              </w:rPr>
            </w:pPr>
            <w:r>
              <w:rPr>
                <w:lang w:val="en-GB"/>
              </w:rPr>
              <w:t>Względna</w:t>
            </w:r>
          </w:p>
        </w:tc>
        <w:tc>
          <w:tcPr>
            <w:tcW w:w="1433" w:type="dxa"/>
            <w:tcBorders>
              <w:top w:val="single" w:sz="4" w:space="0" w:color="auto"/>
              <w:left w:val="single" w:sz="4" w:space="0" w:color="auto"/>
              <w:bottom w:val="single" w:sz="4" w:space="0" w:color="auto"/>
              <w:right w:val="single" w:sz="4" w:space="0" w:color="auto"/>
            </w:tcBorders>
            <w:shd w:val="clear" w:color="auto" w:fill="A9DCF3"/>
            <w:vAlign w:val="center"/>
            <w:hideMark/>
          </w:tcPr>
          <w:p w14:paraId="0CC80311" w14:textId="77777777" w:rsidR="00984D1B" w:rsidRDefault="00984D1B" w:rsidP="00E419E1">
            <w:pPr>
              <w:rPr>
                <w:lang w:val="en-GB"/>
              </w:rPr>
            </w:pPr>
            <w:r>
              <w:rPr>
                <w:lang w:val="en-GB"/>
              </w:rPr>
              <w:t>Bezwzględna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2A6689" w14:textId="77777777" w:rsidR="00984D1B" w:rsidRDefault="00984D1B" w:rsidP="00E419E1">
            <w:pPr>
              <w:rPr>
                <w:rFonts w:eastAsiaTheme="minorEastAsia"/>
                <w:lang w:val="en-GB"/>
              </w:rPr>
            </w:pPr>
          </w:p>
        </w:tc>
      </w:tr>
      <w:tr w:rsidR="00984D1B" w14:paraId="1990FE0A" w14:textId="77777777" w:rsidTr="00E419E1">
        <w:trPr>
          <w:cantSplit/>
          <w:trHeight w:val="630"/>
        </w:trPr>
        <w:tc>
          <w:tcPr>
            <w:tcW w:w="4531" w:type="dxa"/>
            <w:tcBorders>
              <w:top w:val="single" w:sz="4" w:space="0" w:color="auto"/>
              <w:left w:val="single" w:sz="4" w:space="0" w:color="auto"/>
              <w:bottom w:val="single" w:sz="4" w:space="0" w:color="auto"/>
              <w:right w:val="single" w:sz="4" w:space="0" w:color="auto"/>
            </w:tcBorders>
            <w:vAlign w:val="bottom"/>
            <w:hideMark/>
          </w:tcPr>
          <w:p w14:paraId="64F491F7" w14:textId="77777777" w:rsidR="00984D1B" w:rsidRPr="00076156" w:rsidRDefault="00984D1B" w:rsidP="00E419E1">
            <w:r w:rsidRPr="00076156">
              <w:t>RA1 Względna redukcja wartości średnich rocznych strat powodziowych AAD w wyniku realizacji działań</w:t>
            </w:r>
          </w:p>
        </w:tc>
        <w:tc>
          <w:tcPr>
            <w:tcW w:w="14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908F98" w14:textId="77777777" w:rsidR="00984D1B" w:rsidRDefault="00984D1B" w:rsidP="00E419E1">
            <w:pPr>
              <w:rPr>
                <w:lang w:val="en-GB"/>
              </w:rPr>
            </w:pPr>
            <w:r>
              <w:rPr>
                <w:lang w:val="en-GB"/>
              </w:rPr>
              <w:t>100</w:t>
            </w:r>
          </w:p>
        </w:tc>
        <w:tc>
          <w:tcPr>
            <w:tcW w:w="143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E16C0B" w14:textId="77777777" w:rsidR="00984D1B" w:rsidRDefault="00984D1B" w:rsidP="00E419E1">
            <w:pPr>
              <w:rPr>
                <w:lang w:val="en-GB"/>
              </w:rPr>
            </w:pPr>
            <w:r>
              <w:rPr>
                <w:lang w:val="en-GB"/>
              </w:rPr>
              <w:t> </w:t>
            </w:r>
          </w:p>
        </w:tc>
        <w:tc>
          <w:tcPr>
            <w:tcW w:w="155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FADA2F" w14:textId="77777777" w:rsidR="00984D1B" w:rsidRDefault="00984D1B" w:rsidP="00E419E1">
            <w:pPr>
              <w:rPr>
                <w:lang w:val="en-GB"/>
              </w:rPr>
            </w:pPr>
            <w:r>
              <w:rPr>
                <w:lang w:val="en-GB"/>
              </w:rPr>
              <w:t> </w:t>
            </w:r>
          </w:p>
        </w:tc>
      </w:tr>
      <w:tr w:rsidR="00984D1B" w14:paraId="2DEF3EB3" w14:textId="77777777" w:rsidTr="00E419E1">
        <w:trPr>
          <w:cantSplit/>
          <w:trHeight w:val="630"/>
        </w:trPr>
        <w:tc>
          <w:tcPr>
            <w:tcW w:w="4531" w:type="dxa"/>
            <w:tcBorders>
              <w:top w:val="single" w:sz="4" w:space="0" w:color="auto"/>
              <w:left w:val="single" w:sz="4" w:space="0" w:color="auto"/>
              <w:bottom w:val="single" w:sz="4" w:space="0" w:color="auto"/>
              <w:right w:val="single" w:sz="4" w:space="0" w:color="auto"/>
            </w:tcBorders>
            <w:shd w:val="clear" w:color="auto" w:fill="D4EDF9"/>
            <w:vAlign w:val="center"/>
            <w:hideMark/>
          </w:tcPr>
          <w:p w14:paraId="6A6E8B9D" w14:textId="77777777" w:rsidR="00984D1B" w:rsidRPr="00076156" w:rsidRDefault="00984D1B" w:rsidP="00E419E1">
            <w:r w:rsidRPr="00076156">
              <w:t>RA2 Względna redukcja liczby mieszkańców na obszarach szczególnego zagrożenia powodzią (Q1%) w wyniku realizacji działań</w:t>
            </w:r>
          </w:p>
        </w:tc>
        <w:tc>
          <w:tcPr>
            <w:tcW w:w="1416" w:type="dxa"/>
            <w:tcBorders>
              <w:top w:val="single" w:sz="4" w:space="0" w:color="auto"/>
              <w:left w:val="single" w:sz="4" w:space="0" w:color="auto"/>
              <w:bottom w:val="single" w:sz="4" w:space="0" w:color="auto"/>
              <w:right w:val="single" w:sz="4" w:space="0" w:color="auto"/>
            </w:tcBorders>
            <w:shd w:val="clear" w:color="auto" w:fill="D4EDF9"/>
            <w:vAlign w:val="center"/>
            <w:hideMark/>
          </w:tcPr>
          <w:p w14:paraId="2DEEF8E7" w14:textId="77777777" w:rsidR="00984D1B" w:rsidRDefault="00984D1B" w:rsidP="00E419E1">
            <w:pPr>
              <w:rPr>
                <w:lang w:val="en-GB"/>
              </w:rPr>
            </w:pPr>
            <w:r>
              <w:rPr>
                <w:lang w:val="en-GB"/>
              </w:rPr>
              <w:t>100</w:t>
            </w:r>
          </w:p>
        </w:tc>
        <w:tc>
          <w:tcPr>
            <w:tcW w:w="1433" w:type="dxa"/>
            <w:tcBorders>
              <w:top w:val="single" w:sz="4" w:space="0" w:color="auto"/>
              <w:left w:val="single" w:sz="4" w:space="0" w:color="auto"/>
              <w:bottom w:val="single" w:sz="4" w:space="0" w:color="auto"/>
              <w:right w:val="single" w:sz="4" w:space="0" w:color="auto"/>
            </w:tcBorders>
            <w:shd w:val="clear" w:color="auto" w:fill="D4EDF9"/>
            <w:vAlign w:val="center"/>
            <w:hideMark/>
          </w:tcPr>
          <w:p w14:paraId="43CF7ADA" w14:textId="77777777" w:rsidR="00984D1B" w:rsidRDefault="00984D1B" w:rsidP="00E419E1">
            <w:pPr>
              <w:rPr>
                <w:lang w:val="en-GB"/>
              </w:rPr>
            </w:pPr>
            <w:r>
              <w:rPr>
                <w:lang w:val="en-GB"/>
              </w:rPr>
              <w:t> </w:t>
            </w:r>
          </w:p>
        </w:tc>
        <w:tc>
          <w:tcPr>
            <w:tcW w:w="1556" w:type="dxa"/>
            <w:tcBorders>
              <w:top w:val="single" w:sz="4" w:space="0" w:color="auto"/>
              <w:left w:val="single" w:sz="4" w:space="0" w:color="auto"/>
              <w:bottom w:val="single" w:sz="4" w:space="0" w:color="auto"/>
              <w:right w:val="single" w:sz="4" w:space="0" w:color="auto"/>
            </w:tcBorders>
            <w:shd w:val="clear" w:color="auto" w:fill="D4EDF9"/>
            <w:vAlign w:val="center"/>
            <w:hideMark/>
          </w:tcPr>
          <w:p w14:paraId="09A8DB3C" w14:textId="77777777" w:rsidR="00984D1B" w:rsidRDefault="00984D1B" w:rsidP="00E419E1">
            <w:pPr>
              <w:rPr>
                <w:lang w:val="en-GB"/>
              </w:rPr>
            </w:pPr>
            <w:r>
              <w:rPr>
                <w:lang w:val="en-GB"/>
              </w:rPr>
              <w:t> </w:t>
            </w:r>
          </w:p>
        </w:tc>
      </w:tr>
      <w:tr w:rsidR="00984D1B" w14:paraId="1C3E60C7" w14:textId="77777777" w:rsidTr="00E419E1">
        <w:trPr>
          <w:cantSplit/>
          <w:trHeight w:val="945"/>
        </w:trPr>
        <w:tc>
          <w:tcPr>
            <w:tcW w:w="4531" w:type="dxa"/>
            <w:tcBorders>
              <w:top w:val="single" w:sz="4" w:space="0" w:color="auto"/>
              <w:left w:val="single" w:sz="4" w:space="0" w:color="auto"/>
              <w:bottom w:val="single" w:sz="4" w:space="0" w:color="auto"/>
              <w:right w:val="single" w:sz="4" w:space="0" w:color="auto"/>
            </w:tcBorders>
            <w:vAlign w:val="bottom"/>
            <w:hideMark/>
          </w:tcPr>
          <w:p w14:paraId="4E4531D1" w14:textId="77777777" w:rsidR="00984D1B" w:rsidRPr="00076156" w:rsidRDefault="00984D1B" w:rsidP="00E419E1">
            <w:r w:rsidRPr="00076156">
              <w:t>RA3 Względny spadek liczby obiektów cennych kulturowo zlokalizowanych w obszarze szczególnego zagrożenia powodzią (Q1%) w wyniku realizacji działań</w:t>
            </w:r>
          </w:p>
        </w:tc>
        <w:tc>
          <w:tcPr>
            <w:tcW w:w="14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950221" w14:textId="77777777" w:rsidR="00984D1B" w:rsidRDefault="00984D1B" w:rsidP="00E419E1">
            <w:pPr>
              <w:rPr>
                <w:lang w:val="en-GB"/>
              </w:rPr>
            </w:pPr>
            <w:r>
              <w:rPr>
                <w:lang w:val="en-GB"/>
              </w:rPr>
              <w:t>100</w:t>
            </w:r>
          </w:p>
        </w:tc>
        <w:tc>
          <w:tcPr>
            <w:tcW w:w="143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7F98B6" w14:textId="77777777" w:rsidR="00984D1B" w:rsidRDefault="00984D1B" w:rsidP="00E419E1">
            <w:pPr>
              <w:rPr>
                <w:lang w:val="en-GB"/>
              </w:rPr>
            </w:pPr>
            <w:r>
              <w:rPr>
                <w:lang w:val="en-GB"/>
              </w:rPr>
              <w:t> </w:t>
            </w:r>
          </w:p>
        </w:tc>
        <w:tc>
          <w:tcPr>
            <w:tcW w:w="155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12471A" w14:textId="77777777" w:rsidR="00984D1B" w:rsidRDefault="00984D1B" w:rsidP="00E419E1">
            <w:pPr>
              <w:rPr>
                <w:lang w:val="en-GB"/>
              </w:rPr>
            </w:pPr>
            <w:r>
              <w:rPr>
                <w:lang w:val="en-GB"/>
              </w:rPr>
              <w:t> </w:t>
            </w:r>
          </w:p>
        </w:tc>
      </w:tr>
      <w:tr w:rsidR="00984D1B" w14:paraId="4A20CC6C" w14:textId="77777777" w:rsidTr="00E419E1">
        <w:trPr>
          <w:cantSplit/>
          <w:trHeight w:val="945"/>
        </w:trPr>
        <w:tc>
          <w:tcPr>
            <w:tcW w:w="4531" w:type="dxa"/>
            <w:tcBorders>
              <w:top w:val="single" w:sz="4" w:space="0" w:color="auto"/>
              <w:left w:val="single" w:sz="4" w:space="0" w:color="auto"/>
              <w:bottom w:val="single" w:sz="4" w:space="0" w:color="auto"/>
              <w:right w:val="single" w:sz="4" w:space="0" w:color="auto"/>
            </w:tcBorders>
            <w:shd w:val="clear" w:color="auto" w:fill="D4EDF9"/>
            <w:vAlign w:val="center"/>
            <w:hideMark/>
          </w:tcPr>
          <w:p w14:paraId="20136BD7" w14:textId="77777777" w:rsidR="00984D1B" w:rsidRPr="00076156" w:rsidRDefault="00984D1B" w:rsidP="00E419E1">
            <w:r w:rsidRPr="00076156">
              <w:t>RA4 Względny spadek liczby obiektów stanowiących zagrożenie dla środowiska zlokalizowanych w obszarze szczególnego zagrożenia powodzią (Q1%), w wyniku realizacji działań</w:t>
            </w:r>
          </w:p>
        </w:tc>
        <w:tc>
          <w:tcPr>
            <w:tcW w:w="1416" w:type="dxa"/>
            <w:tcBorders>
              <w:top w:val="single" w:sz="4" w:space="0" w:color="auto"/>
              <w:left w:val="single" w:sz="4" w:space="0" w:color="auto"/>
              <w:bottom w:val="single" w:sz="4" w:space="0" w:color="auto"/>
              <w:right w:val="single" w:sz="4" w:space="0" w:color="auto"/>
            </w:tcBorders>
            <w:shd w:val="clear" w:color="auto" w:fill="D4EDF9"/>
            <w:vAlign w:val="center"/>
            <w:hideMark/>
          </w:tcPr>
          <w:p w14:paraId="241CDDC4" w14:textId="77777777" w:rsidR="00984D1B" w:rsidRDefault="00984D1B" w:rsidP="00E419E1">
            <w:pPr>
              <w:rPr>
                <w:lang w:val="en-GB"/>
              </w:rPr>
            </w:pPr>
            <w:r>
              <w:rPr>
                <w:lang w:val="en-GB"/>
              </w:rPr>
              <w:t>100</w:t>
            </w:r>
          </w:p>
        </w:tc>
        <w:tc>
          <w:tcPr>
            <w:tcW w:w="1433" w:type="dxa"/>
            <w:tcBorders>
              <w:top w:val="single" w:sz="4" w:space="0" w:color="auto"/>
              <w:left w:val="single" w:sz="4" w:space="0" w:color="auto"/>
              <w:bottom w:val="single" w:sz="4" w:space="0" w:color="auto"/>
              <w:right w:val="single" w:sz="4" w:space="0" w:color="auto"/>
            </w:tcBorders>
            <w:shd w:val="clear" w:color="auto" w:fill="D4EDF9"/>
            <w:vAlign w:val="center"/>
            <w:hideMark/>
          </w:tcPr>
          <w:p w14:paraId="027466B3" w14:textId="77777777" w:rsidR="00984D1B" w:rsidRDefault="00984D1B" w:rsidP="00E419E1">
            <w:pPr>
              <w:rPr>
                <w:lang w:val="en-GB"/>
              </w:rPr>
            </w:pPr>
            <w:r>
              <w:rPr>
                <w:lang w:val="en-GB"/>
              </w:rPr>
              <w:t> </w:t>
            </w:r>
          </w:p>
        </w:tc>
        <w:tc>
          <w:tcPr>
            <w:tcW w:w="1556" w:type="dxa"/>
            <w:tcBorders>
              <w:top w:val="single" w:sz="4" w:space="0" w:color="auto"/>
              <w:left w:val="single" w:sz="4" w:space="0" w:color="auto"/>
              <w:bottom w:val="single" w:sz="4" w:space="0" w:color="auto"/>
              <w:right w:val="single" w:sz="4" w:space="0" w:color="auto"/>
            </w:tcBorders>
            <w:shd w:val="clear" w:color="auto" w:fill="D4EDF9"/>
            <w:vAlign w:val="center"/>
            <w:hideMark/>
          </w:tcPr>
          <w:p w14:paraId="469480DF" w14:textId="77777777" w:rsidR="00984D1B" w:rsidRDefault="00984D1B" w:rsidP="00E419E1">
            <w:pPr>
              <w:rPr>
                <w:lang w:val="en-GB"/>
              </w:rPr>
            </w:pPr>
            <w:r>
              <w:rPr>
                <w:lang w:val="en-GB"/>
              </w:rPr>
              <w:t> </w:t>
            </w:r>
          </w:p>
        </w:tc>
      </w:tr>
      <w:tr w:rsidR="00984D1B" w14:paraId="37A8F6A8" w14:textId="77777777" w:rsidTr="00E419E1">
        <w:trPr>
          <w:cantSplit/>
          <w:trHeight w:val="630"/>
        </w:trPr>
        <w:tc>
          <w:tcPr>
            <w:tcW w:w="4531" w:type="dxa"/>
            <w:tcBorders>
              <w:top w:val="single" w:sz="4" w:space="0" w:color="auto"/>
              <w:left w:val="single" w:sz="4" w:space="0" w:color="auto"/>
              <w:bottom w:val="single" w:sz="4" w:space="0" w:color="auto"/>
              <w:right w:val="single" w:sz="4" w:space="0" w:color="auto"/>
            </w:tcBorders>
            <w:vAlign w:val="bottom"/>
            <w:hideMark/>
          </w:tcPr>
          <w:p w14:paraId="674F1ACE" w14:textId="77777777" w:rsidR="00984D1B" w:rsidRPr="00076156" w:rsidRDefault="00984D1B" w:rsidP="00E419E1">
            <w:r w:rsidRPr="00076156">
              <w:t>RA5 Względny spadek liczby ujęć wody zlokalizowanych w obszarach szczególnego zagrożenia powodzią (Q1%), w wyniku realizacji działań</w:t>
            </w:r>
          </w:p>
        </w:tc>
        <w:tc>
          <w:tcPr>
            <w:tcW w:w="14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C44D4A" w14:textId="77777777" w:rsidR="00984D1B" w:rsidRDefault="00984D1B" w:rsidP="00E419E1">
            <w:pPr>
              <w:rPr>
                <w:lang w:val="en-GB"/>
              </w:rPr>
            </w:pPr>
            <w:r>
              <w:rPr>
                <w:lang w:val="en-GB"/>
              </w:rPr>
              <w:t>100</w:t>
            </w:r>
          </w:p>
        </w:tc>
        <w:tc>
          <w:tcPr>
            <w:tcW w:w="143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D604C5" w14:textId="77777777" w:rsidR="00984D1B" w:rsidRDefault="00984D1B" w:rsidP="00E419E1">
            <w:pPr>
              <w:rPr>
                <w:lang w:val="en-GB"/>
              </w:rPr>
            </w:pPr>
            <w:r>
              <w:rPr>
                <w:lang w:val="en-GB"/>
              </w:rPr>
              <w:t> </w:t>
            </w:r>
          </w:p>
        </w:tc>
        <w:tc>
          <w:tcPr>
            <w:tcW w:w="155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81E131" w14:textId="77777777" w:rsidR="00984D1B" w:rsidRDefault="00984D1B" w:rsidP="00E419E1">
            <w:pPr>
              <w:rPr>
                <w:lang w:val="en-GB"/>
              </w:rPr>
            </w:pPr>
            <w:r>
              <w:rPr>
                <w:lang w:val="en-GB"/>
              </w:rPr>
              <w:t> </w:t>
            </w:r>
          </w:p>
        </w:tc>
      </w:tr>
      <w:tr w:rsidR="00984D1B" w14:paraId="0E3749D3" w14:textId="77777777" w:rsidTr="00E419E1">
        <w:trPr>
          <w:cantSplit/>
          <w:trHeight w:val="945"/>
        </w:trPr>
        <w:tc>
          <w:tcPr>
            <w:tcW w:w="4531" w:type="dxa"/>
            <w:tcBorders>
              <w:top w:val="single" w:sz="4" w:space="0" w:color="auto"/>
              <w:left w:val="single" w:sz="4" w:space="0" w:color="auto"/>
              <w:bottom w:val="single" w:sz="4" w:space="0" w:color="auto"/>
              <w:right w:val="single" w:sz="4" w:space="0" w:color="auto"/>
            </w:tcBorders>
            <w:shd w:val="clear" w:color="auto" w:fill="D4EDF9"/>
            <w:vAlign w:val="center"/>
            <w:hideMark/>
          </w:tcPr>
          <w:p w14:paraId="680B6D69" w14:textId="77777777" w:rsidR="00984D1B" w:rsidRPr="00076156" w:rsidRDefault="00984D1B" w:rsidP="00E419E1">
            <w:r w:rsidRPr="00076156">
              <w:t>RA6 Względna redukcja liczby obiektów o szczególnym znaczeniu społecznym zlokalizowanych w obszarach szczególnego zagrożenia powodzią (Q1%) w wyniku realizacji działań</w:t>
            </w:r>
          </w:p>
        </w:tc>
        <w:tc>
          <w:tcPr>
            <w:tcW w:w="1416" w:type="dxa"/>
            <w:tcBorders>
              <w:top w:val="single" w:sz="4" w:space="0" w:color="auto"/>
              <w:left w:val="single" w:sz="4" w:space="0" w:color="auto"/>
              <w:bottom w:val="single" w:sz="4" w:space="0" w:color="auto"/>
              <w:right w:val="single" w:sz="4" w:space="0" w:color="auto"/>
            </w:tcBorders>
            <w:shd w:val="clear" w:color="auto" w:fill="D4EDF9"/>
            <w:vAlign w:val="center"/>
            <w:hideMark/>
          </w:tcPr>
          <w:p w14:paraId="197141F1" w14:textId="77777777" w:rsidR="00984D1B" w:rsidRDefault="00984D1B" w:rsidP="00E419E1">
            <w:pPr>
              <w:rPr>
                <w:lang w:val="en-GB"/>
              </w:rPr>
            </w:pPr>
            <w:r>
              <w:rPr>
                <w:lang w:val="en-GB"/>
              </w:rPr>
              <w:t>100</w:t>
            </w:r>
          </w:p>
        </w:tc>
        <w:tc>
          <w:tcPr>
            <w:tcW w:w="1433" w:type="dxa"/>
            <w:tcBorders>
              <w:top w:val="single" w:sz="4" w:space="0" w:color="auto"/>
              <w:left w:val="single" w:sz="4" w:space="0" w:color="auto"/>
              <w:bottom w:val="single" w:sz="4" w:space="0" w:color="auto"/>
              <w:right w:val="single" w:sz="4" w:space="0" w:color="auto"/>
            </w:tcBorders>
            <w:shd w:val="clear" w:color="auto" w:fill="D4EDF9"/>
            <w:vAlign w:val="center"/>
            <w:hideMark/>
          </w:tcPr>
          <w:p w14:paraId="28FB8A80" w14:textId="77777777" w:rsidR="00984D1B" w:rsidRDefault="00984D1B" w:rsidP="00E419E1">
            <w:pPr>
              <w:rPr>
                <w:lang w:val="en-GB"/>
              </w:rPr>
            </w:pPr>
            <w:r>
              <w:rPr>
                <w:lang w:val="en-GB"/>
              </w:rPr>
              <w:t> </w:t>
            </w:r>
          </w:p>
        </w:tc>
        <w:tc>
          <w:tcPr>
            <w:tcW w:w="1556" w:type="dxa"/>
            <w:tcBorders>
              <w:top w:val="single" w:sz="4" w:space="0" w:color="auto"/>
              <w:left w:val="single" w:sz="4" w:space="0" w:color="auto"/>
              <w:bottom w:val="single" w:sz="4" w:space="0" w:color="auto"/>
              <w:right w:val="single" w:sz="4" w:space="0" w:color="auto"/>
            </w:tcBorders>
            <w:shd w:val="clear" w:color="auto" w:fill="D4EDF9"/>
            <w:vAlign w:val="center"/>
            <w:hideMark/>
          </w:tcPr>
          <w:p w14:paraId="54FD2312" w14:textId="77777777" w:rsidR="00984D1B" w:rsidRDefault="00984D1B" w:rsidP="00E419E1">
            <w:pPr>
              <w:rPr>
                <w:lang w:val="en-GB"/>
              </w:rPr>
            </w:pPr>
            <w:r>
              <w:rPr>
                <w:lang w:val="en-GB"/>
              </w:rPr>
              <w:t> </w:t>
            </w:r>
          </w:p>
        </w:tc>
      </w:tr>
      <w:tr w:rsidR="00984D1B" w14:paraId="498F8CBA" w14:textId="77777777" w:rsidTr="00E419E1">
        <w:trPr>
          <w:cantSplit/>
          <w:trHeight w:val="630"/>
        </w:trPr>
        <w:tc>
          <w:tcPr>
            <w:tcW w:w="4531" w:type="dxa"/>
            <w:tcBorders>
              <w:top w:val="single" w:sz="4" w:space="0" w:color="auto"/>
              <w:left w:val="single" w:sz="4" w:space="0" w:color="auto"/>
              <w:bottom w:val="single" w:sz="4" w:space="0" w:color="auto"/>
              <w:right w:val="single" w:sz="4" w:space="0" w:color="auto"/>
            </w:tcBorders>
            <w:vAlign w:val="bottom"/>
            <w:hideMark/>
          </w:tcPr>
          <w:p w14:paraId="7A17E6C9" w14:textId="77777777" w:rsidR="00984D1B" w:rsidRPr="00076156" w:rsidRDefault="00984D1B" w:rsidP="00E419E1">
            <w:r w:rsidRPr="00076156">
              <w:t>RA7 Względna redukcja potencjalnych strat powodziowych na obszarach szczególnego zagrożenia powodzią (Q1%) w wyniku realizacji działań</w:t>
            </w:r>
          </w:p>
        </w:tc>
        <w:tc>
          <w:tcPr>
            <w:tcW w:w="14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FDA3A3" w14:textId="77777777" w:rsidR="00984D1B" w:rsidRDefault="00984D1B" w:rsidP="00E419E1">
            <w:pPr>
              <w:rPr>
                <w:lang w:val="en-GB"/>
              </w:rPr>
            </w:pPr>
            <w:r>
              <w:rPr>
                <w:lang w:val="en-GB"/>
              </w:rPr>
              <w:t>100</w:t>
            </w:r>
          </w:p>
        </w:tc>
        <w:tc>
          <w:tcPr>
            <w:tcW w:w="143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7B4601" w14:textId="77777777" w:rsidR="00984D1B" w:rsidRDefault="00984D1B" w:rsidP="00E419E1">
            <w:pPr>
              <w:rPr>
                <w:lang w:val="en-GB"/>
              </w:rPr>
            </w:pPr>
            <w:r>
              <w:rPr>
                <w:lang w:val="en-GB"/>
              </w:rPr>
              <w:t> </w:t>
            </w:r>
          </w:p>
        </w:tc>
        <w:tc>
          <w:tcPr>
            <w:tcW w:w="155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39917E" w14:textId="77777777" w:rsidR="00984D1B" w:rsidRDefault="00984D1B" w:rsidP="00E419E1">
            <w:pPr>
              <w:rPr>
                <w:lang w:val="en-GB"/>
              </w:rPr>
            </w:pPr>
            <w:r>
              <w:rPr>
                <w:lang w:val="en-GB"/>
              </w:rPr>
              <w:t> </w:t>
            </w:r>
          </w:p>
        </w:tc>
      </w:tr>
      <w:tr w:rsidR="00984D1B" w14:paraId="10331343" w14:textId="77777777" w:rsidTr="00E419E1">
        <w:trPr>
          <w:cantSplit/>
          <w:trHeight w:val="630"/>
        </w:trPr>
        <w:tc>
          <w:tcPr>
            <w:tcW w:w="4531" w:type="dxa"/>
            <w:tcBorders>
              <w:top w:val="single" w:sz="4" w:space="0" w:color="auto"/>
              <w:left w:val="single" w:sz="4" w:space="0" w:color="auto"/>
              <w:bottom w:val="single" w:sz="4" w:space="0" w:color="auto"/>
              <w:right w:val="single" w:sz="4" w:space="0" w:color="auto"/>
            </w:tcBorders>
            <w:shd w:val="clear" w:color="auto" w:fill="D4EDF9"/>
            <w:vAlign w:val="center"/>
            <w:hideMark/>
          </w:tcPr>
          <w:p w14:paraId="2316A260" w14:textId="77777777" w:rsidR="00984D1B" w:rsidRPr="00076156" w:rsidRDefault="00984D1B" w:rsidP="00E419E1">
            <w:r w:rsidRPr="00076156">
              <w:t>RA8 Względna redukcja powierzchni obszarów szczególnego zagrożenia powodzią (Q1%) w wyniku realizacji działań</w:t>
            </w:r>
          </w:p>
        </w:tc>
        <w:tc>
          <w:tcPr>
            <w:tcW w:w="1416" w:type="dxa"/>
            <w:tcBorders>
              <w:top w:val="single" w:sz="4" w:space="0" w:color="auto"/>
              <w:left w:val="single" w:sz="4" w:space="0" w:color="auto"/>
              <w:bottom w:val="single" w:sz="4" w:space="0" w:color="auto"/>
              <w:right w:val="single" w:sz="4" w:space="0" w:color="auto"/>
            </w:tcBorders>
            <w:shd w:val="clear" w:color="auto" w:fill="D4EDF9"/>
            <w:vAlign w:val="center"/>
            <w:hideMark/>
          </w:tcPr>
          <w:p w14:paraId="365FF872" w14:textId="77777777" w:rsidR="00984D1B" w:rsidRDefault="00984D1B" w:rsidP="00E419E1">
            <w:pPr>
              <w:rPr>
                <w:lang w:val="en-GB"/>
              </w:rPr>
            </w:pPr>
            <w:r>
              <w:rPr>
                <w:lang w:val="en-GB"/>
              </w:rPr>
              <w:t>100</w:t>
            </w:r>
          </w:p>
        </w:tc>
        <w:tc>
          <w:tcPr>
            <w:tcW w:w="1433" w:type="dxa"/>
            <w:tcBorders>
              <w:top w:val="single" w:sz="4" w:space="0" w:color="auto"/>
              <w:left w:val="single" w:sz="4" w:space="0" w:color="auto"/>
              <w:bottom w:val="single" w:sz="4" w:space="0" w:color="auto"/>
              <w:right w:val="single" w:sz="4" w:space="0" w:color="auto"/>
            </w:tcBorders>
            <w:shd w:val="clear" w:color="auto" w:fill="D4EDF9"/>
            <w:vAlign w:val="center"/>
            <w:hideMark/>
          </w:tcPr>
          <w:p w14:paraId="1ACAF067" w14:textId="77777777" w:rsidR="00984D1B" w:rsidRDefault="00984D1B" w:rsidP="00E419E1">
            <w:pPr>
              <w:rPr>
                <w:lang w:val="en-GB"/>
              </w:rPr>
            </w:pPr>
            <w:r>
              <w:rPr>
                <w:lang w:val="en-GB"/>
              </w:rPr>
              <w:t> </w:t>
            </w:r>
          </w:p>
        </w:tc>
        <w:tc>
          <w:tcPr>
            <w:tcW w:w="1556" w:type="dxa"/>
            <w:tcBorders>
              <w:top w:val="single" w:sz="4" w:space="0" w:color="auto"/>
              <w:left w:val="single" w:sz="4" w:space="0" w:color="auto"/>
              <w:bottom w:val="single" w:sz="4" w:space="0" w:color="auto"/>
              <w:right w:val="single" w:sz="4" w:space="0" w:color="auto"/>
            </w:tcBorders>
            <w:shd w:val="clear" w:color="auto" w:fill="D4EDF9"/>
            <w:vAlign w:val="center"/>
            <w:hideMark/>
          </w:tcPr>
          <w:p w14:paraId="767561BA" w14:textId="77777777" w:rsidR="00984D1B" w:rsidRDefault="00984D1B" w:rsidP="00E419E1">
            <w:pPr>
              <w:rPr>
                <w:lang w:val="en-GB"/>
              </w:rPr>
            </w:pPr>
            <w:r>
              <w:rPr>
                <w:lang w:val="en-GB"/>
              </w:rPr>
              <w:t> </w:t>
            </w:r>
          </w:p>
        </w:tc>
      </w:tr>
      <w:tr w:rsidR="00984D1B" w14:paraId="4FAAAF23" w14:textId="77777777" w:rsidTr="00E419E1">
        <w:trPr>
          <w:cantSplit/>
          <w:trHeight w:val="630"/>
        </w:trPr>
        <w:tc>
          <w:tcPr>
            <w:tcW w:w="4531" w:type="dxa"/>
            <w:tcBorders>
              <w:top w:val="single" w:sz="4" w:space="0" w:color="auto"/>
              <w:left w:val="single" w:sz="4" w:space="0" w:color="auto"/>
              <w:bottom w:val="single" w:sz="4" w:space="0" w:color="auto"/>
              <w:right w:val="single" w:sz="4" w:space="0" w:color="auto"/>
            </w:tcBorders>
            <w:vAlign w:val="bottom"/>
            <w:hideMark/>
          </w:tcPr>
          <w:p w14:paraId="12769A07" w14:textId="77777777" w:rsidR="00984D1B" w:rsidRPr="00076156" w:rsidRDefault="00984D1B" w:rsidP="00E419E1">
            <w:r w:rsidRPr="00076156">
              <w:t>RA9 Wzrost powierzchni terenów chronionych przed powodzią od strony morza, w tym morskich wód wewnętrznych [%, ha]</w:t>
            </w:r>
          </w:p>
        </w:tc>
        <w:tc>
          <w:tcPr>
            <w:tcW w:w="14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FFCA38" w14:textId="77777777" w:rsidR="00984D1B" w:rsidRDefault="00984D1B" w:rsidP="00E419E1">
            <w:pPr>
              <w:rPr>
                <w:lang w:val="en-GB"/>
              </w:rPr>
            </w:pPr>
            <w:r>
              <w:rPr>
                <w:lang w:val="en-GB"/>
              </w:rPr>
              <w:t>100</w:t>
            </w:r>
          </w:p>
        </w:tc>
        <w:tc>
          <w:tcPr>
            <w:tcW w:w="143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FDB1B7" w14:textId="77777777" w:rsidR="00984D1B" w:rsidRDefault="00984D1B" w:rsidP="00E419E1">
            <w:pPr>
              <w:rPr>
                <w:lang w:val="en-GB"/>
              </w:rPr>
            </w:pPr>
            <w:r>
              <w:rPr>
                <w:lang w:val="en-GB"/>
              </w:rPr>
              <w:t> </w:t>
            </w:r>
          </w:p>
        </w:tc>
        <w:tc>
          <w:tcPr>
            <w:tcW w:w="155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979E8F" w14:textId="77777777" w:rsidR="00984D1B" w:rsidRDefault="00984D1B" w:rsidP="00E419E1">
            <w:pPr>
              <w:rPr>
                <w:lang w:val="en-GB"/>
              </w:rPr>
            </w:pPr>
            <w:r>
              <w:rPr>
                <w:lang w:val="en-GB"/>
              </w:rPr>
              <w:t> </w:t>
            </w:r>
          </w:p>
        </w:tc>
      </w:tr>
    </w:tbl>
    <w:p w14:paraId="05A8441B" w14:textId="5FE13728" w:rsidR="00984D1B" w:rsidRDefault="00984D1B">
      <w:pPr>
        <w:rPr>
          <w:szCs w:val="20"/>
          <w:lang w:eastAsia="en-US"/>
        </w:rPr>
      </w:pPr>
      <w:r>
        <w:br w:type="page"/>
      </w:r>
    </w:p>
    <w:p w14:paraId="6E8F96D6" w14:textId="77777777" w:rsidR="00984D1B" w:rsidRPr="00B55A5C" w:rsidRDefault="00984D1B" w:rsidP="00984D1B">
      <w:pPr>
        <w:keepNext/>
        <w:numPr>
          <w:ilvl w:val="2"/>
          <w:numId w:val="9"/>
        </w:numPr>
        <w:spacing w:before="340" w:after="113" w:line="320" w:lineRule="exact"/>
        <w:outlineLvl w:val="2"/>
        <w:rPr>
          <w:rFonts w:eastAsiaTheme="minorEastAsia"/>
          <w:b/>
          <w:color w:val="28AAE1"/>
          <w:sz w:val="28"/>
          <w:szCs w:val="18"/>
          <w:lang w:eastAsia="en-US"/>
        </w:rPr>
      </w:pPr>
      <w:r w:rsidRPr="00B55A5C">
        <w:rPr>
          <w:rFonts w:eastAsiaTheme="minorEastAsia"/>
          <w:b/>
          <w:color w:val="28AAE1"/>
          <w:sz w:val="28"/>
          <w:szCs w:val="18"/>
          <w:lang w:eastAsia="en-US"/>
        </w:rPr>
        <w:lastRenderedPageBreak/>
        <w:t xml:space="preserve">Wyniki oceny postępów w realizacji celów dla dorzecza </w:t>
      </w:r>
    </w:p>
    <w:p w14:paraId="159A8C5A" w14:textId="77777777" w:rsidR="00984D1B" w:rsidRPr="00984D1B" w:rsidRDefault="00984D1B" w:rsidP="006C2BD9">
      <w:pPr>
        <w:pStyle w:val="ReportText"/>
        <w:spacing w:before="0" w:after="120"/>
      </w:pPr>
      <w:r w:rsidRPr="00984D1B">
        <w:t>Zamieszczona poniżej tabela przedstawia:</w:t>
      </w:r>
    </w:p>
    <w:p w14:paraId="65070EDE" w14:textId="77777777" w:rsidR="00984D1B" w:rsidRPr="00984D1B" w:rsidRDefault="00984D1B" w:rsidP="00924BB5">
      <w:pPr>
        <w:pStyle w:val="ReportText"/>
        <w:numPr>
          <w:ilvl w:val="0"/>
          <w:numId w:val="71"/>
        </w:numPr>
        <w:spacing w:before="0" w:after="120"/>
      </w:pPr>
      <w:r w:rsidRPr="00984D1B">
        <w:t xml:space="preserve">względną i bezwzględną wartość docelową wskaźników rezultatu (RA) wyznaczoną w I cyklu PZRP dla obszaru dorzecza Wisły; </w:t>
      </w:r>
    </w:p>
    <w:p w14:paraId="5AD24100" w14:textId="77777777" w:rsidR="00984D1B" w:rsidRPr="00984D1B" w:rsidRDefault="00984D1B" w:rsidP="00924BB5">
      <w:pPr>
        <w:pStyle w:val="ReportText"/>
        <w:numPr>
          <w:ilvl w:val="0"/>
          <w:numId w:val="71"/>
        </w:numPr>
        <w:spacing w:before="0" w:after="120"/>
      </w:pPr>
      <w:r w:rsidRPr="00984D1B">
        <w:t>względną i bezwzględną wartość wskaźników rezultatu (RA) obliczoną w ramach przeprowadzanego monitoringu dla obszaru dorzecza Wisły</w:t>
      </w:r>
    </w:p>
    <w:p w14:paraId="44C7A458" w14:textId="409C7AAF" w:rsidR="00984D1B" w:rsidRPr="008D7CA9" w:rsidRDefault="00984D1B" w:rsidP="008D7CA9">
      <w:pPr>
        <w:pStyle w:val="Legenda"/>
        <w:tabs>
          <w:tab w:val="clear" w:pos="1080"/>
          <w:tab w:val="left" w:pos="1134"/>
        </w:tabs>
        <w:spacing w:before="0" w:after="120"/>
        <w:ind w:left="1134" w:hanging="1134"/>
        <w:jc w:val="both"/>
        <w:rPr>
          <w:sz w:val="24"/>
          <w:szCs w:val="28"/>
        </w:rPr>
      </w:pPr>
      <w:bookmarkStart w:id="235" w:name="_Toc80604846"/>
      <w:r w:rsidRPr="008D7CA9">
        <w:rPr>
          <w:sz w:val="24"/>
          <w:szCs w:val="28"/>
        </w:rPr>
        <w:t xml:space="preserve">Tabela </w:t>
      </w:r>
      <w:r w:rsidRPr="008D7CA9">
        <w:rPr>
          <w:sz w:val="24"/>
          <w:szCs w:val="28"/>
        </w:rPr>
        <w:fldChar w:fldCharType="begin"/>
      </w:r>
      <w:r w:rsidRPr="008D7CA9">
        <w:rPr>
          <w:sz w:val="24"/>
          <w:szCs w:val="28"/>
        </w:rPr>
        <w:instrText xml:space="preserve"> SEQ Tabela \* ARABIC </w:instrText>
      </w:r>
      <w:r w:rsidRPr="008D7CA9">
        <w:rPr>
          <w:sz w:val="24"/>
          <w:szCs w:val="28"/>
        </w:rPr>
        <w:fldChar w:fldCharType="separate"/>
      </w:r>
      <w:r w:rsidR="00FD3F9A">
        <w:rPr>
          <w:noProof/>
          <w:sz w:val="24"/>
          <w:szCs w:val="28"/>
        </w:rPr>
        <w:t>36</w:t>
      </w:r>
      <w:r w:rsidRPr="008D7CA9">
        <w:rPr>
          <w:sz w:val="24"/>
          <w:szCs w:val="28"/>
        </w:rPr>
        <w:fldChar w:fldCharType="end"/>
      </w:r>
      <w:r w:rsidRPr="008D7CA9">
        <w:rPr>
          <w:sz w:val="24"/>
          <w:szCs w:val="28"/>
        </w:rPr>
        <w:tab/>
        <w:t>Wskaźniki rezultatów dla monitorowania postępu realizacji PZRP wraz z</w:t>
      </w:r>
      <w:r w:rsidR="008D7CA9">
        <w:rPr>
          <w:sz w:val="24"/>
          <w:szCs w:val="28"/>
        </w:rPr>
        <w:t> </w:t>
      </w:r>
      <w:r w:rsidRPr="008D7CA9">
        <w:rPr>
          <w:sz w:val="24"/>
          <w:szCs w:val="28"/>
        </w:rPr>
        <w:t>sumaryczną wartością dla Obszaru Dorzeczy Wisły</w:t>
      </w:r>
      <w:bookmarkEnd w:id="235"/>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64"/>
        <w:gridCol w:w="1032"/>
        <w:gridCol w:w="1643"/>
        <w:gridCol w:w="1089"/>
        <w:gridCol w:w="1656"/>
      </w:tblGrid>
      <w:tr w:rsidR="00984D1B" w:rsidRPr="00984D1B" w14:paraId="1A5F29EB" w14:textId="77777777" w:rsidTr="006C2BD9">
        <w:trPr>
          <w:trHeight w:val="68"/>
        </w:trPr>
        <w:tc>
          <w:tcPr>
            <w:tcW w:w="3364" w:type="dxa"/>
            <w:vMerge w:val="restart"/>
            <w:shd w:val="clear" w:color="000000" w:fill="A9DCF3"/>
            <w:vAlign w:val="center"/>
            <w:hideMark/>
          </w:tcPr>
          <w:p w14:paraId="39F8B004" w14:textId="77777777" w:rsidR="00984D1B" w:rsidRPr="00984D1B" w:rsidRDefault="00984D1B" w:rsidP="00984D1B">
            <w:pPr>
              <w:jc w:val="center"/>
              <w:rPr>
                <w:rFonts w:eastAsiaTheme="minorEastAsia"/>
                <w:color w:val="000000"/>
                <w:sz w:val="22"/>
                <w:szCs w:val="22"/>
                <w:lang w:eastAsia="pl-PL"/>
              </w:rPr>
            </w:pPr>
            <w:r w:rsidRPr="00984D1B">
              <w:rPr>
                <w:rFonts w:eastAsiaTheme="minorEastAsia"/>
                <w:color w:val="000000"/>
                <w:sz w:val="22"/>
                <w:szCs w:val="22"/>
                <w:lang w:eastAsia="pl-PL"/>
              </w:rPr>
              <w:t>Wskaźnik monitoringu wdrażania I cyklu planistycznego PZRP</w:t>
            </w:r>
          </w:p>
        </w:tc>
        <w:tc>
          <w:tcPr>
            <w:tcW w:w="2675" w:type="dxa"/>
            <w:gridSpan w:val="2"/>
            <w:shd w:val="clear" w:color="000000" w:fill="A9DCF3"/>
            <w:vAlign w:val="center"/>
            <w:hideMark/>
          </w:tcPr>
          <w:p w14:paraId="14856073" w14:textId="77777777" w:rsidR="00984D1B" w:rsidRPr="00984D1B" w:rsidRDefault="00984D1B" w:rsidP="00984D1B">
            <w:pPr>
              <w:rPr>
                <w:rFonts w:eastAsiaTheme="minorEastAsia"/>
                <w:color w:val="000000"/>
                <w:sz w:val="22"/>
                <w:szCs w:val="22"/>
                <w:lang w:eastAsia="pl-PL"/>
              </w:rPr>
            </w:pPr>
            <w:r w:rsidRPr="00984D1B">
              <w:rPr>
                <w:rFonts w:eastAsiaTheme="minorEastAsia"/>
                <w:color w:val="000000"/>
                <w:sz w:val="22"/>
                <w:szCs w:val="22"/>
                <w:lang w:eastAsia="pl-PL"/>
              </w:rPr>
              <w:t>Wartość docelowa wskaźnika rezultatu</w:t>
            </w:r>
          </w:p>
        </w:tc>
        <w:tc>
          <w:tcPr>
            <w:tcW w:w="2745" w:type="dxa"/>
            <w:gridSpan w:val="2"/>
            <w:shd w:val="clear" w:color="000000" w:fill="A9DCF3"/>
            <w:vAlign w:val="center"/>
            <w:hideMark/>
          </w:tcPr>
          <w:p w14:paraId="5BD1CAD5" w14:textId="77777777" w:rsidR="00984D1B" w:rsidRPr="00984D1B" w:rsidRDefault="00984D1B" w:rsidP="00984D1B">
            <w:pPr>
              <w:jc w:val="center"/>
              <w:rPr>
                <w:rFonts w:eastAsiaTheme="minorEastAsia"/>
                <w:color w:val="000000"/>
                <w:sz w:val="22"/>
                <w:szCs w:val="22"/>
                <w:lang w:eastAsia="pl-PL"/>
              </w:rPr>
            </w:pPr>
            <w:r w:rsidRPr="00984D1B">
              <w:rPr>
                <w:rFonts w:eastAsiaTheme="minorEastAsia"/>
                <w:color w:val="000000"/>
                <w:sz w:val="22"/>
                <w:szCs w:val="22"/>
                <w:lang w:eastAsia="pl-PL"/>
              </w:rPr>
              <w:t>Wartość wskaźnika uzyskana z monitoringu</w:t>
            </w:r>
          </w:p>
        </w:tc>
      </w:tr>
      <w:tr w:rsidR="00984D1B" w:rsidRPr="00984D1B" w14:paraId="5DFE6246" w14:textId="77777777" w:rsidTr="006C2BD9">
        <w:trPr>
          <w:trHeight w:val="68"/>
        </w:trPr>
        <w:tc>
          <w:tcPr>
            <w:tcW w:w="3364" w:type="dxa"/>
            <w:vMerge/>
            <w:vAlign w:val="center"/>
            <w:hideMark/>
          </w:tcPr>
          <w:p w14:paraId="4FD7DC5C" w14:textId="77777777" w:rsidR="00984D1B" w:rsidRPr="00984D1B" w:rsidRDefault="00984D1B" w:rsidP="00984D1B">
            <w:pPr>
              <w:rPr>
                <w:rFonts w:eastAsiaTheme="minorEastAsia"/>
                <w:color w:val="000000"/>
                <w:sz w:val="22"/>
                <w:szCs w:val="22"/>
                <w:lang w:eastAsia="pl-PL"/>
              </w:rPr>
            </w:pPr>
          </w:p>
        </w:tc>
        <w:tc>
          <w:tcPr>
            <w:tcW w:w="1032" w:type="dxa"/>
            <w:shd w:val="clear" w:color="000000" w:fill="A9DCF3"/>
            <w:vAlign w:val="center"/>
            <w:hideMark/>
          </w:tcPr>
          <w:p w14:paraId="272D93E9" w14:textId="77777777" w:rsidR="00984D1B" w:rsidRPr="00984D1B" w:rsidRDefault="00984D1B" w:rsidP="00984D1B">
            <w:pPr>
              <w:rPr>
                <w:rFonts w:eastAsiaTheme="minorEastAsia"/>
                <w:color w:val="000000"/>
                <w:sz w:val="22"/>
                <w:szCs w:val="22"/>
                <w:lang w:eastAsia="pl-PL"/>
              </w:rPr>
            </w:pPr>
            <w:r w:rsidRPr="00984D1B">
              <w:rPr>
                <w:rFonts w:eastAsiaTheme="minorEastAsia"/>
                <w:color w:val="000000"/>
                <w:sz w:val="22"/>
                <w:szCs w:val="22"/>
                <w:lang w:eastAsia="pl-PL"/>
              </w:rPr>
              <w:t>Względna</w:t>
            </w:r>
          </w:p>
        </w:tc>
        <w:tc>
          <w:tcPr>
            <w:tcW w:w="1643" w:type="dxa"/>
            <w:shd w:val="clear" w:color="000000" w:fill="A9DCF3"/>
            <w:vAlign w:val="center"/>
            <w:hideMark/>
          </w:tcPr>
          <w:p w14:paraId="1A9006FF" w14:textId="77777777" w:rsidR="00984D1B" w:rsidRPr="00984D1B" w:rsidRDefault="00984D1B" w:rsidP="00984D1B">
            <w:pPr>
              <w:rPr>
                <w:rFonts w:eastAsiaTheme="minorEastAsia"/>
                <w:color w:val="000000"/>
                <w:sz w:val="22"/>
                <w:szCs w:val="22"/>
                <w:lang w:eastAsia="pl-PL"/>
              </w:rPr>
            </w:pPr>
            <w:r w:rsidRPr="00984D1B">
              <w:rPr>
                <w:rFonts w:eastAsiaTheme="minorEastAsia"/>
                <w:color w:val="000000"/>
                <w:sz w:val="22"/>
                <w:szCs w:val="22"/>
                <w:lang w:eastAsia="pl-PL"/>
              </w:rPr>
              <w:t>Bezwzględna</w:t>
            </w:r>
          </w:p>
        </w:tc>
        <w:tc>
          <w:tcPr>
            <w:tcW w:w="1089" w:type="dxa"/>
            <w:shd w:val="clear" w:color="000000" w:fill="A9DCF3"/>
            <w:vAlign w:val="center"/>
            <w:hideMark/>
          </w:tcPr>
          <w:p w14:paraId="226924B4" w14:textId="77777777" w:rsidR="00984D1B" w:rsidRPr="00984D1B" w:rsidRDefault="00984D1B" w:rsidP="00984D1B">
            <w:pPr>
              <w:rPr>
                <w:rFonts w:eastAsiaTheme="minorEastAsia"/>
                <w:color w:val="000000"/>
                <w:sz w:val="22"/>
                <w:szCs w:val="22"/>
                <w:lang w:eastAsia="pl-PL"/>
              </w:rPr>
            </w:pPr>
            <w:r w:rsidRPr="00984D1B">
              <w:rPr>
                <w:rFonts w:eastAsiaTheme="minorEastAsia"/>
                <w:color w:val="000000"/>
                <w:sz w:val="22"/>
                <w:szCs w:val="22"/>
                <w:lang w:eastAsia="pl-PL"/>
              </w:rPr>
              <w:t>Względna</w:t>
            </w:r>
          </w:p>
        </w:tc>
        <w:tc>
          <w:tcPr>
            <w:tcW w:w="1656" w:type="dxa"/>
            <w:shd w:val="clear" w:color="000000" w:fill="A9DCF3"/>
            <w:vAlign w:val="center"/>
            <w:hideMark/>
          </w:tcPr>
          <w:p w14:paraId="36B1CC7B" w14:textId="77777777" w:rsidR="00984D1B" w:rsidRPr="00984D1B" w:rsidRDefault="00984D1B" w:rsidP="00984D1B">
            <w:pPr>
              <w:rPr>
                <w:rFonts w:eastAsiaTheme="minorEastAsia"/>
                <w:color w:val="000000"/>
                <w:sz w:val="22"/>
                <w:szCs w:val="22"/>
                <w:lang w:eastAsia="pl-PL"/>
              </w:rPr>
            </w:pPr>
            <w:r w:rsidRPr="00984D1B">
              <w:rPr>
                <w:rFonts w:eastAsiaTheme="minorEastAsia"/>
                <w:color w:val="000000"/>
                <w:sz w:val="22"/>
                <w:szCs w:val="22"/>
                <w:lang w:eastAsia="pl-PL"/>
              </w:rPr>
              <w:t>Bezwzględna</w:t>
            </w:r>
          </w:p>
        </w:tc>
      </w:tr>
      <w:tr w:rsidR="00984D1B" w:rsidRPr="00984D1B" w14:paraId="5EF83121" w14:textId="77777777" w:rsidTr="006C2BD9">
        <w:trPr>
          <w:trHeight w:val="273"/>
        </w:trPr>
        <w:tc>
          <w:tcPr>
            <w:tcW w:w="3364" w:type="dxa"/>
            <w:vAlign w:val="center"/>
            <w:hideMark/>
          </w:tcPr>
          <w:p w14:paraId="030CFE3C" w14:textId="77777777" w:rsidR="00984D1B" w:rsidRPr="00984D1B" w:rsidRDefault="00984D1B" w:rsidP="00984D1B">
            <w:pPr>
              <w:rPr>
                <w:rFonts w:eastAsiaTheme="minorEastAsia"/>
                <w:color w:val="000000"/>
                <w:sz w:val="22"/>
                <w:szCs w:val="22"/>
                <w:lang w:eastAsia="pl-PL"/>
              </w:rPr>
            </w:pPr>
            <w:r w:rsidRPr="00984D1B">
              <w:rPr>
                <w:rFonts w:eastAsiaTheme="minorEastAsia"/>
                <w:color w:val="000000"/>
                <w:sz w:val="22"/>
                <w:szCs w:val="22"/>
                <w:lang w:eastAsia="pl-PL"/>
              </w:rPr>
              <w:t>RA1 Względna redukcja wartości średnich rocznych strat powodziowych AAD w wyniku realizacji działań</w:t>
            </w:r>
          </w:p>
        </w:tc>
        <w:tc>
          <w:tcPr>
            <w:tcW w:w="1032" w:type="dxa"/>
            <w:shd w:val="clear" w:color="000000" w:fill="FFFFFF"/>
            <w:vAlign w:val="center"/>
            <w:hideMark/>
          </w:tcPr>
          <w:p w14:paraId="2481FF5E" w14:textId="77777777" w:rsidR="00984D1B" w:rsidRPr="00984D1B" w:rsidRDefault="00984D1B" w:rsidP="00984D1B">
            <w:pPr>
              <w:jc w:val="right"/>
              <w:rPr>
                <w:rFonts w:eastAsiaTheme="minorEastAsia"/>
                <w:color w:val="000000"/>
                <w:sz w:val="22"/>
                <w:szCs w:val="22"/>
                <w:lang w:eastAsia="pl-PL"/>
              </w:rPr>
            </w:pPr>
            <w:r w:rsidRPr="00984D1B">
              <w:rPr>
                <w:rFonts w:eastAsiaTheme="minorEastAsia"/>
                <w:color w:val="000000"/>
                <w:sz w:val="22"/>
                <w:szCs w:val="22"/>
                <w:lang w:eastAsia="pl-PL"/>
              </w:rPr>
              <w:t>100</w:t>
            </w:r>
          </w:p>
        </w:tc>
        <w:tc>
          <w:tcPr>
            <w:tcW w:w="1643" w:type="dxa"/>
            <w:shd w:val="clear" w:color="000000" w:fill="FFFFFF"/>
            <w:vAlign w:val="center"/>
            <w:hideMark/>
          </w:tcPr>
          <w:p w14:paraId="2A2E7C23" w14:textId="77777777" w:rsidR="00984D1B" w:rsidRPr="00984D1B" w:rsidRDefault="00984D1B" w:rsidP="00984D1B">
            <w:pPr>
              <w:rPr>
                <w:rFonts w:eastAsiaTheme="minorEastAsia"/>
                <w:color w:val="000000"/>
                <w:sz w:val="22"/>
                <w:szCs w:val="22"/>
                <w:lang w:eastAsia="pl-PL"/>
              </w:rPr>
            </w:pPr>
            <w:r w:rsidRPr="00984D1B">
              <w:rPr>
                <w:rFonts w:eastAsiaTheme="minorEastAsia"/>
                <w:color w:val="000000"/>
                <w:sz w:val="22"/>
                <w:szCs w:val="22"/>
                <w:lang w:eastAsia="pl-PL"/>
              </w:rPr>
              <w:t xml:space="preserve">    28 060 531 zł </w:t>
            </w:r>
          </w:p>
        </w:tc>
        <w:tc>
          <w:tcPr>
            <w:tcW w:w="1089" w:type="dxa"/>
            <w:vAlign w:val="center"/>
            <w:hideMark/>
          </w:tcPr>
          <w:p w14:paraId="545D2407" w14:textId="77777777" w:rsidR="00984D1B" w:rsidRPr="00984D1B" w:rsidRDefault="00984D1B" w:rsidP="00984D1B">
            <w:pPr>
              <w:jc w:val="right"/>
              <w:rPr>
                <w:rFonts w:eastAsiaTheme="minorEastAsia"/>
                <w:color w:val="000000"/>
                <w:sz w:val="22"/>
                <w:szCs w:val="22"/>
                <w:lang w:eastAsia="pl-PL"/>
              </w:rPr>
            </w:pPr>
            <w:r w:rsidRPr="00984D1B">
              <w:rPr>
                <w:rFonts w:eastAsiaTheme="minorEastAsia"/>
                <w:color w:val="000000"/>
                <w:sz w:val="22"/>
                <w:szCs w:val="22"/>
                <w:lang w:eastAsia="pl-PL"/>
              </w:rPr>
              <w:t>1.8</w:t>
            </w:r>
          </w:p>
        </w:tc>
        <w:tc>
          <w:tcPr>
            <w:tcW w:w="1656" w:type="dxa"/>
            <w:shd w:val="clear" w:color="000000" w:fill="FFFFFF"/>
            <w:vAlign w:val="center"/>
            <w:hideMark/>
          </w:tcPr>
          <w:p w14:paraId="143C0E2B" w14:textId="77777777" w:rsidR="00984D1B" w:rsidRPr="00984D1B" w:rsidRDefault="00984D1B" w:rsidP="00984D1B">
            <w:pPr>
              <w:rPr>
                <w:rFonts w:eastAsiaTheme="minorEastAsia"/>
                <w:color w:val="000000"/>
                <w:sz w:val="22"/>
                <w:szCs w:val="22"/>
                <w:lang w:eastAsia="pl-PL"/>
              </w:rPr>
            </w:pPr>
            <w:r w:rsidRPr="00984D1B">
              <w:rPr>
                <w:rFonts w:eastAsiaTheme="minorEastAsia"/>
                <w:color w:val="000000"/>
                <w:sz w:val="22"/>
                <w:szCs w:val="22"/>
                <w:lang w:eastAsia="pl-PL"/>
              </w:rPr>
              <w:t xml:space="preserve">         518 254 zł </w:t>
            </w:r>
          </w:p>
        </w:tc>
      </w:tr>
      <w:tr w:rsidR="00984D1B" w:rsidRPr="00984D1B" w14:paraId="3E90B309" w14:textId="77777777" w:rsidTr="006C2BD9">
        <w:trPr>
          <w:trHeight w:val="273"/>
        </w:trPr>
        <w:tc>
          <w:tcPr>
            <w:tcW w:w="3364" w:type="dxa"/>
            <w:shd w:val="clear" w:color="000000" w:fill="D4EDF9"/>
            <w:vAlign w:val="center"/>
            <w:hideMark/>
          </w:tcPr>
          <w:p w14:paraId="7281B0F4" w14:textId="77777777" w:rsidR="00984D1B" w:rsidRPr="00984D1B" w:rsidRDefault="00984D1B" w:rsidP="00984D1B">
            <w:pPr>
              <w:rPr>
                <w:rFonts w:eastAsiaTheme="minorEastAsia"/>
                <w:color w:val="000000"/>
                <w:sz w:val="22"/>
                <w:szCs w:val="22"/>
                <w:lang w:eastAsia="pl-PL"/>
              </w:rPr>
            </w:pPr>
            <w:r w:rsidRPr="00984D1B">
              <w:rPr>
                <w:rFonts w:eastAsiaTheme="minorEastAsia"/>
                <w:color w:val="000000"/>
                <w:sz w:val="22"/>
                <w:szCs w:val="22"/>
                <w:lang w:eastAsia="pl-PL"/>
              </w:rPr>
              <w:t>RA2 Względna redukcja liczby mieszkańców na obszarach szczególnego zagrożenia powodzią (Q1%) w wyniku realizacji działań</w:t>
            </w:r>
          </w:p>
        </w:tc>
        <w:tc>
          <w:tcPr>
            <w:tcW w:w="1032" w:type="dxa"/>
            <w:shd w:val="clear" w:color="000000" w:fill="D4EDF9"/>
            <w:vAlign w:val="center"/>
            <w:hideMark/>
          </w:tcPr>
          <w:p w14:paraId="746E650B" w14:textId="77777777" w:rsidR="00984D1B" w:rsidRPr="00984D1B" w:rsidRDefault="00984D1B" w:rsidP="00984D1B">
            <w:pPr>
              <w:jc w:val="right"/>
              <w:rPr>
                <w:rFonts w:eastAsiaTheme="minorEastAsia"/>
                <w:color w:val="000000"/>
                <w:sz w:val="22"/>
                <w:szCs w:val="22"/>
                <w:lang w:eastAsia="pl-PL"/>
              </w:rPr>
            </w:pPr>
            <w:r w:rsidRPr="00984D1B">
              <w:rPr>
                <w:rFonts w:eastAsiaTheme="minorEastAsia"/>
                <w:color w:val="000000"/>
                <w:sz w:val="22"/>
                <w:szCs w:val="22"/>
                <w:lang w:eastAsia="pl-PL"/>
              </w:rPr>
              <w:t>100</w:t>
            </w:r>
          </w:p>
        </w:tc>
        <w:tc>
          <w:tcPr>
            <w:tcW w:w="1643" w:type="dxa"/>
            <w:shd w:val="clear" w:color="000000" w:fill="D4EDF9"/>
            <w:vAlign w:val="center"/>
            <w:hideMark/>
          </w:tcPr>
          <w:p w14:paraId="4A27401F" w14:textId="77777777" w:rsidR="00984D1B" w:rsidRPr="00984D1B" w:rsidRDefault="00984D1B" w:rsidP="00984D1B">
            <w:pPr>
              <w:jc w:val="right"/>
              <w:rPr>
                <w:rFonts w:eastAsiaTheme="minorEastAsia"/>
                <w:color w:val="000000"/>
                <w:sz w:val="22"/>
                <w:szCs w:val="22"/>
                <w:lang w:eastAsia="pl-PL"/>
              </w:rPr>
            </w:pPr>
            <w:r w:rsidRPr="00984D1B">
              <w:rPr>
                <w:rFonts w:eastAsiaTheme="minorEastAsia"/>
                <w:color w:val="000000"/>
                <w:sz w:val="22"/>
                <w:szCs w:val="22"/>
                <w:lang w:eastAsia="pl-PL"/>
              </w:rPr>
              <w:t>11 586</w:t>
            </w:r>
          </w:p>
        </w:tc>
        <w:tc>
          <w:tcPr>
            <w:tcW w:w="1089" w:type="dxa"/>
            <w:shd w:val="clear" w:color="000000" w:fill="D4EDF9"/>
            <w:vAlign w:val="center"/>
            <w:hideMark/>
          </w:tcPr>
          <w:p w14:paraId="5ED3B91B" w14:textId="77777777" w:rsidR="00984D1B" w:rsidRPr="00984D1B" w:rsidRDefault="00984D1B" w:rsidP="00984D1B">
            <w:pPr>
              <w:jc w:val="right"/>
              <w:rPr>
                <w:rFonts w:eastAsiaTheme="minorEastAsia"/>
                <w:color w:val="000000"/>
                <w:sz w:val="22"/>
                <w:szCs w:val="22"/>
                <w:lang w:eastAsia="pl-PL"/>
              </w:rPr>
            </w:pPr>
            <w:r w:rsidRPr="00984D1B">
              <w:rPr>
                <w:rFonts w:eastAsiaTheme="minorEastAsia"/>
                <w:color w:val="000000"/>
                <w:sz w:val="22"/>
                <w:szCs w:val="22"/>
                <w:lang w:eastAsia="pl-PL"/>
              </w:rPr>
              <w:t>1.6</w:t>
            </w:r>
          </w:p>
        </w:tc>
        <w:tc>
          <w:tcPr>
            <w:tcW w:w="1656" w:type="dxa"/>
            <w:shd w:val="clear" w:color="000000" w:fill="D4EDF9"/>
            <w:vAlign w:val="center"/>
            <w:hideMark/>
          </w:tcPr>
          <w:p w14:paraId="7B712476" w14:textId="77777777" w:rsidR="00984D1B" w:rsidRPr="00984D1B" w:rsidRDefault="00984D1B" w:rsidP="00984D1B">
            <w:pPr>
              <w:jc w:val="right"/>
              <w:rPr>
                <w:rFonts w:eastAsiaTheme="minorEastAsia"/>
                <w:color w:val="000000"/>
                <w:sz w:val="22"/>
                <w:szCs w:val="22"/>
                <w:lang w:eastAsia="pl-PL"/>
              </w:rPr>
            </w:pPr>
            <w:r w:rsidRPr="00984D1B">
              <w:rPr>
                <w:rFonts w:eastAsiaTheme="minorEastAsia"/>
                <w:color w:val="000000"/>
                <w:sz w:val="22"/>
                <w:szCs w:val="22"/>
                <w:lang w:eastAsia="pl-PL"/>
              </w:rPr>
              <w:t>188</w:t>
            </w:r>
          </w:p>
        </w:tc>
      </w:tr>
      <w:tr w:rsidR="00984D1B" w:rsidRPr="00984D1B" w14:paraId="7BE21698" w14:textId="77777777" w:rsidTr="006C2BD9">
        <w:trPr>
          <w:trHeight w:val="362"/>
        </w:trPr>
        <w:tc>
          <w:tcPr>
            <w:tcW w:w="3364" w:type="dxa"/>
            <w:vAlign w:val="center"/>
            <w:hideMark/>
          </w:tcPr>
          <w:p w14:paraId="503136F6" w14:textId="77777777" w:rsidR="00984D1B" w:rsidRPr="00984D1B" w:rsidRDefault="00984D1B" w:rsidP="00984D1B">
            <w:pPr>
              <w:rPr>
                <w:rFonts w:eastAsiaTheme="minorEastAsia"/>
                <w:color w:val="000000"/>
                <w:sz w:val="22"/>
                <w:szCs w:val="22"/>
                <w:lang w:eastAsia="pl-PL"/>
              </w:rPr>
            </w:pPr>
            <w:r w:rsidRPr="00984D1B">
              <w:rPr>
                <w:rFonts w:eastAsiaTheme="minorEastAsia"/>
                <w:color w:val="000000"/>
                <w:sz w:val="22"/>
                <w:szCs w:val="22"/>
                <w:lang w:eastAsia="pl-PL"/>
              </w:rPr>
              <w:t>RA3 Względny spadek liczby obiektów cennych kulturowo zlokalizowanych w obszarze szczególnego zagrożenia powodzią (Q1%) w wyniku realizacji działań</w:t>
            </w:r>
          </w:p>
        </w:tc>
        <w:tc>
          <w:tcPr>
            <w:tcW w:w="1032" w:type="dxa"/>
            <w:shd w:val="clear" w:color="000000" w:fill="FFFFFF"/>
            <w:vAlign w:val="center"/>
            <w:hideMark/>
          </w:tcPr>
          <w:p w14:paraId="0B165B47" w14:textId="77777777" w:rsidR="00984D1B" w:rsidRPr="00984D1B" w:rsidRDefault="00984D1B" w:rsidP="00984D1B">
            <w:pPr>
              <w:jc w:val="right"/>
              <w:rPr>
                <w:rFonts w:eastAsiaTheme="minorEastAsia"/>
                <w:color w:val="000000"/>
                <w:sz w:val="22"/>
                <w:szCs w:val="22"/>
                <w:lang w:eastAsia="pl-PL"/>
              </w:rPr>
            </w:pPr>
            <w:r w:rsidRPr="00984D1B">
              <w:rPr>
                <w:rFonts w:eastAsiaTheme="minorEastAsia"/>
                <w:color w:val="000000"/>
                <w:sz w:val="22"/>
                <w:szCs w:val="22"/>
                <w:lang w:eastAsia="pl-PL"/>
              </w:rPr>
              <w:t>100</w:t>
            </w:r>
          </w:p>
        </w:tc>
        <w:tc>
          <w:tcPr>
            <w:tcW w:w="1643" w:type="dxa"/>
            <w:shd w:val="clear" w:color="000000" w:fill="FFFFFF"/>
            <w:vAlign w:val="center"/>
            <w:hideMark/>
          </w:tcPr>
          <w:p w14:paraId="73B87973" w14:textId="77777777" w:rsidR="00984D1B" w:rsidRPr="00984D1B" w:rsidRDefault="00984D1B" w:rsidP="00984D1B">
            <w:pPr>
              <w:jc w:val="right"/>
              <w:rPr>
                <w:rFonts w:eastAsiaTheme="minorEastAsia"/>
                <w:color w:val="000000"/>
                <w:sz w:val="22"/>
                <w:szCs w:val="22"/>
                <w:lang w:eastAsia="pl-PL"/>
              </w:rPr>
            </w:pPr>
            <w:r w:rsidRPr="00984D1B">
              <w:rPr>
                <w:rFonts w:eastAsiaTheme="minorEastAsia"/>
                <w:color w:val="000000"/>
                <w:sz w:val="22"/>
                <w:szCs w:val="22"/>
                <w:lang w:eastAsia="pl-PL"/>
              </w:rPr>
              <w:t>62</w:t>
            </w:r>
          </w:p>
        </w:tc>
        <w:tc>
          <w:tcPr>
            <w:tcW w:w="1089" w:type="dxa"/>
            <w:vAlign w:val="center"/>
            <w:hideMark/>
          </w:tcPr>
          <w:p w14:paraId="071815A2" w14:textId="77777777" w:rsidR="00984D1B" w:rsidRPr="00984D1B" w:rsidRDefault="00984D1B" w:rsidP="00984D1B">
            <w:pPr>
              <w:jc w:val="right"/>
              <w:rPr>
                <w:rFonts w:eastAsiaTheme="minorEastAsia"/>
                <w:color w:val="000000"/>
                <w:sz w:val="22"/>
                <w:szCs w:val="22"/>
                <w:lang w:eastAsia="pl-PL"/>
              </w:rPr>
            </w:pPr>
            <w:r w:rsidRPr="00984D1B">
              <w:rPr>
                <w:rFonts w:eastAsiaTheme="minorEastAsia"/>
                <w:color w:val="000000"/>
                <w:sz w:val="22"/>
                <w:szCs w:val="22"/>
                <w:lang w:eastAsia="pl-PL"/>
              </w:rPr>
              <w:t>0</w:t>
            </w:r>
          </w:p>
        </w:tc>
        <w:tc>
          <w:tcPr>
            <w:tcW w:w="1656" w:type="dxa"/>
            <w:shd w:val="clear" w:color="000000" w:fill="FFFFFF"/>
            <w:vAlign w:val="center"/>
            <w:hideMark/>
          </w:tcPr>
          <w:p w14:paraId="4202AE36" w14:textId="77777777" w:rsidR="00984D1B" w:rsidRPr="00984D1B" w:rsidRDefault="00984D1B" w:rsidP="00984D1B">
            <w:pPr>
              <w:jc w:val="right"/>
              <w:rPr>
                <w:rFonts w:eastAsiaTheme="minorEastAsia"/>
                <w:color w:val="000000"/>
                <w:sz w:val="22"/>
                <w:szCs w:val="22"/>
                <w:lang w:eastAsia="pl-PL"/>
              </w:rPr>
            </w:pPr>
            <w:r w:rsidRPr="00984D1B">
              <w:rPr>
                <w:rFonts w:eastAsiaTheme="minorEastAsia"/>
                <w:color w:val="000000"/>
                <w:sz w:val="22"/>
                <w:szCs w:val="22"/>
                <w:lang w:eastAsia="pl-PL"/>
              </w:rPr>
              <w:t>0</w:t>
            </w:r>
          </w:p>
        </w:tc>
      </w:tr>
      <w:tr w:rsidR="00984D1B" w:rsidRPr="00984D1B" w14:paraId="1A24E771" w14:textId="77777777" w:rsidTr="006C2BD9">
        <w:trPr>
          <w:trHeight w:val="332"/>
        </w:trPr>
        <w:tc>
          <w:tcPr>
            <w:tcW w:w="3364" w:type="dxa"/>
            <w:shd w:val="clear" w:color="000000" w:fill="D4EDF9"/>
            <w:vAlign w:val="center"/>
            <w:hideMark/>
          </w:tcPr>
          <w:p w14:paraId="2B89C247" w14:textId="77777777" w:rsidR="00984D1B" w:rsidRPr="00984D1B" w:rsidRDefault="00984D1B" w:rsidP="00984D1B">
            <w:pPr>
              <w:rPr>
                <w:rFonts w:eastAsiaTheme="minorEastAsia"/>
                <w:color w:val="000000"/>
                <w:sz w:val="22"/>
                <w:szCs w:val="22"/>
                <w:lang w:eastAsia="pl-PL"/>
              </w:rPr>
            </w:pPr>
            <w:r w:rsidRPr="00984D1B">
              <w:rPr>
                <w:rFonts w:eastAsiaTheme="minorEastAsia"/>
                <w:color w:val="000000"/>
                <w:sz w:val="22"/>
                <w:szCs w:val="22"/>
                <w:lang w:eastAsia="pl-PL"/>
              </w:rPr>
              <w:t>RA4 Względny spadek liczby obiektów stanowiących zagrożenie dla środowiska zlokalizowanych w obszarze szczególnego zagrożenia powodzią (Q1%), w wyniku realizacji działań</w:t>
            </w:r>
          </w:p>
        </w:tc>
        <w:tc>
          <w:tcPr>
            <w:tcW w:w="1032" w:type="dxa"/>
            <w:shd w:val="clear" w:color="000000" w:fill="D4EDF9"/>
            <w:vAlign w:val="center"/>
            <w:hideMark/>
          </w:tcPr>
          <w:p w14:paraId="5EEED769" w14:textId="77777777" w:rsidR="00984D1B" w:rsidRPr="00984D1B" w:rsidRDefault="00984D1B" w:rsidP="00984D1B">
            <w:pPr>
              <w:jc w:val="right"/>
              <w:rPr>
                <w:rFonts w:eastAsiaTheme="minorEastAsia"/>
                <w:color w:val="000000"/>
                <w:sz w:val="22"/>
                <w:szCs w:val="22"/>
                <w:lang w:eastAsia="pl-PL"/>
              </w:rPr>
            </w:pPr>
            <w:r w:rsidRPr="00984D1B">
              <w:rPr>
                <w:rFonts w:eastAsiaTheme="minorEastAsia"/>
                <w:color w:val="000000"/>
                <w:sz w:val="22"/>
                <w:szCs w:val="22"/>
                <w:lang w:eastAsia="pl-PL"/>
              </w:rPr>
              <w:t>100</w:t>
            </w:r>
          </w:p>
        </w:tc>
        <w:tc>
          <w:tcPr>
            <w:tcW w:w="1643" w:type="dxa"/>
            <w:shd w:val="clear" w:color="000000" w:fill="D4EDF9"/>
            <w:vAlign w:val="center"/>
            <w:hideMark/>
          </w:tcPr>
          <w:p w14:paraId="0BCACB23" w14:textId="77777777" w:rsidR="00984D1B" w:rsidRPr="00984D1B" w:rsidRDefault="00984D1B" w:rsidP="00984D1B">
            <w:pPr>
              <w:jc w:val="right"/>
              <w:rPr>
                <w:rFonts w:eastAsiaTheme="minorEastAsia"/>
                <w:color w:val="000000"/>
                <w:sz w:val="22"/>
                <w:szCs w:val="22"/>
                <w:lang w:eastAsia="pl-PL"/>
              </w:rPr>
            </w:pPr>
            <w:r w:rsidRPr="00984D1B">
              <w:rPr>
                <w:rFonts w:eastAsiaTheme="minorEastAsia"/>
                <w:color w:val="000000"/>
                <w:sz w:val="22"/>
                <w:szCs w:val="22"/>
                <w:lang w:eastAsia="pl-PL"/>
              </w:rPr>
              <w:t>13</w:t>
            </w:r>
          </w:p>
        </w:tc>
        <w:tc>
          <w:tcPr>
            <w:tcW w:w="1089" w:type="dxa"/>
            <w:shd w:val="clear" w:color="000000" w:fill="D4EDF9"/>
            <w:vAlign w:val="center"/>
            <w:hideMark/>
          </w:tcPr>
          <w:p w14:paraId="7DDFB815" w14:textId="77777777" w:rsidR="00984D1B" w:rsidRPr="00984D1B" w:rsidRDefault="00984D1B" w:rsidP="00984D1B">
            <w:pPr>
              <w:jc w:val="right"/>
              <w:rPr>
                <w:rFonts w:eastAsiaTheme="minorEastAsia"/>
                <w:color w:val="000000"/>
                <w:sz w:val="22"/>
                <w:szCs w:val="22"/>
                <w:lang w:eastAsia="pl-PL"/>
              </w:rPr>
            </w:pPr>
            <w:r w:rsidRPr="00984D1B">
              <w:rPr>
                <w:rFonts w:eastAsiaTheme="minorEastAsia"/>
                <w:color w:val="000000"/>
                <w:sz w:val="22"/>
                <w:szCs w:val="22"/>
                <w:lang w:eastAsia="pl-PL"/>
              </w:rPr>
              <w:t>0</w:t>
            </w:r>
          </w:p>
        </w:tc>
        <w:tc>
          <w:tcPr>
            <w:tcW w:w="1656" w:type="dxa"/>
            <w:shd w:val="clear" w:color="000000" w:fill="D4EDF9"/>
            <w:vAlign w:val="center"/>
            <w:hideMark/>
          </w:tcPr>
          <w:p w14:paraId="0AA5EA94" w14:textId="77777777" w:rsidR="00984D1B" w:rsidRPr="00984D1B" w:rsidRDefault="00984D1B" w:rsidP="00984D1B">
            <w:pPr>
              <w:jc w:val="right"/>
              <w:rPr>
                <w:rFonts w:eastAsiaTheme="minorEastAsia"/>
                <w:color w:val="000000"/>
                <w:sz w:val="22"/>
                <w:szCs w:val="22"/>
                <w:lang w:eastAsia="pl-PL"/>
              </w:rPr>
            </w:pPr>
            <w:r w:rsidRPr="00984D1B">
              <w:rPr>
                <w:rFonts w:eastAsiaTheme="minorEastAsia"/>
                <w:color w:val="000000"/>
                <w:sz w:val="22"/>
                <w:szCs w:val="22"/>
                <w:lang w:eastAsia="pl-PL"/>
              </w:rPr>
              <w:t>0</w:t>
            </w:r>
          </w:p>
        </w:tc>
      </w:tr>
      <w:tr w:rsidR="00984D1B" w:rsidRPr="00984D1B" w14:paraId="15CFA1F4" w14:textId="77777777" w:rsidTr="006C2BD9">
        <w:trPr>
          <w:trHeight w:val="273"/>
        </w:trPr>
        <w:tc>
          <w:tcPr>
            <w:tcW w:w="3364" w:type="dxa"/>
            <w:vAlign w:val="center"/>
            <w:hideMark/>
          </w:tcPr>
          <w:p w14:paraId="14CF8BF5" w14:textId="77777777" w:rsidR="00984D1B" w:rsidRPr="00984D1B" w:rsidRDefault="00984D1B" w:rsidP="00984D1B">
            <w:pPr>
              <w:rPr>
                <w:rFonts w:eastAsiaTheme="minorEastAsia"/>
                <w:color w:val="000000"/>
                <w:sz w:val="22"/>
                <w:szCs w:val="22"/>
                <w:lang w:eastAsia="pl-PL"/>
              </w:rPr>
            </w:pPr>
            <w:r w:rsidRPr="00984D1B">
              <w:rPr>
                <w:rFonts w:eastAsiaTheme="minorEastAsia"/>
                <w:color w:val="000000"/>
                <w:sz w:val="22"/>
                <w:szCs w:val="22"/>
                <w:lang w:eastAsia="pl-PL"/>
              </w:rPr>
              <w:t>RA5 Względny spadek liczby ujęć wody zlokalizowanych w obszarach szczególnego zagrożenia powodzią (Q1%), w wyniku realizacji działań</w:t>
            </w:r>
          </w:p>
        </w:tc>
        <w:tc>
          <w:tcPr>
            <w:tcW w:w="1032" w:type="dxa"/>
            <w:shd w:val="clear" w:color="000000" w:fill="FFFFFF"/>
            <w:vAlign w:val="center"/>
            <w:hideMark/>
          </w:tcPr>
          <w:p w14:paraId="7938E86D" w14:textId="77777777" w:rsidR="00984D1B" w:rsidRPr="00984D1B" w:rsidRDefault="00984D1B" w:rsidP="00984D1B">
            <w:pPr>
              <w:jc w:val="right"/>
              <w:rPr>
                <w:rFonts w:eastAsiaTheme="minorEastAsia"/>
                <w:color w:val="000000"/>
                <w:sz w:val="22"/>
                <w:szCs w:val="22"/>
                <w:lang w:eastAsia="pl-PL"/>
              </w:rPr>
            </w:pPr>
            <w:r w:rsidRPr="00984D1B">
              <w:rPr>
                <w:rFonts w:eastAsiaTheme="minorEastAsia"/>
                <w:color w:val="000000"/>
                <w:sz w:val="22"/>
                <w:szCs w:val="22"/>
                <w:lang w:eastAsia="pl-PL"/>
              </w:rPr>
              <w:t>100</w:t>
            </w:r>
          </w:p>
        </w:tc>
        <w:tc>
          <w:tcPr>
            <w:tcW w:w="1643" w:type="dxa"/>
            <w:shd w:val="clear" w:color="000000" w:fill="FFFFFF"/>
            <w:vAlign w:val="center"/>
            <w:hideMark/>
          </w:tcPr>
          <w:p w14:paraId="1739A72B" w14:textId="77777777" w:rsidR="00984D1B" w:rsidRPr="00984D1B" w:rsidRDefault="00984D1B" w:rsidP="00984D1B">
            <w:pPr>
              <w:jc w:val="right"/>
              <w:rPr>
                <w:rFonts w:eastAsiaTheme="minorEastAsia"/>
                <w:color w:val="000000"/>
                <w:sz w:val="22"/>
                <w:szCs w:val="22"/>
                <w:lang w:eastAsia="pl-PL"/>
              </w:rPr>
            </w:pPr>
            <w:r w:rsidRPr="00984D1B">
              <w:rPr>
                <w:rFonts w:eastAsiaTheme="minorEastAsia"/>
                <w:color w:val="000000"/>
                <w:sz w:val="22"/>
                <w:szCs w:val="22"/>
                <w:lang w:eastAsia="pl-PL"/>
              </w:rPr>
              <w:t>78</w:t>
            </w:r>
          </w:p>
        </w:tc>
        <w:tc>
          <w:tcPr>
            <w:tcW w:w="1089" w:type="dxa"/>
            <w:vAlign w:val="center"/>
            <w:hideMark/>
          </w:tcPr>
          <w:p w14:paraId="19CEE2FB" w14:textId="77777777" w:rsidR="00984D1B" w:rsidRPr="00984D1B" w:rsidRDefault="00984D1B" w:rsidP="00984D1B">
            <w:pPr>
              <w:jc w:val="right"/>
              <w:rPr>
                <w:rFonts w:eastAsiaTheme="minorEastAsia"/>
                <w:color w:val="000000"/>
                <w:sz w:val="22"/>
                <w:szCs w:val="22"/>
                <w:lang w:eastAsia="pl-PL"/>
              </w:rPr>
            </w:pPr>
            <w:r w:rsidRPr="00984D1B">
              <w:rPr>
                <w:rFonts w:eastAsiaTheme="minorEastAsia"/>
                <w:color w:val="000000"/>
                <w:sz w:val="22"/>
                <w:szCs w:val="22"/>
                <w:lang w:eastAsia="pl-PL"/>
              </w:rPr>
              <w:t>0</w:t>
            </w:r>
          </w:p>
        </w:tc>
        <w:tc>
          <w:tcPr>
            <w:tcW w:w="1656" w:type="dxa"/>
            <w:shd w:val="clear" w:color="000000" w:fill="FFFFFF"/>
            <w:vAlign w:val="center"/>
            <w:hideMark/>
          </w:tcPr>
          <w:p w14:paraId="30E6802A" w14:textId="77777777" w:rsidR="00984D1B" w:rsidRPr="00984D1B" w:rsidRDefault="00984D1B" w:rsidP="00984D1B">
            <w:pPr>
              <w:jc w:val="right"/>
              <w:rPr>
                <w:rFonts w:eastAsiaTheme="minorEastAsia"/>
                <w:color w:val="000000"/>
                <w:sz w:val="22"/>
                <w:szCs w:val="22"/>
                <w:lang w:eastAsia="pl-PL"/>
              </w:rPr>
            </w:pPr>
            <w:r w:rsidRPr="00984D1B">
              <w:rPr>
                <w:rFonts w:eastAsiaTheme="minorEastAsia"/>
                <w:color w:val="000000"/>
                <w:sz w:val="22"/>
                <w:szCs w:val="22"/>
                <w:lang w:eastAsia="pl-PL"/>
              </w:rPr>
              <w:t>0</w:t>
            </w:r>
          </w:p>
        </w:tc>
      </w:tr>
      <w:tr w:rsidR="00984D1B" w:rsidRPr="00984D1B" w14:paraId="03D3F134" w14:textId="77777777" w:rsidTr="006C2BD9">
        <w:trPr>
          <w:trHeight w:val="254"/>
        </w:trPr>
        <w:tc>
          <w:tcPr>
            <w:tcW w:w="3364" w:type="dxa"/>
            <w:shd w:val="clear" w:color="000000" w:fill="D4EDF9"/>
            <w:vAlign w:val="center"/>
            <w:hideMark/>
          </w:tcPr>
          <w:p w14:paraId="5984C72F" w14:textId="77777777" w:rsidR="00984D1B" w:rsidRPr="00984D1B" w:rsidRDefault="00984D1B" w:rsidP="00984D1B">
            <w:pPr>
              <w:rPr>
                <w:rFonts w:eastAsiaTheme="minorEastAsia"/>
                <w:color w:val="000000"/>
                <w:sz w:val="22"/>
                <w:szCs w:val="22"/>
                <w:lang w:eastAsia="pl-PL"/>
              </w:rPr>
            </w:pPr>
            <w:r w:rsidRPr="00984D1B">
              <w:rPr>
                <w:rFonts w:eastAsiaTheme="minorEastAsia"/>
                <w:color w:val="000000"/>
                <w:sz w:val="22"/>
                <w:szCs w:val="22"/>
                <w:lang w:eastAsia="pl-PL"/>
              </w:rPr>
              <w:t>RA6 Względna redukcja liczby obiektów o szczególnym znaczeniu społecznym zlokalizowanych w obszarach szczególnego zagrożenia powodzią (Q1%) w wyniku realizacji działań</w:t>
            </w:r>
          </w:p>
        </w:tc>
        <w:tc>
          <w:tcPr>
            <w:tcW w:w="1032" w:type="dxa"/>
            <w:shd w:val="clear" w:color="000000" w:fill="D4EDF9"/>
            <w:vAlign w:val="center"/>
            <w:hideMark/>
          </w:tcPr>
          <w:p w14:paraId="55DA4318" w14:textId="77777777" w:rsidR="00984D1B" w:rsidRPr="00984D1B" w:rsidRDefault="00984D1B" w:rsidP="00984D1B">
            <w:pPr>
              <w:jc w:val="right"/>
              <w:rPr>
                <w:rFonts w:eastAsiaTheme="minorEastAsia"/>
                <w:color w:val="000000"/>
                <w:sz w:val="22"/>
                <w:szCs w:val="22"/>
                <w:lang w:eastAsia="pl-PL"/>
              </w:rPr>
            </w:pPr>
            <w:r w:rsidRPr="00984D1B">
              <w:rPr>
                <w:rFonts w:eastAsiaTheme="minorEastAsia"/>
                <w:color w:val="000000"/>
                <w:sz w:val="22"/>
                <w:szCs w:val="22"/>
                <w:lang w:eastAsia="pl-PL"/>
              </w:rPr>
              <w:t>100</w:t>
            </w:r>
          </w:p>
        </w:tc>
        <w:tc>
          <w:tcPr>
            <w:tcW w:w="1643" w:type="dxa"/>
            <w:shd w:val="clear" w:color="000000" w:fill="D4EDF9"/>
            <w:vAlign w:val="center"/>
            <w:hideMark/>
          </w:tcPr>
          <w:p w14:paraId="314CD493" w14:textId="77777777" w:rsidR="00984D1B" w:rsidRPr="00984D1B" w:rsidRDefault="00984D1B" w:rsidP="00984D1B">
            <w:pPr>
              <w:jc w:val="right"/>
              <w:rPr>
                <w:rFonts w:eastAsiaTheme="minorEastAsia"/>
                <w:color w:val="000000"/>
                <w:sz w:val="22"/>
                <w:szCs w:val="22"/>
                <w:lang w:eastAsia="pl-PL"/>
              </w:rPr>
            </w:pPr>
            <w:r w:rsidRPr="00984D1B">
              <w:rPr>
                <w:rFonts w:eastAsiaTheme="minorEastAsia"/>
                <w:color w:val="000000"/>
                <w:sz w:val="22"/>
                <w:szCs w:val="22"/>
                <w:lang w:eastAsia="pl-PL"/>
              </w:rPr>
              <w:t>21</w:t>
            </w:r>
          </w:p>
        </w:tc>
        <w:tc>
          <w:tcPr>
            <w:tcW w:w="1089" w:type="dxa"/>
            <w:shd w:val="clear" w:color="000000" w:fill="D4EDF9"/>
            <w:vAlign w:val="center"/>
            <w:hideMark/>
          </w:tcPr>
          <w:p w14:paraId="6B83D19C" w14:textId="77777777" w:rsidR="00984D1B" w:rsidRPr="00984D1B" w:rsidRDefault="00984D1B" w:rsidP="00984D1B">
            <w:pPr>
              <w:jc w:val="right"/>
              <w:rPr>
                <w:rFonts w:eastAsiaTheme="minorEastAsia"/>
                <w:color w:val="000000"/>
                <w:sz w:val="22"/>
                <w:szCs w:val="22"/>
                <w:lang w:eastAsia="pl-PL"/>
              </w:rPr>
            </w:pPr>
            <w:r w:rsidRPr="00984D1B">
              <w:rPr>
                <w:rFonts w:eastAsiaTheme="minorEastAsia"/>
                <w:color w:val="000000"/>
                <w:sz w:val="22"/>
                <w:szCs w:val="22"/>
                <w:lang w:eastAsia="pl-PL"/>
              </w:rPr>
              <w:t>0</w:t>
            </w:r>
          </w:p>
        </w:tc>
        <w:tc>
          <w:tcPr>
            <w:tcW w:w="1656" w:type="dxa"/>
            <w:shd w:val="clear" w:color="000000" w:fill="D4EDF9"/>
            <w:vAlign w:val="center"/>
            <w:hideMark/>
          </w:tcPr>
          <w:p w14:paraId="3B0D2F14" w14:textId="77777777" w:rsidR="00984D1B" w:rsidRPr="00984D1B" w:rsidRDefault="00984D1B" w:rsidP="00984D1B">
            <w:pPr>
              <w:jc w:val="right"/>
              <w:rPr>
                <w:rFonts w:eastAsiaTheme="minorEastAsia"/>
                <w:color w:val="000000"/>
                <w:sz w:val="22"/>
                <w:szCs w:val="22"/>
                <w:lang w:eastAsia="pl-PL"/>
              </w:rPr>
            </w:pPr>
            <w:r w:rsidRPr="00984D1B">
              <w:rPr>
                <w:rFonts w:eastAsiaTheme="minorEastAsia"/>
                <w:color w:val="000000"/>
                <w:sz w:val="22"/>
                <w:szCs w:val="22"/>
                <w:lang w:eastAsia="pl-PL"/>
              </w:rPr>
              <w:t>0</w:t>
            </w:r>
          </w:p>
        </w:tc>
      </w:tr>
      <w:tr w:rsidR="00984D1B" w:rsidRPr="00984D1B" w14:paraId="1E316197" w14:textId="77777777" w:rsidTr="006C2BD9">
        <w:trPr>
          <w:trHeight w:val="319"/>
        </w:trPr>
        <w:tc>
          <w:tcPr>
            <w:tcW w:w="3364" w:type="dxa"/>
            <w:vAlign w:val="center"/>
            <w:hideMark/>
          </w:tcPr>
          <w:p w14:paraId="74D910AF" w14:textId="77777777" w:rsidR="00984D1B" w:rsidRPr="00984D1B" w:rsidRDefault="00984D1B" w:rsidP="00984D1B">
            <w:pPr>
              <w:rPr>
                <w:rFonts w:eastAsiaTheme="minorEastAsia"/>
                <w:color w:val="000000"/>
                <w:sz w:val="22"/>
                <w:szCs w:val="22"/>
                <w:lang w:eastAsia="pl-PL"/>
              </w:rPr>
            </w:pPr>
            <w:r w:rsidRPr="00984D1B">
              <w:rPr>
                <w:rFonts w:eastAsiaTheme="minorEastAsia"/>
                <w:color w:val="000000"/>
                <w:sz w:val="22"/>
                <w:szCs w:val="22"/>
                <w:lang w:eastAsia="pl-PL"/>
              </w:rPr>
              <w:t>RA7 Względna redukcja potencjalnych strat powodziowych na obszarach szczególnego zagrożenia powodzią (Q1%) w wyniku realizacji działań</w:t>
            </w:r>
          </w:p>
        </w:tc>
        <w:tc>
          <w:tcPr>
            <w:tcW w:w="1032" w:type="dxa"/>
            <w:shd w:val="clear" w:color="000000" w:fill="FFFFFF"/>
            <w:vAlign w:val="center"/>
            <w:hideMark/>
          </w:tcPr>
          <w:p w14:paraId="4661FDA3" w14:textId="77777777" w:rsidR="00984D1B" w:rsidRPr="00984D1B" w:rsidRDefault="00984D1B" w:rsidP="00984D1B">
            <w:pPr>
              <w:jc w:val="right"/>
              <w:rPr>
                <w:rFonts w:eastAsiaTheme="minorEastAsia"/>
                <w:color w:val="000000"/>
                <w:sz w:val="22"/>
                <w:szCs w:val="22"/>
                <w:lang w:eastAsia="pl-PL"/>
              </w:rPr>
            </w:pPr>
            <w:r w:rsidRPr="00984D1B">
              <w:rPr>
                <w:rFonts w:eastAsiaTheme="minorEastAsia"/>
                <w:color w:val="000000"/>
                <w:sz w:val="22"/>
                <w:szCs w:val="22"/>
                <w:lang w:eastAsia="pl-PL"/>
              </w:rPr>
              <w:t>100</w:t>
            </w:r>
          </w:p>
        </w:tc>
        <w:tc>
          <w:tcPr>
            <w:tcW w:w="1643" w:type="dxa"/>
            <w:shd w:val="clear" w:color="000000" w:fill="FFFFFF"/>
            <w:vAlign w:val="center"/>
            <w:hideMark/>
          </w:tcPr>
          <w:p w14:paraId="384C3DFE" w14:textId="77777777" w:rsidR="00984D1B" w:rsidRPr="00984D1B" w:rsidRDefault="00984D1B" w:rsidP="00984D1B">
            <w:pPr>
              <w:rPr>
                <w:rFonts w:eastAsiaTheme="minorEastAsia"/>
                <w:color w:val="000000"/>
                <w:sz w:val="22"/>
                <w:szCs w:val="22"/>
                <w:lang w:eastAsia="pl-PL"/>
              </w:rPr>
            </w:pPr>
            <w:r w:rsidRPr="00984D1B">
              <w:rPr>
                <w:rFonts w:eastAsiaTheme="minorEastAsia"/>
                <w:color w:val="000000"/>
                <w:sz w:val="22"/>
                <w:szCs w:val="22"/>
                <w:lang w:eastAsia="pl-PL"/>
              </w:rPr>
              <w:t xml:space="preserve">2 338 377 607 zł </w:t>
            </w:r>
          </w:p>
        </w:tc>
        <w:tc>
          <w:tcPr>
            <w:tcW w:w="1089" w:type="dxa"/>
            <w:vAlign w:val="center"/>
            <w:hideMark/>
          </w:tcPr>
          <w:p w14:paraId="5FF302B4" w14:textId="77777777" w:rsidR="00984D1B" w:rsidRPr="00984D1B" w:rsidRDefault="00984D1B" w:rsidP="00984D1B">
            <w:pPr>
              <w:jc w:val="right"/>
              <w:rPr>
                <w:rFonts w:eastAsiaTheme="minorEastAsia"/>
                <w:color w:val="000000"/>
                <w:sz w:val="22"/>
                <w:szCs w:val="22"/>
                <w:lang w:eastAsia="pl-PL"/>
              </w:rPr>
            </w:pPr>
            <w:r w:rsidRPr="00984D1B">
              <w:rPr>
                <w:rFonts w:eastAsiaTheme="minorEastAsia"/>
                <w:color w:val="000000"/>
                <w:sz w:val="22"/>
                <w:szCs w:val="22"/>
                <w:lang w:eastAsia="pl-PL"/>
              </w:rPr>
              <w:t>1.8</w:t>
            </w:r>
          </w:p>
        </w:tc>
        <w:tc>
          <w:tcPr>
            <w:tcW w:w="1656" w:type="dxa"/>
            <w:shd w:val="clear" w:color="000000" w:fill="FFFFFF"/>
            <w:vAlign w:val="center"/>
            <w:hideMark/>
          </w:tcPr>
          <w:p w14:paraId="08BB8D88" w14:textId="77777777" w:rsidR="00984D1B" w:rsidRPr="00984D1B" w:rsidRDefault="00984D1B" w:rsidP="00984D1B">
            <w:pPr>
              <w:rPr>
                <w:rFonts w:eastAsiaTheme="minorEastAsia"/>
                <w:color w:val="000000"/>
                <w:sz w:val="22"/>
                <w:szCs w:val="22"/>
                <w:lang w:eastAsia="pl-PL"/>
              </w:rPr>
            </w:pPr>
            <w:r w:rsidRPr="00984D1B">
              <w:rPr>
                <w:rFonts w:eastAsiaTheme="minorEastAsia"/>
                <w:color w:val="000000"/>
                <w:sz w:val="22"/>
                <w:szCs w:val="22"/>
                <w:lang w:eastAsia="pl-PL"/>
              </w:rPr>
              <w:t xml:space="preserve">    43 187 848 zł </w:t>
            </w:r>
          </w:p>
        </w:tc>
      </w:tr>
      <w:tr w:rsidR="00984D1B" w:rsidRPr="00984D1B" w14:paraId="2EA6ABF1" w14:textId="77777777" w:rsidTr="006C2BD9">
        <w:trPr>
          <w:trHeight w:val="342"/>
        </w:trPr>
        <w:tc>
          <w:tcPr>
            <w:tcW w:w="3364" w:type="dxa"/>
            <w:shd w:val="clear" w:color="000000" w:fill="D4EDF9"/>
            <w:vAlign w:val="center"/>
            <w:hideMark/>
          </w:tcPr>
          <w:p w14:paraId="6779A6C2" w14:textId="77777777" w:rsidR="00984D1B" w:rsidRPr="00984D1B" w:rsidRDefault="00984D1B" w:rsidP="00984D1B">
            <w:pPr>
              <w:rPr>
                <w:rFonts w:eastAsiaTheme="minorEastAsia"/>
                <w:color w:val="000000"/>
                <w:sz w:val="22"/>
                <w:szCs w:val="22"/>
                <w:lang w:eastAsia="pl-PL"/>
              </w:rPr>
            </w:pPr>
            <w:r w:rsidRPr="00984D1B">
              <w:rPr>
                <w:rFonts w:eastAsiaTheme="minorEastAsia"/>
                <w:color w:val="000000"/>
                <w:sz w:val="22"/>
                <w:szCs w:val="22"/>
                <w:lang w:eastAsia="pl-PL"/>
              </w:rPr>
              <w:t>RA8 Względna redukcja powierzchni obszarów szczególnego zagrożenia powodzią (Q1%) w wyniku realizacji działań</w:t>
            </w:r>
          </w:p>
        </w:tc>
        <w:tc>
          <w:tcPr>
            <w:tcW w:w="1032" w:type="dxa"/>
            <w:shd w:val="clear" w:color="000000" w:fill="D4EDF9"/>
            <w:vAlign w:val="center"/>
            <w:hideMark/>
          </w:tcPr>
          <w:p w14:paraId="40FF5690" w14:textId="77777777" w:rsidR="00984D1B" w:rsidRPr="00984D1B" w:rsidRDefault="00984D1B" w:rsidP="00984D1B">
            <w:pPr>
              <w:jc w:val="right"/>
              <w:rPr>
                <w:rFonts w:eastAsiaTheme="minorEastAsia"/>
                <w:color w:val="000000"/>
                <w:sz w:val="22"/>
                <w:szCs w:val="22"/>
                <w:lang w:eastAsia="pl-PL"/>
              </w:rPr>
            </w:pPr>
            <w:r w:rsidRPr="00984D1B">
              <w:rPr>
                <w:rFonts w:eastAsiaTheme="minorEastAsia"/>
                <w:color w:val="000000"/>
                <w:sz w:val="22"/>
                <w:szCs w:val="22"/>
                <w:lang w:eastAsia="pl-PL"/>
              </w:rPr>
              <w:t>100</w:t>
            </w:r>
          </w:p>
        </w:tc>
        <w:tc>
          <w:tcPr>
            <w:tcW w:w="1643" w:type="dxa"/>
            <w:shd w:val="clear" w:color="000000" w:fill="D4EDF9"/>
            <w:vAlign w:val="center"/>
            <w:hideMark/>
          </w:tcPr>
          <w:p w14:paraId="1EA8B658" w14:textId="77777777" w:rsidR="00984D1B" w:rsidRPr="00984D1B" w:rsidRDefault="00984D1B" w:rsidP="00984D1B">
            <w:pPr>
              <w:jc w:val="right"/>
              <w:rPr>
                <w:rFonts w:eastAsiaTheme="minorEastAsia"/>
                <w:color w:val="000000"/>
                <w:sz w:val="22"/>
                <w:szCs w:val="22"/>
                <w:lang w:eastAsia="pl-PL"/>
              </w:rPr>
            </w:pPr>
            <w:r w:rsidRPr="00984D1B">
              <w:rPr>
                <w:rFonts w:eastAsiaTheme="minorEastAsia"/>
                <w:color w:val="000000"/>
                <w:sz w:val="22"/>
                <w:szCs w:val="22"/>
                <w:lang w:eastAsia="pl-PL"/>
              </w:rPr>
              <w:t>31356</w:t>
            </w:r>
          </w:p>
        </w:tc>
        <w:tc>
          <w:tcPr>
            <w:tcW w:w="1089" w:type="dxa"/>
            <w:shd w:val="clear" w:color="000000" w:fill="D4EDF9"/>
            <w:vAlign w:val="center"/>
            <w:hideMark/>
          </w:tcPr>
          <w:p w14:paraId="49681440" w14:textId="77777777" w:rsidR="00984D1B" w:rsidRPr="00984D1B" w:rsidRDefault="00984D1B" w:rsidP="00984D1B">
            <w:pPr>
              <w:jc w:val="right"/>
              <w:rPr>
                <w:rFonts w:eastAsiaTheme="minorEastAsia"/>
                <w:color w:val="000000"/>
                <w:sz w:val="22"/>
                <w:szCs w:val="22"/>
                <w:lang w:eastAsia="pl-PL"/>
              </w:rPr>
            </w:pPr>
            <w:r w:rsidRPr="00984D1B">
              <w:rPr>
                <w:rFonts w:eastAsiaTheme="minorEastAsia"/>
                <w:color w:val="000000"/>
                <w:sz w:val="22"/>
                <w:szCs w:val="22"/>
                <w:lang w:eastAsia="pl-PL"/>
              </w:rPr>
              <w:t>0.2</w:t>
            </w:r>
          </w:p>
        </w:tc>
        <w:tc>
          <w:tcPr>
            <w:tcW w:w="1656" w:type="dxa"/>
            <w:shd w:val="clear" w:color="000000" w:fill="D4EDF9"/>
            <w:vAlign w:val="center"/>
            <w:hideMark/>
          </w:tcPr>
          <w:p w14:paraId="38DDC3A0" w14:textId="77777777" w:rsidR="00984D1B" w:rsidRPr="00984D1B" w:rsidRDefault="00984D1B" w:rsidP="00984D1B">
            <w:pPr>
              <w:jc w:val="right"/>
              <w:rPr>
                <w:rFonts w:eastAsiaTheme="minorEastAsia"/>
                <w:color w:val="000000"/>
                <w:sz w:val="22"/>
                <w:szCs w:val="22"/>
                <w:lang w:eastAsia="pl-PL"/>
              </w:rPr>
            </w:pPr>
            <w:r w:rsidRPr="00984D1B">
              <w:rPr>
                <w:rFonts w:eastAsiaTheme="minorEastAsia"/>
                <w:color w:val="000000"/>
                <w:sz w:val="22"/>
                <w:szCs w:val="22"/>
                <w:lang w:eastAsia="pl-PL"/>
              </w:rPr>
              <w:t>47.82</w:t>
            </w:r>
          </w:p>
        </w:tc>
      </w:tr>
    </w:tbl>
    <w:p w14:paraId="1D749D10" w14:textId="77777777" w:rsidR="00984D1B" w:rsidRPr="00984D1B" w:rsidRDefault="00984D1B" w:rsidP="006C2BD9">
      <w:pPr>
        <w:pStyle w:val="ReportText"/>
      </w:pPr>
      <w:r w:rsidRPr="00984D1B">
        <w:lastRenderedPageBreak/>
        <w:t>Dzięki realizacji działań ujętych w PZRP w obszarze dorzecza Dolnej Wisły udało się osiągnąć względną redukcję potencjalnych strat powodziowych na obszarach szczególnego zagrożenia powodzią pochodzącą od wód morskich, w tym morskich wód wewnętrznych (Q1%) o ponad 43 mln zł co stanowi 1,8% docelowej wartości wskaźnika RA7. Zrealizowane działania pozwoliły na redukcję liczby mieszkańców na obszarach szczególnego zagrożenia powodzią (Q1%) oszacowaną na 188 osób, co przekłada się na realizację docelowej wartości wskaźnika RA2 w 1,6%. Względna redukcja powierzchni obszarów szczególnego zagrożenia powodzią (Q1%) w wyniku realizacji działań I cyklu PZRP wyniosła 0,2% tj. ok. 48 ha.</w:t>
      </w:r>
    </w:p>
    <w:p w14:paraId="1DBA3339" w14:textId="77777777" w:rsidR="00984D1B" w:rsidRPr="00984D1B" w:rsidRDefault="00984D1B" w:rsidP="006C2BD9">
      <w:pPr>
        <w:pStyle w:val="ReportText"/>
      </w:pPr>
      <w:r w:rsidRPr="00984D1B">
        <w:t>Przedstawione powyżej wskaźniki rezultatów są niskie, zidentyfikowano dwa najważniejsze:</w:t>
      </w:r>
    </w:p>
    <w:p w14:paraId="0B4BE555" w14:textId="77777777" w:rsidR="00984D1B" w:rsidRPr="00984D1B" w:rsidRDefault="00984D1B" w:rsidP="00924BB5">
      <w:pPr>
        <w:numPr>
          <w:ilvl w:val="0"/>
          <w:numId w:val="73"/>
        </w:numPr>
        <w:spacing w:before="120" w:after="120" w:line="260" w:lineRule="atLeast"/>
        <w:jc w:val="both"/>
        <w:rPr>
          <w:rFonts w:eastAsiaTheme="minorEastAsia"/>
          <w:szCs w:val="20"/>
          <w:lang w:eastAsia="en-US"/>
        </w:rPr>
      </w:pPr>
      <w:r w:rsidRPr="00984D1B">
        <w:rPr>
          <w:rFonts w:eastAsiaTheme="minorEastAsia"/>
          <w:szCs w:val="20"/>
          <w:lang w:eastAsia="en-US"/>
        </w:rPr>
        <w:t xml:space="preserve">W okresie obowiązywania I cyklu PZRP nie udało się zrealizować większości zaplanowanych działań służących osiągnięciu celów zarządzania ryzykiem powodziowym. Z tego względu większość z zaplanowanych celów szczegółowych zrealizowano jedynie częściowo. Do najczęstszych przyczyn niezrealizowania zaplanowanych w I cyklu PZRP działań należą w szczególności: </w:t>
      </w:r>
    </w:p>
    <w:p w14:paraId="79A99643" w14:textId="77777777" w:rsidR="00984D1B" w:rsidRPr="00984D1B" w:rsidRDefault="00984D1B" w:rsidP="00924BB5">
      <w:pPr>
        <w:numPr>
          <w:ilvl w:val="0"/>
          <w:numId w:val="72"/>
        </w:numPr>
        <w:spacing w:before="120" w:after="120" w:line="260" w:lineRule="atLeast"/>
        <w:jc w:val="both"/>
        <w:rPr>
          <w:rFonts w:eastAsiaTheme="minorEastAsia"/>
          <w:szCs w:val="20"/>
          <w:lang w:eastAsia="en-US"/>
        </w:rPr>
      </w:pPr>
      <w:r w:rsidRPr="00984D1B">
        <w:rPr>
          <w:rFonts w:eastAsiaTheme="minorEastAsia"/>
          <w:szCs w:val="20"/>
          <w:lang w:eastAsia="en-US"/>
        </w:rPr>
        <w:t xml:space="preserve">brak środków finansowych niezbędnych do realizacji inwestycji, </w:t>
      </w:r>
    </w:p>
    <w:p w14:paraId="79F684DE" w14:textId="77777777" w:rsidR="00984D1B" w:rsidRPr="00984D1B" w:rsidRDefault="00984D1B" w:rsidP="00924BB5">
      <w:pPr>
        <w:numPr>
          <w:ilvl w:val="0"/>
          <w:numId w:val="72"/>
        </w:numPr>
        <w:spacing w:before="120" w:after="120" w:line="260" w:lineRule="atLeast"/>
        <w:jc w:val="both"/>
        <w:rPr>
          <w:rFonts w:eastAsiaTheme="minorEastAsia"/>
          <w:szCs w:val="20"/>
          <w:lang w:eastAsia="en-US"/>
        </w:rPr>
      </w:pPr>
      <w:r w:rsidRPr="00984D1B">
        <w:rPr>
          <w:rFonts w:eastAsiaTheme="minorEastAsia"/>
          <w:szCs w:val="20"/>
          <w:lang w:eastAsia="en-US"/>
        </w:rPr>
        <w:t xml:space="preserve">przyczyny organizacyjne np. trudności w uzyskaniu niezbędnych decyzji administracyjnych potrzebnych do realizacji projektu, </w:t>
      </w:r>
    </w:p>
    <w:p w14:paraId="015434A9" w14:textId="77777777" w:rsidR="00984D1B" w:rsidRPr="00984D1B" w:rsidRDefault="00984D1B" w:rsidP="00924BB5">
      <w:pPr>
        <w:numPr>
          <w:ilvl w:val="0"/>
          <w:numId w:val="72"/>
        </w:numPr>
        <w:spacing w:before="120" w:after="120" w:line="260" w:lineRule="atLeast"/>
        <w:jc w:val="both"/>
        <w:rPr>
          <w:rFonts w:eastAsiaTheme="minorEastAsia"/>
          <w:szCs w:val="20"/>
          <w:lang w:eastAsia="en-US"/>
        </w:rPr>
      </w:pPr>
      <w:r w:rsidRPr="00984D1B">
        <w:rPr>
          <w:rFonts w:eastAsiaTheme="minorEastAsia"/>
          <w:szCs w:val="20"/>
          <w:lang w:eastAsia="en-US"/>
        </w:rPr>
        <w:t xml:space="preserve">problemy legislacyjne np. postepowania odwoławcze, zmiany w ustawie Prawo wodne i specustawach </w:t>
      </w:r>
    </w:p>
    <w:p w14:paraId="1674DC30" w14:textId="77777777" w:rsidR="00984D1B" w:rsidRPr="00984D1B" w:rsidRDefault="00984D1B" w:rsidP="00924BB5">
      <w:pPr>
        <w:numPr>
          <w:ilvl w:val="0"/>
          <w:numId w:val="72"/>
        </w:numPr>
        <w:spacing w:before="120" w:after="120" w:line="260" w:lineRule="atLeast"/>
        <w:jc w:val="both"/>
        <w:rPr>
          <w:rFonts w:eastAsiaTheme="minorEastAsia"/>
          <w:szCs w:val="20"/>
          <w:lang w:eastAsia="en-US"/>
        </w:rPr>
      </w:pPr>
      <w:r w:rsidRPr="00984D1B">
        <w:rPr>
          <w:rFonts w:eastAsiaTheme="minorEastAsia"/>
          <w:szCs w:val="20"/>
          <w:lang w:eastAsia="en-US"/>
        </w:rPr>
        <w:t xml:space="preserve">inne np. brak wykonawców do realizacji inwestycji. </w:t>
      </w:r>
    </w:p>
    <w:p w14:paraId="1C2FD809" w14:textId="77777777" w:rsidR="00984D1B" w:rsidRPr="00984D1B" w:rsidRDefault="00984D1B" w:rsidP="00924BB5">
      <w:pPr>
        <w:numPr>
          <w:ilvl w:val="0"/>
          <w:numId w:val="73"/>
        </w:numPr>
        <w:spacing w:before="170" w:after="170" w:line="260" w:lineRule="atLeast"/>
        <w:jc w:val="both"/>
        <w:rPr>
          <w:rFonts w:eastAsiaTheme="minorEastAsia"/>
          <w:szCs w:val="20"/>
          <w:lang w:eastAsia="en-US"/>
        </w:rPr>
      </w:pPr>
      <w:r w:rsidRPr="00984D1B">
        <w:rPr>
          <w:rFonts w:eastAsiaTheme="minorEastAsia"/>
          <w:szCs w:val="20"/>
          <w:lang w:eastAsia="en-US"/>
        </w:rPr>
        <w:t>Duża część zadań, które zostały zrealizowane w pierwszym cyklu planistycznym dotyczyła zadań, których przedmiotem i głównym celem nie była ochrona przeciwpowodziowa. Były to typy zadań: Budowa i przebudowa infrastruktury portowej lub dostępowej do portu lub przystani morskiej oraz Ochrona brzegów morskich przed erozją i powodzią od strony morza, w tym morskich wód wewnętrznych. Ich realizacja wpłynęła na ograniczenie / miejscowe przeciwdziałanie niekorzystnym zjawiskom erozyjnym zachodzącym wzdłuż brzegów morskich oraz zwiększyły bezpieczeństwo portów jak i umożliwiły bezpieczny do nich dostęp jednak nie przekłada się to na redukcję powierzchni obszarów szczególnego zagrożenia powodzią (Q1%) ponieważ nie jest to cel prowadzenia przedmiotowych działań. W związku z powyższym opisane typy zadań nie zostały uwzględnione w aPZRPM.</w:t>
      </w:r>
    </w:p>
    <w:p w14:paraId="5E0DDFCF" w14:textId="77777777" w:rsidR="00984D1B" w:rsidRDefault="00984D1B" w:rsidP="005F0BA9">
      <w:pPr>
        <w:pStyle w:val="ReportText"/>
      </w:pPr>
    </w:p>
    <w:p w14:paraId="37A4642B" w14:textId="77777777" w:rsidR="00F31701" w:rsidRDefault="00F31701">
      <w:pPr>
        <w:rPr>
          <w:b/>
          <w:color w:val="28AAE1"/>
          <w:sz w:val="36"/>
          <w:szCs w:val="20"/>
          <w:lang w:eastAsia="en-US"/>
        </w:rPr>
      </w:pPr>
      <w:r>
        <w:br w:type="page"/>
      </w:r>
    </w:p>
    <w:p w14:paraId="43E3C803" w14:textId="4C78215A" w:rsidR="005F0BA9" w:rsidRPr="009401DA" w:rsidRDefault="005F0BA9" w:rsidP="00304E3A">
      <w:pPr>
        <w:pStyle w:val="ReportLevel1"/>
        <w:numPr>
          <w:ilvl w:val="0"/>
          <w:numId w:val="9"/>
        </w:numPr>
        <w:spacing w:before="240" w:after="0"/>
      </w:pPr>
      <w:bookmarkStart w:id="236" w:name="_Toc80604879"/>
      <w:r w:rsidRPr="00AD283A">
        <w:lastRenderedPageBreak/>
        <w:t>Podsumowanie działań służących informowaniu społeczeństwa i prowadzeniu konsultacji społecznych</w:t>
      </w:r>
      <w:bookmarkEnd w:id="236"/>
    </w:p>
    <w:p w14:paraId="147CED5D" w14:textId="77777777" w:rsidR="005F0BA9" w:rsidRDefault="005F0BA9" w:rsidP="00304E3A">
      <w:pPr>
        <w:pStyle w:val="ReportLevel2"/>
        <w:numPr>
          <w:ilvl w:val="1"/>
          <w:numId w:val="9"/>
        </w:numPr>
        <w:spacing w:before="120"/>
      </w:pPr>
      <w:bookmarkStart w:id="237" w:name="_Toc80604880"/>
      <w:r>
        <w:t>Udział społeczeństwa w opracowaniu planów zarządzania ryzykiem powodziowym</w:t>
      </w:r>
      <w:bookmarkEnd w:id="237"/>
    </w:p>
    <w:p w14:paraId="17AACD33" w14:textId="77777777" w:rsidR="005F0BA9" w:rsidRDefault="005F0BA9" w:rsidP="00304E3A">
      <w:pPr>
        <w:pStyle w:val="ReportText"/>
        <w:spacing w:before="120" w:after="120"/>
      </w:pPr>
      <w:r>
        <w:t>Plany zarządzania ryzykiem powodziowym (w tym aPZRPM) stanowią strategiczny dokument państwa w zakresie planowania i realizacji działań służących minimalizowaniu ryzyka powodziowego. Właściwe zrozumienie założeń planów, prowadzonych analiz i uzyskanych wniosków, w tym finalnie konkretnych rozwiązań nietechnicznych i technicznych, jest kluczowe dla procedowania dokumentu, w tym udziału społeczeństwa w jego współtworzeniu. Planowane w dniach 03.09.2021 r i 06.09.2021 r konsultacje społeczne oraz towarzysząca im kampania informacyjna stanowią jeden z kluczowych elementów procesu opracowania planów. Włączenie interesariuszy w tworzenie planów zarządzania ryzykiem powodziowym pozwoli na poszerzenie analiz o nowe rozwiązania, zrewidowanie przyjętych działań, zwiększenie przejrzystości podejmowania zawartych w nich decyzji.</w:t>
      </w:r>
    </w:p>
    <w:p w14:paraId="0E8ECACA" w14:textId="77777777" w:rsidR="005F0BA9" w:rsidRDefault="005F0BA9" w:rsidP="00304E3A">
      <w:pPr>
        <w:pStyle w:val="ReportText"/>
        <w:spacing w:before="120" w:after="120"/>
      </w:pPr>
      <w:r>
        <w:t>Proces konsultacji społecznych planów zarządzania ryzykiem powodziowym uregulowany został przepisami kształtującymi zasady udziału społeczeństwa w podejmowaniu decyzji dotyczących środowiska tj. ustawą z dnia 3 października 2008 r. o udostępnianiu informacji o środowisku i jego ochronie, udziale społeczeństwa w ochronie środowiska oraz ocenach oddziaływania na środowisko (</w:t>
      </w:r>
      <w:r w:rsidRPr="00EC74F7">
        <w:t>Dz.U. 2021 poz. 247 ze zm.</w:t>
      </w:r>
      <w:r>
        <w:t>), a także ustawą z dnia 20 lipca 2017 r. Prawo wodne (</w:t>
      </w:r>
      <w:r w:rsidRPr="00EC74F7">
        <w:t>Dz. U. z 2021 r. poz. 624 ze zm</w:t>
      </w:r>
      <w:r>
        <w:t>).</w:t>
      </w:r>
    </w:p>
    <w:p w14:paraId="17064FC6" w14:textId="77777777" w:rsidR="005F0BA9" w:rsidRDefault="005F0BA9" w:rsidP="00304E3A">
      <w:pPr>
        <w:pStyle w:val="ReportLevel2"/>
        <w:numPr>
          <w:ilvl w:val="1"/>
          <w:numId w:val="9"/>
        </w:numPr>
        <w:spacing w:before="120" w:after="120"/>
      </w:pPr>
      <w:bookmarkStart w:id="238" w:name="_Toc80604881"/>
      <w:r>
        <w:t>Cele strategiczne konsultacji społecznych i działań informacyjno – promocyjnych</w:t>
      </w:r>
      <w:bookmarkEnd w:id="238"/>
    </w:p>
    <w:p w14:paraId="682F0EBB" w14:textId="77777777" w:rsidR="005F0BA9" w:rsidRDefault="005F0BA9" w:rsidP="005F0BA9">
      <w:pPr>
        <w:pStyle w:val="ReportText"/>
      </w:pPr>
      <w:r>
        <w:t>Należyte określenie celów planowanych konsultacji społecznych oraz kampanii informacyjnej dotyczącej aktualizacji planów zarządzania ryzykiem powodziowym jest jednym z kluczowych czynników sukcesu tworzenia tych strategicznych dokumentów.</w:t>
      </w:r>
    </w:p>
    <w:p w14:paraId="705517CA" w14:textId="77777777" w:rsidR="005F0BA9" w:rsidRPr="00EC74F7" w:rsidRDefault="005F0BA9" w:rsidP="00304E3A">
      <w:pPr>
        <w:pStyle w:val="ReportText"/>
        <w:spacing w:before="120" w:after="120"/>
        <w:rPr>
          <w:b/>
          <w:bCs/>
        </w:rPr>
      </w:pPr>
      <w:r w:rsidRPr="00EC74F7">
        <w:rPr>
          <w:b/>
          <w:bCs/>
        </w:rPr>
        <w:t>Cel strategiczny 1 - przeprowadzenie konsultacji społecznych</w:t>
      </w:r>
    </w:p>
    <w:p w14:paraId="0B7E83E4" w14:textId="77777777" w:rsidR="005F0BA9" w:rsidRDefault="005F0BA9" w:rsidP="00304E3A">
      <w:pPr>
        <w:pStyle w:val="ReportText"/>
        <w:spacing w:before="120" w:after="120"/>
      </w:pPr>
      <w:r>
        <w:t xml:space="preserve">Przeprowadzenie konsultacji społecznych projektów planów oraz zebranie uwag, wniosków i opinii zostało przyjęte jako pierwszy cel strategiczny. Konsultacje społeczne odbywają się w terminie od 22 grudnia 2020 r. do 06 września 2021 r. Dobór lokalizacji spotkań uwzględnia zidentyfikowane obszary problemowe, na których występuje istotne ryzyko powodziowe, co pozwala na dotarcie do grup osób zainteresowanych problemem ryzyka powodziowego. </w:t>
      </w:r>
    </w:p>
    <w:p w14:paraId="0F967DB3" w14:textId="61419ADB" w:rsidR="005F0BA9" w:rsidRDefault="005F0BA9" w:rsidP="00304E3A">
      <w:pPr>
        <w:pStyle w:val="ReportText"/>
        <w:spacing w:before="120" w:after="120"/>
      </w:pPr>
      <w:r w:rsidRPr="005D03B0">
        <w:rPr>
          <w:b/>
          <w:bCs/>
        </w:rPr>
        <w:t xml:space="preserve">Cel strategiczny 2 - przeprowadzenie kampanii </w:t>
      </w:r>
      <w:r w:rsidRPr="00EC74F7">
        <w:rPr>
          <w:b/>
          <w:bCs/>
        </w:rPr>
        <w:t>informacyjno-promocyjnej</w:t>
      </w:r>
    </w:p>
    <w:p w14:paraId="1B60F487" w14:textId="77777777" w:rsidR="005F0BA9" w:rsidRDefault="005F0BA9" w:rsidP="00304E3A">
      <w:pPr>
        <w:pStyle w:val="ReportText"/>
        <w:spacing w:before="120" w:after="120"/>
      </w:pPr>
      <w:r>
        <w:t xml:space="preserve">Przeprowadzana kampania informacyjno-promocyjna służy rozpowszechnieniu wiedzy o planach zarządzania ryzykiem powodziowym i jest elementem szerokiego informowania społeczeństwa. Działania objęte kampanią dotyczą informowania, zarówno grup interesariuszy bezpośrednio związanych z planami, jak również ogółu społeczeństwa. Jest to najważniejsze ogniwo wpierające proces konsultacji społecznych w dotarciu z informacją o planach do interesariuszy. </w:t>
      </w:r>
    </w:p>
    <w:p w14:paraId="719190DE" w14:textId="77777777" w:rsidR="005F0BA9" w:rsidRDefault="005F0BA9" w:rsidP="005F0BA9">
      <w:pPr>
        <w:pStyle w:val="ReportLevel2"/>
        <w:numPr>
          <w:ilvl w:val="1"/>
          <w:numId w:val="9"/>
        </w:numPr>
      </w:pPr>
      <w:bookmarkStart w:id="239" w:name="_Toc80604882"/>
      <w:r>
        <w:lastRenderedPageBreak/>
        <w:t>Grupy docelowe</w:t>
      </w:r>
      <w:bookmarkEnd w:id="239"/>
    </w:p>
    <w:p w14:paraId="786F8CD5" w14:textId="77777777" w:rsidR="005F0BA9" w:rsidRDefault="005F0BA9" w:rsidP="005F0BA9">
      <w:pPr>
        <w:pStyle w:val="ReportText"/>
      </w:pPr>
      <w:r>
        <w:t>Interesariusze - inaczej grupy docelowe stanowi szerokie grono odbiorców począwszy od ekspertów, przez pracowników administracji, aż po ogół społeczeństwa. Główny podział tak różnorodnej grupy może zostać dokonany ze względu na poziom zaangażowania we współtworzenie planów zarządzania ryzykiem powodziowym. Wyróżniono dwie podstawowe grupy docelowe interesariuszy: bezpośrednio zainteresowaną planami oraz ogół społeczeństwa.</w:t>
      </w:r>
    </w:p>
    <w:p w14:paraId="6A7AAEB4" w14:textId="77777777" w:rsidR="005F0BA9" w:rsidRPr="00EE5488" w:rsidRDefault="005F0BA9" w:rsidP="005F0BA9">
      <w:pPr>
        <w:pStyle w:val="ReportText"/>
        <w:rPr>
          <w:b/>
          <w:bCs/>
        </w:rPr>
      </w:pPr>
      <w:r w:rsidRPr="00EE5488">
        <w:rPr>
          <w:b/>
          <w:bCs/>
        </w:rPr>
        <w:t>Grupa bezpośrednio zainteresowana planami</w:t>
      </w:r>
    </w:p>
    <w:p w14:paraId="7F8D1BCF" w14:textId="77777777" w:rsidR="005F0BA9" w:rsidRDefault="005F0BA9" w:rsidP="005F0BA9">
      <w:pPr>
        <w:pStyle w:val="ReportText"/>
      </w:pPr>
      <w:r>
        <w:t>Są to osoby związane zawodowo z gospodarką wodną, pracujące w organach administracji, eksperci. Typologia potencjalnych interesariuszy wygląda następująco:</w:t>
      </w:r>
    </w:p>
    <w:p w14:paraId="6370CE08" w14:textId="77777777" w:rsidR="005F0BA9" w:rsidRDefault="005F0BA9" w:rsidP="005F0BA9">
      <w:pPr>
        <w:pStyle w:val="ReportText"/>
      </w:pPr>
      <w:r>
        <w:t>• Specjaliści - mogą to być m.in. organizacje sektora publicznego i prywatnego, profesjonalne grupy pozarządowe (społeczne, gospodarcze i środowiskowe); znajdą się tu również grupy biznesowe, ubezpieczeniowe czy środowiska akademickie.</w:t>
      </w:r>
    </w:p>
    <w:p w14:paraId="799CF03B" w14:textId="77777777" w:rsidR="005F0BA9" w:rsidRDefault="005F0BA9" w:rsidP="005F0BA9">
      <w:pPr>
        <w:pStyle w:val="ReportText"/>
      </w:pPr>
      <w:r>
        <w:t>• Władze – wybrani reprezentanci departamentów organów rządowych i władz samorządowych związanych z ochroną przeciwpowodziową i odpowiedzialnych za nie, a także lokalne autorytety.</w:t>
      </w:r>
    </w:p>
    <w:p w14:paraId="14B8F3C8" w14:textId="77777777" w:rsidR="005F0BA9" w:rsidRDefault="005F0BA9" w:rsidP="005F0BA9">
      <w:pPr>
        <w:pStyle w:val="ReportText"/>
      </w:pPr>
      <w:r>
        <w:t>• Grupy lokalne - niezorganizowane podmioty działające na poziomie lokalnym np. stowarzyszenia i rady lokalne.</w:t>
      </w:r>
    </w:p>
    <w:p w14:paraId="166D0C50" w14:textId="77777777" w:rsidR="005F0BA9" w:rsidRDefault="005F0BA9" w:rsidP="005F0BA9">
      <w:pPr>
        <w:pStyle w:val="ReportText"/>
      </w:pPr>
      <w:r>
        <w:t>• Społeczności skoncentrowane na zainteresowaniach – grupy rolników, deweloperów, mieszkańców obszarów zagrożonych powodzią itp.</w:t>
      </w:r>
    </w:p>
    <w:p w14:paraId="707E0591" w14:textId="77777777" w:rsidR="005F0BA9" w:rsidRDefault="005F0BA9" w:rsidP="005F0BA9">
      <w:pPr>
        <w:pStyle w:val="ReportText"/>
      </w:pPr>
      <w:r>
        <w:t>Do grupy osób bezpośrednio zainteresowanych planami możemy zaliczyć mieszkańców obszarów zagrożonych powodzią lub w przeszłości dotkniętych powodzią, dla których zwiększenie świadomości o opracowywanych dokumentach planistycznych i ich realnych konsekwencjach (np. zakazy/ ograniczenia zabudowy) jest niezwykle istotne.</w:t>
      </w:r>
    </w:p>
    <w:p w14:paraId="2DA887D5" w14:textId="77777777" w:rsidR="005F0BA9" w:rsidRPr="00EE5488" w:rsidRDefault="005F0BA9" w:rsidP="005F0BA9">
      <w:pPr>
        <w:pStyle w:val="ReportText"/>
        <w:rPr>
          <w:b/>
          <w:bCs/>
        </w:rPr>
      </w:pPr>
      <w:r w:rsidRPr="00EE5488">
        <w:rPr>
          <w:b/>
          <w:bCs/>
        </w:rPr>
        <w:t>Społeczeństwo</w:t>
      </w:r>
    </w:p>
    <w:p w14:paraId="356FCF78" w14:textId="77777777" w:rsidR="005F0BA9" w:rsidRDefault="005F0BA9" w:rsidP="005F0BA9">
      <w:pPr>
        <w:pStyle w:val="ReportText"/>
      </w:pPr>
      <w:r>
        <w:t>Drugą grupą jest szeroko rozumiane społeczeństwo (w tym dzieci i młodzież oraz studenci), do której będą skierowane działania informacyjno-promocyjne oraz kampania edukacyjna. Ta grupa nie jest bezpośrednio związana z planami, jednak podniesienie świadomości i wiedzy na temat zagrożenia i ryzyka powodziowego oraz podejmowanych w tym kontekście działań jest niezmiernie istotne dla kształtowania właściwych i świadomych postaw obywatelskich w przyszłości.</w:t>
      </w:r>
    </w:p>
    <w:p w14:paraId="0FD0299D" w14:textId="77777777" w:rsidR="00304E3A" w:rsidRDefault="00304E3A">
      <w:pPr>
        <w:rPr>
          <w:b/>
          <w:color w:val="28AAE1"/>
          <w:sz w:val="36"/>
          <w:szCs w:val="20"/>
          <w:lang w:eastAsia="en-US"/>
        </w:rPr>
      </w:pPr>
      <w:r>
        <w:br w:type="page"/>
      </w:r>
    </w:p>
    <w:p w14:paraId="385459C6" w14:textId="42213A8E" w:rsidR="005F0BA9" w:rsidRDefault="005F0BA9" w:rsidP="005F0BA9">
      <w:pPr>
        <w:pStyle w:val="ReportLevel1"/>
        <w:numPr>
          <w:ilvl w:val="0"/>
          <w:numId w:val="9"/>
        </w:numPr>
      </w:pPr>
      <w:bookmarkStart w:id="240" w:name="_Toc80604883"/>
      <w:r>
        <w:lastRenderedPageBreak/>
        <w:t>Wykaz organów właściwych w sprawach zarządzania ryzykiem powodziowym</w:t>
      </w:r>
      <w:bookmarkEnd w:id="240"/>
      <w:r>
        <w:t xml:space="preserve"> </w:t>
      </w:r>
    </w:p>
    <w:p w14:paraId="1704D77A" w14:textId="77777777" w:rsidR="005F0BA9" w:rsidRPr="00B6783C" w:rsidRDefault="005F0BA9" w:rsidP="005F0BA9">
      <w:pPr>
        <w:pStyle w:val="ReportText"/>
        <w:spacing w:before="120" w:after="120"/>
      </w:pPr>
      <w:r w:rsidRPr="00B6783C">
        <w:t xml:space="preserve">W </w:t>
      </w:r>
      <w:r>
        <w:t>Polsce w</w:t>
      </w:r>
      <w:r w:rsidRPr="00B6783C">
        <w:t xml:space="preserve"> ochronę przed powodzią zaangażowanych</w:t>
      </w:r>
      <w:r>
        <w:t xml:space="preserve"> jest</w:t>
      </w:r>
      <w:r w:rsidRPr="00B6783C">
        <w:t xml:space="preserve"> </w:t>
      </w:r>
      <w:r>
        <w:t>wiele</w:t>
      </w:r>
      <w:r w:rsidRPr="00B6783C">
        <w:t xml:space="preserve"> instytucji</w:t>
      </w:r>
      <w:r>
        <w:t>, zarówno na szczeblu</w:t>
      </w:r>
      <w:r w:rsidRPr="00B6783C">
        <w:t xml:space="preserve"> administracji państwowej </w:t>
      </w:r>
      <w:r>
        <w:t xml:space="preserve">jak </w:t>
      </w:r>
      <w:r w:rsidRPr="00B6783C">
        <w:t xml:space="preserve">i samorządowej. Ustawa Prawo wodne </w:t>
      </w:r>
      <w:r>
        <w:t>definiuje</w:t>
      </w:r>
      <w:r w:rsidRPr="00B6783C">
        <w:t>, ochron</w:t>
      </w:r>
      <w:r>
        <w:t>ę</w:t>
      </w:r>
      <w:r w:rsidRPr="00B6783C">
        <w:t xml:space="preserve"> przed powodzią j</w:t>
      </w:r>
      <w:r>
        <w:t>ako</w:t>
      </w:r>
      <w:r w:rsidRPr="00B6783C">
        <w:t xml:space="preserve"> zadanie Wód Polskich oraz organów administracji rządowej i samorządowej. </w:t>
      </w:r>
      <w:r>
        <w:t>Jednocześnie</w:t>
      </w:r>
      <w:r w:rsidRPr="00B6783C">
        <w:t xml:space="preserve"> podkreś</w:t>
      </w:r>
      <w:r>
        <w:t xml:space="preserve">lana jest </w:t>
      </w:r>
      <w:r w:rsidRPr="00B6783C">
        <w:t>m.in. rol</w:t>
      </w:r>
      <w:r>
        <w:t>a</w:t>
      </w:r>
      <w:r w:rsidRPr="00B6783C">
        <w:t xml:space="preserve"> kształtowania zagospodarowania przestrzennego, ochrony i odtwarzania systemów naturalnej i sztucznej retencji wód czy systemu ostrzegania przed powodzią. Ochrona przed powodzią leży w kompetencjach wielu instytucji, a zakres ich odpowiedzialności definiuje wiele aktów prawnych, z których najważniejsze, to wspomniana wyżej ustawa Prawo wodne, </w:t>
      </w:r>
      <w:r>
        <w:t>a także</w:t>
      </w:r>
      <w:r w:rsidRPr="00B6783C">
        <w:t xml:space="preserve"> ustawa z dnia 26 kwietnia 2007 r.</w:t>
      </w:r>
      <w:r>
        <w:t xml:space="preserve"> </w:t>
      </w:r>
      <w:r w:rsidRPr="00B6783C">
        <w:t>o zarządzaniu kryzysowym (</w:t>
      </w:r>
      <w:r w:rsidRPr="002A3F9C">
        <w:t>Dz.U. 2020 poz. 1856</w:t>
      </w:r>
      <w:r w:rsidRPr="00B6783C">
        <w:t xml:space="preserve">), ustawa o wojewodzie i administracji rządowej w województwie, ustawy o samorządzie wojewódzkim, powiatowym i gminnym, </w:t>
      </w:r>
      <w:r>
        <w:t>oraz</w:t>
      </w:r>
      <w:r w:rsidRPr="00B6783C">
        <w:t xml:space="preserve"> ustawa o obszarach morskich RP i administracji morskiej.</w:t>
      </w:r>
    </w:p>
    <w:p w14:paraId="2FCB0EEE" w14:textId="77777777" w:rsidR="005F0BA9" w:rsidRDefault="005F0BA9" w:rsidP="005F0BA9">
      <w:pPr>
        <w:pStyle w:val="ReportText"/>
      </w:pPr>
      <w:r w:rsidRPr="00EA67AF">
        <w:t xml:space="preserve">Poniżej opisano rolę głównych instytucji zaangażowanych w ochronę przed powodzią w kraju (stan prawny na </w:t>
      </w:r>
      <w:r>
        <w:t>20</w:t>
      </w:r>
      <w:r w:rsidRPr="00EA67AF">
        <w:t>.</w:t>
      </w:r>
      <w:r>
        <w:t>08</w:t>
      </w:r>
      <w:r w:rsidRPr="00EA67AF">
        <w:t xml:space="preserve">.2020 r.). </w:t>
      </w:r>
    </w:p>
    <w:p w14:paraId="1C088F5D" w14:textId="77777777" w:rsidR="005F0BA9" w:rsidRPr="00B15681" w:rsidRDefault="005F0BA9" w:rsidP="005F0BA9">
      <w:pPr>
        <w:pStyle w:val="ReportText"/>
        <w:spacing w:before="120"/>
        <w:rPr>
          <w:b/>
          <w:bCs/>
        </w:rPr>
      </w:pPr>
      <w:r w:rsidRPr="00B15681">
        <w:rPr>
          <w:b/>
          <w:bCs/>
        </w:rPr>
        <w:t xml:space="preserve">Rada Ministrów </w:t>
      </w:r>
    </w:p>
    <w:p w14:paraId="0F70A088" w14:textId="77777777" w:rsidR="005F0BA9" w:rsidRDefault="005F0BA9" w:rsidP="005F0BA9">
      <w:pPr>
        <w:pStyle w:val="ReportText"/>
      </w:pPr>
      <w:r w:rsidRPr="00EA67AF">
        <w:t>Na podstawie Art. 7. ustawy z dnia 26 kwietnia 2007 r. o zarządzaniu kryzysowym (Dz.U. 2020 poz. 1856), Rada Ministrów sprawuje zarządzanie kryzysowe na terytorium Rzeczypospolitej Polskiej. w przypadkach niecierpiących zwłoki zarządzanie kryzysowe sprawuje minister właściwy do spraw wewnętrznych, zawiadamiając niezwłocznie o swoich działaniach Prezesa Rady Ministrów. Decyzje podjęte przez ministra podlegają rozpatrzeniu na najbliższym posiedzeniu Rady Ministrów. Prezesowi Rady Ministrów podlega Rządowe Centrum Bezpieczeństwa</w:t>
      </w:r>
      <w:r>
        <w:t xml:space="preserve"> (Art. 10)</w:t>
      </w:r>
      <w:r w:rsidRPr="00EA67AF">
        <w:t xml:space="preserve">. </w:t>
      </w:r>
    </w:p>
    <w:p w14:paraId="6ECB284B" w14:textId="77777777" w:rsidR="005F0BA9" w:rsidRPr="00B31864" w:rsidRDefault="005F0BA9" w:rsidP="005F0BA9">
      <w:pPr>
        <w:pStyle w:val="ReportText"/>
        <w:spacing w:before="120"/>
        <w:rPr>
          <w:b/>
          <w:bCs/>
        </w:rPr>
      </w:pPr>
      <w:r w:rsidRPr="00B31864">
        <w:rPr>
          <w:b/>
          <w:bCs/>
        </w:rPr>
        <w:t xml:space="preserve">Minister właściwy do spraw gospodarki wodnej </w:t>
      </w:r>
    </w:p>
    <w:p w14:paraId="02D5A981" w14:textId="77777777" w:rsidR="005F0BA9" w:rsidRDefault="005F0BA9" w:rsidP="005F0BA9">
      <w:pPr>
        <w:pStyle w:val="ReportText"/>
      </w:pPr>
      <w:r w:rsidRPr="00EA67AF">
        <w:t xml:space="preserve">Sprawuje kontrolę nad działalnością Prezesa Państwowego Gospodarstwa Wodnego Wody Polskie. w zakresie planowania w ochronie przeciwpowodziowej realizuje wskazane poniżej zadania. Minister zatwierdza i przekazuje do publicznej wiadomości oraz udostępnia Komisji Europejskiej wstępną ocenę ryzyka powodziowego i jej przeglądy. Do kompetencji Ministra należy również zatwierdzanie projektów map zagrożenia powodziowego i map ryzyka powodziowego. Są one następnie przekazywane w postaci elektronicznej Głównemu Geodecie Kraju, właściwemu organowi Inspekcji Ochrony Środowiska, dyrektorowi Rządowego Centrum Bezpieczeństwa, Wodom Polskim, Komendantowi Głównemu Państwowej Straży Pożarnej, właściwym wojewodom, właściwym marszałkom województw, właściwym starostom, właściwym wójtom, burmistrzom lub prezydentom miast, właściwym komendantom wojewódzkim i powiatowym (miejskim) Państwowej Straży Pożarnej, właściwym dyrektorom urzędów żeglugi śródlądowej oraz właściwym dyrektorom urzędów morskich, właściwym zarządcom infrastruktury kolejowej oraz właściwym zarządcom dróg publicznych. Minister podaje do publicznej wiadomości mapy zagrożenia powodziowego i mapy ryzyka powodziowego przez ich umieszczenie na stronie podmiotowej Biuletynu Informacji Publicznej ministerstwa. Ponadto Minister właściwy do spraw gospodarki wodnej, zapewniając aktywny udział wszystkich zainteresowanych w osiągnięciu celów zarządzania ryzykiem powodziowym, w szczególności w przygotowywaniu, przeglądzie </w:t>
      </w:r>
      <w:r w:rsidRPr="00EA67AF">
        <w:lastRenderedPageBreak/>
        <w:t xml:space="preserve">oraz aktualizacji planów zarządzania ryzykiem powodziowym, podaje do publicznej wiadomości, na zasadach i w trybie określonych w przepisach ustawy z dnia 3 października 2008 r. o udostępnianiu informacji o środowisku i jego ochronie, udziale społeczeństwa w ochronie środowiska oraz o ocenach oddziaływania na środowisko, w celu zgłoszenia uwag, projekty planów zarządzania ryzykiem powodziowym co najmniej na rok przed rozpoczęciem okresu, którego dotyczą te plany. Minister w drodze rozporządzenia, przyjmuje plany zarządzania ryzykiem powodziowym oraz ich aktualizacje, kierując się koniecznością zapewnienia skutecznej ochrony przed powodzią. Minister udostępnia plany zarządzania ryzykiem powodziowym Komisji Europejskiej. </w:t>
      </w:r>
    </w:p>
    <w:p w14:paraId="59D46ED6" w14:textId="77777777" w:rsidR="005F0BA9" w:rsidRPr="00B31864" w:rsidRDefault="005F0BA9" w:rsidP="005F0BA9">
      <w:pPr>
        <w:pStyle w:val="ReportText"/>
        <w:spacing w:before="120"/>
        <w:rPr>
          <w:b/>
          <w:bCs/>
        </w:rPr>
      </w:pPr>
      <w:r w:rsidRPr="00B31864">
        <w:rPr>
          <w:b/>
          <w:bCs/>
        </w:rPr>
        <w:t xml:space="preserve">Minister właściwy do spraw wewnętrznych </w:t>
      </w:r>
    </w:p>
    <w:p w14:paraId="45ACF1B1" w14:textId="77777777" w:rsidR="005F0BA9" w:rsidRPr="00B6783C" w:rsidRDefault="005F0BA9" w:rsidP="005F0BA9">
      <w:pPr>
        <w:pStyle w:val="ReportText"/>
        <w:spacing w:before="0" w:after="120"/>
      </w:pPr>
      <w:r>
        <w:t>W jego kompetencjach leży m.in.</w:t>
      </w:r>
      <w:r w:rsidRPr="00B6783C">
        <w:t xml:space="preserve"> zarządzanie kryzysowe. </w:t>
      </w:r>
      <w:r>
        <w:t>Ministrowi podlegają:</w:t>
      </w:r>
      <w:r w:rsidRPr="00B6783C">
        <w:t xml:space="preserve"> Szef Obrony Cywilnej Kraju, Komendant Główn</w:t>
      </w:r>
      <w:r>
        <w:t>y</w:t>
      </w:r>
      <w:r w:rsidRPr="00B6783C">
        <w:t xml:space="preserve"> Państwowej Straży Pożarnej, Komendant Główn</w:t>
      </w:r>
      <w:r>
        <w:t>y</w:t>
      </w:r>
      <w:r w:rsidRPr="00B6783C">
        <w:t xml:space="preserve"> Policji i Komendant Główn</w:t>
      </w:r>
      <w:r>
        <w:t>y</w:t>
      </w:r>
      <w:r w:rsidRPr="00B6783C">
        <w:t xml:space="preserve"> Straży Granicznej. </w:t>
      </w:r>
      <w:r>
        <w:t>Minister z</w:t>
      </w:r>
      <w:r w:rsidRPr="00B6783C">
        <w:t xml:space="preserve">ajmuje się </w:t>
      </w:r>
      <w:r>
        <w:t xml:space="preserve">oceną </w:t>
      </w:r>
      <w:r w:rsidRPr="00B6783C">
        <w:t xml:space="preserve">bieżącą </w:t>
      </w:r>
      <w:r>
        <w:t xml:space="preserve">zagrożeń </w:t>
      </w:r>
      <w:r w:rsidRPr="00B6783C">
        <w:t xml:space="preserve">występujących na terenie kraju, w tym </w:t>
      </w:r>
      <w:r>
        <w:t xml:space="preserve">także </w:t>
      </w:r>
      <w:r w:rsidRPr="00B6783C">
        <w:t>zagrożeniami powodziowymi. Prowadzi sprawy usuwania skutków klęsk żywiołowych</w:t>
      </w:r>
      <w:r>
        <w:t xml:space="preserve"> (m.in.</w:t>
      </w:r>
      <w:r w:rsidRPr="00B6783C">
        <w:t xml:space="preserve"> zbiera informacje o stratach powodziowych</w:t>
      </w:r>
      <w:r>
        <w:t>).</w:t>
      </w:r>
    </w:p>
    <w:p w14:paraId="16C0FE00" w14:textId="77777777" w:rsidR="005F0BA9" w:rsidRPr="00B31864" w:rsidRDefault="005F0BA9" w:rsidP="005F0BA9">
      <w:pPr>
        <w:pStyle w:val="ReportText"/>
        <w:spacing w:before="120"/>
        <w:rPr>
          <w:b/>
          <w:bCs/>
        </w:rPr>
      </w:pPr>
      <w:r w:rsidRPr="00B31864">
        <w:rPr>
          <w:b/>
          <w:bCs/>
        </w:rPr>
        <w:t>Prezes Wód Polskich</w:t>
      </w:r>
    </w:p>
    <w:p w14:paraId="04DD12A8" w14:textId="77777777" w:rsidR="005F0BA9" w:rsidRDefault="005F0BA9" w:rsidP="005F0BA9">
      <w:pPr>
        <w:pStyle w:val="ReportText"/>
      </w:pPr>
      <w:r w:rsidRPr="00EA67AF">
        <w:t xml:space="preserve">Jest centralnym organem właściwym w sprawach gospodarowania wodami, nadzorowanym przez ministra właściwego do spraw gospodarki wodnej. Zgodnie z art. 163 ust. 2 ustawy Prawo wodne Wody Polskie zapewniają, w zakresie swojej właściwości, ochronę ludności i mienia przed powodzią wywołaną przez wody publiczne stanowiące własność Skarbu Państwa, o których mowa w art. 212 ust. 1 pkt 1 i 3 ustawy. Wody Polskie przygotowują skoordynowane w obszarze dorzeczy transgranicznych: wstępną ocenę ryzyka powodziowego (WORP), mapy zagrożenia powodziowego, mapy ryzyka powodziowego i plany zarządzania ryzykiem powodziowym dla obszarów dorzeczy, a także okresowe przeglądy i aktualizacje wymienionych dokumentów. Nadzorują również planowanie i realizację zadań związanych z utrzymywaniem wód i pozostałego mienia Skarbu Państwa związanego z gospodarką wodną, w tym obwałowań oraz obszaru międzywala, z wyłączeniem śródlądowych dróg wodnych o szczególnym znaczeniu transportowym. Ponadto realizują zadania obronne oraz zadania z zakresu zarządzania kryzysowego przekazane przez ministra właściwego ds. gospodarki wodnej. Prezes Wód Polskich pełni funkcję organu II stopnia w postępowaniach administracyjnych zgodnie z KPA, w tym dotyczących planowania na obszarach zagrożenia powodziowego. w ramach Państwowego Gospodarstwa Wodnego Wody Polskie działają następujące jednostki organizacyjne: Krajowy Zarząd Gospodarki Wodnej, regionalne zarządy gospodarki wodnej, zarządy zlewni, nadzory wodne. </w:t>
      </w:r>
    </w:p>
    <w:p w14:paraId="3021638A" w14:textId="77777777" w:rsidR="005F0BA9" w:rsidRPr="009741F2" w:rsidRDefault="005F0BA9" w:rsidP="005F0BA9">
      <w:pPr>
        <w:pStyle w:val="ReportText"/>
        <w:spacing w:before="120"/>
        <w:rPr>
          <w:b/>
          <w:bCs/>
        </w:rPr>
      </w:pPr>
      <w:r w:rsidRPr="009741F2">
        <w:rPr>
          <w:b/>
          <w:bCs/>
        </w:rPr>
        <w:t xml:space="preserve">Dyrektor urzędu morskiego </w:t>
      </w:r>
    </w:p>
    <w:p w14:paraId="0BF47AEE" w14:textId="77777777" w:rsidR="005F0BA9" w:rsidRDefault="005F0BA9" w:rsidP="005F0BA9">
      <w:pPr>
        <w:pStyle w:val="ReportText"/>
      </w:pPr>
      <w:r w:rsidRPr="00EA67AF">
        <w:t xml:space="preserve">Jest odpowiedzialny za zabezpieczenie brzegów morskich i ochronę przed powodziami od strony morza, zgodnie z Ustawą z dnia 21 marca 1991 r. o obszarach morskich RP i administracji morskiej </w:t>
      </w:r>
      <w:r w:rsidRPr="00B6783C">
        <w:t>(</w:t>
      </w:r>
      <w:r w:rsidRPr="00CB76B2">
        <w:t>Dz.U. z 2021 r. poz. 234</w:t>
      </w:r>
      <w:r w:rsidRPr="00B6783C">
        <w:t xml:space="preserve">), </w:t>
      </w:r>
      <w:r w:rsidRPr="00EA67AF">
        <w:t xml:space="preserve">w tym m.in. budowę i utrzymanie umocnień brzegowych w obrębie pasa technicznego, nadzoru nad zapewnieniem ochrony przed powodzią od strony wód morskich w tym poprzez budowę, rozbudowę i utrzymywanie budowli hydrotechnicznych oraz umocnień brzegowych w pasie technicznym oraz określanie warunków wykorzystania pasa technicznego (m.in. wydawanie pozwoleń na wykorzystanie pasa technicznego do celów innych niż ochronne oraz zwolnień z zakazu zabudowy, a także uzgadnianie decyzji o pozwoleniu na budowę </w:t>
      </w:r>
      <w:r w:rsidRPr="00EA67AF">
        <w:lastRenderedPageBreak/>
        <w:t xml:space="preserve">wydawanych przez wojewodę). Ponadto Dyrektor opracowuje projekty map zagrożenia powodziowego oraz map ryzyka powodziowego od strony morza, w tym morskich wód wewnętrznych i przekazuje do Wód Polskich. </w:t>
      </w:r>
    </w:p>
    <w:p w14:paraId="3D1CAF1D" w14:textId="77777777" w:rsidR="005F0BA9" w:rsidRPr="009741F2" w:rsidRDefault="005F0BA9" w:rsidP="005F0BA9">
      <w:pPr>
        <w:pStyle w:val="ReportText"/>
        <w:rPr>
          <w:b/>
          <w:bCs/>
        </w:rPr>
      </w:pPr>
      <w:r w:rsidRPr="009741F2">
        <w:rPr>
          <w:b/>
          <w:bCs/>
        </w:rPr>
        <w:t>Wojewoda</w:t>
      </w:r>
    </w:p>
    <w:p w14:paraId="1076BD49" w14:textId="77777777" w:rsidR="005F0BA9" w:rsidRDefault="005F0BA9" w:rsidP="005F0BA9">
      <w:pPr>
        <w:pStyle w:val="ReportText"/>
      </w:pPr>
      <w:r w:rsidRPr="00EA67AF">
        <w:t xml:space="preserve">Jest odpowiedzialny za działania z zakresu zarządzania kryzysowego bezpośrednio przed, w trakcie powodzi i w fazie powrotu do normalności, w tym dokonuje oceny stanu zabezpieczenia przeciwpowodziowego województwa oraz ogłasza i odwołuje pogotowie i alarm przeciwpowodziowy, także zapewnia współdziałanie wszystkich organów administracji rządowej i samorządowej działających w województwie i kieruje ich działalnością m.in. w zakresie zapobiegania zagrożeniu życia, zdrowia lub mienia, zagrożeniom środowiska oraz zapobiegania klęskom żywiołowym. Zgodnie z ustawą z dnia 23 stycznia 2009 r. o wojewodzie i administracji rządowej w województwie (Dz. U. 2019, poz. 1464) w zakresie planowania w ochronie powodziowej opiniuje projekty wstępnej oceny ryzyka powodziowego, uzgadnia projekty map zagrożenia powodziowego oraz map ryzyka powodziowego oraz uzgadnia projekty planów zarządzania ryzykiem powodziowym sporządzone przez Państwowe Gospodarstwo Wodne Wody Polskie. Uzgadnia również program realizacji zadań związanych z utrzymywaniem wód oraz pozostałego mienia Skarbu Państwa związanego z gospodarką wodną oraz planowanych inwestycji w gospodarce wodnej. Uwzględnia obszary szczególnego zagrożenia powodzią w decyzjach o ustaleniu lokalizacji linii kolejowej. </w:t>
      </w:r>
    </w:p>
    <w:p w14:paraId="36485384" w14:textId="77777777" w:rsidR="005F0BA9" w:rsidRPr="009741F2" w:rsidRDefault="005F0BA9" w:rsidP="005F0BA9">
      <w:pPr>
        <w:pStyle w:val="ReportText"/>
        <w:rPr>
          <w:b/>
          <w:bCs/>
        </w:rPr>
      </w:pPr>
      <w:r w:rsidRPr="009741F2">
        <w:rPr>
          <w:b/>
          <w:bCs/>
        </w:rPr>
        <w:t xml:space="preserve">Marszałek województwa </w:t>
      </w:r>
    </w:p>
    <w:p w14:paraId="0FB8B90F" w14:textId="77777777" w:rsidR="005F0BA9" w:rsidRDefault="005F0BA9" w:rsidP="005F0BA9">
      <w:pPr>
        <w:pStyle w:val="ReportText"/>
      </w:pPr>
      <w:r w:rsidRPr="00EA67AF">
        <w:t xml:space="preserve">Uwzględnia w planie zagospodarowania przestrzennego województwa oraz strategii rozwoju województwa ustalenia planów zarządzania ryzykiem powodziowym oraz obszary szczególnego zagrożenia powodzią przedstawione na mapach zagrożenia powodziowego oraz na mapach ryzyka powodziowego. Ponadto marszałek województwa sprawuje nadzór nad uwzględnieniem w dokumentach rangi lokalnej (studiach uwarunkowań i kierunków zagospodarowania przestrzennego gmin) kierunków działań związanych z ochroną przeciwpowodziową na terenach położonych poza obszarami szczególnego zagrożenia powodzią. </w:t>
      </w:r>
    </w:p>
    <w:p w14:paraId="3CA04094" w14:textId="77777777" w:rsidR="005F0BA9" w:rsidRPr="009741F2" w:rsidRDefault="005F0BA9" w:rsidP="005F0BA9">
      <w:pPr>
        <w:pStyle w:val="ReportText"/>
        <w:rPr>
          <w:b/>
          <w:bCs/>
        </w:rPr>
      </w:pPr>
      <w:r w:rsidRPr="009741F2">
        <w:rPr>
          <w:b/>
          <w:bCs/>
        </w:rPr>
        <w:t xml:space="preserve">Starosta </w:t>
      </w:r>
    </w:p>
    <w:p w14:paraId="6ADA3638" w14:textId="77777777" w:rsidR="005F0BA9" w:rsidRDefault="005F0BA9" w:rsidP="005F0BA9">
      <w:pPr>
        <w:pStyle w:val="ReportText"/>
      </w:pPr>
      <w:r w:rsidRPr="00EA67AF">
        <w:t xml:space="preserve">Jest odpowiedzialny za realizację zadań z zakresu planowania cywilnego m.in. w zakresie realizacji zaleceń do powiatowych planów zarządzania kryzysowego oraz za kierowanie monitorowaniem, planowaniem, reagowaniem i usuwaniem skutków zagrożeń na terenie powiatu zgodnie z Ustawą z dnia 26 kwietnia 2007 r. o zarządzaniu kryzysowym (Dz. U. z 2020 r. poz. 1856). Starosta opracowuje plan operacyjny ochrony przed powodzią oraz ogłasza lub odwołuje pogotowie i alarm przeciwpowodziowy na obszarze starostwa, bądź jego części. </w:t>
      </w:r>
    </w:p>
    <w:p w14:paraId="505EF4FC" w14:textId="77777777" w:rsidR="005F0BA9" w:rsidRPr="009741F2" w:rsidRDefault="005F0BA9" w:rsidP="005F0BA9">
      <w:pPr>
        <w:pStyle w:val="ReportText"/>
        <w:rPr>
          <w:b/>
          <w:bCs/>
        </w:rPr>
      </w:pPr>
      <w:r w:rsidRPr="009741F2">
        <w:rPr>
          <w:b/>
          <w:bCs/>
        </w:rPr>
        <w:t xml:space="preserve">Wójt, burmistrz </w:t>
      </w:r>
    </w:p>
    <w:p w14:paraId="65E93E16" w14:textId="77777777" w:rsidR="005F0BA9" w:rsidRDefault="005F0BA9" w:rsidP="005F0BA9">
      <w:pPr>
        <w:pStyle w:val="ReportText"/>
      </w:pPr>
      <w:r w:rsidRPr="00EA67AF">
        <w:t xml:space="preserve">Jest odpowiedzialny za opracowanie planów zarządzania kryzysowego i planów operacyjnych ochrony przed powodzią oraz za działania z zakresu zarządzania kryzysowego bezpośrednio przed, w trakcie powodzi i w fazie powrotu do normalności Opracowuje plan operacyjny ochrony przed powodzią oraz ogłasza lub odwołuje pogotowie i alarm przeciwpowodziowy w zakresie obszaru gminy, miasta bądź ich części. Jest odpowiedzialny za uwzględnienie obszarów szczególnego zagrożenia </w:t>
      </w:r>
      <w:r w:rsidRPr="00EA67AF">
        <w:lastRenderedPageBreak/>
        <w:t xml:space="preserve">powodzią w miejscowym planie zagospodarowania przestrzennego, decyzjach o ustaleniu lokalizacji inwestycji celu publicznego lub decyzjach o warunkach zabudowy, a także gminnych programach rewitalizacji. Uwzględnia w studium uwarunkowań i kierunków zagospodarowania przestrzennego gminy ustalenia planów zarządzania ryzykiem powodziowym oraz obszary szczególnego zagrożenia powodzią. </w:t>
      </w:r>
    </w:p>
    <w:p w14:paraId="3FFFCA54" w14:textId="77777777" w:rsidR="005F0BA9" w:rsidRDefault="005F0BA9" w:rsidP="005F0BA9">
      <w:pPr>
        <w:pStyle w:val="ReportText"/>
      </w:pPr>
      <w:r w:rsidRPr="00EA67AF">
        <w:t xml:space="preserve">Państwowa Służba Hydrologiczno-Meteorologiczna (PSHM) </w:t>
      </w:r>
    </w:p>
    <w:p w14:paraId="5301C76A" w14:textId="77777777" w:rsidR="005F0BA9" w:rsidRPr="00EA67AF" w:rsidRDefault="005F0BA9" w:rsidP="005F0BA9">
      <w:pPr>
        <w:pStyle w:val="ReportText"/>
      </w:pPr>
      <w:r w:rsidRPr="00EA67AF">
        <w:t>Uzupełnieniem wykazu struktur instytucjonalnych jest Państwowa Służba Hydrologiczno</w:t>
      </w:r>
      <w:r>
        <w:t>-</w:t>
      </w:r>
      <w:r w:rsidRPr="00EA67AF">
        <w:t>Meteorologiczna. Zgodnie z art. 370 ustawy Prawo wodne pełni ją Instytut Meteorologii i Gospodarki Wodnej – Państwowy Instytut Badawczy. Zadaniem PSHM jest prowadzenie obserwacji meteorologicznych i hydrologicznych, opracowywanie prognoz meteorologicznych i hydrologicznych oraz ostrzeganie przed nadzwyczajnymi zagrożeniami hydrologiczno</w:t>
      </w:r>
      <w:r>
        <w:t>-</w:t>
      </w:r>
      <w:r w:rsidRPr="00EA67AF">
        <w:t>meteorologicznymi. Wymienione wyżej instytucje nie tworzą kompletnej listy jednostek zaangażowanych w zarządzanie ryzykiem powodziowym. Istotną rolę odgrywają w nim również służby sanitarne, medyczne i mundurowe, organizacje pomocowe oraz zagrożeni ludzie i przedsiębiorcy, w których gestii są działania związane z zabezpieczaniem przed powodzią obiektów będących ich własnością oraz przygotowanie i reagowanie na powódź.</w:t>
      </w:r>
    </w:p>
    <w:p w14:paraId="78CD1C2A" w14:textId="77777777" w:rsidR="00F31701" w:rsidRDefault="00F31701">
      <w:pPr>
        <w:rPr>
          <w:b/>
          <w:color w:val="28AAE1"/>
          <w:sz w:val="36"/>
          <w:szCs w:val="20"/>
          <w:lang w:eastAsia="en-US"/>
        </w:rPr>
      </w:pPr>
      <w:r>
        <w:br w:type="page"/>
      </w:r>
    </w:p>
    <w:p w14:paraId="6012DE34" w14:textId="38A3A3BB" w:rsidR="00BD676A" w:rsidRPr="00BD676A" w:rsidRDefault="00BD676A" w:rsidP="00BD676A">
      <w:pPr>
        <w:pStyle w:val="ReportLevel1"/>
        <w:numPr>
          <w:ilvl w:val="0"/>
          <w:numId w:val="9"/>
        </w:numPr>
      </w:pPr>
      <w:bookmarkStart w:id="241" w:name="_Toc80604884"/>
      <w:r w:rsidRPr="00BD676A">
        <w:lastRenderedPageBreak/>
        <w:t>Koordynacja prac nad aPZRPM z innymi dokumentami planistycznymi w zakresie gospodarki wodnej</w:t>
      </w:r>
      <w:bookmarkEnd w:id="241"/>
    </w:p>
    <w:p w14:paraId="4EE34D34" w14:textId="77777777" w:rsidR="00BD676A" w:rsidRDefault="00BD676A" w:rsidP="00BD676A">
      <w:pPr>
        <w:pStyle w:val="ReportLevel2"/>
        <w:numPr>
          <w:ilvl w:val="1"/>
          <w:numId w:val="9"/>
        </w:numPr>
      </w:pPr>
      <w:bookmarkStart w:id="242" w:name="_Toc80604885"/>
      <w:r>
        <w:t>Koordynacja z II aPGW</w:t>
      </w:r>
      <w:bookmarkEnd w:id="242"/>
    </w:p>
    <w:p w14:paraId="01159558" w14:textId="77777777" w:rsidR="00BD676A" w:rsidRDefault="00BD676A" w:rsidP="00BD676A">
      <w:pPr>
        <w:pStyle w:val="ReportText"/>
        <w:spacing w:before="120" w:after="120"/>
      </w:pPr>
      <w:r>
        <w:t>Równolegle do aPZRPM trwają prace nad opracowaniem II aktualizacji Planów Gospodarowania Wodami na obszarach dorzeczy (II aPGW). Ramowa Dyrektywa Wodna (RDW) stanowi podstawę systemu ochrony wód powierzchniowych a także podziemnych w Polsce oraz w Unii Europejskiej. Kraje członkowskie na mocy RDW zobligowane są do cyklicznego (co 6 lat) opracowania i aktualizacji Planów Gospodarowania Wodami na obszarach dorzeczy. Celem planów jest dążenie do osiągnięcia lub utrzymania co najmniej dobrego stanu jednolitych części wód i ekosystemów od nich zależnych, poprawy stanu zasobów wodnych, poprawy możliwości korzystania z wód, zmniejszenia presji antropogenicznych i ich wpływu na stan wód.</w:t>
      </w:r>
    </w:p>
    <w:p w14:paraId="340EEF17" w14:textId="77777777" w:rsidR="00BD676A" w:rsidRDefault="00BD676A" w:rsidP="00BD676A">
      <w:pPr>
        <w:pStyle w:val="ReportText"/>
        <w:spacing w:before="120" w:after="120"/>
      </w:pPr>
      <w:r>
        <w:t>Plany gospodarowania wodami zawierają szereg informacji przyporządkowanych do jednostek planistycznych (jednolite części wód), jednakże w ramach prac aPZRPM w zakresie zapewnienia koordynacji i spójności główna uwaga skupiła się na aspektach związanych z:</w:t>
      </w:r>
    </w:p>
    <w:p w14:paraId="3BF71FF2" w14:textId="77777777" w:rsidR="00BD676A" w:rsidRDefault="00BD676A" w:rsidP="00BD676A">
      <w:pPr>
        <w:pStyle w:val="ReportText"/>
        <w:numPr>
          <w:ilvl w:val="0"/>
          <w:numId w:val="55"/>
        </w:numPr>
        <w:spacing w:before="120" w:after="120"/>
      </w:pPr>
      <w:r>
        <w:t>osiągnięciem celów środowiskowych;</w:t>
      </w:r>
    </w:p>
    <w:p w14:paraId="12915D0C" w14:textId="77777777" w:rsidR="00BD676A" w:rsidRDefault="00BD676A" w:rsidP="00BD676A">
      <w:pPr>
        <w:pStyle w:val="ReportText"/>
        <w:numPr>
          <w:ilvl w:val="0"/>
          <w:numId w:val="55"/>
        </w:numPr>
        <w:spacing w:before="120" w:after="120"/>
      </w:pPr>
      <w:r>
        <w:t>wskazaniem odstępstw od osiągnięcia celów środowiskowych;</w:t>
      </w:r>
    </w:p>
    <w:p w14:paraId="6DAB5426" w14:textId="77777777" w:rsidR="00BD676A" w:rsidRDefault="00BD676A" w:rsidP="00BD676A">
      <w:pPr>
        <w:pStyle w:val="ReportText"/>
        <w:numPr>
          <w:ilvl w:val="0"/>
          <w:numId w:val="55"/>
        </w:numPr>
        <w:spacing w:before="120" w:after="120"/>
      </w:pPr>
      <w:r>
        <w:t>wskazania wybranych jednostek planistycznych tworzących rejestr wykazów obszarów chronionych uwzględniający wykaz: obszarów przeznaczonych do ochrony siedlisk lub gatunków, o których mowa w przepisach ustawy z dnia 16 kwietnia 2004 r. o ochronie przyrody, dla których utrzymanie lub poprawa stanu wód jest ważnym czynnikiem w ich ochronie, jednolitych części wód przeznaczonych do poboru wody na potrzeby zaopatrzenia ludności w wodę przeznaczoną do spożycia przez ludzi, jednolitych części wód przeznaczonych do celów rekreacyjnych, w tym kąpieliskowych;</w:t>
      </w:r>
    </w:p>
    <w:p w14:paraId="60C817E2" w14:textId="77777777" w:rsidR="00BD676A" w:rsidRDefault="00BD676A" w:rsidP="00BD676A">
      <w:pPr>
        <w:pStyle w:val="ReportText"/>
        <w:numPr>
          <w:ilvl w:val="0"/>
          <w:numId w:val="55"/>
        </w:numPr>
        <w:spacing w:before="120" w:after="120"/>
      </w:pPr>
      <w:r>
        <w:t>zestawem działań z uwzględnieniem sposobów osiągania ustanawianych celów środowiskowych.</w:t>
      </w:r>
    </w:p>
    <w:p w14:paraId="77493076" w14:textId="77777777" w:rsidR="00BD676A" w:rsidRDefault="00BD676A" w:rsidP="00BD676A">
      <w:pPr>
        <w:pStyle w:val="ReportText"/>
        <w:spacing w:before="120" w:after="120"/>
      </w:pPr>
      <w:r>
        <w:t>Opracowywany dokument był koordynowany z opracowywanym równolegle II aPGW poprzez:</w:t>
      </w:r>
    </w:p>
    <w:p w14:paraId="4DD50645" w14:textId="77777777" w:rsidR="00BD676A" w:rsidRDefault="00BD676A" w:rsidP="00BD676A">
      <w:pPr>
        <w:pStyle w:val="ReportText"/>
        <w:numPr>
          <w:ilvl w:val="0"/>
          <w:numId w:val="55"/>
        </w:numPr>
        <w:spacing w:before="120" w:after="120"/>
      </w:pPr>
      <w:r>
        <w:t>analizę celów, zagrożeń oraz presji określonych w III cyklu planistycznym dla poszczególnych jednolitych części wód powierzchniowych;</w:t>
      </w:r>
    </w:p>
    <w:p w14:paraId="005E5206" w14:textId="77777777" w:rsidR="00BD676A" w:rsidRDefault="00BD676A" w:rsidP="00BD676A">
      <w:pPr>
        <w:pStyle w:val="ReportText"/>
        <w:numPr>
          <w:ilvl w:val="0"/>
          <w:numId w:val="55"/>
        </w:numPr>
        <w:spacing w:before="120" w:after="120"/>
      </w:pPr>
      <w:r>
        <w:t>skrupulatne przeprowadzenie oceny środowiskowej działań; rekomendowane po tej ocenie do realizacji działania nie zagrażają osiągnięciu celów środowiskowych wyznaczonych w III cyklu planistycznym.</w:t>
      </w:r>
    </w:p>
    <w:p w14:paraId="3D7D5233" w14:textId="77777777" w:rsidR="00BD676A" w:rsidRDefault="00BD676A" w:rsidP="00BD676A">
      <w:pPr>
        <w:pStyle w:val="ReportText"/>
        <w:spacing w:before="120" w:after="120"/>
      </w:pPr>
      <w:r>
        <w:t>Reasumując opracowanie aPZRPM koordynowane było z II aPGW w zakresie aktualizowanych w III cyklu planistycznym celów środowiskowych, zagrożeń oraz presji poszczególnych JCWP.</w:t>
      </w:r>
    </w:p>
    <w:p w14:paraId="0BC733D7" w14:textId="77777777" w:rsidR="00BD676A" w:rsidRDefault="00BD676A" w:rsidP="00BD676A">
      <w:pPr>
        <w:pStyle w:val="ReportText"/>
        <w:spacing w:before="120" w:after="120"/>
      </w:pPr>
      <w:r>
        <w:lastRenderedPageBreak/>
        <w:t>Zgodnie z zapisami ustawy Prawo wodne PGW ustalają działania zmierzające do poprawy lub utrzymania dobrego stanu wód na obszarach dorzeczy. W PGW określa się dwa typy działań: działania podstawowe oraz działania uzupełniające.</w:t>
      </w:r>
    </w:p>
    <w:p w14:paraId="741C81A4" w14:textId="77777777" w:rsidR="00BD676A" w:rsidRDefault="00BD676A" w:rsidP="00BD676A">
      <w:pPr>
        <w:pStyle w:val="ReportText"/>
        <w:spacing w:before="120" w:after="120"/>
      </w:pPr>
      <w:r>
        <w:t>Działania podstawowe są ukierunkowane na spełnienie minimalnych wymogów i obejmują:</w:t>
      </w:r>
    </w:p>
    <w:p w14:paraId="04A655CF" w14:textId="77777777" w:rsidR="00BD676A" w:rsidRDefault="00BD676A" w:rsidP="00BD676A">
      <w:pPr>
        <w:pStyle w:val="ReportText"/>
        <w:numPr>
          <w:ilvl w:val="0"/>
          <w:numId w:val="56"/>
        </w:numPr>
        <w:spacing w:before="120" w:after="120"/>
      </w:pPr>
      <w:r>
        <w:t>działania umożliwiające wdrożenie przepisów dotyczących ochrony wód, w szczególności działania:</w:t>
      </w:r>
    </w:p>
    <w:p w14:paraId="7C36A8F5" w14:textId="77777777" w:rsidR="00BD676A" w:rsidRDefault="00BD676A" w:rsidP="00BD676A">
      <w:pPr>
        <w:pStyle w:val="ReportText"/>
        <w:numPr>
          <w:ilvl w:val="0"/>
          <w:numId w:val="55"/>
        </w:numPr>
        <w:spacing w:before="120" w:after="120"/>
      </w:pPr>
      <w:r>
        <w:t>służące zaspokajaniu obecnych i przyszłych potrzeb wodnych w zakresie zaopatrzenia ludności w wodę przeznaczoną do spożycia przez ludzi;</w:t>
      </w:r>
    </w:p>
    <w:p w14:paraId="57FCB923" w14:textId="77777777" w:rsidR="00BD676A" w:rsidRDefault="00BD676A" w:rsidP="00BD676A">
      <w:pPr>
        <w:pStyle w:val="ReportText"/>
        <w:numPr>
          <w:ilvl w:val="0"/>
          <w:numId w:val="55"/>
        </w:numPr>
        <w:spacing w:before="120" w:after="120"/>
      </w:pPr>
      <w:r>
        <w:t>ochronie siedlisk lub gatunków zgodnie z przepisami ustawy z dnia 16 kwietnia 2004 r. o ochronie przyrody;</w:t>
      </w:r>
    </w:p>
    <w:p w14:paraId="1557508E" w14:textId="77777777" w:rsidR="00BD676A" w:rsidRDefault="00BD676A" w:rsidP="00BD676A">
      <w:pPr>
        <w:pStyle w:val="ReportText"/>
        <w:numPr>
          <w:ilvl w:val="0"/>
          <w:numId w:val="55"/>
        </w:numPr>
        <w:spacing w:before="120" w:after="120"/>
      </w:pPr>
      <w:r>
        <w:t>kontroli zagrożeń wypadkami z udziałem substancji niebezpiecznych w rozumieniu przepisów ustawy z dnia 27 kwietnia 2001 r. – Prawo ochrony środowiska;</w:t>
      </w:r>
    </w:p>
    <w:p w14:paraId="51BA0D16" w14:textId="77777777" w:rsidR="00BD676A" w:rsidRDefault="00BD676A" w:rsidP="00BD676A">
      <w:pPr>
        <w:pStyle w:val="ReportText"/>
        <w:numPr>
          <w:ilvl w:val="0"/>
          <w:numId w:val="55"/>
        </w:numPr>
        <w:spacing w:before="120" w:after="120"/>
      </w:pPr>
      <w:r>
        <w:t>właściwemu wykorzystaniu osadów ściekowych;</w:t>
      </w:r>
    </w:p>
    <w:p w14:paraId="6994D2FE" w14:textId="77777777" w:rsidR="00BD676A" w:rsidRDefault="00BD676A" w:rsidP="00BD676A">
      <w:pPr>
        <w:pStyle w:val="ReportText"/>
        <w:numPr>
          <w:ilvl w:val="0"/>
          <w:numId w:val="55"/>
        </w:numPr>
        <w:spacing w:before="120" w:after="120"/>
      </w:pPr>
      <w:r>
        <w:t>zapobieganiu zanieczyszczeniu wód związkami azotu pochodzącymi ze źródeł rolniczych;</w:t>
      </w:r>
    </w:p>
    <w:p w14:paraId="0D6F377D" w14:textId="77777777" w:rsidR="00BD676A" w:rsidRDefault="00BD676A" w:rsidP="00BD676A">
      <w:pPr>
        <w:pStyle w:val="ReportText"/>
        <w:numPr>
          <w:ilvl w:val="0"/>
          <w:numId w:val="55"/>
        </w:numPr>
        <w:spacing w:before="120" w:after="120"/>
      </w:pPr>
      <w:r>
        <w:t>zapewnieniu, żeby nie wystąpił znaczny wzrost stężeń substancji priorytetowych wykazujących tendencję do akumulowania się w osadach lub faunie i florze;</w:t>
      </w:r>
    </w:p>
    <w:p w14:paraId="7EB06862" w14:textId="77777777" w:rsidR="00BD676A" w:rsidRDefault="00BD676A" w:rsidP="00BD676A">
      <w:pPr>
        <w:pStyle w:val="ReportText"/>
        <w:numPr>
          <w:ilvl w:val="0"/>
          <w:numId w:val="56"/>
        </w:numPr>
        <w:spacing w:before="120" w:after="120"/>
      </w:pPr>
      <w:r>
        <w:t>działania umożliwiające wdrożenie przepisów dotyczących ochrony wód związane z ocenami oddziaływania przedsięwzięć na środowisko oraz na obszar Natura 2000;</w:t>
      </w:r>
    </w:p>
    <w:p w14:paraId="50A17DB9" w14:textId="77777777" w:rsidR="00BD676A" w:rsidRDefault="00BD676A" w:rsidP="00BD676A">
      <w:pPr>
        <w:pStyle w:val="ReportText"/>
        <w:numPr>
          <w:ilvl w:val="0"/>
          <w:numId w:val="56"/>
        </w:numPr>
        <w:spacing w:before="120" w:after="120"/>
      </w:pPr>
      <w:r>
        <w:t>działania służące wdrożeniu zasady zwrotu kosztów usług wodnych uwzględniającej wkład wniesiony przez użytkowników wód oraz koszty środowiskowe i koszty zasobowe;</w:t>
      </w:r>
    </w:p>
    <w:p w14:paraId="5E610170" w14:textId="77777777" w:rsidR="00BD676A" w:rsidRDefault="00BD676A" w:rsidP="00BD676A">
      <w:pPr>
        <w:pStyle w:val="ReportText"/>
        <w:numPr>
          <w:ilvl w:val="0"/>
          <w:numId w:val="56"/>
        </w:numPr>
        <w:spacing w:before="120" w:after="120"/>
      </w:pPr>
      <w:r>
        <w:t>działania służące propagowaniu skutecznego i zrównoważonego korzystania z wody w celu niedopuszczenia do zagrożenia realizacji celów środowiskowych;</w:t>
      </w:r>
    </w:p>
    <w:p w14:paraId="4A8120B8" w14:textId="77777777" w:rsidR="00BD676A" w:rsidRDefault="00BD676A" w:rsidP="00BD676A">
      <w:pPr>
        <w:pStyle w:val="ReportText"/>
        <w:numPr>
          <w:ilvl w:val="0"/>
          <w:numId w:val="56"/>
        </w:numPr>
        <w:spacing w:before="120" w:after="120"/>
      </w:pPr>
      <w:r>
        <w:t>działania prewencyjne, ochronne i kontrolne, związane z ochroną wód przed zanieczyszczeniami pochodzącymi ze źródeł punktowych i obszarowych;</w:t>
      </w:r>
    </w:p>
    <w:p w14:paraId="56D1166C" w14:textId="77777777" w:rsidR="00BD676A" w:rsidRDefault="00BD676A" w:rsidP="00BD676A">
      <w:pPr>
        <w:pStyle w:val="ReportText"/>
        <w:numPr>
          <w:ilvl w:val="0"/>
          <w:numId w:val="56"/>
        </w:numPr>
        <w:spacing w:before="120" w:after="120"/>
      </w:pPr>
      <w:r>
        <w:t>działania uniemożliwiające znaczny wzrost stężeń substancji priorytetowych, określonych w przepisach wydanych na podstawie art. 114, charakteryzujących się zdolnością do akumulacji, w osadach lub organizmach żywych;</w:t>
      </w:r>
    </w:p>
    <w:p w14:paraId="2E56166F" w14:textId="77777777" w:rsidR="00BD676A" w:rsidRDefault="00BD676A" w:rsidP="00BD676A">
      <w:pPr>
        <w:pStyle w:val="ReportText"/>
        <w:numPr>
          <w:ilvl w:val="0"/>
          <w:numId w:val="56"/>
        </w:numPr>
        <w:spacing w:before="120" w:after="120"/>
      </w:pPr>
      <w:r>
        <w:t>działania podejmowane na rzecz optymalizowania zasad kształtowania zasobów wodnych i warunków korzystania z nich, w tym działania na rzecz kontroli poboru wody;</w:t>
      </w:r>
    </w:p>
    <w:p w14:paraId="37A77B10" w14:textId="77777777" w:rsidR="00BD676A" w:rsidRDefault="00BD676A" w:rsidP="00BD676A">
      <w:pPr>
        <w:pStyle w:val="ReportText"/>
        <w:numPr>
          <w:ilvl w:val="0"/>
          <w:numId w:val="56"/>
        </w:numPr>
        <w:spacing w:before="120" w:after="120"/>
      </w:pPr>
      <w:r>
        <w:t>ograniczanie poboru wód powierzchniowych i wód podziemnych z uwzględnieniem potrzeby rejestrowania poboru wód powierzchniowych i wód podziemnych oraz rejestrowania ograniczeń poboru;</w:t>
      </w:r>
    </w:p>
    <w:p w14:paraId="2F28ED61" w14:textId="77777777" w:rsidR="00BD676A" w:rsidRDefault="00BD676A" w:rsidP="00BD676A">
      <w:pPr>
        <w:pStyle w:val="ReportText"/>
        <w:numPr>
          <w:ilvl w:val="0"/>
          <w:numId w:val="56"/>
        </w:numPr>
        <w:spacing w:before="120" w:after="120"/>
      </w:pPr>
      <w:r>
        <w:t>ograniczanie sztucznego zasilania wód podziemnych, które jest dopuszczalne tylko przy założeniu, że dokonywany w tym celu pobór wody powierzchniowej lub wody podziemnej nie zagrozi osiągnięciu celów środowiskowych ustalonych dla wód zasilanych lub zasilających;</w:t>
      </w:r>
    </w:p>
    <w:p w14:paraId="5027708A" w14:textId="77777777" w:rsidR="00BD676A" w:rsidRDefault="00BD676A" w:rsidP="00BD676A">
      <w:pPr>
        <w:pStyle w:val="ReportText"/>
        <w:numPr>
          <w:ilvl w:val="0"/>
          <w:numId w:val="56"/>
        </w:numPr>
        <w:spacing w:before="120" w:after="120"/>
      </w:pPr>
      <w:r>
        <w:lastRenderedPageBreak/>
        <w:t>działania służące eliminowaniu lub ograniczaniu zanieczyszczeń ze źródeł obszarowych, w tym stanowienie przepisów prawa powszechnie obowiązującego;</w:t>
      </w:r>
    </w:p>
    <w:p w14:paraId="141530DB" w14:textId="77777777" w:rsidR="00BD676A" w:rsidRDefault="00BD676A" w:rsidP="00BD676A">
      <w:pPr>
        <w:pStyle w:val="ReportText"/>
        <w:numPr>
          <w:ilvl w:val="0"/>
          <w:numId w:val="56"/>
        </w:numPr>
        <w:spacing w:before="120" w:after="120"/>
      </w:pPr>
      <w:r>
        <w:t>działania służące temu, aby znaczące oddziaływania na stan wód, nieobjęte działaniami wymienionymi w pkt 1–10, zostały poprzedzone przedsięwzięciami zapewniającymi utrzymanie warunków hydromorfologicznych jednolitych części wód na takim poziomie, który umożliwi osiągnięcie wymaganego stanu ekologicznego lub dobrego potencjału ekologicznego, w przypadku sztucznych lub silnie zmienionych jednolitych części wód, z zachowaniem zasady zrównoważonego rozwoju;</w:t>
      </w:r>
    </w:p>
    <w:p w14:paraId="0C00096B" w14:textId="77777777" w:rsidR="00BD676A" w:rsidRDefault="00BD676A" w:rsidP="00BD676A">
      <w:pPr>
        <w:pStyle w:val="ReportText"/>
        <w:numPr>
          <w:ilvl w:val="0"/>
          <w:numId w:val="56"/>
        </w:numPr>
        <w:spacing w:before="120" w:after="120"/>
      </w:pPr>
      <w:r>
        <w:t>niewprowadzanie zanieczyszczeń bezpośrednio do wód podziemnych, rozumiane jako wprowadzanie w inny sposób niż przez przesiąkanie przez glebę i podglebie, z zastrzeżeniem wyjątków określonych w odrębnych przepisach, o ile nie zagrożą one osiągnięciu celów środowiskowych dla jednolitych części wód podziemnych;</w:t>
      </w:r>
    </w:p>
    <w:p w14:paraId="787608C3" w14:textId="77777777" w:rsidR="00BD676A" w:rsidRDefault="00BD676A" w:rsidP="00BD676A">
      <w:pPr>
        <w:pStyle w:val="ReportText"/>
        <w:numPr>
          <w:ilvl w:val="0"/>
          <w:numId w:val="56"/>
        </w:numPr>
        <w:spacing w:before="120" w:after="120"/>
      </w:pPr>
      <w:r>
        <w:t>działania służące eliminowaniu substancji priorytetowych z wód powierzchniowych oraz stopniowemu ograniczaniu innych zanieczyszczeń, jeżeli mogłyby one zagrozić osiągnięciu celów środowiskowych ustalonych dla tych wód;</w:t>
      </w:r>
    </w:p>
    <w:p w14:paraId="633B1833" w14:textId="77777777" w:rsidR="00BD676A" w:rsidRDefault="00BD676A" w:rsidP="00BD676A">
      <w:pPr>
        <w:pStyle w:val="ReportText"/>
        <w:numPr>
          <w:ilvl w:val="0"/>
          <w:numId w:val="56"/>
        </w:numPr>
        <w:spacing w:before="120" w:after="120"/>
      </w:pPr>
      <w:r>
        <w:t>działania zapobiegające uwalnianiu w znaczących ilościach substancji szczególnie szkodliwych dla środowiska wodnego z instalacji technicznych, a także służące zapobieganiu lub łagodzeniu skutków zanieczyszczeń niedających się przewidzieć, w tym przez stosowanie systemów wczesnego ostrzegania, a w przypadku zaistnienia niedających się przewidzieć okoliczności niezbędne środki dla zredukowania zagrożeń dla ekosystemów wodnych.</w:t>
      </w:r>
    </w:p>
    <w:p w14:paraId="6D1C4400" w14:textId="77777777" w:rsidR="00BD676A" w:rsidRDefault="00BD676A" w:rsidP="00BD676A">
      <w:pPr>
        <w:pStyle w:val="ReportText"/>
        <w:spacing w:before="120" w:after="120"/>
      </w:pPr>
      <w:r>
        <w:t>Należy również pamiętać, że realizacja działań podstawowych nie powinna powodować wzrostu zanieczyszczenia wód morskich, przyczyniać się bezpośrednio ani pośrednio do wzrostu zanieczyszczenia śródlądowych wód powierzchniowych, chyba że byłoby to z korzyścią dla środowiska jako całości.</w:t>
      </w:r>
    </w:p>
    <w:p w14:paraId="7069AE48" w14:textId="77777777" w:rsidR="00BD676A" w:rsidRDefault="00BD676A" w:rsidP="00BD676A">
      <w:pPr>
        <w:pStyle w:val="ReportText"/>
        <w:spacing w:before="120" w:after="120"/>
      </w:pPr>
      <w:r>
        <w:t>Działania uzupełniające działania podstawowe są ukierunkowane w szczególności na osiągnięcie celów środowiskowych i mogą wskazywać:</w:t>
      </w:r>
    </w:p>
    <w:p w14:paraId="214FEAC8" w14:textId="77777777" w:rsidR="00BD676A" w:rsidRDefault="00BD676A" w:rsidP="00BD676A">
      <w:pPr>
        <w:pStyle w:val="ReportText"/>
        <w:numPr>
          <w:ilvl w:val="0"/>
          <w:numId w:val="57"/>
        </w:numPr>
        <w:spacing w:before="120" w:after="120"/>
      </w:pPr>
      <w:r>
        <w:t>środki prawne, administracyjne i ekonomiczne niezbędne do zapewnienia optymalnego wdrożenia przyjętych działań;</w:t>
      </w:r>
    </w:p>
    <w:p w14:paraId="11EEC06B" w14:textId="77777777" w:rsidR="00BD676A" w:rsidRDefault="00BD676A" w:rsidP="00BD676A">
      <w:pPr>
        <w:pStyle w:val="ReportText"/>
        <w:numPr>
          <w:ilvl w:val="0"/>
          <w:numId w:val="57"/>
        </w:numPr>
        <w:spacing w:before="120" w:after="120"/>
      </w:pPr>
      <w:r>
        <w:t>wynegocjowane porozumienia dotyczące korzystania ze środowiska;</w:t>
      </w:r>
    </w:p>
    <w:p w14:paraId="0F588079" w14:textId="77777777" w:rsidR="00BD676A" w:rsidRDefault="00BD676A" w:rsidP="00BD676A">
      <w:pPr>
        <w:pStyle w:val="ReportText"/>
        <w:numPr>
          <w:ilvl w:val="0"/>
          <w:numId w:val="57"/>
        </w:numPr>
        <w:spacing w:before="120" w:after="120"/>
      </w:pPr>
      <w:r>
        <w:t>działania na rzecz ograniczenia emisji;</w:t>
      </w:r>
    </w:p>
    <w:p w14:paraId="51454CE4" w14:textId="77777777" w:rsidR="00BD676A" w:rsidRDefault="00BD676A" w:rsidP="00BD676A">
      <w:pPr>
        <w:pStyle w:val="ReportText"/>
        <w:numPr>
          <w:ilvl w:val="0"/>
          <w:numId w:val="57"/>
        </w:numPr>
        <w:spacing w:before="120" w:after="120"/>
      </w:pPr>
      <w:r>
        <w:t>zasady dobrej praktyki;</w:t>
      </w:r>
    </w:p>
    <w:p w14:paraId="6AA3A3BD" w14:textId="77777777" w:rsidR="00BD676A" w:rsidRDefault="00BD676A" w:rsidP="00BD676A">
      <w:pPr>
        <w:pStyle w:val="ReportText"/>
        <w:numPr>
          <w:ilvl w:val="0"/>
          <w:numId w:val="57"/>
        </w:numPr>
        <w:spacing w:before="120" w:after="120"/>
      </w:pPr>
      <w:r>
        <w:t>przywracanie i tworzenie terenów podmokłych;</w:t>
      </w:r>
    </w:p>
    <w:p w14:paraId="22CD6C7E" w14:textId="77777777" w:rsidR="00BD676A" w:rsidRDefault="00BD676A" w:rsidP="00BD676A">
      <w:pPr>
        <w:pStyle w:val="ReportText"/>
        <w:numPr>
          <w:ilvl w:val="0"/>
          <w:numId w:val="57"/>
        </w:numPr>
        <w:spacing w:before="120" w:after="120"/>
      </w:pPr>
      <w:r>
        <w:t>działania służące efektywnemu korzystaniu z wody i ponownemu jej wykorzystaniu, przede wszystkim promowanie technologii polegających na efektywnym wykorzystaniu wody w przemyśle i oszczędzających wodę technik nawadniania;</w:t>
      </w:r>
    </w:p>
    <w:p w14:paraId="3DC7E7A7" w14:textId="77777777" w:rsidR="00BD676A" w:rsidRDefault="00BD676A" w:rsidP="00BD676A">
      <w:pPr>
        <w:pStyle w:val="ReportText"/>
        <w:numPr>
          <w:ilvl w:val="0"/>
          <w:numId w:val="57"/>
        </w:numPr>
        <w:spacing w:before="120" w:after="120"/>
      </w:pPr>
      <w:r>
        <w:t>przedsięwzięcia techniczne, badawcze, rozwojowe, demonstracyjne i edukacyjne.</w:t>
      </w:r>
    </w:p>
    <w:p w14:paraId="390ECF41" w14:textId="77777777" w:rsidR="00BD676A" w:rsidRDefault="00BD676A" w:rsidP="00BD676A">
      <w:pPr>
        <w:pStyle w:val="ReportText"/>
        <w:spacing w:before="120" w:after="120"/>
      </w:pPr>
      <w:r>
        <w:t>Cele środowiskowe w Planach Gospodarowania Wodami określa się dla:</w:t>
      </w:r>
    </w:p>
    <w:p w14:paraId="0831C570" w14:textId="77777777" w:rsidR="00BD676A" w:rsidRDefault="00BD676A" w:rsidP="00BD676A">
      <w:pPr>
        <w:pStyle w:val="ReportText"/>
        <w:numPr>
          <w:ilvl w:val="0"/>
          <w:numId w:val="55"/>
        </w:numPr>
        <w:spacing w:before="120" w:after="120"/>
      </w:pPr>
      <w:r>
        <w:lastRenderedPageBreak/>
        <w:t>jednolitych części wód powierzchniowych niewyznaczonych jako sztuczne lub silnie zmienione;</w:t>
      </w:r>
    </w:p>
    <w:p w14:paraId="786FFE79" w14:textId="77777777" w:rsidR="00BD676A" w:rsidRDefault="00BD676A" w:rsidP="00BD676A">
      <w:pPr>
        <w:pStyle w:val="ReportText"/>
        <w:numPr>
          <w:ilvl w:val="0"/>
          <w:numId w:val="55"/>
        </w:numPr>
        <w:spacing w:before="120" w:after="120"/>
      </w:pPr>
      <w:r>
        <w:t>sztucznych i silnie zmienionych jednolitych części wód powierzchniowych;</w:t>
      </w:r>
    </w:p>
    <w:p w14:paraId="7B826F46" w14:textId="77777777" w:rsidR="00BD676A" w:rsidRDefault="00BD676A" w:rsidP="00BD676A">
      <w:pPr>
        <w:pStyle w:val="ReportText"/>
        <w:numPr>
          <w:ilvl w:val="0"/>
          <w:numId w:val="55"/>
        </w:numPr>
        <w:spacing w:before="120" w:after="120"/>
      </w:pPr>
      <w:r>
        <w:t>jednolitych części wód podziemnych;</w:t>
      </w:r>
    </w:p>
    <w:p w14:paraId="55F3D26E" w14:textId="77777777" w:rsidR="00BD676A" w:rsidRDefault="00BD676A" w:rsidP="00BD676A">
      <w:pPr>
        <w:pStyle w:val="ReportText"/>
        <w:numPr>
          <w:ilvl w:val="0"/>
          <w:numId w:val="55"/>
        </w:numPr>
        <w:spacing w:before="120" w:after="120"/>
      </w:pPr>
      <w:r>
        <w:t>obszarów chronionych.</w:t>
      </w:r>
    </w:p>
    <w:p w14:paraId="05DCA580" w14:textId="77777777" w:rsidR="00BD676A" w:rsidRDefault="00BD676A" w:rsidP="00BD676A">
      <w:pPr>
        <w:pStyle w:val="ReportText"/>
        <w:spacing w:before="120" w:after="120"/>
      </w:pPr>
      <w:r>
        <w:t>W myśl art. 56 i 57 ustawy Prawo wodne, celem środowiskowym dla jednolitych części wód powierzchniowych (JCWP):</w:t>
      </w:r>
    </w:p>
    <w:p w14:paraId="7CC5C350" w14:textId="77777777" w:rsidR="00BD676A" w:rsidRDefault="00BD676A" w:rsidP="00BD676A">
      <w:pPr>
        <w:pStyle w:val="ReportText"/>
        <w:numPr>
          <w:ilvl w:val="0"/>
          <w:numId w:val="55"/>
        </w:numPr>
        <w:spacing w:before="120" w:after="120"/>
      </w:pPr>
      <w:r>
        <w:t>„niewyznaczonych jako sztuczne lub silnie zmienione jest ochrona oraz poprawa ich stanu ekologicznego i stanu chemicznego, tak aby osiągnąć co najmniej dobry stan ekologiczny i dobry stan chemiczny wód powierzchniowych, a także zapobieganie pogorszeniu ich stanu ekologicznego i stanu chemicznego”;</w:t>
      </w:r>
    </w:p>
    <w:p w14:paraId="49E2CD85" w14:textId="77777777" w:rsidR="00BD676A" w:rsidRDefault="00BD676A" w:rsidP="00BD676A">
      <w:pPr>
        <w:pStyle w:val="ReportText"/>
        <w:numPr>
          <w:ilvl w:val="0"/>
          <w:numId w:val="55"/>
        </w:numPr>
        <w:spacing w:before="120" w:after="120"/>
      </w:pPr>
      <w:r>
        <w:t>„dla sztucznych i silnie zmienionych JCWP jest ochrona tych wód oraz poprawa ich potencjału ekologicznego i stanu chemicznego, tak aby osiągnąć co najmniej dobry potencjał ekologiczny i dobry stan chemiczny wód powierzchniowych, a także zapobieganie pogorszeniu ich potencjału ekologicznego oraz stanu chemicznego”.</w:t>
      </w:r>
    </w:p>
    <w:p w14:paraId="1CF35217" w14:textId="77777777" w:rsidR="00BD676A" w:rsidRDefault="00BD676A" w:rsidP="00BD676A">
      <w:pPr>
        <w:pStyle w:val="ReportText"/>
        <w:spacing w:before="120" w:after="120"/>
      </w:pPr>
      <w:r>
        <w:t>Zgodnie z ustawą Prawo wodne ochronę przed powodzią prowadzi się w sposób zapewniający koordynację z działaniami służącymi osiągnięciu celów środowiskowych i ochronie wód, w związku z tym dla potrzeb PZRP przeprowadza się analizę środowiskową przedsięwzięć i wariantów działań, mającą bezpośrednie przełożenie na proces planowania i koordynacji opracowania aktualizacji planów gospodarowania wodami.</w:t>
      </w:r>
    </w:p>
    <w:p w14:paraId="3DA10FFA" w14:textId="77777777" w:rsidR="00BD676A" w:rsidRDefault="00BD676A" w:rsidP="00BD676A">
      <w:pPr>
        <w:pStyle w:val="ReportText"/>
        <w:spacing w:before="120" w:after="120"/>
      </w:pPr>
      <w:r>
        <w:t>Kluczowym elementem w ramach koordynacji wdrażania Dyrektywy Powodziowej i Ramowej Dyrektywy Wodnej jest zachowanie spójności metodycznej i merytorycznej w opracowaniu analiz środowiskowych we wskazanych dokumentach planistycznych (PZRP i II aPGW).</w:t>
      </w:r>
    </w:p>
    <w:p w14:paraId="66EEB891" w14:textId="77777777" w:rsidR="00BD676A" w:rsidRDefault="00BD676A" w:rsidP="00BD676A">
      <w:pPr>
        <w:pStyle w:val="ReportText"/>
        <w:spacing w:before="120" w:after="120"/>
      </w:pPr>
      <w:r>
        <w:t>Ponadto w ramach przeprowadzonych na potrzeby aPZRPM analiz środowiskowych zapewniona została spójność z założeniami II aPGW poprzez uwzględnienie:</w:t>
      </w:r>
    </w:p>
    <w:p w14:paraId="6F2B8F34" w14:textId="77777777" w:rsidR="00BD676A" w:rsidRDefault="00BD676A" w:rsidP="00BD676A">
      <w:pPr>
        <w:pStyle w:val="ReportText"/>
        <w:numPr>
          <w:ilvl w:val="0"/>
          <w:numId w:val="55"/>
        </w:numPr>
        <w:spacing w:before="120" w:after="120"/>
      </w:pPr>
      <w:r>
        <w:t>aktualizacji podziału terytorialnego jednolitych części wód (JCW);</w:t>
      </w:r>
    </w:p>
    <w:p w14:paraId="7521B9BF" w14:textId="77777777" w:rsidR="00BD676A" w:rsidRDefault="00BD676A" w:rsidP="00BD676A">
      <w:pPr>
        <w:pStyle w:val="ReportText"/>
        <w:numPr>
          <w:ilvl w:val="0"/>
          <w:numId w:val="55"/>
        </w:numPr>
        <w:spacing w:before="120" w:after="120"/>
      </w:pPr>
      <w:r>
        <w:t>analizy identyfikacji znaczących oddziaływań antropogenicznych i oceny ich wpływu na stan wód powierzchniowych i podziemnych (Analiza presji);</w:t>
      </w:r>
    </w:p>
    <w:p w14:paraId="29DFB7F8" w14:textId="77777777" w:rsidR="00BD676A" w:rsidRDefault="00BD676A" w:rsidP="00BD676A">
      <w:pPr>
        <w:pStyle w:val="ReportText"/>
        <w:numPr>
          <w:ilvl w:val="0"/>
          <w:numId w:val="55"/>
        </w:numPr>
        <w:spacing w:before="120" w:after="120"/>
      </w:pPr>
      <w:r>
        <w:t>aktualizacji celów środowiskowych dla JCW oraz obszarów chronionych;</w:t>
      </w:r>
    </w:p>
    <w:p w14:paraId="06A16802" w14:textId="77777777" w:rsidR="00BD676A" w:rsidRDefault="00BD676A" w:rsidP="00BD676A">
      <w:pPr>
        <w:pStyle w:val="ReportText"/>
        <w:spacing w:before="120" w:after="120"/>
      </w:pPr>
      <w:r>
        <w:t>przeglądu i weryfikacji metodyk wyznaczania silnie zmienionych i sztucznych części wód powierzchniowych wraz ze wstępnym i ostatecznym wyznaczaniem.</w:t>
      </w:r>
    </w:p>
    <w:p w14:paraId="791FD011" w14:textId="77777777" w:rsidR="00BD676A" w:rsidRDefault="00BD676A" w:rsidP="00BD676A">
      <w:pPr>
        <w:pStyle w:val="ReportText"/>
        <w:spacing w:before="120" w:after="120"/>
      </w:pPr>
      <w:r>
        <w:t>Zgodnie z artykułem 66 ustawy Prawo wodne dopuszczalne są odstępstwa od tej zasady. w myśl tych przepisów dopuszczalne jest nieosiągnięcie dobrego stanu ekologicznego lub dobrego potencjału ekologicznego oraz niezapobieżenie pogorszeniu stanu ekologicznego lub potencjału ekologicznego, jeżeli jest ono skutkiem nowych zmian właściwości fizycznych jednolitych części wód powierzchniowych lub niezapobieżenie pogorszeniu stanu ekologicznego jednolitych części wód powierzchniowych ze stanu bardzo dobrego do dobrego lub niezapobieżenie pogorszeniu potencjału ekologicznego z maksymalnego do dobrego, jeżeli jest ono wynikiem nowych działań człowieka, zgodnych z zasadą zrównoważonego rozwoju i niezbędnych dla rozwoju społeczeństwa.</w:t>
      </w:r>
    </w:p>
    <w:p w14:paraId="0444904D" w14:textId="078F36C8" w:rsidR="00BD676A" w:rsidRDefault="00304E3A" w:rsidP="00BD676A">
      <w:pPr>
        <w:pStyle w:val="ReportLevel2"/>
        <w:numPr>
          <w:ilvl w:val="1"/>
          <w:numId w:val="9"/>
        </w:numPr>
      </w:pPr>
      <w:bookmarkStart w:id="243" w:name="_Toc80604886"/>
      <w:r>
        <w:lastRenderedPageBreak/>
        <w:t xml:space="preserve">Koordynacja z </w:t>
      </w:r>
      <w:r w:rsidR="00BD676A">
        <w:t>PPSS</w:t>
      </w:r>
      <w:bookmarkEnd w:id="243"/>
    </w:p>
    <w:p w14:paraId="556089C7" w14:textId="77777777" w:rsidR="00BD676A" w:rsidRDefault="00BD676A" w:rsidP="00BD676A">
      <w:pPr>
        <w:pStyle w:val="ReportText"/>
        <w:spacing w:before="120" w:after="120"/>
      </w:pPr>
      <w:r>
        <w:t>Projekt planu przeciwdziałania skutkom (PPSS) suszy sporządza się na podstawie art. 183-185 ustawy Prawo wodne. Zgodnie z art. 184 ust. 2 ustawy Prawo wodne, plan przeciwdziałania skutkom suszy obejmuje:</w:t>
      </w:r>
    </w:p>
    <w:p w14:paraId="73926CC9" w14:textId="77777777" w:rsidR="00BD676A" w:rsidRDefault="00BD676A" w:rsidP="00BD676A">
      <w:pPr>
        <w:pStyle w:val="ReportText"/>
        <w:numPr>
          <w:ilvl w:val="0"/>
          <w:numId w:val="55"/>
        </w:numPr>
        <w:spacing w:before="120" w:after="120"/>
      </w:pPr>
      <w:r>
        <w:t>analizę możliwości powiększenia dyspozycyjnych zasobów wodnych;</w:t>
      </w:r>
    </w:p>
    <w:p w14:paraId="53643E86" w14:textId="77777777" w:rsidR="00BD676A" w:rsidRDefault="00BD676A" w:rsidP="00BD676A">
      <w:pPr>
        <w:pStyle w:val="ReportText"/>
        <w:numPr>
          <w:ilvl w:val="0"/>
          <w:numId w:val="55"/>
        </w:numPr>
        <w:spacing w:before="120" w:after="120"/>
      </w:pPr>
      <w:r>
        <w:t>propozycje budowy lub przebudowy urządzeń wodnych;</w:t>
      </w:r>
    </w:p>
    <w:p w14:paraId="47BF7CE9" w14:textId="77777777" w:rsidR="00BD676A" w:rsidRDefault="00BD676A" w:rsidP="00BD676A">
      <w:pPr>
        <w:pStyle w:val="ReportText"/>
        <w:numPr>
          <w:ilvl w:val="0"/>
          <w:numId w:val="55"/>
        </w:numPr>
        <w:spacing w:before="120" w:after="120"/>
      </w:pPr>
      <w:r>
        <w:t>propozycje niezbędnych zmian w zakresie korzystania z zasobów wodnych oraz zmian naturalnej i sztucznej retencji;</w:t>
      </w:r>
    </w:p>
    <w:p w14:paraId="1827D582" w14:textId="77777777" w:rsidR="00BD676A" w:rsidRDefault="00BD676A" w:rsidP="00BD676A">
      <w:pPr>
        <w:pStyle w:val="ReportText"/>
        <w:numPr>
          <w:ilvl w:val="0"/>
          <w:numId w:val="55"/>
        </w:numPr>
        <w:spacing w:before="120" w:after="120"/>
      </w:pPr>
      <w:r>
        <w:t>działania służące przeciwdziałaniu skutkom suszy.</w:t>
      </w:r>
    </w:p>
    <w:p w14:paraId="4B368E0E" w14:textId="77777777" w:rsidR="00BD676A" w:rsidRDefault="00BD676A" w:rsidP="00BD676A">
      <w:pPr>
        <w:pStyle w:val="ReportText"/>
        <w:spacing w:before="120" w:after="120"/>
      </w:pPr>
      <w:r>
        <w:t>Cel główny, jakim jest przeciwdziałanie skutkom suszy doprecyzowany jest przez cele szczegółowe:</w:t>
      </w:r>
    </w:p>
    <w:p w14:paraId="06F480E9" w14:textId="77777777" w:rsidR="00BD676A" w:rsidRDefault="00BD676A" w:rsidP="00BD676A">
      <w:pPr>
        <w:pStyle w:val="ReportText"/>
        <w:numPr>
          <w:ilvl w:val="0"/>
          <w:numId w:val="55"/>
        </w:numPr>
        <w:spacing w:before="120" w:after="120"/>
      </w:pPr>
      <w:r>
        <w:t>skuteczne zarządzanie zasobami wodnymi dla zwiększenia dostępnych zasobów wodnych;</w:t>
      </w:r>
    </w:p>
    <w:p w14:paraId="6D022B9B" w14:textId="77777777" w:rsidR="00BD676A" w:rsidRDefault="00BD676A" w:rsidP="00BD676A">
      <w:pPr>
        <w:pStyle w:val="ReportText"/>
        <w:numPr>
          <w:ilvl w:val="0"/>
          <w:numId w:val="55"/>
        </w:numPr>
        <w:spacing w:before="120" w:after="120"/>
      </w:pPr>
      <w:r>
        <w:t>zwiększanie retencjonowania (magazynowania) wód;</w:t>
      </w:r>
    </w:p>
    <w:p w14:paraId="074FC5A9" w14:textId="77777777" w:rsidR="00BD676A" w:rsidRDefault="00BD676A" w:rsidP="00BD676A">
      <w:pPr>
        <w:pStyle w:val="ReportText"/>
        <w:numPr>
          <w:ilvl w:val="0"/>
          <w:numId w:val="55"/>
        </w:numPr>
        <w:spacing w:before="120" w:after="120"/>
      </w:pPr>
      <w:r>
        <w:t>edukacja w zakresie suszy i koordynacja działań powiązanych z suszą;</w:t>
      </w:r>
    </w:p>
    <w:p w14:paraId="1A5E8AAF" w14:textId="77777777" w:rsidR="00BD676A" w:rsidRDefault="00BD676A" w:rsidP="00BD676A">
      <w:pPr>
        <w:pStyle w:val="ReportText"/>
        <w:numPr>
          <w:ilvl w:val="0"/>
          <w:numId w:val="55"/>
        </w:numPr>
        <w:spacing w:before="120" w:after="120"/>
      </w:pPr>
      <w:r>
        <w:t>stworzenie mechanizmów realizacji i finansowania działań służących przeciwdziałaniu skutkom suszy.</w:t>
      </w:r>
    </w:p>
    <w:p w14:paraId="37FB2E72" w14:textId="77777777" w:rsidR="00BD676A" w:rsidRDefault="00BD676A" w:rsidP="00BD676A">
      <w:pPr>
        <w:pStyle w:val="ReportText"/>
        <w:spacing w:before="120" w:after="120"/>
      </w:pPr>
      <w:r>
        <w:t xml:space="preserve">Najważniejszym elementem PPSS jest katalog działań, w którym znajdują się konkretne, mierzalne rozwiązania, które należy wdrożyć w celu ograniczenia skutków suszy. Poprzez ten zbiór optymalnych działań realizowane są cele szczegółowe PPSS, a dzięki nim cel główny. </w:t>
      </w:r>
    </w:p>
    <w:p w14:paraId="3A31A135" w14:textId="77777777" w:rsidR="00BD676A" w:rsidRDefault="00BD676A" w:rsidP="00BD676A">
      <w:pPr>
        <w:pStyle w:val="ReportText"/>
        <w:spacing w:before="120" w:after="120"/>
      </w:pPr>
      <w:r>
        <w:t>PPSS nie stanowi planu inwestycyjnego, prezentuje jedyne plany budowy, przebudowy i remontu urządzeń wodnych, które zostały zawarte w innych dokumentach planistycznych z zakresu gospodarki wodnej. PPSS jest zgodny z celami środowiskowymi, w zakresie dobrego stanu wód, o których jest mowa w Ramowej Dyrektywie Wodnej.</w:t>
      </w:r>
    </w:p>
    <w:p w14:paraId="1D024745" w14:textId="77777777" w:rsidR="00BD676A" w:rsidRDefault="00BD676A" w:rsidP="00BD676A">
      <w:pPr>
        <w:pStyle w:val="ReportText"/>
        <w:spacing w:before="120" w:after="120"/>
      </w:pPr>
      <w:r>
        <w:t>PPSS wraz z planami gospodarowania wodami oraz planami zarządzania ryzykiem powodziowym stanowić będzie program przyczyniający się do zintegrowanej ochrony wód i gospodarki wodami, mając na celu zapewnienie dobrej jakość oraz wystarczającej ilość wód służących wszystkim działom gospodarki narodowej oraz środowisku naturalnemu.</w:t>
      </w:r>
    </w:p>
    <w:p w14:paraId="7B74F3CF" w14:textId="2072027C" w:rsidR="00BD676A" w:rsidRDefault="00BD676A" w:rsidP="00BD676A">
      <w:pPr>
        <w:pStyle w:val="ReportText"/>
        <w:spacing w:before="120" w:after="120"/>
      </w:pPr>
      <w:r>
        <w:t xml:space="preserve">Podczas prac nad aPZRPM analizowano zaproponowane w PPSS działania, jednak żadne z nich nie znalazło się na liście wstępnej </w:t>
      </w:r>
      <w:r w:rsidR="005F0BA9">
        <w:t>aPZRPM,</w:t>
      </w:r>
      <w:r>
        <w:t xml:space="preserve"> ponieważ nie dotyczą one terenów morskich.</w:t>
      </w:r>
      <w:r w:rsidRPr="00BB1206">
        <w:t xml:space="preserve"> W PPSS zaplanowano wiele działań, które równocześnie mogą posiadać większy lub mniejszy wpływ na ograniczenie ryzyka </w:t>
      </w:r>
      <w:r w:rsidR="005F0BA9" w:rsidRPr="00BB1206">
        <w:t>powodziowego,</w:t>
      </w:r>
      <w:r>
        <w:t xml:space="preserve"> jednakże dotyczą one tematyki śródlądowej (rzecznej) i zostały uwzględnione w ramach aPZRP.</w:t>
      </w:r>
    </w:p>
    <w:p w14:paraId="45D0F059" w14:textId="77777777" w:rsidR="00304E3A" w:rsidRDefault="00304E3A">
      <w:pPr>
        <w:rPr>
          <w:b/>
          <w:color w:val="28AAE1"/>
          <w:sz w:val="32"/>
          <w:szCs w:val="20"/>
          <w:lang w:eastAsia="en-US"/>
        </w:rPr>
      </w:pPr>
      <w:r>
        <w:br w:type="page"/>
      </w:r>
    </w:p>
    <w:p w14:paraId="404F50F9" w14:textId="1C355A2B" w:rsidR="00BD676A" w:rsidRDefault="00BD676A" w:rsidP="00BD676A">
      <w:pPr>
        <w:pStyle w:val="ReportLevel2"/>
        <w:numPr>
          <w:ilvl w:val="1"/>
          <w:numId w:val="9"/>
        </w:numPr>
      </w:pPr>
      <w:bookmarkStart w:id="244" w:name="_Toc80604887"/>
      <w:r>
        <w:lastRenderedPageBreak/>
        <w:t>Koordynacja z innymi dokumentami planistycznymi</w:t>
      </w:r>
      <w:bookmarkEnd w:id="244"/>
    </w:p>
    <w:p w14:paraId="3DE24709" w14:textId="77777777" w:rsidR="00BD676A" w:rsidRDefault="00BD676A" w:rsidP="00BD676A">
      <w:pPr>
        <w:pStyle w:val="ReportText"/>
        <w:spacing w:before="120" w:after="120"/>
      </w:pPr>
      <w:r>
        <w:t>Koordynacja PZRP z innymi dokumentami planistycznymi została osiągnięta przede wszystkim poprzez uwzględnienie wyników prac zrealizowanych w ramach projektu Wdrożenie instrumentów wspierających realizację działań PZRP.</w:t>
      </w:r>
    </w:p>
    <w:p w14:paraId="2CCBF14C" w14:textId="77777777" w:rsidR="00BD676A" w:rsidRPr="000C6558" w:rsidRDefault="00BD676A" w:rsidP="00BD676A">
      <w:pPr>
        <w:pStyle w:val="ReportText"/>
        <w:spacing w:before="120" w:after="120"/>
        <w:rPr>
          <w:b/>
          <w:bCs/>
        </w:rPr>
      </w:pPr>
      <w:r w:rsidRPr="000C6558">
        <w:rPr>
          <w:b/>
          <w:bCs/>
        </w:rPr>
        <w:t>Wdrożenie instrumentów wspierających realizację działań PZRP</w:t>
      </w:r>
    </w:p>
    <w:p w14:paraId="26F4BFF6" w14:textId="77777777" w:rsidR="00BD676A" w:rsidRDefault="00BD676A" w:rsidP="00BD676A">
      <w:pPr>
        <w:pStyle w:val="ReportText"/>
        <w:spacing w:before="120" w:after="120"/>
      </w:pPr>
      <w:r>
        <w:t>Wdrożenie instrumentów wspierających realizację działań PZRP ma na celu zapewnienie wysokiego stopnia bezpieczeństwa ludności oraz infrastruktury technicznej, a tym samym ograniczenie wielkości strat będących skutkiem wystąpienia powodzi.</w:t>
      </w:r>
    </w:p>
    <w:p w14:paraId="1675018F" w14:textId="77777777" w:rsidR="00BD676A" w:rsidRDefault="00BD676A" w:rsidP="00BD676A">
      <w:pPr>
        <w:pStyle w:val="ReportText"/>
        <w:spacing w:before="120" w:after="120"/>
      </w:pPr>
      <w:r>
        <w:t>Instrumenty prawne stanowić będą element wspierający osiągnięcie celów szczegółowych ustanowionych w PZRP poprzez regulację prawa obowiązującego na terenach zagrożonych powodzią, a także motywowanie do działań administracji państwowej i samorządowej w kierunku redukcji wrażliwości społeczności i obiektów wrażliwych na działanie wód powodziowych.</w:t>
      </w:r>
    </w:p>
    <w:p w14:paraId="21C97F7A" w14:textId="77777777" w:rsidR="00BD676A" w:rsidRDefault="00BD676A" w:rsidP="00BD676A">
      <w:pPr>
        <w:pStyle w:val="ReportText"/>
        <w:spacing w:before="120" w:after="120"/>
      </w:pPr>
      <w:r>
        <w:t>Planowane jest wprowadzenie nowych zapisów w polskim systemie prawnym oraz w dokumentach prawa miejscowego, pozwalających na prowadzenie działań mających na celu ograniczenie ryzyka powodziowego, w tym poprzez wyeliminowanie lub unikanie wzrostu zagospodarowania w obrębie obszarów szczególnego zagrożenia wystąpieniem powodzi, a także ograniczanie istniejącego zagospodarowania.</w:t>
      </w:r>
    </w:p>
    <w:p w14:paraId="4A2C2B75" w14:textId="77777777" w:rsidR="00BD676A" w:rsidRDefault="00BD676A" w:rsidP="00BD676A">
      <w:pPr>
        <w:pStyle w:val="ReportText"/>
        <w:spacing w:before="120" w:after="120"/>
      </w:pPr>
      <w:r>
        <w:t>Istotnym kierunkiem działań będzie stworzenie przepisów prawnych umożliwiających oraz wspomagających prowadzenie działań w celu ochrony obszarów występowania naturalnej retencji, przywracania naturalnej retencji, naturalnych warunków przepływu oraz hydromorfologii cieków wodnych.</w:t>
      </w:r>
    </w:p>
    <w:p w14:paraId="1B8C13ED" w14:textId="77777777" w:rsidR="00BD676A" w:rsidRDefault="00BD676A" w:rsidP="00BD676A">
      <w:pPr>
        <w:pStyle w:val="ReportText"/>
        <w:spacing w:before="120" w:after="120"/>
      </w:pPr>
      <w:r>
        <w:t>Stworzone zostaną także instrumenty pozwalające na realizację infrastruktury przeciwpowodziowej poprzez opracowanie oceny kompletności zestawu obiektów przeciwpowodziowych wraz z obiektami towarzyszącymi przewidzianych do realizacji, a także wskazanie sposobu pozyskiwania praw do nieruchomości, na których obiekty te mają powstać.</w:t>
      </w:r>
    </w:p>
    <w:p w14:paraId="67E53E91" w14:textId="77777777" w:rsidR="00BD676A" w:rsidRDefault="00BD676A" w:rsidP="00BD676A">
      <w:pPr>
        <w:pStyle w:val="ReportText"/>
        <w:spacing w:before="120" w:after="120"/>
      </w:pPr>
      <w:r>
        <w:t>W szczególny sposób planowane do wdrożenia instrumenty wspierające wpisują się w realizację celu szczegółowego 3.5 PZRP: Stymulowanie zachowań zwiększających bezpieczeństwo powodziowe poprzez instrumenty prawne i finansowe. Ponadto opracowane Instrumenty prawne stanowić będą element wspierający realizację następujących celów szczegółowych PZRP:</w:t>
      </w:r>
    </w:p>
    <w:p w14:paraId="609E27DA" w14:textId="77777777" w:rsidR="00BD676A" w:rsidRDefault="00BD676A" w:rsidP="00BD676A">
      <w:pPr>
        <w:pStyle w:val="ReportText"/>
        <w:numPr>
          <w:ilvl w:val="0"/>
          <w:numId w:val="55"/>
        </w:numPr>
        <w:spacing w:before="120" w:after="120"/>
      </w:pPr>
      <w:r>
        <w:t>1.1. Zapewnienie warunków ograniczających możliwość występowania powodzi;</w:t>
      </w:r>
    </w:p>
    <w:p w14:paraId="2E6BB49B" w14:textId="77777777" w:rsidR="00BD676A" w:rsidRDefault="00BD676A" w:rsidP="00BD676A">
      <w:pPr>
        <w:pStyle w:val="ReportText"/>
        <w:numPr>
          <w:ilvl w:val="0"/>
          <w:numId w:val="55"/>
        </w:numPr>
        <w:spacing w:before="120" w:after="120"/>
      </w:pPr>
      <w:r>
        <w:t>1.2. Zapewnienie racjonalnego gospodarowania obszarami zagrożenia powodziowego;</w:t>
      </w:r>
    </w:p>
    <w:p w14:paraId="74FC730D" w14:textId="77777777" w:rsidR="00BD676A" w:rsidRDefault="00BD676A" w:rsidP="00BD676A">
      <w:pPr>
        <w:pStyle w:val="ReportText"/>
        <w:numPr>
          <w:ilvl w:val="0"/>
          <w:numId w:val="55"/>
        </w:numPr>
        <w:spacing w:before="120" w:after="120"/>
      </w:pPr>
      <w:r>
        <w:t>2.1. Zapewnienie warunków redukujących możliwość występowania powodzi;</w:t>
      </w:r>
    </w:p>
    <w:p w14:paraId="13D6A446" w14:textId="77777777" w:rsidR="00BD676A" w:rsidRDefault="00BD676A" w:rsidP="00BD676A">
      <w:pPr>
        <w:pStyle w:val="ReportText"/>
        <w:numPr>
          <w:ilvl w:val="0"/>
          <w:numId w:val="55"/>
        </w:numPr>
        <w:spacing w:before="120" w:after="120"/>
      </w:pPr>
      <w:r>
        <w:t>2.2. Redukcja obszaru zagrożonego powodzią oraz zapewnienie racjonalnego gospodarowania obszarami zagrożenia powodziowego;</w:t>
      </w:r>
    </w:p>
    <w:p w14:paraId="2C68D04C" w14:textId="77777777" w:rsidR="00BD676A" w:rsidRDefault="00BD676A" w:rsidP="00BD676A">
      <w:pPr>
        <w:pStyle w:val="ReportText"/>
        <w:numPr>
          <w:ilvl w:val="0"/>
          <w:numId w:val="55"/>
        </w:numPr>
        <w:spacing w:before="120" w:after="120"/>
      </w:pPr>
      <w:r>
        <w:t>2.3 Redukcja wrażliwości społeczności i obiektów na obszarze zagrożenia powodzią.</w:t>
      </w:r>
    </w:p>
    <w:p w14:paraId="78F349A7" w14:textId="77777777" w:rsidR="00304E3A" w:rsidRDefault="00304E3A" w:rsidP="00BD676A">
      <w:pPr>
        <w:pStyle w:val="ReportText"/>
        <w:spacing w:before="120" w:after="120"/>
        <w:rPr>
          <w:b/>
          <w:bCs/>
        </w:rPr>
      </w:pPr>
    </w:p>
    <w:p w14:paraId="27C03C47" w14:textId="77777777" w:rsidR="00304E3A" w:rsidRDefault="00304E3A" w:rsidP="00BD676A">
      <w:pPr>
        <w:pStyle w:val="ReportText"/>
        <w:spacing w:before="120" w:after="120"/>
        <w:rPr>
          <w:b/>
          <w:bCs/>
        </w:rPr>
      </w:pPr>
    </w:p>
    <w:p w14:paraId="4C0BB64C" w14:textId="285D8B93" w:rsidR="00BD676A" w:rsidRPr="000C6558" w:rsidRDefault="00BD676A" w:rsidP="00BD676A">
      <w:pPr>
        <w:pStyle w:val="ReportText"/>
        <w:spacing w:before="120" w:after="120"/>
        <w:rPr>
          <w:b/>
          <w:bCs/>
        </w:rPr>
      </w:pPr>
      <w:r w:rsidRPr="000C6558">
        <w:rPr>
          <w:b/>
          <w:bCs/>
        </w:rPr>
        <w:lastRenderedPageBreak/>
        <w:t>Program przeciwdziałania niedoborowi wody (Program Rozwoju Retencji)</w:t>
      </w:r>
    </w:p>
    <w:p w14:paraId="785D4E68" w14:textId="77777777" w:rsidR="00BD676A" w:rsidRDefault="00BD676A" w:rsidP="00BD676A">
      <w:pPr>
        <w:pStyle w:val="ReportText"/>
        <w:spacing w:before="120" w:after="120"/>
      </w:pPr>
      <w:r>
        <w:t>Program przeciwdziałania niedoborom wody ma na celu przeciwdziałanie obserwowanemu deficytowi wody oraz zjawisku suszy, będących skutkiem zarówno zmian klimatu jak i zwiększającej się antropopresji.</w:t>
      </w:r>
    </w:p>
    <w:p w14:paraId="2E95F2F4" w14:textId="77777777" w:rsidR="00BD676A" w:rsidRDefault="00BD676A" w:rsidP="00BD676A">
      <w:pPr>
        <w:pStyle w:val="ReportText"/>
        <w:spacing w:before="120" w:after="120"/>
      </w:pPr>
      <w:r>
        <w:t>Urbanizacja oraz związany z nią wzrost uszczelnienia terenu przyczyniają się do zmniejszenia powierzchni retencyjnej zlewni. Równocześnie występowanie suszy przyczynia się do powstawania deficytów wody szczególnie w sektorze rolnictwa, a także występowaniem niżówek na rzekach. Skutki tych niekorzystnych zjawisk mogą być łagodzone poprzez zwiększanie pojemności retencyjnej zlewni rzek.</w:t>
      </w:r>
    </w:p>
    <w:p w14:paraId="49964831" w14:textId="77777777" w:rsidR="00BD676A" w:rsidRDefault="00BD676A" w:rsidP="00BD676A">
      <w:pPr>
        <w:pStyle w:val="ReportText"/>
        <w:spacing w:before="120" w:after="120"/>
      </w:pPr>
      <w:r>
        <w:t>Podejmowanie działań w zakresie retencji wodnej przyczyni się do zmniejszenia lub spowolnienia odpływu wód ze zlewni, stanowiąc równocześnie jeden ze sposobów przeciwdziałania powstawaniu powodzi lub ograniczania skali ich skutków.</w:t>
      </w:r>
    </w:p>
    <w:p w14:paraId="255C5991" w14:textId="77777777" w:rsidR="00BD676A" w:rsidRDefault="00BD676A" w:rsidP="00BD676A">
      <w:pPr>
        <w:pStyle w:val="ReportText"/>
        <w:spacing w:before="120" w:after="120"/>
      </w:pPr>
      <w:r>
        <w:t>Istotne będzie podejmowanie działań w zakresie zmiany sposobu użytkowania terenu, obejmujących zadrzewianie oraz zalesianie terenów. Działania te przyczyniają się do zwiększenia infiltracji wody gruntu, a także powodują spowolnienie i zmniejszenie objętości spływu powierzchniowego – są to działania zaliczane do retencji krajobrazowej.</w:t>
      </w:r>
    </w:p>
    <w:p w14:paraId="62E4DA61" w14:textId="77777777" w:rsidR="00BD676A" w:rsidRDefault="00BD676A" w:rsidP="00BD676A">
      <w:pPr>
        <w:pStyle w:val="ReportText"/>
        <w:spacing w:before="120" w:after="120"/>
      </w:pPr>
      <w:r>
        <w:t>Ważną rolę w ograniczaniu niedoborów wody odgrywa retencja wód powierzchniowych, realizowana poprzez budowę dużych zbiorników retencyjnych (o pojemności powyżej 5 mln m</w:t>
      </w:r>
      <w:r w:rsidRPr="000C6558">
        <w:rPr>
          <w:vertAlign w:val="superscript"/>
        </w:rPr>
        <w:t>3</w:t>
      </w:r>
      <w:r>
        <w:t>), tak zwaną małą retencję obejmującą budowę zbiorników retencyjnych o mniejszej pojemności, w tym stawów hodowlanych, a także mikroretencję obejmującą wykonywanie zbiorników wodnych o pojemności poniżej 0,1 mln m</w:t>
      </w:r>
      <w:r w:rsidRPr="000C6558">
        <w:rPr>
          <w:vertAlign w:val="superscript"/>
        </w:rPr>
        <w:t>3</w:t>
      </w:r>
      <w:r>
        <w:t xml:space="preserve"> i pojemności poniżej 1 ha, w tym oczek wodnych oraz podpiętrzeń cieków. Istotne znaczenie posiadają również działania z zakresu retencji wód opadowych, realizowane w miejscach powstawania opadów, w tym na terenach użytkowanych przez osoby prywatne.</w:t>
      </w:r>
    </w:p>
    <w:p w14:paraId="009A98C1" w14:textId="77777777" w:rsidR="00BD676A" w:rsidRDefault="00BD676A" w:rsidP="00BD676A">
      <w:pPr>
        <w:pStyle w:val="ReportText"/>
        <w:spacing w:before="120" w:after="120"/>
      </w:pPr>
      <w:r>
        <w:t>Opracowanie Programu przeciwdziałania niedoborowi wody przyczyni się do poprawy funkcjonowania gospodarki wodnej w kraju przyczyniając się równocześnie do ograniczenia ryzyka powodziowego jak i łagodzenia skutków zmian klimatu związanych z występowaniem suszy i niedoborów wody.</w:t>
      </w:r>
    </w:p>
    <w:p w14:paraId="45E2CB9A" w14:textId="77777777" w:rsidR="00BD676A" w:rsidRDefault="00BD676A" w:rsidP="00BD676A">
      <w:pPr>
        <w:pStyle w:val="ReportText"/>
        <w:spacing w:before="120" w:after="120"/>
      </w:pPr>
      <w:r>
        <w:t>Efektem realizacji Programu będą między innymi zwiększenie objętości wody retencjonowanej w obrębie zlewni, zwiększenie pojemności zbiorników małej retencji, zwiększenie powierzchni siedlisk hydrogenicznych, zwiększenie roli ekosystemów powiązanych z systemami retencjonowania wód, zwiększenie ilości działań związanych z retencjonowaniem wód, a także zmniejszenie ryzyka powodziowego, w tym wynikającego z występowania powodzi błyskawicznych na terenach silnie zurbanizowanych.</w:t>
      </w:r>
    </w:p>
    <w:p w14:paraId="28A9A239" w14:textId="2C584BBF" w:rsidR="00BD676A" w:rsidRDefault="00BD676A" w:rsidP="00BD676A">
      <w:pPr>
        <w:pStyle w:val="ReportText"/>
        <w:spacing w:before="120" w:after="120"/>
      </w:pPr>
      <w:r>
        <w:t>Rząd przyjął w formie uchwały „Założenia do Programu przeciwdziałania niedoborowi wody na lata 2021-2027 z perspektywą do roku 2030”. Zamieszczony w „Założeniach do Programu …” wykaz inwestycji, które zostaną zrealizowane do 2027 r., mających poprawić retencyjność w Polsce (tożsama lista towarzyszy Planom przeciwdziałaniom skutkom suszy na obszarach dorzeczy), został przeanalizowany przez Wykonawcę aPZRPM do budowy listy wstępnej działań aPZRPM. Działania retencyjne nie mają jednak wpływu na ograniczenie ryzyka powodziowego od strony morza, wobec czego nie znalazły się na listach wstępnych aPZRPM.</w:t>
      </w:r>
    </w:p>
    <w:p w14:paraId="53295809" w14:textId="77777777" w:rsidR="00304E3A" w:rsidRDefault="00304E3A" w:rsidP="00BD676A">
      <w:pPr>
        <w:pStyle w:val="ReportText"/>
        <w:spacing w:before="120" w:after="120"/>
        <w:rPr>
          <w:b/>
          <w:bCs/>
        </w:rPr>
      </w:pPr>
    </w:p>
    <w:p w14:paraId="04480233" w14:textId="77777777" w:rsidR="00304E3A" w:rsidRDefault="00304E3A" w:rsidP="00BD676A">
      <w:pPr>
        <w:pStyle w:val="ReportText"/>
        <w:spacing w:before="120" w:after="120"/>
        <w:rPr>
          <w:b/>
          <w:bCs/>
        </w:rPr>
      </w:pPr>
    </w:p>
    <w:p w14:paraId="0EC12A65" w14:textId="74232B7B" w:rsidR="00BD676A" w:rsidRPr="000C6558" w:rsidRDefault="00BD676A" w:rsidP="00BD676A">
      <w:pPr>
        <w:pStyle w:val="ReportText"/>
        <w:spacing w:before="120" w:after="120"/>
        <w:rPr>
          <w:b/>
          <w:bCs/>
        </w:rPr>
      </w:pPr>
      <w:r w:rsidRPr="000C6558">
        <w:rPr>
          <w:b/>
          <w:bCs/>
        </w:rPr>
        <w:lastRenderedPageBreak/>
        <w:t>Krajowy program renaturyzacji wód powierzchniowych</w:t>
      </w:r>
    </w:p>
    <w:p w14:paraId="23841552" w14:textId="77777777" w:rsidR="00BD676A" w:rsidRDefault="00BD676A" w:rsidP="00BD676A">
      <w:pPr>
        <w:pStyle w:val="ReportText"/>
        <w:spacing w:before="120" w:after="120"/>
      </w:pPr>
      <w:r>
        <w:t>Opracowanie Programu stanowiło jedno z działań ujętych w aktualizacji planów gospodarowania wodami (aPGW). Realizacja Programu pozwoli na ocenę możliwości przeprowadzenia renaturyzacji cieków wodnych oraz identyfikację koniecznych do podjęcia działań, służących osiągnięciu tego celu.</w:t>
      </w:r>
    </w:p>
    <w:p w14:paraId="1D32C036" w14:textId="77777777" w:rsidR="00BD676A" w:rsidRDefault="00BD676A" w:rsidP="00BD676A">
      <w:pPr>
        <w:pStyle w:val="ReportText"/>
        <w:spacing w:before="120" w:after="120"/>
      </w:pPr>
      <w:r>
        <w:t>Renaturyzacja wód powierzchniowych ma na celu zwiększenie retencji naturalnej cieków poprzez przywracanie lub utrzymanie naturalnych ekosystemów.</w:t>
      </w:r>
    </w:p>
    <w:p w14:paraId="3F048DCA" w14:textId="77777777" w:rsidR="00BD676A" w:rsidRDefault="00BD676A" w:rsidP="00BD676A">
      <w:pPr>
        <w:pStyle w:val="ReportText"/>
        <w:spacing w:before="120" w:after="120"/>
      </w:pPr>
      <w:r>
        <w:t>W ramach renaturyzacji wód powierzchniowych podejmowane będą działania wpływające na normalizację stosunków wodnych w obrębie zlewni, poprawę retencji dolinowej i korytowej, renaturyzację torfowisk i mokradeł, a także przywrócenie ciągłości oraz zwiększenie różnorodności hydromorfologicznej wód powierzchniowych.</w:t>
      </w:r>
    </w:p>
    <w:p w14:paraId="2CC064BD" w14:textId="77777777" w:rsidR="00BD676A" w:rsidRDefault="00BD676A" w:rsidP="00BD676A">
      <w:pPr>
        <w:pStyle w:val="ReportText"/>
        <w:spacing w:before="120" w:after="120"/>
      </w:pPr>
      <w:r>
        <w:t>Efektem podejmowanych działań będzie nie tylko tworzenie miejsc atrakcyjnych dla ludności, ograniczenie kosztów prac utrzymaniowych, ale także zmniejszenie ryzyka powodziowego.</w:t>
      </w:r>
    </w:p>
    <w:p w14:paraId="6BE55EC7" w14:textId="77777777" w:rsidR="00BD676A" w:rsidRDefault="00BD676A" w:rsidP="00BD676A">
      <w:pPr>
        <w:pStyle w:val="ReportText"/>
        <w:spacing w:before="120" w:after="120"/>
      </w:pPr>
      <w:r>
        <w:t>Ograniczenie ryzyka powodziowego osiągnięte zostanie w wyniku wzrostu naturalnej retencji cieków, czego skutkiem będzie zmniejszenie możliwych wezbrań wody.</w:t>
      </w:r>
    </w:p>
    <w:p w14:paraId="5971FA5E" w14:textId="77777777" w:rsidR="00BD676A" w:rsidRPr="000C6558" w:rsidRDefault="00BD676A" w:rsidP="00BD676A">
      <w:pPr>
        <w:pStyle w:val="ReportText"/>
        <w:spacing w:before="120" w:after="120"/>
        <w:rPr>
          <w:b/>
          <w:bCs/>
        </w:rPr>
      </w:pPr>
      <w:r w:rsidRPr="000C6558">
        <w:rPr>
          <w:b/>
          <w:bCs/>
        </w:rPr>
        <w:t>Podsumowanie</w:t>
      </w:r>
    </w:p>
    <w:p w14:paraId="049ECE94" w14:textId="77777777" w:rsidR="00BD676A" w:rsidRDefault="00BD676A" w:rsidP="00BD676A">
      <w:pPr>
        <w:pStyle w:val="ReportText"/>
        <w:spacing w:before="120" w:after="120"/>
      </w:pPr>
      <w:r>
        <w:t>Podsumowując, w ramach prac nad aPZRPM zostały przeanalizowane zapisy ww. dokumentów pod względem:</w:t>
      </w:r>
    </w:p>
    <w:p w14:paraId="5B67C2DB" w14:textId="77777777" w:rsidR="00BD676A" w:rsidRDefault="00BD676A" w:rsidP="00BD676A">
      <w:pPr>
        <w:pStyle w:val="ReportText"/>
        <w:spacing w:before="120" w:after="120"/>
      </w:pPr>
      <w:r>
        <w:t>• określenia celów zarządzania ryzykiem powodziowym;</w:t>
      </w:r>
    </w:p>
    <w:p w14:paraId="36AB2327" w14:textId="77777777" w:rsidR="00BD676A" w:rsidRDefault="00BD676A" w:rsidP="00BD676A">
      <w:pPr>
        <w:pStyle w:val="ReportText"/>
        <w:spacing w:before="120" w:after="120"/>
      </w:pPr>
      <w:r>
        <w:t>• analizy listy działań technicznych i nietechnicznych służących ochronie przeciwpowodziowej, które zostały ujęte w dokumentach dotyczących przeciwdziałaniu skutkom suszy, renaturyzacji wód powierzchniowych czy retencji;</w:t>
      </w:r>
    </w:p>
    <w:p w14:paraId="5E704F9B" w14:textId="77777777" w:rsidR="00BD676A" w:rsidRDefault="00BD676A" w:rsidP="00BD676A">
      <w:pPr>
        <w:pStyle w:val="ReportText"/>
        <w:spacing w:before="120" w:after="120"/>
      </w:pPr>
      <w:r>
        <w:t>• możliwości zaproponowania działań organizacyjnych związanych z wdrożeniem instrumentów prawnych;</w:t>
      </w:r>
    </w:p>
    <w:p w14:paraId="15AACF3E" w14:textId="77777777" w:rsidR="00BD676A" w:rsidRDefault="00BD676A" w:rsidP="00BD676A">
      <w:pPr>
        <w:pStyle w:val="ReportText"/>
        <w:spacing w:before="120" w:after="120"/>
      </w:pPr>
      <w:r>
        <w:t>• pozyskania danych o regionach wodnych i dorzeczach.</w:t>
      </w:r>
    </w:p>
    <w:p w14:paraId="54DD4082" w14:textId="77777777" w:rsidR="00BD676A" w:rsidRDefault="00BD676A" w:rsidP="00BD676A">
      <w:pPr>
        <w:pStyle w:val="ReportText"/>
        <w:spacing w:before="120" w:after="120"/>
      </w:pPr>
      <w:r>
        <w:t>Zakres podjętych działań pozwoli na zachowanie spójności zapisów oraz sposobu analizy zagadnień dla omówionych wyżej dokumentów strategicznych i projektowych.</w:t>
      </w:r>
    </w:p>
    <w:p w14:paraId="4F1D1E52" w14:textId="77777777" w:rsidR="008D527F" w:rsidRDefault="008D527F">
      <w:pPr>
        <w:rPr>
          <w:b/>
          <w:color w:val="28AAE1"/>
          <w:sz w:val="36"/>
          <w:szCs w:val="20"/>
          <w:lang w:eastAsia="en-US"/>
        </w:rPr>
      </w:pPr>
      <w:bookmarkStart w:id="245" w:name="_Toc58845100"/>
      <w:bookmarkStart w:id="246" w:name="_Toc79178596"/>
      <w:bookmarkStart w:id="247" w:name="_Toc79511692"/>
      <w:bookmarkStart w:id="248" w:name="_Toc79178598"/>
      <w:bookmarkStart w:id="249" w:name="_Toc79511694"/>
      <w:r>
        <w:br w:type="page"/>
      </w:r>
    </w:p>
    <w:p w14:paraId="5E58D193" w14:textId="6B73A8BC" w:rsidR="008D527F" w:rsidRPr="007C28CC" w:rsidRDefault="008D527F" w:rsidP="008D527F">
      <w:pPr>
        <w:pStyle w:val="ReportLevel1"/>
        <w:numPr>
          <w:ilvl w:val="0"/>
          <w:numId w:val="9"/>
        </w:numPr>
      </w:pPr>
      <w:bookmarkStart w:id="250" w:name="_Toc80604888"/>
      <w:r w:rsidRPr="007C28CC">
        <w:lastRenderedPageBreak/>
        <w:t>Opis uwzględnienia zmian klimatu w opracowaniu aPZR</w:t>
      </w:r>
      <w:bookmarkEnd w:id="245"/>
      <w:bookmarkEnd w:id="246"/>
      <w:r w:rsidRPr="007C28CC">
        <w:t>PM</w:t>
      </w:r>
      <w:bookmarkEnd w:id="247"/>
      <w:bookmarkEnd w:id="250"/>
    </w:p>
    <w:p w14:paraId="106CDE21" w14:textId="77777777" w:rsidR="008D527F" w:rsidRPr="00FF6FAD" w:rsidRDefault="008D527F" w:rsidP="008D527F">
      <w:pPr>
        <w:pStyle w:val="ReportText"/>
        <w:spacing w:before="120" w:after="120"/>
        <w:rPr>
          <w:szCs w:val="24"/>
        </w:rPr>
      </w:pPr>
      <w:r w:rsidRPr="00FF6FAD">
        <w:rPr>
          <w:szCs w:val="24"/>
        </w:rPr>
        <w:t>Przewidywane zmiany klimatu i wynikające z nich zmiany zagrożenia powodziowego uwzględniono na etapie:</w:t>
      </w:r>
    </w:p>
    <w:p w14:paraId="3B9256C7" w14:textId="77777777" w:rsidR="008D527F" w:rsidRPr="00FF6FAD" w:rsidRDefault="008D527F" w:rsidP="008D527F">
      <w:pPr>
        <w:pStyle w:val="Akapitzlist"/>
        <w:numPr>
          <w:ilvl w:val="0"/>
          <w:numId w:val="19"/>
        </w:numPr>
        <w:spacing w:after="160" w:line="259" w:lineRule="auto"/>
        <w:jc w:val="both"/>
        <w:rPr>
          <w:sz w:val="24"/>
          <w:szCs w:val="24"/>
        </w:rPr>
      </w:pPr>
      <w:r w:rsidRPr="00FF6FAD">
        <w:rPr>
          <w:sz w:val="24"/>
          <w:szCs w:val="24"/>
        </w:rPr>
        <w:t>ustalania rozkładu przestrzennego ryzyka powodziowego w dorzeczu;</w:t>
      </w:r>
    </w:p>
    <w:p w14:paraId="7817F25F" w14:textId="77777777" w:rsidR="008D527F" w:rsidRPr="00FF6FAD" w:rsidRDefault="008D527F" w:rsidP="008D527F">
      <w:pPr>
        <w:pStyle w:val="Akapitzlist"/>
        <w:numPr>
          <w:ilvl w:val="0"/>
          <w:numId w:val="19"/>
        </w:numPr>
        <w:spacing w:after="160" w:line="259" w:lineRule="auto"/>
        <w:jc w:val="both"/>
        <w:rPr>
          <w:sz w:val="24"/>
          <w:szCs w:val="24"/>
        </w:rPr>
      </w:pPr>
      <w:r w:rsidRPr="00FF6FAD">
        <w:rPr>
          <w:sz w:val="24"/>
          <w:szCs w:val="24"/>
        </w:rPr>
        <w:t>ewaluacji i doboru działań redukujących ryzyko powodziowe z zastosowaniem preferencji dla działań adaptacyjnych;</w:t>
      </w:r>
    </w:p>
    <w:p w14:paraId="49BA1DCC" w14:textId="77777777" w:rsidR="008D527F" w:rsidRPr="00FF6FAD" w:rsidRDefault="008D527F" w:rsidP="008D527F">
      <w:pPr>
        <w:pStyle w:val="Akapitzlist"/>
        <w:numPr>
          <w:ilvl w:val="0"/>
          <w:numId w:val="19"/>
        </w:numPr>
        <w:spacing w:after="160" w:line="259" w:lineRule="auto"/>
        <w:jc w:val="both"/>
        <w:rPr>
          <w:sz w:val="24"/>
          <w:szCs w:val="24"/>
        </w:rPr>
      </w:pPr>
      <w:r w:rsidRPr="00FF6FAD">
        <w:rPr>
          <w:sz w:val="24"/>
          <w:szCs w:val="24"/>
        </w:rPr>
        <w:t>analiz kosztów i korzyści oraz analiz wielokryterialnych uwzględniających wzrost strat powodziowych wynikających ze zmian klimatu;</w:t>
      </w:r>
    </w:p>
    <w:p w14:paraId="0415FB8C" w14:textId="77777777" w:rsidR="008D527F" w:rsidRPr="00FF6FAD" w:rsidRDefault="008D527F" w:rsidP="008D527F">
      <w:pPr>
        <w:pStyle w:val="Akapitzlist"/>
        <w:numPr>
          <w:ilvl w:val="0"/>
          <w:numId w:val="19"/>
        </w:numPr>
        <w:spacing w:after="120" w:line="259" w:lineRule="auto"/>
        <w:jc w:val="both"/>
        <w:rPr>
          <w:sz w:val="24"/>
          <w:szCs w:val="24"/>
        </w:rPr>
      </w:pPr>
      <w:r w:rsidRPr="00FF6FAD">
        <w:rPr>
          <w:sz w:val="24"/>
          <w:szCs w:val="24"/>
        </w:rPr>
        <w:t>priorytetyzacji działań.</w:t>
      </w:r>
    </w:p>
    <w:p w14:paraId="5A5FD491" w14:textId="77777777" w:rsidR="008D527F" w:rsidRPr="00FF6FAD" w:rsidRDefault="008D527F" w:rsidP="008D527F">
      <w:pPr>
        <w:pStyle w:val="ReportText"/>
        <w:spacing w:before="120" w:after="120"/>
        <w:rPr>
          <w:szCs w:val="24"/>
        </w:rPr>
      </w:pPr>
      <w:r w:rsidRPr="00FF6FAD">
        <w:rPr>
          <w:szCs w:val="24"/>
        </w:rPr>
        <w:t>W analizie przestrzennego rozkładu ryzyka powodziowego, przy identyfikacji obszarów problemowych, uwzględniono nie tylko stan aktualny ryzyka powodziowego, ale również zmiany perspektywiczne wynikające ze zmian antropopresji i zmian klimatu. Przy określaniu tendencji zmian ryzyka powodziowego wykorzystano dwa wskaźniki umożliwiające określenie wpływu zmian klimatu na występowanie powodzi:</w:t>
      </w:r>
    </w:p>
    <w:p w14:paraId="296AAD0C" w14:textId="77777777" w:rsidR="008D527F" w:rsidRPr="00FF6FAD" w:rsidRDefault="008D527F" w:rsidP="008D527F">
      <w:pPr>
        <w:pStyle w:val="Akapitzlist"/>
        <w:numPr>
          <w:ilvl w:val="0"/>
          <w:numId w:val="19"/>
        </w:numPr>
        <w:spacing w:after="160" w:line="259" w:lineRule="auto"/>
        <w:jc w:val="both"/>
        <w:rPr>
          <w:sz w:val="24"/>
          <w:szCs w:val="24"/>
        </w:rPr>
      </w:pPr>
      <w:r w:rsidRPr="00FF6FAD">
        <w:rPr>
          <w:sz w:val="24"/>
          <w:szCs w:val="24"/>
        </w:rPr>
        <w:t>zmiana procentowa przepływu wysokiego Q90 w latach 2021-2050 (tzw. bliska przyszłość) dla scenariusza RCP 4,5;</w:t>
      </w:r>
    </w:p>
    <w:p w14:paraId="7C7D6E30" w14:textId="77777777" w:rsidR="008D527F" w:rsidRPr="00FF6FAD" w:rsidRDefault="008D527F" w:rsidP="008D527F">
      <w:pPr>
        <w:pStyle w:val="Akapitzlist"/>
        <w:numPr>
          <w:ilvl w:val="0"/>
          <w:numId w:val="19"/>
        </w:numPr>
        <w:spacing w:after="120" w:line="259" w:lineRule="auto"/>
        <w:jc w:val="both"/>
        <w:rPr>
          <w:sz w:val="24"/>
          <w:szCs w:val="24"/>
        </w:rPr>
      </w:pPr>
      <w:r w:rsidRPr="00FF6FAD">
        <w:rPr>
          <w:sz w:val="24"/>
          <w:szCs w:val="24"/>
        </w:rPr>
        <w:t>zmiana procentowa przepływu wysokiego Q90 w latach 2021-2050 (tzw. bliska przyszłość) dla scenariusza RCP 8,5.</w:t>
      </w:r>
    </w:p>
    <w:p w14:paraId="72F9168E" w14:textId="77777777" w:rsidR="008D527F" w:rsidRPr="007C28CC" w:rsidRDefault="008D527F" w:rsidP="008D527F">
      <w:pPr>
        <w:pStyle w:val="ReportText"/>
        <w:spacing w:before="120" w:after="120"/>
      </w:pPr>
      <w:r w:rsidRPr="00FF6FAD">
        <w:rPr>
          <w:szCs w:val="24"/>
        </w:rPr>
        <w:t>Wskaźniki te określono dla wszystkich przestrzennych jednostek analitycznych stosowanych w analizie przestrzennego rozkładu</w:t>
      </w:r>
      <w:r w:rsidRPr="007C28CC">
        <w:t xml:space="preserve"> ryzyka powodziowego. Do ich określenia wykorzystano przede wszystkim dane projektu CHASE-PL </w:t>
      </w:r>
      <w:r w:rsidRPr="007C28CC">
        <w:rPr>
          <w:i/>
          <w:iCs/>
        </w:rPr>
        <w:t>Ocena konsekwencji zmian klimatu dla wybranych sektorów w Polsce</w:t>
      </w:r>
      <w:r w:rsidRPr="007C28CC">
        <w:t xml:space="preserve"> (Norweski Mechanizm Finansowy 2009-2014, nr POL-NOR/200799/90/2014); dla rzek Przymorza, w przypadku których nie dysponowano ww. danymi, wykorzystano wartości wynikające z analizy trendu wielkości maksymalnych rocznych przepływów. Wszystkie ww. dane odpowiadały danym wykorzystanym w aWORP.</w:t>
      </w:r>
    </w:p>
    <w:p w14:paraId="58E32DCF" w14:textId="77777777" w:rsidR="008D527F" w:rsidRPr="007C28CC" w:rsidRDefault="008D527F" w:rsidP="008D527F">
      <w:pPr>
        <w:pStyle w:val="ReportText"/>
        <w:spacing w:before="120" w:after="120"/>
      </w:pPr>
      <w:r w:rsidRPr="007C28CC">
        <w:t>Przy analizie ww. przewidywanych zmian procentowych przepływu wysokiego na uwadze trzeba mieć niepewność projekcji zmian klimatu, w tym również w odniesieniu do ich potencjalnego wpływu na zasoby wodne. Przyjmuje się, że niepewność w ustaleniach co do przyszłych skutków zmian klimatu dotyczy w szczególności zjawisk ekstremalnych, m.in. powodzi (Kundzewicz i in. 2017).</w:t>
      </w:r>
    </w:p>
    <w:p w14:paraId="1E615184" w14:textId="77777777" w:rsidR="008D527F" w:rsidRPr="007C28CC" w:rsidRDefault="008D527F" w:rsidP="008D527F">
      <w:pPr>
        <w:pStyle w:val="ReportText"/>
        <w:spacing w:before="120" w:after="120"/>
      </w:pPr>
      <w:r w:rsidRPr="007C28CC">
        <w:t xml:space="preserve">Odnośnie do analiz kosztów i korzyści uwzględniających zmiany zagrożenia powodziowego wynikające ze zmian klimatu, przyrost strat w wariancie zerowym, służący do kalkulacji unikniętych strat dzięki realizacji planowanych działań będzie m.in. obejmował przyrost strat z powodu zmian klimatu. Kwota przyrostu strat jest iloczynem kwoty strat z okresu bazowego mnożonej przez czynniki wzrostu, tym samym w okresie analizy występuje coraz wyższa wartość strat z roku na rok. W odniesieniu do przyrostu strat z powodu zmian klimatu rekomenduje się wykorzystanie podejścia do przyrostu strat przeciwpowodziowych, spójnego z podejściem, jakie jest stosowane w raportach Komisji Europejskiej. Na podstawie Raportu KE z 2020 r.: Dottori F, Mentaschi L, Bianchi A, Alfieri L and Feyen L, Adapting to rising river flood risk in the EU under climate change, EUR 29955 EN, Publications Office of the European Union, Luxembourg, 2020, ISBN </w:t>
      </w:r>
      <w:r w:rsidRPr="007C28CC">
        <w:lastRenderedPageBreak/>
        <w:t>978-92-76-12946-2, doi:10.2760/14505, określono przyrost AAD wg Raportu KE</w:t>
      </w:r>
      <w:r w:rsidRPr="007C28CC">
        <w:br/>
        <w:t>w oparciu o projekt PESETA IV - scenariusz 2 stopni Celsjusza, co oznacza przyrost roczny na poziomie 4,2%.</w:t>
      </w:r>
    </w:p>
    <w:p w14:paraId="1680FD56" w14:textId="77777777" w:rsidR="008D527F" w:rsidRPr="007C28CC" w:rsidRDefault="008D527F" w:rsidP="008D527F">
      <w:pPr>
        <w:pStyle w:val="ReportText"/>
        <w:spacing w:before="120" w:after="120"/>
      </w:pPr>
      <w:r w:rsidRPr="007C28CC">
        <w:t>Ponadto, aspekt zmian klimatu uwzględniono w ramach analiz wielokryterialnych,</w:t>
      </w:r>
      <w:r w:rsidRPr="007C28CC">
        <w:br/>
        <w:t>w drodze ocen wariantów zidentyfikowanych w obszarach problemowych w świetle m.in. kryterium pn. Znaczenie dla realizacji strategii adaptacji do zmian klimatu. Zgodnie</w:t>
      </w:r>
      <w:r>
        <w:t xml:space="preserve"> </w:t>
      </w:r>
      <w:r w:rsidRPr="007C28CC">
        <w:t>z metodyką projektu aPZRP, w II cyklu planistycznym do analiz wielokryterialnych została zastosowana metoda AHP (the Analytic Hierarchy Process), podobnie zresztą jak w I cyklu planistycznym. Przeprowadzona została ocena wariantów w świetle ośmiu kryteriów porównawczych.</w:t>
      </w:r>
    </w:p>
    <w:p w14:paraId="6D83918C" w14:textId="77777777" w:rsidR="008D527F" w:rsidRPr="007C28CC" w:rsidRDefault="008D527F" w:rsidP="008D527F">
      <w:pPr>
        <w:pStyle w:val="ReportText"/>
        <w:spacing w:before="120" w:after="120"/>
      </w:pPr>
      <w:r w:rsidRPr="007C28CC">
        <w:t xml:space="preserve">Znaczenie dla realizacji strategii adaptacji do zmian klimatu to kryterium jakościowe, czyli takie, które nie może być określone np. poprzez koszt w PLN, liczbę sztuk, obszar, kilometry, jednostki czasu itp., natomiast może zostać ocenione w postaci przypisywanej przez ekspertów oceny, określającej stopień realizacji celu przez dany wariant pod kątem danego kryterium. </w:t>
      </w:r>
    </w:p>
    <w:p w14:paraId="7833649C" w14:textId="7E109CB5" w:rsidR="00F31701" w:rsidRDefault="00F31701">
      <w:pPr>
        <w:rPr>
          <w:b/>
          <w:color w:val="28AAE1"/>
          <w:sz w:val="36"/>
          <w:szCs w:val="20"/>
          <w:lang w:eastAsia="en-US"/>
        </w:rPr>
      </w:pPr>
    </w:p>
    <w:p w14:paraId="2D9DB59C" w14:textId="77777777" w:rsidR="008D527F" w:rsidRDefault="008D527F">
      <w:pPr>
        <w:rPr>
          <w:b/>
          <w:color w:val="28AAE1"/>
          <w:sz w:val="36"/>
          <w:szCs w:val="20"/>
          <w:lang w:eastAsia="en-US"/>
        </w:rPr>
      </w:pPr>
      <w:r>
        <w:br w:type="page"/>
      </w:r>
    </w:p>
    <w:p w14:paraId="60F7CC27" w14:textId="2B210A87" w:rsidR="00BA0236" w:rsidRPr="007C28CC" w:rsidRDefault="00BA0236" w:rsidP="00E8074C">
      <w:pPr>
        <w:pStyle w:val="ReportLevel1"/>
        <w:numPr>
          <w:ilvl w:val="0"/>
          <w:numId w:val="9"/>
        </w:numPr>
      </w:pPr>
      <w:bookmarkStart w:id="251" w:name="_Toc80604889"/>
      <w:r w:rsidRPr="007C28CC">
        <w:lastRenderedPageBreak/>
        <w:t>Wykaz skrótów</w:t>
      </w:r>
      <w:bookmarkEnd w:id="248"/>
      <w:bookmarkEnd w:id="249"/>
      <w:bookmarkEnd w:id="251"/>
    </w:p>
    <w:tbl>
      <w:tblPr>
        <w:tblW w:w="8500" w:type="dxa"/>
        <w:tblBorders>
          <w:top w:val="single" w:sz="4" w:space="0" w:color="28AAE1"/>
          <w:left w:val="single" w:sz="4" w:space="0" w:color="28AAE1"/>
          <w:bottom w:val="single" w:sz="4" w:space="0" w:color="28AAE1"/>
          <w:right w:val="single" w:sz="4" w:space="0" w:color="28AAE1"/>
          <w:insideH w:val="single" w:sz="4" w:space="0" w:color="28AAE1"/>
          <w:insideV w:val="single" w:sz="4" w:space="0" w:color="28AAE1"/>
        </w:tblBorders>
        <w:tblLayout w:type="fixed"/>
        <w:tblLook w:val="0000" w:firstRow="0" w:lastRow="0" w:firstColumn="0" w:lastColumn="0" w:noHBand="0" w:noVBand="0"/>
      </w:tblPr>
      <w:tblGrid>
        <w:gridCol w:w="1489"/>
        <w:gridCol w:w="7011"/>
      </w:tblGrid>
      <w:tr w:rsidR="00BA0236" w:rsidRPr="00E64148" w14:paraId="4CE93056" w14:textId="77777777" w:rsidTr="001002DE">
        <w:trPr>
          <w:trHeight w:val="99"/>
          <w:tblHeader/>
        </w:trPr>
        <w:tc>
          <w:tcPr>
            <w:tcW w:w="1489" w:type="dxa"/>
            <w:shd w:val="clear" w:color="auto" w:fill="D4EDF9"/>
          </w:tcPr>
          <w:p w14:paraId="1D5FCE16" w14:textId="77777777" w:rsidR="00BA0236" w:rsidRPr="00E64148" w:rsidRDefault="00BA0236" w:rsidP="001002DE">
            <w:pPr>
              <w:rPr>
                <w:b/>
                <w:bCs/>
                <w:sz w:val="22"/>
                <w:szCs w:val="22"/>
              </w:rPr>
            </w:pPr>
            <w:r w:rsidRPr="00E64148">
              <w:rPr>
                <w:b/>
                <w:bCs/>
                <w:sz w:val="22"/>
                <w:szCs w:val="22"/>
              </w:rPr>
              <w:t xml:space="preserve">Nazwa skrótu </w:t>
            </w:r>
          </w:p>
        </w:tc>
        <w:tc>
          <w:tcPr>
            <w:tcW w:w="7011" w:type="dxa"/>
            <w:shd w:val="clear" w:color="auto" w:fill="D4EDF9"/>
          </w:tcPr>
          <w:p w14:paraId="7F71D444" w14:textId="77777777" w:rsidR="00BA0236" w:rsidRPr="00E64148" w:rsidRDefault="00BA0236" w:rsidP="001002DE">
            <w:pPr>
              <w:rPr>
                <w:b/>
                <w:bCs/>
                <w:sz w:val="22"/>
                <w:szCs w:val="22"/>
              </w:rPr>
            </w:pPr>
            <w:r w:rsidRPr="00E64148">
              <w:rPr>
                <w:b/>
                <w:bCs/>
                <w:sz w:val="22"/>
                <w:szCs w:val="22"/>
              </w:rPr>
              <w:t xml:space="preserve">Rozwinięcie </w:t>
            </w:r>
          </w:p>
        </w:tc>
      </w:tr>
      <w:tr w:rsidR="00BA0236" w:rsidRPr="00E64148" w14:paraId="16A63B8C" w14:textId="77777777" w:rsidTr="001002DE">
        <w:trPr>
          <w:trHeight w:val="99"/>
          <w:tblHeader/>
        </w:trPr>
        <w:tc>
          <w:tcPr>
            <w:tcW w:w="1489" w:type="dxa"/>
            <w:shd w:val="clear" w:color="auto" w:fill="FFFFFF"/>
          </w:tcPr>
          <w:p w14:paraId="28F021FE" w14:textId="77777777" w:rsidR="00BA0236" w:rsidRPr="00E64148" w:rsidRDefault="00BA0236" w:rsidP="001002DE">
            <w:pPr>
              <w:rPr>
                <w:sz w:val="22"/>
                <w:szCs w:val="22"/>
              </w:rPr>
            </w:pPr>
            <w:r w:rsidRPr="00E64148">
              <w:rPr>
                <w:sz w:val="22"/>
                <w:szCs w:val="22"/>
              </w:rPr>
              <w:t>AHP</w:t>
            </w:r>
          </w:p>
        </w:tc>
        <w:tc>
          <w:tcPr>
            <w:tcW w:w="7011" w:type="dxa"/>
            <w:shd w:val="clear" w:color="auto" w:fill="FFFFFF"/>
          </w:tcPr>
          <w:p w14:paraId="1F54E371" w14:textId="77777777" w:rsidR="00BA0236" w:rsidRPr="00E64148" w:rsidRDefault="00BA0236" w:rsidP="001002DE">
            <w:pPr>
              <w:rPr>
                <w:sz w:val="22"/>
                <w:szCs w:val="22"/>
              </w:rPr>
            </w:pPr>
            <w:r w:rsidRPr="00E64148">
              <w:rPr>
                <w:sz w:val="22"/>
                <w:szCs w:val="22"/>
              </w:rPr>
              <w:t>Analytic Hierarchy Process – metoda analizy wielokryterialnej</w:t>
            </w:r>
          </w:p>
        </w:tc>
      </w:tr>
      <w:tr w:rsidR="00E64148" w:rsidRPr="00E64148" w14:paraId="4F54F679" w14:textId="77777777" w:rsidTr="001002DE">
        <w:trPr>
          <w:trHeight w:val="99"/>
          <w:tblHeader/>
        </w:trPr>
        <w:tc>
          <w:tcPr>
            <w:tcW w:w="1489" w:type="dxa"/>
            <w:shd w:val="clear" w:color="auto" w:fill="FFFFFF"/>
          </w:tcPr>
          <w:p w14:paraId="06B04F49" w14:textId="64C45066" w:rsidR="00E64148" w:rsidRPr="00E64148" w:rsidRDefault="00E64148" w:rsidP="00E64148">
            <w:pPr>
              <w:rPr>
                <w:sz w:val="22"/>
                <w:szCs w:val="22"/>
              </w:rPr>
            </w:pPr>
            <w:r w:rsidRPr="00E64148">
              <w:rPr>
                <w:sz w:val="22"/>
                <w:szCs w:val="22"/>
              </w:rPr>
              <w:t>AAD</w:t>
            </w:r>
          </w:p>
        </w:tc>
        <w:tc>
          <w:tcPr>
            <w:tcW w:w="7011" w:type="dxa"/>
            <w:shd w:val="clear" w:color="auto" w:fill="FFFFFF"/>
          </w:tcPr>
          <w:p w14:paraId="34DE4DA1" w14:textId="5A4D4DCB" w:rsidR="00E64148" w:rsidRPr="00E64148" w:rsidRDefault="00E64148" w:rsidP="00E64148">
            <w:pPr>
              <w:rPr>
                <w:sz w:val="22"/>
                <w:szCs w:val="22"/>
              </w:rPr>
            </w:pPr>
            <w:r w:rsidRPr="00E64148">
              <w:rPr>
                <w:sz w:val="22"/>
                <w:szCs w:val="22"/>
              </w:rPr>
              <w:t>Średnia strata roczna (ang. Annual Average Damage)</w:t>
            </w:r>
          </w:p>
        </w:tc>
      </w:tr>
      <w:tr w:rsidR="00BA0236" w:rsidRPr="00E64148" w14:paraId="42F86F4C" w14:textId="77777777" w:rsidTr="001002DE">
        <w:trPr>
          <w:trHeight w:val="99"/>
          <w:tblHeader/>
        </w:trPr>
        <w:tc>
          <w:tcPr>
            <w:tcW w:w="1489" w:type="dxa"/>
            <w:shd w:val="clear" w:color="auto" w:fill="FFFFFF"/>
          </w:tcPr>
          <w:p w14:paraId="02472701" w14:textId="77777777" w:rsidR="00BA0236" w:rsidRPr="00E64148" w:rsidRDefault="00BA0236" w:rsidP="001002DE">
            <w:pPr>
              <w:rPr>
                <w:b/>
                <w:bCs/>
                <w:sz w:val="22"/>
                <w:szCs w:val="22"/>
              </w:rPr>
            </w:pPr>
            <w:r w:rsidRPr="00E64148">
              <w:rPr>
                <w:sz w:val="22"/>
                <w:szCs w:val="22"/>
              </w:rPr>
              <w:t>aPZRP</w:t>
            </w:r>
          </w:p>
        </w:tc>
        <w:tc>
          <w:tcPr>
            <w:tcW w:w="7011" w:type="dxa"/>
            <w:shd w:val="clear" w:color="auto" w:fill="FFFFFF"/>
          </w:tcPr>
          <w:p w14:paraId="7EB00D3A" w14:textId="77777777" w:rsidR="00BA0236" w:rsidRPr="00E64148" w:rsidRDefault="00BA0236" w:rsidP="001002DE">
            <w:pPr>
              <w:rPr>
                <w:b/>
                <w:bCs/>
                <w:sz w:val="22"/>
                <w:szCs w:val="22"/>
              </w:rPr>
            </w:pPr>
            <w:r w:rsidRPr="00E64148">
              <w:rPr>
                <w:sz w:val="22"/>
                <w:szCs w:val="22"/>
              </w:rPr>
              <w:t>Aktualizacja planów zarządzania ryzykiem powodziowym („rzeczna”) - II cykl planistyczny</w:t>
            </w:r>
          </w:p>
        </w:tc>
      </w:tr>
      <w:tr w:rsidR="00BA0236" w:rsidRPr="00E64148" w14:paraId="217062E1" w14:textId="77777777" w:rsidTr="001002DE">
        <w:trPr>
          <w:trHeight w:val="99"/>
        </w:trPr>
        <w:tc>
          <w:tcPr>
            <w:tcW w:w="1489" w:type="dxa"/>
          </w:tcPr>
          <w:p w14:paraId="4FD27F84" w14:textId="77777777" w:rsidR="00BA0236" w:rsidRPr="00E64148" w:rsidRDefault="00BA0236" w:rsidP="001002DE">
            <w:pPr>
              <w:rPr>
                <w:sz w:val="22"/>
                <w:szCs w:val="22"/>
              </w:rPr>
            </w:pPr>
            <w:r w:rsidRPr="00E64148">
              <w:rPr>
                <w:sz w:val="22"/>
                <w:szCs w:val="22"/>
              </w:rPr>
              <w:t>aPZRPM</w:t>
            </w:r>
          </w:p>
        </w:tc>
        <w:tc>
          <w:tcPr>
            <w:tcW w:w="7011" w:type="dxa"/>
          </w:tcPr>
          <w:p w14:paraId="5972BAAD" w14:textId="77777777" w:rsidR="00BA0236" w:rsidRPr="00E64148" w:rsidRDefault="00BA0236" w:rsidP="001002DE">
            <w:pPr>
              <w:rPr>
                <w:sz w:val="22"/>
                <w:szCs w:val="22"/>
              </w:rPr>
            </w:pPr>
            <w:r w:rsidRPr="00E64148">
              <w:rPr>
                <w:sz w:val="22"/>
                <w:szCs w:val="22"/>
              </w:rPr>
              <w:t>Aktualizacja planów zarządzania ryzykiem powodziowym od strony morza, w tym morskich wód wewnętrznych („morska”) - II cykl planistyczny</w:t>
            </w:r>
          </w:p>
        </w:tc>
      </w:tr>
      <w:tr w:rsidR="00BA0236" w:rsidRPr="00E64148" w14:paraId="5C4312B0" w14:textId="77777777" w:rsidTr="001002DE">
        <w:trPr>
          <w:trHeight w:val="99"/>
        </w:trPr>
        <w:tc>
          <w:tcPr>
            <w:tcW w:w="1489" w:type="dxa"/>
          </w:tcPr>
          <w:p w14:paraId="6F8E1805" w14:textId="77777777" w:rsidR="00BA0236" w:rsidRPr="00E64148" w:rsidRDefault="00BA0236" w:rsidP="001002DE">
            <w:pPr>
              <w:rPr>
                <w:sz w:val="22"/>
                <w:szCs w:val="22"/>
              </w:rPr>
            </w:pPr>
            <w:r w:rsidRPr="00E64148">
              <w:rPr>
                <w:sz w:val="22"/>
                <w:szCs w:val="22"/>
              </w:rPr>
              <w:t>aWORP</w:t>
            </w:r>
          </w:p>
        </w:tc>
        <w:tc>
          <w:tcPr>
            <w:tcW w:w="7011" w:type="dxa"/>
          </w:tcPr>
          <w:p w14:paraId="393C6031" w14:textId="77777777" w:rsidR="00BA0236" w:rsidRPr="00E64148" w:rsidRDefault="00BA0236" w:rsidP="001002DE">
            <w:pPr>
              <w:rPr>
                <w:sz w:val="22"/>
                <w:szCs w:val="22"/>
              </w:rPr>
            </w:pPr>
            <w:r w:rsidRPr="00E64148">
              <w:rPr>
                <w:sz w:val="22"/>
                <w:szCs w:val="22"/>
              </w:rPr>
              <w:t>Aktualizacji wstępnej oceny ryzyka powodziowego</w:t>
            </w:r>
          </w:p>
        </w:tc>
      </w:tr>
      <w:tr w:rsidR="00BA0236" w:rsidRPr="00E64148" w14:paraId="719D16A4" w14:textId="77777777" w:rsidTr="001002DE">
        <w:trPr>
          <w:trHeight w:val="99"/>
        </w:trPr>
        <w:tc>
          <w:tcPr>
            <w:tcW w:w="1489" w:type="dxa"/>
          </w:tcPr>
          <w:p w14:paraId="1430D071" w14:textId="77777777" w:rsidR="00BA0236" w:rsidRPr="00E64148" w:rsidRDefault="00BA0236" w:rsidP="001002DE">
            <w:pPr>
              <w:rPr>
                <w:sz w:val="22"/>
                <w:szCs w:val="22"/>
              </w:rPr>
            </w:pPr>
            <w:r w:rsidRPr="00E64148">
              <w:rPr>
                <w:sz w:val="22"/>
                <w:szCs w:val="22"/>
              </w:rPr>
              <w:t>B/C</w:t>
            </w:r>
          </w:p>
        </w:tc>
        <w:tc>
          <w:tcPr>
            <w:tcW w:w="7011" w:type="dxa"/>
          </w:tcPr>
          <w:p w14:paraId="2FB9451C" w14:textId="77777777" w:rsidR="00BA0236" w:rsidRPr="00E64148" w:rsidRDefault="00BA0236" w:rsidP="001002DE">
            <w:pPr>
              <w:rPr>
                <w:sz w:val="22"/>
                <w:szCs w:val="22"/>
              </w:rPr>
            </w:pPr>
            <w:r w:rsidRPr="00E64148">
              <w:rPr>
                <w:sz w:val="22"/>
                <w:szCs w:val="22"/>
              </w:rPr>
              <w:t>Wskaźnik korzyści do kosztów (ang. Benefits / costs)</w:t>
            </w:r>
          </w:p>
        </w:tc>
      </w:tr>
      <w:tr w:rsidR="00BA0236" w:rsidRPr="00E64148" w14:paraId="420E634B" w14:textId="77777777" w:rsidTr="001002DE">
        <w:trPr>
          <w:trHeight w:val="99"/>
        </w:trPr>
        <w:tc>
          <w:tcPr>
            <w:tcW w:w="1489" w:type="dxa"/>
          </w:tcPr>
          <w:p w14:paraId="327A78C1" w14:textId="77777777" w:rsidR="00BA0236" w:rsidRPr="00E64148" w:rsidRDefault="00BA0236" w:rsidP="001002DE">
            <w:pPr>
              <w:rPr>
                <w:sz w:val="22"/>
                <w:szCs w:val="22"/>
              </w:rPr>
            </w:pPr>
            <w:r w:rsidRPr="00E64148">
              <w:rPr>
                <w:sz w:val="22"/>
                <w:szCs w:val="22"/>
              </w:rPr>
              <w:t>ENPV</w:t>
            </w:r>
          </w:p>
        </w:tc>
        <w:tc>
          <w:tcPr>
            <w:tcW w:w="7011" w:type="dxa"/>
          </w:tcPr>
          <w:p w14:paraId="1F77629A" w14:textId="77777777" w:rsidR="00BA0236" w:rsidRPr="00E64148" w:rsidRDefault="00BA0236" w:rsidP="001002DE">
            <w:pPr>
              <w:rPr>
                <w:sz w:val="22"/>
                <w:szCs w:val="22"/>
              </w:rPr>
            </w:pPr>
            <w:r w:rsidRPr="00E64148">
              <w:rPr>
                <w:sz w:val="22"/>
                <w:szCs w:val="22"/>
              </w:rPr>
              <w:t>Ekonomiczna wartość bieżąca netto (ang. Economic net present value)</w:t>
            </w:r>
          </w:p>
        </w:tc>
      </w:tr>
      <w:tr w:rsidR="00BA0236" w:rsidRPr="00E64148" w14:paraId="0B0957C8" w14:textId="77777777" w:rsidTr="001002DE">
        <w:trPr>
          <w:trHeight w:val="99"/>
        </w:trPr>
        <w:tc>
          <w:tcPr>
            <w:tcW w:w="1489" w:type="dxa"/>
          </w:tcPr>
          <w:p w14:paraId="3D041AAC" w14:textId="77777777" w:rsidR="00BA0236" w:rsidRPr="00E64148" w:rsidRDefault="00BA0236" w:rsidP="001002DE">
            <w:pPr>
              <w:rPr>
                <w:sz w:val="22"/>
                <w:szCs w:val="22"/>
              </w:rPr>
            </w:pPr>
            <w:r w:rsidRPr="00E64148">
              <w:rPr>
                <w:sz w:val="22"/>
                <w:szCs w:val="22"/>
              </w:rPr>
              <w:t>EIRR</w:t>
            </w:r>
          </w:p>
        </w:tc>
        <w:tc>
          <w:tcPr>
            <w:tcW w:w="7011" w:type="dxa"/>
          </w:tcPr>
          <w:p w14:paraId="61801DF0" w14:textId="77777777" w:rsidR="00BA0236" w:rsidRPr="00E64148" w:rsidRDefault="00BA0236" w:rsidP="001002DE">
            <w:pPr>
              <w:rPr>
                <w:sz w:val="22"/>
                <w:szCs w:val="22"/>
              </w:rPr>
            </w:pPr>
            <w:r w:rsidRPr="00E64148">
              <w:rPr>
                <w:sz w:val="22"/>
                <w:szCs w:val="22"/>
              </w:rPr>
              <w:t>Ekonomiczna wewnętrzna stopa zwrotu (ang. Economic rate of return)</w:t>
            </w:r>
          </w:p>
        </w:tc>
      </w:tr>
      <w:tr w:rsidR="00E64148" w:rsidRPr="00E64148" w14:paraId="6C42126B" w14:textId="77777777" w:rsidTr="001002DE">
        <w:trPr>
          <w:trHeight w:val="99"/>
        </w:trPr>
        <w:tc>
          <w:tcPr>
            <w:tcW w:w="1489" w:type="dxa"/>
          </w:tcPr>
          <w:p w14:paraId="38359ADE" w14:textId="3297E9D1" w:rsidR="00E64148" w:rsidRPr="00E64148" w:rsidRDefault="00E64148" w:rsidP="00E64148">
            <w:pPr>
              <w:rPr>
                <w:sz w:val="22"/>
                <w:szCs w:val="22"/>
              </w:rPr>
            </w:pPr>
            <w:r w:rsidRPr="00E64148">
              <w:rPr>
                <w:sz w:val="22"/>
                <w:szCs w:val="22"/>
              </w:rPr>
              <w:t>EPD</w:t>
            </w:r>
          </w:p>
        </w:tc>
        <w:tc>
          <w:tcPr>
            <w:tcW w:w="7011" w:type="dxa"/>
          </w:tcPr>
          <w:p w14:paraId="7B83041F" w14:textId="08F1B558" w:rsidR="00E64148" w:rsidRPr="00E64148" w:rsidRDefault="00E64148" w:rsidP="00E64148">
            <w:pPr>
              <w:rPr>
                <w:sz w:val="22"/>
                <w:szCs w:val="22"/>
              </w:rPr>
            </w:pPr>
            <w:r w:rsidRPr="00E64148">
              <w:rPr>
                <w:sz w:val="22"/>
                <w:szCs w:val="22"/>
              </w:rPr>
              <w:t>Krzywa prawdopodobieństwo–straty (ang. exceedance probability vs. damage)</w:t>
            </w:r>
          </w:p>
        </w:tc>
      </w:tr>
      <w:tr w:rsidR="00BA0236" w:rsidRPr="00E64148" w14:paraId="00850FA9" w14:textId="77777777" w:rsidTr="001002DE">
        <w:trPr>
          <w:trHeight w:val="99"/>
        </w:trPr>
        <w:tc>
          <w:tcPr>
            <w:tcW w:w="1489" w:type="dxa"/>
          </w:tcPr>
          <w:p w14:paraId="00795419" w14:textId="77777777" w:rsidR="00BA0236" w:rsidRPr="00E64148" w:rsidRDefault="00BA0236" w:rsidP="001002DE">
            <w:pPr>
              <w:rPr>
                <w:sz w:val="22"/>
                <w:szCs w:val="22"/>
              </w:rPr>
            </w:pPr>
            <w:r w:rsidRPr="00E64148">
              <w:rPr>
                <w:sz w:val="22"/>
                <w:szCs w:val="22"/>
              </w:rPr>
              <w:t>FEnIKS</w:t>
            </w:r>
          </w:p>
        </w:tc>
        <w:tc>
          <w:tcPr>
            <w:tcW w:w="7011" w:type="dxa"/>
          </w:tcPr>
          <w:p w14:paraId="499BFEA6" w14:textId="77777777" w:rsidR="00BA0236" w:rsidRPr="00E64148" w:rsidRDefault="00BA0236" w:rsidP="001002DE">
            <w:pPr>
              <w:rPr>
                <w:sz w:val="22"/>
                <w:szCs w:val="22"/>
              </w:rPr>
            </w:pPr>
            <w:r w:rsidRPr="00E64148">
              <w:rPr>
                <w:sz w:val="22"/>
                <w:szCs w:val="22"/>
              </w:rPr>
              <w:t xml:space="preserve">Fundusze Europejskie na Infrastrukturę, Klimat, Środowisko </w:t>
            </w:r>
          </w:p>
        </w:tc>
      </w:tr>
      <w:tr w:rsidR="00BA0236" w:rsidRPr="00E64148" w14:paraId="2E2C5312" w14:textId="77777777" w:rsidTr="001002DE">
        <w:trPr>
          <w:trHeight w:val="99"/>
        </w:trPr>
        <w:tc>
          <w:tcPr>
            <w:tcW w:w="1489" w:type="dxa"/>
          </w:tcPr>
          <w:p w14:paraId="0BB66DCF" w14:textId="77777777" w:rsidR="00BA0236" w:rsidRPr="00E64148" w:rsidRDefault="00BA0236" w:rsidP="001002DE">
            <w:pPr>
              <w:rPr>
                <w:sz w:val="22"/>
                <w:szCs w:val="22"/>
              </w:rPr>
            </w:pPr>
            <w:r w:rsidRPr="00E64148">
              <w:rPr>
                <w:sz w:val="22"/>
                <w:szCs w:val="22"/>
              </w:rPr>
              <w:t>JCWP</w:t>
            </w:r>
          </w:p>
        </w:tc>
        <w:tc>
          <w:tcPr>
            <w:tcW w:w="7011" w:type="dxa"/>
          </w:tcPr>
          <w:p w14:paraId="709F6681" w14:textId="77777777" w:rsidR="00BA0236" w:rsidRPr="00E64148" w:rsidRDefault="00BA0236" w:rsidP="001002DE">
            <w:pPr>
              <w:rPr>
                <w:sz w:val="22"/>
                <w:szCs w:val="22"/>
              </w:rPr>
            </w:pPr>
            <w:r w:rsidRPr="00E64148">
              <w:rPr>
                <w:sz w:val="22"/>
                <w:szCs w:val="22"/>
              </w:rPr>
              <w:t>Jednolite części wód powierzchniowych</w:t>
            </w:r>
          </w:p>
        </w:tc>
      </w:tr>
      <w:tr w:rsidR="00BA0236" w:rsidRPr="00E64148" w14:paraId="1471C4BD" w14:textId="77777777" w:rsidTr="001002DE">
        <w:trPr>
          <w:trHeight w:val="99"/>
        </w:trPr>
        <w:tc>
          <w:tcPr>
            <w:tcW w:w="1489" w:type="dxa"/>
          </w:tcPr>
          <w:p w14:paraId="757BA07E" w14:textId="77777777" w:rsidR="00BA0236" w:rsidRPr="00E64148" w:rsidRDefault="00BA0236" w:rsidP="001002DE">
            <w:pPr>
              <w:rPr>
                <w:sz w:val="22"/>
                <w:szCs w:val="22"/>
              </w:rPr>
            </w:pPr>
            <w:r w:rsidRPr="00E64148">
              <w:rPr>
                <w:sz w:val="22"/>
                <w:szCs w:val="22"/>
              </w:rPr>
              <w:t>JST</w:t>
            </w:r>
          </w:p>
        </w:tc>
        <w:tc>
          <w:tcPr>
            <w:tcW w:w="7011" w:type="dxa"/>
          </w:tcPr>
          <w:p w14:paraId="22C90281" w14:textId="77777777" w:rsidR="00BA0236" w:rsidRPr="00E64148" w:rsidRDefault="00BA0236" w:rsidP="001002DE">
            <w:pPr>
              <w:rPr>
                <w:sz w:val="22"/>
                <w:szCs w:val="22"/>
              </w:rPr>
            </w:pPr>
            <w:r w:rsidRPr="00E64148">
              <w:rPr>
                <w:sz w:val="22"/>
                <w:szCs w:val="22"/>
              </w:rPr>
              <w:t>Jednostka samorządu terytorialnego</w:t>
            </w:r>
          </w:p>
        </w:tc>
      </w:tr>
      <w:tr w:rsidR="00BA0236" w:rsidRPr="00E64148" w14:paraId="477905DD" w14:textId="77777777" w:rsidTr="001002DE">
        <w:trPr>
          <w:trHeight w:val="99"/>
        </w:trPr>
        <w:tc>
          <w:tcPr>
            <w:tcW w:w="1489" w:type="dxa"/>
          </w:tcPr>
          <w:p w14:paraId="6B955123" w14:textId="77777777" w:rsidR="00BA0236" w:rsidRPr="00E64148" w:rsidRDefault="00BA0236" w:rsidP="001002DE">
            <w:pPr>
              <w:rPr>
                <w:sz w:val="22"/>
                <w:szCs w:val="22"/>
              </w:rPr>
            </w:pPr>
            <w:r w:rsidRPr="00E64148">
              <w:rPr>
                <w:sz w:val="22"/>
                <w:szCs w:val="22"/>
              </w:rPr>
              <w:t>KPO</w:t>
            </w:r>
          </w:p>
        </w:tc>
        <w:tc>
          <w:tcPr>
            <w:tcW w:w="7011" w:type="dxa"/>
          </w:tcPr>
          <w:p w14:paraId="5A569AAF" w14:textId="77777777" w:rsidR="00BA0236" w:rsidRPr="00E64148" w:rsidRDefault="00BA0236" w:rsidP="001002DE">
            <w:pPr>
              <w:rPr>
                <w:sz w:val="22"/>
                <w:szCs w:val="22"/>
              </w:rPr>
            </w:pPr>
            <w:r w:rsidRPr="00E64148">
              <w:rPr>
                <w:sz w:val="22"/>
                <w:szCs w:val="22"/>
              </w:rPr>
              <w:t>Krajowy Plan Odbudowy i Zwiększania Odporności</w:t>
            </w:r>
          </w:p>
        </w:tc>
      </w:tr>
      <w:tr w:rsidR="00BA0236" w:rsidRPr="00E64148" w14:paraId="49ED07E3" w14:textId="77777777" w:rsidTr="001002DE">
        <w:trPr>
          <w:trHeight w:val="99"/>
        </w:trPr>
        <w:tc>
          <w:tcPr>
            <w:tcW w:w="1489" w:type="dxa"/>
          </w:tcPr>
          <w:p w14:paraId="08E2C468" w14:textId="77777777" w:rsidR="00BA0236" w:rsidRPr="00E64148" w:rsidRDefault="00BA0236" w:rsidP="001002DE">
            <w:pPr>
              <w:rPr>
                <w:sz w:val="22"/>
                <w:szCs w:val="22"/>
              </w:rPr>
            </w:pPr>
            <w:r w:rsidRPr="00E64148">
              <w:rPr>
                <w:sz w:val="22"/>
                <w:szCs w:val="22"/>
              </w:rPr>
              <w:t>LDM</w:t>
            </w:r>
          </w:p>
        </w:tc>
        <w:tc>
          <w:tcPr>
            <w:tcW w:w="7011" w:type="dxa"/>
          </w:tcPr>
          <w:p w14:paraId="7E958A71" w14:textId="77777777" w:rsidR="00BA0236" w:rsidRPr="00E64148" w:rsidRDefault="00BA0236" w:rsidP="001002DE">
            <w:pPr>
              <w:rPr>
                <w:sz w:val="22"/>
                <w:szCs w:val="22"/>
              </w:rPr>
            </w:pPr>
            <w:r w:rsidRPr="00E64148">
              <w:rPr>
                <w:sz w:val="22"/>
                <w:szCs w:val="22"/>
              </w:rPr>
              <w:t>Lista działań morskich</w:t>
            </w:r>
          </w:p>
        </w:tc>
      </w:tr>
      <w:tr w:rsidR="00BA0236" w:rsidRPr="00E64148" w14:paraId="0226044F" w14:textId="77777777" w:rsidTr="001002DE">
        <w:trPr>
          <w:trHeight w:val="99"/>
        </w:trPr>
        <w:tc>
          <w:tcPr>
            <w:tcW w:w="1489" w:type="dxa"/>
          </w:tcPr>
          <w:p w14:paraId="25546C9A" w14:textId="77777777" w:rsidR="00BA0236" w:rsidRPr="00E64148" w:rsidRDefault="00BA0236" w:rsidP="003068C0">
            <w:pPr>
              <w:rPr>
                <w:sz w:val="22"/>
                <w:szCs w:val="22"/>
              </w:rPr>
            </w:pPr>
            <w:r w:rsidRPr="00E64148">
              <w:rPr>
                <w:sz w:val="22"/>
                <w:szCs w:val="22"/>
              </w:rPr>
              <w:t>MRP</w:t>
            </w:r>
          </w:p>
        </w:tc>
        <w:tc>
          <w:tcPr>
            <w:tcW w:w="7011" w:type="dxa"/>
          </w:tcPr>
          <w:p w14:paraId="32D72152" w14:textId="77777777" w:rsidR="00BA0236" w:rsidRPr="00E64148" w:rsidRDefault="00BA0236" w:rsidP="003068C0">
            <w:pPr>
              <w:rPr>
                <w:sz w:val="22"/>
                <w:szCs w:val="22"/>
              </w:rPr>
            </w:pPr>
            <w:r w:rsidRPr="00E64148">
              <w:rPr>
                <w:sz w:val="22"/>
                <w:szCs w:val="22"/>
              </w:rPr>
              <w:t>Mapy ryzyka powodziowego</w:t>
            </w:r>
          </w:p>
        </w:tc>
      </w:tr>
      <w:tr w:rsidR="00BA0236" w:rsidRPr="00E64148" w14:paraId="3C6E5118" w14:textId="77777777" w:rsidTr="001002DE">
        <w:trPr>
          <w:trHeight w:val="99"/>
        </w:trPr>
        <w:tc>
          <w:tcPr>
            <w:tcW w:w="1489" w:type="dxa"/>
          </w:tcPr>
          <w:p w14:paraId="0780030D" w14:textId="77777777" w:rsidR="00BA0236" w:rsidRPr="00E64148" w:rsidRDefault="00BA0236" w:rsidP="003068C0">
            <w:pPr>
              <w:rPr>
                <w:sz w:val="22"/>
                <w:szCs w:val="22"/>
              </w:rPr>
            </w:pPr>
            <w:r w:rsidRPr="00E64148">
              <w:rPr>
                <w:sz w:val="22"/>
                <w:szCs w:val="22"/>
              </w:rPr>
              <w:t>MZP</w:t>
            </w:r>
          </w:p>
        </w:tc>
        <w:tc>
          <w:tcPr>
            <w:tcW w:w="7011" w:type="dxa"/>
          </w:tcPr>
          <w:p w14:paraId="5501AD9D" w14:textId="77777777" w:rsidR="00BA0236" w:rsidRPr="00E64148" w:rsidRDefault="00BA0236" w:rsidP="003068C0">
            <w:pPr>
              <w:rPr>
                <w:sz w:val="22"/>
                <w:szCs w:val="22"/>
              </w:rPr>
            </w:pPr>
            <w:r w:rsidRPr="00E64148">
              <w:rPr>
                <w:sz w:val="22"/>
                <w:szCs w:val="22"/>
              </w:rPr>
              <w:t>Mapy zagrożenia powodziowego</w:t>
            </w:r>
          </w:p>
        </w:tc>
      </w:tr>
      <w:tr w:rsidR="00BA0236" w:rsidRPr="00E64148" w14:paraId="59D08A2C" w14:textId="77777777" w:rsidTr="001002DE">
        <w:trPr>
          <w:trHeight w:val="99"/>
        </w:trPr>
        <w:tc>
          <w:tcPr>
            <w:tcW w:w="1489" w:type="dxa"/>
          </w:tcPr>
          <w:p w14:paraId="6F29D3F1" w14:textId="77777777" w:rsidR="00BA0236" w:rsidRPr="00E64148" w:rsidRDefault="00BA0236" w:rsidP="003068C0">
            <w:pPr>
              <w:rPr>
                <w:sz w:val="22"/>
                <w:szCs w:val="22"/>
              </w:rPr>
            </w:pPr>
            <w:r w:rsidRPr="00E64148">
              <w:rPr>
                <w:sz w:val="22"/>
                <w:szCs w:val="22"/>
              </w:rPr>
              <w:t>NFOŚiGW</w:t>
            </w:r>
          </w:p>
        </w:tc>
        <w:tc>
          <w:tcPr>
            <w:tcW w:w="7011" w:type="dxa"/>
          </w:tcPr>
          <w:p w14:paraId="32B4B6AB" w14:textId="77777777" w:rsidR="00BA0236" w:rsidRPr="00E64148" w:rsidRDefault="00BA0236" w:rsidP="003068C0">
            <w:pPr>
              <w:rPr>
                <w:sz w:val="22"/>
                <w:szCs w:val="22"/>
              </w:rPr>
            </w:pPr>
            <w:r w:rsidRPr="00E64148">
              <w:rPr>
                <w:sz w:val="22"/>
                <w:szCs w:val="22"/>
              </w:rPr>
              <w:t>Narodowy Fundusz Ochrony Środowiska i Gospodarki Wodnej</w:t>
            </w:r>
          </w:p>
        </w:tc>
      </w:tr>
      <w:tr w:rsidR="00BA0236" w:rsidRPr="00E64148" w14:paraId="76E0BE18" w14:textId="77777777" w:rsidTr="001002DE">
        <w:trPr>
          <w:trHeight w:val="99"/>
        </w:trPr>
        <w:tc>
          <w:tcPr>
            <w:tcW w:w="1489" w:type="dxa"/>
          </w:tcPr>
          <w:p w14:paraId="3051A1D6" w14:textId="77777777" w:rsidR="00BA0236" w:rsidRPr="00E64148" w:rsidRDefault="00BA0236" w:rsidP="003068C0">
            <w:pPr>
              <w:rPr>
                <w:sz w:val="22"/>
                <w:szCs w:val="22"/>
              </w:rPr>
            </w:pPr>
            <w:r w:rsidRPr="00E64148">
              <w:rPr>
                <w:sz w:val="22"/>
                <w:szCs w:val="22"/>
              </w:rPr>
              <w:t>POBM</w:t>
            </w:r>
          </w:p>
        </w:tc>
        <w:tc>
          <w:tcPr>
            <w:tcW w:w="7011" w:type="dxa"/>
          </w:tcPr>
          <w:p w14:paraId="46BA5F24" w14:textId="77777777" w:rsidR="00BA0236" w:rsidRPr="00E64148" w:rsidRDefault="00BA0236" w:rsidP="003068C0">
            <w:pPr>
              <w:rPr>
                <w:sz w:val="22"/>
                <w:szCs w:val="22"/>
              </w:rPr>
            </w:pPr>
            <w:r w:rsidRPr="00E64148">
              <w:rPr>
                <w:sz w:val="22"/>
                <w:szCs w:val="22"/>
              </w:rPr>
              <w:t>Program ochrony brzegów morskich</w:t>
            </w:r>
          </w:p>
        </w:tc>
      </w:tr>
      <w:tr w:rsidR="00BA0236" w:rsidRPr="00E64148" w14:paraId="709082B8" w14:textId="77777777" w:rsidTr="001002DE">
        <w:trPr>
          <w:trHeight w:val="99"/>
        </w:trPr>
        <w:tc>
          <w:tcPr>
            <w:tcW w:w="1489" w:type="dxa"/>
          </w:tcPr>
          <w:p w14:paraId="26E98CA4" w14:textId="77777777" w:rsidR="00BA0236" w:rsidRPr="00E64148" w:rsidRDefault="00BA0236" w:rsidP="003068C0">
            <w:pPr>
              <w:rPr>
                <w:sz w:val="22"/>
                <w:szCs w:val="22"/>
              </w:rPr>
            </w:pPr>
            <w:r w:rsidRPr="00E64148">
              <w:rPr>
                <w:sz w:val="22"/>
                <w:szCs w:val="22"/>
              </w:rPr>
              <w:t>PZRP</w:t>
            </w:r>
          </w:p>
        </w:tc>
        <w:tc>
          <w:tcPr>
            <w:tcW w:w="7011" w:type="dxa"/>
          </w:tcPr>
          <w:p w14:paraId="68C53509" w14:textId="77777777" w:rsidR="00BA0236" w:rsidRPr="00E64148" w:rsidRDefault="00BA0236" w:rsidP="003068C0">
            <w:pPr>
              <w:rPr>
                <w:sz w:val="22"/>
                <w:szCs w:val="22"/>
              </w:rPr>
            </w:pPr>
            <w:r w:rsidRPr="00E64148">
              <w:rPr>
                <w:sz w:val="22"/>
                <w:szCs w:val="22"/>
              </w:rPr>
              <w:t>Plan zarządzania ryzykiem powodziowym („rzeczna”) - I cykl planistyczny</w:t>
            </w:r>
          </w:p>
        </w:tc>
      </w:tr>
      <w:tr w:rsidR="00BA0236" w:rsidRPr="00E64148" w14:paraId="69ED57A1" w14:textId="77777777" w:rsidTr="001002DE">
        <w:trPr>
          <w:trHeight w:val="99"/>
        </w:trPr>
        <w:tc>
          <w:tcPr>
            <w:tcW w:w="1489" w:type="dxa"/>
          </w:tcPr>
          <w:p w14:paraId="72F3AE9F" w14:textId="77777777" w:rsidR="00BA0236" w:rsidRPr="00E64148" w:rsidRDefault="00BA0236" w:rsidP="003068C0">
            <w:pPr>
              <w:rPr>
                <w:sz w:val="22"/>
                <w:szCs w:val="22"/>
              </w:rPr>
            </w:pPr>
            <w:r w:rsidRPr="00E64148">
              <w:rPr>
                <w:sz w:val="22"/>
                <w:szCs w:val="22"/>
              </w:rPr>
              <w:t>RDW</w:t>
            </w:r>
          </w:p>
        </w:tc>
        <w:tc>
          <w:tcPr>
            <w:tcW w:w="7011" w:type="dxa"/>
          </w:tcPr>
          <w:p w14:paraId="097F0B9E" w14:textId="77777777" w:rsidR="00BA0236" w:rsidRPr="00E64148" w:rsidRDefault="00BA0236" w:rsidP="003068C0">
            <w:pPr>
              <w:tabs>
                <w:tab w:val="center" w:pos="3397"/>
              </w:tabs>
              <w:rPr>
                <w:sz w:val="22"/>
                <w:szCs w:val="22"/>
              </w:rPr>
            </w:pPr>
            <w:r w:rsidRPr="00E64148">
              <w:rPr>
                <w:sz w:val="22"/>
                <w:szCs w:val="22"/>
              </w:rPr>
              <w:t>Ramowa dyrektywa wodna</w:t>
            </w:r>
            <w:r w:rsidRPr="00E64148">
              <w:rPr>
                <w:sz w:val="22"/>
                <w:szCs w:val="22"/>
              </w:rPr>
              <w:tab/>
              <w:t xml:space="preserve"> - Dyrektywa 2000/60/WE Parlamentu Europejskiego i Rady z dnia 23 października 2000 r. ustanawiająca ramy wspólnotowego działania w dziedzinie polityki wodnej</w:t>
            </w:r>
          </w:p>
        </w:tc>
      </w:tr>
      <w:tr w:rsidR="00BA0236" w:rsidRPr="00E64148" w14:paraId="758CA4AB" w14:textId="77777777" w:rsidTr="001002DE">
        <w:trPr>
          <w:trHeight w:val="99"/>
        </w:trPr>
        <w:tc>
          <w:tcPr>
            <w:tcW w:w="1489" w:type="dxa"/>
          </w:tcPr>
          <w:p w14:paraId="5147B446" w14:textId="77777777" w:rsidR="00BA0236" w:rsidRPr="00E64148" w:rsidRDefault="00BA0236" w:rsidP="003A4530">
            <w:pPr>
              <w:rPr>
                <w:sz w:val="22"/>
                <w:szCs w:val="22"/>
              </w:rPr>
            </w:pPr>
            <w:r w:rsidRPr="00E64148">
              <w:rPr>
                <w:sz w:val="22"/>
                <w:szCs w:val="22"/>
              </w:rPr>
              <w:t>RZGW Gdańsk</w:t>
            </w:r>
          </w:p>
        </w:tc>
        <w:tc>
          <w:tcPr>
            <w:tcW w:w="7011" w:type="dxa"/>
          </w:tcPr>
          <w:p w14:paraId="46DBB3C7" w14:textId="77777777" w:rsidR="00BA0236" w:rsidRPr="00E64148" w:rsidRDefault="00BA0236" w:rsidP="003A4530">
            <w:pPr>
              <w:tabs>
                <w:tab w:val="center" w:pos="3397"/>
              </w:tabs>
              <w:rPr>
                <w:sz w:val="22"/>
                <w:szCs w:val="22"/>
              </w:rPr>
            </w:pPr>
            <w:r w:rsidRPr="00E64148">
              <w:rPr>
                <w:sz w:val="22"/>
                <w:szCs w:val="22"/>
              </w:rPr>
              <w:t>Regionalny Zarząd Gospodarki Wodnej Gdańsk</w:t>
            </w:r>
          </w:p>
        </w:tc>
      </w:tr>
      <w:tr w:rsidR="00BA0236" w:rsidRPr="00E64148" w14:paraId="4E5FB400" w14:textId="77777777" w:rsidTr="001002DE">
        <w:trPr>
          <w:trHeight w:val="99"/>
        </w:trPr>
        <w:tc>
          <w:tcPr>
            <w:tcW w:w="1489" w:type="dxa"/>
          </w:tcPr>
          <w:p w14:paraId="2F9629FC" w14:textId="77777777" w:rsidR="00BA0236" w:rsidRPr="00E64148" w:rsidRDefault="00BA0236" w:rsidP="003A4530">
            <w:pPr>
              <w:rPr>
                <w:sz w:val="22"/>
                <w:szCs w:val="22"/>
              </w:rPr>
            </w:pPr>
            <w:r w:rsidRPr="00E64148">
              <w:rPr>
                <w:sz w:val="22"/>
                <w:szCs w:val="22"/>
              </w:rPr>
              <w:t>RZGW Szczecin</w:t>
            </w:r>
          </w:p>
        </w:tc>
        <w:tc>
          <w:tcPr>
            <w:tcW w:w="7011" w:type="dxa"/>
          </w:tcPr>
          <w:p w14:paraId="2ED577BF" w14:textId="77777777" w:rsidR="00BA0236" w:rsidRPr="00E64148" w:rsidRDefault="00BA0236" w:rsidP="003A4530">
            <w:pPr>
              <w:tabs>
                <w:tab w:val="center" w:pos="3397"/>
              </w:tabs>
              <w:rPr>
                <w:sz w:val="22"/>
                <w:szCs w:val="22"/>
              </w:rPr>
            </w:pPr>
            <w:r w:rsidRPr="00E64148">
              <w:rPr>
                <w:sz w:val="22"/>
                <w:szCs w:val="22"/>
              </w:rPr>
              <w:t>Regionalny Zarząd Gospodarki Wodnej Szczecin</w:t>
            </w:r>
          </w:p>
        </w:tc>
      </w:tr>
      <w:tr w:rsidR="00BA0236" w:rsidRPr="00E64148" w14:paraId="5CC22020" w14:textId="77777777" w:rsidTr="001002DE">
        <w:trPr>
          <w:trHeight w:val="99"/>
        </w:trPr>
        <w:tc>
          <w:tcPr>
            <w:tcW w:w="1489" w:type="dxa"/>
          </w:tcPr>
          <w:p w14:paraId="48894721" w14:textId="77777777" w:rsidR="00BA0236" w:rsidRPr="00E64148" w:rsidRDefault="00BA0236" w:rsidP="003068C0">
            <w:pPr>
              <w:rPr>
                <w:sz w:val="22"/>
                <w:szCs w:val="22"/>
              </w:rPr>
            </w:pPr>
            <w:r w:rsidRPr="00E64148">
              <w:rPr>
                <w:sz w:val="22"/>
                <w:szCs w:val="22"/>
              </w:rPr>
              <w:t>S.M.A.R.T.</w:t>
            </w:r>
          </w:p>
        </w:tc>
        <w:tc>
          <w:tcPr>
            <w:tcW w:w="7011" w:type="dxa"/>
          </w:tcPr>
          <w:p w14:paraId="557AA2BD" w14:textId="77777777" w:rsidR="00BA0236" w:rsidRPr="00E64148" w:rsidRDefault="00BA0236" w:rsidP="003068C0">
            <w:pPr>
              <w:rPr>
                <w:sz w:val="22"/>
                <w:szCs w:val="22"/>
              </w:rPr>
            </w:pPr>
            <w:r w:rsidRPr="00E64148">
              <w:rPr>
                <w:sz w:val="22"/>
                <w:szCs w:val="22"/>
              </w:rPr>
              <w:t>(ang. Specific, Measurable, Achievable, Relevant, Time-bound) metoda oceny działań w zakresie kryteriów: skonkretyzowany, mierzalny, osiągalny, istotny, określony w czasie)</w:t>
            </w:r>
          </w:p>
        </w:tc>
      </w:tr>
      <w:tr w:rsidR="00BA0236" w:rsidRPr="00E64148" w14:paraId="7E7E8171" w14:textId="77777777" w:rsidTr="001002DE">
        <w:trPr>
          <w:trHeight w:val="99"/>
        </w:trPr>
        <w:tc>
          <w:tcPr>
            <w:tcW w:w="1489" w:type="dxa"/>
          </w:tcPr>
          <w:p w14:paraId="1E5741F2" w14:textId="77777777" w:rsidR="00BA0236" w:rsidRPr="00E64148" w:rsidRDefault="00BA0236" w:rsidP="003A4530">
            <w:pPr>
              <w:rPr>
                <w:sz w:val="22"/>
                <w:szCs w:val="22"/>
              </w:rPr>
            </w:pPr>
            <w:r w:rsidRPr="00E64148">
              <w:rPr>
                <w:sz w:val="22"/>
                <w:szCs w:val="22"/>
              </w:rPr>
              <w:t>UM Gdynia</w:t>
            </w:r>
          </w:p>
        </w:tc>
        <w:tc>
          <w:tcPr>
            <w:tcW w:w="7011" w:type="dxa"/>
          </w:tcPr>
          <w:p w14:paraId="14899DFC" w14:textId="77777777" w:rsidR="00BA0236" w:rsidRPr="00E64148" w:rsidRDefault="00BA0236" w:rsidP="003A4530">
            <w:pPr>
              <w:rPr>
                <w:sz w:val="22"/>
                <w:szCs w:val="22"/>
              </w:rPr>
            </w:pPr>
            <w:r w:rsidRPr="00E64148">
              <w:rPr>
                <w:sz w:val="22"/>
                <w:szCs w:val="22"/>
              </w:rPr>
              <w:t>Urząd Morski Gdynia</w:t>
            </w:r>
          </w:p>
        </w:tc>
      </w:tr>
      <w:tr w:rsidR="00BA0236" w:rsidRPr="00E64148" w14:paraId="2E493F71" w14:textId="77777777" w:rsidTr="001002DE">
        <w:trPr>
          <w:trHeight w:val="99"/>
        </w:trPr>
        <w:tc>
          <w:tcPr>
            <w:tcW w:w="1489" w:type="dxa"/>
          </w:tcPr>
          <w:p w14:paraId="5638D565" w14:textId="77777777" w:rsidR="00BA0236" w:rsidRPr="00E64148" w:rsidRDefault="00BA0236" w:rsidP="003A4530">
            <w:pPr>
              <w:rPr>
                <w:sz w:val="22"/>
                <w:szCs w:val="22"/>
              </w:rPr>
            </w:pPr>
            <w:r w:rsidRPr="00E64148">
              <w:rPr>
                <w:sz w:val="22"/>
                <w:szCs w:val="22"/>
              </w:rPr>
              <w:t>UM Szczecin</w:t>
            </w:r>
          </w:p>
        </w:tc>
        <w:tc>
          <w:tcPr>
            <w:tcW w:w="7011" w:type="dxa"/>
          </w:tcPr>
          <w:p w14:paraId="5D5F5B95" w14:textId="77777777" w:rsidR="00BA0236" w:rsidRPr="00E64148" w:rsidRDefault="00BA0236" w:rsidP="003A4530">
            <w:pPr>
              <w:rPr>
                <w:sz w:val="22"/>
                <w:szCs w:val="22"/>
              </w:rPr>
            </w:pPr>
            <w:r w:rsidRPr="00E64148">
              <w:rPr>
                <w:sz w:val="22"/>
                <w:szCs w:val="22"/>
              </w:rPr>
              <w:t>Urząd Morski Szczecin</w:t>
            </w:r>
          </w:p>
        </w:tc>
      </w:tr>
      <w:tr w:rsidR="00BA0236" w:rsidRPr="00E64148" w14:paraId="427B8323" w14:textId="77777777" w:rsidTr="001002DE">
        <w:trPr>
          <w:trHeight w:val="99"/>
        </w:trPr>
        <w:tc>
          <w:tcPr>
            <w:tcW w:w="1489" w:type="dxa"/>
          </w:tcPr>
          <w:p w14:paraId="4B13A37F" w14:textId="77777777" w:rsidR="00BA0236" w:rsidRPr="00E64148" w:rsidRDefault="00BA0236" w:rsidP="003A4530">
            <w:pPr>
              <w:rPr>
                <w:sz w:val="22"/>
                <w:szCs w:val="22"/>
              </w:rPr>
            </w:pPr>
            <w:r w:rsidRPr="00E64148">
              <w:rPr>
                <w:sz w:val="22"/>
                <w:szCs w:val="22"/>
              </w:rPr>
              <w:t>WFOŚiGW</w:t>
            </w:r>
          </w:p>
        </w:tc>
        <w:tc>
          <w:tcPr>
            <w:tcW w:w="7011" w:type="dxa"/>
          </w:tcPr>
          <w:p w14:paraId="4B7429FC" w14:textId="77777777" w:rsidR="00BA0236" w:rsidRPr="00E64148" w:rsidRDefault="00BA0236" w:rsidP="003A4530">
            <w:pPr>
              <w:rPr>
                <w:sz w:val="22"/>
                <w:szCs w:val="22"/>
              </w:rPr>
            </w:pPr>
            <w:r w:rsidRPr="00E64148">
              <w:rPr>
                <w:sz w:val="22"/>
                <w:szCs w:val="22"/>
              </w:rPr>
              <w:t>Wojewódzki Fundusz Ochrony Środowiska i Gospodarki Wodnej</w:t>
            </w:r>
          </w:p>
        </w:tc>
      </w:tr>
      <w:tr w:rsidR="00BA0236" w:rsidRPr="00E64148" w14:paraId="5D08418F" w14:textId="77777777" w:rsidTr="001002DE">
        <w:trPr>
          <w:trHeight w:val="99"/>
        </w:trPr>
        <w:tc>
          <w:tcPr>
            <w:tcW w:w="1489" w:type="dxa"/>
          </w:tcPr>
          <w:p w14:paraId="1762A059" w14:textId="77777777" w:rsidR="00BA0236" w:rsidRPr="00E64148" w:rsidRDefault="00BA0236" w:rsidP="003A4530">
            <w:pPr>
              <w:rPr>
                <w:sz w:val="22"/>
                <w:szCs w:val="22"/>
              </w:rPr>
            </w:pPr>
            <w:r w:rsidRPr="00E64148">
              <w:rPr>
                <w:sz w:val="22"/>
                <w:szCs w:val="22"/>
              </w:rPr>
              <w:t>WORP</w:t>
            </w:r>
          </w:p>
        </w:tc>
        <w:tc>
          <w:tcPr>
            <w:tcW w:w="7011" w:type="dxa"/>
          </w:tcPr>
          <w:p w14:paraId="3DAE2683" w14:textId="77777777" w:rsidR="00BA0236" w:rsidRPr="00E64148" w:rsidRDefault="00BA0236" w:rsidP="003A4530">
            <w:pPr>
              <w:rPr>
                <w:sz w:val="22"/>
                <w:szCs w:val="22"/>
              </w:rPr>
            </w:pPr>
            <w:r w:rsidRPr="00E64148">
              <w:rPr>
                <w:sz w:val="22"/>
                <w:szCs w:val="22"/>
              </w:rPr>
              <w:t>Wstępna ocena ryzyka powodziowego</w:t>
            </w:r>
          </w:p>
        </w:tc>
      </w:tr>
    </w:tbl>
    <w:p w14:paraId="20C80037" w14:textId="77777777" w:rsidR="00BA0236" w:rsidRPr="007C28CC" w:rsidRDefault="00BA0236" w:rsidP="007C28CC">
      <w:pPr>
        <w:pStyle w:val="ReportText"/>
        <w:spacing w:before="120"/>
      </w:pPr>
    </w:p>
    <w:p w14:paraId="33BCFBB9" w14:textId="77777777" w:rsidR="00BA0236" w:rsidRPr="007C28CC" w:rsidRDefault="00BA0236" w:rsidP="007C28CC">
      <w:pPr>
        <w:rPr>
          <w:szCs w:val="20"/>
          <w:lang w:eastAsia="en-US"/>
        </w:rPr>
      </w:pPr>
      <w:r w:rsidRPr="007C28CC">
        <w:br w:type="page"/>
      </w:r>
    </w:p>
    <w:p w14:paraId="7411B575" w14:textId="77777777" w:rsidR="00BA0236" w:rsidRPr="007C28CC" w:rsidRDefault="00BA0236" w:rsidP="007C28CC">
      <w:pPr>
        <w:pStyle w:val="ReportExecSummary"/>
        <w:spacing w:after="0"/>
      </w:pPr>
      <w:bookmarkStart w:id="252" w:name="_Toc79178599"/>
      <w:bookmarkStart w:id="253" w:name="_Toc79511695"/>
      <w:bookmarkStart w:id="254" w:name="_Toc80604890"/>
      <w:r w:rsidRPr="007C28CC">
        <w:lastRenderedPageBreak/>
        <w:t>Spis Tabel</w:t>
      </w:r>
      <w:bookmarkEnd w:id="252"/>
      <w:bookmarkEnd w:id="253"/>
      <w:bookmarkEnd w:id="254"/>
    </w:p>
    <w:p w14:paraId="69984C52" w14:textId="0B117090" w:rsidR="00B55B9B" w:rsidRDefault="00BA0236" w:rsidP="00B55B9B">
      <w:pPr>
        <w:pStyle w:val="Spisilustracji"/>
        <w:tabs>
          <w:tab w:val="left" w:pos="7938"/>
        </w:tabs>
        <w:rPr>
          <w:rFonts w:asciiTheme="minorHAnsi" w:eastAsiaTheme="minorEastAsia" w:hAnsiTheme="minorHAnsi" w:cstheme="minorBidi"/>
          <w:noProof/>
          <w:sz w:val="22"/>
          <w:szCs w:val="22"/>
          <w:lang w:eastAsia="pl-PL"/>
        </w:rPr>
      </w:pPr>
      <w:r w:rsidRPr="007C28CC">
        <w:rPr>
          <w:rStyle w:val="Hipercze"/>
          <w:sz w:val="22"/>
          <w:szCs w:val="22"/>
        </w:rPr>
        <w:fldChar w:fldCharType="begin"/>
      </w:r>
      <w:r w:rsidRPr="007C28CC">
        <w:rPr>
          <w:rStyle w:val="Hipercze"/>
          <w:sz w:val="22"/>
          <w:szCs w:val="22"/>
        </w:rPr>
        <w:instrText xml:space="preserve"> TOC \h \z \c "Tabela" </w:instrText>
      </w:r>
      <w:r w:rsidRPr="007C28CC">
        <w:rPr>
          <w:rStyle w:val="Hipercze"/>
          <w:sz w:val="22"/>
          <w:szCs w:val="22"/>
        </w:rPr>
        <w:fldChar w:fldCharType="separate"/>
      </w:r>
      <w:hyperlink w:anchor="_Toc80604811" w:history="1">
        <w:r w:rsidR="00B55B9B" w:rsidRPr="00F15620">
          <w:rPr>
            <w:rStyle w:val="Hipercze"/>
            <w:noProof/>
          </w:rPr>
          <w:t>Tabela 1</w:t>
        </w:r>
        <w:r w:rsidR="00B55B9B">
          <w:rPr>
            <w:rFonts w:asciiTheme="minorHAnsi" w:eastAsiaTheme="minorEastAsia" w:hAnsiTheme="minorHAnsi" w:cstheme="minorBidi"/>
            <w:noProof/>
            <w:sz w:val="22"/>
            <w:szCs w:val="22"/>
            <w:lang w:eastAsia="pl-PL"/>
          </w:rPr>
          <w:tab/>
        </w:r>
        <w:r w:rsidR="00B55B9B" w:rsidRPr="00F15620">
          <w:rPr>
            <w:rStyle w:val="Hipercze"/>
            <w:noProof/>
          </w:rPr>
          <w:t>Zidentyfikowane obszary problemowe w obszarze zlewni planistycznej Dolnej Wisły (II cykl planistyczny)</w:t>
        </w:r>
        <w:r w:rsidR="00B55B9B">
          <w:rPr>
            <w:noProof/>
            <w:webHidden/>
          </w:rPr>
          <w:tab/>
        </w:r>
        <w:r w:rsidR="00B55B9B">
          <w:rPr>
            <w:noProof/>
            <w:webHidden/>
          </w:rPr>
          <w:fldChar w:fldCharType="begin"/>
        </w:r>
        <w:r w:rsidR="00B55B9B">
          <w:rPr>
            <w:noProof/>
            <w:webHidden/>
          </w:rPr>
          <w:instrText xml:space="preserve"> PAGEREF _Toc80604811 \h </w:instrText>
        </w:r>
        <w:r w:rsidR="00B55B9B">
          <w:rPr>
            <w:noProof/>
            <w:webHidden/>
          </w:rPr>
        </w:r>
        <w:r w:rsidR="00B55B9B">
          <w:rPr>
            <w:noProof/>
            <w:webHidden/>
          </w:rPr>
          <w:fldChar w:fldCharType="separate"/>
        </w:r>
        <w:r w:rsidR="00FD3F9A">
          <w:rPr>
            <w:noProof/>
            <w:webHidden/>
          </w:rPr>
          <w:t>2</w:t>
        </w:r>
        <w:r w:rsidR="00B55B9B">
          <w:rPr>
            <w:noProof/>
            <w:webHidden/>
          </w:rPr>
          <w:fldChar w:fldCharType="end"/>
        </w:r>
      </w:hyperlink>
    </w:p>
    <w:p w14:paraId="12B4DFED" w14:textId="301374D4" w:rsidR="00B55B9B" w:rsidRDefault="004C4DA7" w:rsidP="00B55B9B">
      <w:pPr>
        <w:pStyle w:val="Spisilustracji"/>
        <w:tabs>
          <w:tab w:val="left" w:pos="7938"/>
        </w:tabs>
        <w:rPr>
          <w:rFonts w:asciiTheme="minorHAnsi" w:eastAsiaTheme="minorEastAsia" w:hAnsiTheme="minorHAnsi" w:cstheme="minorBidi"/>
          <w:noProof/>
          <w:sz w:val="22"/>
          <w:szCs w:val="22"/>
          <w:lang w:eastAsia="pl-PL"/>
        </w:rPr>
      </w:pPr>
      <w:hyperlink w:anchor="_Toc80604812" w:history="1">
        <w:r w:rsidR="00B55B9B" w:rsidRPr="00F15620">
          <w:rPr>
            <w:rStyle w:val="Hipercze"/>
            <w:noProof/>
          </w:rPr>
          <w:t>Tabela 2</w:t>
        </w:r>
        <w:r w:rsidR="00B55B9B">
          <w:rPr>
            <w:rFonts w:asciiTheme="minorHAnsi" w:eastAsiaTheme="minorEastAsia" w:hAnsiTheme="minorHAnsi" w:cstheme="minorBidi"/>
            <w:noProof/>
            <w:sz w:val="22"/>
            <w:szCs w:val="22"/>
            <w:lang w:eastAsia="pl-PL"/>
          </w:rPr>
          <w:tab/>
        </w:r>
        <w:r w:rsidR="00B55B9B" w:rsidRPr="00F15620">
          <w:rPr>
            <w:rStyle w:val="Hipercze"/>
            <w:noProof/>
          </w:rPr>
          <w:t>Wartość mienia prywatnego na terenach zabudowy mieszkaniowej uwzględniające wskaźnik straty pośredniej</w:t>
        </w:r>
        <w:r w:rsidR="00B55B9B">
          <w:rPr>
            <w:noProof/>
            <w:webHidden/>
          </w:rPr>
          <w:tab/>
        </w:r>
        <w:r w:rsidR="00B55B9B">
          <w:rPr>
            <w:noProof/>
            <w:webHidden/>
          </w:rPr>
          <w:fldChar w:fldCharType="begin"/>
        </w:r>
        <w:r w:rsidR="00B55B9B">
          <w:rPr>
            <w:noProof/>
            <w:webHidden/>
          </w:rPr>
          <w:instrText xml:space="preserve"> PAGEREF _Toc80604812 \h </w:instrText>
        </w:r>
        <w:r w:rsidR="00B55B9B">
          <w:rPr>
            <w:noProof/>
            <w:webHidden/>
          </w:rPr>
        </w:r>
        <w:r w:rsidR="00B55B9B">
          <w:rPr>
            <w:noProof/>
            <w:webHidden/>
          </w:rPr>
          <w:fldChar w:fldCharType="separate"/>
        </w:r>
        <w:r w:rsidR="00FD3F9A">
          <w:rPr>
            <w:noProof/>
            <w:webHidden/>
          </w:rPr>
          <w:t>51</w:t>
        </w:r>
        <w:r w:rsidR="00B55B9B">
          <w:rPr>
            <w:noProof/>
            <w:webHidden/>
          </w:rPr>
          <w:fldChar w:fldCharType="end"/>
        </w:r>
      </w:hyperlink>
    </w:p>
    <w:p w14:paraId="3FFF3D6C" w14:textId="4017B05F" w:rsidR="00B55B9B" w:rsidRDefault="004C4DA7" w:rsidP="00B55B9B">
      <w:pPr>
        <w:pStyle w:val="Spisilustracji"/>
        <w:tabs>
          <w:tab w:val="left" w:pos="7938"/>
        </w:tabs>
        <w:rPr>
          <w:rFonts w:asciiTheme="minorHAnsi" w:eastAsiaTheme="minorEastAsia" w:hAnsiTheme="minorHAnsi" w:cstheme="minorBidi"/>
          <w:noProof/>
          <w:sz w:val="22"/>
          <w:szCs w:val="22"/>
          <w:lang w:eastAsia="pl-PL"/>
        </w:rPr>
      </w:pPr>
      <w:hyperlink w:anchor="_Toc80604813" w:history="1">
        <w:r w:rsidR="00B55B9B" w:rsidRPr="00F15620">
          <w:rPr>
            <w:rStyle w:val="Hipercze"/>
            <w:noProof/>
          </w:rPr>
          <w:t>Tabela 3</w:t>
        </w:r>
        <w:r w:rsidR="00B55B9B">
          <w:rPr>
            <w:rFonts w:asciiTheme="minorHAnsi" w:eastAsiaTheme="minorEastAsia" w:hAnsiTheme="minorHAnsi" w:cstheme="minorBidi"/>
            <w:noProof/>
            <w:sz w:val="22"/>
            <w:szCs w:val="22"/>
            <w:lang w:eastAsia="pl-PL"/>
          </w:rPr>
          <w:tab/>
        </w:r>
        <w:r w:rsidR="00B55B9B" w:rsidRPr="00F15620">
          <w:rPr>
            <w:rStyle w:val="Hipercze"/>
            <w:noProof/>
          </w:rPr>
          <w:t>Utrata wartości majątku dla osiedli mieszkaniowych z uwzględnieniem przedziałów głębokości.</w:t>
        </w:r>
        <w:r w:rsidR="00B55B9B">
          <w:rPr>
            <w:noProof/>
            <w:webHidden/>
          </w:rPr>
          <w:tab/>
        </w:r>
        <w:r w:rsidR="00B55B9B">
          <w:rPr>
            <w:noProof/>
            <w:webHidden/>
          </w:rPr>
          <w:fldChar w:fldCharType="begin"/>
        </w:r>
        <w:r w:rsidR="00B55B9B">
          <w:rPr>
            <w:noProof/>
            <w:webHidden/>
          </w:rPr>
          <w:instrText xml:space="preserve"> PAGEREF _Toc80604813 \h </w:instrText>
        </w:r>
        <w:r w:rsidR="00B55B9B">
          <w:rPr>
            <w:noProof/>
            <w:webHidden/>
          </w:rPr>
        </w:r>
        <w:r w:rsidR="00B55B9B">
          <w:rPr>
            <w:noProof/>
            <w:webHidden/>
          </w:rPr>
          <w:fldChar w:fldCharType="separate"/>
        </w:r>
        <w:r w:rsidR="00FD3F9A">
          <w:rPr>
            <w:noProof/>
            <w:webHidden/>
          </w:rPr>
          <w:t>51</w:t>
        </w:r>
        <w:r w:rsidR="00B55B9B">
          <w:rPr>
            <w:noProof/>
            <w:webHidden/>
          </w:rPr>
          <w:fldChar w:fldCharType="end"/>
        </w:r>
      </w:hyperlink>
    </w:p>
    <w:p w14:paraId="3DE42629" w14:textId="181D839D" w:rsidR="00B55B9B" w:rsidRDefault="004C4DA7" w:rsidP="00B55B9B">
      <w:pPr>
        <w:pStyle w:val="Spisilustracji"/>
        <w:tabs>
          <w:tab w:val="left" w:pos="7938"/>
        </w:tabs>
        <w:rPr>
          <w:rFonts w:asciiTheme="minorHAnsi" w:eastAsiaTheme="minorEastAsia" w:hAnsiTheme="minorHAnsi" w:cstheme="minorBidi"/>
          <w:noProof/>
          <w:sz w:val="22"/>
          <w:szCs w:val="22"/>
          <w:lang w:eastAsia="pl-PL"/>
        </w:rPr>
      </w:pPr>
      <w:hyperlink w:anchor="_Toc80604814" w:history="1">
        <w:r w:rsidR="00B55B9B" w:rsidRPr="00F15620">
          <w:rPr>
            <w:rStyle w:val="Hipercze"/>
            <w:noProof/>
          </w:rPr>
          <w:t>Tabela 4</w:t>
        </w:r>
        <w:r w:rsidR="00B55B9B">
          <w:rPr>
            <w:rFonts w:asciiTheme="minorHAnsi" w:eastAsiaTheme="minorEastAsia" w:hAnsiTheme="minorHAnsi" w:cstheme="minorBidi"/>
            <w:noProof/>
            <w:sz w:val="22"/>
            <w:szCs w:val="22"/>
            <w:lang w:eastAsia="pl-PL"/>
          </w:rPr>
          <w:tab/>
        </w:r>
        <w:r w:rsidR="00B55B9B" w:rsidRPr="00F15620">
          <w:rPr>
            <w:rStyle w:val="Hipercze"/>
            <w:noProof/>
          </w:rPr>
          <w:t>Wartość mienia prywatnego na terenach zabudowy przemysłowej uwzględniające wskaźnik straty pośredniej</w:t>
        </w:r>
        <w:r w:rsidR="00B55B9B">
          <w:rPr>
            <w:noProof/>
            <w:webHidden/>
          </w:rPr>
          <w:tab/>
        </w:r>
        <w:r w:rsidR="00B55B9B">
          <w:rPr>
            <w:noProof/>
            <w:webHidden/>
          </w:rPr>
          <w:fldChar w:fldCharType="begin"/>
        </w:r>
        <w:r w:rsidR="00B55B9B">
          <w:rPr>
            <w:noProof/>
            <w:webHidden/>
          </w:rPr>
          <w:instrText xml:space="preserve"> PAGEREF _Toc80604814 \h </w:instrText>
        </w:r>
        <w:r w:rsidR="00B55B9B">
          <w:rPr>
            <w:noProof/>
            <w:webHidden/>
          </w:rPr>
        </w:r>
        <w:r w:rsidR="00B55B9B">
          <w:rPr>
            <w:noProof/>
            <w:webHidden/>
          </w:rPr>
          <w:fldChar w:fldCharType="separate"/>
        </w:r>
        <w:r w:rsidR="00FD3F9A">
          <w:rPr>
            <w:noProof/>
            <w:webHidden/>
          </w:rPr>
          <w:t>52</w:t>
        </w:r>
        <w:r w:rsidR="00B55B9B">
          <w:rPr>
            <w:noProof/>
            <w:webHidden/>
          </w:rPr>
          <w:fldChar w:fldCharType="end"/>
        </w:r>
      </w:hyperlink>
    </w:p>
    <w:p w14:paraId="7498C922" w14:textId="4DCE2001" w:rsidR="00B55B9B" w:rsidRDefault="004C4DA7" w:rsidP="00B55B9B">
      <w:pPr>
        <w:pStyle w:val="Spisilustracji"/>
        <w:tabs>
          <w:tab w:val="left" w:pos="7938"/>
        </w:tabs>
        <w:rPr>
          <w:rFonts w:asciiTheme="minorHAnsi" w:eastAsiaTheme="minorEastAsia" w:hAnsiTheme="minorHAnsi" w:cstheme="minorBidi"/>
          <w:noProof/>
          <w:sz w:val="22"/>
          <w:szCs w:val="22"/>
          <w:lang w:eastAsia="pl-PL"/>
        </w:rPr>
      </w:pPr>
      <w:hyperlink w:anchor="_Toc80604815" w:history="1">
        <w:r w:rsidR="00B55B9B" w:rsidRPr="00F15620">
          <w:rPr>
            <w:rStyle w:val="Hipercze"/>
            <w:noProof/>
          </w:rPr>
          <w:t>Tabela 5</w:t>
        </w:r>
        <w:r w:rsidR="00B55B9B">
          <w:rPr>
            <w:rFonts w:asciiTheme="minorHAnsi" w:eastAsiaTheme="minorEastAsia" w:hAnsiTheme="minorHAnsi" w:cstheme="minorBidi"/>
            <w:noProof/>
            <w:sz w:val="22"/>
            <w:szCs w:val="22"/>
            <w:lang w:eastAsia="pl-PL"/>
          </w:rPr>
          <w:tab/>
        </w:r>
        <w:r w:rsidR="00B55B9B" w:rsidRPr="00F15620">
          <w:rPr>
            <w:rStyle w:val="Hipercze"/>
            <w:noProof/>
          </w:rPr>
          <w:t>Utrata wartości majątku dla terenów przemysłowych z uwzględnieniem przedziałów głębokości.</w:t>
        </w:r>
        <w:r w:rsidR="00B55B9B">
          <w:rPr>
            <w:noProof/>
            <w:webHidden/>
          </w:rPr>
          <w:tab/>
        </w:r>
        <w:r w:rsidR="00B55B9B">
          <w:rPr>
            <w:noProof/>
            <w:webHidden/>
          </w:rPr>
          <w:fldChar w:fldCharType="begin"/>
        </w:r>
        <w:r w:rsidR="00B55B9B">
          <w:rPr>
            <w:noProof/>
            <w:webHidden/>
          </w:rPr>
          <w:instrText xml:space="preserve"> PAGEREF _Toc80604815 \h </w:instrText>
        </w:r>
        <w:r w:rsidR="00B55B9B">
          <w:rPr>
            <w:noProof/>
            <w:webHidden/>
          </w:rPr>
        </w:r>
        <w:r w:rsidR="00B55B9B">
          <w:rPr>
            <w:noProof/>
            <w:webHidden/>
          </w:rPr>
          <w:fldChar w:fldCharType="separate"/>
        </w:r>
        <w:r w:rsidR="00FD3F9A">
          <w:rPr>
            <w:noProof/>
            <w:webHidden/>
          </w:rPr>
          <w:t>52</w:t>
        </w:r>
        <w:r w:rsidR="00B55B9B">
          <w:rPr>
            <w:noProof/>
            <w:webHidden/>
          </w:rPr>
          <w:fldChar w:fldCharType="end"/>
        </w:r>
      </w:hyperlink>
    </w:p>
    <w:p w14:paraId="2469202E" w14:textId="7FF74B90" w:rsidR="00B55B9B" w:rsidRDefault="004C4DA7" w:rsidP="00B55B9B">
      <w:pPr>
        <w:pStyle w:val="Spisilustracji"/>
        <w:tabs>
          <w:tab w:val="left" w:pos="7938"/>
        </w:tabs>
        <w:rPr>
          <w:rFonts w:asciiTheme="minorHAnsi" w:eastAsiaTheme="minorEastAsia" w:hAnsiTheme="minorHAnsi" w:cstheme="minorBidi"/>
          <w:noProof/>
          <w:sz w:val="22"/>
          <w:szCs w:val="22"/>
          <w:lang w:eastAsia="pl-PL"/>
        </w:rPr>
      </w:pPr>
      <w:hyperlink w:anchor="_Toc80604816" w:history="1">
        <w:r w:rsidR="00B55B9B" w:rsidRPr="00F15620">
          <w:rPr>
            <w:rStyle w:val="Hipercze"/>
            <w:noProof/>
          </w:rPr>
          <w:t>Tabela 6</w:t>
        </w:r>
        <w:r w:rsidR="00B55B9B">
          <w:rPr>
            <w:rFonts w:asciiTheme="minorHAnsi" w:eastAsiaTheme="minorEastAsia" w:hAnsiTheme="minorHAnsi" w:cstheme="minorBidi"/>
            <w:noProof/>
            <w:sz w:val="22"/>
            <w:szCs w:val="22"/>
            <w:lang w:eastAsia="pl-PL"/>
          </w:rPr>
          <w:tab/>
        </w:r>
        <w:r w:rsidR="00B55B9B" w:rsidRPr="00F15620">
          <w:rPr>
            <w:rStyle w:val="Hipercze"/>
            <w:noProof/>
          </w:rPr>
          <w:t>Utrata wartości majątku dla terenów komunikacyjnych z uwzględnieniem przedziałów głębokości.</w:t>
        </w:r>
        <w:r w:rsidR="00B55B9B">
          <w:rPr>
            <w:noProof/>
            <w:webHidden/>
          </w:rPr>
          <w:tab/>
        </w:r>
        <w:r w:rsidR="00B55B9B">
          <w:rPr>
            <w:noProof/>
            <w:webHidden/>
          </w:rPr>
          <w:fldChar w:fldCharType="begin"/>
        </w:r>
        <w:r w:rsidR="00B55B9B">
          <w:rPr>
            <w:noProof/>
            <w:webHidden/>
          </w:rPr>
          <w:instrText xml:space="preserve"> PAGEREF _Toc80604816 \h </w:instrText>
        </w:r>
        <w:r w:rsidR="00B55B9B">
          <w:rPr>
            <w:noProof/>
            <w:webHidden/>
          </w:rPr>
        </w:r>
        <w:r w:rsidR="00B55B9B">
          <w:rPr>
            <w:noProof/>
            <w:webHidden/>
          </w:rPr>
          <w:fldChar w:fldCharType="separate"/>
        </w:r>
        <w:r w:rsidR="00FD3F9A">
          <w:rPr>
            <w:noProof/>
            <w:webHidden/>
          </w:rPr>
          <w:t>53</w:t>
        </w:r>
        <w:r w:rsidR="00B55B9B">
          <w:rPr>
            <w:noProof/>
            <w:webHidden/>
          </w:rPr>
          <w:fldChar w:fldCharType="end"/>
        </w:r>
      </w:hyperlink>
    </w:p>
    <w:p w14:paraId="70043DE1" w14:textId="160C64EA" w:rsidR="00B55B9B" w:rsidRDefault="004C4DA7" w:rsidP="00B55B9B">
      <w:pPr>
        <w:pStyle w:val="Spisilustracji"/>
        <w:tabs>
          <w:tab w:val="left" w:pos="7938"/>
        </w:tabs>
        <w:rPr>
          <w:rFonts w:asciiTheme="minorHAnsi" w:eastAsiaTheme="minorEastAsia" w:hAnsiTheme="minorHAnsi" w:cstheme="minorBidi"/>
          <w:noProof/>
          <w:sz w:val="22"/>
          <w:szCs w:val="22"/>
          <w:lang w:eastAsia="pl-PL"/>
        </w:rPr>
      </w:pPr>
      <w:hyperlink w:anchor="_Toc80604817" w:history="1">
        <w:r w:rsidR="00B55B9B" w:rsidRPr="00F15620">
          <w:rPr>
            <w:rStyle w:val="Hipercze"/>
            <w:noProof/>
          </w:rPr>
          <w:t>Tabela 7</w:t>
        </w:r>
        <w:r w:rsidR="00B55B9B">
          <w:rPr>
            <w:rFonts w:asciiTheme="minorHAnsi" w:eastAsiaTheme="minorEastAsia" w:hAnsiTheme="minorHAnsi" w:cstheme="minorBidi"/>
            <w:noProof/>
            <w:sz w:val="22"/>
            <w:szCs w:val="22"/>
            <w:lang w:eastAsia="pl-PL"/>
          </w:rPr>
          <w:tab/>
        </w:r>
        <w:r w:rsidR="00B55B9B" w:rsidRPr="00F15620">
          <w:rPr>
            <w:rStyle w:val="Hipercze"/>
            <w:noProof/>
          </w:rPr>
          <w:t>Wartość potencjalnych strat powodziowych dla gruntów ornych i upraw trwałych</w:t>
        </w:r>
        <w:r w:rsidR="00B55B9B">
          <w:rPr>
            <w:noProof/>
            <w:webHidden/>
          </w:rPr>
          <w:tab/>
        </w:r>
        <w:r w:rsidR="00B55B9B">
          <w:rPr>
            <w:noProof/>
            <w:webHidden/>
          </w:rPr>
          <w:fldChar w:fldCharType="begin"/>
        </w:r>
        <w:r w:rsidR="00B55B9B">
          <w:rPr>
            <w:noProof/>
            <w:webHidden/>
          </w:rPr>
          <w:instrText xml:space="preserve"> PAGEREF _Toc80604817 \h </w:instrText>
        </w:r>
        <w:r w:rsidR="00B55B9B">
          <w:rPr>
            <w:noProof/>
            <w:webHidden/>
          </w:rPr>
        </w:r>
        <w:r w:rsidR="00B55B9B">
          <w:rPr>
            <w:noProof/>
            <w:webHidden/>
          </w:rPr>
          <w:fldChar w:fldCharType="separate"/>
        </w:r>
        <w:r w:rsidR="00FD3F9A">
          <w:rPr>
            <w:noProof/>
            <w:webHidden/>
          </w:rPr>
          <w:t>54</w:t>
        </w:r>
        <w:r w:rsidR="00B55B9B">
          <w:rPr>
            <w:noProof/>
            <w:webHidden/>
          </w:rPr>
          <w:fldChar w:fldCharType="end"/>
        </w:r>
      </w:hyperlink>
    </w:p>
    <w:p w14:paraId="6DC6D147" w14:textId="258D2E4C" w:rsidR="00B55B9B" w:rsidRDefault="004C4DA7" w:rsidP="00B55B9B">
      <w:pPr>
        <w:pStyle w:val="Spisilustracji"/>
        <w:tabs>
          <w:tab w:val="left" w:pos="7938"/>
        </w:tabs>
        <w:rPr>
          <w:rFonts w:asciiTheme="minorHAnsi" w:eastAsiaTheme="minorEastAsia" w:hAnsiTheme="minorHAnsi" w:cstheme="minorBidi"/>
          <w:noProof/>
          <w:sz w:val="22"/>
          <w:szCs w:val="22"/>
          <w:lang w:eastAsia="pl-PL"/>
        </w:rPr>
      </w:pPr>
      <w:hyperlink w:anchor="_Toc80604818" w:history="1">
        <w:r w:rsidR="00B55B9B" w:rsidRPr="00F15620">
          <w:rPr>
            <w:rStyle w:val="Hipercze"/>
            <w:noProof/>
          </w:rPr>
          <w:t>Tabela 8</w:t>
        </w:r>
        <w:r w:rsidR="00B55B9B">
          <w:rPr>
            <w:rFonts w:asciiTheme="minorHAnsi" w:eastAsiaTheme="minorEastAsia" w:hAnsiTheme="minorHAnsi" w:cstheme="minorBidi"/>
            <w:noProof/>
            <w:sz w:val="22"/>
            <w:szCs w:val="22"/>
            <w:lang w:eastAsia="pl-PL"/>
          </w:rPr>
          <w:tab/>
        </w:r>
        <w:r w:rsidR="00B55B9B" w:rsidRPr="00F15620">
          <w:rPr>
            <w:rStyle w:val="Hipercze"/>
            <w:noProof/>
          </w:rPr>
          <w:t>Wartość potencjalnych strat powodziowych dla użytków zielonych</w:t>
        </w:r>
        <w:r w:rsidR="00B55B9B">
          <w:rPr>
            <w:noProof/>
            <w:webHidden/>
          </w:rPr>
          <w:tab/>
        </w:r>
        <w:r w:rsidR="00B55B9B">
          <w:rPr>
            <w:noProof/>
            <w:webHidden/>
          </w:rPr>
          <w:fldChar w:fldCharType="begin"/>
        </w:r>
        <w:r w:rsidR="00B55B9B">
          <w:rPr>
            <w:noProof/>
            <w:webHidden/>
          </w:rPr>
          <w:instrText xml:space="preserve"> PAGEREF _Toc80604818 \h </w:instrText>
        </w:r>
        <w:r w:rsidR="00B55B9B">
          <w:rPr>
            <w:noProof/>
            <w:webHidden/>
          </w:rPr>
        </w:r>
        <w:r w:rsidR="00B55B9B">
          <w:rPr>
            <w:noProof/>
            <w:webHidden/>
          </w:rPr>
          <w:fldChar w:fldCharType="separate"/>
        </w:r>
        <w:r w:rsidR="00FD3F9A">
          <w:rPr>
            <w:noProof/>
            <w:webHidden/>
          </w:rPr>
          <w:t>55</w:t>
        </w:r>
        <w:r w:rsidR="00B55B9B">
          <w:rPr>
            <w:noProof/>
            <w:webHidden/>
          </w:rPr>
          <w:fldChar w:fldCharType="end"/>
        </w:r>
      </w:hyperlink>
    </w:p>
    <w:p w14:paraId="7F578A66" w14:textId="11093FA6" w:rsidR="00B55B9B" w:rsidRDefault="004C4DA7" w:rsidP="00B55B9B">
      <w:pPr>
        <w:pStyle w:val="Spisilustracji"/>
        <w:tabs>
          <w:tab w:val="left" w:pos="7938"/>
        </w:tabs>
        <w:rPr>
          <w:rFonts w:asciiTheme="minorHAnsi" w:eastAsiaTheme="minorEastAsia" w:hAnsiTheme="minorHAnsi" w:cstheme="minorBidi"/>
          <w:noProof/>
          <w:sz w:val="22"/>
          <w:szCs w:val="22"/>
          <w:lang w:eastAsia="pl-PL"/>
        </w:rPr>
      </w:pPr>
      <w:hyperlink w:anchor="_Toc80604819" w:history="1">
        <w:r w:rsidR="00B55B9B" w:rsidRPr="00F15620">
          <w:rPr>
            <w:rStyle w:val="Hipercze"/>
            <w:noProof/>
          </w:rPr>
          <w:t>Tabela 9</w:t>
        </w:r>
        <w:r w:rsidR="00B55B9B">
          <w:rPr>
            <w:rFonts w:asciiTheme="minorHAnsi" w:eastAsiaTheme="minorEastAsia" w:hAnsiTheme="minorHAnsi" w:cstheme="minorBidi"/>
            <w:noProof/>
            <w:sz w:val="22"/>
            <w:szCs w:val="22"/>
            <w:lang w:eastAsia="pl-PL"/>
          </w:rPr>
          <w:tab/>
        </w:r>
        <w:r w:rsidR="00B55B9B" w:rsidRPr="00F15620">
          <w:rPr>
            <w:rStyle w:val="Hipercze"/>
            <w:noProof/>
          </w:rPr>
          <w:t>Szacunkowe koszty realizacji wariantów (w tys. zł) *</w:t>
        </w:r>
        <w:r w:rsidR="00B55B9B">
          <w:rPr>
            <w:noProof/>
            <w:webHidden/>
          </w:rPr>
          <w:tab/>
        </w:r>
        <w:r w:rsidR="00B55B9B">
          <w:rPr>
            <w:noProof/>
            <w:webHidden/>
          </w:rPr>
          <w:fldChar w:fldCharType="begin"/>
        </w:r>
        <w:r w:rsidR="00B55B9B">
          <w:rPr>
            <w:noProof/>
            <w:webHidden/>
          </w:rPr>
          <w:instrText xml:space="preserve"> PAGEREF _Toc80604819 \h </w:instrText>
        </w:r>
        <w:r w:rsidR="00B55B9B">
          <w:rPr>
            <w:noProof/>
            <w:webHidden/>
          </w:rPr>
        </w:r>
        <w:r w:rsidR="00B55B9B">
          <w:rPr>
            <w:noProof/>
            <w:webHidden/>
          </w:rPr>
          <w:fldChar w:fldCharType="separate"/>
        </w:r>
        <w:r w:rsidR="00FD3F9A">
          <w:rPr>
            <w:noProof/>
            <w:webHidden/>
          </w:rPr>
          <w:t>57</w:t>
        </w:r>
        <w:r w:rsidR="00B55B9B">
          <w:rPr>
            <w:noProof/>
            <w:webHidden/>
          </w:rPr>
          <w:fldChar w:fldCharType="end"/>
        </w:r>
      </w:hyperlink>
    </w:p>
    <w:p w14:paraId="5C6563C3" w14:textId="3FA5311F" w:rsidR="00B55B9B" w:rsidRDefault="004C4DA7" w:rsidP="00B55B9B">
      <w:pPr>
        <w:pStyle w:val="Spisilustracji"/>
        <w:tabs>
          <w:tab w:val="left" w:pos="7938"/>
        </w:tabs>
        <w:rPr>
          <w:rFonts w:asciiTheme="minorHAnsi" w:eastAsiaTheme="minorEastAsia" w:hAnsiTheme="minorHAnsi" w:cstheme="minorBidi"/>
          <w:noProof/>
          <w:sz w:val="22"/>
          <w:szCs w:val="22"/>
          <w:lang w:eastAsia="pl-PL"/>
        </w:rPr>
      </w:pPr>
      <w:hyperlink w:anchor="_Toc80604820" w:history="1">
        <w:r w:rsidR="00B55B9B" w:rsidRPr="00F15620">
          <w:rPr>
            <w:rStyle w:val="Hipercze"/>
            <w:noProof/>
          </w:rPr>
          <w:t>Tabela 10</w:t>
        </w:r>
        <w:r w:rsidR="00B55B9B">
          <w:rPr>
            <w:rFonts w:asciiTheme="minorHAnsi" w:eastAsiaTheme="minorEastAsia" w:hAnsiTheme="minorHAnsi" w:cstheme="minorBidi"/>
            <w:noProof/>
            <w:sz w:val="22"/>
            <w:szCs w:val="22"/>
            <w:lang w:eastAsia="pl-PL"/>
          </w:rPr>
          <w:tab/>
        </w:r>
        <w:r w:rsidR="00B55B9B" w:rsidRPr="00F15620">
          <w:rPr>
            <w:rStyle w:val="Hipercze"/>
            <w:noProof/>
          </w:rPr>
          <w:t>Wyniki analizy kosztów i korzyści dla wariantów planistycznych w zlewni planistycznej Dolnej Wisły</w:t>
        </w:r>
        <w:r w:rsidR="00B55B9B">
          <w:rPr>
            <w:noProof/>
            <w:webHidden/>
          </w:rPr>
          <w:tab/>
        </w:r>
        <w:r w:rsidR="00B55B9B">
          <w:rPr>
            <w:noProof/>
            <w:webHidden/>
          </w:rPr>
          <w:fldChar w:fldCharType="begin"/>
        </w:r>
        <w:r w:rsidR="00B55B9B">
          <w:rPr>
            <w:noProof/>
            <w:webHidden/>
          </w:rPr>
          <w:instrText xml:space="preserve"> PAGEREF _Toc80604820 \h </w:instrText>
        </w:r>
        <w:r w:rsidR="00B55B9B">
          <w:rPr>
            <w:noProof/>
            <w:webHidden/>
          </w:rPr>
        </w:r>
        <w:r w:rsidR="00B55B9B">
          <w:rPr>
            <w:noProof/>
            <w:webHidden/>
          </w:rPr>
          <w:fldChar w:fldCharType="separate"/>
        </w:r>
        <w:r w:rsidR="00FD3F9A">
          <w:rPr>
            <w:noProof/>
            <w:webHidden/>
          </w:rPr>
          <w:t>58</w:t>
        </w:r>
        <w:r w:rsidR="00B55B9B">
          <w:rPr>
            <w:noProof/>
            <w:webHidden/>
          </w:rPr>
          <w:fldChar w:fldCharType="end"/>
        </w:r>
      </w:hyperlink>
    </w:p>
    <w:p w14:paraId="38B121A8" w14:textId="07D57FB9" w:rsidR="00B55B9B" w:rsidRDefault="004C4DA7" w:rsidP="00B55B9B">
      <w:pPr>
        <w:pStyle w:val="Spisilustracji"/>
        <w:tabs>
          <w:tab w:val="left" w:pos="7938"/>
        </w:tabs>
        <w:rPr>
          <w:rFonts w:asciiTheme="minorHAnsi" w:eastAsiaTheme="minorEastAsia" w:hAnsiTheme="minorHAnsi" w:cstheme="minorBidi"/>
          <w:noProof/>
          <w:sz w:val="22"/>
          <w:szCs w:val="22"/>
          <w:lang w:eastAsia="pl-PL"/>
        </w:rPr>
      </w:pPr>
      <w:hyperlink w:anchor="_Toc80604821" w:history="1">
        <w:r w:rsidR="00B55B9B" w:rsidRPr="00F15620">
          <w:rPr>
            <w:rStyle w:val="Hipercze"/>
            <w:noProof/>
          </w:rPr>
          <w:t>Tabela 11</w:t>
        </w:r>
        <w:r w:rsidR="00B55B9B">
          <w:rPr>
            <w:rFonts w:asciiTheme="minorHAnsi" w:eastAsiaTheme="minorEastAsia" w:hAnsiTheme="minorHAnsi" w:cstheme="minorBidi"/>
            <w:noProof/>
            <w:sz w:val="22"/>
            <w:szCs w:val="22"/>
            <w:lang w:eastAsia="pl-PL"/>
          </w:rPr>
          <w:tab/>
        </w:r>
        <w:r w:rsidR="00B55B9B" w:rsidRPr="00F15620">
          <w:rPr>
            <w:rStyle w:val="Hipercze"/>
            <w:noProof/>
          </w:rPr>
          <w:t>Kryteria zbiorcze wykorzystywane w analizie wielokryterialnej wraz z przypisanymi do nich wagami</w:t>
        </w:r>
        <w:r w:rsidR="00B55B9B">
          <w:rPr>
            <w:noProof/>
            <w:webHidden/>
          </w:rPr>
          <w:tab/>
        </w:r>
        <w:r w:rsidR="00B55B9B">
          <w:rPr>
            <w:noProof/>
            <w:webHidden/>
          </w:rPr>
          <w:fldChar w:fldCharType="begin"/>
        </w:r>
        <w:r w:rsidR="00B55B9B">
          <w:rPr>
            <w:noProof/>
            <w:webHidden/>
          </w:rPr>
          <w:instrText xml:space="preserve"> PAGEREF _Toc80604821 \h </w:instrText>
        </w:r>
        <w:r w:rsidR="00B55B9B">
          <w:rPr>
            <w:noProof/>
            <w:webHidden/>
          </w:rPr>
        </w:r>
        <w:r w:rsidR="00B55B9B">
          <w:rPr>
            <w:noProof/>
            <w:webHidden/>
          </w:rPr>
          <w:fldChar w:fldCharType="separate"/>
        </w:r>
        <w:r w:rsidR="00FD3F9A">
          <w:rPr>
            <w:noProof/>
            <w:webHidden/>
          </w:rPr>
          <w:t>60</w:t>
        </w:r>
        <w:r w:rsidR="00B55B9B">
          <w:rPr>
            <w:noProof/>
            <w:webHidden/>
          </w:rPr>
          <w:fldChar w:fldCharType="end"/>
        </w:r>
      </w:hyperlink>
    </w:p>
    <w:p w14:paraId="7E65007F" w14:textId="7E8A0685" w:rsidR="00B55B9B" w:rsidRDefault="004C4DA7" w:rsidP="00B55B9B">
      <w:pPr>
        <w:pStyle w:val="Spisilustracji"/>
        <w:tabs>
          <w:tab w:val="left" w:pos="7938"/>
        </w:tabs>
        <w:rPr>
          <w:rFonts w:asciiTheme="minorHAnsi" w:eastAsiaTheme="minorEastAsia" w:hAnsiTheme="minorHAnsi" w:cstheme="minorBidi"/>
          <w:noProof/>
          <w:sz w:val="22"/>
          <w:szCs w:val="22"/>
          <w:lang w:eastAsia="pl-PL"/>
        </w:rPr>
      </w:pPr>
      <w:hyperlink w:anchor="_Toc80604822" w:history="1">
        <w:r w:rsidR="00B55B9B" w:rsidRPr="00F15620">
          <w:rPr>
            <w:rStyle w:val="Hipercze"/>
            <w:noProof/>
          </w:rPr>
          <w:t>Tabela 12</w:t>
        </w:r>
        <w:r w:rsidR="00B55B9B">
          <w:rPr>
            <w:rFonts w:asciiTheme="minorHAnsi" w:eastAsiaTheme="minorEastAsia" w:hAnsiTheme="minorHAnsi" w:cstheme="minorBidi"/>
            <w:noProof/>
            <w:sz w:val="22"/>
            <w:szCs w:val="22"/>
            <w:lang w:eastAsia="pl-PL"/>
          </w:rPr>
          <w:tab/>
        </w:r>
        <w:r w:rsidR="00B55B9B" w:rsidRPr="00F15620">
          <w:rPr>
            <w:rStyle w:val="Hipercze"/>
            <w:noProof/>
          </w:rPr>
          <w:t>Kryteria szczegółowe wykorzystywane w analizie wielokryterialnej wraz z przypisanymi do nich wagami</w:t>
        </w:r>
        <w:r w:rsidR="00B55B9B">
          <w:rPr>
            <w:noProof/>
            <w:webHidden/>
          </w:rPr>
          <w:tab/>
        </w:r>
        <w:r w:rsidR="00B55B9B">
          <w:rPr>
            <w:noProof/>
            <w:webHidden/>
          </w:rPr>
          <w:fldChar w:fldCharType="begin"/>
        </w:r>
        <w:r w:rsidR="00B55B9B">
          <w:rPr>
            <w:noProof/>
            <w:webHidden/>
          </w:rPr>
          <w:instrText xml:space="preserve"> PAGEREF _Toc80604822 \h </w:instrText>
        </w:r>
        <w:r w:rsidR="00B55B9B">
          <w:rPr>
            <w:noProof/>
            <w:webHidden/>
          </w:rPr>
        </w:r>
        <w:r w:rsidR="00B55B9B">
          <w:rPr>
            <w:noProof/>
            <w:webHidden/>
          </w:rPr>
          <w:fldChar w:fldCharType="separate"/>
        </w:r>
        <w:r w:rsidR="00FD3F9A">
          <w:rPr>
            <w:noProof/>
            <w:webHidden/>
          </w:rPr>
          <w:t>61</w:t>
        </w:r>
        <w:r w:rsidR="00B55B9B">
          <w:rPr>
            <w:noProof/>
            <w:webHidden/>
          </w:rPr>
          <w:fldChar w:fldCharType="end"/>
        </w:r>
      </w:hyperlink>
    </w:p>
    <w:p w14:paraId="03D0F982" w14:textId="136EB51E" w:rsidR="00B55B9B" w:rsidRDefault="004C4DA7" w:rsidP="00B55B9B">
      <w:pPr>
        <w:pStyle w:val="Spisilustracji"/>
        <w:tabs>
          <w:tab w:val="left" w:pos="7938"/>
        </w:tabs>
        <w:rPr>
          <w:rFonts w:asciiTheme="minorHAnsi" w:eastAsiaTheme="minorEastAsia" w:hAnsiTheme="minorHAnsi" w:cstheme="minorBidi"/>
          <w:noProof/>
          <w:sz w:val="22"/>
          <w:szCs w:val="22"/>
          <w:lang w:eastAsia="pl-PL"/>
        </w:rPr>
      </w:pPr>
      <w:hyperlink w:anchor="_Toc80604823" w:history="1">
        <w:r w:rsidR="00B55B9B" w:rsidRPr="00F15620">
          <w:rPr>
            <w:rStyle w:val="Hipercze"/>
            <w:noProof/>
          </w:rPr>
          <w:t>Tabela 13</w:t>
        </w:r>
        <w:r w:rsidR="00B55B9B">
          <w:rPr>
            <w:rFonts w:asciiTheme="minorHAnsi" w:eastAsiaTheme="minorEastAsia" w:hAnsiTheme="minorHAnsi" w:cstheme="minorBidi"/>
            <w:noProof/>
            <w:sz w:val="22"/>
            <w:szCs w:val="22"/>
            <w:lang w:eastAsia="pl-PL"/>
          </w:rPr>
          <w:tab/>
        </w:r>
        <w:r w:rsidR="00B55B9B" w:rsidRPr="00F15620">
          <w:rPr>
            <w:rStyle w:val="Hipercze"/>
            <w:noProof/>
          </w:rPr>
          <w:t>Kryteria szczegółowe wykorzystywane w analizie wielokryterialnej wraz z przypisanymi do nich wagami</w:t>
        </w:r>
        <w:r w:rsidR="00B55B9B">
          <w:rPr>
            <w:noProof/>
            <w:webHidden/>
          </w:rPr>
          <w:tab/>
        </w:r>
        <w:r w:rsidR="00B55B9B">
          <w:rPr>
            <w:noProof/>
            <w:webHidden/>
          </w:rPr>
          <w:fldChar w:fldCharType="begin"/>
        </w:r>
        <w:r w:rsidR="00B55B9B">
          <w:rPr>
            <w:noProof/>
            <w:webHidden/>
          </w:rPr>
          <w:instrText xml:space="preserve"> PAGEREF _Toc80604823 \h </w:instrText>
        </w:r>
        <w:r w:rsidR="00B55B9B">
          <w:rPr>
            <w:noProof/>
            <w:webHidden/>
          </w:rPr>
        </w:r>
        <w:r w:rsidR="00B55B9B">
          <w:rPr>
            <w:noProof/>
            <w:webHidden/>
          </w:rPr>
          <w:fldChar w:fldCharType="separate"/>
        </w:r>
        <w:r w:rsidR="00FD3F9A">
          <w:rPr>
            <w:noProof/>
            <w:webHidden/>
          </w:rPr>
          <w:t>63</w:t>
        </w:r>
        <w:r w:rsidR="00B55B9B">
          <w:rPr>
            <w:noProof/>
            <w:webHidden/>
          </w:rPr>
          <w:fldChar w:fldCharType="end"/>
        </w:r>
      </w:hyperlink>
    </w:p>
    <w:p w14:paraId="03009CF6" w14:textId="0A4A2DE6" w:rsidR="00B55B9B" w:rsidRDefault="004C4DA7" w:rsidP="00B55B9B">
      <w:pPr>
        <w:pStyle w:val="Spisilustracji"/>
        <w:tabs>
          <w:tab w:val="left" w:pos="7938"/>
        </w:tabs>
        <w:rPr>
          <w:rFonts w:asciiTheme="minorHAnsi" w:eastAsiaTheme="minorEastAsia" w:hAnsiTheme="minorHAnsi" w:cstheme="minorBidi"/>
          <w:noProof/>
          <w:sz w:val="22"/>
          <w:szCs w:val="22"/>
          <w:lang w:eastAsia="pl-PL"/>
        </w:rPr>
      </w:pPr>
      <w:hyperlink w:anchor="_Toc80604824" w:history="1">
        <w:r w:rsidR="00B55B9B" w:rsidRPr="00F15620">
          <w:rPr>
            <w:rStyle w:val="Hipercze"/>
            <w:noProof/>
          </w:rPr>
          <w:t>Tabela 14</w:t>
        </w:r>
        <w:r w:rsidR="00B55B9B">
          <w:rPr>
            <w:rFonts w:asciiTheme="minorHAnsi" w:eastAsiaTheme="minorEastAsia" w:hAnsiTheme="minorHAnsi" w:cstheme="minorBidi"/>
            <w:noProof/>
            <w:sz w:val="22"/>
            <w:szCs w:val="22"/>
            <w:lang w:eastAsia="pl-PL"/>
          </w:rPr>
          <w:tab/>
        </w:r>
        <w:r w:rsidR="00B55B9B" w:rsidRPr="00F15620">
          <w:rPr>
            <w:rStyle w:val="Hipercze"/>
            <w:noProof/>
          </w:rPr>
          <w:t>Kryteria szczegółowe wykorzystywane w analizie wielokryterialnej wraz z przypisanymi do nich wagami</w:t>
        </w:r>
        <w:r w:rsidR="00B55B9B">
          <w:rPr>
            <w:noProof/>
            <w:webHidden/>
          </w:rPr>
          <w:tab/>
        </w:r>
        <w:r w:rsidR="00B55B9B">
          <w:rPr>
            <w:noProof/>
            <w:webHidden/>
          </w:rPr>
          <w:fldChar w:fldCharType="begin"/>
        </w:r>
        <w:r w:rsidR="00B55B9B">
          <w:rPr>
            <w:noProof/>
            <w:webHidden/>
          </w:rPr>
          <w:instrText xml:space="preserve"> PAGEREF _Toc80604824 \h </w:instrText>
        </w:r>
        <w:r w:rsidR="00B55B9B">
          <w:rPr>
            <w:noProof/>
            <w:webHidden/>
          </w:rPr>
        </w:r>
        <w:r w:rsidR="00B55B9B">
          <w:rPr>
            <w:noProof/>
            <w:webHidden/>
          </w:rPr>
          <w:fldChar w:fldCharType="separate"/>
        </w:r>
        <w:r w:rsidR="00FD3F9A">
          <w:rPr>
            <w:noProof/>
            <w:webHidden/>
          </w:rPr>
          <w:t>63</w:t>
        </w:r>
        <w:r w:rsidR="00B55B9B">
          <w:rPr>
            <w:noProof/>
            <w:webHidden/>
          </w:rPr>
          <w:fldChar w:fldCharType="end"/>
        </w:r>
      </w:hyperlink>
    </w:p>
    <w:p w14:paraId="49924DB4" w14:textId="666D940D" w:rsidR="00B55B9B" w:rsidRDefault="004C4DA7" w:rsidP="00B55B9B">
      <w:pPr>
        <w:pStyle w:val="Spisilustracji"/>
        <w:tabs>
          <w:tab w:val="left" w:pos="7938"/>
        </w:tabs>
        <w:rPr>
          <w:rFonts w:asciiTheme="minorHAnsi" w:eastAsiaTheme="minorEastAsia" w:hAnsiTheme="minorHAnsi" w:cstheme="minorBidi"/>
          <w:noProof/>
          <w:sz w:val="22"/>
          <w:szCs w:val="22"/>
          <w:lang w:eastAsia="pl-PL"/>
        </w:rPr>
      </w:pPr>
      <w:hyperlink w:anchor="_Toc80604825" w:history="1">
        <w:r w:rsidR="00B55B9B" w:rsidRPr="00F15620">
          <w:rPr>
            <w:rStyle w:val="Hipercze"/>
            <w:noProof/>
          </w:rPr>
          <w:t>Tabela 15</w:t>
        </w:r>
        <w:r w:rsidR="00B55B9B">
          <w:rPr>
            <w:rFonts w:asciiTheme="minorHAnsi" w:eastAsiaTheme="minorEastAsia" w:hAnsiTheme="minorHAnsi" w:cstheme="minorBidi"/>
            <w:noProof/>
            <w:sz w:val="22"/>
            <w:szCs w:val="22"/>
            <w:lang w:eastAsia="pl-PL"/>
          </w:rPr>
          <w:tab/>
        </w:r>
        <w:r w:rsidR="00B55B9B" w:rsidRPr="00F15620">
          <w:rPr>
            <w:rStyle w:val="Hipercze"/>
            <w:noProof/>
          </w:rPr>
          <w:t>Wyniki analizy wielokryterialnej prowadzonej dla oceny wariantów planistycznych na obszarze problemowym IOP 1 Miasto Gdańsk</w:t>
        </w:r>
        <w:r w:rsidR="00B55B9B">
          <w:rPr>
            <w:noProof/>
            <w:webHidden/>
          </w:rPr>
          <w:tab/>
        </w:r>
        <w:r w:rsidR="00B55B9B">
          <w:rPr>
            <w:noProof/>
            <w:webHidden/>
          </w:rPr>
          <w:fldChar w:fldCharType="begin"/>
        </w:r>
        <w:r w:rsidR="00B55B9B">
          <w:rPr>
            <w:noProof/>
            <w:webHidden/>
          </w:rPr>
          <w:instrText xml:space="preserve"> PAGEREF _Toc80604825 \h </w:instrText>
        </w:r>
        <w:r w:rsidR="00B55B9B">
          <w:rPr>
            <w:noProof/>
            <w:webHidden/>
          </w:rPr>
        </w:r>
        <w:r w:rsidR="00B55B9B">
          <w:rPr>
            <w:noProof/>
            <w:webHidden/>
          </w:rPr>
          <w:fldChar w:fldCharType="separate"/>
        </w:r>
        <w:r w:rsidR="00FD3F9A">
          <w:rPr>
            <w:noProof/>
            <w:webHidden/>
          </w:rPr>
          <w:t>64</w:t>
        </w:r>
        <w:r w:rsidR="00B55B9B">
          <w:rPr>
            <w:noProof/>
            <w:webHidden/>
          </w:rPr>
          <w:fldChar w:fldCharType="end"/>
        </w:r>
      </w:hyperlink>
    </w:p>
    <w:p w14:paraId="0CBBBF0C" w14:textId="616806DA" w:rsidR="00B55B9B" w:rsidRDefault="004C4DA7" w:rsidP="00B55B9B">
      <w:pPr>
        <w:pStyle w:val="Spisilustracji"/>
        <w:tabs>
          <w:tab w:val="left" w:pos="7938"/>
        </w:tabs>
        <w:rPr>
          <w:rFonts w:asciiTheme="minorHAnsi" w:eastAsiaTheme="minorEastAsia" w:hAnsiTheme="minorHAnsi" w:cstheme="minorBidi"/>
          <w:noProof/>
          <w:sz w:val="22"/>
          <w:szCs w:val="22"/>
          <w:lang w:eastAsia="pl-PL"/>
        </w:rPr>
      </w:pPr>
      <w:hyperlink w:anchor="_Toc80604826" w:history="1">
        <w:r w:rsidR="00B55B9B" w:rsidRPr="00F15620">
          <w:rPr>
            <w:rStyle w:val="Hipercze"/>
            <w:noProof/>
          </w:rPr>
          <w:t>Tabela 16</w:t>
        </w:r>
        <w:r w:rsidR="00B55B9B">
          <w:rPr>
            <w:rFonts w:asciiTheme="minorHAnsi" w:eastAsiaTheme="minorEastAsia" w:hAnsiTheme="minorHAnsi" w:cstheme="minorBidi"/>
            <w:noProof/>
            <w:sz w:val="22"/>
            <w:szCs w:val="22"/>
            <w:lang w:eastAsia="pl-PL"/>
          </w:rPr>
          <w:tab/>
        </w:r>
        <w:r w:rsidR="00B55B9B" w:rsidRPr="00F15620">
          <w:rPr>
            <w:rStyle w:val="Hipercze"/>
            <w:noProof/>
          </w:rPr>
          <w:t>Wyniki analizy wielokryterialnej prowadzonej dla oceny wariantów planistycznych na obszarze problemowym IOP 2 Mierzeja Helska</w:t>
        </w:r>
        <w:r w:rsidR="00B55B9B">
          <w:rPr>
            <w:noProof/>
            <w:webHidden/>
          </w:rPr>
          <w:tab/>
        </w:r>
        <w:r w:rsidR="00B55B9B">
          <w:rPr>
            <w:noProof/>
            <w:webHidden/>
          </w:rPr>
          <w:fldChar w:fldCharType="begin"/>
        </w:r>
        <w:r w:rsidR="00B55B9B">
          <w:rPr>
            <w:noProof/>
            <w:webHidden/>
          </w:rPr>
          <w:instrText xml:space="preserve"> PAGEREF _Toc80604826 \h </w:instrText>
        </w:r>
        <w:r w:rsidR="00B55B9B">
          <w:rPr>
            <w:noProof/>
            <w:webHidden/>
          </w:rPr>
        </w:r>
        <w:r w:rsidR="00B55B9B">
          <w:rPr>
            <w:noProof/>
            <w:webHidden/>
          </w:rPr>
          <w:fldChar w:fldCharType="separate"/>
        </w:r>
        <w:r w:rsidR="00FD3F9A">
          <w:rPr>
            <w:noProof/>
            <w:webHidden/>
          </w:rPr>
          <w:t>65</w:t>
        </w:r>
        <w:r w:rsidR="00B55B9B">
          <w:rPr>
            <w:noProof/>
            <w:webHidden/>
          </w:rPr>
          <w:fldChar w:fldCharType="end"/>
        </w:r>
      </w:hyperlink>
    </w:p>
    <w:p w14:paraId="199CF2DF" w14:textId="7FDA3622" w:rsidR="00B55B9B" w:rsidRDefault="004C4DA7" w:rsidP="00B55B9B">
      <w:pPr>
        <w:pStyle w:val="Spisilustracji"/>
        <w:tabs>
          <w:tab w:val="left" w:pos="7938"/>
        </w:tabs>
        <w:rPr>
          <w:rFonts w:asciiTheme="minorHAnsi" w:eastAsiaTheme="minorEastAsia" w:hAnsiTheme="minorHAnsi" w:cstheme="minorBidi"/>
          <w:noProof/>
          <w:sz w:val="22"/>
          <w:szCs w:val="22"/>
          <w:lang w:eastAsia="pl-PL"/>
        </w:rPr>
      </w:pPr>
      <w:hyperlink w:anchor="_Toc80604827" w:history="1">
        <w:r w:rsidR="00B55B9B" w:rsidRPr="00F15620">
          <w:rPr>
            <w:rStyle w:val="Hipercze"/>
            <w:noProof/>
          </w:rPr>
          <w:t>Tabela 17</w:t>
        </w:r>
        <w:r w:rsidR="00B55B9B">
          <w:rPr>
            <w:rFonts w:asciiTheme="minorHAnsi" w:eastAsiaTheme="minorEastAsia" w:hAnsiTheme="minorHAnsi" w:cstheme="minorBidi"/>
            <w:noProof/>
            <w:sz w:val="22"/>
            <w:szCs w:val="22"/>
            <w:lang w:eastAsia="pl-PL"/>
          </w:rPr>
          <w:tab/>
        </w:r>
        <w:r w:rsidR="00B55B9B" w:rsidRPr="00F15620">
          <w:rPr>
            <w:rStyle w:val="Hipercze"/>
            <w:noProof/>
          </w:rPr>
          <w:t>Wyniki analizy wielokryterialnej prowadzonej dla oceny wariantów planistycznych na obszarze problemowym IOP 7 Ujście Słupi</w:t>
        </w:r>
        <w:r w:rsidR="00B55B9B">
          <w:rPr>
            <w:noProof/>
            <w:webHidden/>
          </w:rPr>
          <w:tab/>
        </w:r>
        <w:r w:rsidR="00B55B9B">
          <w:rPr>
            <w:noProof/>
            <w:webHidden/>
          </w:rPr>
          <w:fldChar w:fldCharType="begin"/>
        </w:r>
        <w:r w:rsidR="00B55B9B">
          <w:rPr>
            <w:noProof/>
            <w:webHidden/>
          </w:rPr>
          <w:instrText xml:space="preserve"> PAGEREF _Toc80604827 \h </w:instrText>
        </w:r>
        <w:r w:rsidR="00B55B9B">
          <w:rPr>
            <w:noProof/>
            <w:webHidden/>
          </w:rPr>
        </w:r>
        <w:r w:rsidR="00B55B9B">
          <w:rPr>
            <w:noProof/>
            <w:webHidden/>
          </w:rPr>
          <w:fldChar w:fldCharType="separate"/>
        </w:r>
        <w:r w:rsidR="00FD3F9A">
          <w:rPr>
            <w:noProof/>
            <w:webHidden/>
          </w:rPr>
          <w:t>65</w:t>
        </w:r>
        <w:r w:rsidR="00B55B9B">
          <w:rPr>
            <w:noProof/>
            <w:webHidden/>
          </w:rPr>
          <w:fldChar w:fldCharType="end"/>
        </w:r>
      </w:hyperlink>
    </w:p>
    <w:p w14:paraId="351E21BD" w14:textId="65DBFE50" w:rsidR="00B55B9B" w:rsidRDefault="004C4DA7" w:rsidP="00B55B9B">
      <w:pPr>
        <w:pStyle w:val="Spisilustracji"/>
        <w:tabs>
          <w:tab w:val="left" w:pos="7938"/>
        </w:tabs>
        <w:rPr>
          <w:rFonts w:asciiTheme="minorHAnsi" w:eastAsiaTheme="minorEastAsia" w:hAnsiTheme="minorHAnsi" w:cstheme="minorBidi"/>
          <w:noProof/>
          <w:sz w:val="22"/>
          <w:szCs w:val="22"/>
          <w:lang w:eastAsia="pl-PL"/>
        </w:rPr>
      </w:pPr>
      <w:hyperlink w:anchor="_Toc80604828" w:history="1">
        <w:r w:rsidR="00B55B9B" w:rsidRPr="00F15620">
          <w:rPr>
            <w:rStyle w:val="Hipercze"/>
            <w:noProof/>
          </w:rPr>
          <w:t>Tabela 18</w:t>
        </w:r>
        <w:r w:rsidR="00B55B9B">
          <w:rPr>
            <w:rFonts w:asciiTheme="minorHAnsi" w:eastAsiaTheme="minorEastAsia" w:hAnsiTheme="minorHAnsi" w:cstheme="minorBidi"/>
            <w:noProof/>
            <w:sz w:val="22"/>
            <w:szCs w:val="22"/>
            <w:lang w:eastAsia="pl-PL"/>
          </w:rPr>
          <w:tab/>
        </w:r>
        <w:r w:rsidR="00B55B9B" w:rsidRPr="00F15620">
          <w:rPr>
            <w:rStyle w:val="Hipercze"/>
            <w:noProof/>
          </w:rPr>
          <w:t>Wyniki analizy wielokryterialnej prowadzonej dla oceny wariantów planistycznych na obszarze problemowym IOP 12 Łeba</w:t>
        </w:r>
        <w:r w:rsidR="00B55B9B">
          <w:rPr>
            <w:noProof/>
            <w:webHidden/>
          </w:rPr>
          <w:tab/>
        </w:r>
        <w:r w:rsidR="00B55B9B">
          <w:rPr>
            <w:noProof/>
            <w:webHidden/>
          </w:rPr>
          <w:fldChar w:fldCharType="begin"/>
        </w:r>
        <w:r w:rsidR="00B55B9B">
          <w:rPr>
            <w:noProof/>
            <w:webHidden/>
          </w:rPr>
          <w:instrText xml:space="preserve"> PAGEREF _Toc80604828 \h </w:instrText>
        </w:r>
        <w:r w:rsidR="00B55B9B">
          <w:rPr>
            <w:noProof/>
            <w:webHidden/>
          </w:rPr>
        </w:r>
        <w:r w:rsidR="00B55B9B">
          <w:rPr>
            <w:noProof/>
            <w:webHidden/>
          </w:rPr>
          <w:fldChar w:fldCharType="separate"/>
        </w:r>
        <w:r w:rsidR="00FD3F9A">
          <w:rPr>
            <w:noProof/>
            <w:webHidden/>
          </w:rPr>
          <w:t>66</w:t>
        </w:r>
        <w:r w:rsidR="00B55B9B">
          <w:rPr>
            <w:noProof/>
            <w:webHidden/>
          </w:rPr>
          <w:fldChar w:fldCharType="end"/>
        </w:r>
      </w:hyperlink>
    </w:p>
    <w:p w14:paraId="6001297F" w14:textId="0ED11B30" w:rsidR="00B55B9B" w:rsidRDefault="004C4DA7" w:rsidP="00B55B9B">
      <w:pPr>
        <w:pStyle w:val="Spisilustracji"/>
        <w:tabs>
          <w:tab w:val="left" w:pos="7938"/>
        </w:tabs>
        <w:rPr>
          <w:rFonts w:asciiTheme="minorHAnsi" w:eastAsiaTheme="minorEastAsia" w:hAnsiTheme="minorHAnsi" w:cstheme="minorBidi"/>
          <w:noProof/>
          <w:sz w:val="22"/>
          <w:szCs w:val="22"/>
          <w:lang w:eastAsia="pl-PL"/>
        </w:rPr>
      </w:pPr>
      <w:hyperlink w:anchor="_Toc80604829" w:history="1">
        <w:r w:rsidR="00B55B9B" w:rsidRPr="00F15620">
          <w:rPr>
            <w:rStyle w:val="Hipercze"/>
            <w:noProof/>
          </w:rPr>
          <w:t>Tabela 19</w:t>
        </w:r>
        <w:r w:rsidR="00B55B9B">
          <w:rPr>
            <w:rFonts w:asciiTheme="minorHAnsi" w:eastAsiaTheme="minorEastAsia" w:hAnsiTheme="minorHAnsi" w:cstheme="minorBidi"/>
            <w:noProof/>
            <w:sz w:val="22"/>
            <w:szCs w:val="22"/>
            <w:lang w:eastAsia="pl-PL"/>
          </w:rPr>
          <w:tab/>
        </w:r>
        <w:r w:rsidR="00B55B9B" w:rsidRPr="00F15620">
          <w:rPr>
            <w:rStyle w:val="Hipercze"/>
            <w:noProof/>
          </w:rPr>
          <w:t>Wyniki analizy wielokryterialnej prowadzonej dla oceny wariantów planistycznych na obszarze problemowym MR 1 Żuławy Wiślane</w:t>
        </w:r>
        <w:r w:rsidR="00B55B9B">
          <w:rPr>
            <w:noProof/>
            <w:webHidden/>
          </w:rPr>
          <w:tab/>
        </w:r>
        <w:r w:rsidR="00B55B9B">
          <w:rPr>
            <w:noProof/>
            <w:webHidden/>
          </w:rPr>
          <w:fldChar w:fldCharType="begin"/>
        </w:r>
        <w:r w:rsidR="00B55B9B">
          <w:rPr>
            <w:noProof/>
            <w:webHidden/>
          </w:rPr>
          <w:instrText xml:space="preserve"> PAGEREF _Toc80604829 \h </w:instrText>
        </w:r>
        <w:r w:rsidR="00B55B9B">
          <w:rPr>
            <w:noProof/>
            <w:webHidden/>
          </w:rPr>
        </w:r>
        <w:r w:rsidR="00B55B9B">
          <w:rPr>
            <w:noProof/>
            <w:webHidden/>
          </w:rPr>
          <w:fldChar w:fldCharType="separate"/>
        </w:r>
        <w:r w:rsidR="00FD3F9A">
          <w:rPr>
            <w:noProof/>
            <w:webHidden/>
          </w:rPr>
          <w:t>66</w:t>
        </w:r>
        <w:r w:rsidR="00B55B9B">
          <w:rPr>
            <w:noProof/>
            <w:webHidden/>
          </w:rPr>
          <w:fldChar w:fldCharType="end"/>
        </w:r>
      </w:hyperlink>
    </w:p>
    <w:p w14:paraId="27A1E52C" w14:textId="10334918" w:rsidR="00B55B9B" w:rsidRDefault="004C4DA7" w:rsidP="00B55B9B">
      <w:pPr>
        <w:pStyle w:val="Spisilustracji"/>
        <w:tabs>
          <w:tab w:val="left" w:pos="7938"/>
        </w:tabs>
        <w:rPr>
          <w:rFonts w:asciiTheme="minorHAnsi" w:eastAsiaTheme="minorEastAsia" w:hAnsiTheme="minorHAnsi" w:cstheme="minorBidi"/>
          <w:noProof/>
          <w:sz w:val="22"/>
          <w:szCs w:val="22"/>
          <w:lang w:eastAsia="pl-PL"/>
        </w:rPr>
      </w:pPr>
      <w:hyperlink w:anchor="_Toc80604830" w:history="1">
        <w:r w:rsidR="00B55B9B" w:rsidRPr="00F15620">
          <w:rPr>
            <w:rStyle w:val="Hipercze"/>
            <w:noProof/>
          </w:rPr>
          <w:t>Tabela 20</w:t>
        </w:r>
        <w:r w:rsidR="00B55B9B">
          <w:rPr>
            <w:rFonts w:asciiTheme="minorHAnsi" w:eastAsiaTheme="minorEastAsia" w:hAnsiTheme="minorHAnsi" w:cstheme="minorBidi"/>
            <w:noProof/>
            <w:sz w:val="22"/>
            <w:szCs w:val="22"/>
            <w:lang w:eastAsia="pl-PL"/>
          </w:rPr>
          <w:tab/>
        </w:r>
        <w:r w:rsidR="00B55B9B" w:rsidRPr="00F15620">
          <w:rPr>
            <w:rStyle w:val="Hipercze"/>
            <w:noProof/>
          </w:rPr>
          <w:t>Wyniki analizy wielokryterialnej prowadzonej dla oceny wariantów planistycznych na obszarze problemowym MR 2 Mechelinki, Rewa, Mosty, Połchowo - ujście Redy</w:t>
        </w:r>
        <w:r w:rsidR="00B55B9B">
          <w:rPr>
            <w:noProof/>
            <w:webHidden/>
          </w:rPr>
          <w:tab/>
        </w:r>
        <w:r w:rsidR="00B55B9B">
          <w:rPr>
            <w:noProof/>
            <w:webHidden/>
          </w:rPr>
          <w:fldChar w:fldCharType="begin"/>
        </w:r>
        <w:r w:rsidR="00B55B9B">
          <w:rPr>
            <w:noProof/>
            <w:webHidden/>
          </w:rPr>
          <w:instrText xml:space="preserve"> PAGEREF _Toc80604830 \h </w:instrText>
        </w:r>
        <w:r w:rsidR="00B55B9B">
          <w:rPr>
            <w:noProof/>
            <w:webHidden/>
          </w:rPr>
        </w:r>
        <w:r w:rsidR="00B55B9B">
          <w:rPr>
            <w:noProof/>
            <w:webHidden/>
          </w:rPr>
          <w:fldChar w:fldCharType="separate"/>
        </w:r>
        <w:r w:rsidR="00FD3F9A">
          <w:rPr>
            <w:noProof/>
            <w:webHidden/>
          </w:rPr>
          <w:t>67</w:t>
        </w:r>
        <w:r w:rsidR="00B55B9B">
          <w:rPr>
            <w:noProof/>
            <w:webHidden/>
          </w:rPr>
          <w:fldChar w:fldCharType="end"/>
        </w:r>
      </w:hyperlink>
    </w:p>
    <w:p w14:paraId="08E1A261" w14:textId="66F88244" w:rsidR="00B55B9B" w:rsidRDefault="004C4DA7" w:rsidP="00B55B9B">
      <w:pPr>
        <w:pStyle w:val="Spisilustracji"/>
        <w:tabs>
          <w:tab w:val="left" w:pos="7938"/>
        </w:tabs>
        <w:rPr>
          <w:rFonts w:asciiTheme="minorHAnsi" w:eastAsiaTheme="minorEastAsia" w:hAnsiTheme="minorHAnsi" w:cstheme="minorBidi"/>
          <w:noProof/>
          <w:sz w:val="22"/>
          <w:szCs w:val="22"/>
          <w:lang w:eastAsia="pl-PL"/>
        </w:rPr>
      </w:pPr>
      <w:hyperlink w:anchor="_Toc80604831" w:history="1">
        <w:r w:rsidR="00B55B9B" w:rsidRPr="00F15620">
          <w:rPr>
            <w:rStyle w:val="Hipercze"/>
            <w:noProof/>
          </w:rPr>
          <w:t>Tabela 21</w:t>
        </w:r>
        <w:r w:rsidR="00B55B9B">
          <w:rPr>
            <w:rFonts w:asciiTheme="minorHAnsi" w:eastAsiaTheme="minorEastAsia" w:hAnsiTheme="minorHAnsi" w:cstheme="minorBidi"/>
            <w:noProof/>
            <w:sz w:val="22"/>
            <w:szCs w:val="22"/>
            <w:lang w:eastAsia="pl-PL"/>
          </w:rPr>
          <w:tab/>
        </w:r>
        <w:r w:rsidR="00B55B9B" w:rsidRPr="00F15620">
          <w:rPr>
            <w:rStyle w:val="Hipercze"/>
            <w:noProof/>
          </w:rPr>
          <w:t>Ostateczna lista działań aPZRPM</w:t>
        </w:r>
        <w:r w:rsidR="00B55B9B">
          <w:rPr>
            <w:noProof/>
            <w:webHidden/>
          </w:rPr>
          <w:tab/>
        </w:r>
        <w:r w:rsidR="00B55B9B">
          <w:rPr>
            <w:noProof/>
            <w:webHidden/>
          </w:rPr>
          <w:fldChar w:fldCharType="begin"/>
        </w:r>
        <w:r w:rsidR="00B55B9B">
          <w:rPr>
            <w:noProof/>
            <w:webHidden/>
          </w:rPr>
          <w:instrText xml:space="preserve"> PAGEREF _Toc80604831 \h </w:instrText>
        </w:r>
        <w:r w:rsidR="00B55B9B">
          <w:rPr>
            <w:noProof/>
            <w:webHidden/>
          </w:rPr>
        </w:r>
        <w:r w:rsidR="00B55B9B">
          <w:rPr>
            <w:noProof/>
            <w:webHidden/>
          </w:rPr>
          <w:fldChar w:fldCharType="separate"/>
        </w:r>
        <w:r w:rsidR="00FD3F9A">
          <w:rPr>
            <w:noProof/>
            <w:webHidden/>
          </w:rPr>
          <w:t>68</w:t>
        </w:r>
        <w:r w:rsidR="00B55B9B">
          <w:rPr>
            <w:noProof/>
            <w:webHidden/>
          </w:rPr>
          <w:fldChar w:fldCharType="end"/>
        </w:r>
      </w:hyperlink>
    </w:p>
    <w:p w14:paraId="531F0B19" w14:textId="2FF43910" w:rsidR="00B55B9B" w:rsidRDefault="004C4DA7" w:rsidP="00B55B9B">
      <w:pPr>
        <w:pStyle w:val="Spisilustracji"/>
        <w:tabs>
          <w:tab w:val="left" w:pos="7938"/>
        </w:tabs>
        <w:rPr>
          <w:rFonts w:asciiTheme="minorHAnsi" w:eastAsiaTheme="minorEastAsia" w:hAnsiTheme="minorHAnsi" w:cstheme="minorBidi"/>
          <w:noProof/>
          <w:sz w:val="22"/>
          <w:szCs w:val="22"/>
          <w:lang w:eastAsia="pl-PL"/>
        </w:rPr>
      </w:pPr>
      <w:hyperlink w:anchor="_Toc80604832" w:history="1">
        <w:r w:rsidR="00B55B9B" w:rsidRPr="00F15620">
          <w:rPr>
            <w:rStyle w:val="Hipercze"/>
            <w:noProof/>
          </w:rPr>
          <w:t>Tabela 22</w:t>
        </w:r>
        <w:r w:rsidR="00B55B9B">
          <w:rPr>
            <w:rFonts w:asciiTheme="minorHAnsi" w:eastAsiaTheme="minorEastAsia" w:hAnsiTheme="minorHAnsi" w:cstheme="minorBidi"/>
            <w:noProof/>
            <w:sz w:val="22"/>
            <w:szCs w:val="22"/>
            <w:lang w:eastAsia="pl-PL"/>
          </w:rPr>
          <w:tab/>
        </w:r>
        <w:r w:rsidR="00B55B9B" w:rsidRPr="00F15620">
          <w:rPr>
            <w:rStyle w:val="Hipercze"/>
            <w:noProof/>
          </w:rPr>
          <w:t>Ocena istotności oddziaływań na stan i cele środowiskowe JCWP – podsumowanie</w:t>
        </w:r>
        <w:r w:rsidR="00B55B9B">
          <w:rPr>
            <w:noProof/>
            <w:webHidden/>
          </w:rPr>
          <w:tab/>
        </w:r>
        <w:r w:rsidR="00B55B9B">
          <w:rPr>
            <w:noProof/>
            <w:webHidden/>
          </w:rPr>
          <w:fldChar w:fldCharType="begin"/>
        </w:r>
        <w:r w:rsidR="00B55B9B">
          <w:rPr>
            <w:noProof/>
            <w:webHidden/>
          </w:rPr>
          <w:instrText xml:space="preserve"> PAGEREF _Toc80604832 \h </w:instrText>
        </w:r>
        <w:r w:rsidR="00B55B9B">
          <w:rPr>
            <w:noProof/>
            <w:webHidden/>
          </w:rPr>
        </w:r>
        <w:r w:rsidR="00B55B9B">
          <w:rPr>
            <w:noProof/>
            <w:webHidden/>
          </w:rPr>
          <w:fldChar w:fldCharType="separate"/>
        </w:r>
        <w:r w:rsidR="00FD3F9A">
          <w:rPr>
            <w:noProof/>
            <w:webHidden/>
          </w:rPr>
          <w:t>79</w:t>
        </w:r>
        <w:r w:rsidR="00B55B9B">
          <w:rPr>
            <w:noProof/>
            <w:webHidden/>
          </w:rPr>
          <w:fldChar w:fldCharType="end"/>
        </w:r>
      </w:hyperlink>
    </w:p>
    <w:p w14:paraId="68F9B032" w14:textId="2BEE5E3A" w:rsidR="00B55B9B" w:rsidRDefault="004C4DA7" w:rsidP="00B55B9B">
      <w:pPr>
        <w:pStyle w:val="Spisilustracji"/>
        <w:tabs>
          <w:tab w:val="left" w:pos="7938"/>
        </w:tabs>
        <w:rPr>
          <w:rFonts w:asciiTheme="minorHAnsi" w:eastAsiaTheme="minorEastAsia" w:hAnsiTheme="minorHAnsi" w:cstheme="minorBidi"/>
          <w:noProof/>
          <w:sz w:val="22"/>
          <w:szCs w:val="22"/>
          <w:lang w:eastAsia="pl-PL"/>
        </w:rPr>
      </w:pPr>
      <w:hyperlink w:anchor="_Toc80604833" w:history="1">
        <w:r w:rsidR="00B55B9B" w:rsidRPr="00F15620">
          <w:rPr>
            <w:rStyle w:val="Hipercze"/>
            <w:noProof/>
          </w:rPr>
          <w:t>Tabela 23</w:t>
        </w:r>
        <w:r w:rsidR="00B55B9B">
          <w:rPr>
            <w:rFonts w:asciiTheme="minorHAnsi" w:eastAsiaTheme="minorEastAsia" w:hAnsiTheme="minorHAnsi" w:cstheme="minorBidi"/>
            <w:noProof/>
            <w:sz w:val="22"/>
            <w:szCs w:val="22"/>
            <w:lang w:eastAsia="pl-PL"/>
          </w:rPr>
          <w:tab/>
        </w:r>
        <w:r w:rsidR="00B55B9B" w:rsidRPr="00F15620">
          <w:rPr>
            <w:rStyle w:val="Hipercze"/>
            <w:noProof/>
          </w:rPr>
          <w:t>Identyfikacja JCWP w obrębie, których zlokalizowane są inwestycje i działania oraz tych, na które mogą one oddziaływać</w:t>
        </w:r>
        <w:r w:rsidR="00B55B9B">
          <w:rPr>
            <w:noProof/>
            <w:webHidden/>
          </w:rPr>
          <w:tab/>
        </w:r>
        <w:r w:rsidR="00B55B9B">
          <w:rPr>
            <w:noProof/>
            <w:webHidden/>
          </w:rPr>
          <w:fldChar w:fldCharType="begin"/>
        </w:r>
        <w:r w:rsidR="00B55B9B">
          <w:rPr>
            <w:noProof/>
            <w:webHidden/>
          </w:rPr>
          <w:instrText xml:space="preserve"> PAGEREF _Toc80604833 \h </w:instrText>
        </w:r>
        <w:r w:rsidR="00B55B9B">
          <w:rPr>
            <w:noProof/>
            <w:webHidden/>
          </w:rPr>
        </w:r>
        <w:r w:rsidR="00B55B9B">
          <w:rPr>
            <w:noProof/>
            <w:webHidden/>
          </w:rPr>
          <w:fldChar w:fldCharType="separate"/>
        </w:r>
        <w:r w:rsidR="00FD3F9A">
          <w:rPr>
            <w:noProof/>
            <w:webHidden/>
          </w:rPr>
          <w:t>82</w:t>
        </w:r>
        <w:r w:rsidR="00B55B9B">
          <w:rPr>
            <w:noProof/>
            <w:webHidden/>
          </w:rPr>
          <w:fldChar w:fldCharType="end"/>
        </w:r>
      </w:hyperlink>
    </w:p>
    <w:p w14:paraId="4DE96081" w14:textId="3B1065BD" w:rsidR="00B55B9B" w:rsidRDefault="004C4DA7" w:rsidP="00B55B9B">
      <w:pPr>
        <w:pStyle w:val="Spisilustracji"/>
        <w:tabs>
          <w:tab w:val="left" w:pos="7938"/>
        </w:tabs>
        <w:rPr>
          <w:rFonts w:asciiTheme="minorHAnsi" w:eastAsiaTheme="minorEastAsia" w:hAnsiTheme="minorHAnsi" w:cstheme="minorBidi"/>
          <w:noProof/>
          <w:sz w:val="22"/>
          <w:szCs w:val="22"/>
          <w:lang w:eastAsia="pl-PL"/>
        </w:rPr>
      </w:pPr>
      <w:hyperlink w:anchor="_Toc80604834" w:history="1">
        <w:r w:rsidR="00B55B9B" w:rsidRPr="00F15620">
          <w:rPr>
            <w:rStyle w:val="Hipercze"/>
            <w:noProof/>
          </w:rPr>
          <w:t>Tabela 24</w:t>
        </w:r>
        <w:r w:rsidR="00B55B9B">
          <w:rPr>
            <w:rFonts w:asciiTheme="minorHAnsi" w:eastAsiaTheme="minorEastAsia" w:hAnsiTheme="minorHAnsi" w:cstheme="minorBidi"/>
            <w:noProof/>
            <w:sz w:val="22"/>
            <w:szCs w:val="22"/>
            <w:lang w:eastAsia="pl-PL"/>
          </w:rPr>
          <w:tab/>
        </w:r>
        <w:r w:rsidR="00B55B9B" w:rsidRPr="00F15620">
          <w:rPr>
            <w:rStyle w:val="Hipercze"/>
            <w:noProof/>
          </w:rPr>
          <w:t>Charakterystyka JCWP w obrębie, których zlokalizowane są inwestycje i działania oraz JCWP, na które mogą one oddziaływać (wg aktualizacji planów gospodarowania wodami 2022-2027)</w:t>
        </w:r>
        <w:r w:rsidR="00B55B9B">
          <w:rPr>
            <w:noProof/>
            <w:webHidden/>
          </w:rPr>
          <w:tab/>
        </w:r>
        <w:r w:rsidR="00B55B9B">
          <w:rPr>
            <w:noProof/>
            <w:webHidden/>
          </w:rPr>
          <w:fldChar w:fldCharType="begin"/>
        </w:r>
        <w:r w:rsidR="00B55B9B">
          <w:rPr>
            <w:noProof/>
            <w:webHidden/>
          </w:rPr>
          <w:instrText xml:space="preserve"> PAGEREF _Toc80604834 \h </w:instrText>
        </w:r>
        <w:r w:rsidR="00B55B9B">
          <w:rPr>
            <w:noProof/>
            <w:webHidden/>
          </w:rPr>
        </w:r>
        <w:r w:rsidR="00B55B9B">
          <w:rPr>
            <w:noProof/>
            <w:webHidden/>
          </w:rPr>
          <w:fldChar w:fldCharType="separate"/>
        </w:r>
        <w:r w:rsidR="00FD3F9A">
          <w:rPr>
            <w:noProof/>
            <w:webHidden/>
          </w:rPr>
          <w:t>83</w:t>
        </w:r>
        <w:r w:rsidR="00B55B9B">
          <w:rPr>
            <w:noProof/>
            <w:webHidden/>
          </w:rPr>
          <w:fldChar w:fldCharType="end"/>
        </w:r>
      </w:hyperlink>
    </w:p>
    <w:p w14:paraId="0D2815C0" w14:textId="69415DDD" w:rsidR="00B55B9B" w:rsidRDefault="004C4DA7" w:rsidP="00B55B9B">
      <w:pPr>
        <w:pStyle w:val="Spisilustracji"/>
        <w:tabs>
          <w:tab w:val="left" w:pos="7938"/>
        </w:tabs>
        <w:rPr>
          <w:rFonts w:asciiTheme="minorHAnsi" w:eastAsiaTheme="minorEastAsia" w:hAnsiTheme="minorHAnsi" w:cstheme="minorBidi"/>
          <w:noProof/>
          <w:sz w:val="22"/>
          <w:szCs w:val="22"/>
          <w:lang w:eastAsia="pl-PL"/>
        </w:rPr>
      </w:pPr>
      <w:hyperlink w:anchor="_Toc80604835" w:history="1">
        <w:r w:rsidR="00B55B9B" w:rsidRPr="00F15620">
          <w:rPr>
            <w:rStyle w:val="Hipercze"/>
            <w:noProof/>
          </w:rPr>
          <w:t>Tabela 25</w:t>
        </w:r>
        <w:r w:rsidR="00B55B9B">
          <w:rPr>
            <w:rFonts w:asciiTheme="minorHAnsi" w:eastAsiaTheme="minorEastAsia" w:hAnsiTheme="minorHAnsi" w:cstheme="minorBidi"/>
            <w:noProof/>
            <w:sz w:val="22"/>
            <w:szCs w:val="22"/>
            <w:lang w:eastAsia="pl-PL"/>
          </w:rPr>
          <w:tab/>
        </w:r>
        <w:r w:rsidR="00B55B9B" w:rsidRPr="00F15620">
          <w:rPr>
            <w:rStyle w:val="Hipercze"/>
            <w:noProof/>
          </w:rPr>
          <w:t>Ocena zgodności z celami środowiskowymi wynikającymi z Ramowej Dyrektywy Wodnej i wymaganiami Dyrektywy Ptasiej i Siedliskowej oraz wymaganiami ustawy o Ochronie Przyrody- podsumowanie oceny dla obszaru problemowego MR_1 Żuławy Wiślane</w:t>
        </w:r>
        <w:r w:rsidR="00B55B9B">
          <w:rPr>
            <w:noProof/>
            <w:webHidden/>
          </w:rPr>
          <w:tab/>
        </w:r>
        <w:r w:rsidR="00B55B9B">
          <w:rPr>
            <w:noProof/>
            <w:webHidden/>
          </w:rPr>
          <w:fldChar w:fldCharType="begin"/>
        </w:r>
        <w:r w:rsidR="00B55B9B">
          <w:rPr>
            <w:noProof/>
            <w:webHidden/>
          </w:rPr>
          <w:instrText xml:space="preserve"> PAGEREF _Toc80604835 \h </w:instrText>
        </w:r>
        <w:r w:rsidR="00B55B9B">
          <w:rPr>
            <w:noProof/>
            <w:webHidden/>
          </w:rPr>
        </w:r>
        <w:r w:rsidR="00B55B9B">
          <w:rPr>
            <w:noProof/>
            <w:webHidden/>
          </w:rPr>
          <w:fldChar w:fldCharType="separate"/>
        </w:r>
        <w:r w:rsidR="00FD3F9A">
          <w:rPr>
            <w:noProof/>
            <w:webHidden/>
          </w:rPr>
          <w:t>97</w:t>
        </w:r>
        <w:r w:rsidR="00B55B9B">
          <w:rPr>
            <w:noProof/>
            <w:webHidden/>
          </w:rPr>
          <w:fldChar w:fldCharType="end"/>
        </w:r>
      </w:hyperlink>
    </w:p>
    <w:p w14:paraId="55D714E8" w14:textId="17982E67" w:rsidR="00B55B9B" w:rsidRDefault="004C4DA7" w:rsidP="00B55B9B">
      <w:pPr>
        <w:pStyle w:val="Spisilustracji"/>
        <w:tabs>
          <w:tab w:val="left" w:pos="7938"/>
        </w:tabs>
        <w:rPr>
          <w:rFonts w:asciiTheme="minorHAnsi" w:eastAsiaTheme="minorEastAsia" w:hAnsiTheme="minorHAnsi" w:cstheme="minorBidi"/>
          <w:noProof/>
          <w:sz w:val="22"/>
          <w:szCs w:val="22"/>
          <w:lang w:eastAsia="pl-PL"/>
        </w:rPr>
      </w:pPr>
      <w:hyperlink w:anchor="_Toc80604836" w:history="1">
        <w:r w:rsidR="00B55B9B" w:rsidRPr="00F15620">
          <w:rPr>
            <w:rStyle w:val="Hipercze"/>
            <w:noProof/>
          </w:rPr>
          <w:t>Tabela 26</w:t>
        </w:r>
        <w:r w:rsidR="00B55B9B">
          <w:rPr>
            <w:rFonts w:asciiTheme="minorHAnsi" w:eastAsiaTheme="minorEastAsia" w:hAnsiTheme="minorHAnsi" w:cstheme="minorBidi"/>
            <w:noProof/>
            <w:sz w:val="22"/>
            <w:szCs w:val="22"/>
            <w:lang w:eastAsia="pl-PL"/>
          </w:rPr>
          <w:tab/>
        </w:r>
        <w:r w:rsidR="00B55B9B" w:rsidRPr="00F15620">
          <w:rPr>
            <w:rStyle w:val="Hipercze"/>
            <w:noProof/>
          </w:rPr>
          <w:t>Ocena zgodności z celami środowiskowymi wynikającymi z Ramowej Dyrektywy Wodnej i wymaganiami Dyrektywy Ptasiej i Siedliskowej oraz wymaganiami ustawy o Ochronie Przyrody- podsumowanie oceny dla obszaru problemowego MR_2 Ujście Redy</w:t>
        </w:r>
        <w:r w:rsidR="00B55B9B">
          <w:rPr>
            <w:noProof/>
            <w:webHidden/>
          </w:rPr>
          <w:tab/>
        </w:r>
        <w:r w:rsidR="00B55B9B">
          <w:rPr>
            <w:noProof/>
            <w:webHidden/>
          </w:rPr>
          <w:fldChar w:fldCharType="begin"/>
        </w:r>
        <w:r w:rsidR="00B55B9B">
          <w:rPr>
            <w:noProof/>
            <w:webHidden/>
          </w:rPr>
          <w:instrText xml:space="preserve"> PAGEREF _Toc80604836 \h </w:instrText>
        </w:r>
        <w:r w:rsidR="00B55B9B">
          <w:rPr>
            <w:noProof/>
            <w:webHidden/>
          </w:rPr>
        </w:r>
        <w:r w:rsidR="00B55B9B">
          <w:rPr>
            <w:noProof/>
            <w:webHidden/>
          </w:rPr>
          <w:fldChar w:fldCharType="separate"/>
        </w:r>
        <w:r w:rsidR="00FD3F9A">
          <w:rPr>
            <w:noProof/>
            <w:webHidden/>
          </w:rPr>
          <w:t>98</w:t>
        </w:r>
        <w:r w:rsidR="00B55B9B">
          <w:rPr>
            <w:noProof/>
            <w:webHidden/>
          </w:rPr>
          <w:fldChar w:fldCharType="end"/>
        </w:r>
      </w:hyperlink>
    </w:p>
    <w:p w14:paraId="3749DDED" w14:textId="5480D3E1" w:rsidR="00B55B9B" w:rsidRDefault="004C4DA7" w:rsidP="00B55B9B">
      <w:pPr>
        <w:pStyle w:val="Spisilustracji"/>
        <w:tabs>
          <w:tab w:val="left" w:pos="7938"/>
        </w:tabs>
        <w:rPr>
          <w:rFonts w:asciiTheme="minorHAnsi" w:eastAsiaTheme="minorEastAsia" w:hAnsiTheme="minorHAnsi" w:cstheme="minorBidi"/>
          <w:noProof/>
          <w:sz w:val="22"/>
          <w:szCs w:val="22"/>
          <w:lang w:eastAsia="pl-PL"/>
        </w:rPr>
      </w:pPr>
      <w:hyperlink w:anchor="_Toc80604837" w:history="1">
        <w:r w:rsidR="00B55B9B" w:rsidRPr="00F15620">
          <w:rPr>
            <w:rStyle w:val="Hipercze"/>
            <w:noProof/>
          </w:rPr>
          <w:t>Tabela 27</w:t>
        </w:r>
        <w:r w:rsidR="00B55B9B">
          <w:rPr>
            <w:rFonts w:asciiTheme="minorHAnsi" w:eastAsiaTheme="minorEastAsia" w:hAnsiTheme="minorHAnsi" w:cstheme="minorBidi"/>
            <w:noProof/>
            <w:sz w:val="22"/>
            <w:szCs w:val="22"/>
            <w:lang w:eastAsia="pl-PL"/>
          </w:rPr>
          <w:tab/>
        </w:r>
        <w:r w:rsidR="00B55B9B" w:rsidRPr="00F15620">
          <w:rPr>
            <w:rStyle w:val="Hipercze"/>
            <w:noProof/>
          </w:rPr>
          <w:t>Ocena zgodności z celami środowiskowymi wynikającymi z Ramowej Dyrektywy Wodnej i wymaganiami Dyrektywy Ptasiej i Siedliskowej oraz wymaganiami ustawy o Ochronie Przyrody- podsumowanie oceny dla obszaru problemowego IOP_1 Miasto Gdańsk</w:t>
        </w:r>
        <w:r w:rsidR="00B55B9B">
          <w:rPr>
            <w:noProof/>
            <w:webHidden/>
          </w:rPr>
          <w:tab/>
        </w:r>
        <w:r w:rsidR="00B55B9B">
          <w:rPr>
            <w:noProof/>
            <w:webHidden/>
          </w:rPr>
          <w:fldChar w:fldCharType="begin"/>
        </w:r>
        <w:r w:rsidR="00B55B9B">
          <w:rPr>
            <w:noProof/>
            <w:webHidden/>
          </w:rPr>
          <w:instrText xml:space="preserve"> PAGEREF _Toc80604837 \h </w:instrText>
        </w:r>
        <w:r w:rsidR="00B55B9B">
          <w:rPr>
            <w:noProof/>
            <w:webHidden/>
          </w:rPr>
        </w:r>
        <w:r w:rsidR="00B55B9B">
          <w:rPr>
            <w:noProof/>
            <w:webHidden/>
          </w:rPr>
          <w:fldChar w:fldCharType="separate"/>
        </w:r>
        <w:r w:rsidR="00FD3F9A">
          <w:rPr>
            <w:noProof/>
            <w:webHidden/>
          </w:rPr>
          <w:t>99</w:t>
        </w:r>
        <w:r w:rsidR="00B55B9B">
          <w:rPr>
            <w:noProof/>
            <w:webHidden/>
          </w:rPr>
          <w:fldChar w:fldCharType="end"/>
        </w:r>
      </w:hyperlink>
    </w:p>
    <w:p w14:paraId="27D3982D" w14:textId="47944B06" w:rsidR="00B55B9B" w:rsidRDefault="004C4DA7" w:rsidP="00B55B9B">
      <w:pPr>
        <w:pStyle w:val="Spisilustracji"/>
        <w:tabs>
          <w:tab w:val="left" w:pos="7938"/>
        </w:tabs>
        <w:rPr>
          <w:rFonts w:asciiTheme="minorHAnsi" w:eastAsiaTheme="minorEastAsia" w:hAnsiTheme="minorHAnsi" w:cstheme="minorBidi"/>
          <w:noProof/>
          <w:sz w:val="22"/>
          <w:szCs w:val="22"/>
          <w:lang w:eastAsia="pl-PL"/>
        </w:rPr>
      </w:pPr>
      <w:hyperlink w:anchor="_Toc80604838" w:history="1">
        <w:r w:rsidR="00B55B9B" w:rsidRPr="00F15620">
          <w:rPr>
            <w:rStyle w:val="Hipercze"/>
            <w:noProof/>
          </w:rPr>
          <w:t>Tabela 28</w:t>
        </w:r>
        <w:r w:rsidR="00B55B9B">
          <w:rPr>
            <w:rFonts w:asciiTheme="minorHAnsi" w:eastAsiaTheme="minorEastAsia" w:hAnsiTheme="minorHAnsi" w:cstheme="minorBidi"/>
            <w:noProof/>
            <w:sz w:val="22"/>
            <w:szCs w:val="22"/>
            <w:lang w:eastAsia="pl-PL"/>
          </w:rPr>
          <w:tab/>
        </w:r>
        <w:r w:rsidR="00B55B9B" w:rsidRPr="00F15620">
          <w:rPr>
            <w:rStyle w:val="Hipercze"/>
            <w:noProof/>
          </w:rPr>
          <w:t>Ocena zgodności z celami środowiskowymi wynikającymi z Ramowej Dyrektywy Wodnej i wymaganiami Dyrektywy Ptasiej i Siedliskowej oraz wymaganiami ustawy o Ochronie Przyrody- podsumowanie oceny dla obszaru problemowego IOP_2 Mierzeja Helska</w:t>
        </w:r>
        <w:r w:rsidR="00B55B9B">
          <w:rPr>
            <w:noProof/>
            <w:webHidden/>
          </w:rPr>
          <w:tab/>
        </w:r>
        <w:r w:rsidR="00B55B9B">
          <w:rPr>
            <w:noProof/>
            <w:webHidden/>
          </w:rPr>
          <w:fldChar w:fldCharType="begin"/>
        </w:r>
        <w:r w:rsidR="00B55B9B">
          <w:rPr>
            <w:noProof/>
            <w:webHidden/>
          </w:rPr>
          <w:instrText xml:space="preserve"> PAGEREF _Toc80604838 \h </w:instrText>
        </w:r>
        <w:r w:rsidR="00B55B9B">
          <w:rPr>
            <w:noProof/>
            <w:webHidden/>
          </w:rPr>
        </w:r>
        <w:r w:rsidR="00B55B9B">
          <w:rPr>
            <w:noProof/>
            <w:webHidden/>
          </w:rPr>
          <w:fldChar w:fldCharType="separate"/>
        </w:r>
        <w:r w:rsidR="00FD3F9A">
          <w:rPr>
            <w:noProof/>
            <w:webHidden/>
          </w:rPr>
          <w:t>100</w:t>
        </w:r>
        <w:r w:rsidR="00B55B9B">
          <w:rPr>
            <w:noProof/>
            <w:webHidden/>
          </w:rPr>
          <w:fldChar w:fldCharType="end"/>
        </w:r>
      </w:hyperlink>
    </w:p>
    <w:p w14:paraId="7B81D055" w14:textId="1B82C9B3" w:rsidR="00B55B9B" w:rsidRDefault="004C4DA7" w:rsidP="00B55B9B">
      <w:pPr>
        <w:pStyle w:val="Spisilustracji"/>
        <w:tabs>
          <w:tab w:val="left" w:pos="7938"/>
        </w:tabs>
        <w:rPr>
          <w:rFonts w:asciiTheme="minorHAnsi" w:eastAsiaTheme="minorEastAsia" w:hAnsiTheme="minorHAnsi" w:cstheme="minorBidi"/>
          <w:noProof/>
          <w:sz w:val="22"/>
          <w:szCs w:val="22"/>
          <w:lang w:eastAsia="pl-PL"/>
        </w:rPr>
      </w:pPr>
      <w:hyperlink w:anchor="_Toc80604839" w:history="1">
        <w:r w:rsidR="00B55B9B" w:rsidRPr="00F15620">
          <w:rPr>
            <w:rStyle w:val="Hipercze"/>
            <w:noProof/>
          </w:rPr>
          <w:t>Tabela 29</w:t>
        </w:r>
        <w:r w:rsidR="00B55B9B">
          <w:rPr>
            <w:rFonts w:asciiTheme="minorHAnsi" w:eastAsiaTheme="minorEastAsia" w:hAnsiTheme="minorHAnsi" w:cstheme="minorBidi"/>
            <w:noProof/>
            <w:sz w:val="22"/>
            <w:szCs w:val="22"/>
            <w:lang w:eastAsia="pl-PL"/>
          </w:rPr>
          <w:tab/>
        </w:r>
        <w:r w:rsidR="00B55B9B" w:rsidRPr="00F15620">
          <w:rPr>
            <w:rStyle w:val="Hipercze"/>
            <w:noProof/>
          </w:rPr>
          <w:t>Ocena zgodności z celami środowiskowymi wynikającymi z Ramowej Dyrektywy Wodnej i wymaganiami Dyrektywy Ptasiej i Siedliskowej oraz wymaganiami ustawy o Ochronie Przyrody- podsumowanie oceny dla obszaru problemowego IOP_5_Krynica Morska</w:t>
        </w:r>
        <w:r w:rsidR="00B55B9B">
          <w:rPr>
            <w:noProof/>
            <w:webHidden/>
          </w:rPr>
          <w:tab/>
        </w:r>
        <w:r w:rsidR="00B55B9B">
          <w:rPr>
            <w:noProof/>
            <w:webHidden/>
          </w:rPr>
          <w:fldChar w:fldCharType="begin"/>
        </w:r>
        <w:r w:rsidR="00B55B9B">
          <w:rPr>
            <w:noProof/>
            <w:webHidden/>
          </w:rPr>
          <w:instrText xml:space="preserve"> PAGEREF _Toc80604839 \h </w:instrText>
        </w:r>
        <w:r w:rsidR="00B55B9B">
          <w:rPr>
            <w:noProof/>
            <w:webHidden/>
          </w:rPr>
        </w:r>
        <w:r w:rsidR="00B55B9B">
          <w:rPr>
            <w:noProof/>
            <w:webHidden/>
          </w:rPr>
          <w:fldChar w:fldCharType="separate"/>
        </w:r>
        <w:r w:rsidR="00FD3F9A">
          <w:rPr>
            <w:noProof/>
            <w:webHidden/>
          </w:rPr>
          <w:t>101</w:t>
        </w:r>
        <w:r w:rsidR="00B55B9B">
          <w:rPr>
            <w:noProof/>
            <w:webHidden/>
          </w:rPr>
          <w:fldChar w:fldCharType="end"/>
        </w:r>
      </w:hyperlink>
    </w:p>
    <w:p w14:paraId="3E2252DA" w14:textId="78EFBD71" w:rsidR="00B55B9B" w:rsidRDefault="004C4DA7" w:rsidP="00B55B9B">
      <w:pPr>
        <w:pStyle w:val="Spisilustracji"/>
        <w:tabs>
          <w:tab w:val="left" w:pos="7938"/>
        </w:tabs>
        <w:rPr>
          <w:rFonts w:asciiTheme="minorHAnsi" w:eastAsiaTheme="minorEastAsia" w:hAnsiTheme="minorHAnsi" w:cstheme="minorBidi"/>
          <w:noProof/>
          <w:sz w:val="22"/>
          <w:szCs w:val="22"/>
          <w:lang w:eastAsia="pl-PL"/>
        </w:rPr>
      </w:pPr>
      <w:hyperlink w:anchor="_Toc80604840" w:history="1">
        <w:r w:rsidR="00B55B9B" w:rsidRPr="00F15620">
          <w:rPr>
            <w:rStyle w:val="Hipercze"/>
            <w:noProof/>
          </w:rPr>
          <w:t>Tabela 30</w:t>
        </w:r>
        <w:r w:rsidR="00B55B9B">
          <w:rPr>
            <w:rFonts w:asciiTheme="minorHAnsi" w:eastAsiaTheme="minorEastAsia" w:hAnsiTheme="minorHAnsi" w:cstheme="minorBidi"/>
            <w:noProof/>
            <w:sz w:val="22"/>
            <w:szCs w:val="22"/>
            <w:lang w:eastAsia="pl-PL"/>
          </w:rPr>
          <w:tab/>
        </w:r>
        <w:r w:rsidR="00B55B9B" w:rsidRPr="00F15620">
          <w:rPr>
            <w:rStyle w:val="Hipercze"/>
            <w:noProof/>
          </w:rPr>
          <w:t>Ocena zgodności z celami środowiskowymi wynikającymi z Ramowej Dyrektywy Wodnej i wymaganiami Dyrektywy Ptasiej i Siedliskowej oraz wymaganiami ustawy o Ochronie Przyrody- podsumowanie oceny dla obszaru problemowego IOP_7 Ustka - ujście Słupi</w:t>
        </w:r>
        <w:r w:rsidR="00B55B9B">
          <w:rPr>
            <w:noProof/>
            <w:webHidden/>
          </w:rPr>
          <w:tab/>
        </w:r>
        <w:r w:rsidR="00B55B9B">
          <w:rPr>
            <w:noProof/>
            <w:webHidden/>
          </w:rPr>
          <w:fldChar w:fldCharType="begin"/>
        </w:r>
        <w:r w:rsidR="00B55B9B">
          <w:rPr>
            <w:noProof/>
            <w:webHidden/>
          </w:rPr>
          <w:instrText xml:space="preserve"> PAGEREF _Toc80604840 \h </w:instrText>
        </w:r>
        <w:r w:rsidR="00B55B9B">
          <w:rPr>
            <w:noProof/>
            <w:webHidden/>
          </w:rPr>
        </w:r>
        <w:r w:rsidR="00B55B9B">
          <w:rPr>
            <w:noProof/>
            <w:webHidden/>
          </w:rPr>
          <w:fldChar w:fldCharType="separate"/>
        </w:r>
        <w:r w:rsidR="00FD3F9A">
          <w:rPr>
            <w:noProof/>
            <w:webHidden/>
          </w:rPr>
          <w:t>102</w:t>
        </w:r>
        <w:r w:rsidR="00B55B9B">
          <w:rPr>
            <w:noProof/>
            <w:webHidden/>
          </w:rPr>
          <w:fldChar w:fldCharType="end"/>
        </w:r>
      </w:hyperlink>
    </w:p>
    <w:p w14:paraId="45D14658" w14:textId="5A68DC0D" w:rsidR="00B55B9B" w:rsidRDefault="004C4DA7" w:rsidP="00B55B9B">
      <w:pPr>
        <w:pStyle w:val="Spisilustracji"/>
        <w:tabs>
          <w:tab w:val="left" w:pos="7938"/>
        </w:tabs>
        <w:rPr>
          <w:rFonts w:asciiTheme="minorHAnsi" w:eastAsiaTheme="minorEastAsia" w:hAnsiTheme="minorHAnsi" w:cstheme="minorBidi"/>
          <w:noProof/>
          <w:sz w:val="22"/>
          <w:szCs w:val="22"/>
          <w:lang w:eastAsia="pl-PL"/>
        </w:rPr>
      </w:pPr>
      <w:hyperlink w:anchor="_Toc80604841" w:history="1">
        <w:r w:rsidR="00B55B9B" w:rsidRPr="00F15620">
          <w:rPr>
            <w:rStyle w:val="Hipercze"/>
            <w:noProof/>
          </w:rPr>
          <w:t>Tabela 31</w:t>
        </w:r>
        <w:r w:rsidR="00B55B9B">
          <w:rPr>
            <w:rFonts w:asciiTheme="minorHAnsi" w:eastAsiaTheme="minorEastAsia" w:hAnsiTheme="minorHAnsi" w:cstheme="minorBidi"/>
            <w:noProof/>
            <w:sz w:val="22"/>
            <w:szCs w:val="22"/>
            <w:lang w:eastAsia="pl-PL"/>
          </w:rPr>
          <w:tab/>
        </w:r>
        <w:r w:rsidR="00B55B9B" w:rsidRPr="00F15620">
          <w:rPr>
            <w:rStyle w:val="Hipercze"/>
            <w:noProof/>
          </w:rPr>
          <w:t>Ocena zgodności z celami środowiskowymi wynikającymi z Ramowej Dyrektywy Wodnej i wymaganiami Dyrektywy Ptasiej i Siedliskowej oraz wymaganiami ustawy o Ochronie Przyrody- podsumowanie oceny dla obszaru problemowego IOP_8 – Dębki</w:t>
        </w:r>
        <w:r w:rsidR="00B55B9B">
          <w:rPr>
            <w:noProof/>
            <w:webHidden/>
          </w:rPr>
          <w:tab/>
        </w:r>
        <w:r w:rsidR="00B55B9B">
          <w:rPr>
            <w:noProof/>
            <w:webHidden/>
          </w:rPr>
          <w:fldChar w:fldCharType="begin"/>
        </w:r>
        <w:r w:rsidR="00B55B9B">
          <w:rPr>
            <w:noProof/>
            <w:webHidden/>
          </w:rPr>
          <w:instrText xml:space="preserve"> PAGEREF _Toc80604841 \h </w:instrText>
        </w:r>
        <w:r w:rsidR="00B55B9B">
          <w:rPr>
            <w:noProof/>
            <w:webHidden/>
          </w:rPr>
        </w:r>
        <w:r w:rsidR="00B55B9B">
          <w:rPr>
            <w:noProof/>
            <w:webHidden/>
          </w:rPr>
          <w:fldChar w:fldCharType="separate"/>
        </w:r>
        <w:r w:rsidR="00FD3F9A">
          <w:rPr>
            <w:noProof/>
            <w:webHidden/>
          </w:rPr>
          <w:t>103</w:t>
        </w:r>
        <w:r w:rsidR="00B55B9B">
          <w:rPr>
            <w:noProof/>
            <w:webHidden/>
          </w:rPr>
          <w:fldChar w:fldCharType="end"/>
        </w:r>
      </w:hyperlink>
    </w:p>
    <w:p w14:paraId="08846CF2" w14:textId="2E994652" w:rsidR="00B55B9B" w:rsidRDefault="004C4DA7" w:rsidP="00B55B9B">
      <w:pPr>
        <w:pStyle w:val="Spisilustracji"/>
        <w:tabs>
          <w:tab w:val="left" w:pos="7938"/>
        </w:tabs>
        <w:rPr>
          <w:rFonts w:asciiTheme="minorHAnsi" w:eastAsiaTheme="minorEastAsia" w:hAnsiTheme="minorHAnsi" w:cstheme="minorBidi"/>
          <w:noProof/>
          <w:sz w:val="22"/>
          <w:szCs w:val="22"/>
          <w:lang w:eastAsia="pl-PL"/>
        </w:rPr>
      </w:pPr>
      <w:hyperlink w:anchor="_Toc80604842" w:history="1">
        <w:r w:rsidR="00B55B9B" w:rsidRPr="00F15620">
          <w:rPr>
            <w:rStyle w:val="Hipercze"/>
            <w:noProof/>
          </w:rPr>
          <w:t>Tabela 32</w:t>
        </w:r>
        <w:r w:rsidR="00B55B9B">
          <w:rPr>
            <w:rFonts w:asciiTheme="minorHAnsi" w:eastAsiaTheme="minorEastAsia" w:hAnsiTheme="minorHAnsi" w:cstheme="minorBidi"/>
            <w:noProof/>
            <w:sz w:val="22"/>
            <w:szCs w:val="22"/>
            <w:lang w:eastAsia="pl-PL"/>
          </w:rPr>
          <w:tab/>
        </w:r>
        <w:r w:rsidR="00B55B9B" w:rsidRPr="00F15620">
          <w:rPr>
            <w:rStyle w:val="Hipercze"/>
            <w:noProof/>
          </w:rPr>
          <w:t>Ocena zgodności z celami środowiskowymi wynikającymi z Ramowej Dyrektywy Wodnej i wymaganiami Dyrektywy Ptasiej i Siedliskowej oraz wymaganiami ustawy o Ochronie Przyrody- podsumowanie oceny dla obszaru problemowego IOP_12 Łeba od Mielnickiego Kanału do Chełstu</w:t>
        </w:r>
        <w:r w:rsidR="00B55B9B">
          <w:rPr>
            <w:noProof/>
            <w:webHidden/>
          </w:rPr>
          <w:tab/>
        </w:r>
        <w:r w:rsidR="00B55B9B">
          <w:rPr>
            <w:noProof/>
            <w:webHidden/>
          </w:rPr>
          <w:fldChar w:fldCharType="begin"/>
        </w:r>
        <w:r w:rsidR="00B55B9B">
          <w:rPr>
            <w:noProof/>
            <w:webHidden/>
          </w:rPr>
          <w:instrText xml:space="preserve"> PAGEREF _Toc80604842 \h </w:instrText>
        </w:r>
        <w:r w:rsidR="00B55B9B">
          <w:rPr>
            <w:noProof/>
            <w:webHidden/>
          </w:rPr>
        </w:r>
        <w:r w:rsidR="00B55B9B">
          <w:rPr>
            <w:noProof/>
            <w:webHidden/>
          </w:rPr>
          <w:fldChar w:fldCharType="separate"/>
        </w:r>
        <w:r w:rsidR="00FD3F9A">
          <w:rPr>
            <w:noProof/>
            <w:webHidden/>
          </w:rPr>
          <w:t>104</w:t>
        </w:r>
        <w:r w:rsidR="00B55B9B">
          <w:rPr>
            <w:noProof/>
            <w:webHidden/>
          </w:rPr>
          <w:fldChar w:fldCharType="end"/>
        </w:r>
      </w:hyperlink>
    </w:p>
    <w:p w14:paraId="5B54449F" w14:textId="23A4AB85" w:rsidR="00B55B9B" w:rsidRDefault="004C4DA7" w:rsidP="00B55B9B">
      <w:pPr>
        <w:pStyle w:val="Spisilustracji"/>
        <w:tabs>
          <w:tab w:val="left" w:pos="7938"/>
        </w:tabs>
        <w:rPr>
          <w:rFonts w:asciiTheme="minorHAnsi" w:eastAsiaTheme="minorEastAsia" w:hAnsiTheme="minorHAnsi" w:cstheme="minorBidi"/>
          <w:noProof/>
          <w:sz w:val="22"/>
          <w:szCs w:val="22"/>
          <w:lang w:eastAsia="pl-PL"/>
        </w:rPr>
      </w:pPr>
      <w:hyperlink w:anchor="_Toc80604843" w:history="1">
        <w:r w:rsidR="00B55B9B" w:rsidRPr="00F15620">
          <w:rPr>
            <w:rStyle w:val="Hipercze"/>
            <w:noProof/>
          </w:rPr>
          <w:t>Tabela 33</w:t>
        </w:r>
        <w:r w:rsidR="00B55B9B">
          <w:rPr>
            <w:rFonts w:asciiTheme="minorHAnsi" w:eastAsiaTheme="minorEastAsia" w:hAnsiTheme="minorHAnsi" w:cstheme="minorBidi"/>
            <w:noProof/>
            <w:sz w:val="22"/>
            <w:szCs w:val="22"/>
            <w:lang w:eastAsia="pl-PL"/>
          </w:rPr>
          <w:tab/>
        </w:r>
        <w:r w:rsidR="00B55B9B" w:rsidRPr="00F15620">
          <w:rPr>
            <w:rStyle w:val="Hipercze"/>
            <w:noProof/>
          </w:rPr>
          <w:t>Katalog celów głównych, szczegółowych i przypisanych im typów działań w aPZRPM</w:t>
        </w:r>
        <w:r w:rsidR="00B55B9B">
          <w:rPr>
            <w:noProof/>
            <w:webHidden/>
          </w:rPr>
          <w:tab/>
        </w:r>
        <w:r w:rsidR="00B55B9B">
          <w:rPr>
            <w:noProof/>
            <w:webHidden/>
          </w:rPr>
          <w:fldChar w:fldCharType="begin"/>
        </w:r>
        <w:r w:rsidR="00B55B9B">
          <w:rPr>
            <w:noProof/>
            <w:webHidden/>
          </w:rPr>
          <w:instrText xml:space="preserve"> PAGEREF _Toc80604843 \h </w:instrText>
        </w:r>
        <w:r w:rsidR="00B55B9B">
          <w:rPr>
            <w:noProof/>
            <w:webHidden/>
          </w:rPr>
        </w:r>
        <w:r w:rsidR="00B55B9B">
          <w:rPr>
            <w:noProof/>
            <w:webHidden/>
          </w:rPr>
          <w:fldChar w:fldCharType="separate"/>
        </w:r>
        <w:r w:rsidR="00FD3F9A">
          <w:rPr>
            <w:noProof/>
            <w:webHidden/>
          </w:rPr>
          <w:t>115</w:t>
        </w:r>
        <w:r w:rsidR="00B55B9B">
          <w:rPr>
            <w:noProof/>
            <w:webHidden/>
          </w:rPr>
          <w:fldChar w:fldCharType="end"/>
        </w:r>
      </w:hyperlink>
    </w:p>
    <w:p w14:paraId="4AD97741" w14:textId="76406631" w:rsidR="00B55B9B" w:rsidRDefault="004C4DA7" w:rsidP="00B55B9B">
      <w:pPr>
        <w:pStyle w:val="Spisilustracji"/>
        <w:tabs>
          <w:tab w:val="left" w:pos="7938"/>
        </w:tabs>
        <w:rPr>
          <w:rFonts w:asciiTheme="minorHAnsi" w:eastAsiaTheme="minorEastAsia" w:hAnsiTheme="minorHAnsi" w:cstheme="minorBidi"/>
          <w:noProof/>
          <w:sz w:val="22"/>
          <w:szCs w:val="22"/>
          <w:lang w:eastAsia="pl-PL"/>
        </w:rPr>
      </w:pPr>
      <w:hyperlink w:anchor="_Toc80604844" w:history="1">
        <w:r w:rsidR="00B55B9B" w:rsidRPr="00F15620">
          <w:rPr>
            <w:rStyle w:val="Hipercze"/>
            <w:noProof/>
          </w:rPr>
          <w:t>Tabela 34</w:t>
        </w:r>
        <w:r w:rsidR="00B55B9B">
          <w:rPr>
            <w:rFonts w:asciiTheme="minorHAnsi" w:eastAsiaTheme="minorEastAsia" w:hAnsiTheme="minorHAnsi" w:cstheme="minorBidi"/>
            <w:noProof/>
            <w:sz w:val="22"/>
            <w:szCs w:val="22"/>
            <w:lang w:eastAsia="pl-PL"/>
          </w:rPr>
          <w:tab/>
        </w:r>
        <w:r w:rsidR="00B55B9B" w:rsidRPr="00F15620">
          <w:rPr>
            <w:rStyle w:val="Hipercze"/>
            <w:noProof/>
          </w:rPr>
          <w:t>Grupy interesariuszy, do których skierowano ankietę</w:t>
        </w:r>
        <w:r w:rsidR="00B55B9B">
          <w:rPr>
            <w:noProof/>
            <w:webHidden/>
          </w:rPr>
          <w:tab/>
        </w:r>
        <w:r w:rsidR="00B55B9B">
          <w:rPr>
            <w:noProof/>
            <w:webHidden/>
          </w:rPr>
          <w:fldChar w:fldCharType="begin"/>
        </w:r>
        <w:r w:rsidR="00B55B9B">
          <w:rPr>
            <w:noProof/>
            <w:webHidden/>
          </w:rPr>
          <w:instrText xml:space="preserve"> PAGEREF _Toc80604844 \h </w:instrText>
        </w:r>
        <w:r w:rsidR="00B55B9B">
          <w:rPr>
            <w:noProof/>
            <w:webHidden/>
          </w:rPr>
        </w:r>
        <w:r w:rsidR="00B55B9B">
          <w:rPr>
            <w:noProof/>
            <w:webHidden/>
          </w:rPr>
          <w:fldChar w:fldCharType="separate"/>
        </w:r>
        <w:r w:rsidR="00FD3F9A">
          <w:rPr>
            <w:noProof/>
            <w:webHidden/>
          </w:rPr>
          <w:t>122</w:t>
        </w:r>
        <w:r w:rsidR="00B55B9B">
          <w:rPr>
            <w:noProof/>
            <w:webHidden/>
          </w:rPr>
          <w:fldChar w:fldCharType="end"/>
        </w:r>
      </w:hyperlink>
    </w:p>
    <w:p w14:paraId="13C0DD3F" w14:textId="75113E17" w:rsidR="00B55B9B" w:rsidRDefault="004C4DA7" w:rsidP="00B55B9B">
      <w:pPr>
        <w:pStyle w:val="Spisilustracji"/>
        <w:tabs>
          <w:tab w:val="left" w:pos="7938"/>
        </w:tabs>
        <w:rPr>
          <w:rFonts w:asciiTheme="minorHAnsi" w:eastAsiaTheme="minorEastAsia" w:hAnsiTheme="minorHAnsi" w:cstheme="minorBidi"/>
          <w:noProof/>
          <w:sz w:val="22"/>
          <w:szCs w:val="22"/>
          <w:lang w:eastAsia="pl-PL"/>
        </w:rPr>
      </w:pPr>
      <w:hyperlink w:anchor="_Toc80604845" w:history="1">
        <w:r w:rsidR="00B55B9B" w:rsidRPr="00F15620">
          <w:rPr>
            <w:rStyle w:val="Hipercze"/>
            <w:noProof/>
          </w:rPr>
          <w:t>Tabela 35</w:t>
        </w:r>
        <w:r w:rsidR="00B55B9B">
          <w:rPr>
            <w:rFonts w:asciiTheme="minorHAnsi" w:eastAsiaTheme="minorEastAsia" w:hAnsiTheme="minorHAnsi" w:cstheme="minorBidi"/>
            <w:noProof/>
            <w:sz w:val="22"/>
            <w:szCs w:val="22"/>
            <w:lang w:eastAsia="pl-PL"/>
          </w:rPr>
          <w:tab/>
        </w:r>
        <w:r w:rsidR="00B55B9B" w:rsidRPr="00F15620">
          <w:rPr>
            <w:rStyle w:val="Hipercze"/>
            <w:noProof/>
          </w:rPr>
          <w:t>Wskaźniki rezultatów dla monitorowania postępu realizacji PZRP wraz z sumaryczną wartością dla obszaru dorzecza Wisły</w:t>
        </w:r>
        <w:r w:rsidR="00B55B9B">
          <w:rPr>
            <w:noProof/>
            <w:webHidden/>
          </w:rPr>
          <w:tab/>
        </w:r>
        <w:r w:rsidR="00B55B9B">
          <w:rPr>
            <w:noProof/>
            <w:webHidden/>
          </w:rPr>
          <w:fldChar w:fldCharType="begin"/>
        </w:r>
        <w:r w:rsidR="00B55B9B">
          <w:rPr>
            <w:noProof/>
            <w:webHidden/>
          </w:rPr>
          <w:instrText xml:space="preserve"> PAGEREF _Toc80604845 \h </w:instrText>
        </w:r>
        <w:r w:rsidR="00B55B9B">
          <w:rPr>
            <w:noProof/>
            <w:webHidden/>
          </w:rPr>
        </w:r>
        <w:r w:rsidR="00B55B9B">
          <w:rPr>
            <w:noProof/>
            <w:webHidden/>
          </w:rPr>
          <w:fldChar w:fldCharType="separate"/>
        </w:r>
        <w:r w:rsidR="00FD3F9A">
          <w:rPr>
            <w:noProof/>
            <w:webHidden/>
          </w:rPr>
          <w:t>124</w:t>
        </w:r>
        <w:r w:rsidR="00B55B9B">
          <w:rPr>
            <w:noProof/>
            <w:webHidden/>
          </w:rPr>
          <w:fldChar w:fldCharType="end"/>
        </w:r>
      </w:hyperlink>
    </w:p>
    <w:p w14:paraId="68F46B30" w14:textId="4585D815" w:rsidR="00B55B9B" w:rsidRDefault="004C4DA7" w:rsidP="00B55B9B">
      <w:pPr>
        <w:pStyle w:val="Spisilustracji"/>
        <w:tabs>
          <w:tab w:val="left" w:pos="7938"/>
        </w:tabs>
        <w:rPr>
          <w:rFonts w:asciiTheme="minorHAnsi" w:eastAsiaTheme="minorEastAsia" w:hAnsiTheme="minorHAnsi" w:cstheme="minorBidi"/>
          <w:noProof/>
          <w:sz w:val="22"/>
          <w:szCs w:val="22"/>
          <w:lang w:eastAsia="pl-PL"/>
        </w:rPr>
      </w:pPr>
      <w:hyperlink w:anchor="_Toc80604846" w:history="1">
        <w:r w:rsidR="00B55B9B" w:rsidRPr="00F15620">
          <w:rPr>
            <w:rStyle w:val="Hipercze"/>
            <w:noProof/>
          </w:rPr>
          <w:t>Tabela 36</w:t>
        </w:r>
        <w:r w:rsidR="00B55B9B">
          <w:rPr>
            <w:rFonts w:asciiTheme="minorHAnsi" w:eastAsiaTheme="minorEastAsia" w:hAnsiTheme="minorHAnsi" w:cstheme="minorBidi"/>
            <w:noProof/>
            <w:sz w:val="22"/>
            <w:szCs w:val="22"/>
            <w:lang w:eastAsia="pl-PL"/>
          </w:rPr>
          <w:tab/>
        </w:r>
        <w:r w:rsidR="00B55B9B" w:rsidRPr="00F15620">
          <w:rPr>
            <w:rStyle w:val="Hipercze"/>
            <w:noProof/>
          </w:rPr>
          <w:t>Wskaźniki rezultatów dla monitorowania postępu realizacji PZRP wraz z sumaryczną wartością dla Obszaru Dorzeczy Wisły</w:t>
        </w:r>
        <w:r w:rsidR="00B55B9B">
          <w:rPr>
            <w:noProof/>
            <w:webHidden/>
          </w:rPr>
          <w:tab/>
        </w:r>
        <w:r w:rsidR="00B55B9B">
          <w:rPr>
            <w:noProof/>
            <w:webHidden/>
          </w:rPr>
          <w:fldChar w:fldCharType="begin"/>
        </w:r>
        <w:r w:rsidR="00B55B9B">
          <w:rPr>
            <w:noProof/>
            <w:webHidden/>
          </w:rPr>
          <w:instrText xml:space="preserve"> PAGEREF _Toc80604846 \h </w:instrText>
        </w:r>
        <w:r w:rsidR="00B55B9B">
          <w:rPr>
            <w:noProof/>
            <w:webHidden/>
          </w:rPr>
        </w:r>
        <w:r w:rsidR="00B55B9B">
          <w:rPr>
            <w:noProof/>
            <w:webHidden/>
          </w:rPr>
          <w:fldChar w:fldCharType="separate"/>
        </w:r>
        <w:r w:rsidR="00FD3F9A">
          <w:rPr>
            <w:noProof/>
            <w:webHidden/>
          </w:rPr>
          <w:t>125</w:t>
        </w:r>
        <w:r w:rsidR="00B55B9B">
          <w:rPr>
            <w:noProof/>
            <w:webHidden/>
          </w:rPr>
          <w:fldChar w:fldCharType="end"/>
        </w:r>
      </w:hyperlink>
    </w:p>
    <w:p w14:paraId="200DE39F" w14:textId="03C0FE36" w:rsidR="00BA0236" w:rsidRPr="007C28CC" w:rsidRDefault="00BA0236" w:rsidP="00B55B9B">
      <w:pPr>
        <w:pStyle w:val="Spisilustracji"/>
        <w:tabs>
          <w:tab w:val="clear" w:pos="1247"/>
          <w:tab w:val="left" w:pos="1134"/>
          <w:tab w:val="left" w:pos="7938"/>
        </w:tabs>
        <w:ind w:left="1134" w:hanging="1134"/>
        <w:rPr>
          <w:rStyle w:val="Hipercze"/>
          <w:sz w:val="22"/>
          <w:szCs w:val="22"/>
        </w:rPr>
      </w:pPr>
      <w:r w:rsidRPr="007C28CC">
        <w:rPr>
          <w:rStyle w:val="Hipercze"/>
          <w:sz w:val="22"/>
          <w:szCs w:val="22"/>
        </w:rPr>
        <w:fldChar w:fldCharType="end"/>
      </w:r>
    </w:p>
    <w:p w14:paraId="4FE206EE" w14:textId="77777777" w:rsidR="00BA0236" w:rsidRPr="007C28CC" w:rsidRDefault="00BA0236" w:rsidP="007C28CC">
      <w:pPr>
        <w:rPr>
          <w:b/>
          <w:color w:val="28AAE1"/>
          <w:sz w:val="32"/>
          <w:szCs w:val="32"/>
          <w:lang w:eastAsia="en-US"/>
        </w:rPr>
      </w:pPr>
      <w:r w:rsidRPr="007C28CC">
        <w:rPr>
          <w:sz w:val="32"/>
          <w:szCs w:val="32"/>
        </w:rPr>
        <w:br w:type="page"/>
      </w:r>
    </w:p>
    <w:p w14:paraId="2D30ACD5" w14:textId="77777777" w:rsidR="00BA0236" w:rsidRPr="007C28CC" w:rsidRDefault="00BA0236" w:rsidP="007C28CC">
      <w:pPr>
        <w:pStyle w:val="ReportExecSummary"/>
        <w:spacing w:after="0"/>
        <w:rPr>
          <w:sz w:val="32"/>
          <w:szCs w:val="32"/>
        </w:rPr>
      </w:pPr>
      <w:bookmarkStart w:id="255" w:name="_Toc79178600"/>
      <w:bookmarkStart w:id="256" w:name="_Toc79511696"/>
      <w:bookmarkStart w:id="257" w:name="_Toc80604891"/>
      <w:r w:rsidRPr="007C28CC">
        <w:rPr>
          <w:sz w:val="32"/>
          <w:szCs w:val="32"/>
        </w:rPr>
        <w:lastRenderedPageBreak/>
        <w:t>Spis Rysunków</w:t>
      </w:r>
      <w:bookmarkEnd w:id="255"/>
      <w:bookmarkEnd w:id="256"/>
      <w:bookmarkEnd w:id="257"/>
    </w:p>
    <w:p w14:paraId="367F5CA1" w14:textId="5E0F2B7F" w:rsidR="00B55B9B" w:rsidRDefault="00BA0236" w:rsidP="00B55B9B">
      <w:pPr>
        <w:pStyle w:val="Spisilustracji"/>
        <w:tabs>
          <w:tab w:val="left" w:pos="8080"/>
        </w:tabs>
        <w:rPr>
          <w:rFonts w:asciiTheme="minorHAnsi" w:eastAsiaTheme="minorEastAsia" w:hAnsiTheme="minorHAnsi" w:cstheme="minorBidi"/>
          <w:noProof/>
          <w:sz w:val="22"/>
          <w:szCs w:val="22"/>
          <w:lang w:eastAsia="pl-PL"/>
        </w:rPr>
      </w:pPr>
      <w:r w:rsidRPr="007C28CC">
        <w:rPr>
          <w:rStyle w:val="Hipercze"/>
          <w:sz w:val="22"/>
          <w:szCs w:val="22"/>
        </w:rPr>
        <w:fldChar w:fldCharType="begin"/>
      </w:r>
      <w:r w:rsidRPr="007C28CC">
        <w:rPr>
          <w:rStyle w:val="Hipercze"/>
          <w:sz w:val="22"/>
          <w:szCs w:val="22"/>
        </w:rPr>
        <w:instrText xml:space="preserve"> TOC \h \z \c "Rysunek" </w:instrText>
      </w:r>
      <w:r w:rsidRPr="007C28CC">
        <w:rPr>
          <w:rStyle w:val="Hipercze"/>
          <w:sz w:val="22"/>
          <w:szCs w:val="22"/>
        </w:rPr>
        <w:fldChar w:fldCharType="separate"/>
      </w:r>
      <w:hyperlink w:anchor="_Toc80604774" w:history="1">
        <w:r w:rsidR="00B55B9B" w:rsidRPr="00DE4AB4">
          <w:rPr>
            <w:rStyle w:val="Hipercze"/>
            <w:noProof/>
          </w:rPr>
          <w:t>Rysunek 1</w:t>
        </w:r>
        <w:r w:rsidR="00B55B9B">
          <w:rPr>
            <w:rFonts w:asciiTheme="minorHAnsi" w:eastAsiaTheme="minorEastAsia" w:hAnsiTheme="minorHAnsi" w:cstheme="minorBidi"/>
            <w:noProof/>
            <w:sz w:val="22"/>
            <w:szCs w:val="22"/>
            <w:lang w:eastAsia="pl-PL"/>
          </w:rPr>
          <w:tab/>
        </w:r>
        <w:r w:rsidR="00B55B9B" w:rsidRPr="00DE4AB4">
          <w:rPr>
            <w:rStyle w:val="Hipercze"/>
            <w:noProof/>
          </w:rPr>
          <w:t xml:space="preserve">Lokalizacja obszaru problemowego </w:t>
        </w:r>
        <w:r w:rsidR="00B55B9B" w:rsidRPr="00DE4AB4">
          <w:rPr>
            <w:rStyle w:val="Hipercze"/>
            <w:noProof/>
            <w:kern w:val="24"/>
          </w:rPr>
          <w:t>IOP_1   Miasto Gdańsk</w:t>
        </w:r>
        <w:r w:rsidR="00B55B9B">
          <w:rPr>
            <w:noProof/>
            <w:webHidden/>
          </w:rPr>
          <w:tab/>
        </w:r>
        <w:r w:rsidR="00B55B9B">
          <w:rPr>
            <w:noProof/>
            <w:webHidden/>
          </w:rPr>
          <w:fldChar w:fldCharType="begin"/>
        </w:r>
        <w:r w:rsidR="00B55B9B">
          <w:rPr>
            <w:noProof/>
            <w:webHidden/>
          </w:rPr>
          <w:instrText xml:space="preserve"> PAGEREF _Toc80604774 \h </w:instrText>
        </w:r>
        <w:r w:rsidR="00B55B9B">
          <w:rPr>
            <w:noProof/>
            <w:webHidden/>
          </w:rPr>
        </w:r>
        <w:r w:rsidR="00B55B9B">
          <w:rPr>
            <w:noProof/>
            <w:webHidden/>
          </w:rPr>
          <w:fldChar w:fldCharType="separate"/>
        </w:r>
        <w:r w:rsidR="00FD3F9A">
          <w:rPr>
            <w:noProof/>
            <w:webHidden/>
          </w:rPr>
          <w:t>3</w:t>
        </w:r>
        <w:r w:rsidR="00B55B9B">
          <w:rPr>
            <w:noProof/>
            <w:webHidden/>
          </w:rPr>
          <w:fldChar w:fldCharType="end"/>
        </w:r>
      </w:hyperlink>
    </w:p>
    <w:p w14:paraId="4F1153E5" w14:textId="56B47BE0" w:rsidR="00B55B9B" w:rsidRDefault="004C4DA7" w:rsidP="00B55B9B">
      <w:pPr>
        <w:pStyle w:val="Spisilustracji"/>
        <w:tabs>
          <w:tab w:val="left" w:pos="8080"/>
        </w:tabs>
        <w:rPr>
          <w:rFonts w:asciiTheme="minorHAnsi" w:eastAsiaTheme="minorEastAsia" w:hAnsiTheme="minorHAnsi" w:cstheme="minorBidi"/>
          <w:noProof/>
          <w:sz w:val="22"/>
          <w:szCs w:val="22"/>
          <w:lang w:eastAsia="pl-PL"/>
        </w:rPr>
      </w:pPr>
      <w:hyperlink w:anchor="_Toc80604775" w:history="1">
        <w:r w:rsidR="00B55B9B" w:rsidRPr="00DE4AB4">
          <w:rPr>
            <w:rStyle w:val="Hipercze"/>
            <w:noProof/>
          </w:rPr>
          <w:t>Rysunek 2</w:t>
        </w:r>
        <w:r w:rsidR="00B55B9B">
          <w:rPr>
            <w:rFonts w:asciiTheme="minorHAnsi" w:eastAsiaTheme="minorEastAsia" w:hAnsiTheme="minorHAnsi" w:cstheme="minorBidi"/>
            <w:noProof/>
            <w:sz w:val="22"/>
            <w:szCs w:val="22"/>
            <w:lang w:eastAsia="pl-PL"/>
          </w:rPr>
          <w:tab/>
        </w:r>
        <w:r w:rsidR="00B55B9B" w:rsidRPr="00DE4AB4">
          <w:rPr>
            <w:rStyle w:val="Hipercze"/>
            <w:noProof/>
          </w:rPr>
          <w:t xml:space="preserve">Lokalizacja obszaru problemowego </w:t>
        </w:r>
        <w:r w:rsidR="00B55B9B" w:rsidRPr="00DE4AB4">
          <w:rPr>
            <w:rStyle w:val="Hipercze"/>
            <w:noProof/>
            <w:kern w:val="24"/>
          </w:rPr>
          <w:t>IOP_2   Mierzeja Helska - Jastarnia, Hel</w:t>
        </w:r>
        <w:r w:rsidR="00B55B9B">
          <w:rPr>
            <w:noProof/>
            <w:webHidden/>
          </w:rPr>
          <w:tab/>
        </w:r>
        <w:r w:rsidR="00B55B9B">
          <w:rPr>
            <w:noProof/>
            <w:webHidden/>
          </w:rPr>
          <w:fldChar w:fldCharType="begin"/>
        </w:r>
        <w:r w:rsidR="00B55B9B">
          <w:rPr>
            <w:noProof/>
            <w:webHidden/>
          </w:rPr>
          <w:instrText xml:space="preserve"> PAGEREF _Toc80604775 \h </w:instrText>
        </w:r>
        <w:r w:rsidR="00B55B9B">
          <w:rPr>
            <w:noProof/>
            <w:webHidden/>
          </w:rPr>
        </w:r>
        <w:r w:rsidR="00B55B9B">
          <w:rPr>
            <w:noProof/>
            <w:webHidden/>
          </w:rPr>
          <w:fldChar w:fldCharType="separate"/>
        </w:r>
        <w:r w:rsidR="00FD3F9A">
          <w:rPr>
            <w:noProof/>
            <w:webHidden/>
          </w:rPr>
          <w:t>3</w:t>
        </w:r>
        <w:r w:rsidR="00B55B9B">
          <w:rPr>
            <w:noProof/>
            <w:webHidden/>
          </w:rPr>
          <w:fldChar w:fldCharType="end"/>
        </w:r>
      </w:hyperlink>
    </w:p>
    <w:p w14:paraId="66CC5600" w14:textId="75ED266F" w:rsidR="00B55B9B" w:rsidRDefault="004C4DA7" w:rsidP="00B55B9B">
      <w:pPr>
        <w:pStyle w:val="Spisilustracji"/>
        <w:tabs>
          <w:tab w:val="left" w:pos="8080"/>
        </w:tabs>
        <w:rPr>
          <w:rFonts w:asciiTheme="minorHAnsi" w:eastAsiaTheme="minorEastAsia" w:hAnsiTheme="minorHAnsi" w:cstheme="minorBidi"/>
          <w:noProof/>
          <w:sz w:val="22"/>
          <w:szCs w:val="22"/>
          <w:lang w:eastAsia="pl-PL"/>
        </w:rPr>
      </w:pPr>
      <w:hyperlink w:anchor="_Toc80604776" w:history="1">
        <w:r w:rsidR="00B55B9B" w:rsidRPr="00DE4AB4">
          <w:rPr>
            <w:rStyle w:val="Hipercze"/>
            <w:noProof/>
          </w:rPr>
          <w:t>Rysunek 3</w:t>
        </w:r>
        <w:r w:rsidR="00B55B9B">
          <w:rPr>
            <w:rFonts w:asciiTheme="minorHAnsi" w:eastAsiaTheme="minorEastAsia" w:hAnsiTheme="minorHAnsi" w:cstheme="minorBidi"/>
            <w:noProof/>
            <w:sz w:val="22"/>
            <w:szCs w:val="22"/>
            <w:lang w:eastAsia="pl-PL"/>
          </w:rPr>
          <w:tab/>
        </w:r>
        <w:r w:rsidR="00B55B9B" w:rsidRPr="00DE4AB4">
          <w:rPr>
            <w:rStyle w:val="Hipercze"/>
            <w:noProof/>
          </w:rPr>
          <w:t xml:space="preserve">Lokalizacja obszaru problemowego </w:t>
        </w:r>
        <w:r w:rsidR="00B55B9B" w:rsidRPr="00DE4AB4">
          <w:rPr>
            <w:rStyle w:val="Hipercze"/>
            <w:noProof/>
            <w:kern w:val="24"/>
          </w:rPr>
          <w:t>IOP_5 Krynica Morska - Zalew Wiślany</w:t>
        </w:r>
        <w:r w:rsidR="00B55B9B">
          <w:rPr>
            <w:noProof/>
            <w:webHidden/>
          </w:rPr>
          <w:tab/>
        </w:r>
        <w:r w:rsidR="00B55B9B">
          <w:rPr>
            <w:noProof/>
            <w:webHidden/>
          </w:rPr>
          <w:fldChar w:fldCharType="begin"/>
        </w:r>
        <w:r w:rsidR="00B55B9B">
          <w:rPr>
            <w:noProof/>
            <w:webHidden/>
          </w:rPr>
          <w:instrText xml:space="preserve"> PAGEREF _Toc80604776 \h </w:instrText>
        </w:r>
        <w:r w:rsidR="00B55B9B">
          <w:rPr>
            <w:noProof/>
            <w:webHidden/>
          </w:rPr>
        </w:r>
        <w:r w:rsidR="00B55B9B">
          <w:rPr>
            <w:noProof/>
            <w:webHidden/>
          </w:rPr>
          <w:fldChar w:fldCharType="separate"/>
        </w:r>
        <w:r w:rsidR="00FD3F9A">
          <w:rPr>
            <w:noProof/>
            <w:webHidden/>
          </w:rPr>
          <w:t>4</w:t>
        </w:r>
        <w:r w:rsidR="00B55B9B">
          <w:rPr>
            <w:noProof/>
            <w:webHidden/>
          </w:rPr>
          <w:fldChar w:fldCharType="end"/>
        </w:r>
      </w:hyperlink>
    </w:p>
    <w:p w14:paraId="480C27B9" w14:textId="60FB1F2C" w:rsidR="00B55B9B" w:rsidRDefault="004C4DA7" w:rsidP="00B55B9B">
      <w:pPr>
        <w:pStyle w:val="Spisilustracji"/>
        <w:tabs>
          <w:tab w:val="left" w:pos="8080"/>
        </w:tabs>
        <w:rPr>
          <w:rFonts w:asciiTheme="minorHAnsi" w:eastAsiaTheme="minorEastAsia" w:hAnsiTheme="minorHAnsi" w:cstheme="minorBidi"/>
          <w:noProof/>
          <w:sz w:val="22"/>
          <w:szCs w:val="22"/>
          <w:lang w:eastAsia="pl-PL"/>
        </w:rPr>
      </w:pPr>
      <w:hyperlink w:anchor="_Toc80604777" w:history="1">
        <w:r w:rsidR="00B55B9B" w:rsidRPr="00DE4AB4">
          <w:rPr>
            <w:rStyle w:val="Hipercze"/>
            <w:noProof/>
          </w:rPr>
          <w:t>Rysunek 4</w:t>
        </w:r>
        <w:r w:rsidR="00B55B9B">
          <w:rPr>
            <w:rFonts w:asciiTheme="minorHAnsi" w:eastAsiaTheme="minorEastAsia" w:hAnsiTheme="minorHAnsi" w:cstheme="minorBidi"/>
            <w:noProof/>
            <w:sz w:val="22"/>
            <w:szCs w:val="22"/>
            <w:lang w:eastAsia="pl-PL"/>
          </w:rPr>
          <w:tab/>
        </w:r>
        <w:r w:rsidR="00B55B9B" w:rsidRPr="00DE4AB4">
          <w:rPr>
            <w:rStyle w:val="Hipercze"/>
            <w:noProof/>
          </w:rPr>
          <w:t xml:space="preserve">Lokalizacja obszaru problemowego </w:t>
        </w:r>
        <w:r w:rsidR="00B55B9B" w:rsidRPr="00DE4AB4">
          <w:rPr>
            <w:rStyle w:val="Hipercze"/>
            <w:noProof/>
            <w:kern w:val="24"/>
          </w:rPr>
          <w:t>IOP_7   Ustka - ujście Słupi</w:t>
        </w:r>
        <w:r w:rsidR="00B55B9B">
          <w:rPr>
            <w:noProof/>
            <w:webHidden/>
          </w:rPr>
          <w:tab/>
        </w:r>
        <w:r w:rsidR="00B55B9B">
          <w:rPr>
            <w:noProof/>
            <w:webHidden/>
          </w:rPr>
          <w:fldChar w:fldCharType="begin"/>
        </w:r>
        <w:r w:rsidR="00B55B9B">
          <w:rPr>
            <w:noProof/>
            <w:webHidden/>
          </w:rPr>
          <w:instrText xml:space="preserve"> PAGEREF _Toc80604777 \h </w:instrText>
        </w:r>
        <w:r w:rsidR="00B55B9B">
          <w:rPr>
            <w:noProof/>
            <w:webHidden/>
          </w:rPr>
        </w:r>
        <w:r w:rsidR="00B55B9B">
          <w:rPr>
            <w:noProof/>
            <w:webHidden/>
          </w:rPr>
          <w:fldChar w:fldCharType="separate"/>
        </w:r>
        <w:r w:rsidR="00FD3F9A">
          <w:rPr>
            <w:noProof/>
            <w:webHidden/>
          </w:rPr>
          <w:t>4</w:t>
        </w:r>
        <w:r w:rsidR="00B55B9B">
          <w:rPr>
            <w:noProof/>
            <w:webHidden/>
          </w:rPr>
          <w:fldChar w:fldCharType="end"/>
        </w:r>
      </w:hyperlink>
    </w:p>
    <w:p w14:paraId="155CC95D" w14:textId="003BF263" w:rsidR="00B55B9B" w:rsidRDefault="004C4DA7" w:rsidP="00B55B9B">
      <w:pPr>
        <w:pStyle w:val="Spisilustracji"/>
        <w:tabs>
          <w:tab w:val="left" w:pos="8080"/>
        </w:tabs>
        <w:rPr>
          <w:rFonts w:asciiTheme="minorHAnsi" w:eastAsiaTheme="minorEastAsia" w:hAnsiTheme="minorHAnsi" w:cstheme="minorBidi"/>
          <w:noProof/>
          <w:sz w:val="22"/>
          <w:szCs w:val="22"/>
          <w:lang w:eastAsia="pl-PL"/>
        </w:rPr>
      </w:pPr>
      <w:hyperlink w:anchor="_Toc80604778" w:history="1">
        <w:r w:rsidR="00B55B9B" w:rsidRPr="00DE4AB4">
          <w:rPr>
            <w:rStyle w:val="Hipercze"/>
            <w:noProof/>
          </w:rPr>
          <w:t>Rysunek 5</w:t>
        </w:r>
        <w:r w:rsidR="00B55B9B">
          <w:rPr>
            <w:rFonts w:asciiTheme="minorHAnsi" w:eastAsiaTheme="minorEastAsia" w:hAnsiTheme="minorHAnsi" w:cstheme="minorBidi"/>
            <w:noProof/>
            <w:sz w:val="22"/>
            <w:szCs w:val="22"/>
            <w:lang w:eastAsia="pl-PL"/>
          </w:rPr>
          <w:tab/>
        </w:r>
        <w:r w:rsidR="00B55B9B" w:rsidRPr="00DE4AB4">
          <w:rPr>
            <w:rStyle w:val="Hipercze"/>
            <w:noProof/>
          </w:rPr>
          <w:t xml:space="preserve">Lokalizacja obszaru problemowego </w:t>
        </w:r>
        <w:r w:rsidR="00B55B9B" w:rsidRPr="00DE4AB4">
          <w:rPr>
            <w:rStyle w:val="Hipercze"/>
            <w:noProof/>
            <w:kern w:val="24"/>
          </w:rPr>
          <w:t>IOP_8 Dębki</w:t>
        </w:r>
        <w:r w:rsidR="00B55B9B">
          <w:rPr>
            <w:noProof/>
            <w:webHidden/>
          </w:rPr>
          <w:tab/>
        </w:r>
        <w:r w:rsidR="00B55B9B">
          <w:rPr>
            <w:noProof/>
            <w:webHidden/>
          </w:rPr>
          <w:fldChar w:fldCharType="begin"/>
        </w:r>
        <w:r w:rsidR="00B55B9B">
          <w:rPr>
            <w:noProof/>
            <w:webHidden/>
          </w:rPr>
          <w:instrText xml:space="preserve"> PAGEREF _Toc80604778 \h </w:instrText>
        </w:r>
        <w:r w:rsidR="00B55B9B">
          <w:rPr>
            <w:noProof/>
            <w:webHidden/>
          </w:rPr>
        </w:r>
        <w:r w:rsidR="00B55B9B">
          <w:rPr>
            <w:noProof/>
            <w:webHidden/>
          </w:rPr>
          <w:fldChar w:fldCharType="separate"/>
        </w:r>
        <w:r w:rsidR="00FD3F9A">
          <w:rPr>
            <w:noProof/>
            <w:webHidden/>
          </w:rPr>
          <w:t>5</w:t>
        </w:r>
        <w:r w:rsidR="00B55B9B">
          <w:rPr>
            <w:noProof/>
            <w:webHidden/>
          </w:rPr>
          <w:fldChar w:fldCharType="end"/>
        </w:r>
      </w:hyperlink>
    </w:p>
    <w:p w14:paraId="23A5B081" w14:textId="0B5A4EC5" w:rsidR="00B55B9B" w:rsidRDefault="004C4DA7" w:rsidP="00B55B9B">
      <w:pPr>
        <w:pStyle w:val="Spisilustracji"/>
        <w:tabs>
          <w:tab w:val="left" w:pos="8080"/>
        </w:tabs>
        <w:rPr>
          <w:rFonts w:asciiTheme="minorHAnsi" w:eastAsiaTheme="minorEastAsia" w:hAnsiTheme="minorHAnsi" w:cstheme="minorBidi"/>
          <w:noProof/>
          <w:sz w:val="22"/>
          <w:szCs w:val="22"/>
          <w:lang w:eastAsia="pl-PL"/>
        </w:rPr>
      </w:pPr>
      <w:hyperlink w:anchor="_Toc80604779" w:history="1">
        <w:r w:rsidR="00B55B9B" w:rsidRPr="00DE4AB4">
          <w:rPr>
            <w:rStyle w:val="Hipercze"/>
            <w:noProof/>
          </w:rPr>
          <w:t>Rysunek 6</w:t>
        </w:r>
        <w:r w:rsidR="00B55B9B">
          <w:rPr>
            <w:rFonts w:asciiTheme="minorHAnsi" w:eastAsiaTheme="minorEastAsia" w:hAnsiTheme="minorHAnsi" w:cstheme="minorBidi"/>
            <w:noProof/>
            <w:sz w:val="22"/>
            <w:szCs w:val="22"/>
            <w:lang w:eastAsia="pl-PL"/>
          </w:rPr>
          <w:tab/>
        </w:r>
        <w:r w:rsidR="00B55B9B" w:rsidRPr="00DE4AB4">
          <w:rPr>
            <w:rStyle w:val="Hipercze"/>
            <w:noProof/>
          </w:rPr>
          <w:t xml:space="preserve">Lokalizacja obszaru problemowego </w:t>
        </w:r>
        <w:r w:rsidR="00B55B9B" w:rsidRPr="00DE4AB4">
          <w:rPr>
            <w:rStyle w:val="Hipercze"/>
            <w:noProof/>
            <w:kern w:val="24"/>
          </w:rPr>
          <w:t>IOP_12 Łeba od Mielnickiego Kanału do Chełstu (p)</w:t>
        </w:r>
        <w:r w:rsidR="00B55B9B">
          <w:rPr>
            <w:noProof/>
            <w:webHidden/>
          </w:rPr>
          <w:tab/>
        </w:r>
        <w:r w:rsidR="00B55B9B">
          <w:rPr>
            <w:noProof/>
            <w:webHidden/>
          </w:rPr>
          <w:fldChar w:fldCharType="begin"/>
        </w:r>
        <w:r w:rsidR="00B55B9B">
          <w:rPr>
            <w:noProof/>
            <w:webHidden/>
          </w:rPr>
          <w:instrText xml:space="preserve"> PAGEREF _Toc80604779 \h </w:instrText>
        </w:r>
        <w:r w:rsidR="00B55B9B">
          <w:rPr>
            <w:noProof/>
            <w:webHidden/>
          </w:rPr>
        </w:r>
        <w:r w:rsidR="00B55B9B">
          <w:rPr>
            <w:noProof/>
            <w:webHidden/>
          </w:rPr>
          <w:fldChar w:fldCharType="separate"/>
        </w:r>
        <w:r w:rsidR="00FD3F9A">
          <w:rPr>
            <w:noProof/>
            <w:webHidden/>
          </w:rPr>
          <w:t>5</w:t>
        </w:r>
        <w:r w:rsidR="00B55B9B">
          <w:rPr>
            <w:noProof/>
            <w:webHidden/>
          </w:rPr>
          <w:fldChar w:fldCharType="end"/>
        </w:r>
      </w:hyperlink>
    </w:p>
    <w:p w14:paraId="267115CA" w14:textId="03386B26" w:rsidR="00B55B9B" w:rsidRDefault="004C4DA7" w:rsidP="00B55B9B">
      <w:pPr>
        <w:pStyle w:val="Spisilustracji"/>
        <w:tabs>
          <w:tab w:val="left" w:pos="8080"/>
        </w:tabs>
        <w:rPr>
          <w:rFonts w:asciiTheme="minorHAnsi" w:eastAsiaTheme="minorEastAsia" w:hAnsiTheme="minorHAnsi" w:cstheme="minorBidi"/>
          <w:noProof/>
          <w:sz w:val="22"/>
          <w:szCs w:val="22"/>
          <w:lang w:eastAsia="pl-PL"/>
        </w:rPr>
      </w:pPr>
      <w:hyperlink w:anchor="_Toc80604780" w:history="1">
        <w:r w:rsidR="00B55B9B" w:rsidRPr="00DE4AB4">
          <w:rPr>
            <w:rStyle w:val="Hipercze"/>
            <w:noProof/>
          </w:rPr>
          <w:t>Rysunek 7</w:t>
        </w:r>
        <w:r w:rsidR="00B55B9B">
          <w:rPr>
            <w:rFonts w:asciiTheme="minorHAnsi" w:eastAsiaTheme="minorEastAsia" w:hAnsiTheme="minorHAnsi" w:cstheme="minorBidi"/>
            <w:noProof/>
            <w:sz w:val="22"/>
            <w:szCs w:val="22"/>
            <w:lang w:eastAsia="pl-PL"/>
          </w:rPr>
          <w:tab/>
        </w:r>
        <w:r w:rsidR="00B55B9B" w:rsidRPr="00DE4AB4">
          <w:rPr>
            <w:rStyle w:val="Hipercze"/>
            <w:noProof/>
          </w:rPr>
          <w:t xml:space="preserve">Lokalizacja obszaru problemowego </w:t>
        </w:r>
        <w:r w:rsidR="00B55B9B" w:rsidRPr="00DE4AB4">
          <w:rPr>
            <w:rStyle w:val="Hipercze"/>
            <w:noProof/>
            <w:kern w:val="24"/>
          </w:rPr>
          <w:t>MR_1 Żuławy Wiślane</w:t>
        </w:r>
        <w:r w:rsidR="00B55B9B">
          <w:rPr>
            <w:noProof/>
            <w:webHidden/>
          </w:rPr>
          <w:tab/>
        </w:r>
        <w:r w:rsidR="00B55B9B">
          <w:rPr>
            <w:noProof/>
            <w:webHidden/>
          </w:rPr>
          <w:fldChar w:fldCharType="begin"/>
        </w:r>
        <w:r w:rsidR="00B55B9B">
          <w:rPr>
            <w:noProof/>
            <w:webHidden/>
          </w:rPr>
          <w:instrText xml:space="preserve"> PAGEREF _Toc80604780 \h </w:instrText>
        </w:r>
        <w:r w:rsidR="00B55B9B">
          <w:rPr>
            <w:noProof/>
            <w:webHidden/>
          </w:rPr>
        </w:r>
        <w:r w:rsidR="00B55B9B">
          <w:rPr>
            <w:noProof/>
            <w:webHidden/>
          </w:rPr>
          <w:fldChar w:fldCharType="separate"/>
        </w:r>
        <w:r w:rsidR="00FD3F9A">
          <w:rPr>
            <w:noProof/>
            <w:webHidden/>
          </w:rPr>
          <w:t>6</w:t>
        </w:r>
        <w:r w:rsidR="00B55B9B">
          <w:rPr>
            <w:noProof/>
            <w:webHidden/>
          </w:rPr>
          <w:fldChar w:fldCharType="end"/>
        </w:r>
      </w:hyperlink>
    </w:p>
    <w:p w14:paraId="5B5DA073" w14:textId="2C940C6A" w:rsidR="00B55B9B" w:rsidRDefault="004C4DA7" w:rsidP="00B55B9B">
      <w:pPr>
        <w:pStyle w:val="Spisilustracji"/>
        <w:tabs>
          <w:tab w:val="left" w:pos="8080"/>
        </w:tabs>
        <w:rPr>
          <w:rFonts w:asciiTheme="minorHAnsi" w:eastAsiaTheme="minorEastAsia" w:hAnsiTheme="minorHAnsi" w:cstheme="minorBidi"/>
          <w:noProof/>
          <w:sz w:val="22"/>
          <w:szCs w:val="22"/>
          <w:lang w:eastAsia="pl-PL"/>
        </w:rPr>
      </w:pPr>
      <w:hyperlink w:anchor="_Toc80604781" w:history="1">
        <w:r w:rsidR="00B55B9B" w:rsidRPr="00DE4AB4">
          <w:rPr>
            <w:rStyle w:val="Hipercze"/>
            <w:noProof/>
          </w:rPr>
          <w:t>Rysunek 8</w:t>
        </w:r>
        <w:r w:rsidR="00B55B9B">
          <w:rPr>
            <w:rFonts w:asciiTheme="minorHAnsi" w:eastAsiaTheme="minorEastAsia" w:hAnsiTheme="minorHAnsi" w:cstheme="minorBidi"/>
            <w:noProof/>
            <w:sz w:val="22"/>
            <w:szCs w:val="22"/>
            <w:lang w:eastAsia="pl-PL"/>
          </w:rPr>
          <w:tab/>
        </w:r>
        <w:r w:rsidR="00B55B9B" w:rsidRPr="00DE4AB4">
          <w:rPr>
            <w:rStyle w:val="Hipercze"/>
            <w:noProof/>
          </w:rPr>
          <w:t xml:space="preserve">Lokalizacja obszaru problemowego </w:t>
        </w:r>
        <w:r w:rsidR="00B55B9B" w:rsidRPr="00DE4AB4">
          <w:rPr>
            <w:rStyle w:val="Hipercze"/>
            <w:noProof/>
            <w:kern w:val="24"/>
          </w:rPr>
          <w:t>MR_2 Mechelinki, Rewa, Mosty, Połchowo - ujście Redy</w:t>
        </w:r>
        <w:r w:rsidR="00B55B9B">
          <w:rPr>
            <w:noProof/>
            <w:webHidden/>
          </w:rPr>
          <w:tab/>
        </w:r>
        <w:r w:rsidR="00B55B9B">
          <w:rPr>
            <w:noProof/>
            <w:webHidden/>
          </w:rPr>
          <w:fldChar w:fldCharType="begin"/>
        </w:r>
        <w:r w:rsidR="00B55B9B">
          <w:rPr>
            <w:noProof/>
            <w:webHidden/>
          </w:rPr>
          <w:instrText xml:space="preserve"> PAGEREF _Toc80604781 \h </w:instrText>
        </w:r>
        <w:r w:rsidR="00B55B9B">
          <w:rPr>
            <w:noProof/>
            <w:webHidden/>
          </w:rPr>
        </w:r>
        <w:r w:rsidR="00B55B9B">
          <w:rPr>
            <w:noProof/>
            <w:webHidden/>
          </w:rPr>
          <w:fldChar w:fldCharType="separate"/>
        </w:r>
        <w:r w:rsidR="00FD3F9A">
          <w:rPr>
            <w:noProof/>
            <w:webHidden/>
          </w:rPr>
          <w:t>6</w:t>
        </w:r>
        <w:r w:rsidR="00B55B9B">
          <w:rPr>
            <w:noProof/>
            <w:webHidden/>
          </w:rPr>
          <w:fldChar w:fldCharType="end"/>
        </w:r>
      </w:hyperlink>
    </w:p>
    <w:p w14:paraId="31E15337" w14:textId="75AF0C7D" w:rsidR="00B55B9B" w:rsidRDefault="004C4DA7" w:rsidP="00B55B9B">
      <w:pPr>
        <w:pStyle w:val="Spisilustracji"/>
        <w:tabs>
          <w:tab w:val="left" w:pos="8080"/>
        </w:tabs>
        <w:rPr>
          <w:rFonts w:asciiTheme="minorHAnsi" w:eastAsiaTheme="minorEastAsia" w:hAnsiTheme="minorHAnsi" w:cstheme="minorBidi"/>
          <w:noProof/>
          <w:sz w:val="22"/>
          <w:szCs w:val="22"/>
          <w:lang w:eastAsia="pl-PL"/>
        </w:rPr>
      </w:pPr>
      <w:hyperlink w:anchor="_Toc80604782" w:history="1">
        <w:r w:rsidR="00B55B9B" w:rsidRPr="00DE4AB4">
          <w:rPr>
            <w:rStyle w:val="Hipercze"/>
            <w:noProof/>
          </w:rPr>
          <w:t>Rysunek 9</w:t>
        </w:r>
        <w:r w:rsidR="00B55B9B">
          <w:rPr>
            <w:rFonts w:asciiTheme="minorHAnsi" w:eastAsiaTheme="minorEastAsia" w:hAnsiTheme="minorHAnsi" w:cstheme="minorBidi"/>
            <w:noProof/>
            <w:sz w:val="22"/>
            <w:szCs w:val="22"/>
            <w:lang w:eastAsia="pl-PL"/>
          </w:rPr>
          <w:tab/>
        </w:r>
        <w:r w:rsidR="00B55B9B" w:rsidRPr="00DE4AB4">
          <w:rPr>
            <w:rStyle w:val="Hipercze"/>
            <w:noProof/>
          </w:rPr>
          <w:t>Schemat opracowania wstępnej listy działań</w:t>
        </w:r>
        <w:r w:rsidR="00B55B9B">
          <w:rPr>
            <w:noProof/>
            <w:webHidden/>
          </w:rPr>
          <w:tab/>
        </w:r>
        <w:r w:rsidR="00B55B9B">
          <w:rPr>
            <w:noProof/>
            <w:webHidden/>
          </w:rPr>
          <w:fldChar w:fldCharType="begin"/>
        </w:r>
        <w:r w:rsidR="00B55B9B">
          <w:rPr>
            <w:noProof/>
            <w:webHidden/>
          </w:rPr>
          <w:instrText xml:space="preserve"> PAGEREF _Toc80604782 \h </w:instrText>
        </w:r>
        <w:r w:rsidR="00B55B9B">
          <w:rPr>
            <w:noProof/>
            <w:webHidden/>
          </w:rPr>
        </w:r>
        <w:r w:rsidR="00B55B9B">
          <w:rPr>
            <w:noProof/>
            <w:webHidden/>
          </w:rPr>
          <w:fldChar w:fldCharType="separate"/>
        </w:r>
        <w:r w:rsidR="00FD3F9A">
          <w:rPr>
            <w:noProof/>
            <w:webHidden/>
          </w:rPr>
          <w:t>8</w:t>
        </w:r>
        <w:r w:rsidR="00B55B9B">
          <w:rPr>
            <w:noProof/>
            <w:webHidden/>
          </w:rPr>
          <w:fldChar w:fldCharType="end"/>
        </w:r>
      </w:hyperlink>
    </w:p>
    <w:p w14:paraId="2C422CFD" w14:textId="416377A9" w:rsidR="00B55B9B" w:rsidRDefault="004C4DA7" w:rsidP="00B55B9B">
      <w:pPr>
        <w:pStyle w:val="Spisilustracji"/>
        <w:tabs>
          <w:tab w:val="left" w:pos="8080"/>
        </w:tabs>
        <w:rPr>
          <w:rFonts w:asciiTheme="minorHAnsi" w:eastAsiaTheme="minorEastAsia" w:hAnsiTheme="minorHAnsi" w:cstheme="minorBidi"/>
          <w:noProof/>
          <w:sz w:val="22"/>
          <w:szCs w:val="22"/>
          <w:lang w:eastAsia="pl-PL"/>
        </w:rPr>
      </w:pPr>
      <w:hyperlink w:anchor="_Toc80604783" w:history="1">
        <w:r w:rsidR="00B55B9B" w:rsidRPr="00DE4AB4">
          <w:rPr>
            <w:rStyle w:val="Hipercze"/>
            <w:noProof/>
          </w:rPr>
          <w:t>Rysunek 10</w:t>
        </w:r>
        <w:r w:rsidR="00B55B9B">
          <w:rPr>
            <w:rFonts w:asciiTheme="minorHAnsi" w:eastAsiaTheme="minorEastAsia" w:hAnsiTheme="minorHAnsi" w:cstheme="minorBidi"/>
            <w:noProof/>
            <w:sz w:val="22"/>
            <w:szCs w:val="22"/>
            <w:lang w:eastAsia="pl-PL"/>
          </w:rPr>
          <w:tab/>
        </w:r>
        <w:r w:rsidR="00B55B9B" w:rsidRPr="00DE4AB4">
          <w:rPr>
            <w:rStyle w:val="Hipercze"/>
            <w:noProof/>
          </w:rPr>
          <w:t>Schemat opracowania wstępnej i bazowej listy działań</w:t>
        </w:r>
        <w:r w:rsidR="00B55B9B">
          <w:rPr>
            <w:noProof/>
            <w:webHidden/>
          </w:rPr>
          <w:tab/>
        </w:r>
        <w:r w:rsidR="00B55B9B">
          <w:rPr>
            <w:noProof/>
            <w:webHidden/>
          </w:rPr>
          <w:fldChar w:fldCharType="begin"/>
        </w:r>
        <w:r w:rsidR="00B55B9B">
          <w:rPr>
            <w:noProof/>
            <w:webHidden/>
          </w:rPr>
          <w:instrText xml:space="preserve"> PAGEREF _Toc80604783 \h </w:instrText>
        </w:r>
        <w:r w:rsidR="00B55B9B">
          <w:rPr>
            <w:noProof/>
            <w:webHidden/>
          </w:rPr>
        </w:r>
        <w:r w:rsidR="00B55B9B">
          <w:rPr>
            <w:noProof/>
            <w:webHidden/>
          </w:rPr>
          <w:fldChar w:fldCharType="separate"/>
        </w:r>
        <w:r w:rsidR="00FD3F9A">
          <w:rPr>
            <w:noProof/>
            <w:webHidden/>
          </w:rPr>
          <w:t>11</w:t>
        </w:r>
        <w:r w:rsidR="00B55B9B">
          <w:rPr>
            <w:noProof/>
            <w:webHidden/>
          </w:rPr>
          <w:fldChar w:fldCharType="end"/>
        </w:r>
      </w:hyperlink>
    </w:p>
    <w:p w14:paraId="01C4AEBF" w14:textId="33D75D7A" w:rsidR="00B55B9B" w:rsidRDefault="004C4DA7" w:rsidP="00B55B9B">
      <w:pPr>
        <w:pStyle w:val="Spisilustracji"/>
        <w:tabs>
          <w:tab w:val="left" w:pos="8080"/>
        </w:tabs>
        <w:rPr>
          <w:rFonts w:asciiTheme="minorHAnsi" w:eastAsiaTheme="minorEastAsia" w:hAnsiTheme="minorHAnsi" w:cstheme="minorBidi"/>
          <w:noProof/>
          <w:sz w:val="22"/>
          <w:szCs w:val="22"/>
          <w:lang w:eastAsia="pl-PL"/>
        </w:rPr>
      </w:pPr>
      <w:hyperlink w:anchor="_Toc80604784" w:history="1">
        <w:r w:rsidR="00B55B9B" w:rsidRPr="00DE4AB4">
          <w:rPr>
            <w:rStyle w:val="Hipercze"/>
            <w:noProof/>
          </w:rPr>
          <w:t>Rysunek 11</w:t>
        </w:r>
        <w:r w:rsidR="00B55B9B">
          <w:rPr>
            <w:rFonts w:asciiTheme="minorHAnsi" w:eastAsiaTheme="minorEastAsia" w:hAnsiTheme="minorHAnsi" w:cstheme="minorBidi"/>
            <w:noProof/>
            <w:sz w:val="22"/>
            <w:szCs w:val="22"/>
            <w:lang w:eastAsia="pl-PL"/>
          </w:rPr>
          <w:tab/>
        </w:r>
        <w:r w:rsidR="00B55B9B" w:rsidRPr="00DE4AB4">
          <w:rPr>
            <w:rStyle w:val="Hipercze"/>
            <w:noProof/>
          </w:rPr>
          <w:t>Lokalizacja działań zaproponowanych w wariancie „1” dla obszaru problemowego IOP_1 Miasto Gdańsk</w:t>
        </w:r>
        <w:r w:rsidR="00B55B9B">
          <w:rPr>
            <w:noProof/>
            <w:webHidden/>
          </w:rPr>
          <w:tab/>
        </w:r>
        <w:r w:rsidR="00B55B9B">
          <w:rPr>
            <w:noProof/>
            <w:webHidden/>
          </w:rPr>
          <w:fldChar w:fldCharType="begin"/>
        </w:r>
        <w:r w:rsidR="00B55B9B">
          <w:rPr>
            <w:noProof/>
            <w:webHidden/>
          </w:rPr>
          <w:instrText xml:space="preserve"> PAGEREF _Toc80604784 \h </w:instrText>
        </w:r>
        <w:r w:rsidR="00B55B9B">
          <w:rPr>
            <w:noProof/>
            <w:webHidden/>
          </w:rPr>
        </w:r>
        <w:r w:rsidR="00B55B9B">
          <w:rPr>
            <w:noProof/>
            <w:webHidden/>
          </w:rPr>
          <w:fldChar w:fldCharType="separate"/>
        </w:r>
        <w:r w:rsidR="00FD3F9A">
          <w:rPr>
            <w:noProof/>
            <w:webHidden/>
          </w:rPr>
          <w:t>14</w:t>
        </w:r>
        <w:r w:rsidR="00B55B9B">
          <w:rPr>
            <w:noProof/>
            <w:webHidden/>
          </w:rPr>
          <w:fldChar w:fldCharType="end"/>
        </w:r>
      </w:hyperlink>
    </w:p>
    <w:p w14:paraId="717077C7" w14:textId="27B71D88" w:rsidR="00B55B9B" w:rsidRDefault="004C4DA7" w:rsidP="00B55B9B">
      <w:pPr>
        <w:pStyle w:val="Spisilustracji"/>
        <w:tabs>
          <w:tab w:val="left" w:pos="8080"/>
        </w:tabs>
        <w:rPr>
          <w:rFonts w:asciiTheme="minorHAnsi" w:eastAsiaTheme="minorEastAsia" w:hAnsiTheme="minorHAnsi" w:cstheme="minorBidi"/>
          <w:noProof/>
          <w:sz w:val="22"/>
          <w:szCs w:val="22"/>
          <w:lang w:eastAsia="pl-PL"/>
        </w:rPr>
      </w:pPr>
      <w:hyperlink w:anchor="_Toc80604785" w:history="1">
        <w:r w:rsidR="00B55B9B" w:rsidRPr="00DE4AB4">
          <w:rPr>
            <w:rStyle w:val="Hipercze"/>
            <w:noProof/>
          </w:rPr>
          <w:t>Rysunek 12</w:t>
        </w:r>
        <w:r w:rsidR="00B55B9B">
          <w:rPr>
            <w:rFonts w:asciiTheme="minorHAnsi" w:eastAsiaTheme="minorEastAsia" w:hAnsiTheme="minorHAnsi" w:cstheme="minorBidi"/>
            <w:noProof/>
            <w:sz w:val="22"/>
            <w:szCs w:val="22"/>
            <w:lang w:eastAsia="pl-PL"/>
          </w:rPr>
          <w:tab/>
        </w:r>
        <w:r w:rsidR="00B55B9B" w:rsidRPr="00DE4AB4">
          <w:rPr>
            <w:rStyle w:val="Hipercze"/>
            <w:noProof/>
          </w:rPr>
          <w:t>Lokalizacja działań zaproponowanych w wariancie „2” dla obszaru problemowego IOP_1 Miasto Gdańsk</w:t>
        </w:r>
        <w:r w:rsidR="00B55B9B">
          <w:rPr>
            <w:noProof/>
            <w:webHidden/>
          </w:rPr>
          <w:tab/>
        </w:r>
        <w:r w:rsidR="00B55B9B">
          <w:rPr>
            <w:noProof/>
            <w:webHidden/>
          </w:rPr>
          <w:fldChar w:fldCharType="begin"/>
        </w:r>
        <w:r w:rsidR="00B55B9B">
          <w:rPr>
            <w:noProof/>
            <w:webHidden/>
          </w:rPr>
          <w:instrText xml:space="preserve"> PAGEREF _Toc80604785 \h </w:instrText>
        </w:r>
        <w:r w:rsidR="00B55B9B">
          <w:rPr>
            <w:noProof/>
            <w:webHidden/>
          </w:rPr>
        </w:r>
        <w:r w:rsidR="00B55B9B">
          <w:rPr>
            <w:noProof/>
            <w:webHidden/>
          </w:rPr>
          <w:fldChar w:fldCharType="separate"/>
        </w:r>
        <w:r w:rsidR="00FD3F9A">
          <w:rPr>
            <w:noProof/>
            <w:webHidden/>
          </w:rPr>
          <w:t>15</w:t>
        </w:r>
        <w:r w:rsidR="00B55B9B">
          <w:rPr>
            <w:noProof/>
            <w:webHidden/>
          </w:rPr>
          <w:fldChar w:fldCharType="end"/>
        </w:r>
      </w:hyperlink>
    </w:p>
    <w:p w14:paraId="02AFF573" w14:textId="62650CBF" w:rsidR="00B55B9B" w:rsidRDefault="004C4DA7" w:rsidP="00B55B9B">
      <w:pPr>
        <w:pStyle w:val="Spisilustracji"/>
        <w:tabs>
          <w:tab w:val="left" w:pos="8080"/>
        </w:tabs>
        <w:rPr>
          <w:rFonts w:asciiTheme="minorHAnsi" w:eastAsiaTheme="minorEastAsia" w:hAnsiTheme="minorHAnsi" w:cstheme="minorBidi"/>
          <w:noProof/>
          <w:sz w:val="22"/>
          <w:szCs w:val="22"/>
          <w:lang w:eastAsia="pl-PL"/>
        </w:rPr>
      </w:pPr>
      <w:hyperlink w:anchor="_Toc80604786" w:history="1">
        <w:r w:rsidR="00B55B9B" w:rsidRPr="00DE4AB4">
          <w:rPr>
            <w:rStyle w:val="Hipercze"/>
            <w:noProof/>
          </w:rPr>
          <w:t>Rysunek 13</w:t>
        </w:r>
        <w:r w:rsidR="00B55B9B">
          <w:rPr>
            <w:rFonts w:asciiTheme="minorHAnsi" w:eastAsiaTheme="minorEastAsia" w:hAnsiTheme="minorHAnsi" w:cstheme="minorBidi"/>
            <w:noProof/>
            <w:sz w:val="22"/>
            <w:szCs w:val="22"/>
            <w:lang w:eastAsia="pl-PL"/>
          </w:rPr>
          <w:tab/>
        </w:r>
        <w:r w:rsidR="00B55B9B" w:rsidRPr="00DE4AB4">
          <w:rPr>
            <w:rStyle w:val="Hipercze"/>
            <w:noProof/>
          </w:rPr>
          <w:t>Lokalizacja działań zaproponowanych w wariancie „1” dla obszaru problemowego IOP_2 Mierzeja Helska – Jastarnia, Hel, m. Chałupy</w:t>
        </w:r>
        <w:r w:rsidR="00B55B9B">
          <w:rPr>
            <w:noProof/>
            <w:webHidden/>
          </w:rPr>
          <w:tab/>
        </w:r>
        <w:r w:rsidR="00B55B9B">
          <w:rPr>
            <w:noProof/>
            <w:webHidden/>
          </w:rPr>
          <w:fldChar w:fldCharType="begin"/>
        </w:r>
        <w:r w:rsidR="00B55B9B">
          <w:rPr>
            <w:noProof/>
            <w:webHidden/>
          </w:rPr>
          <w:instrText xml:space="preserve"> PAGEREF _Toc80604786 \h </w:instrText>
        </w:r>
        <w:r w:rsidR="00B55B9B">
          <w:rPr>
            <w:noProof/>
            <w:webHidden/>
          </w:rPr>
        </w:r>
        <w:r w:rsidR="00B55B9B">
          <w:rPr>
            <w:noProof/>
            <w:webHidden/>
          </w:rPr>
          <w:fldChar w:fldCharType="separate"/>
        </w:r>
        <w:r w:rsidR="00FD3F9A">
          <w:rPr>
            <w:noProof/>
            <w:webHidden/>
          </w:rPr>
          <w:t>17</w:t>
        </w:r>
        <w:r w:rsidR="00B55B9B">
          <w:rPr>
            <w:noProof/>
            <w:webHidden/>
          </w:rPr>
          <w:fldChar w:fldCharType="end"/>
        </w:r>
      </w:hyperlink>
    </w:p>
    <w:p w14:paraId="3367F367" w14:textId="704C03DE" w:rsidR="00B55B9B" w:rsidRDefault="004C4DA7" w:rsidP="00B55B9B">
      <w:pPr>
        <w:pStyle w:val="Spisilustracji"/>
        <w:tabs>
          <w:tab w:val="left" w:pos="8080"/>
        </w:tabs>
        <w:rPr>
          <w:rFonts w:asciiTheme="minorHAnsi" w:eastAsiaTheme="minorEastAsia" w:hAnsiTheme="minorHAnsi" w:cstheme="minorBidi"/>
          <w:noProof/>
          <w:sz w:val="22"/>
          <w:szCs w:val="22"/>
          <w:lang w:eastAsia="pl-PL"/>
        </w:rPr>
      </w:pPr>
      <w:hyperlink w:anchor="_Toc80604787" w:history="1">
        <w:r w:rsidR="00B55B9B" w:rsidRPr="00DE4AB4">
          <w:rPr>
            <w:rStyle w:val="Hipercze"/>
            <w:noProof/>
          </w:rPr>
          <w:t>Rysunek 14</w:t>
        </w:r>
        <w:r w:rsidR="00B55B9B">
          <w:rPr>
            <w:rFonts w:asciiTheme="minorHAnsi" w:eastAsiaTheme="minorEastAsia" w:hAnsiTheme="minorHAnsi" w:cstheme="minorBidi"/>
            <w:noProof/>
            <w:sz w:val="22"/>
            <w:szCs w:val="22"/>
            <w:lang w:eastAsia="pl-PL"/>
          </w:rPr>
          <w:tab/>
        </w:r>
        <w:r w:rsidR="00B55B9B" w:rsidRPr="00DE4AB4">
          <w:rPr>
            <w:rStyle w:val="Hipercze"/>
            <w:noProof/>
          </w:rPr>
          <w:t>Lokalizacja działań zaproponowanych w wariancie „2” dla obszaru problemowego IOP_2 Mierzeja Helska – Jastarnia, Hel m. Chałupy</w:t>
        </w:r>
        <w:r w:rsidR="00B55B9B">
          <w:rPr>
            <w:noProof/>
            <w:webHidden/>
          </w:rPr>
          <w:tab/>
        </w:r>
        <w:r w:rsidR="00B55B9B">
          <w:rPr>
            <w:noProof/>
            <w:webHidden/>
          </w:rPr>
          <w:fldChar w:fldCharType="begin"/>
        </w:r>
        <w:r w:rsidR="00B55B9B">
          <w:rPr>
            <w:noProof/>
            <w:webHidden/>
          </w:rPr>
          <w:instrText xml:space="preserve"> PAGEREF _Toc80604787 \h </w:instrText>
        </w:r>
        <w:r w:rsidR="00B55B9B">
          <w:rPr>
            <w:noProof/>
            <w:webHidden/>
          </w:rPr>
        </w:r>
        <w:r w:rsidR="00B55B9B">
          <w:rPr>
            <w:noProof/>
            <w:webHidden/>
          </w:rPr>
          <w:fldChar w:fldCharType="separate"/>
        </w:r>
        <w:r w:rsidR="00FD3F9A">
          <w:rPr>
            <w:noProof/>
            <w:webHidden/>
          </w:rPr>
          <w:t>18</w:t>
        </w:r>
        <w:r w:rsidR="00B55B9B">
          <w:rPr>
            <w:noProof/>
            <w:webHidden/>
          </w:rPr>
          <w:fldChar w:fldCharType="end"/>
        </w:r>
      </w:hyperlink>
    </w:p>
    <w:p w14:paraId="35F179DB" w14:textId="60866587" w:rsidR="00B55B9B" w:rsidRDefault="004C4DA7" w:rsidP="00B55B9B">
      <w:pPr>
        <w:pStyle w:val="Spisilustracji"/>
        <w:tabs>
          <w:tab w:val="left" w:pos="8080"/>
        </w:tabs>
        <w:rPr>
          <w:rFonts w:asciiTheme="minorHAnsi" w:eastAsiaTheme="minorEastAsia" w:hAnsiTheme="minorHAnsi" w:cstheme="minorBidi"/>
          <w:noProof/>
          <w:sz w:val="22"/>
          <w:szCs w:val="22"/>
          <w:lang w:eastAsia="pl-PL"/>
        </w:rPr>
      </w:pPr>
      <w:hyperlink w:anchor="_Toc80604788" w:history="1">
        <w:r w:rsidR="00B55B9B" w:rsidRPr="00DE4AB4">
          <w:rPr>
            <w:rStyle w:val="Hipercze"/>
            <w:noProof/>
          </w:rPr>
          <w:t>Rysunek 15</w:t>
        </w:r>
        <w:r w:rsidR="00B55B9B">
          <w:rPr>
            <w:rFonts w:asciiTheme="minorHAnsi" w:eastAsiaTheme="minorEastAsia" w:hAnsiTheme="minorHAnsi" w:cstheme="minorBidi"/>
            <w:noProof/>
            <w:sz w:val="22"/>
            <w:szCs w:val="22"/>
            <w:lang w:eastAsia="pl-PL"/>
          </w:rPr>
          <w:tab/>
        </w:r>
        <w:r w:rsidR="00B55B9B" w:rsidRPr="00DE4AB4">
          <w:rPr>
            <w:rStyle w:val="Hipercze"/>
            <w:noProof/>
          </w:rPr>
          <w:t>Lokalizacja działań zaproponowanych w wariancie „1” dla obszaru problemowego IOP_2 Mierzeja Helska – Jastarnia, Hel, m. Kuźnica</w:t>
        </w:r>
        <w:r w:rsidR="00B55B9B">
          <w:rPr>
            <w:noProof/>
            <w:webHidden/>
          </w:rPr>
          <w:tab/>
        </w:r>
        <w:r w:rsidR="00B55B9B">
          <w:rPr>
            <w:noProof/>
            <w:webHidden/>
          </w:rPr>
          <w:fldChar w:fldCharType="begin"/>
        </w:r>
        <w:r w:rsidR="00B55B9B">
          <w:rPr>
            <w:noProof/>
            <w:webHidden/>
          </w:rPr>
          <w:instrText xml:space="preserve"> PAGEREF _Toc80604788 \h </w:instrText>
        </w:r>
        <w:r w:rsidR="00B55B9B">
          <w:rPr>
            <w:noProof/>
            <w:webHidden/>
          </w:rPr>
        </w:r>
        <w:r w:rsidR="00B55B9B">
          <w:rPr>
            <w:noProof/>
            <w:webHidden/>
          </w:rPr>
          <w:fldChar w:fldCharType="separate"/>
        </w:r>
        <w:r w:rsidR="00FD3F9A">
          <w:rPr>
            <w:noProof/>
            <w:webHidden/>
          </w:rPr>
          <w:t>19</w:t>
        </w:r>
        <w:r w:rsidR="00B55B9B">
          <w:rPr>
            <w:noProof/>
            <w:webHidden/>
          </w:rPr>
          <w:fldChar w:fldCharType="end"/>
        </w:r>
      </w:hyperlink>
    </w:p>
    <w:p w14:paraId="0BDCA353" w14:textId="406BB0CB" w:rsidR="00B55B9B" w:rsidRDefault="004C4DA7" w:rsidP="00B55B9B">
      <w:pPr>
        <w:pStyle w:val="Spisilustracji"/>
        <w:tabs>
          <w:tab w:val="left" w:pos="8080"/>
        </w:tabs>
        <w:rPr>
          <w:rFonts w:asciiTheme="minorHAnsi" w:eastAsiaTheme="minorEastAsia" w:hAnsiTheme="minorHAnsi" w:cstheme="minorBidi"/>
          <w:noProof/>
          <w:sz w:val="22"/>
          <w:szCs w:val="22"/>
          <w:lang w:eastAsia="pl-PL"/>
        </w:rPr>
      </w:pPr>
      <w:hyperlink w:anchor="_Toc80604789" w:history="1">
        <w:r w:rsidR="00B55B9B" w:rsidRPr="00DE4AB4">
          <w:rPr>
            <w:rStyle w:val="Hipercze"/>
            <w:noProof/>
          </w:rPr>
          <w:t>Rysunek 16</w:t>
        </w:r>
        <w:r w:rsidR="00B55B9B">
          <w:rPr>
            <w:rFonts w:asciiTheme="minorHAnsi" w:eastAsiaTheme="minorEastAsia" w:hAnsiTheme="minorHAnsi" w:cstheme="minorBidi"/>
            <w:noProof/>
            <w:sz w:val="22"/>
            <w:szCs w:val="22"/>
            <w:lang w:eastAsia="pl-PL"/>
          </w:rPr>
          <w:tab/>
        </w:r>
        <w:r w:rsidR="00B55B9B" w:rsidRPr="00DE4AB4">
          <w:rPr>
            <w:rStyle w:val="Hipercze"/>
            <w:noProof/>
          </w:rPr>
          <w:t>Lokalizacja działań zaproponowanych w wariancie „2” dla obszaru problemowego IOP_2 Mierzeja Helska – Jastarnia, Hel, m. Kuźnica</w:t>
        </w:r>
        <w:r w:rsidR="00B55B9B">
          <w:rPr>
            <w:noProof/>
            <w:webHidden/>
          </w:rPr>
          <w:tab/>
        </w:r>
        <w:r w:rsidR="00B55B9B">
          <w:rPr>
            <w:noProof/>
            <w:webHidden/>
          </w:rPr>
          <w:fldChar w:fldCharType="begin"/>
        </w:r>
        <w:r w:rsidR="00B55B9B">
          <w:rPr>
            <w:noProof/>
            <w:webHidden/>
          </w:rPr>
          <w:instrText xml:space="preserve"> PAGEREF _Toc80604789 \h </w:instrText>
        </w:r>
        <w:r w:rsidR="00B55B9B">
          <w:rPr>
            <w:noProof/>
            <w:webHidden/>
          </w:rPr>
        </w:r>
        <w:r w:rsidR="00B55B9B">
          <w:rPr>
            <w:noProof/>
            <w:webHidden/>
          </w:rPr>
          <w:fldChar w:fldCharType="separate"/>
        </w:r>
        <w:r w:rsidR="00FD3F9A">
          <w:rPr>
            <w:noProof/>
            <w:webHidden/>
          </w:rPr>
          <w:t>20</w:t>
        </w:r>
        <w:r w:rsidR="00B55B9B">
          <w:rPr>
            <w:noProof/>
            <w:webHidden/>
          </w:rPr>
          <w:fldChar w:fldCharType="end"/>
        </w:r>
      </w:hyperlink>
    </w:p>
    <w:p w14:paraId="2A7255AF" w14:textId="4C5CE43D" w:rsidR="00B55B9B" w:rsidRDefault="004C4DA7" w:rsidP="00B55B9B">
      <w:pPr>
        <w:pStyle w:val="Spisilustracji"/>
        <w:tabs>
          <w:tab w:val="left" w:pos="8080"/>
        </w:tabs>
        <w:rPr>
          <w:rFonts w:asciiTheme="minorHAnsi" w:eastAsiaTheme="minorEastAsia" w:hAnsiTheme="minorHAnsi" w:cstheme="minorBidi"/>
          <w:noProof/>
          <w:sz w:val="22"/>
          <w:szCs w:val="22"/>
          <w:lang w:eastAsia="pl-PL"/>
        </w:rPr>
      </w:pPr>
      <w:hyperlink w:anchor="_Toc80604790" w:history="1">
        <w:r w:rsidR="00B55B9B" w:rsidRPr="00DE4AB4">
          <w:rPr>
            <w:rStyle w:val="Hipercze"/>
            <w:noProof/>
          </w:rPr>
          <w:t>Rysunek 17</w:t>
        </w:r>
        <w:r w:rsidR="00B55B9B">
          <w:rPr>
            <w:rFonts w:asciiTheme="minorHAnsi" w:eastAsiaTheme="minorEastAsia" w:hAnsiTheme="minorHAnsi" w:cstheme="minorBidi"/>
            <w:noProof/>
            <w:sz w:val="22"/>
            <w:szCs w:val="22"/>
            <w:lang w:eastAsia="pl-PL"/>
          </w:rPr>
          <w:tab/>
        </w:r>
        <w:r w:rsidR="00B55B9B" w:rsidRPr="00DE4AB4">
          <w:rPr>
            <w:rStyle w:val="Hipercze"/>
            <w:noProof/>
          </w:rPr>
          <w:t>Lokalizacja działań zaproponowanych w wariancie „1” dla obszaru problemowego IOP_2 Mierzeja Helska – Jastarnia, Hel, m. Jastarnia</w:t>
        </w:r>
        <w:r w:rsidR="00B55B9B">
          <w:rPr>
            <w:noProof/>
            <w:webHidden/>
          </w:rPr>
          <w:tab/>
        </w:r>
        <w:r w:rsidR="00B55B9B">
          <w:rPr>
            <w:noProof/>
            <w:webHidden/>
          </w:rPr>
          <w:fldChar w:fldCharType="begin"/>
        </w:r>
        <w:r w:rsidR="00B55B9B">
          <w:rPr>
            <w:noProof/>
            <w:webHidden/>
          </w:rPr>
          <w:instrText xml:space="preserve"> PAGEREF _Toc80604790 \h </w:instrText>
        </w:r>
        <w:r w:rsidR="00B55B9B">
          <w:rPr>
            <w:noProof/>
            <w:webHidden/>
          </w:rPr>
        </w:r>
        <w:r w:rsidR="00B55B9B">
          <w:rPr>
            <w:noProof/>
            <w:webHidden/>
          </w:rPr>
          <w:fldChar w:fldCharType="separate"/>
        </w:r>
        <w:r w:rsidR="00FD3F9A">
          <w:rPr>
            <w:noProof/>
            <w:webHidden/>
          </w:rPr>
          <w:t>22</w:t>
        </w:r>
        <w:r w:rsidR="00B55B9B">
          <w:rPr>
            <w:noProof/>
            <w:webHidden/>
          </w:rPr>
          <w:fldChar w:fldCharType="end"/>
        </w:r>
      </w:hyperlink>
    </w:p>
    <w:p w14:paraId="7F4DECB1" w14:textId="5E53F564" w:rsidR="00B55B9B" w:rsidRDefault="004C4DA7" w:rsidP="00B55B9B">
      <w:pPr>
        <w:pStyle w:val="Spisilustracji"/>
        <w:tabs>
          <w:tab w:val="left" w:pos="8080"/>
        </w:tabs>
        <w:rPr>
          <w:rFonts w:asciiTheme="minorHAnsi" w:eastAsiaTheme="minorEastAsia" w:hAnsiTheme="minorHAnsi" w:cstheme="minorBidi"/>
          <w:noProof/>
          <w:sz w:val="22"/>
          <w:szCs w:val="22"/>
          <w:lang w:eastAsia="pl-PL"/>
        </w:rPr>
      </w:pPr>
      <w:hyperlink w:anchor="_Toc80604791" w:history="1">
        <w:r w:rsidR="00B55B9B" w:rsidRPr="00DE4AB4">
          <w:rPr>
            <w:rStyle w:val="Hipercze"/>
            <w:noProof/>
          </w:rPr>
          <w:t>Rysunek 18</w:t>
        </w:r>
        <w:r w:rsidR="00B55B9B">
          <w:rPr>
            <w:rFonts w:asciiTheme="minorHAnsi" w:eastAsiaTheme="minorEastAsia" w:hAnsiTheme="minorHAnsi" w:cstheme="minorBidi"/>
            <w:noProof/>
            <w:sz w:val="22"/>
            <w:szCs w:val="22"/>
            <w:lang w:eastAsia="pl-PL"/>
          </w:rPr>
          <w:tab/>
        </w:r>
        <w:r w:rsidR="00B55B9B" w:rsidRPr="00DE4AB4">
          <w:rPr>
            <w:rStyle w:val="Hipercze"/>
            <w:noProof/>
          </w:rPr>
          <w:t>Lokalizacja działań zaproponowanych w wariancie „2” dla obszaru problemowego IOP_2 Mierzeja Helska – Jastarnia, Hel, m. Kuźnica</w:t>
        </w:r>
        <w:r w:rsidR="00B55B9B">
          <w:rPr>
            <w:noProof/>
            <w:webHidden/>
          </w:rPr>
          <w:tab/>
        </w:r>
        <w:r w:rsidR="00B55B9B">
          <w:rPr>
            <w:noProof/>
            <w:webHidden/>
          </w:rPr>
          <w:fldChar w:fldCharType="begin"/>
        </w:r>
        <w:r w:rsidR="00B55B9B">
          <w:rPr>
            <w:noProof/>
            <w:webHidden/>
          </w:rPr>
          <w:instrText xml:space="preserve"> PAGEREF _Toc80604791 \h </w:instrText>
        </w:r>
        <w:r w:rsidR="00B55B9B">
          <w:rPr>
            <w:noProof/>
            <w:webHidden/>
          </w:rPr>
        </w:r>
        <w:r w:rsidR="00B55B9B">
          <w:rPr>
            <w:noProof/>
            <w:webHidden/>
          </w:rPr>
          <w:fldChar w:fldCharType="separate"/>
        </w:r>
        <w:r w:rsidR="00FD3F9A">
          <w:rPr>
            <w:noProof/>
            <w:webHidden/>
          </w:rPr>
          <w:t>23</w:t>
        </w:r>
        <w:r w:rsidR="00B55B9B">
          <w:rPr>
            <w:noProof/>
            <w:webHidden/>
          </w:rPr>
          <w:fldChar w:fldCharType="end"/>
        </w:r>
      </w:hyperlink>
    </w:p>
    <w:p w14:paraId="6B7E457F" w14:textId="6DDA119E" w:rsidR="00B55B9B" w:rsidRDefault="004C4DA7" w:rsidP="00B55B9B">
      <w:pPr>
        <w:pStyle w:val="Spisilustracji"/>
        <w:tabs>
          <w:tab w:val="left" w:pos="8080"/>
        </w:tabs>
        <w:rPr>
          <w:rFonts w:asciiTheme="minorHAnsi" w:eastAsiaTheme="minorEastAsia" w:hAnsiTheme="minorHAnsi" w:cstheme="minorBidi"/>
          <w:noProof/>
          <w:sz w:val="22"/>
          <w:szCs w:val="22"/>
          <w:lang w:eastAsia="pl-PL"/>
        </w:rPr>
      </w:pPr>
      <w:hyperlink w:anchor="_Toc80604792" w:history="1">
        <w:r w:rsidR="00B55B9B" w:rsidRPr="00DE4AB4">
          <w:rPr>
            <w:rStyle w:val="Hipercze"/>
            <w:noProof/>
          </w:rPr>
          <w:t>Rysunek 19</w:t>
        </w:r>
        <w:r w:rsidR="00B55B9B">
          <w:rPr>
            <w:rFonts w:asciiTheme="minorHAnsi" w:eastAsiaTheme="minorEastAsia" w:hAnsiTheme="minorHAnsi" w:cstheme="minorBidi"/>
            <w:noProof/>
            <w:sz w:val="22"/>
            <w:szCs w:val="22"/>
            <w:lang w:eastAsia="pl-PL"/>
          </w:rPr>
          <w:tab/>
        </w:r>
        <w:r w:rsidR="00B55B9B" w:rsidRPr="00DE4AB4">
          <w:rPr>
            <w:rStyle w:val="Hipercze"/>
            <w:noProof/>
          </w:rPr>
          <w:t>Lokalizacja działań zaproponowanych w wariancie „1” dla obszaru problemowego IOP_5 Krynica Morska – Zalew Wiślany, m. Nowa Karczma</w:t>
        </w:r>
        <w:r w:rsidR="00B55B9B">
          <w:rPr>
            <w:noProof/>
            <w:webHidden/>
          </w:rPr>
          <w:tab/>
        </w:r>
        <w:r w:rsidR="00B55B9B">
          <w:rPr>
            <w:noProof/>
            <w:webHidden/>
          </w:rPr>
          <w:fldChar w:fldCharType="begin"/>
        </w:r>
        <w:r w:rsidR="00B55B9B">
          <w:rPr>
            <w:noProof/>
            <w:webHidden/>
          </w:rPr>
          <w:instrText xml:space="preserve"> PAGEREF _Toc80604792 \h </w:instrText>
        </w:r>
        <w:r w:rsidR="00B55B9B">
          <w:rPr>
            <w:noProof/>
            <w:webHidden/>
          </w:rPr>
        </w:r>
        <w:r w:rsidR="00B55B9B">
          <w:rPr>
            <w:noProof/>
            <w:webHidden/>
          </w:rPr>
          <w:fldChar w:fldCharType="separate"/>
        </w:r>
        <w:r w:rsidR="00FD3F9A">
          <w:rPr>
            <w:noProof/>
            <w:webHidden/>
          </w:rPr>
          <w:t>25</w:t>
        </w:r>
        <w:r w:rsidR="00B55B9B">
          <w:rPr>
            <w:noProof/>
            <w:webHidden/>
          </w:rPr>
          <w:fldChar w:fldCharType="end"/>
        </w:r>
      </w:hyperlink>
    </w:p>
    <w:p w14:paraId="663D1B6F" w14:textId="53CFBB63" w:rsidR="00B55B9B" w:rsidRDefault="004C4DA7" w:rsidP="00B55B9B">
      <w:pPr>
        <w:pStyle w:val="Spisilustracji"/>
        <w:tabs>
          <w:tab w:val="left" w:pos="8080"/>
        </w:tabs>
        <w:rPr>
          <w:rFonts w:asciiTheme="minorHAnsi" w:eastAsiaTheme="minorEastAsia" w:hAnsiTheme="minorHAnsi" w:cstheme="minorBidi"/>
          <w:noProof/>
          <w:sz w:val="22"/>
          <w:szCs w:val="22"/>
          <w:lang w:eastAsia="pl-PL"/>
        </w:rPr>
      </w:pPr>
      <w:hyperlink w:anchor="_Toc80604793" w:history="1">
        <w:r w:rsidR="00B55B9B" w:rsidRPr="00DE4AB4">
          <w:rPr>
            <w:rStyle w:val="Hipercze"/>
            <w:noProof/>
          </w:rPr>
          <w:t>Rysunek 20</w:t>
        </w:r>
        <w:r w:rsidR="00B55B9B">
          <w:rPr>
            <w:rFonts w:asciiTheme="minorHAnsi" w:eastAsiaTheme="minorEastAsia" w:hAnsiTheme="minorHAnsi" w:cstheme="minorBidi"/>
            <w:noProof/>
            <w:sz w:val="22"/>
            <w:szCs w:val="22"/>
            <w:lang w:eastAsia="pl-PL"/>
          </w:rPr>
          <w:tab/>
        </w:r>
        <w:r w:rsidR="00B55B9B" w:rsidRPr="00DE4AB4">
          <w:rPr>
            <w:rStyle w:val="Hipercze"/>
            <w:noProof/>
          </w:rPr>
          <w:t>Lokalizacja działań zaproponowanych w wariancie „2” dla obszaru problemowego IOP_5 Krynica Morska – Zalew Wiślany, m. Nowa Karczma</w:t>
        </w:r>
        <w:r w:rsidR="00B55B9B">
          <w:rPr>
            <w:noProof/>
            <w:webHidden/>
          </w:rPr>
          <w:tab/>
        </w:r>
        <w:r w:rsidR="00B55B9B">
          <w:rPr>
            <w:noProof/>
            <w:webHidden/>
          </w:rPr>
          <w:fldChar w:fldCharType="begin"/>
        </w:r>
        <w:r w:rsidR="00B55B9B">
          <w:rPr>
            <w:noProof/>
            <w:webHidden/>
          </w:rPr>
          <w:instrText xml:space="preserve"> PAGEREF _Toc80604793 \h </w:instrText>
        </w:r>
        <w:r w:rsidR="00B55B9B">
          <w:rPr>
            <w:noProof/>
            <w:webHidden/>
          </w:rPr>
        </w:r>
        <w:r w:rsidR="00B55B9B">
          <w:rPr>
            <w:noProof/>
            <w:webHidden/>
          </w:rPr>
          <w:fldChar w:fldCharType="separate"/>
        </w:r>
        <w:r w:rsidR="00FD3F9A">
          <w:rPr>
            <w:noProof/>
            <w:webHidden/>
          </w:rPr>
          <w:t>26</w:t>
        </w:r>
        <w:r w:rsidR="00B55B9B">
          <w:rPr>
            <w:noProof/>
            <w:webHidden/>
          </w:rPr>
          <w:fldChar w:fldCharType="end"/>
        </w:r>
      </w:hyperlink>
    </w:p>
    <w:p w14:paraId="51526CBB" w14:textId="3F51C289" w:rsidR="00B55B9B" w:rsidRDefault="004C4DA7" w:rsidP="00B55B9B">
      <w:pPr>
        <w:pStyle w:val="Spisilustracji"/>
        <w:tabs>
          <w:tab w:val="left" w:pos="8080"/>
        </w:tabs>
        <w:rPr>
          <w:rFonts w:asciiTheme="minorHAnsi" w:eastAsiaTheme="minorEastAsia" w:hAnsiTheme="minorHAnsi" w:cstheme="minorBidi"/>
          <w:noProof/>
          <w:sz w:val="22"/>
          <w:szCs w:val="22"/>
          <w:lang w:eastAsia="pl-PL"/>
        </w:rPr>
      </w:pPr>
      <w:hyperlink w:anchor="_Toc80604794" w:history="1">
        <w:r w:rsidR="00B55B9B" w:rsidRPr="00DE4AB4">
          <w:rPr>
            <w:rStyle w:val="Hipercze"/>
            <w:noProof/>
          </w:rPr>
          <w:t>Rysunek 21</w:t>
        </w:r>
        <w:r w:rsidR="00B55B9B">
          <w:rPr>
            <w:rFonts w:asciiTheme="minorHAnsi" w:eastAsiaTheme="minorEastAsia" w:hAnsiTheme="minorHAnsi" w:cstheme="minorBidi"/>
            <w:noProof/>
            <w:sz w:val="22"/>
            <w:szCs w:val="22"/>
            <w:lang w:eastAsia="pl-PL"/>
          </w:rPr>
          <w:tab/>
        </w:r>
        <w:r w:rsidR="00B55B9B" w:rsidRPr="00DE4AB4">
          <w:rPr>
            <w:rStyle w:val="Hipercze"/>
            <w:noProof/>
          </w:rPr>
          <w:t>Lokalizacja działań zaproponowanych w wariancie „1” dla obszaru problemowego IOP_5 Krynica Morska – Zalew Wiślany, m. Frombork</w:t>
        </w:r>
        <w:r w:rsidR="00B55B9B">
          <w:rPr>
            <w:noProof/>
            <w:webHidden/>
          </w:rPr>
          <w:tab/>
        </w:r>
        <w:r w:rsidR="00B55B9B">
          <w:rPr>
            <w:noProof/>
            <w:webHidden/>
          </w:rPr>
          <w:fldChar w:fldCharType="begin"/>
        </w:r>
        <w:r w:rsidR="00B55B9B">
          <w:rPr>
            <w:noProof/>
            <w:webHidden/>
          </w:rPr>
          <w:instrText xml:space="preserve"> PAGEREF _Toc80604794 \h </w:instrText>
        </w:r>
        <w:r w:rsidR="00B55B9B">
          <w:rPr>
            <w:noProof/>
            <w:webHidden/>
          </w:rPr>
        </w:r>
        <w:r w:rsidR="00B55B9B">
          <w:rPr>
            <w:noProof/>
            <w:webHidden/>
          </w:rPr>
          <w:fldChar w:fldCharType="separate"/>
        </w:r>
        <w:r w:rsidR="00FD3F9A">
          <w:rPr>
            <w:noProof/>
            <w:webHidden/>
          </w:rPr>
          <w:t>27</w:t>
        </w:r>
        <w:r w:rsidR="00B55B9B">
          <w:rPr>
            <w:noProof/>
            <w:webHidden/>
          </w:rPr>
          <w:fldChar w:fldCharType="end"/>
        </w:r>
      </w:hyperlink>
    </w:p>
    <w:p w14:paraId="622221FD" w14:textId="3BF622C4" w:rsidR="00B55B9B" w:rsidRDefault="004C4DA7" w:rsidP="00B55B9B">
      <w:pPr>
        <w:pStyle w:val="Spisilustracji"/>
        <w:tabs>
          <w:tab w:val="left" w:pos="8080"/>
        </w:tabs>
        <w:rPr>
          <w:rFonts w:asciiTheme="minorHAnsi" w:eastAsiaTheme="minorEastAsia" w:hAnsiTheme="minorHAnsi" w:cstheme="minorBidi"/>
          <w:noProof/>
          <w:sz w:val="22"/>
          <w:szCs w:val="22"/>
          <w:lang w:eastAsia="pl-PL"/>
        </w:rPr>
      </w:pPr>
      <w:hyperlink w:anchor="_Toc80604795" w:history="1">
        <w:r w:rsidR="00B55B9B" w:rsidRPr="00DE4AB4">
          <w:rPr>
            <w:rStyle w:val="Hipercze"/>
            <w:noProof/>
          </w:rPr>
          <w:t>Rysunek 22</w:t>
        </w:r>
        <w:r w:rsidR="00B55B9B">
          <w:rPr>
            <w:rFonts w:asciiTheme="minorHAnsi" w:eastAsiaTheme="minorEastAsia" w:hAnsiTheme="minorHAnsi" w:cstheme="minorBidi"/>
            <w:noProof/>
            <w:sz w:val="22"/>
            <w:szCs w:val="22"/>
            <w:lang w:eastAsia="pl-PL"/>
          </w:rPr>
          <w:tab/>
        </w:r>
        <w:r w:rsidR="00B55B9B" w:rsidRPr="00DE4AB4">
          <w:rPr>
            <w:rStyle w:val="Hipercze"/>
            <w:noProof/>
          </w:rPr>
          <w:t>Lokalizacja działań zaproponowanych w wariancie „2” dla obszaru problemowego IOP_5 Krynica Morska – Zalew Wiślany, m. Frombork</w:t>
        </w:r>
        <w:r w:rsidR="00B55B9B">
          <w:rPr>
            <w:noProof/>
            <w:webHidden/>
          </w:rPr>
          <w:tab/>
        </w:r>
        <w:r w:rsidR="00B55B9B">
          <w:rPr>
            <w:noProof/>
            <w:webHidden/>
          </w:rPr>
          <w:fldChar w:fldCharType="begin"/>
        </w:r>
        <w:r w:rsidR="00B55B9B">
          <w:rPr>
            <w:noProof/>
            <w:webHidden/>
          </w:rPr>
          <w:instrText xml:space="preserve"> PAGEREF _Toc80604795 \h </w:instrText>
        </w:r>
        <w:r w:rsidR="00B55B9B">
          <w:rPr>
            <w:noProof/>
            <w:webHidden/>
          </w:rPr>
        </w:r>
        <w:r w:rsidR="00B55B9B">
          <w:rPr>
            <w:noProof/>
            <w:webHidden/>
          </w:rPr>
          <w:fldChar w:fldCharType="separate"/>
        </w:r>
        <w:r w:rsidR="00FD3F9A">
          <w:rPr>
            <w:noProof/>
            <w:webHidden/>
          </w:rPr>
          <w:t>28</w:t>
        </w:r>
        <w:r w:rsidR="00B55B9B">
          <w:rPr>
            <w:noProof/>
            <w:webHidden/>
          </w:rPr>
          <w:fldChar w:fldCharType="end"/>
        </w:r>
      </w:hyperlink>
    </w:p>
    <w:p w14:paraId="527EE1DE" w14:textId="682FF36A" w:rsidR="00B55B9B" w:rsidRDefault="004C4DA7" w:rsidP="00B55B9B">
      <w:pPr>
        <w:pStyle w:val="Spisilustracji"/>
        <w:tabs>
          <w:tab w:val="left" w:pos="8080"/>
        </w:tabs>
        <w:rPr>
          <w:rFonts w:asciiTheme="minorHAnsi" w:eastAsiaTheme="minorEastAsia" w:hAnsiTheme="minorHAnsi" w:cstheme="minorBidi"/>
          <w:noProof/>
          <w:sz w:val="22"/>
          <w:szCs w:val="22"/>
          <w:lang w:eastAsia="pl-PL"/>
        </w:rPr>
      </w:pPr>
      <w:hyperlink w:anchor="_Toc80604796" w:history="1">
        <w:r w:rsidR="00B55B9B" w:rsidRPr="00DE4AB4">
          <w:rPr>
            <w:rStyle w:val="Hipercze"/>
            <w:noProof/>
          </w:rPr>
          <w:t>Rysunek 23</w:t>
        </w:r>
        <w:r w:rsidR="00B55B9B">
          <w:rPr>
            <w:rFonts w:asciiTheme="minorHAnsi" w:eastAsiaTheme="minorEastAsia" w:hAnsiTheme="minorHAnsi" w:cstheme="minorBidi"/>
            <w:noProof/>
            <w:sz w:val="22"/>
            <w:szCs w:val="22"/>
            <w:lang w:eastAsia="pl-PL"/>
          </w:rPr>
          <w:tab/>
        </w:r>
        <w:r w:rsidR="00B55B9B" w:rsidRPr="00DE4AB4">
          <w:rPr>
            <w:rStyle w:val="Hipercze"/>
            <w:noProof/>
          </w:rPr>
          <w:t>Lokalizacja działań zaproponowanych w wariancie „1” dla obszaru problemowego IOP_7 Ustka – ujście Słupi</w:t>
        </w:r>
        <w:r w:rsidR="00B55B9B">
          <w:rPr>
            <w:noProof/>
            <w:webHidden/>
          </w:rPr>
          <w:tab/>
        </w:r>
        <w:r w:rsidR="00B55B9B">
          <w:rPr>
            <w:noProof/>
            <w:webHidden/>
          </w:rPr>
          <w:fldChar w:fldCharType="begin"/>
        </w:r>
        <w:r w:rsidR="00B55B9B">
          <w:rPr>
            <w:noProof/>
            <w:webHidden/>
          </w:rPr>
          <w:instrText xml:space="preserve"> PAGEREF _Toc80604796 \h </w:instrText>
        </w:r>
        <w:r w:rsidR="00B55B9B">
          <w:rPr>
            <w:noProof/>
            <w:webHidden/>
          </w:rPr>
        </w:r>
        <w:r w:rsidR="00B55B9B">
          <w:rPr>
            <w:noProof/>
            <w:webHidden/>
          </w:rPr>
          <w:fldChar w:fldCharType="separate"/>
        </w:r>
        <w:r w:rsidR="00FD3F9A">
          <w:rPr>
            <w:noProof/>
            <w:webHidden/>
          </w:rPr>
          <w:t>30</w:t>
        </w:r>
        <w:r w:rsidR="00B55B9B">
          <w:rPr>
            <w:noProof/>
            <w:webHidden/>
          </w:rPr>
          <w:fldChar w:fldCharType="end"/>
        </w:r>
      </w:hyperlink>
    </w:p>
    <w:p w14:paraId="68ABDE42" w14:textId="3D33D454" w:rsidR="00B55B9B" w:rsidRDefault="004C4DA7" w:rsidP="00B55B9B">
      <w:pPr>
        <w:pStyle w:val="Spisilustracji"/>
        <w:tabs>
          <w:tab w:val="left" w:pos="8080"/>
        </w:tabs>
        <w:rPr>
          <w:rFonts w:asciiTheme="minorHAnsi" w:eastAsiaTheme="minorEastAsia" w:hAnsiTheme="minorHAnsi" w:cstheme="minorBidi"/>
          <w:noProof/>
          <w:sz w:val="22"/>
          <w:szCs w:val="22"/>
          <w:lang w:eastAsia="pl-PL"/>
        </w:rPr>
      </w:pPr>
      <w:hyperlink w:anchor="_Toc80604797" w:history="1">
        <w:r w:rsidR="00B55B9B" w:rsidRPr="00DE4AB4">
          <w:rPr>
            <w:rStyle w:val="Hipercze"/>
            <w:noProof/>
          </w:rPr>
          <w:t>Rysunek 24</w:t>
        </w:r>
        <w:r w:rsidR="00B55B9B">
          <w:rPr>
            <w:rFonts w:asciiTheme="minorHAnsi" w:eastAsiaTheme="minorEastAsia" w:hAnsiTheme="minorHAnsi" w:cstheme="minorBidi"/>
            <w:noProof/>
            <w:sz w:val="22"/>
            <w:szCs w:val="22"/>
            <w:lang w:eastAsia="pl-PL"/>
          </w:rPr>
          <w:tab/>
        </w:r>
        <w:r w:rsidR="00B55B9B" w:rsidRPr="00DE4AB4">
          <w:rPr>
            <w:rStyle w:val="Hipercze"/>
            <w:noProof/>
          </w:rPr>
          <w:t>Lokalizacja działań zaproponowanych w wariancie „1” dla obszaru problemowego IOP_7 Ustka – ujście Słupi</w:t>
        </w:r>
        <w:r w:rsidR="00B55B9B">
          <w:rPr>
            <w:noProof/>
            <w:webHidden/>
          </w:rPr>
          <w:tab/>
        </w:r>
        <w:r w:rsidR="00B55B9B">
          <w:rPr>
            <w:noProof/>
            <w:webHidden/>
          </w:rPr>
          <w:fldChar w:fldCharType="begin"/>
        </w:r>
        <w:r w:rsidR="00B55B9B">
          <w:rPr>
            <w:noProof/>
            <w:webHidden/>
          </w:rPr>
          <w:instrText xml:space="preserve"> PAGEREF _Toc80604797 \h </w:instrText>
        </w:r>
        <w:r w:rsidR="00B55B9B">
          <w:rPr>
            <w:noProof/>
            <w:webHidden/>
          </w:rPr>
        </w:r>
        <w:r w:rsidR="00B55B9B">
          <w:rPr>
            <w:noProof/>
            <w:webHidden/>
          </w:rPr>
          <w:fldChar w:fldCharType="separate"/>
        </w:r>
        <w:r w:rsidR="00FD3F9A">
          <w:rPr>
            <w:noProof/>
            <w:webHidden/>
          </w:rPr>
          <w:t>30</w:t>
        </w:r>
        <w:r w:rsidR="00B55B9B">
          <w:rPr>
            <w:noProof/>
            <w:webHidden/>
          </w:rPr>
          <w:fldChar w:fldCharType="end"/>
        </w:r>
      </w:hyperlink>
    </w:p>
    <w:p w14:paraId="247A774D" w14:textId="34873741" w:rsidR="00B55B9B" w:rsidRDefault="004C4DA7" w:rsidP="00B55B9B">
      <w:pPr>
        <w:pStyle w:val="Spisilustracji"/>
        <w:tabs>
          <w:tab w:val="left" w:pos="8080"/>
        </w:tabs>
        <w:rPr>
          <w:rFonts w:asciiTheme="minorHAnsi" w:eastAsiaTheme="minorEastAsia" w:hAnsiTheme="minorHAnsi" w:cstheme="minorBidi"/>
          <w:noProof/>
          <w:sz w:val="22"/>
          <w:szCs w:val="22"/>
          <w:lang w:eastAsia="pl-PL"/>
        </w:rPr>
      </w:pPr>
      <w:hyperlink w:anchor="_Toc80604798" w:history="1">
        <w:r w:rsidR="00B55B9B" w:rsidRPr="00DE4AB4">
          <w:rPr>
            <w:rStyle w:val="Hipercze"/>
            <w:noProof/>
          </w:rPr>
          <w:t>Rysunek 25</w:t>
        </w:r>
        <w:r w:rsidR="00B55B9B">
          <w:rPr>
            <w:rFonts w:asciiTheme="minorHAnsi" w:eastAsiaTheme="minorEastAsia" w:hAnsiTheme="minorHAnsi" w:cstheme="minorBidi"/>
            <w:noProof/>
            <w:sz w:val="22"/>
            <w:szCs w:val="22"/>
            <w:lang w:eastAsia="pl-PL"/>
          </w:rPr>
          <w:tab/>
        </w:r>
        <w:r w:rsidR="00B55B9B" w:rsidRPr="00DE4AB4">
          <w:rPr>
            <w:rStyle w:val="Hipercze"/>
            <w:noProof/>
          </w:rPr>
          <w:t>Lokalizacja działań zaproponowanych w wariancie „2” dla obszaru problemowego IOP_7 Ustka – ujście Słupi</w:t>
        </w:r>
        <w:r w:rsidR="00B55B9B">
          <w:rPr>
            <w:noProof/>
            <w:webHidden/>
          </w:rPr>
          <w:tab/>
        </w:r>
        <w:r w:rsidR="00B55B9B">
          <w:rPr>
            <w:noProof/>
            <w:webHidden/>
          </w:rPr>
          <w:fldChar w:fldCharType="begin"/>
        </w:r>
        <w:r w:rsidR="00B55B9B">
          <w:rPr>
            <w:noProof/>
            <w:webHidden/>
          </w:rPr>
          <w:instrText xml:space="preserve"> PAGEREF _Toc80604798 \h </w:instrText>
        </w:r>
        <w:r w:rsidR="00B55B9B">
          <w:rPr>
            <w:noProof/>
            <w:webHidden/>
          </w:rPr>
        </w:r>
        <w:r w:rsidR="00B55B9B">
          <w:rPr>
            <w:noProof/>
            <w:webHidden/>
          </w:rPr>
          <w:fldChar w:fldCharType="separate"/>
        </w:r>
        <w:r w:rsidR="00FD3F9A">
          <w:rPr>
            <w:noProof/>
            <w:webHidden/>
          </w:rPr>
          <w:t>31</w:t>
        </w:r>
        <w:r w:rsidR="00B55B9B">
          <w:rPr>
            <w:noProof/>
            <w:webHidden/>
          </w:rPr>
          <w:fldChar w:fldCharType="end"/>
        </w:r>
      </w:hyperlink>
    </w:p>
    <w:p w14:paraId="093F78FA" w14:textId="63B6A986" w:rsidR="00B55B9B" w:rsidRDefault="004C4DA7" w:rsidP="00B55B9B">
      <w:pPr>
        <w:pStyle w:val="Spisilustracji"/>
        <w:tabs>
          <w:tab w:val="left" w:pos="8080"/>
        </w:tabs>
        <w:rPr>
          <w:rFonts w:asciiTheme="minorHAnsi" w:eastAsiaTheme="minorEastAsia" w:hAnsiTheme="minorHAnsi" w:cstheme="minorBidi"/>
          <w:noProof/>
          <w:sz w:val="22"/>
          <w:szCs w:val="22"/>
          <w:lang w:eastAsia="pl-PL"/>
        </w:rPr>
      </w:pPr>
      <w:hyperlink w:anchor="_Toc80604799" w:history="1">
        <w:r w:rsidR="00B55B9B" w:rsidRPr="00DE4AB4">
          <w:rPr>
            <w:rStyle w:val="Hipercze"/>
            <w:noProof/>
          </w:rPr>
          <w:t>Rysunek 26</w:t>
        </w:r>
        <w:r w:rsidR="00B55B9B">
          <w:rPr>
            <w:rFonts w:asciiTheme="minorHAnsi" w:eastAsiaTheme="minorEastAsia" w:hAnsiTheme="minorHAnsi" w:cstheme="minorBidi"/>
            <w:noProof/>
            <w:sz w:val="22"/>
            <w:szCs w:val="22"/>
            <w:lang w:eastAsia="pl-PL"/>
          </w:rPr>
          <w:tab/>
        </w:r>
        <w:r w:rsidR="00B55B9B" w:rsidRPr="00DE4AB4">
          <w:rPr>
            <w:rStyle w:val="Hipercze"/>
            <w:noProof/>
          </w:rPr>
          <w:t>Lokalizacja działań zaproponowanych w wariancie „1” dla obszaru problemowego IOP_7 Ustka – ujście Słupi</w:t>
        </w:r>
        <w:r w:rsidR="00B55B9B">
          <w:rPr>
            <w:noProof/>
            <w:webHidden/>
          </w:rPr>
          <w:tab/>
        </w:r>
        <w:r w:rsidR="00B55B9B">
          <w:rPr>
            <w:noProof/>
            <w:webHidden/>
          </w:rPr>
          <w:fldChar w:fldCharType="begin"/>
        </w:r>
        <w:r w:rsidR="00B55B9B">
          <w:rPr>
            <w:noProof/>
            <w:webHidden/>
          </w:rPr>
          <w:instrText xml:space="preserve"> PAGEREF _Toc80604799 \h </w:instrText>
        </w:r>
        <w:r w:rsidR="00B55B9B">
          <w:rPr>
            <w:noProof/>
            <w:webHidden/>
          </w:rPr>
        </w:r>
        <w:r w:rsidR="00B55B9B">
          <w:rPr>
            <w:noProof/>
            <w:webHidden/>
          </w:rPr>
          <w:fldChar w:fldCharType="separate"/>
        </w:r>
        <w:r w:rsidR="00FD3F9A">
          <w:rPr>
            <w:noProof/>
            <w:webHidden/>
          </w:rPr>
          <w:t>32</w:t>
        </w:r>
        <w:r w:rsidR="00B55B9B">
          <w:rPr>
            <w:noProof/>
            <w:webHidden/>
          </w:rPr>
          <w:fldChar w:fldCharType="end"/>
        </w:r>
      </w:hyperlink>
    </w:p>
    <w:p w14:paraId="6310C48B" w14:textId="174FD355" w:rsidR="00B55B9B" w:rsidRDefault="004C4DA7" w:rsidP="00B55B9B">
      <w:pPr>
        <w:pStyle w:val="Spisilustracji"/>
        <w:tabs>
          <w:tab w:val="left" w:pos="8080"/>
        </w:tabs>
        <w:rPr>
          <w:rFonts w:asciiTheme="minorHAnsi" w:eastAsiaTheme="minorEastAsia" w:hAnsiTheme="minorHAnsi" w:cstheme="minorBidi"/>
          <w:noProof/>
          <w:sz w:val="22"/>
          <w:szCs w:val="22"/>
          <w:lang w:eastAsia="pl-PL"/>
        </w:rPr>
      </w:pPr>
      <w:hyperlink w:anchor="_Toc80604800" w:history="1">
        <w:r w:rsidR="00B55B9B" w:rsidRPr="00DE4AB4">
          <w:rPr>
            <w:rStyle w:val="Hipercze"/>
            <w:noProof/>
          </w:rPr>
          <w:t>Rysunek 27</w:t>
        </w:r>
        <w:r w:rsidR="00B55B9B">
          <w:rPr>
            <w:rFonts w:asciiTheme="minorHAnsi" w:eastAsiaTheme="minorEastAsia" w:hAnsiTheme="minorHAnsi" w:cstheme="minorBidi"/>
            <w:noProof/>
            <w:sz w:val="22"/>
            <w:szCs w:val="22"/>
            <w:lang w:eastAsia="pl-PL"/>
          </w:rPr>
          <w:tab/>
        </w:r>
        <w:r w:rsidR="00B55B9B" w:rsidRPr="00DE4AB4">
          <w:rPr>
            <w:rStyle w:val="Hipercze"/>
            <w:noProof/>
          </w:rPr>
          <w:t>Lokalizacja działań zaproponowanych w wariancie „1” dla obszaru problemowego IOP_8 Dębki I</w:t>
        </w:r>
        <w:r w:rsidR="00B55B9B">
          <w:rPr>
            <w:noProof/>
            <w:webHidden/>
          </w:rPr>
          <w:tab/>
        </w:r>
        <w:r w:rsidR="00B55B9B">
          <w:rPr>
            <w:noProof/>
            <w:webHidden/>
          </w:rPr>
          <w:fldChar w:fldCharType="begin"/>
        </w:r>
        <w:r w:rsidR="00B55B9B">
          <w:rPr>
            <w:noProof/>
            <w:webHidden/>
          </w:rPr>
          <w:instrText xml:space="preserve"> PAGEREF _Toc80604800 \h </w:instrText>
        </w:r>
        <w:r w:rsidR="00B55B9B">
          <w:rPr>
            <w:noProof/>
            <w:webHidden/>
          </w:rPr>
        </w:r>
        <w:r w:rsidR="00B55B9B">
          <w:rPr>
            <w:noProof/>
            <w:webHidden/>
          </w:rPr>
          <w:fldChar w:fldCharType="separate"/>
        </w:r>
        <w:r w:rsidR="00FD3F9A">
          <w:rPr>
            <w:noProof/>
            <w:webHidden/>
          </w:rPr>
          <w:t>33</w:t>
        </w:r>
        <w:r w:rsidR="00B55B9B">
          <w:rPr>
            <w:noProof/>
            <w:webHidden/>
          </w:rPr>
          <w:fldChar w:fldCharType="end"/>
        </w:r>
      </w:hyperlink>
    </w:p>
    <w:p w14:paraId="1550EB68" w14:textId="673D23C2" w:rsidR="00B55B9B" w:rsidRDefault="004C4DA7" w:rsidP="00B55B9B">
      <w:pPr>
        <w:pStyle w:val="Spisilustracji"/>
        <w:tabs>
          <w:tab w:val="left" w:pos="8080"/>
        </w:tabs>
        <w:rPr>
          <w:rFonts w:asciiTheme="minorHAnsi" w:eastAsiaTheme="minorEastAsia" w:hAnsiTheme="minorHAnsi" w:cstheme="minorBidi"/>
          <w:noProof/>
          <w:sz w:val="22"/>
          <w:szCs w:val="22"/>
          <w:lang w:eastAsia="pl-PL"/>
        </w:rPr>
      </w:pPr>
      <w:hyperlink w:anchor="_Toc80604801" w:history="1">
        <w:r w:rsidR="00B55B9B" w:rsidRPr="00DE4AB4">
          <w:rPr>
            <w:rStyle w:val="Hipercze"/>
            <w:noProof/>
          </w:rPr>
          <w:t>Rysunek 28</w:t>
        </w:r>
        <w:r w:rsidR="00B55B9B">
          <w:rPr>
            <w:rFonts w:asciiTheme="minorHAnsi" w:eastAsiaTheme="minorEastAsia" w:hAnsiTheme="minorHAnsi" w:cstheme="minorBidi"/>
            <w:noProof/>
            <w:sz w:val="22"/>
            <w:szCs w:val="22"/>
            <w:lang w:eastAsia="pl-PL"/>
          </w:rPr>
          <w:tab/>
        </w:r>
        <w:r w:rsidR="00B55B9B" w:rsidRPr="00DE4AB4">
          <w:rPr>
            <w:rStyle w:val="Hipercze"/>
            <w:noProof/>
          </w:rPr>
          <w:t>Lokalizacja działań zaproponowanych w wariancie „2” dla obszaru problemowego IOP_8 Dębki</w:t>
        </w:r>
        <w:r w:rsidR="00B55B9B">
          <w:rPr>
            <w:noProof/>
            <w:webHidden/>
          </w:rPr>
          <w:tab/>
        </w:r>
        <w:r w:rsidR="00B55B9B">
          <w:rPr>
            <w:noProof/>
            <w:webHidden/>
          </w:rPr>
          <w:fldChar w:fldCharType="begin"/>
        </w:r>
        <w:r w:rsidR="00B55B9B">
          <w:rPr>
            <w:noProof/>
            <w:webHidden/>
          </w:rPr>
          <w:instrText xml:space="preserve"> PAGEREF _Toc80604801 \h </w:instrText>
        </w:r>
        <w:r w:rsidR="00B55B9B">
          <w:rPr>
            <w:noProof/>
            <w:webHidden/>
          </w:rPr>
        </w:r>
        <w:r w:rsidR="00B55B9B">
          <w:rPr>
            <w:noProof/>
            <w:webHidden/>
          </w:rPr>
          <w:fldChar w:fldCharType="separate"/>
        </w:r>
        <w:r w:rsidR="00FD3F9A">
          <w:rPr>
            <w:noProof/>
            <w:webHidden/>
          </w:rPr>
          <w:t>34</w:t>
        </w:r>
        <w:r w:rsidR="00B55B9B">
          <w:rPr>
            <w:noProof/>
            <w:webHidden/>
          </w:rPr>
          <w:fldChar w:fldCharType="end"/>
        </w:r>
      </w:hyperlink>
    </w:p>
    <w:p w14:paraId="5C639F44" w14:textId="03E50D10" w:rsidR="00B55B9B" w:rsidRDefault="004C4DA7" w:rsidP="00B55B9B">
      <w:pPr>
        <w:pStyle w:val="Spisilustracji"/>
        <w:tabs>
          <w:tab w:val="left" w:pos="8080"/>
        </w:tabs>
        <w:rPr>
          <w:rFonts w:asciiTheme="minorHAnsi" w:eastAsiaTheme="minorEastAsia" w:hAnsiTheme="minorHAnsi" w:cstheme="minorBidi"/>
          <w:noProof/>
          <w:sz w:val="22"/>
          <w:szCs w:val="22"/>
          <w:lang w:eastAsia="pl-PL"/>
        </w:rPr>
      </w:pPr>
      <w:hyperlink w:anchor="_Toc80604802" w:history="1">
        <w:r w:rsidR="00B55B9B" w:rsidRPr="00DE4AB4">
          <w:rPr>
            <w:rStyle w:val="Hipercze"/>
            <w:noProof/>
          </w:rPr>
          <w:t>Rysunek 29</w:t>
        </w:r>
        <w:r w:rsidR="00B55B9B">
          <w:rPr>
            <w:rFonts w:asciiTheme="minorHAnsi" w:eastAsiaTheme="minorEastAsia" w:hAnsiTheme="minorHAnsi" w:cstheme="minorBidi"/>
            <w:noProof/>
            <w:sz w:val="22"/>
            <w:szCs w:val="22"/>
            <w:lang w:eastAsia="pl-PL"/>
          </w:rPr>
          <w:tab/>
        </w:r>
        <w:r w:rsidR="00B55B9B" w:rsidRPr="00DE4AB4">
          <w:rPr>
            <w:rStyle w:val="Hipercze"/>
            <w:noProof/>
          </w:rPr>
          <w:t>Lokalizacja działań zaproponowanych w wariancie „1” dla obszaru problemowego IOP_12 Łeba od Mielnickiego Kanału do Chełstu (p)</w:t>
        </w:r>
        <w:r w:rsidR="00B55B9B">
          <w:rPr>
            <w:noProof/>
            <w:webHidden/>
          </w:rPr>
          <w:tab/>
        </w:r>
        <w:r w:rsidR="00B55B9B">
          <w:rPr>
            <w:noProof/>
            <w:webHidden/>
          </w:rPr>
          <w:fldChar w:fldCharType="begin"/>
        </w:r>
        <w:r w:rsidR="00B55B9B">
          <w:rPr>
            <w:noProof/>
            <w:webHidden/>
          </w:rPr>
          <w:instrText xml:space="preserve"> PAGEREF _Toc80604802 \h </w:instrText>
        </w:r>
        <w:r w:rsidR="00B55B9B">
          <w:rPr>
            <w:noProof/>
            <w:webHidden/>
          </w:rPr>
        </w:r>
        <w:r w:rsidR="00B55B9B">
          <w:rPr>
            <w:noProof/>
            <w:webHidden/>
          </w:rPr>
          <w:fldChar w:fldCharType="separate"/>
        </w:r>
        <w:r w:rsidR="00FD3F9A">
          <w:rPr>
            <w:noProof/>
            <w:webHidden/>
          </w:rPr>
          <w:t>36</w:t>
        </w:r>
        <w:r w:rsidR="00B55B9B">
          <w:rPr>
            <w:noProof/>
            <w:webHidden/>
          </w:rPr>
          <w:fldChar w:fldCharType="end"/>
        </w:r>
      </w:hyperlink>
    </w:p>
    <w:p w14:paraId="74E1CD2A" w14:textId="0AEAE4DA" w:rsidR="00B55B9B" w:rsidRDefault="004C4DA7" w:rsidP="00B55B9B">
      <w:pPr>
        <w:pStyle w:val="Spisilustracji"/>
        <w:tabs>
          <w:tab w:val="left" w:pos="8080"/>
        </w:tabs>
        <w:rPr>
          <w:rFonts w:asciiTheme="minorHAnsi" w:eastAsiaTheme="minorEastAsia" w:hAnsiTheme="minorHAnsi" w:cstheme="minorBidi"/>
          <w:noProof/>
          <w:sz w:val="22"/>
          <w:szCs w:val="22"/>
          <w:lang w:eastAsia="pl-PL"/>
        </w:rPr>
      </w:pPr>
      <w:hyperlink w:anchor="_Toc80604803" w:history="1">
        <w:r w:rsidR="00B55B9B" w:rsidRPr="00DE4AB4">
          <w:rPr>
            <w:rStyle w:val="Hipercze"/>
            <w:noProof/>
          </w:rPr>
          <w:t>Rysunek 30</w:t>
        </w:r>
        <w:r w:rsidR="00B55B9B">
          <w:rPr>
            <w:rFonts w:asciiTheme="minorHAnsi" w:eastAsiaTheme="minorEastAsia" w:hAnsiTheme="minorHAnsi" w:cstheme="minorBidi"/>
            <w:noProof/>
            <w:sz w:val="22"/>
            <w:szCs w:val="22"/>
            <w:lang w:eastAsia="pl-PL"/>
          </w:rPr>
          <w:tab/>
        </w:r>
        <w:r w:rsidR="00B55B9B" w:rsidRPr="00DE4AB4">
          <w:rPr>
            <w:rStyle w:val="Hipercze"/>
            <w:noProof/>
          </w:rPr>
          <w:t>Lokalizacja działań zaproponowanych w wariancie „2” dla obszaru problemowego IOP_12 Łeba od Mielnickiego Kanału do Chełstu (p)</w:t>
        </w:r>
        <w:r w:rsidR="00B55B9B">
          <w:rPr>
            <w:noProof/>
            <w:webHidden/>
          </w:rPr>
          <w:tab/>
        </w:r>
        <w:r w:rsidR="00B55B9B">
          <w:rPr>
            <w:noProof/>
            <w:webHidden/>
          </w:rPr>
          <w:fldChar w:fldCharType="begin"/>
        </w:r>
        <w:r w:rsidR="00B55B9B">
          <w:rPr>
            <w:noProof/>
            <w:webHidden/>
          </w:rPr>
          <w:instrText xml:space="preserve"> PAGEREF _Toc80604803 \h </w:instrText>
        </w:r>
        <w:r w:rsidR="00B55B9B">
          <w:rPr>
            <w:noProof/>
            <w:webHidden/>
          </w:rPr>
        </w:r>
        <w:r w:rsidR="00B55B9B">
          <w:rPr>
            <w:noProof/>
            <w:webHidden/>
          </w:rPr>
          <w:fldChar w:fldCharType="separate"/>
        </w:r>
        <w:r w:rsidR="00FD3F9A">
          <w:rPr>
            <w:noProof/>
            <w:webHidden/>
          </w:rPr>
          <w:t>37</w:t>
        </w:r>
        <w:r w:rsidR="00B55B9B">
          <w:rPr>
            <w:noProof/>
            <w:webHidden/>
          </w:rPr>
          <w:fldChar w:fldCharType="end"/>
        </w:r>
      </w:hyperlink>
    </w:p>
    <w:p w14:paraId="1588BFD1" w14:textId="4D0C5C8A" w:rsidR="00B55B9B" w:rsidRDefault="004C4DA7" w:rsidP="00B55B9B">
      <w:pPr>
        <w:pStyle w:val="Spisilustracji"/>
        <w:tabs>
          <w:tab w:val="left" w:pos="8080"/>
        </w:tabs>
        <w:rPr>
          <w:rFonts w:asciiTheme="minorHAnsi" w:eastAsiaTheme="minorEastAsia" w:hAnsiTheme="minorHAnsi" w:cstheme="minorBidi"/>
          <w:noProof/>
          <w:sz w:val="22"/>
          <w:szCs w:val="22"/>
          <w:lang w:eastAsia="pl-PL"/>
        </w:rPr>
      </w:pPr>
      <w:hyperlink w:anchor="_Toc80604804" w:history="1">
        <w:r w:rsidR="00B55B9B" w:rsidRPr="00DE4AB4">
          <w:rPr>
            <w:rStyle w:val="Hipercze"/>
            <w:noProof/>
          </w:rPr>
          <w:t>Rysunek 31</w:t>
        </w:r>
        <w:r w:rsidR="00B55B9B">
          <w:rPr>
            <w:rFonts w:asciiTheme="minorHAnsi" w:eastAsiaTheme="minorEastAsia" w:hAnsiTheme="minorHAnsi" w:cstheme="minorBidi"/>
            <w:noProof/>
            <w:sz w:val="22"/>
            <w:szCs w:val="22"/>
            <w:lang w:eastAsia="pl-PL"/>
          </w:rPr>
          <w:tab/>
        </w:r>
        <w:r w:rsidR="00B55B9B" w:rsidRPr="00DE4AB4">
          <w:rPr>
            <w:rStyle w:val="Hipercze"/>
            <w:noProof/>
          </w:rPr>
          <w:t>Lokalizacja działań zaproponowanych w wariancie „1” dla obszaru problemowego MR_1 Żuławy Wiślane cz.1, Elbląg, ul. Radomska i ul. Stawidłowa</w:t>
        </w:r>
        <w:r w:rsidR="00B55B9B">
          <w:rPr>
            <w:noProof/>
            <w:webHidden/>
          </w:rPr>
          <w:tab/>
        </w:r>
        <w:r w:rsidR="00B55B9B">
          <w:rPr>
            <w:noProof/>
            <w:webHidden/>
          </w:rPr>
          <w:fldChar w:fldCharType="begin"/>
        </w:r>
        <w:r w:rsidR="00B55B9B">
          <w:rPr>
            <w:noProof/>
            <w:webHidden/>
          </w:rPr>
          <w:instrText xml:space="preserve"> PAGEREF _Toc80604804 \h </w:instrText>
        </w:r>
        <w:r w:rsidR="00B55B9B">
          <w:rPr>
            <w:noProof/>
            <w:webHidden/>
          </w:rPr>
        </w:r>
        <w:r w:rsidR="00B55B9B">
          <w:rPr>
            <w:noProof/>
            <w:webHidden/>
          </w:rPr>
          <w:fldChar w:fldCharType="separate"/>
        </w:r>
        <w:r w:rsidR="00FD3F9A">
          <w:rPr>
            <w:noProof/>
            <w:webHidden/>
          </w:rPr>
          <w:t>39</w:t>
        </w:r>
        <w:r w:rsidR="00B55B9B">
          <w:rPr>
            <w:noProof/>
            <w:webHidden/>
          </w:rPr>
          <w:fldChar w:fldCharType="end"/>
        </w:r>
      </w:hyperlink>
    </w:p>
    <w:p w14:paraId="3A337CA2" w14:textId="32806F56" w:rsidR="00B55B9B" w:rsidRDefault="004C4DA7" w:rsidP="00B55B9B">
      <w:pPr>
        <w:pStyle w:val="Spisilustracji"/>
        <w:tabs>
          <w:tab w:val="left" w:pos="8080"/>
        </w:tabs>
        <w:rPr>
          <w:rFonts w:asciiTheme="minorHAnsi" w:eastAsiaTheme="minorEastAsia" w:hAnsiTheme="minorHAnsi" w:cstheme="minorBidi"/>
          <w:noProof/>
          <w:sz w:val="22"/>
          <w:szCs w:val="22"/>
          <w:lang w:eastAsia="pl-PL"/>
        </w:rPr>
      </w:pPr>
      <w:hyperlink w:anchor="_Toc80604805" w:history="1">
        <w:r w:rsidR="00B55B9B" w:rsidRPr="00DE4AB4">
          <w:rPr>
            <w:rStyle w:val="Hipercze"/>
            <w:noProof/>
          </w:rPr>
          <w:t>Rysunek 32</w:t>
        </w:r>
        <w:r w:rsidR="00B55B9B">
          <w:rPr>
            <w:rFonts w:asciiTheme="minorHAnsi" w:eastAsiaTheme="minorEastAsia" w:hAnsiTheme="minorHAnsi" w:cstheme="minorBidi"/>
            <w:noProof/>
            <w:sz w:val="22"/>
            <w:szCs w:val="22"/>
            <w:lang w:eastAsia="pl-PL"/>
          </w:rPr>
          <w:tab/>
        </w:r>
        <w:r w:rsidR="00B55B9B" w:rsidRPr="00DE4AB4">
          <w:rPr>
            <w:rStyle w:val="Hipercze"/>
            <w:noProof/>
          </w:rPr>
          <w:t>Lokalizacja działań zaproponowanych w wariancie „1” dla obszaru problemowego MR_1 Żuławy Wiślane cz. 2, Elbląg ul. Grochowska</w:t>
        </w:r>
        <w:r w:rsidR="00B55B9B">
          <w:rPr>
            <w:noProof/>
            <w:webHidden/>
          </w:rPr>
          <w:tab/>
        </w:r>
        <w:r w:rsidR="00B55B9B">
          <w:rPr>
            <w:noProof/>
            <w:webHidden/>
          </w:rPr>
          <w:fldChar w:fldCharType="begin"/>
        </w:r>
        <w:r w:rsidR="00B55B9B">
          <w:rPr>
            <w:noProof/>
            <w:webHidden/>
          </w:rPr>
          <w:instrText xml:space="preserve"> PAGEREF _Toc80604805 \h </w:instrText>
        </w:r>
        <w:r w:rsidR="00B55B9B">
          <w:rPr>
            <w:noProof/>
            <w:webHidden/>
          </w:rPr>
        </w:r>
        <w:r w:rsidR="00B55B9B">
          <w:rPr>
            <w:noProof/>
            <w:webHidden/>
          </w:rPr>
          <w:fldChar w:fldCharType="separate"/>
        </w:r>
        <w:r w:rsidR="00FD3F9A">
          <w:rPr>
            <w:noProof/>
            <w:webHidden/>
          </w:rPr>
          <w:t>39</w:t>
        </w:r>
        <w:r w:rsidR="00B55B9B">
          <w:rPr>
            <w:noProof/>
            <w:webHidden/>
          </w:rPr>
          <w:fldChar w:fldCharType="end"/>
        </w:r>
      </w:hyperlink>
    </w:p>
    <w:p w14:paraId="6441262C" w14:textId="101C3D7A" w:rsidR="00B55B9B" w:rsidRDefault="004C4DA7" w:rsidP="00B55B9B">
      <w:pPr>
        <w:pStyle w:val="Spisilustracji"/>
        <w:tabs>
          <w:tab w:val="left" w:pos="8080"/>
        </w:tabs>
        <w:rPr>
          <w:rFonts w:asciiTheme="minorHAnsi" w:eastAsiaTheme="minorEastAsia" w:hAnsiTheme="minorHAnsi" w:cstheme="minorBidi"/>
          <w:noProof/>
          <w:sz w:val="22"/>
          <w:szCs w:val="22"/>
          <w:lang w:eastAsia="pl-PL"/>
        </w:rPr>
      </w:pPr>
      <w:hyperlink w:anchor="_Toc80604806" w:history="1">
        <w:r w:rsidR="00B55B9B" w:rsidRPr="00DE4AB4">
          <w:rPr>
            <w:rStyle w:val="Hipercze"/>
            <w:noProof/>
          </w:rPr>
          <w:t>Rysunek 33</w:t>
        </w:r>
        <w:r w:rsidR="00B55B9B">
          <w:rPr>
            <w:rFonts w:asciiTheme="minorHAnsi" w:eastAsiaTheme="minorEastAsia" w:hAnsiTheme="minorHAnsi" w:cstheme="minorBidi"/>
            <w:noProof/>
            <w:sz w:val="22"/>
            <w:szCs w:val="22"/>
            <w:lang w:eastAsia="pl-PL"/>
          </w:rPr>
          <w:tab/>
        </w:r>
        <w:r w:rsidR="00B55B9B" w:rsidRPr="00DE4AB4">
          <w:rPr>
            <w:rStyle w:val="Hipercze"/>
            <w:noProof/>
          </w:rPr>
          <w:t>Lokalizacja działań zaproponowanych w wariancie „2” dla obszaru problemowego MR_1 Żuławy Wiślane cz.1</w:t>
        </w:r>
        <w:r w:rsidR="00B55B9B">
          <w:rPr>
            <w:noProof/>
            <w:webHidden/>
          </w:rPr>
          <w:tab/>
        </w:r>
        <w:r w:rsidR="00B55B9B">
          <w:rPr>
            <w:noProof/>
            <w:webHidden/>
          </w:rPr>
          <w:fldChar w:fldCharType="begin"/>
        </w:r>
        <w:r w:rsidR="00B55B9B">
          <w:rPr>
            <w:noProof/>
            <w:webHidden/>
          </w:rPr>
          <w:instrText xml:space="preserve"> PAGEREF _Toc80604806 \h </w:instrText>
        </w:r>
        <w:r w:rsidR="00B55B9B">
          <w:rPr>
            <w:noProof/>
            <w:webHidden/>
          </w:rPr>
        </w:r>
        <w:r w:rsidR="00B55B9B">
          <w:rPr>
            <w:noProof/>
            <w:webHidden/>
          </w:rPr>
          <w:fldChar w:fldCharType="separate"/>
        </w:r>
        <w:r w:rsidR="00FD3F9A">
          <w:rPr>
            <w:noProof/>
            <w:webHidden/>
          </w:rPr>
          <w:t>41</w:t>
        </w:r>
        <w:r w:rsidR="00B55B9B">
          <w:rPr>
            <w:noProof/>
            <w:webHidden/>
          </w:rPr>
          <w:fldChar w:fldCharType="end"/>
        </w:r>
      </w:hyperlink>
    </w:p>
    <w:p w14:paraId="32623F3A" w14:textId="0FE0C36C" w:rsidR="00B55B9B" w:rsidRDefault="004C4DA7" w:rsidP="00B55B9B">
      <w:pPr>
        <w:pStyle w:val="Spisilustracji"/>
        <w:tabs>
          <w:tab w:val="left" w:pos="8080"/>
        </w:tabs>
        <w:rPr>
          <w:rFonts w:asciiTheme="minorHAnsi" w:eastAsiaTheme="minorEastAsia" w:hAnsiTheme="minorHAnsi" w:cstheme="minorBidi"/>
          <w:noProof/>
          <w:sz w:val="22"/>
          <w:szCs w:val="22"/>
          <w:lang w:eastAsia="pl-PL"/>
        </w:rPr>
      </w:pPr>
      <w:hyperlink w:anchor="_Toc80604807" w:history="1">
        <w:r w:rsidR="00B55B9B" w:rsidRPr="00DE4AB4">
          <w:rPr>
            <w:rStyle w:val="Hipercze"/>
            <w:noProof/>
          </w:rPr>
          <w:t>Rysunek 34</w:t>
        </w:r>
        <w:r w:rsidR="00B55B9B">
          <w:rPr>
            <w:rFonts w:asciiTheme="minorHAnsi" w:eastAsiaTheme="minorEastAsia" w:hAnsiTheme="minorHAnsi" w:cstheme="minorBidi"/>
            <w:noProof/>
            <w:sz w:val="22"/>
            <w:szCs w:val="22"/>
            <w:lang w:eastAsia="pl-PL"/>
          </w:rPr>
          <w:tab/>
        </w:r>
        <w:r w:rsidR="00B55B9B" w:rsidRPr="00DE4AB4">
          <w:rPr>
            <w:rStyle w:val="Hipercze"/>
            <w:noProof/>
          </w:rPr>
          <w:t>Lokalizacja działań zaproponowanych w wariancie „2” dla obszaru problemowego MR_1 Żuławy Wiślane cz.2</w:t>
        </w:r>
        <w:r w:rsidR="00B55B9B">
          <w:rPr>
            <w:noProof/>
            <w:webHidden/>
          </w:rPr>
          <w:tab/>
        </w:r>
        <w:r w:rsidR="00B55B9B">
          <w:rPr>
            <w:noProof/>
            <w:webHidden/>
          </w:rPr>
          <w:fldChar w:fldCharType="begin"/>
        </w:r>
        <w:r w:rsidR="00B55B9B">
          <w:rPr>
            <w:noProof/>
            <w:webHidden/>
          </w:rPr>
          <w:instrText xml:space="preserve"> PAGEREF _Toc80604807 \h </w:instrText>
        </w:r>
        <w:r w:rsidR="00B55B9B">
          <w:rPr>
            <w:noProof/>
            <w:webHidden/>
          </w:rPr>
        </w:r>
        <w:r w:rsidR="00B55B9B">
          <w:rPr>
            <w:noProof/>
            <w:webHidden/>
          </w:rPr>
          <w:fldChar w:fldCharType="separate"/>
        </w:r>
        <w:r w:rsidR="00FD3F9A">
          <w:rPr>
            <w:noProof/>
            <w:webHidden/>
          </w:rPr>
          <w:t>41</w:t>
        </w:r>
        <w:r w:rsidR="00B55B9B">
          <w:rPr>
            <w:noProof/>
            <w:webHidden/>
          </w:rPr>
          <w:fldChar w:fldCharType="end"/>
        </w:r>
      </w:hyperlink>
    </w:p>
    <w:p w14:paraId="7E20545B" w14:textId="26682156" w:rsidR="00B55B9B" w:rsidRDefault="004C4DA7" w:rsidP="00B55B9B">
      <w:pPr>
        <w:pStyle w:val="Spisilustracji"/>
        <w:tabs>
          <w:tab w:val="left" w:pos="8080"/>
        </w:tabs>
        <w:rPr>
          <w:rFonts w:asciiTheme="minorHAnsi" w:eastAsiaTheme="minorEastAsia" w:hAnsiTheme="minorHAnsi" w:cstheme="minorBidi"/>
          <w:noProof/>
          <w:sz w:val="22"/>
          <w:szCs w:val="22"/>
          <w:lang w:eastAsia="pl-PL"/>
        </w:rPr>
      </w:pPr>
      <w:hyperlink w:anchor="_Toc80604808" w:history="1">
        <w:r w:rsidR="00B55B9B" w:rsidRPr="00DE4AB4">
          <w:rPr>
            <w:rStyle w:val="Hipercze"/>
            <w:noProof/>
          </w:rPr>
          <w:t>Rysunek 35</w:t>
        </w:r>
        <w:r w:rsidR="00B55B9B">
          <w:rPr>
            <w:rFonts w:asciiTheme="minorHAnsi" w:eastAsiaTheme="minorEastAsia" w:hAnsiTheme="minorHAnsi" w:cstheme="minorBidi"/>
            <w:noProof/>
            <w:sz w:val="22"/>
            <w:szCs w:val="22"/>
            <w:lang w:eastAsia="pl-PL"/>
          </w:rPr>
          <w:tab/>
        </w:r>
        <w:r w:rsidR="00B55B9B" w:rsidRPr="00DE4AB4">
          <w:rPr>
            <w:rStyle w:val="Hipercze"/>
            <w:noProof/>
          </w:rPr>
          <w:t>Lokalizacja działań zaproponowanych w wariancie „1” dla obszaru problemowego MR_2 Mechelinki, Rewa, Mosty, Połchowo – ujście Redy</w:t>
        </w:r>
        <w:r w:rsidR="00B55B9B">
          <w:rPr>
            <w:noProof/>
            <w:webHidden/>
          </w:rPr>
          <w:tab/>
        </w:r>
        <w:r w:rsidR="00B55B9B">
          <w:rPr>
            <w:noProof/>
            <w:webHidden/>
          </w:rPr>
          <w:fldChar w:fldCharType="begin"/>
        </w:r>
        <w:r w:rsidR="00B55B9B">
          <w:rPr>
            <w:noProof/>
            <w:webHidden/>
          </w:rPr>
          <w:instrText xml:space="preserve"> PAGEREF _Toc80604808 \h </w:instrText>
        </w:r>
        <w:r w:rsidR="00B55B9B">
          <w:rPr>
            <w:noProof/>
            <w:webHidden/>
          </w:rPr>
        </w:r>
        <w:r w:rsidR="00B55B9B">
          <w:rPr>
            <w:noProof/>
            <w:webHidden/>
          </w:rPr>
          <w:fldChar w:fldCharType="separate"/>
        </w:r>
        <w:r w:rsidR="00FD3F9A">
          <w:rPr>
            <w:noProof/>
            <w:webHidden/>
          </w:rPr>
          <w:t>43</w:t>
        </w:r>
        <w:r w:rsidR="00B55B9B">
          <w:rPr>
            <w:noProof/>
            <w:webHidden/>
          </w:rPr>
          <w:fldChar w:fldCharType="end"/>
        </w:r>
      </w:hyperlink>
    </w:p>
    <w:p w14:paraId="3951216B" w14:textId="6BFB5048" w:rsidR="00B55B9B" w:rsidRDefault="004C4DA7" w:rsidP="00B55B9B">
      <w:pPr>
        <w:pStyle w:val="Spisilustracji"/>
        <w:tabs>
          <w:tab w:val="left" w:pos="8080"/>
        </w:tabs>
        <w:rPr>
          <w:rFonts w:asciiTheme="minorHAnsi" w:eastAsiaTheme="minorEastAsia" w:hAnsiTheme="minorHAnsi" w:cstheme="minorBidi"/>
          <w:noProof/>
          <w:sz w:val="22"/>
          <w:szCs w:val="22"/>
          <w:lang w:eastAsia="pl-PL"/>
        </w:rPr>
      </w:pPr>
      <w:hyperlink w:anchor="_Toc80604809" w:history="1">
        <w:r w:rsidR="00B55B9B" w:rsidRPr="00DE4AB4">
          <w:rPr>
            <w:rStyle w:val="Hipercze"/>
            <w:noProof/>
          </w:rPr>
          <w:t>Rysunek 36</w:t>
        </w:r>
        <w:r w:rsidR="00B55B9B">
          <w:rPr>
            <w:rFonts w:asciiTheme="minorHAnsi" w:eastAsiaTheme="minorEastAsia" w:hAnsiTheme="minorHAnsi" w:cstheme="minorBidi"/>
            <w:noProof/>
            <w:sz w:val="22"/>
            <w:szCs w:val="22"/>
            <w:lang w:eastAsia="pl-PL"/>
          </w:rPr>
          <w:tab/>
        </w:r>
        <w:r w:rsidR="00B55B9B" w:rsidRPr="00DE4AB4">
          <w:rPr>
            <w:rStyle w:val="Hipercze"/>
            <w:noProof/>
          </w:rPr>
          <w:t>Lokalizacja działań zaproponowanych w wariancie „2” dla obszaru problemowego MR_2 Mechelinki, Rewa, Mosty, Połchowo – ujście Redy</w:t>
        </w:r>
        <w:r w:rsidR="00B55B9B">
          <w:rPr>
            <w:noProof/>
            <w:webHidden/>
          </w:rPr>
          <w:tab/>
        </w:r>
        <w:r w:rsidR="00B55B9B">
          <w:rPr>
            <w:noProof/>
            <w:webHidden/>
          </w:rPr>
          <w:fldChar w:fldCharType="begin"/>
        </w:r>
        <w:r w:rsidR="00B55B9B">
          <w:rPr>
            <w:noProof/>
            <w:webHidden/>
          </w:rPr>
          <w:instrText xml:space="preserve"> PAGEREF _Toc80604809 \h </w:instrText>
        </w:r>
        <w:r w:rsidR="00B55B9B">
          <w:rPr>
            <w:noProof/>
            <w:webHidden/>
          </w:rPr>
        </w:r>
        <w:r w:rsidR="00B55B9B">
          <w:rPr>
            <w:noProof/>
            <w:webHidden/>
          </w:rPr>
          <w:fldChar w:fldCharType="separate"/>
        </w:r>
        <w:r w:rsidR="00FD3F9A">
          <w:rPr>
            <w:noProof/>
            <w:webHidden/>
          </w:rPr>
          <w:t>44</w:t>
        </w:r>
        <w:r w:rsidR="00B55B9B">
          <w:rPr>
            <w:noProof/>
            <w:webHidden/>
          </w:rPr>
          <w:fldChar w:fldCharType="end"/>
        </w:r>
      </w:hyperlink>
    </w:p>
    <w:p w14:paraId="787BD12C" w14:textId="7BE65B22" w:rsidR="00B55B9B" w:rsidRDefault="004C4DA7" w:rsidP="00B55B9B">
      <w:pPr>
        <w:pStyle w:val="Spisilustracji"/>
        <w:tabs>
          <w:tab w:val="left" w:pos="8080"/>
        </w:tabs>
        <w:rPr>
          <w:rFonts w:asciiTheme="minorHAnsi" w:eastAsiaTheme="minorEastAsia" w:hAnsiTheme="minorHAnsi" w:cstheme="minorBidi"/>
          <w:noProof/>
          <w:sz w:val="22"/>
          <w:szCs w:val="22"/>
          <w:lang w:eastAsia="pl-PL"/>
        </w:rPr>
      </w:pPr>
      <w:hyperlink w:anchor="_Toc80604810" w:history="1">
        <w:r w:rsidR="00B55B9B" w:rsidRPr="00DE4AB4">
          <w:rPr>
            <w:rStyle w:val="Hipercze"/>
            <w:noProof/>
          </w:rPr>
          <w:t>Rysunek 37</w:t>
        </w:r>
        <w:r w:rsidR="00B55B9B">
          <w:rPr>
            <w:rFonts w:asciiTheme="minorHAnsi" w:eastAsiaTheme="minorEastAsia" w:hAnsiTheme="minorHAnsi" w:cstheme="minorBidi"/>
            <w:noProof/>
            <w:sz w:val="22"/>
            <w:szCs w:val="22"/>
            <w:lang w:eastAsia="pl-PL"/>
          </w:rPr>
          <w:tab/>
        </w:r>
        <w:r w:rsidR="00B55B9B" w:rsidRPr="00DE4AB4">
          <w:rPr>
            <w:rStyle w:val="Hipercze"/>
            <w:noProof/>
          </w:rPr>
          <w:t>Schemat opracowania Ostatecznej Listy Działań II cyklu aPZRPM</w:t>
        </w:r>
        <w:r w:rsidR="00B55B9B">
          <w:rPr>
            <w:noProof/>
            <w:webHidden/>
          </w:rPr>
          <w:tab/>
        </w:r>
        <w:r w:rsidR="00B55B9B">
          <w:rPr>
            <w:noProof/>
            <w:webHidden/>
          </w:rPr>
          <w:fldChar w:fldCharType="begin"/>
        </w:r>
        <w:r w:rsidR="00B55B9B">
          <w:rPr>
            <w:noProof/>
            <w:webHidden/>
          </w:rPr>
          <w:instrText xml:space="preserve"> PAGEREF _Toc80604810 \h </w:instrText>
        </w:r>
        <w:r w:rsidR="00B55B9B">
          <w:rPr>
            <w:noProof/>
            <w:webHidden/>
          </w:rPr>
        </w:r>
        <w:r w:rsidR="00B55B9B">
          <w:rPr>
            <w:noProof/>
            <w:webHidden/>
          </w:rPr>
          <w:fldChar w:fldCharType="separate"/>
        </w:r>
        <w:r w:rsidR="00FD3F9A">
          <w:rPr>
            <w:noProof/>
            <w:webHidden/>
          </w:rPr>
          <w:t>45</w:t>
        </w:r>
        <w:r w:rsidR="00B55B9B">
          <w:rPr>
            <w:noProof/>
            <w:webHidden/>
          </w:rPr>
          <w:fldChar w:fldCharType="end"/>
        </w:r>
      </w:hyperlink>
    </w:p>
    <w:p w14:paraId="5FF1E2FB" w14:textId="411473E1" w:rsidR="00BA0236" w:rsidRPr="007C28CC" w:rsidRDefault="00BA0236" w:rsidP="007C28CC">
      <w:pPr>
        <w:pStyle w:val="ReportText"/>
        <w:spacing w:before="120"/>
        <w:rPr>
          <w:b/>
          <w:color w:val="28AAE1"/>
          <w:sz w:val="36"/>
        </w:rPr>
      </w:pPr>
      <w:r w:rsidRPr="007C28CC">
        <w:rPr>
          <w:rStyle w:val="Hipercze"/>
          <w:sz w:val="22"/>
          <w:szCs w:val="22"/>
          <w:lang w:eastAsia="zh-CN"/>
        </w:rPr>
        <w:fldChar w:fldCharType="end"/>
      </w:r>
      <w:bookmarkEnd w:id="214"/>
      <w:bookmarkEnd w:id="215"/>
      <w:bookmarkEnd w:id="216"/>
    </w:p>
    <w:p w14:paraId="5D9D8E53" w14:textId="77777777" w:rsidR="00BA0236" w:rsidRPr="007C28CC" w:rsidRDefault="00BA0236" w:rsidP="007C28CC">
      <w:pPr>
        <w:pStyle w:val="ReportText"/>
      </w:pPr>
    </w:p>
    <w:sectPr w:rsidR="00BA0236" w:rsidRPr="007C28CC" w:rsidSect="00223229">
      <w:headerReference w:type="default" r:id="rId63"/>
      <w:footerReference w:type="default" r:id="rId64"/>
      <w:pgSz w:w="11907" w:h="16839" w:code="9"/>
      <w:pgMar w:top="1701" w:right="1417" w:bottom="1417" w:left="1984" w:header="567" w:footer="567" w:gutter="0"/>
      <w:pgNumType w:start="1"/>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231">
      <wne:acd wne:acdName="acd0"/>
    </wne:keymap>
    <wne:keymap wne:kcmPrimary="0232">
      <wne:acd wne:acdName="acd1"/>
    </wne:keymap>
    <wne:keymap wne:kcmPrimary="0233">
      <wne:acd wne:acdName="acd2"/>
    </wne:keymap>
    <wne:keymap wne:kcmPrimary="0234">
      <wne:acd wne:acdName="acd3"/>
    </wne:keymap>
    <wne:keymap wne:kcmPrimary="0331">
      <wne:acd wne:acdName="acd4"/>
    </wne:keymap>
    <wne:keymap wne:kcmPrimary="0332">
      <wne:acd wne:acdName="acd5"/>
    </wne:keymap>
    <wne:keymap wne:kcmPrimary="0333">
      <wne:acd wne:acdName="acd6"/>
    </wne:keymap>
    <wne:keymap wne:kcmPrimary="0349">
      <wne:acd wne:acdName="acd7"/>
    </wne:keymap>
    <wne:keymap wne:kcmPrimary="034B">
      <wne:acd wne:acdName="acd14"/>
    </wne:keymap>
    <wne:keymap wne:kcmPrimary="034C">
      <wne:acd wne:acdName="acd13"/>
    </wne:keymap>
    <wne:keymap wne:kcmPrimary="0350">
      <wne:acd wne:acdName="acd22"/>
    </wne:keymap>
    <wne:keymap wne:kcmPrimary="0352">
      <wne:acd wne:acdName="acd8"/>
    </wne:keymap>
    <wne:keymap wne:kcmPrimary="0353">
      <wne:acd wne:acdName="acd11"/>
    </wne:keymap>
    <wne:keymap wne:kcmPrimary="0354">
      <wne:acd wne:acdName="acd10"/>
    </wne:keymap>
    <wne:keymap wne:kcmPrimary="0355">
      <wne:acd wne:acdName="acd12"/>
    </wne:keymap>
    <wne:keymap wne:kcmPrimary="0431">
      <wne:acd wne:acdName="acd15"/>
    </wne:keymap>
    <wne:keymap wne:kcmPrimary="0432">
      <wne:acd wne:acdName="acd16"/>
    </wne:keymap>
    <wne:keymap wne:kcmPrimary="0433">
      <wne:acd wne:acdName="acd17"/>
    </wne:keymap>
    <wne:keymap wne:kcmPrimary="0434">
      <wne:acd wne:acdName="acd18"/>
    </wne:keymap>
    <wne:keymap wne:kcmPrimary="0531">
      <wne:acd wne:acdName="acd19"/>
    </wne:keymap>
    <wne:keymap wne:kcmPrimary="0532">
      <wne:acd wne:acdName="acd20"/>
    </wne:keymap>
    <wne:keymap wne:kcmPrimary="0533">
      <wne:acd wne:acdName="acd21"/>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Entry wne:acdName="acd20"/>
      <wne:acdEntry wne:acdName="acd21"/>
      <wne:acdEntry wne:acdName="acd22"/>
    </wne:acdManifest>
  </wne:toolbars>
  <wne:acds>
    <wne:acd wne:argValue="AgBSAGUAcABvAHIAdAAgAEwAZQB2AGUAbAAgADEA" wne:acdName="acd0" wne:fciIndexBasedOn="0065"/>
    <wne:acd wne:argValue="AgBSAGUAcABvAHIAdAAgAEwAZQB2AGUAbAAgADIA" wne:acdName="acd1" wne:fciIndexBasedOn="0065"/>
    <wne:acd wne:argValue="AgBSAGUAcABvAHIAdAAgAEwAZQB2AGUAbAAgADMA" wne:acdName="acd2" wne:fciIndexBasedOn="0065"/>
    <wne:acd wne:argValue="AgBSAGUAcABvAHIAdAAgAEwAZQB2AGUAbAAgADQA" wne:acdName="acd3" wne:fciIndexBasedOn="0065"/>
    <wne:acd wne:argValue="AgBSAGUAcABvAHIAdAAgAEwAZQB2AGUAbAAgADEAIABOAG8AIABOAHUAbQBiAGUAcgA=" wne:acdName="acd4" wne:fciIndexBasedOn="0065"/>
    <wne:acd wne:argValue="AgBSAGUAcABvAHIAdAAgAEwAZQB2AGUAbAAgADIAIABOAG8AIABOAHUAbQBiAGUAcgA=" wne:acdName="acd5" wne:fciIndexBasedOn="0065"/>
    <wne:acd wne:argValue="AgBSAGUAcABvAHIAdAAgAEwAZQB2AGUAbAAgADMAIABOAG8AIABOAHUAbQBiAGUAcgA=" wne:acdName="acd6" wne:fciIndexBasedOn="0065"/>
    <wne:acd wne:argValue="AgBSAGUAcABvAHIAdAAgAEkAbgBzAGUAcgB0ACAAUABpAGMAdAB1AHIAZQA=" wne:acdName="acd7" wne:fciIndexBasedOn="0065"/>
    <wne:acd wne:argValue="AgBSAGUAcABvAHIAdAAgAFIAZQBmAGUAcgBlAG4AYwBlAA==" wne:acdName="acd8" wne:fciIndexBasedOn="0065"/>
    <wne:acd wne:acdName="acd9" wne:fciIndexBasedOn="0065"/>
    <wne:acd wne:argValue="AgBSAGUAcABvAHIAdAAgAFQAYQBiAGwAZQAgAFQAZQB4AHQA" wne:acdName="acd10" wne:fciIndexBasedOn="0065"/>
    <wne:acd wne:argValue="AgBSAGUAcABvAHIAdAAgAEwAaQBzAHQA" wne:acdName="acd11" wne:fciIndexBasedOn="0065"/>
    <wne:acd wne:argValue="AgBSAGUAcABvAHIAdAAgAEwAaQBzAHQAIABOAHUAbQBiAGUAcgA=" wne:acdName="acd12" wne:fciIndexBasedOn="0065"/>
    <wne:acd wne:argValue="AgBSAGUAcABvAHIAdAAgAEwAaQBzAHQAIAAxAA==" wne:acdName="acd13" wne:fciIndexBasedOn="0065"/>
    <wne:acd wne:argValue="AgBSAGUAcABvAHIAdAAgAEwAaQBzAHQAIAAyAA==" wne:acdName="acd14" wne:fciIndexBasedOn="0065"/>
    <wne:acd wne:argValue="AgBBAHAAcABlAG4AZABpAHgAIABMAGUAdgBlAGwAIAAxAA==" wne:acdName="acd15" wne:fciIndexBasedOn="0065"/>
    <wne:acd wne:argValue="AgBBAHAAcABlAG4AZABpAHgAIABMAGUAdgBlAGwAIAAyAA==" wne:acdName="acd16" wne:fciIndexBasedOn="0065"/>
    <wne:acd wne:argValue="AgBBAHAAcABlAG4AZABpAHgAIABMAGUAdgBlAGwAIAAzAA==" wne:acdName="acd17" wne:fciIndexBasedOn="0065"/>
    <wne:acd wne:argValue="AgBBAHAAcABlAG4AZABpAHgAIABMAGUAdgBlAGwAIAA0AA==" wne:acdName="acd18" wne:fciIndexBasedOn="0065"/>
    <wne:acd wne:argValue="AgBBAHAAcABlAG4AZABpAHgAIABMAGUAdgBlAGwAIAAxACAATgBvACAATgB1AG0AYgBlAHIA" wne:acdName="acd19" wne:fciIndexBasedOn="0065"/>
    <wne:acd wne:argValue="AgBBAHAAcABlAG4AZABpAHgAIABMAGUAdgBlAGwAIAAyACAATgBvACAATgB1AG0AYgBlAHIA" wne:acdName="acd20" wne:fciIndexBasedOn="0065"/>
    <wne:acd wne:argValue="AgBBAHAAcABlAG4AZABpAHgAIABMAGUAdgBlAGwAIAAzACAATgBvACAATgB1AG0AYgBlAHIA" wne:acdName="acd21" wne:fciIndexBasedOn="0065"/>
    <wne:acd wne:argValue="AgBSAGUAcABvAHIAdAAgAFQAZQB4AHQALABMAGUAZgB0ADoAIAAgADAAIABjAG0ALABjAGEAZQB4&#10;AHQA" wne:acdName="acd2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2AD93D" w14:textId="77777777" w:rsidR="004C4DA7" w:rsidRDefault="004C4DA7">
      <w:r>
        <w:separator/>
      </w:r>
    </w:p>
  </w:endnote>
  <w:endnote w:type="continuationSeparator" w:id="0">
    <w:p w14:paraId="79D65ECE" w14:textId="77777777" w:rsidR="004C4DA7" w:rsidRDefault="004C4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Bold">
    <w:altName w:val="Arial"/>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Verdana">
    <w:panose1 w:val="020B0604030504040204"/>
    <w:charset w:val="EE"/>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000" w:firstRow="0" w:lastRow="0" w:firstColumn="0" w:lastColumn="0" w:noHBand="0" w:noVBand="0"/>
    </w:tblPr>
    <w:tblGrid>
      <w:gridCol w:w="6537"/>
      <w:gridCol w:w="1400"/>
    </w:tblGrid>
    <w:tr w:rsidR="00E419E1" w:rsidRPr="00012DD3" w14:paraId="7352BD53" w14:textId="77777777" w:rsidTr="001002DE">
      <w:trPr>
        <w:cantSplit/>
        <w:jc w:val="center"/>
      </w:trPr>
      <w:tc>
        <w:tcPr>
          <w:tcW w:w="6537" w:type="dxa"/>
          <w:noWrap/>
          <w:vAlign w:val="bottom"/>
        </w:tcPr>
        <w:p w14:paraId="5D97A6EC" w14:textId="7484859B" w:rsidR="00E419E1" w:rsidRPr="00B55B9B" w:rsidRDefault="00E419E1" w:rsidP="001002DE">
          <w:pPr>
            <w:pStyle w:val="Filename"/>
            <w:rPr>
              <w:lang w:val="en-US" w:eastAsia="en-US"/>
            </w:rPr>
          </w:pPr>
          <w:bookmarkStart w:id="6" w:name="FtrFilename2"/>
          <w:bookmarkEnd w:id="6"/>
        </w:p>
      </w:tc>
      <w:tc>
        <w:tcPr>
          <w:tcW w:w="1400" w:type="dxa"/>
          <w:noWrap/>
        </w:tcPr>
        <w:p w14:paraId="1DEB9F80" w14:textId="77777777" w:rsidR="00E419E1" w:rsidRPr="00B55B9B" w:rsidRDefault="00E419E1" w:rsidP="001002DE">
          <w:pPr>
            <w:pStyle w:val="Stopka"/>
            <w:spacing w:line="180" w:lineRule="exact"/>
            <w:jc w:val="right"/>
            <w:rPr>
              <w:rStyle w:val="Numerstrony"/>
              <w:szCs w:val="20"/>
              <w:lang w:val="en-US" w:eastAsia="en-US"/>
            </w:rPr>
          </w:pPr>
        </w:p>
      </w:tc>
    </w:tr>
  </w:tbl>
  <w:p w14:paraId="48361276" w14:textId="623A974A" w:rsidR="00E419E1" w:rsidRPr="00B55B9B" w:rsidRDefault="008362D5" w:rsidP="001002DE">
    <w:pPr>
      <w:pStyle w:val="Stopka"/>
      <w:spacing w:line="20" w:lineRule="exact"/>
      <w:rPr>
        <w:sz w:val="2"/>
        <w:szCs w:val="2"/>
        <w:lang w:val="en-US"/>
      </w:rPr>
    </w:pPr>
    <w:r>
      <w:rPr>
        <w:noProof/>
        <w:sz w:val="2"/>
        <w:szCs w:val="2"/>
      </w:rPr>
      <w:drawing>
        <wp:anchor distT="0" distB="0" distL="114300" distR="114300" simplePos="0" relativeHeight="251658240" behindDoc="0" locked="0" layoutInCell="1" allowOverlap="1" wp14:anchorId="54518945" wp14:editId="1CFCD869">
          <wp:simplePos x="0" y="0"/>
          <wp:positionH relativeFrom="margin">
            <wp:align>center</wp:align>
          </wp:positionH>
          <wp:positionV relativeFrom="paragraph">
            <wp:posOffset>31115</wp:posOffset>
          </wp:positionV>
          <wp:extent cx="4161790" cy="552450"/>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61790" cy="55245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66" w:type="pct"/>
      <w:jc w:val="center"/>
      <w:tblLayout w:type="fixed"/>
      <w:tblCellMar>
        <w:left w:w="0" w:type="dxa"/>
        <w:right w:w="0" w:type="dxa"/>
      </w:tblCellMar>
      <w:tblLook w:val="0000" w:firstRow="0" w:lastRow="0" w:firstColumn="0" w:lastColumn="0" w:noHBand="0" w:noVBand="0"/>
    </w:tblPr>
    <w:tblGrid>
      <w:gridCol w:w="6958"/>
      <w:gridCol w:w="1490"/>
    </w:tblGrid>
    <w:tr w:rsidR="00E419E1" w:rsidRPr="00B32914" w14:paraId="3FBDFE86" w14:textId="77777777" w:rsidTr="00223229">
      <w:trPr>
        <w:cantSplit/>
        <w:trHeight w:val="851"/>
        <w:jc w:val="center"/>
      </w:trPr>
      <w:tc>
        <w:tcPr>
          <w:tcW w:w="6538" w:type="dxa"/>
          <w:noWrap/>
        </w:tcPr>
        <w:p w14:paraId="2322080B" w14:textId="49BF5C8F" w:rsidR="00E419E1" w:rsidRPr="00B32914" w:rsidRDefault="008362D5" w:rsidP="001002DE">
          <w:pPr>
            <w:pStyle w:val="Filename"/>
            <w:rPr>
              <w:lang w:eastAsia="en-US"/>
            </w:rPr>
          </w:pPr>
          <w:r>
            <w:rPr>
              <w:sz w:val="2"/>
              <w:szCs w:val="2"/>
            </w:rPr>
            <w:drawing>
              <wp:anchor distT="0" distB="0" distL="114300" distR="114300" simplePos="0" relativeHeight="251659264" behindDoc="0" locked="0" layoutInCell="1" allowOverlap="1" wp14:anchorId="5834B925" wp14:editId="3F12666B">
                <wp:simplePos x="0" y="0"/>
                <wp:positionH relativeFrom="column">
                  <wp:posOffset>417195</wp:posOffset>
                </wp:positionH>
                <wp:positionV relativeFrom="paragraph">
                  <wp:posOffset>81915</wp:posOffset>
                </wp:positionV>
                <wp:extent cx="4161790" cy="552450"/>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61790" cy="552450"/>
                        </a:xfrm>
                        <a:prstGeom prst="rect">
                          <a:avLst/>
                        </a:prstGeom>
                        <a:noFill/>
                      </pic:spPr>
                    </pic:pic>
                  </a:graphicData>
                </a:graphic>
                <wp14:sizeRelH relativeFrom="page">
                  <wp14:pctWidth>0</wp14:pctWidth>
                </wp14:sizeRelH>
                <wp14:sizeRelV relativeFrom="page">
                  <wp14:pctHeight>0</wp14:pctHeight>
                </wp14:sizeRelV>
              </wp:anchor>
            </w:drawing>
          </w:r>
        </w:p>
      </w:tc>
      <w:tc>
        <w:tcPr>
          <w:tcW w:w="1400" w:type="dxa"/>
          <w:noWrap/>
        </w:tcPr>
        <w:p w14:paraId="6B9B4BF6" w14:textId="77777777" w:rsidR="00E419E1" w:rsidRPr="00B32914" w:rsidRDefault="00E419E1" w:rsidP="001002DE">
          <w:pPr>
            <w:pStyle w:val="Stopka"/>
            <w:spacing w:line="180" w:lineRule="exact"/>
            <w:jc w:val="right"/>
            <w:rPr>
              <w:rStyle w:val="Numerstrony"/>
              <w:szCs w:val="20"/>
              <w:lang w:eastAsia="en-US"/>
            </w:rPr>
          </w:pPr>
          <w:bookmarkStart w:id="258" w:name="P43"/>
          <w:r w:rsidRPr="00B32914">
            <w:rPr>
              <w:rStyle w:val="Numerstrony"/>
              <w:szCs w:val="20"/>
              <w:lang w:eastAsia="en-US"/>
            </w:rPr>
            <w:t>Strona</w:t>
          </w:r>
          <w:bookmarkEnd w:id="258"/>
          <w:r w:rsidRPr="00B32914">
            <w:rPr>
              <w:rStyle w:val="Numerstrony"/>
              <w:szCs w:val="20"/>
              <w:lang w:eastAsia="en-US"/>
            </w:rPr>
            <w:t xml:space="preserve"> </w:t>
          </w:r>
          <w:r w:rsidRPr="00B32914">
            <w:rPr>
              <w:rStyle w:val="Numerstrony"/>
              <w:szCs w:val="20"/>
              <w:lang w:eastAsia="en-US"/>
            </w:rPr>
            <w:fldChar w:fldCharType="begin"/>
          </w:r>
          <w:r w:rsidRPr="00B32914">
            <w:rPr>
              <w:rStyle w:val="Numerstrony"/>
              <w:szCs w:val="20"/>
              <w:lang w:eastAsia="en-US"/>
            </w:rPr>
            <w:instrText xml:space="preserve"> PAGE  \* MERGEFORMAT </w:instrText>
          </w:r>
          <w:r w:rsidRPr="00B32914">
            <w:rPr>
              <w:rStyle w:val="Numerstrony"/>
              <w:szCs w:val="20"/>
              <w:lang w:eastAsia="en-US"/>
            </w:rPr>
            <w:fldChar w:fldCharType="separate"/>
          </w:r>
          <w:r w:rsidR="006F13F9">
            <w:rPr>
              <w:rStyle w:val="Numerstrony"/>
              <w:noProof/>
              <w:szCs w:val="20"/>
              <w:lang w:eastAsia="en-US"/>
            </w:rPr>
            <w:t>19</w:t>
          </w:r>
          <w:r w:rsidRPr="00B32914">
            <w:rPr>
              <w:rStyle w:val="Numerstrony"/>
              <w:szCs w:val="20"/>
              <w:lang w:eastAsia="en-US"/>
            </w:rPr>
            <w:fldChar w:fldCharType="end"/>
          </w:r>
        </w:p>
      </w:tc>
    </w:tr>
  </w:tbl>
  <w:p w14:paraId="76DA32B8" w14:textId="249A2D0F" w:rsidR="00E419E1" w:rsidRPr="007C28CC" w:rsidRDefault="00E419E1" w:rsidP="001002DE">
    <w:pPr>
      <w:pStyle w:val="Stopka"/>
      <w:spacing w:line="20" w:lineRule="exact"/>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6A6989" w14:textId="77777777" w:rsidR="004C4DA7" w:rsidRDefault="004C4DA7">
      <w:r>
        <w:separator/>
      </w:r>
    </w:p>
  </w:footnote>
  <w:footnote w:type="continuationSeparator" w:id="0">
    <w:p w14:paraId="77F78F96" w14:textId="77777777" w:rsidR="004C4DA7" w:rsidRDefault="004C4DA7">
      <w:r>
        <w:continuationSeparator/>
      </w:r>
    </w:p>
  </w:footnote>
  <w:footnote w:id="1">
    <w:p w14:paraId="57F56512" w14:textId="77777777" w:rsidR="00E419E1" w:rsidRDefault="00E419E1" w:rsidP="00347E16">
      <w:pPr>
        <w:pStyle w:val="Tekstprzypisudolnego"/>
      </w:pPr>
      <w:r>
        <w:rPr>
          <w:rStyle w:val="Odwoanieprzypisudolnego"/>
        </w:rPr>
        <w:footnoteRef/>
      </w:r>
      <w:r>
        <w:t xml:space="preserve"> https://www.wody.gov.pl/</w:t>
      </w:r>
    </w:p>
  </w:footnote>
  <w:footnote w:id="2">
    <w:p w14:paraId="41CE9482" w14:textId="77777777" w:rsidR="00E419E1" w:rsidRDefault="00E419E1" w:rsidP="00984D1B">
      <w:pPr>
        <w:pStyle w:val="Tekstprzypisudolnego"/>
        <w:jc w:val="both"/>
        <w:rPr>
          <w:rFonts w:ascii="Verdana" w:hAnsi="Verdana" w:cstheme="minorHAnsi"/>
          <w:sz w:val="16"/>
          <w:szCs w:val="16"/>
        </w:rPr>
      </w:pPr>
      <w:r>
        <w:rPr>
          <w:rFonts w:ascii="Verdana" w:hAnsi="Verdana"/>
          <w:sz w:val="16"/>
          <w:szCs w:val="16"/>
        </w:rPr>
        <w:footnoteRef/>
      </w:r>
      <w:r>
        <w:rPr>
          <w:rFonts w:ascii="Verdana" w:hAnsi="Verdana"/>
          <w:sz w:val="16"/>
          <w:szCs w:val="16"/>
        </w:rPr>
        <w:t xml:space="preserve"> </w:t>
      </w:r>
      <w:bookmarkStart w:id="232" w:name="_Hlk37754754"/>
      <w:r>
        <w:rPr>
          <w:rFonts w:ascii="Verdana" w:hAnsi="Verdana"/>
          <w:sz w:val="16"/>
          <w:szCs w:val="16"/>
        </w:rPr>
        <w:t>Rozporządzenie Ministra Gospodarki Morskiej I Żeglugi Śródlądowej z dnia 14 grudnia 2018 r. w sprawie zakresu informacji z realizacji działań zawartych w planach gospodarowania wodami na obszarach dorzeczy, planach zarządzania ryzykiem powodziowym i programie ochrony wód morskich.</w:t>
      </w:r>
      <w:bookmarkEnd w:id="232"/>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D8EC29" w14:textId="77777777" w:rsidR="00E419E1" w:rsidRPr="00122945" w:rsidRDefault="00E419E1">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000" w:firstRow="0" w:lastRow="0" w:firstColumn="0" w:lastColumn="0" w:noHBand="0" w:noVBand="0"/>
    </w:tblPr>
    <w:tblGrid>
      <w:gridCol w:w="3730"/>
      <w:gridCol w:w="4207"/>
    </w:tblGrid>
    <w:tr w:rsidR="00E419E1" w:rsidRPr="00B32914" w14:paraId="6C855AF4" w14:textId="77777777">
      <w:trPr>
        <w:cantSplit/>
        <w:jc w:val="center"/>
      </w:trPr>
      <w:tc>
        <w:tcPr>
          <w:tcW w:w="2350" w:type="pct"/>
          <w:noWrap/>
        </w:tcPr>
        <w:p w14:paraId="0913B029" w14:textId="77777777" w:rsidR="00E419E1" w:rsidRPr="00B32914" w:rsidRDefault="00E419E1" w:rsidP="001002DE">
          <w:pPr>
            <w:pStyle w:val="Nagwek"/>
            <w:spacing w:after="72"/>
            <w:rPr>
              <w:szCs w:val="20"/>
              <w:lang w:eastAsia="en-US"/>
            </w:rPr>
          </w:pPr>
          <w:r w:rsidRPr="00B32914">
            <w:rPr>
              <w:szCs w:val="20"/>
              <w:lang w:eastAsia="en-US"/>
            </w:rPr>
            <w:t>Ministerstwo Infrastruktury</w:t>
          </w:r>
        </w:p>
      </w:tc>
      <w:tc>
        <w:tcPr>
          <w:tcW w:w="2650" w:type="pct"/>
          <w:noWrap/>
        </w:tcPr>
        <w:p w14:paraId="5359B796" w14:textId="77777777" w:rsidR="00E419E1" w:rsidRPr="000C4D7E" w:rsidRDefault="00E419E1">
          <w:pPr>
            <w:pStyle w:val="Nagwek"/>
            <w:jc w:val="right"/>
            <w:rPr>
              <w:szCs w:val="12"/>
              <w:lang w:eastAsia="en-US"/>
            </w:rPr>
          </w:pPr>
          <w:r w:rsidRPr="000C4D7E">
            <w:rPr>
              <w:szCs w:val="12"/>
              <w:lang w:eastAsia="en-US"/>
            </w:rPr>
            <w:t>Przegląd i aktualizacja planów zarządzania ryzykiem powodziowym od strony morza, w tym morskich wód wewnętrznych Nr projektu: POIS.02.01.00-00-0023/18</w:t>
          </w:r>
        </w:p>
        <w:p w14:paraId="33E4D327" w14:textId="1D6D42BC" w:rsidR="00E419E1" w:rsidRPr="000C4D7E" w:rsidRDefault="00E419E1" w:rsidP="001002DE">
          <w:pPr>
            <w:pStyle w:val="Nagwek"/>
            <w:jc w:val="right"/>
            <w:rPr>
              <w:szCs w:val="12"/>
              <w:lang w:eastAsia="en-US"/>
            </w:rPr>
          </w:pPr>
          <w:r w:rsidRPr="000C4D7E">
            <w:rPr>
              <w:szCs w:val="12"/>
            </w:rPr>
            <w:t>Projekt aktualizacji planu zarządzania ryzykiem powodziowym od strony morza, w tym morskich wód wewnętrznych dla obszaru dorzecza Dolnej Wisły</w:t>
          </w:r>
        </w:p>
      </w:tc>
    </w:tr>
  </w:tbl>
  <w:p w14:paraId="52FF3009" w14:textId="77777777" w:rsidR="00E419E1" w:rsidRPr="007C28CC" w:rsidRDefault="00E419E1">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000" w:firstRow="0" w:lastRow="0" w:firstColumn="0" w:lastColumn="0" w:noHBand="0" w:noVBand="0"/>
    </w:tblPr>
    <w:tblGrid>
      <w:gridCol w:w="3998"/>
      <w:gridCol w:w="4508"/>
    </w:tblGrid>
    <w:tr w:rsidR="00E419E1" w:rsidRPr="00B32914" w14:paraId="4ACB0E3A" w14:textId="77777777">
      <w:trPr>
        <w:cantSplit/>
        <w:jc w:val="center"/>
      </w:trPr>
      <w:tc>
        <w:tcPr>
          <w:tcW w:w="2350" w:type="pct"/>
          <w:noWrap/>
        </w:tcPr>
        <w:p w14:paraId="09A07642" w14:textId="77777777" w:rsidR="00E419E1" w:rsidRPr="00B32914" w:rsidRDefault="00E419E1" w:rsidP="001002DE">
          <w:pPr>
            <w:pStyle w:val="Nagwek"/>
            <w:spacing w:after="72"/>
            <w:rPr>
              <w:szCs w:val="20"/>
              <w:lang w:eastAsia="en-US"/>
            </w:rPr>
          </w:pPr>
          <w:r w:rsidRPr="00B32914">
            <w:rPr>
              <w:szCs w:val="20"/>
              <w:lang w:eastAsia="en-US"/>
            </w:rPr>
            <w:t>Ministerstwo Infrastruktury</w:t>
          </w:r>
        </w:p>
      </w:tc>
      <w:tc>
        <w:tcPr>
          <w:tcW w:w="2650" w:type="pct"/>
          <w:noWrap/>
        </w:tcPr>
        <w:p w14:paraId="6BE5699C" w14:textId="2EA93265" w:rsidR="00E419E1" w:rsidRPr="00B32914" w:rsidRDefault="00E419E1" w:rsidP="00223229">
          <w:pPr>
            <w:pStyle w:val="Nagwek"/>
            <w:jc w:val="right"/>
            <w:rPr>
              <w:szCs w:val="20"/>
              <w:lang w:eastAsia="en-US"/>
            </w:rPr>
          </w:pPr>
          <w:r w:rsidRPr="00B32914">
            <w:rPr>
              <w:szCs w:val="20"/>
              <w:lang w:eastAsia="en-US"/>
            </w:rPr>
            <w:t>Przegląd i aktualizacja planów zarządzania ryzykiem powodziowym od strony morza, w tym morskich wód wewnętrznych</w:t>
          </w:r>
          <w:r>
            <w:rPr>
              <w:szCs w:val="20"/>
              <w:lang w:eastAsia="en-US"/>
            </w:rPr>
            <w:t>.</w:t>
          </w:r>
          <w:r w:rsidRPr="00B32914">
            <w:rPr>
              <w:szCs w:val="20"/>
              <w:lang w:eastAsia="en-US"/>
            </w:rPr>
            <w:t xml:space="preserve"> Nr projektu: POIS.02.01.00-00-0023/18</w:t>
          </w:r>
        </w:p>
        <w:p w14:paraId="5B11893F" w14:textId="07E26874" w:rsidR="00E419E1" w:rsidRPr="00B32914" w:rsidRDefault="00E419E1" w:rsidP="001002DE">
          <w:pPr>
            <w:pStyle w:val="Nagwek"/>
            <w:jc w:val="right"/>
            <w:rPr>
              <w:sz w:val="16"/>
              <w:szCs w:val="20"/>
              <w:lang w:eastAsia="en-US"/>
            </w:rPr>
          </w:pPr>
          <w:r w:rsidRPr="000C4D7E">
            <w:rPr>
              <w:szCs w:val="12"/>
            </w:rPr>
            <w:t>Projekt aktualizacji planu zarządzania ryzykiem powodziowym od strony morza, w tym morskich wód wewnętrznych dla obszaru dorzecza Dolnej Wisły</w:t>
          </w:r>
        </w:p>
      </w:tc>
    </w:tr>
  </w:tbl>
  <w:p w14:paraId="6AEDA6D4" w14:textId="77777777" w:rsidR="00E419E1" w:rsidRPr="007C28CC" w:rsidRDefault="00E419E1">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D"/>
    <w:multiLevelType w:val="singleLevel"/>
    <w:tmpl w:val="0972A002"/>
    <w:lvl w:ilvl="0">
      <w:start w:val="1"/>
      <w:numFmt w:val="decimal"/>
      <w:pStyle w:val="Listanumerowana"/>
      <w:lvlText w:val="%1."/>
      <w:lvlJc w:val="left"/>
      <w:pPr>
        <w:tabs>
          <w:tab w:val="num" w:pos="1209"/>
        </w:tabs>
        <w:ind w:left="1209" w:hanging="360"/>
      </w:pPr>
      <w:rPr>
        <w:rFonts w:cs="Times New Roman"/>
      </w:rPr>
    </w:lvl>
  </w:abstractNum>
  <w:abstractNum w:abstractNumId="1" w15:restartNumberingAfterBreak="0">
    <w:nsid w:val="FFFFFF82"/>
    <w:multiLevelType w:val="singleLevel"/>
    <w:tmpl w:val="36B660F4"/>
    <w:lvl w:ilvl="0">
      <w:start w:val="1"/>
      <w:numFmt w:val="bullet"/>
      <w:pStyle w:val="ReportListNumber"/>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9500CB0E"/>
    <w:lvl w:ilvl="0">
      <w:start w:val="1"/>
      <w:numFmt w:val="decimal"/>
      <w:pStyle w:val="Listapunktowana3"/>
      <w:lvlText w:val="%1."/>
      <w:lvlJc w:val="left"/>
      <w:pPr>
        <w:tabs>
          <w:tab w:val="num" w:pos="360"/>
        </w:tabs>
        <w:ind w:left="360" w:hanging="360"/>
      </w:pPr>
      <w:rPr>
        <w:rFonts w:cs="Times New Roman"/>
      </w:rPr>
    </w:lvl>
  </w:abstractNum>
  <w:abstractNum w:abstractNumId="3" w15:restartNumberingAfterBreak="0">
    <w:nsid w:val="00211ACC"/>
    <w:multiLevelType w:val="hybridMultilevel"/>
    <w:tmpl w:val="68283D2A"/>
    <w:lvl w:ilvl="0" w:tplc="6DCCCE7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02239AF"/>
    <w:multiLevelType w:val="hybridMultilevel"/>
    <w:tmpl w:val="90CEBF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0D52CBF"/>
    <w:multiLevelType w:val="hybridMultilevel"/>
    <w:tmpl w:val="AE14C0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1710638"/>
    <w:multiLevelType w:val="hybridMultilevel"/>
    <w:tmpl w:val="58EE3DC6"/>
    <w:lvl w:ilvl="0" w:tplc="04150001">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3923042"/>
    <w:multiLevelType w:val="hybridMultilevel"/>
    <w:tmpl w:val="28442D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4B11EB3"/>
    <w:multiLevelType w:val="hybridMultilevel"/>
    <w:tmpl w:val="EEDC3138"/>
    <w:lvl w:ilvl="0" w:tplc="04150001">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530299B"/>
    <w:multiLevelType w:val="hybridMultilevel"/>
    <w:tmpl w:val="D1A05F3A"/>
    <w:lvl w:ilvl="0" w:tplc="6DCCCE7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A8F5176"/>
    <w:multiLevelType w:val="hybridMultilevel"/>
    <w:tmpl w:val="502058C2"/>
    <w:lvl w:ilvl="0" w:tplc="0415000F">
      <w:start w:val="1"/>
      <w:numFmt w:val="decimal"/>
      <w:lvlText w:val="%1."/>
      <w:lvlJc w:val="left"/>
      <w:pPr>
        <w:ind w:left="360" w:hanging="360"/>
      </w:pPr>
      <w:rPr>
        <w:rFonts w:cs="Times New Roman" w:hint="default"/>
      </w:rPr>
    </w:lvl>
    <w:lvl w:ilvl="1" w:tplc="04150019">
      <w:start w:val="1"/>
      <w:numFmt w:val="lowerLetter"/>
      <w:lvlText w:val="%2."/>
      <w:lvlJc w:val="left"/>
      <w:pPr>
        <w:ind w:left="1080" w:hanging="360"/>
      </w:pPr>
      <w:rPr>
        <w:rFonts w:cs="Times New Roman"/>
      </w:rPr>
    </w:lvl>
    <w:lvl w:ilvl="2" w:tplc="835E121E">
      <w:start w:val="1"/>
      <w:numFmt w:val="lowerLetter"/>
      <w:lvlText w:val="%3)"/>
      <w:lvlJc w:val="left"/>
      <w:pPr>
        <w:ind w:left="1980" w:hanging="360"/>
      </w:pPr>
      <w:rPr>
        <w:rFonts w:hint="default"/>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1" w15:restartNumberingAfterBreak="0">
    <w:nsid w:val="0BD75985"/>
    <w:multiLevelType w:val="hybridMultilevel"/>
    <w:tmpl w:val="7514DDD2"/>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C0007BF"/>
    <w:multiLevelType w:val="hybridMultilevel"/>
    <w:tmpl w:val="AF9A2A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D7C0877"/>
    <w:multiLevelType w:val="hybridMultilevel"/>
    <w:tmpl w:val="2A405B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ED36D25"/>
    <w:multiLevelType w:val="hybridMultilevel"/>
    <w:tmpl w:val="3558D6A4"/>
    <w:lvl w:ilvl="0" w:tplc="04150001">
      <w:start w:val="1"/>
      <w:numFmt w:val="bullet"/>
      <w:lvlText w:val=""/>
      <w:lvlJc w:val="left"/>
      <w:pPr>
        <w:ind w:left="690" w:hanging="360"/>
      </w:pPr>
      <w:rPr>
        <w:rFonts w:ascii="Symbol" w:hAnsi="Symbol" w:hint="default"/>
      </w:rPr>
    </w:lvl>
    <w:lvl w:ilvl="1" w:tplc="FB081914">
      <w:numFmt w:val="bullet"/>
      <w:lvlText w:val="•"/>
      <w:lvlJc w:val="left"/>
      <w:pPr>
        <w:ind w:left="1410" w:hanging="360"/>
      </w:pPr>
      <w:rPr>
        <w:rFonts w:ascii="Times New Roman" w:eastAsia="Times New Roman" w:hAnsi="Times New Roman" w:hint="default"/>
      </w:rPr>
    </w:lvl>
    <w:lvl w:ilvl="2" w:tplc="04150005" w:tentative="1">
      <w:start w:val="1"/>
      <w:numFmt w:val="bullet"/>
      <w:lvlText w:val=""/>
      <w:lvlJc w:val="left"/>
      <w:pPr>
        <w:ind w:left="2130" w:hanging="360"/>
      </w:pPr>
      <w:rPr>
        <w:rFonts w:ascii="Wingdings" w:hAnsi="Wingdings" w:hint="default"/>
      </w:rPr>
    </w:lvl>
    <w:lvl w:ilvl="3" w:tplc="04150001" w:tentative="1">
      <w:start w:val="1"/>
      <w:numFmt w:val="bullet"/>
      <w:lvlText w:val=""/>
      <w:lvlJc w:val="left"/>
      <w:pPr>
        <w:ind w:left="2850" w:hanging="360"/>
      </w:pPr>
      <w:rPr>
        <w:rFonts w:ascii="Symbol" w:hAnsi="Symbol" w:hint="default"/>
      </w:rPr>
    </w:lvl>
    <w:lvl w:ilvl="4" w:tplc="04150003" w:tentative="1">
      <w:start w:val="1"/>
      <w:numFmt w:val="bullet"/>
      <w:lvlText w:val="o"/>
      <w:lvlJc w:val="left"/>
      <w:pPr>
        <w:ind w:left="3570" w:hanging="360"/>
      </w:pPr>
      <w:rPr>
        <w:rFonts w:ascii="Courier New" w:hAnsi="Courier New" w:hint="default"/>
      </w:rPr>
    </w:lvl>
    <w:lvl w:ilvl="5" w:tplc="04150005" w:tentative="1">
      <w:start w:val="1"/>
      <w:numFmt w:val="bullet"/>
      <w:lvlText w:val=""/>
      <w:lvlJc w:val="left"/>
      <w:pPr>
        <w:ind w:left="4290" w:hanging="360"/>
      </w:pPr>
      <w:rPr>
        <w:rFonts w:ascii="Wingdings" w:hAnsi="Wingdings" w:hint="default"/>
      </w:rPr>
    </w:lvl>
    <w:lvl w:ilvl="6" w:tplc="04150001" w:tentative="1">
      <w:start w:val="1"/>
      <w:numFmt w:val="bullet"/>
      <w:lvlText w:val=""/>
      <w:lvlJc w:val="left"/>
      <w:pPr>
        <w:ind w:left="5010" w:hanging="360"/>
      </w:pPr>
      <w:rPr>
        <w:rFonts w:ascii="Symbol" w:hAnsi="Symbol" w:hint="default"/>
      </w:rPr>
    </w:lvl>
    <w:lvl w:ilvl="7" w:tplc="04150003" w:tentative="1">
      <w:start w:val="1"/>
      <w:numFmt w:val="bullet"/>
      <w:lvlText w:val="o"/>
      <w:lvlJc w:val="left"/>
      <w:pPr>
        <w:ind w:left="5730" w:hanging="360"/>
      </w:pPr>
      <w:rPr>
        <w:rFonts w:ascii="Courier New" w:hAnsi="Courier New" w:hint="default"/>
      </w:rPr>
    </w:lvl>
    <w:lvl w:ilvl="8" w:tplc="04150005" w:tentative="1">
      <w:start w:val="1"/>
      <w:numFmt w:val="bullet"/>
      <w:lvlText w:val=""/>
      <w:lvlJc w:val="left"/>
      <w:pPr>
        <w:ind w:left="6450" w:hanging="360"/>
      </w:pPr>
      <w:rPr>
        <w:rFonts w:ascii="Wingdings" w:hAnsi="Wingdings" w:hint="default"/>
      </w:rPr>
    </w:lvl>
  </w:abstractNum>
  <w:abstractNum w:abstractNumId="15" w15:restartNumberingAfterBreak="0">
    <w:nsid w:val="0F474790"/>
    <w:multiLevelType w:val="hybridMultilevel"/>
    <w:tmpl w:val="45ECC1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0FB13AA6"/>
    <w:multiLevelType w:val="hybridMultilevel"/>
    <w:tmpl w:val="01B4BDC4"/>
    <w:lvl w:ilvl="0" w:tplc="90B87C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90B87C54">
      <w:start w:val="1"/>
      <w:numFmt w:val="bullet"/>
      <w:lvlText w:val=""/>
      <w:lvlJc w:val="left"/>
      <w:pPr>
        <w:ind w:left="2160" w:hanging="360"/>
      </w:pPr>
      <w:rPr>
        <w:rFonts w:ascii="Symbol" w:hAnsi="Symbol"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27C641E"/>
    <w:multiLevelType w:val="hybridMultilevel"/>
    <w:tmpl w:val="56C641F2"/>
    <w:lvl w:ilvl="0" w:tplc="AFE6B476">
      <w:numFmt w:val="bullet"/>
      <w:lvlText w:val="•"/>
      <w:lvlJc w:val="left"/>
      <w:pPr>
        <w:ind w:left="720" w:hanging="360"/>
      </w:pPr>
      <w:rPr>
        <w:rFonts w:ascii="Times New Roman" w:eastAsiaTheme="minorEastAsia"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2951498"/>
    <w:multiLevelType w:val="hybridMultilevel"/>
    <w:tmpl w:val="CBA0481C"/>
    <w:lvl w:ilvl="0" w:tplc="16F4D1F8">
      <w:numFmt w:val="bullet"/>
      <w:lvlText w:val="•"/>
      <w:lvlJc w:val="left"/>
      <w:pPr>
        <w:ind w:left="720" w:hanging="360"/>
      </w:pPr>
      <w:rPr>
        <w:rFonts w:ascii="Times New Roman" w:eastAsiaTheme="minorEastAsia" w:hAnsi="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3CB7E06"/>
    <w:multiLevelType w:val="hybridMultilevel"/>
    <w:tmpl w:val="E8AA84C6"/>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0" w15:restartNumberingAfterBreak="0">
    <w:nsid w:val="1515751D"/>
    <w:multiLevelType w:val="hybridMultilevel"/>
    <w:tmpl w:val="72D004B2"/>
    <w:lvl w:ilvl="0" w:tplc="35009A7E">
      <w:numFmt w:val="bullet"/>
      <w:lvlText w:val="•"/>
      <w:lvlJc w:val="left"/>
      <w:pPr>
        <w:ind w:left="720" w:hanging="360"/>
      </w:pPr>
      <w:rPr>
        <w:rFonts w:ascii="Times New Roman" w:eastAsiaTheme="minorEastAsia"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9050CA9"/>
    <w:multiLevelType w:val="hybridMultilevel"/>
    <w:tmpl w:val="B3B49518"/>
    <w:lvl w:ilvl="0" w:tplc="A40CE5C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9520A6D"/>
    <w:multiLevelType w:val="hybridMultilevel"/>
    <w:tmpl w:val="96060996"/>
    <w:lvl w:ilvl="0" w:tplc="AFE6B476">
      <w:numFmt w:val="bullet"/>
      <w:lvlText w:val="•"/>
      <w:lvlJc w:val="left"/>
      <w:pPr>
        <w:ind w:left="720" w:hanging="360"/>
      </w:pPr>
      <w:rPr>
        <w:rFonts w:ascii="Times New Roman" w:eastAsiaTheme="minorEastAsia"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9DE0E18"/>
    <w:multiLevelType w:val="hybridMultilevel"/>
    <w:tmpl w:val="B1E4E646"/>
    <w:lvl w:ilvl="0" w:tplc="6DCCCE7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A5B54BA"/>
    <w:multiLevelType w:val="hybridMultilevel"/>
    <w:tmpl w:val="0BBC71E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CCA3625"/>
    <w:multiLevelType w:val="hybridMultilevel"/>
    <w:tmpl w:val="CE3696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1E8F15A0"/>
    <w:multiLevelType w:val="hybridMultilevel"/>
    <w:tmpl w:val="E508240E"/>
    <w:lvl w:ilvl="0" w:tplc="1BCA7E62">
      <w:start w:val="1"/>
      <w:numFmt w:val="decimal"/>
      <w:lvlText w:val="%1."/>
      <w:lvlJc w:val="left"/>
      <w:pPr>
        <w:ind w:left="720" w:hanging="360"/>
      </w:pPr>
      <w:rPr>
        <w:rFonts w:hint="default"/>
      </w:rPr>
    </w:lvl>
    <w:lvl w:ilvl="1" w:tplc="82CC2BC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F0F3A78"/>
    <w:multiLevelType w:val="multilevel"/>
    <w:tmpl w:val="8C36988C"/>
    <w:styleLink w:val="ReportBulletListStyle"/>
    <w:lvl w:ilvl="0">
      <w:start w:val="1"/>
      <w:numFmt w:val="bullet"/>
      <w:pStyle w:val="Listapunktowana4"/>
      <w:lvlText w:val=""/>
      <w:lvlJc w:val="left"/>
      <w:pPr>
        <w:tabs>
          <w:tab w:val="num" w:pos="357"/>
        </w:tabs>
        <w:ind w:left="357" w:hanging="357"/>
      </w:pPr>
      <w:rPr>
        <w:rFonts w:ascii="Symbol" w:hAnsi="Symbol" w:hint="default"/>
        <w:b w:val="0"/>
        <w:i w:val="0"/>
        <w:sz w:val="22"/>
      </w:rPr>
    </w:lvl>
    <w:lvl w:ilvl="1">
      <w:start w:val="1"/>
      <w:numFmt w:val="bullet"/>
      <w:lvlText w:val=""/>
      <w:lvlJc w:val="left"/>
      <w:pPr>
        <w:tabs>
          <w:tab w:val="num" w:pos="714"/>
        </w:tabs>
        <w:ind w:left="714" w:hanging="357"/>
      </w:pPr>
      <w:rPr>
        <w:rFonts w:ascii="Symbol" w:hAnsi="Symbol" w:hint="default"/>
      </w:rPr>
    </w:lvl>
    <w:lvl w:ilvl="2">
      <w:start w:val="1"/>
      <w:numFmt w:val="bullet"/>
      <w:lvlText w:val=""/>
      <w:lvlJc w:val="left"/>
      <w:pPr>
        <w:tabs>
          <w:tab w:val="num" w:pos="1071"/>
        </w:tabs>
        <w:ind w:left="1071" w:hanging="357"/>
      </w:pPr>
      <w:rPr>
        <w:rFonts w:ascii="Symbol" w:hAnsi="Symbol" w:hint="default"/>
      </w:rPr>
    </w:lvl>
    <w:lvl w:ilvl="3">
      <w:start w:val="1"/>
      <w:numFmt w:val="bullet"/>
      <w:lvlText w:val=""/>
      <w:lvlJc w:val="left"/>
      <w:pPr>
        <w:tabs>
          <w:tab w:val="num" w:pos="1428"/>
        </w:tabs>
        <w:ind w:left="1428" w:hanging="357"/>
      </w:pPr>
      <w:rPr>
        <w:rFonts w:ascii="Symbol" w:hAnsi="Symbol" w:hint="default"/>
      </w:rPr>
    </w:lvl>
    <w:lvl w:ilvl="4">
      <w:start w:val="1"/>
      <w:numFmt w:val="bullet"/>
      <w:lvlText w:val=""/>
      <w:lvlJc w:val="left"/>
      <w:pPr>
        <w:tabs>
          <w:tab w:val="num" w:pos="1785"/>
        </w:tabs>
        <w:ind w:left="1785" w:hanging="357"/>
      </w:pPr>
      <w:rPr>
        <w:rFonts w:ascii="Symbol" w:hAnsi="Symbol" w:hint="default"/>
      </w:rPr>
    </w:lvl>
    <w:lvl w:ilvl="5">
      <w:start w:val="1"/>
      <w:numFmt w:val="bullet"/>
      <w:lvlText w:val=""/>
      <w:lvlJc w:val="left"/>
      <w:pPr>
        <w:tabs>
          <w:tab w:val="num" w:pos="2142"/>
        </w:tabs>
        <w:ind w:left="2142" w:hanging="357"/>
      </w:pPr>
      <w:rPr>
        <w:rFonts w:ascii="Wingdings" w:hAnsi="Wingdings" w:hint="default"/>
      </w:rPr>
    </w:lvl>
    <w:lvl w:ilvl="6">
      <w:start w:val="1"/>
      <w:numFmt w:val="bullet"/>
      <w:lvlText w:val=""/>
      <w:lvlJc w:val="left"/>
      <w:pPr>
        <w:tabs>
          <w:tab w:val="num" w:pos="2499"/>
        </w:tabs>
        <w:ind w:left="2499" w:hanging="357"/>
      </w:pPr>
      <w:rPr>
        <w:rFonts w:ascii="Symbol" w:hAnsi="Symbol" w:hint="default"/>
      </w:rPr>
    </w:lvl>
    <w:lvl w:ilvl="7">
      <w:start w:val="1"/>
      <w:numFmt w:val="bullet"/>
      <w:lvlText w:val="o"/>
      <w:lvlJc w:val="left"/>
      <w:pPr>
        <w:tabs>
          <w:tab w:val="num" w:pos="2856"/>
        </w:tabs>
        <w:ind w:left="2856" w:hanging="357"/>
      </w:pPr>
      <w:rPr>
        <w:rFonts w:ascii="Courier New" w:hAnsi="Courier New" w:hint="default"/>
      </w:rPr>
    </w:lvl>
    <w:lvl w:ilvl="8">
      <w:start w:val="1"/>
      <w:numFmt w:val="bullet"/>
      <w:lvlText w:val=""/>
      <w:lvlJc w:val="left"/>
      <w:pPr>
        <w:tabs>
          <w:tab w:val="num" w:pos="3213"/>
        </w:tabs>
        <w:ind w:left="3213" w:hanging="357"/>
      </w:pPr>
      <w:rPr>
        <w:rFonts w:ascii="Wingdings" w:hAnsi="Wingdings" w:hint="default"/>
      </w:rPr>
    </w:lvl>
  </w:abstractNum>
  <w:abstractNum w:abstractNumId="28" w15:restartNumberingAfterBreak="0">
    <w:nsid w:val="1F1771CB"/>
    <w:multiLevelType w:val="hybridMultilevel"/>
    <w:tmpl w:val="970875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20CF6568"/>
    <w:multiLevelType w:val="hybridMultilevel"/>
    <w:tmpl w:val="183C28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2296050A"/>
    <w:multiLevelType w:val="hybridMultilevel"/>
    <w:tmpl w:val="D228C5DE"/>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1" w15:restartNumberingAfterBreak="0">
    <w:nsid w:val="244525E1"/>
    <w:multiLevelType w:val="hybridMultilevel"/>
    <w:tmpl w:val="DBEC8474"/>
    <w:lvl w:ilvl="0" w:tplc="AFE6B476">
      <w:numFmt w:val="bullet"/>
      <w:lvlText w:val="•"/>
      <w:lvlJc w:val="left"/>
      <w:pPr>
        <w:ind w:left="720" w:hanging="360"/>
      </w:pPr>
      <w:rPr>
        <w:rFonts w:ascii="Times New Roman" w:eastAsiaTheme="minorEastAsia"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255278E3"/>
    <w:multiLevelType w:val="hybridMultilevel"/>
    <w:tmpl w:val="E22A0FCE"/>
    <w:lvl w:ilvl="0" w:tplc="04150001">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A0831DE"/>
    <w:multiLevelType w:val="hybridMultilevel"/>
    <w:tmpl w:val="20E095AA"/>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4" w15:restartNumberingAfterBreak="0">
    <w:nsid w:val="2B0507D8"/>
    <w:multiLevelType w:val="hybridMultilevel"/>
    <w:tmpl w:val="19DC8DA8"/>
    <w:lvl w:ilvl="0" w:tplc="1BCA7E6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D1B161E"/>
    <w:multiLevelType w:val="hybridMultilevel"/>
    <w:tmpl w:val="70640990"/>
    <w:lvl w:ilvl="0" w:tplc="8DD49686">
      <w:start w:val="1"/>
      <w:numFmt w:val="decimal"/>
      <w:lvlText w:val="%1."/>
      <w:lvlJc w:val="left"/>
      <w:pPr>
        <w:ind w:left="735" w:hanging="37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D763A6E"/>
    <w:multiLevelType w:val="multilevel"/>
    <w:tmpl w:val="857455EE"/>
    <w:lvl w:ilvl="0">
      <w:start w:val="1"/>
      <w:numFmt w:val="decimal"/>
      <w:pStyle w:val="Listapunktowana5"/>
      <w:lvlText w:val="%1"/>
      <w:lvlJc w:val="left"/>
      <w:pPr>
        <w:tabs>
          <w:tab w:val="num" w:pos="1134"/>
        </w:tabs>
        <w:ind w:left="1134" w:hanging="1134"/>
      </w:pPr>
      <w:rPr>
        <w:rFonts w:ascii="Times New Roman" w:eastAsia="MS Gothic" w:hAnsi="Times New Roman" w:cs="Times New Roman" w:hint="default"/>
        <w:b/>
        <w:i w:val="0"/>
        <w:color w:val="28AAE1"/>
        <w:sz w:val="36"/>
      </w:rPr>
    </w:lvl>
    <w:lvl w:ilvl="1">
      <w:start w:val="1"/>
      <w:numFmt w:val="decimal"/>
      <w:lvlText w:val="%1.%2"/>
      <w:lvlJc w:val="left"/>
      <w:pPr>
        <w:tabs>
          <w:tab w:val="num" w:pos="1134"/>
        </w:tabs>
        <w:ind w:left="1134" w:hanging="1134"/>
      </w:pPr>
      <w:rPr>
        <w:rFonts w:ascii="Times New Roman" w:eastAsia="MS Gothic" w:hAnsi="Times New Roman" w:cs="Times New Roman" w:hint="default"/>
        <w:b/>
        <w:i w:val="0"/>
        <w:color w:val="28AAE1"/>
        <w:sz w:val="32"/>
        <w:szCs w:val="32"/>
        <w:u w:val="none" w:color="008080"/>
      </w:rPr>
    </w:lvl>
    <w:lvl w:ilvl="2">
      <w:start w:val="1"/>
      <w:numFmt w:val="decimal"/>
      <w:lvlText w:val="%1.%2.%3"/>
      <w:lvlJc w:val="left"/>
      <w:pPr>
        <w:tabs>
          <w:tab w:val="num" w:pos="1134"/>
        </w:tabs>
        <w:ind w:left="1134" w:hanging="1134"/>
      </w:pPr>
      <w:rPr>
        <w:rFonts w:ascii="Times New Roman" w:eastAsia="MS Gothic" w:hAnsi="Times New Roman" w:cs="Times New Roman" w:hint="default"/>
        <w:b/>
        <w:i w:val="0"/>
        <w:color w:val="28AAE1"/>
        <w:sz w:val="28"/>
        <w:szCs w:val="28"/>
      </w:rPr>
    </w:lvl>
    <w:lvl w:ilvl="3">
      <w:start w:val="1"/>
      <w:numFmt w:val="decimal"/>
      <w:lvlText w:val="%1.%2.%3.%4"/>
      <w:lvlJc w:val="left"/>
      <w:pPr>
        <w:tabs>
          <w:tab w:val="num" w:pos="1134"/>
        </w:tabs>
        <w:ind w:left="1134" w:hanging="1134"/>
      </w:pPr>
      <w:rPr>
        <w:rFonts w:ascii="Times New Roman" w:eastAsia="MS Gothic" w:hAnsi="Times New Roman" w:cs="Times New Roman" w:hint="default"/>
        <w:b/>
        <w:i w:val="0"/>
        <w:color w:val="28AAE1"/>
        <w:sz w:val="28"/>
        <w:szCs w:val="28"/>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rPr>
    </w:lvl>
    <w:lvl w:ilvl="6">
      <w:start w:val="1"/>
      <w:numFmt w:val="decimal"/>
      <w:lvlText w:val="%1.%2.%3.%4.%5.%6.%7"/>
      <w:lvlJc w:val="left"/>
      <w:pPr>
        <w:tabs>
          <w:tab w:val="num" w:pos="1134"/>
        </w:tabs>
        <w:ind w:left="1134" w:hanging="1134"/>
      </w:pPr>
      <w:rPr>
        <w:rFonts w:cs="Times New Roman" w:hint="default"/>
      </w:rPr>
    </w:lvl>
    <w:lvl w:ilvl="7">
      <w:start w:val="1"/>
      <w:numFmt w:val="decimal"/>
      <w:lvlText w:val="%1.%2.%3.%4.%5.%6.%7.%8"/>
      <w:lvlJc w:val="left"/>
      <w:pPr>
        <w:tabs>
          <w:tab w:val="num" w:pos="1134"/>
        </w:tabs>
        <w:ind w:left="1134" w:hanging="1134"/>
      </w:pPr>
      <w:rPr>
        <w:rFonts w:cs="Times New Roman" w:hint="default"/>
      </w:rPr>
    </w:lvl>
    <w:lvl w:ilvl="8">
      <w:start w:val="1"/>
      <w:numFmt w:val="decimal"/>
      <w:lvlText w:val="%1.%2.%3.%4.%5.%6.%7.%8.%9"/>
      <w:lvlJc w:val="left"/>
      <w:pPr>
        <w:tabs>
          <w:tab w:val="num" w:pos="1134"/>
        </w:tabs>
        <w:ind w:left="1134" w:hanging="1134"/>
      </w:pPr>
      <w:rPr>
        <w:rFonts w:cs="Times New Roman" w:hint="default"/>
      </w:rPr>
    </w:lvl>
  </w:abstractNum>
  <w:abstractNum w:abstractNumId="37" w15:restartNumberingAfterBreak="0">
    <w:nsid w:val="309511E2"/>
    <w:multiLevelType w:val="multilevel"/>
    <w:tmpl w:val="AEE64E34"/>
    <w:styleLink w:val="ReportListNumberStyle"/>
    <w:lvl w:ilvl="0">
      <w:start w:val="1"/>
      <w:numFmt w:val="decimal"/>
      <w:pStyle w:val="Listanumerowana3"/>
      <w:lvlText w:val="%1."/>
      <w:lvlJc w:val="left"/>
      <w:pPr>
        <w:tabs>
          <w:tab w:val="num" w:pos="567"/>
        </w:tabs>
        <w:ind w:left="567" w:hanging="567"/>
      </w:pPr>
      <w:rPr>
        <w:rFonts w:cs="Times New Roman" w:hint="default"/>
      </w:rPr>
    </w:lvl>
    <w:lvl w:ilvl="1">
      <w:start w:val="1"/>
      <w:numFmt w:val="lowerLetter"/>
      <w:lvlText w:val="%2."/>
      <w:lvlJc w:val="left"/>
      <w:pPr>
        <w:tabs>
          <w:tab w:val="num" w:pos="924"/>
        </w:tabs>
        <w:ind w:left="924" w:hanging="357"/>
      </w:pPr>
      <w:rPr>
        <w:rFonts w:cs="Times New Roman" w:hint="default"/>
      </w:rPr>
    </w:lvl>
    <w:lvl w:ilvl="2">
      <w:start w:val="1"/>
      <w:numFmt w:val="bullet"/>
      <w:lvlText w:val=""/>
      <w:lvlJc w:val="left"/>
      <w:pPr>
        <w:tabs>
          <w:tab w:val="num" w:pos="1281"/>
        </w:tabs>
        <w:ind w:left="1281" w:hanging="357"/>
      </w:pPr>
      <w:rPr>
        <w:rFonts w:ascii="Symbol" w:hAnsi="Symbol" w:hint="default"/>
      </w:rPr>
    </w:lvl>
    <w:lvl w:ilvl="3">
      <w:start w:val="1"/>
      <w:numFmt w:val="bullet"/>
      <w:lvlText w:val=""/>
      <w:lvlJc w:val="left"/>
      <w:pPr>
        <w:tabs>
          <w:tab w:val="num" w:pos="1684"/>
        </w:tabs>
        <w:ind w:left="1684" w:hanging="403"/>
      </w:pPr>
      <w:rPr>
        <w:rFonts w:ascii="Symbol" w:hAnsi="Symbol" w:hint="default"/>
      </w:rPr>
    </w:lvl>
    <w:lvl w:ilvl="4">
      <w:start w:val="1"/>
      <w:numFmt w:val="bullet"/>
      <w:lvlText w:val=""/>
      <w:lvlJc w:val="left"/>
      <w:pPr>
        <w:tabs>
          <w:tab w:val="num" w:pos="2041"/>
        </w:tabs>
        <w:ind w:left="2041" w:hanging="357"/>
      </w:pPr>
      <w:rPr>
        <w:rFonts w:ascii="Symbol" w:hAnsi="Symbol" w:hint="default"/>
      </w:rPr>
    </w:lvl>
    <w:lvl w:ilvl="5">
      <w:start w:val="1"/>
      <w:numFmt w:val="lowerRoman"/>
      <w:lvlText w:val="%6."/>
      <w:lvlJc w:val="right"/>
      <w:pPr>
        <w:tabs>
          <w:tab w:val="num" w:pos="2352"/>
        </w:tabs>
        <w:ind w:left="2142" w:hanging="357"/>
      </w:pPr>
      <w:rPr>
        <w:rFonts w:cs="Times New Roman" w:hint="default"/>
      </w:rPr>
    </w:lvl>
    <w:lvl w:ilvl="6">
      <w:start w:val="1"/>
      <w:numFmt w:val="decimal"/>
      <w:lvlText w:val="%7."/>
      <w:lvlJc w:val="left"/>
      <w:pPr>
        <w:tabs>
          <w:tab w:val="num" w:pos="2709"/>
        </w:tabs>
        <w:ind w:left="2499" w:hanging="357"/>
      </w:pPr>
      <w:rPr>
        <w:rFonts w:cs="Times New Roman" w:hint="default"/>
      </w:rPr>
    </w:lvl>
    <w:lvl w:ilvl="7">
      <w:start w:val="1"/>
      <w:numFmt w:val="lowerLetter"/>
      <w:lvlText w:val="%8."/>
      <w:lvlJc w:val="left"/>
      <w:pPr>
        <w:tabs>
          <w:tab w:val="num" w:pos="3066"/>
        </w:tabs>
        <w:ind w:left="2856" w:hanging="357"/>
      </w:pPr>
      <w:rPr>
        <w:rFonts w:cs="Times New Roman" w:hint="default"/>
      </w:rPr>
    </w:lvl>
    <w:lvl w:ilvl="8">
      <w:start w:val="1"/>
      <w:numFmt w:val="lowerRoman"/>
      <w:lvlText w:val="%9."/>
      <w:lvlJc w:val="right"/>
      <w:pPr>
        <w:tabs>
          <w:tab w:val="num" w:pos="3423"/>
        </w:tabs>
        <w:ind w:left="3213" w:hanging="357"/>
      </w:pPr>
      <w:rPr>
        <w:rFonts w:cs="Times New Roman" w:hint="default"/>
      </w:rPr>
    </w:lvl>
  </w:abstractNum>
  <w:abstractNum w:abstractNumId="38" w15:restartNumberingAfterBreak="0">
    <w:nsid w:val="32BB71C2"/>
    <w:multiLevelType w:val="hybridMultilevel"/>
    <w:tmpl w:val="05943F02"/>
    <w:lvl w:ilvl="0" w:tplc="6DCCCE7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32E24AF6"/>
    <w:multiLevelType w:val="hybridMultilevel"/>
    <w:tmpl w:val="A3C6902E"/>
    <w:lvl w:ilvl="0" w:tplc="BF1AD99C">
      <w:start w:val="1"/>
      <w:numFmt w:val="bullet"/>
      <w:pStyle w:val="11StopPowodzi-Listawypunktowana"/>
      <w:lvlText w:val=""/>
      <w:lvlJc w:val="left"/>
      <w:pPr>
        <w:ind w:left="1457" w:hanging="360"/>
      </w:pPr>
      <w:rPr>
        <w:rFonts w:ascii="Symbol" w:hAnsi="Symbol" w:hint="default"/>
      </w:rPr>
    </w:lvl>
    <w:lvl w:ilvl="1" w:tplc="48C05946">
      <w:numFmt w:val="bullet"/>
      <w:lvlText w:val="•"/>
      <w:lvlJc w:val="left"/>
      <w:pPr>
        <w:ind w:left="2522" w:hanging="705"/>
      </w:pPr>
      <w:rPr>
        <w:rFonts w:ascii="Arial" w:eastAsia="Times New Roman" w:hAnsi="Arial" w:hint="default"/>
      </w:rPr>
    </w:lvl>
    <w:lvl w:ilvl="2" w:tplc="04150005">
      <w:start w:val="1"/>
      <w:numFmt w:val="bullet"/>
      <w:lvlText w:val=""/>
      <w:lvlJc w:val="left"/>
      <w:pPr>
        <w:ind w:left="2897" w:hanging="360"/>
      </w:pPr>
      <w:rPr>
        <w:rFonts w:ascii="Wingdings" w:hAnsi="Wingdings" w:hint="default"/>
      </w:rPr>
    </w:lvl>
    <w:lvl w:ilvl="3" w:tplc="04150001">
      <w:start w:val="1"/>
      <w:numFmt w:val="bullet"/>
      <w:lvlText w:val=""/>
      <w:lvlJc w:val="left"/>
      <w:pPr>
        <w:ind w:left="3617" w:hanging="360"/>
      </w:pPr>
      <w:rPr>
        <w:rFonts w:ascii="Symbol" w:hAnsi="Symbol" w:hint="default"/>
      </w:rPr>
    </w:lvl>
    <w:lvl w:ilvl="4" w:tplc="04150003">
      <w:start w:val="1"/>
      <w:numFmt w:val="bullet"/>
      <w:lvlText w:val="o"/>
      <w:lvlJc w:val="left"/>
      <w:pPr>
        <w:ind w:left="4337" w:hanging="360"/>
      </w:pPr>
      <w:rPr>
        <w:rFonts w:ascii="Courier New" w:hAnsi="Courier New" w:hint="default"/>
      </w:rPr>
    </w:lvl>
    <w:lvl w:ilvl="5" w:tplc="04150005">
      <w:start w:val="1"/>
      <w:numFmt w:val="bullet"/>
      <w:lvlText w:val=""/>
      <w:lvlJc w:val="left"/>
      <w:pPr>
        <w:ind w:left="5057" w:hanging="360"/>
      </w:pPr>
      <w:rPr>
        <w:rFonts w:ascii="Wingdings" w:hAnsi="Wingdings" w:hint="default"/>
      </w:rPr>
    </w:lvl>
    <w:lvl w:ilvl="6" w:tplc="04150001">
      <w:start w:val="1"/>
      <w:numFmt w:val="bullet"/>
      <w:lvlText w:val=""/>
      <w:lvlJc w:val="left"/>
      <w:pPr>
        <w:ind w:left="5777" w:hanging="360"/>
      </w:pPr>
      <w:rPr>
        <w:rFonts w:ascii="Symbol" w:hAnsi="Symbol" w:hint="default"/>
      </w:rPr>
    </w:lvl>
    <w:lvl w:ilvl="7" w:tplc="04150003">
      <w:start w:val="1"/>
      <w:numFmt w:val="bullet"/>
      <w:lvlText w:val="o"/>
      <w:lvlJc w:val="left"/>
      <w:pPr>
        <w:ind w:left="6497" w:hanging="360"/>
      </w:pPr>
      <w:rPr>
        <w:rFonts w:ascii="Courier New" w:hAnsi="Courier New" w:hint="default"/>
      </w:rPr>
    </w:lvl>
    <w:lvl w:ilvl="8" w:tplc="04150005">
      <w:start w:val="1"/>
      <w:numFmt w:val="bullet"/>
      <w:lvlText w:val=""/>
      <w:lvlJc w:val="left"/>
      <w:pPr>
        <w:ind w:left="7217" w:hanging="360"/>
      </w:pPr>
      <w:rPr>
        <w:rFonts w:ascii="Wingdings" w:hAnsi="Wingdings" w:hint="default"/>
      </w:rPr>
    </w:lvl>
  </w:abstractNum>
  <w:abstractNum w:abstractNumId="40" w15:restartNumberingAfterBreak="0">
    <w:nsid w:val="33766951"/>
    <w:multiLevelType w:val="hybridMultilevel"/>
    <w:tmpl w:val="C450E2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338A6822"/>
    <w:multiLevelType w:val="multilevel"/>
    <w:tmpl w:val="1F24EFA4"/>
    <w:lvl w:ilvl="0">
      <w:start w:val="1"/>
      <w:numFmt w:val="bullet"/>
      <w:pStyle w:val="ReportList1"/>
      <w:lvlText w:val=""/>
      <w:lvlJc w:val="left"/>
      <w:pPr>
        <w:tabs>
          <w:tab w:val="num" w:pos="357"/>
        </w:tabs>
        <w:ind w:left="357" w:hanging="357"/>
      </w:pPr>
      <w:rPr>
        <w:rFonts w:ascii="Symbol" w:hAnsi="Symbol" w:hint="default"/>
        <w:b w:val="0"/>
        <w:i w:val="0"/>
        <w:sz w:val="24"/>
      </w:rPr>
    </w:lvl>
    <w:lvl w:ilvl="1">
      <w:start w:val="1"/>
      <w:numFmt w:val="bullet"/>
      <w:pStyle w:val="ReportList2"/>
      <w:lvlText w:val=""/>
      <w:lvlJc w:val="left"/>
      <w:pPr>
        <w:tabs>
          <w:tab w:val="num" w:pos="714"/>
        </w:tabs>
        <w:ind w:left="714" w:hanging="357"/>
      </w:pPr>
      <w:rPr>
        <w:rFonts w:ascii="Symbol" w:hAnsi="Symbol" w:hint="default"/>
        <w:sz w:val="24"/>
      </w:rPr>
    </w:lvl>
    <w:lvl w:ilvl="2">
      <w:start w:val="1"/>
      <w:numFmt w:val="bullet"/>
      <w:lvlText w:val=""/>
      <w:lvlJc w:val="left"/>
      <w:pPr>
        <w:tabs>
          <w:tab w:val="num" w:pos="1071"/>
        </w:tabs>
        <w:ind w:left="1071" w:hanging="357"/>
      </w:pPr>
      <w:rPr>
        <w:rFonts w:ascii="Symbol" w:hAnsi="Symbol" w:hint="default"/>
      </w:rPr>
    </w:lvl>
    <w:lvl w:ilvl="3">
      <w:start w:val="1"/>
      <w:numFmt w:val="bullet"/>
      <w:lvlText w:val=""/>
      <w:lvlJc w:val="left"/>
      <w:pPr>
        <w:tabs>
          <w:tab w:val="num" w:pos="1428"/>
        </w:tabs>
        <w:ind w:left="1428" w:hanging="357"/>
      </w:pPr>
      <w:rPr>
        <w:rFonts w:ascii="Symbol" w:hAnsi="Symbol" w:hint="default"/>
      </w:rPr>
    </w:lvl>
    <w:lvl w:ilvl="4">
      <w:start w:val="1"/>
      <w:numFmt w:val="bullet"/>
      <w:lvlText w:val=""/>
      <w:lvlJc w:val="left"/>
      <w:pPr>
        <w:tabs>
          <w:tab w:val="num" w:pos="1785"/>
        </w:tabs>
        <w:ind w:left="1785" w:hanging="357"/>
      </w:pPr>
      <w:rPr>
        <w:rFonts w:ascii="Symbol" w:hAnsi="Symbol" w:hint="default"/>
      </w:rPr>
    </w:lvl>
    <w:lvl w:ilvl="5">
      <w:start w:val="1"/>
      <w:numFmt w:val="bullet"/>
      <w:lvlText w:val=""/>
      <w:lvlJc w:val="left"/>
      <w:pPr>
        <w:tabs>
          <w:tab w:val="num" w:pos="2142"/>
        </w:tabs>
        <w:ind w:left="2142" w:hanging="357"/>
      </w:pPr>
      <w:rPr>
        <w:rFonts w:ascii="Wingdings" w:hAnsi="Wingdings" w:hint="default"/>
      </w:rPr>
    </w:lvl>
    <w:lvl w:ilvl="6">
      <w:start w:val="1"/>
      <w:numFmt w:val="bullet"/>
      <w:lvlText w:val=""/>
      <w:lvlJc w:val="left"/>
      <w:pPr>
        <w:tabs>
          <w:tab w:val="num" w:pos="2499"/>
        </w:tabs>
        <w:ind w:left="2499" w:hanging="357"/>
      </w:pPr>
      <w:rPr>
        <w:rFonts w:ascii="Symbol" w:hAnsi="Symbol" w:hint="default"/>
      </w:rPr>
    </w:lvl>
    <w:lvl w:ilvl="7">
      <w:start w:val="1"/>
      <w:numFmt w:val="bullet"/>
      <w:lvlText w:val="o"/>
      <w:lvlJc w:val="left"/>
      <w:pPr>
        <w:tabs>
          <w:tab w:val="num" w:pos="2856"/>
        </w:tabs>
        <w:ind w:left="2856" w:hanging="357"/>
      </w:pPr>
      <w:rPr>
        <w:rFonts w:ascii="Courier New" w:hAnsi="Courier New" w:hint="default"/>
      </w:rPr>
    </w:lvl>
    <w:lvl w:ilvl="8">
      <w:start w:val="1"/>
      <w:numFmt w:val="bullet"/>
      <w:lvlText w:val=""/>
      <w:lvlJc w:val="left"/>
      <w:pPr>
        <w:tabs>
          <w:tab w:val="num" w:pos="3213"/>
        </w:tabs>
        <w:ind w:left="3213" w:hanging="357"/>
      </w:pPr>
      <w:rPr>
        <w:rFonts w:ascii="Wingdings" w:hAnsi="Wingdings" w:hint="default"/>
      </w:rPr>
    </w:lvl>
  </w:abstractNum>
  <w:abstractNum w:abstractNumId="42" w15:restartNumberingAfterBreak="0">
    <w:nsid w:val="344D3727"/>
    <w:multiLevelType w:val="singleLevel"/>
    <w:tmpl w:val="3A8C6492"/>
    <w:lvl w:ilvl="0">
      <w:start w:val="1"/>
      <w:numFmt w:val="decimal"/>
      <w:pStyle w:val="ReportReference"/>
      <w:lvlText w:val="[%1]"/>
      <w:lvlJc w:val="left"/>
      <w:pPr>
        <w:tabs>
          <w:tab w:val="num" w:pos="1973"/>
        </w:tabs>
        <w:ind w:left="1973" w:hanging="1973"/>
      </w:pPr>
      <w:rPr>
        <w:rFonts w:cs="Times New Roman" w:hint="default"/>
      </w:rPr>
    </w:lvl>
  </w:abstractNum>
  <w:abstractNum w:abstractNumId="43" w15:restartNumberingAfterBreak="0">
    <w:nsid w:val="368C4CC9"/>
    <w:multiLevelType w:val="hybridMultilevel"/>
    <w:tmpl w:val="09BA65F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44" w15:restartNumberingAfterBreak="0">
    <w:nsid w:val="387F1551"/>
    <w:multiLevelType w:val="hybridMultilevel"/>
    <w:tmpl w:val="E3CA80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392621B8"/>
    <w:multiLevelType w:val="hybridMultilevel"/>
    <w:tmpl w:val="C17E87F0"/>
    <w:lvl w:ilvl="0" w:tplc="04150001">
      <w:start w:val="1"/>
      <w:numFmt w:val="bullet"/>
      <w:lvlText w:val=""/>
      <w:lvlJc w:val="left"/>
      <w:pPr>
        <w:ind w:left="360" w:hanging="360"/>
      </w:pPr>
      <w:rPr>
        <w:rFonts w:ascii="Symbol" w:hAnsi="Symbol" w:hint="default"/>
      </w:rPr>
    </w:lvl>
    <w:lvl w:ilvl="1" w:tplc="04150001">
      <w:start w:val="1"/>
      <w:numFmt w:val="bullet"/>
      <w:lvlText w:val=""/>
      <w:lvlJc w:val="left"/>
      <w:pPr>
        <w:ind w:left="1080" w:hanging="360"/>
      </w:pPr>
      <w:rPr>
        <w:rFonts w:ascii="Symbol" w:hAnsi="Symbol" w:hint="default"/>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46" w15:restartNumberingAfterBreak="0">
    <w:nsid w:val="3A702604"/>
    <w:multiLevelType w:val="hybridMultilevel"/>
    <w:tmpl w:val="5ECE88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3F67048E"/>
    <w:multiLevelType w:val="hybridMultilevel"/>
    <w:tmpl w:val="EF2AC7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40CD43A9"/>
    <w:multiLevelType w:val="hybridMultilevel"/>
    <w:tmpl w:val="F7ECB6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40F66EFB"/>
    <w:multiLevelType w:val="hybridMultilevel"/>
    <w:tmpl w:val="E528B8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47263456"/>
    <w:multiLevelType w:val="hybridMultilevel"/>
    <w:tmpl w:val="FEBE5656"/>
    <w:lvl w:ilvl="0" w:tplc="04150001">
      <w:start w:val="1"/>
      <w:numFmt w:val="bullet"/>
      <w:lvlText w:val=""/>
      <w:lvlJc w:val="left"/>
      <w:pPr>
        <w:tabs>
          <w:tab w:val="num" w:pos="840"/>
        </w:tabs>
        <w:ind w:left="84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99F0D43"/>
    <w:multiLevelType w:val="hybridMultilevel"/>
    <w:tmpl w:val="0AA49A20"/>
    <w:lvl w:ilvl="0" w:tplc="0415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ACA5DE6"/>
    <w:multiLevelType w:val="hybridMultilevel"/>
    <w:tmpl w:val="DEA8892A"/>
    <w:lvl w:ilvl="0" w:tplc="AE6CF118">
      <w:start w:val="1"/>
      <w:numFmt w:val="decimal"/>
      <w:lvlText w:val="%1."/>
      <w:lvlJc w:val="left"/>
      <w:pPr>
        <w:ind w:left="765" w:hanging="4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52647A65"/>
    <w:multiLevelType w:val="hybridMultilevel"/>
    <w:tmpl w:val="A3A802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53F47C53"/>
    <w:multiLevelType w:val="hybridMultilevel"/>
    <w:tmpl w:val="881891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553E7CCF"/>
    <w:multiLevelType w:val="hybridMultilevel"/>
    <w:tmpl w:val="997A4412"/>
    <w:lvl w:ilvl="0" w:tplc="0809000F">
      <w:start w:val="1"/>
      <w:numFmt w:val="decimal"/>
      <w:lvlText w:val="%1."/>
      <w:lvlJc w:val="left"/>
      <w:pPr>
        <w:ind w:left="360" w:hanging="360"/>
      </w:pPr>
      <w:rPr>
        <w:rFonts w:cs="Times New Roman"/>
      </w:rPr>
    </w:lvl>
    <w:lvl w:ilvl="1" w:tplc="08090019">
      <w:start w:val="1"/>
      <w:numFmt w:val="lowerLetter"/>
      <w:lvlText w:val="%2."/>
      <w:lvlJc w:val="left"/>
      <w:pPr>
        <w:ind w:left="1080" w:hanging="360"/>
      </w:pPr>
      <w:rPr>
        <w:rFonts w:cs="Times New Roman"/>
      </w:rPr>
    </w:lvl>
    <w:lvl w:ilvl="2" w:tplc="0809001B">
      <w:start w:val="1"/>
      <w:numFmt w:val="lowerRoman"/>
      <w:pStyle w:val="ReportLevel3"/>
      <w:lvlText w:val="%3."/>
      <w:lvlJc w:val="right"/>
      <w:pPr>
        <w:ind w:left="1800" w:hanging="180"/>
      </w:pPr>
      <w:rPr>
        <w:rFonts w:cs="Times New Roman"/>
      </w:rPr>
    </w:lvl>
    <w:lvl w:ilvl="3" w:tplc="0809000F">
      <w:start w:val="1"/>
      <w:numFmt w:val="decimal"/>
      <w:pStyle w:val="ReportLevel4"/>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56" w15:restartNumberingAfterBreak="0">
    <w:nsid w:val="5A931054"/>
    <w:multiLevelType w:val="hybridMultilevel"/>
    <w:tmpl w:val="0CF4594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5EF64559"/>
    <w:multiLevelType w:val="hybridMultilevel"/>
    <w:tmpl w:val="461AB964"/>
    <w:lvl w:ilvl="0" w:tplc="04150001">
      <w:start w:val="1"/>
      <w:numFmt w:val="bullet"/>
      <w:lvlText w:val=""/>
      <w:lvlJc w:val="left"/>
      <w:pPr>
        <w:ind w:left="360" w:hanging="360"/>
      </w:pPr>
      <w:rPr>
        <w:rFonts w:ascii="Symbol" w:hAnsi="Symbol" w:hint="default"/>
      </w:rPr>
    </w:lvl>
    <w:lvl w:ilvl="1" w:tplc="04150001">
      <w:start w:val="1"/>
      <w:numFmt w:val="bullet"/>
      <w:lvlText w:val=""/>
      <w:lvlJc w:val="left"/>
      <w:pPr>
        <w:ind w:left="1080" w:hanging="360"/>
      </w:pPr>
      <w:rPr>
        <w:rFonts w:ascii="Symbol" w:hAnsi="Symbol" w:hint="default"/>
      </w:rPr>
    </w:lvl>
    <w:lvl w:ilvl="2" w:tplc="04150003">
      <w:start w:val="1"/>
      <w:numFmt w:val="bullet"/>
      <w:lvlText w:val="o"/>
      <w:lvlJc w:val="left"/>
      <w:pPr>
        <w:ind w:left="2024" w:hanging="180"/>
      </w:pPr>
      <w:rPr>
        <w:rFonts w:ascii="Courier New" w:hAnsi="Courier New" w:hint="default"/>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58" w15:restartNumberingAfterBreak="0">
    <w:nsid w:val="5F197C6C"/>
    <w:multiLevelType w:val="hybridMultilevel"/>
    <w:tmpl w:val="02EEE3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5FA7576B"/>
    <w:multiLevelType w:val="multilevel"/>
    <w:tmpl w:val="050A962C"/>
    <w:lvl w:ilvl="0">
      <w:start w:val="1"/>
      <w:numFmt w:val="decimal"/>
      <w:pStyle w:val="Listapunktowana"/>
      <w:lvlText w:val="%1"/>
      <w:lvlJc w:val="left"/>
      <w:pPr>
        <w:tabs>
          <w:tab w:val="num" w:pos="1134"/>
        </w:tabs>
        <w:ind w:left="1134" w:hanging="1134"/>
      </w:pPr>
      <w:rPr>
        <w:rFonts w:ascii="Times New Roman" w:hAnsi="Times New Roman" w:cs="Times New Roman" w:hint="default"/>
        <w:b/>
        <w:i w:val="0"/>
        <w:color w:val="28AAE1"/>
        <w:sz w:val="28"/>
        <w:szCs w:val="28"/>
      </w:rPr>
    </w:lvl>
    <w:lvl w:ilvl="1">
      <w:start w:val="1"/>
      <w:numFmt w:val="decimal"/>
      <w:lvlText w:val="%1.%2"/>
      <w:lvlJc w:val="left"/>
      <w:pPr>
        <w:tabs>
          <w:tab w:val="num" w:pos="1134"/>
        </w:tabs>
        <w:ind w:left="1134" w:hanging="1134"/>
      </w:pPr>
      <w:rPr>
        <w:rFonts w:ascii="Times New Roman" w:hAnsi="Times New Roman" w:cs="Times New Roman" w:hint="default"/>
        <w:b/>
        <w:i w:val="0"/>
        <w:color w:val="28AAE1"/>
        <w:sz w:val="20"/>
        <w:szCs w:val="20"/>
        <w:u w:val="none" w:color="008080"/>
      </w:rPr>
    </w:lvl>
    <w:lvl w:ilvl="2">
      <w:start w:val="1"/>
      <w:numFmt w:val="decimal"/>
      <w:lvlText w:val="%1.%2.%3"/>
      <w:lvlJc w:val="left"/>
      <w:pPr>
        <w:tabs>
          <w:tab w:val="num" w:pos="1134"/>
        </w:tabs>
        <w:ind w:left="1134" w:hanging="1134"/>
      </w:pPr>
      <w:rPr>
        <w:rFonts w:ascii="Times New Roman" w:hAnsi="Times New Roman" w:cs="Times New Roman" w:hint="default"/>
        <w:b/>
        <w:i w:val="0"/>
        <w:color w:val="28AAE1"/>
        <w:sz w:val="20"/>
        <w:szCs w:val="20"/>
      </w:rPr>
    </w:lvl>
    <w:lvl w:ilvl="3">
      <w:start w:val="1"/>
      <w:numFmt w:val="decimal"/>
      <w:lvlText w:val="%1.%2.%3.%4"/>
      <w:lvlJc w:val="left"/>
      <w:pPr>
        <w:tabs>
          <w:tab w:val="num" w:pos="1134"/>
        </w:tabs>
        <w:ind w:left="1134" w:hanging="1134"/>
      </w:pPr>
      <w:rPr>
        <w:rFonts w:ascii="Times New Roman" w:hAnsi="Times New Roman" w:cs="Times New Roman" w:hint="default"/>
        <w:b/>
        <w:i w:val="0"/>
        <w:color w:val="28AAE1"/>
        <w:sz w:val="20"/>
        <w:szCs w:val="20"/>
      </w:rPr>
    </w:lvl>
    <w:lvl w:ilvl="4">
      <w:start w:val="1"/>
      <w:numFmt w:val="decimal"/>
      <w:pStyle w:val="Nagwek5"/>
      <w:lvlText w:val="%1.%2.%3.%4.%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rPr>
    </w:lvl>
    <w:lvl w:ilvl="6">
      <w:start w:val="1"/>
      <w:numFmt w:val="decimal"/>
      <w:lvlText w:val="%1.%2.%3.%4.%5.%6.%7"/>
      <w:lvlJc w:val="left"/>
      <w:pPr>
        <w:tabs>
          <w:tab w:val="num" w:pos="1134"/>
        </w:tabs>
        <w:ind w:left="1134" w:hanging="1134"/>
      </w:pPr>
      <w:rPr>
        <w:rFonts w:cs="Times New Roman" w:hint="default"/>
      </w:rPr>
    </w:lvl>
    <w:lvl w:ilvl="7">
      <w:start w:val="1"/>
      <w:numFmt w:val="decimal"/>
      <w:lvlText w:val="%1.%2.%3.%4.%5.%6.%7.%8"/>
      <w:lvlJc w:val="left"/>
      <w:pPr>
        <w:tabs>
          <w:tab w:val="num" w:pos="1134"/>
        </w:tabs>
        <w:ind w:left="1134" w:hanging="1134"/>
      </w:pPr>
      <w:rPr>
        <w:rFonts w:cs="Times New Roman" w:hint="default"/>
      </w:rPr>
    </w:lvl>
    <w:lvl w:ilvl="8">
      <w:start w:val="1"/>
      <w:numFmt w:val="decimal"/>
      <w:lvlText w:val="%1.%2.%3.%4.%5.%6.%7.%8.%9"/>
      <w:lvlJc w:val="left"/>
      <w:pPr>
        <w:tabs>
          <w:tab w:val="num" w:pos="1134"/>
        </w:tabs>
        <w:ind w:left="1134" w:hanging="1134"/>
      </w:pPr>
      <w:rPr>
        <w:rFonts w:cs="Times New Roman" w:hint="default"/>
      </w:rPr>
    </w:lvl>
  </w:abstractNum>
  <w:abstractNum w:abstractNumId="60" w15:restartNumberingAfterBreak="0">
    <w:nsid w:val="63155DA0"/>
    <w:multiLevelType w:val="hybridMultilevel"/>
    <w:tmpl w:val="28BE78CA"/>
    <w:lvl w:ilvl="0" w:tplc="04150001">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647A66E7"/>
    <w:multiLevelType w:val="hybridMultilevel"/>
    <w:tmpl w:val="DE06241C"/>
    <w:lvl w:ilvl="0" w:tplc="04150001">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65886F27"/>
    <w:multiLevelType w:val="hybridMultilevel"/>
    <w:tmpl w:val="FDAC3598"/>
    <w:lvl w:ilvl="0" w:tplc="AE6CF118">
      <w:start w:val="1"/>
      <w:numFmt w:val="decimal"/>
      <w:lvlText w:val="%1."/>
      <w:lvlJc w:val="left"/>
      <w:pPr>
        <w:ind w:left="765" w:hanging="4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682F2C2C"/>
    <w:multiLevelType w:val="hybridMultilevel"/>
    <w:tmpl w:val="80CC9E48"/>
    <w:lvl w:ilvl="0" w:tplc="6DCCCE7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68960E43"/>
    <w:multiLevelType w:val="hybridMultilevel"/>
    <w:tmpl w:val="8D5221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689B4996"/>
    <w:multiLevelType w:val="hybridMultilevel"/>
    <w:tmpl w:val="B7FE254A"/>
    <w:lvl w:ilvl="0" w:tplc="04150001">
      <w:start w:val="1"/>
      <w:numFmt w:val="bullet"/>
      <w:lvlText w:val=""/>
      <w:lvlJc w:val="left"/>
      <w:pPr>
        <w:ind w:left="360" w:hanging="360"/>
      </w:pPr>
      <w:rPr>
        <w:rFonts w:ascii="Symbol" w:hAnsi="Symbol" w:hint="default"/>
      </w:rPr>
    </w:lvl>
    <w:lvl w:ilvl="1" w:tplc="04150001">
      <w:start w:val="1"/>
      <w:numFmt w:val="bullet"/>
      <w:lvlText w:val=""/>
      <w:lvlJc w:val="left"/>
      <w:pPr>
        <w:ind w:left="1080" w:hanging="360"/>
      </w:pPr>
      <w:rPr>
        <w:rFonts w:ascii="Symbol" w:hAnsi="Symbol" w:hint="default"/>
      </w:rPr>
    </w:lvl>
    <w:lvl w:ilvl="2" w:tplc="04150001">
      <w:start w:val="1"/>
      <w:numFmt w:val="bullet"/>
      <w:lvlText w:val=""/>
      <w:lvlJc w:val="left"/>
      <w:pPr>
        <w:ind w:left="1800" w:hanging="180"/>
      </w:pPr>
      <w:rPr>
        <w:rFonts w:ascii="Symbol" w:hAnsi="Symbol" w:hint="default"/>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66" w15:restartNumberingAfterBreak="0">
    <w:nsid w:val="6BB67317"/>
    <w:multiLevelType w:val="hybridMultilevel"/>
    <w:tmpl w:val="F634AD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6E5F09CB"/>
    <w:multiLevelType w:val="hybridMultilevel"/>
    <w:tmpl w:val="BBBED90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6ECB3BE4"/>
    <w:multiLevelType w:val="hybridMultilevel"/>
    <w:tmpl w:val="F54E3144"/>
    <w:lvl w:ilvl="0" w:tplc="0415000F">
      <w:start w:val="1"/>
      <w:numFmt w:val="decimal"/>
      <w:lvlText w:val="%1."/>
      <w:lvlJc w:val="left"/>
      <w:pPr>
        <w:ind w:left="360" w:hanging="360"/>
      </w:pPr>
      <w:rPr>
        <w:rFonts w:cs="Times New Roman" w:hint="default"/>
      </w:r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69" w15:restartNumberingAfterBreak="0">
    <w:nsid w:val="6FB7071D"/>
    <w:multiLevelType w:val="hybridMultilevel"/>
    <w:tmpl w:val="30E893C4"/>
    <w:lvl w:ilvl="0" w:tplc="FE6E89C2">
      <w:start w:val="1"/>
      <w:numFmt w:val="bullet"/>
      <w:pStyle w:val="CVBullets"/>
      <w:lvlText w:val=""/>
      <w:lvlJc w:val="left"/>
      <w:pPr>
        <w:ind w:left="720" w:hanging="360"/>
      </w:pPr>
      <w:rPr>
        <w:rFonts w:ascii="Symbol" w:hAnsi="Symbol" w:hint="default"/>
        <w:b w:val="0"/>
        <w:i w:val="0"/>
        <w:sz w:val="18"/>
        <w:u w:color="595959"/>
      </w:rPr>
    </w:lvl>
    <w:lvl w:ilvl="1" w:tplc="4704B624" w:tentative="1">
      <w:start w:val="1"/>
      <w:numFmt w:val="bullet"/>
      <w:lvlText w:val="o"/>
      <w:lvlJc w:val="left"/>
      <w:pPr>
        <w:ind w:left="1440" w:hanging="360"/>
      </w:pPr>
      <w:rPr>
        <w:rFonts w:ascii="Courier New" w:hAnsi="Courier New" w:hint="default"/>
      </w:rPr>
    </w:lvl>
    <w:lvl w:ilvl="2" w:tplc="2A5084C4" w:tentative="1">
      <w:start w:val="1"/>
      <w:numFmt w:val="bullet"/>
      <w:lvlText w:val=""/>
      <w:lvlJc w:val="left"/>
      <w:pPr>
        <w:ind w:left="2160" w:hanging="360"/>
      </w:pPr>
      <w:rPr>
        <w:rFonts w:ascii="Wingdings" w:hAnsi="Wingdings" w:hint="default"/>
      </w:rPr>
    </w:lvl>
    <w:lvl w:ilvl="3" w:tplc="CC521BD2" w:tentative="1">
      <w:start w:val="1"/>
      <w:numFmt w:val="bullet"/>
      <w:lvlText w:val=""/>
      <w:lvlJc w:val="left"/>
      <w:pPr>
        <w:ind w:left="2880" w:hanging="360"/>
      </w:pPr>
      <w:rPr>
        <w:rFonts w:ascii="Symbol" w:hAnsi="Symbol" w:hint="default"/>
      </w:rPr>
    </w:lvl>
    <w:lvl w:ilvl="4" w:tplc="AF086B12" w:tentative="1">
      <w:start w:val="1"/>
      <w:numFmt w:val="bullet"/>
      <w:lvlText w:val="o"/>
      <w:lvlJc w:val="left"/>
      <w:pPr>
        <w:ind w:left="3600" w:hanging="360"/>
      </w:pPr>
      <w:rPr>
        <w:rFonts w:ascii="Courier New" w:hAnsi="Courier New" w:hint="default"/>
      </w:rPr>
    </w:lvl>
    <w:lvl w:ilvl="5" w:tplc="324A9102" w:tentative="1">
      <w:start w:val="1"/>
      <w:numFmt w:val="bullet"/>
      <w:lvlText w:val=""/>
      <w:lvlJc w:val="left"/>
      <w:pPr>
        <w:ind w:left="4320" w:hanging="360"/>
      </w:pPr>
      <w:rPr>
        <w:rFonts w:ascii="Wingdings" w:hAnsi="Wingdings" w:hint="default"/>
      </w:rPr>
    </w:lvl>
    <w:lvl w:ilvl="6" w:tplc="A03CC0BC" w:tentative="1">
      <w:start w:val="1"/>
      <w:numFmt w:val="bullet"/>
      <w:lvlText w:val=""/>
      <w:lvlJc w:val="left"/>
      <w:pPr>
        <w:ind w:left="5040" w:hanging="360"/>
      </w:pPr>
      <w:rPr>
        <w:rFonts w:ascii="Symbol" w:hAnsi="Symbol" w:hint="default"/>
      </w:rPr>
    </w:lvl>
    <w:lvl w:ilvl="7" w:tplc="85A8FA42" w:tentative="1">
      <w:start w:val="1"/>
      <w:numFmt w:val="bullet"/>
      <w:lvlText w:val="o"/>
      <w:lvlJc w:val="left"/>
      <w:pPr>
        <w:ind w:left="5760" w:hanging="360"/>
      </w:pPr>
      <w:rPr>
        <w:rFonts w:ascii="Courier New" w:hAnsi="Courier New" w:hint="default"/>
      </w:rPr>
    </w:lvl>
    <w:lvl w:ilvl="8" w:tplc="737604D6" w:tentative="1">
      <w:start w:val="1"/>
      <w:numFmt w:val="bullet"/>
      <w:lvlText w:val=""/>
      <w:lvlJc w:val="left"/>
      <w:pPr>
        <w:ind w:left="6480" w:hanging="360"/>
      </w:pPr>
      <w:rPr>
        <w:rFonts w:ascii="Wingdings" w:hAnsi="Wingdings" w:hint="default"/>
      </w:rPr>
    </w:lvl>
  </w:abstractNum>
  <w:abstractNum w:abstractNumId="70" w15:restartNumberingAfterBreak="0">
    <w:nsid w:val="703F5F65"/>
    <w:multiLevelType w:val="multilevel"/>
    <w:tmpl w:val="AF2A4D72"/>
    <w:lvl w:ilvl="0">
      <w:start w:val="1"/>
      <w:numFmt w:val="upperLetter"/>
      <w:pStyle w:val="AppendixLetter"/>
      <w:suff w:val="nothing"/>
      <w:lvlText w:val="Appendix %1"/>
      <w:lvlJc w:val="left"/>
      <w:rPr>
        <w:rFonts w:cs="Times New Roman" w:hint="default"/>
        <w:b/>
        <w:i w:val="0"/>
        <w:color w:val="28AAE1"/>
        <w:sz w:val="26"/>
        <w:szCs w:val="26"/>
      </w:rPr>
    </w:lvl>
    <w:lvl w:ilvl="1">
      <w:start w:val="1"/>
      <w:numFmt w:val="decimal"/>
      <w:pStyle w:val="AppendixLevel1"/>
      <w:lvlText w:val="%1%2"/>
      <w:lvlJc w:val="left"/>
      <w:pPr>
        <w:tabs>
          <w:tab w:val="num" w:pos="1134"/>
        </w:tabs>
        <w:ind w:left="1134" w:hanging="1134"/>
      </w:pPr>
      <w:rPr>
        <w:rFonts w:cs="Times New Roman" w:hint="default"/>
        <w:b/>
        <w:i w:val="0"/>
        <w:color w:val="28AAE1"/>
        <w:sz w:val="28"/>
        <w:szCs w:val="28"/>
      </w:rPr>
    </w:lvl>
    <w:lvl w:ilvl="2">
      <w:start w:val="1"/>
      <w:numFmt w:val="decimal"/>
      <w:pStyle w:val="AppendixLevel2"/>
      <w:lvlText w:val="%1%2.%3"/>
      <w:lvlJc w:val="left"/>
      <w:pPr>
        <w:tabs>
          <w:tab w:val="num" w:pos="1134"/>
        </w:tabs>
        <w:ind w:left="1134" w:hanging="1134"/>
      </w:pPr>
      <w:rPr>
        <w:rFonts w:cs="Times New Roman" w:hint="default"/>
        <w:b/>
        <w:i w:val="0"/>
        <w:color w:val="28AAE1"/>
        <w:sz w:val="20"/>
        <w:szCs w:val="20"/>
      </w:rPr>
    </w:lvl>
    <w:lvl w:ilvl="3">
      <w:start w:val="1"/>
      <w:numFmt w:val="decimal"/>
      <w:pStyle w:val="AppendixLevel3"/>
      <w:lvlText w:val="%1%2.%3.%4"/>
      <w:lvlJc w:val="left"/>
      <w:pPr>
        <w:tabs>
          <w:tab w:val="num" w:pos="1134"/>
        </w:tabs>
        <w:ind w:left="1134" w:hanging="1134"/>
      </w:pPr>
      <w:rPr>
        <w:rFonts w:cs="Times New Roman" w:hint="default"/>
        <w:b/>
        <w:i w:val="0"/>
        <w:color w:val="28AAE1"/>
        <w:sz w:val="18"/>
        <w:szCs w:val="18"/>
      </w:rPr>
    </w:lvl>
    <w:lvl w:ilvl="4">
      <w:start w:val="1"/>
      <w:numFmt w:val="decimal"/>
      <w:pStyle w:val="AppendixLevel4"/>
      <w:lvlText w:val="%1%2.%3.%4.%5"/>
      <w:lvlJc w:val="left"/>
      <w:pPr>
        <w:tabs>
          <w:tab w:val="num" w:pos="1134"/>
        </w:tabs>
        <w:ind w:left="1134" w:hanging="1134"/>
      </w:pPr>
      <w:rPr>
        <w:rFonts w:cs="Times New Roman" w:hint="default"/>
        <w:b/>
        <w:i w:val="0"/>
        <w:color w:val="28AAE1"/>
        <w:sz w:val="18"/>
        <w:szCs w:val="18"/>
      </w:rPr>
    </w:lvl>
    <w:lvl w:ilvl="5">
      <w:start w:val="1"/>
      <w:numFmt w:val="lowerLetter"/>
      <w:pStyle w:val="Nagwek6"/>
      <w:lvlText w:val="(%6)"/>
      <w:lvlJc w:val="left"/>
      <w:pPr>
        <w:tabs>
          <w:tab w:val="num" w:pos="3960"/>
        </w:tabs>
        <w:ind w:left="3600"/>
      </w:pPr>
      <w:rPr>
        <w:rFonts w:cs="Times New Roman" w:hint="default"/>
      </w:rPr>
    </w:lvl>
    <w:lvl w:ilvl="6">
      <w:start w:val="1"/>
      <w:numFmt w:val="lowerRoman"/>
      <w:pStyle w:val="Nagwek7"/>
      <w:lvlText w:val="(%7)"/>
      <w:lvlJc w:val="left"/>
      <w:pPr>
        <w:tabs>
          <w:tab w:val="num" w:pos="4680"/>
        </w:tabs>
        <w:ind w:left="4320"/>
      </w:pPr>
      <w:rPr>
        <w:rFonts w:cs="Times New Roman" w:hint="default"/>
      </w:rPr>
    </w:lvl>
    <w:lvl w:ilvl="7">
      <w:start w:val="1"/>
      <w:numFmt w:val="lowerLetter"/>
      <w:pStyle w:val="Nagwek8"/>
      <w:lvlText w:val="(%8)"/>
      <w:lvlJc w:val="left"/>
      <w:pPr>
        <w:tabs>
          <w:tab w:val="num" w:pos="5400"/>
        </w:tabs>
        <w:ind w:left="5040"/>
      </w:pPr>
      <w:rPr>
        <w:rFonts w:cs="Times New Roman" w:hint="default"/>
      </w:rPr>
    </w:lvl>
    <w:lvl w:ilvl="8">
      <w:start w:val="1"/>
      <w:numFmt w:val="lowerRoman"/>
      <w:pStyle w:val="Nagwek9"/>
      <w:lvlText w:val="(%9)"/>
      <w:lvlJc w:val="left"/>
      <w:pPr>
        <w:tabs>
          <w:tab w:val="num" w:pos="6120"/>
        </w:tabs>
        <w:ind w:left="5760"/>
      </w:pPr>
      <w:rPr>
        <w:rFonts w:cs="Times New Roman" w:hint="default"/>
      </w:rPr>
    </w:lvl>
  </w:abstractNum>
  <w:abstractNum w:abstractNumId="71" w15:restartNumberingAfterBreak="0">
    <w:nsid w:val="7159349B"/>
    <w:multiLevelType w:val="hybridMultilevel"/>
    <w:tmpl w:val="80FA8540"/>
    <w:lvl w:ilvl="0" w:tplc="04150001">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72" w15:restartNumberingAfterBreak="0">
    <w:nsid w:val="79976EA5"/>
    <w:multiLevelType w:val="hybridMultilevel"/>
    <w:tmpl w:val="F09E5DC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7CFA5C40"/>
    <w:multiLevelType w:val="hybridMultilevel"/>
    <w:tmpl w:val="AAF63C02"/>
    <w:lvl w:ilvl="0" w:tplc="6DCCCE7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7D922254"/>
    <w:multiLevelType w:val="hybridMultilevel"/>
    <w:tmpl w:val="31561400"/>
    <w:lvl w:ilvl="0" w:tplc="04150001">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7F3C753E"/>
    <w:multiLevelType w:val="multilevel"/>
    <w:tmpl w:val="74E85BF8"/>
    <w:lvl w:ilvl="0">
      <w:start w:val="1"/>
      <w:numFmt w:val="bullet"/>
      <w:pStyle w:val="ReportList-Colour"/>
      <w:lvlText w:val=""/>
      <w:lvlJc w:val="left"/>
      <w:pPr>
        <w:ind w:left="720" w:hanging="363"/>
      </w:pPr>
      <w:rPr>
        <w:rFonts w:ascii="Symbol" w:hAnsi="Symbol" w:hint="default"/>
        <w:color w:val="28AAE1"/>
      </w:rPr>
    </w:lvl>
    <w:lvl w:ilvl="1">
      <w:start w:val="1"/>
      <w:numFmt w:val="bullet"/>
      <w:lvlText w:val=""/>
      <w:lvlJc w:val="left"/>
      <w:pPr>
        <w:ind w:left="1077" w:hanging="363"/>
      </w:pPr>
      <w:rPr>
        <w:rFonts w:ascii="Symbol" w:hAnsi="Symbol" w:hint="default"/>
        <w:color w:val="28AAE1"/>
      </w:rPr>
    </w:lvl>
    <w:lvl w:ilvl="2">
      <w:start w:val="1"/>
      <w:numFmt w:val="bullet"/>
      <w:lvlText w:val=""/>
      <w:lvlJc w:val="left"/>
      <w:pPr>
        <w:ind w:left="1434" w:hanging="363"/>
      </w:pPr>
      <w:rPr>
        <w:rFonts w:ascii="Wingdings" w:hAnsi="Wingdings" w:hint="default"/>
      </w:rPr>
    </w:lvl>
    <w:lvl w:ilvl="3">
      <w:start w:val="1"/>
      <w:numFmt w:val="bullet"/>
      <w:lvlText w:val=""/>
      <w:lvlJc w:val="left"/>
      <w:pPr>
        <w:ind w:left="1791" w:hanging="363"/>
      </w:pPr>
      <w:rPr>
        <w:rFonts w:ascii="Symbol" w:hAnsi="Symbol" w:hint="default"/>
      </w:rPr>
    </w:lvl>
    <w:lvl w:ilvl="4">
      <w:start w:val="1"/>
      <w:numFmt w:val="bullet"/>
      <w:lvlText w:val="o"/>
      <w:lvlJc w:val="left"/>
      <w:pPr>
        <w:ind w:left="2148" w:hanging="363"/>
      </w:pPr>
      <w:rPr>
        <w:rFonts w:ascii="Courier New" w:hAnsi="Courier New" w:hint="default"/>
      </w:rPr>
    </w:lvl>
    <w:lvl w:ilvl="5">
      <w:start w:val="1"/>
      <w:numFmt w:val="bullet"/>
      <w:lvlText w:val=""/>
      <w:lvlJc w:val="left"/>
      <w:pPr>
        <w:ind w:left="2505" w:hanging="363"/>
      </w:pPr>
      <w:rPr>
        <w:rFonts w:ascii="Wingdings" w:hAnsi="Wingdings" w:hint="default"/>
      </w:rPr>
    </w:lvl>
    <w:lvl w:ilvl="6">
      <w:start w:val="1"/>
      <w:numFmt w:val="bullet"/>
      <w:lvlText w:val=""/>
      <w:lvlJc w:val="left"/>
      <w:pPr>
        <w:ind w:left="2862" w:hanging="363"/>
      </w:pPr>
      <w:rPr>
        <w:rFonts w:ascii="Symbol" w:hAnsi="Symbol" w:hint="default"/>
      </w:rPr>
    </w:lvl>
    <w:lvl w:ilvl="7">
      <w:start w:val="1"/>
      <w:numFmt w:val="bullet"/>
      <w:lvlText w:val="o"/>
      <w:lvlJc w:val="left"/>
      <w:pPr>
        <w:ind w:left="3219" w:hanging="363"/>
      </w:pPr>
      <w:rPr>
        <w:rFonts w:ascii="Courier New" w:hAnsi="Courier New" w:hint="default"/>
      </w:rPr>
    </w:lvl>
    <w:lvl w:ilvl="8">
      <w:start w:val="1"/>
      <w:numFmt w:val="bullet"/>
      <w:lvlText w:val=""/>
      <w:lvlJc w:val="left"/>
      <w:pPr>
        <w:ind w:left="3576" w:hanging="363"/>
      </w:pPr>
      <w:rPr>
        <w:rFonts w:ascii="Wingdings" w:hAnsi="Wingdings" w:hint="default"/>
      </w:rPr>
    </w:lvl>
  </w:abstractNum>
  <w:abstractNum w:abstractNumId="76" w15:restartNumberingAfterBreak="0">
    <w:nsid w:val="7FC277D0"/>
    <w:multiLevelType w:val="hybridMultilevel"/>
    <w:tmpl w:val="8FA412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7FCB50D5"/>
    <w:multiLevelType w:val="hybridMultilevel"/>
    <w:tmpl w:val="A2949B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5"/>
  </w:num>
  <w:num w:numId="4">
    <w:abstractNumId w:val="69"/>
  </w:num>
  <w:num w:numId="5">
    <w:abstractNumId w:val="59"/>
  </w:num>
  <w:num w:numId="6">
    <w:abstractNumId w:val="70"/>
  </w:num>
  <w:num w:numId="7">
    <w:abstractNumId w:val="2"/>
  </w:num>
  <w:num w:numId="8">
    <w:abstractNumId w:val="27"/>
  </w:num>
  <w:num w:numId="9">
    <w:abstractNumId w:val="36"/>
  </w:num>
  <w:num w:numId="10">
    <w:abstractNumId w:val="75"/>
  </w:num>
  <w:num w:numId="11">
    <w:abstractNumId w:val="37"/>
  </w:num>
  <w:num w:numId="12">
    <w:abstractNumId w:val="42"/>
  </w:num>
  <w:num w:numId="13">
    <w:abstractNumId w:val="41"/>
  </w:num>
  <w:num w:numId="14">
    <w:abstractNumId w:val="45"/>
  </w:num>
  <w:num w:numId="15">
    <w:abstractNumId w:val="10"/>
  </w:num>
  <w:num w:numId="16">
    <w:abstractNumId w:val="68"/>
  </w:num>
  <w:num w:numId="17">
    <w:abstractNumId w:val="71"/>
  </w:num>
  <w:num w:numId="18">
    <w:abstractNumId w:val="46"/>
  </w:num>
  <w:num w:numId="19">
    <w:abstractNumId w:val="47"/>
  </w:num>
  <w:num w:numId="20">
    <w:abstractNumId w:val="65"/>
  </w:num>
  <w:num w:numId="21">
    <w:abstractNumId w:val="57"/>
  </w:num>
  <w:num w:numId="22">
    <w:abstractNumId w:val="48"/>
  </w:num>
  <w:num w:numId="23">
    <w:abstractNumId w:val="64"/>
  </w:num>
  <w:num w:numId="24">
    <w:abstractNumId w:val="77"/>
  </w:num>
  <w:num w:numId="25">
    <w:abstractNumId w:val="28"/>
  </w:num>
  <w:num w:numId="26">
    <w:abstractNumId w:val="4"/>
  </w:num>
  <w:num w:numId="27">
    <w:abstractNumId w:val="66"/>
  </w:num>
  <w:num w:numId="28">
    <w:abstractNumId w:val="58"/>
  </w:num>
  <w:num w:numId="29">
    <w:abstractNumId w:val="13"/>
  </w:num>
  <w:num w:numId="30">
    <w:abstractNumId w:val="15"/>
  </w:num>
  <w:num w:numId="31">
    <w:abstractNumId w:val="44"/>
  </w:num>
  <w:num w:numId="32">
    <w:abstractNumId w:val="49"/>
  </w:num>
  <w:num w:numId="33">
    <w:abstractNumId w:val="25"/>
  </w:num>
  <w:num w:numId="34">
    <w:abstractNumId w:val="53"/>
  </w:num>
  <w:num w:numId="35">
    <w:abstractNumId w:val="76"/>
  </w:num>
  <w:num w:numId="36">
    <w:abstractNumId w:val="5"/>
  </w:num>
  <w:num w:numId="37">
    <w:abstractNumId w:val="30"/>
  </w:num>
  <w:num w:numId="38">
    <w:abstractNumId w:val="39"/>
  </w:num>
  <w:num w:numId="39">
    <w:abstractNumId w:val="12"/>
  </w:num>
  <w:num w:numId="40">
    <w:abstractNumId w:val="40"/>
  </w:num>
  <w:num w:numId="41">
    <w:abstractNumId w:val="14"/>
  </w:num>
  <w:num w:numId="42">
    <w:abstractNumId w:val="21"/>
  </w:num>
  <w:num w:numId="43">
    <w:abstractNumId w:val="19"/>
  </w:num>
  <w:num w:numId="4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1"/>
  </w:num>
  <w:num w:numId="46">
    <w:abstractNumId w:val="32"/>
  </w:num>
  <w:num w:numId="47">
    <w:abstractNumId w:val="60"/>
  </w:num>
  <w:num w:numId="48">
    <w:abstractNumId w:val="74"/>
  </w:num>
  <w:num w:numId="49">
    <w:abstractNumId w:val="8"/>
  </w:num>
  <w:num w:numId="50">
    <w:abstractNumId w:val="50"/>
  </w:num>
  <w:num w:numId="51">
    <w:abstractNumId w:val="61"/>
  </w:num>
  <w:num w:numId="52">
    <w:abstractNumId w:val="6"/>
  </w:num>
  <w:num w:numId="53">
    <w:abstractNumId w:val="51"/>
  </w:num>
  <w:num w:numId="54">
    <w:abstractNumId w:val="54"/>
  </w:num>
  <w:num w:numId="55">
    <w:abstractNumId w:val="20"/>
  </w:num>
  <w:num w:numId="56">
    <w:abstractNumId w:val="35"/>
  </w:num>
  <w:num w:numId="57">
    <w:abstractNumId w:val="52"/>
  </w:num>
  <w:num w:numId="58">
    <w:abstractNumId w:val="29"/>
  </w:num>
  <w:num w:numId="59">
    <w:abstractNumId w:val="62"/>
  </w:num>
  <w:num w:numId="60">
    <w:abstractNumId w:val="22"/>
  </w:num>
  <w:num w:numId="61">
    <w:abstractNumId w:val="24"/>
  </w:num>
  <w:num w:numId="62">
    <w:abstractNumId w:val="67"/>
  </w:num>
  <w:num w:numId="63">
    <w:abstractNumId w:val="34"/>
  </w:num>
  <w:num w:numId="64">
    <w:abstractNumId w:val="26"/>
  </w:num>
  <w:num w:numId="65">
    <w:abstractNumId w:val="72"/>
  </w:num>
  <w:num w:numId="66">
    <w:abstractNumId w:val="56"/>
  </w:num>
  <w:num w:numId="67">
    <w:abstractNumId w:val="17"/>
  </w:num>
  <w:num w:numId="68">
    <w:abstractNumId w:val="31"/>
  </w:num>
  <w:num w:numId="69">
    <w:abstractNumId w:val="43"/>
  </w:num>
  <w:num w:numId="70">
    <w:abstractNumId w:val="16"/>
  </w:num>
  <w:num w:numId="71">
    <w:abstractNumId w:val="4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8"/>
  </w:num>
  <w:num w:numId="73">
    <w:abstractNumId w:val="33"/>
  </w:num>
  <w:num w:numId="74">
    <w:abstractNumId w:val="7"/>
  </w:num>
  <w:num w:numId="75">
    <w:abstractNumId w:val="63"/>
  </w:num>
  <w:num w:numId="76">
    <w:abstractNumId w:val="23"/>
  </w:num>
  <w:num w:numId="77">
    <w:abstractNumId w:val="38"/>
  </w:num>
  <w:num w:numId="78">
    <w:abstractNumId w:val="9"/>
  </w:num>
  <w:num w:numId="79">
    <w:abstractNumId w:val="73"/>
  </w:num>
  <w:num w:numId="80">
    <w:abstractNumId w:val="3"/>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8CC"/>
    <w:rsid w:val="00001F49"/>
    <w:rsid w:val="0000717A"/>
    <w:rsid w:val="00012DD3"/>
    <w:rsid w:val="000358E4"/>
    <w:rsid w:val="000426E1"/>
    <w:rsid w:val="000646B7"/>
    <w:rsid w:val="00074DFE"/>
    <w:rsid w:val="000A3C1B"/>
    <w:rsid w:val="000A4B48"/>
    <w:rsid w:val="000A5561"/>
    <w:rsid w:val="000A5D21"/>
    <w:rsid w:val="000C4D7E"/>
    <w:rsid w:val="000E32F3"/>
    <w:rsid w:val="000F3AED"/>
    <w:rsid w:val="001002DE"/>
    <w:rsid w:val="00111AB5"/>
    <w:rsid w:val="0011730B"/>
    <w:rsid w:val="00122945"/>
    <w:rsid w:val="00135F78"/>
    <w:rsid w:val="001847AC"/>
    <w:rsid w:val="0019560F"/>
    <w:rsid w:val="001A5CB5"/>
    <w:rsid w:val="001F2C1F"/>
    <w:rsid w:val="00223229"/>
    <w:rsid w:val="00260811"/>
    <w:rsid w:val="00265E53"/>
    <w:rsid w:val="002721B6"/>
    <w:rsid w:val="00277219"/>
    <w:rsid w:val="00295C25"/>
    <w:rsid w:val="002D736F"/>
    <w:rsid w:val="002D76EE"/>
    <w:rsid w:val="002E4DBB"/>
    <w:rsid w:val="00304E3A"/>
    <w:rsid w:val="003068C0"/>
    <w:rsid w:val="00307D31"/>
    <w:rsid w:val="00311A6B"/>
    <w:rsid w:val="00347E16"/>
    <w:rsid w:val="0039605B"/>
    <w:rsid w:val="003A3AD0"/>
    <w:rsid w:val="003A4530"/>
    <w:rsid w:val="003A5080"/>
    <w:rsid w:val="003B40C5"/>
    <w:rsid w:val="0041219D"/>
    <w:rsid w:val="0041776A"/>
    <w:rsid w:val="00417B13"/>
    <w:rsid w:val="00425C27"/>
    <w:rsid w:val="004419DD"/>
    <w:rsid w:val="00475541"/>
    <w:rsid w:val="004819E4"/>
    <w:rsid w:val="00496D22"/>
    <w:rsid w:val="00497A10"/>
    <w:rsid w:val="004A60F5"/>
    <w:rsid w:val="004C4DA7"/>
    <w:rsid w:val="004D11B6"/>
    <w:rsid w:val="004D6635"/>
    <w:rsid w:val="005225A6"/>
    <w:rsid w:val="005225E2"/>
    <w:rsid w:val="00536CA3"/>
    <w:rsid w:val="00542967"/>
    <w:rsid w:val="0055792E"/>
    <w:rsid w:val="00562871"/>
    <w:rsid w:val="00594807"/>
    <w:rsid w:val="005C243A"/>
    <w:rsid w:val="005D37EE"/>
    <w:rsid w:val="005D4F2D"/>
    <w:rsid w:val="005F0BA9"/>
    <w:rsid w:val="005F5E63"/>
    <w:rsid w:val="00667AD5"/>
    <w:rsid w:val="00677743"/>
    <w:rsid w:val="006C2BD9"/>
    <w:rsid w:val="006C30BA"/>
    <w:rsid w:val="006D4680"/>
    <w:rsid w:val="006E4A04"/>
    <w:rsid w:val="006E5B22"/>
    <w:rsid w:val="006F13F9"/>
    <w:rsid w:val="00713B85"/>
    <w:rsid w:val="00773F5D"/>
    <w:rsid w:val="00775289"/>
    <w:rsid w:val="00791A72"/>
    <w:rsid w:val="007B12D3"/>
    <w:rsid w:val="007B35D3"/>
    <w:rsid w:val="007C28CC"/>
    <w:rsid w:val="007C358C"/>
    <w:rsid w:val="007C4E09"/>
    <w:rsid w:val="007E2B83"/>
    <w:rsid w:val="008362D5"/>
    <w:rsid w:val="0084651E"/>
    <w:rsid w:val="00854EA5"/>
    <w:rsid w:val="00873A84"/>
    <w:rsid w:val="0089422F"/>
    <w:rsid w:val="008C52DC"/>
    <w:rsid w:val="008D527F"/>
    <w:rsid w:val="008D7CA9"/>
    <w:rsid w:val="008E52F4"/>
    <w:rsid w:val="00911739"/>
    <w:rsid w:val="00924BB5"/>
    <w:rsid w:val="00926F98"/>
    <w:rsid w:val="00930D1F"/>
    <w:rsid w:val="009403C4"/>
    <w:rsid w:val="00951797"/>
    <w:rsid w:val="00974825"/>
    <w:rsid w:val="00984D1B"/>
    <w:rsid w:val="00993CF2"/>
    <w:rsid w:val="009A699C"/>
    <w:rsid w:val="009C7584"/>
    <w:rsid w:val="00A078CF"/>
    <w:rsid w:val="00A26088"/>
    <w:rsid w:val="00A30588"/>
    <w:rsid w:val="00A3454D"/>
    <w:rsid w:val="00A54920"/>
    <w:rsid w:val="00A60291"/>
    <w:rsid w:val="00A6411F"/>
    <w:rsid w:val="00A67C98"/>
    <w:rsid w:val="00A71322"/>
    <w:rsid w:val="00A72801"/>
    <w:rsid w:val="00A75A15"/>
    <w:rsid w:val="00A95C85"/>
    <w:rsid w:val="00AA0506"/>
    <w:rsid w:val="00AB60F9"/>
    <w:rsid w:val="00AC43F5"/>
    <w:rsid w:val="00AC4CE3"/>
    <w:rsid w:val="00AF0D5B"/>
    <w:rsid w:val="00AF5593"/>
    <w:rsid w:val="00B00667"/>
    <w:rsid w:val="00B0085D"/>
    <w:rsid w:val="00B07C20"/>
    <w:rsid w:val="00B25682"/>
    <w:rsid w:val="00B32914"/>
    <w:rsid w:val="00B366D3"/>
    <w:rsid w:val="00B55A5C"/>
    <w:rsid w:val="00B55B9B"/>
    <w:rsid w:val="00B635B3"/>
    <w:rsid w:val="00B6368C"/>
    <w:rsid w:val="00B94FCD"/>
    <w:rsid w:val="00BA0236"/>
    <w:rsid w:val="00BD676A"/>
    <w:rsid w:val="00BE0443"/>
    <w:rsid w:val="00BE77DF"/>
    <w:rsid w:val="00C03C51"/>
    <w:rsid w:val="00C134C0"/>
    <w:rsid w:val="00C23243"/>
    <w:rsid w:val="00C3145A"/>
    <w:rsid w:val="00C34EB7"/>
    <w:rsid w:val="00C75F3D"/>
    <w:rsid w:val="00C9124D"/>
    <w:rsid w:val="00CD7EAB"/>
    <w:rsid w:val="00CE1501"/>
    <w:rsid w:val="00CF268F"/>
    <w:rsid w:val="00D16B28"/>
    <w:rsid w:val="00D445B4"/>
    <w:rsid w:val="00D900FB"/>
    <w:rsid w:val="00D93E27"/>
    <w:rsid w:val="00D9783C"/>
    <w:rsid w:val="00DA3EC1"/>
    <w:rsid w:val="00DC3CAB"/>
    <w:rsid w:val="00DE5FBE"/>
    <w:rsid w:val="00E072A6"/>
    <w:rsid w:val="00E14868"/>
    <w:rsid w:val="00E16BA8"/>
    <w:rsid w:val="00E177A3"/>
    <w:rsid w:val="00E266FE"/>
    <w:rsid w:val="00E32F23"/>
    <w:rsid w:val="00E33D9D"/>
    <w:rsid w:val="00E33DE3"/>
    <w:rsid w:val="00E34908"/>
    <w:rsid w:val="00E419E1"/>
    <w:rsid w:val="00E64148"/>
    <w:rsid w:val="00E7445C"/>
    <w:rsid w:val="00E8074C"/>
    <w:rsid w:val="00E80985"/>
    <w:rsid w:val="00EA7B00"/>
    <w:rsid w:val="00EB412B"/>
    <w:rsid w:val="00EB487B"/>
    <w:rsid w:val="00EF5D7D"/>
    <w:rsid w:val="00F1552A"/>
    <w:rsid w:val="00F26593"/>
    <w:rsid w:val="00F31701"/>
    <w:rsid w:val="00F35F53"/>
    <w:rsid w:val="00F56D56"/>
    <w:rsid w:val="00F8560E"/>
    <w:rsid w:val="00FD0DC9"/>
    <w:rsid w:val="00FD3F9A"/>
    <w:rsid w:val="00FF6FA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A36E443"/>
  <w15:docId w15:val="{B53D63FC-220F-49C6-B062-A24E4A4FB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locked="1"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locked="1"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0"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locked="1" w:semiHidden="1" w:uiPriority="0" w:unhideWhenUsed="1"/>
    <w:lsdException w:name="HTML Bottom of Form" w:locked="1"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locked="1" w:semiHidden="1" w:uiPriority="0" w:unhideWhenUsed="1"/>
    <w:lsdException w:name="Outline List 1" w:locked="1" w:semiHidden="1" w:uiPriority="0" w:unhideWhenUsed="1"/>
    <w:lsdException w:name="Outline List 2" w:locked="1" w:semiHidden="1" w:uiPriority="0" w:unhideWhenUsed="1"/>
    <w:lsdException w:name="Outline List 3" w:locked="1"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6"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74825"/>
    <w:rPr>
      <w:rFonts w:eastAsia="MS Mincho"/>
      <w:sz w:val="24"/>
      <w:szCs w:val="24"/>
      <w:lang w:eastAsia="zh-CN"/>
    </w:rPr>
  </w:style>
  <w:style w:type="paragraph" w:styleId="Nagwek1">
    <w:name w:val="heading 1"/>
    <w:aliases w:val="Nagłówek 1 typu 1"/>
    <w:basedOn w:val="Normalny"/>
    <w:next w:val="Normalny"/>
    <w:link w:val="Nagwek1Znak"/>
    <w:uiPriority w:val="99"/>
    <w:qFormat/>
    <w:rsid w:val="002D76EE"/>
    <w:pPr>
      <w:keepNext/>
      <w:spacing w:before="240" w:after="60"/>
      <w:outlineLvl w:val="0"/>
    </w:pPr>
    <w:rPr>
      <w:b/>
      <w:kern w:val="28"/>
      <w:sz w:val="20"/>
      <w:szCs w:val="20"/>
    </w:rPr>
  </w:style>
  <w:style w:type="paragraph" w:styleId="Nagwek2">
    <w:name w:val="heading 2"/>
    <w:aliases w:val="Nagłówek 2 typu 1.1"/>
    <w:basedOn w:val="Nagwek1"/>
    <w:next w:val="Normalny"/>
    <w:link w:val="Nagwek2Znak"/>
    <w:uiPriority w:val="99"/>
    <w:qFormat/>
    <w:rsid w:val="002D76EE"/>
    <w:pPr>
      <w:spacing w:before="120"/>
      <w:outlineLvl w:val="1"/>
    </w:pPr>
  </w:style>
  <w:style w:type="paragraph" w:styleId="Nagwek3">
    <w:name w:val="heading 3"/>
    <w:aliases w:val="Nagłówek 3 typu1.1.1"/>
    <w:basedOn w:val="Nagwek2"/>
    <w:next w:val="Normalny"/>
    <w:link w:val="Nagwek3Znak"/>
    <w:uiPriority w:val="99"/>
    <w:qFormat/>
    <w:rsid w:val="002D76EE"/>
    <w:pPr>
      <w:spacing w:before="60"/>
      <w:outlineLvl w:val="2"/>
    </w:pPr>
    <w:rPr>
      <w:rFonts w:ascii="Arial Bold" w:hAnsi="Arial Bold"/>
      <w:sz w:val="18"/>
      <w:szCs w:val="18"/>
    </w:rPr>
  </w:style>
  <w:style w:type="paragraph" w:styleId="Nagwek4">
    <w:name w:val="heading 4"/>
    <w:aliases w:val="Sub-Clause Sub-paragraph,Nagłówek 4. Nagłówek 4"/>
    <w:basedOn w:val="Nagwek3"/>
    <w:next w:val="Normalny"/>
    <w:link w:val="Nagwek4Znak"/>
    <w:uiPriority w:val="99"/>
    <w:qFormat/>
    <w:rsid w:val="002D76EE"/>
    <w:pPr>
      <w:outlineLvl w:val="3"/>
    </w:pPr>
  </w:style>
  <w:style w:type="paragraph" w:styleId="Nagwek5">
    <w:name w:val="heading 5"/>
    <w:basedOn w:val="Normalny"/>
    <w:next w:val="Normalny"/>
    <w:link w:val="Nagwek5Znak"/>
    <w:uiPriority w:val="99"/>
    <w:qFormat/>
    <w:rsid w:val="002D76EE"/>
    <w:pPr>
      <w:keepNext/>
      <w:numPr>
        <w:ilvl w:val="4"/>
        <w:numId w:val="5"/>
      </w:numPr>
      <w:outlineLvl w:val="4"/>
    </w:pPr>
    <w:rPr>
      <w:sz w:val="36"/>
      <w:szCs w:val="20"/>
    </w:rPr>
  </w:style>
  <w:style w:type="paragraph" w:styleId="Nagwek6">
    <w:name w:val="heading 6"/>
    <w:basedOn w:val="Normalny"/>
    <w:next w:val="Normalny"/>
    <w:link w:val="Nagwek6Znak"/>
    <w:uiPriority w:val="99"/>
    <w:qFormat/>
    <w:rsid w:val="002D76EE"/>
    <w:pPr>
      <w:numPr>
        <w:ilvl w:val="5"/>
        <w:numId w:val="6"/>
      </w:numPr>
      <w:outlineLvl w:val="5"/>
    </w:pPr>
    <w:rPr>
      <w:i/>
      <w:sz w:val="22"/>
      <w:szCs w:val="20"/>
    </w:rPr>
  </w:style>
  <w:style w:type="paragraph" w:styleId="Nagwek7">
    <w:name w:val="heading 7"/>
    <w:basedOn w:val="Normalny"/>
    <w:next w:val="Normalny"/>
    <w:link w:val="Nagwek7Znak"/>
    <w:uiPriority w:val="99"/>
    <w:qFormat/>
    <w:rsid w:val="002D76EE"/>
    <w:pPr>
      <w:numPr>
        <w:ilvl w:val="6"/>
        <w:numId w:val="6"/>
      </w:numPr>
      <w:outlineLvl w:val="6"/>
    </w:pPr>
    <w:rPr>
      <w:sz w:val="20"/>
      <w:szCs w:val="20"/>
    </w:rPr>
  </w:style>
  <w:style w:type="paragraph" w:styleId="Nagwek8">
    <w:name w:val="heading 8"/>
    <w:basedOn w:val="Normalny"/>
    <w:next w:val="Normalny"/>
    <w:link w:val="Nagwek8Znak"/>
    <w:uiPriority w:val="99"/>
    <w:qFormat/>
    <w:rsid w:val="002D76EE"/>
    <w:pPr>
      <w:numPr>
        <w:ilvl w:val="7"/>
        <w:numId w:val="6"/>
      </w:numPr>
      <w:outlineLvl w:val="7"/>
    </w:pPr>
    <w:rPr>
      <w:i/>
      <w:sz w:val="20"/>
      <w:szCs w:val="20"/>
    </w:rPr>
  </w:style>
  <w:style w:type="paragraph" w:styleId="Nagwek9">
    <w:name w:val="heading 9"/>
    <w:basedOn w:val="Normalny"/>
    <w:next w:val="Normalny"/>
    <w:link w:val="Nagwek9Znak"/>
    <w:uiPriority w:val="99"/>
    <w:qFormat/>
    <w:rsid w:val="002D76EE"/>
    <w:pPr>
      <w:numPr>
        <w:ilvl w:val="8"/>
        <w:numId w:val="6"/>
      </w:numPr>
      <w:outlineLvl w:val="8"/>
    </w:pPr>
    <w:rPr>
      <w:b/>
      <w:i/>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Nagłówek 1 typu 1 Znak"/>
    <w:basedOn w:val="Domylnaczcionkaakapitu"/>
    <w:link w:val="Nagwek1"/>
    <w:uiPriority w:val="99"/>
    <w:locked/>
    <w:rsid w:val="002D76EE"/>
    <w:rPr>
      <w:rFonts w:eastAsia="MS Mincho"/>
      <w:b/>
      <w:kern w:val="28"/>
      <w:lang w:val="pl-PL" w:eastAsia="zh-CN"/>
    </w:rPr>
  </w:style>
  <w:style w:type="character" w:customStyle="1" w:styleId="Nagwek2Znak">
    <w:name w:val="Nagłówek 2 Znak"/>
    <w:aliases w:val="Nagłówek 2 typu 1.1 Znak"/>
    <w:basedOn w:val="Domylnaczcionkaakapitu"/>
    <w:link w:val="Nagwek2"/>
    <w:uiPriority w:val="99"/>
    <w:semiHidden/>
    <w:locked/>
    <w:rsid w:val="002D76EE"/>
    <w:rPr>
      <w:rFonts w:eastAsia="MS Mincho"/>
      <w:b/>
      <w:kern w:val="28"/>
      <w:sz w:val="20"/>
      <w:lang w:val="pl-PL" w:eastAsia="zh-CN"/>
    </w:rPr>
  </w:style>
  <w:style w:type="character" w:customStyle="1" w:styleId="Nagwek3Znak">
    <w:name w:val="Nagłówek 3 Znak"/>
    <w:aliases w:val="Nagłówek 3 typu1.1.1 Znak"/>
    <w:basedOn w:val="Domylnaczcionkaakapitu"/>
    <w:link w:val="Nagwek3"/>
    <w:uiPriority w:val="99"/>
    <w:locked/>
    <w:rsid w:val="002D76EE"/>
    <w:rPr>
      <w:rFonts w:ascii="Arial Bold" w:eastAsia="MS Mincho" w:hAnsi="Arial Bold"/>
      <w:b/>
      <w:kern w:val="28"/>
      <w:sz w:val="18"/>
      <w:lang w:val="pl-PL" w:eastAsia="zh-CN"/>
    </w:rPr>
  </w:style>
  <w:style w:type="character" w:customStyle="1" w:styleId="Nagwek4Znak">
    <w:name w:val="Nagłówek 4 Znak"/>
    <w:aliases w:val="Sub-Clause Sub-paragraph Znak,Nagłówek 4. Nagłówek 4 Znak"/>
    <w:basedOn w:val="Domylnaczcionkaakapitu"/>
    <w:link w:val="Nagwek4"/>
    <w:uiPriority w:val="99"/>
    <w:semiHidden/>
    <w:locked/>
    <w:rsid w:val="002D76EE"/>
    <w:rPr>
      <w:rFonts w:ascii="Arial Bold" w:eastAsia="MS Mincho" w:hAnsi="Arial Bold"/>
      <w:b/>
      <w:kern w:val="28"/>
      <w:sz w:val="18"/>
      <w:lang w:val="pl-PL" w:eastAsia="zh-CN"/>
    </w:rPr>
  </w:style>
  <w:style w:type="character" w:customStyle="1" w:styleId="Nagwek5Znak">
    <w:name w:val="Nagłówek 5 Znak"/>
    <w:basedOn w:val="Domylnaczcionkaakapitu"/>
    <w:link w:val="Nagwek5"/>
    <w:uiPriority w:val="99"/>
    <w:locked/>
    <w:rsid w:val="002D76EE"/>
    <w:rPr>
      <w:rFonts w:eastAsia="MS Mincho"/>
      <w:sz w:val="36"/>
      <w:szCs w:val="20"/>
      <w:lang w:eastAsia="zh-CN"/>
    </w:rPr>
  </w:style>
  <w:style w:type="character" w:customStyle="1" w:styleId="Nagwek6Znak">
    <w:name w:val="Nagłówek 6 Znak"/>
    <w:basedOn w:val="Domylnaczcionkaakapitu"/>
    <w:link w:val="Nagwek6"/>
    <w:uiPriority w:val="99"/>
    <w:locked/>
    <w:rsid w:val="002D76EE"/>
    <w:rPr>
      <w:rFonts w:eastAsia="MS Mincho"/>
      <w:i/>
      <w:szCs w:val="20"/>
      <w:lang w:eastAsia="zh-CN"/>
    </w:rPr>
  </w:style>
  <w:style w:type="character" w:customStyle="1" w:styleId="Nagwek7Znak">
    <w:name w:val="Nagłówek 7 Znak"/>
    <w:basedOn w:val="Domylnaczcionkaakapitu"/>
    <w:link w:val="Nagwek7"/>
    <w:uiPriority w:val="99"/>
    <w:locked/>
    <w:rsid w:val="002D76EE"/>
    <w:rPr>
      <w:rFonts w:eastAsia="MS Mincho"/>
      <w:sz w:val="20"/>
      <w:szCs w:val="20"/>
      <w:lang w:eastAsia="zh-CN"/>
    </w:rPr>
  </w:style>
  <w:style w:type="character" w:customStyle="1" w:styleId="Nagwek8Znak">
    <w:name w:val="Nagłówek 8 Znak"/>
    <w:basedOn w:val="Domylnaczcionkaakapitu"/>
    <w:link w:val="Nagwek8"/>
    <w:uiPriority w:val="99"/>
    <w:locked/>
    <w:rsid w:val="002D76EE"/>
    <w:rPr>
      <w:rFonts w:eastAsia="MS Mincho"/>
      <w:i/>
      <w:sz w:val="20"/>
      <w:szCs w:val="20"/>
      <w:lang w:eastAsia="zh-CN"/>
    </w:rPr>
  </w:style>
  <w:style w:type="character" w:customStyle="1" w:styleId="Nagwek9Znak">
    <w:name w:val="Nagłówek 9 Znak"/>
    <w:basedOn w:val="Domylnaczcionkaakapitu"/>
    <w:link w:val="Nagwek9"/>
    <w:uiPriority w:val="99"/>
    <w:locked/>
    <w:rsid w:val="002D76EE"/>
    <w:rPr>
      <w:rFonts w:eastAsia="MS Mincho"/>
      <w:b/>
      <w:i/>
      <w:sz w:val="20"/>
      <w:szCs w:val="20"/>
      <w:lang w:eastAsia="zh-CN"/>
    </w:rPr>
  </w:style>
  <w:style w:type="paragraph" w:styleId="Stopka">
    <w:name w:val="footer"/>
    <w:basedOn w:val="Normalny"/>
    <w:link w:val="StopkaZnak"/>
    <w:uiPriority w:val="99"/>
    <w:semiHidden/>
    <w:rsid w:val="002D76EE"/>
    <w:pPr>
      <w:tabs>
        <w:tab w:val="center" w:pos="4153"/>
        <w:tab w:val="right" w:pos="8306"/>
      </w:tabs>
      <w:spacing w:line="140" w:lineRule="exact"/>
    </w:pPr>
    <w:rPr>
      <w:rFonts w:ascii="Arial" w:hAnsi="Arial"/>
      <w:sz w:val="12"/>
      <w:lang w:eastAsia="pl-PL"/>
    </w:rPr>
  </w:style>
  <w:style w:type="character" w:customStyle="1" w:styleId="StopkaZnak">
    <w:name w:val="Stopka Znak"/>
    <w:basedOn w:val="Domylnaczcionkaakapitu"/>
    <w:link w:val="Stopka"/>
    <w:uiPriority w:val="99"/>
    <w:semiHidden/>
    <w:locked/>
    <w:rsid w:val="00974825"/>
    <w:rPr>
      <w:rFonts w:ascii="Arial" w:eastAsia="MS Mincho" w:hAnsi="Arial"/>
      <w:sz w:val="24"/>
      <w:lang w:val="pl-PL"/>
    </w:rPr>
  </w:style>
  <w:style w:type="paragraph" w:styleId="Nagwek">
    <w:name w:val="header"/>
    <w:basedOn w:val="Normalny"/>
    <w:link w:val="NagwekZnak"/>
    <w:uiPriority w:val="99"/>
    <w:semiHidden/>
    <w:rsid w:val="002D76EE"/>
    <w:pPr>
      <w:tabs>
        <w:tab w:val="center" w:pos="4153"/>
        <w:tab w:val="right" w:pos="8306"/>
      </w:tabs>
      <w:spacing w:line="140" w:lineRule="exact"/>
    </w:pPr>
    <w:rPr>
      <w:rFonts w:ascii="Arial" w:eastAsia="MS Gothic" w:hAnsi="Arial"/>
      <w:sz w:val="12"/>
      <w:lang w:eastAsia="pl-PL"/>
    </w:rPr>
  </w:style>
  <w:style w:type="character" w:customStyle="1" w:styleId="NagwekZnak">
    <w:name w:val="Nagłówek Znak"/>
    <w:basedOn w:val="Domylnaczcionkaakapitu"/>
    <w:link w:val="Nagwek"/>
    <w:uiPriority w:val="99"/>
    <w:semiHidden/>
    <w:locked/>
    <w:rsid w:val="002D76EE"/>
    <w:rPr>
      <w:rFonts w:ascii="Arial" w:eastAsia="MS Gothic" w:hAnsi="Arial"/>
      <w:sz w:val="24"/>
      <w:lang w:val="pl-PL"/>
    </w:rPr>
  </w:style>
  <w:style w:type="character" w:styleId="Numerstrony">
    <w:name w:val="page number"/>
    <w:basedOn w:val="Domylnaczcionkaakapitu"/>
    <w:uiPriority w:val="99"/>
    <w:semiHidden/>
    <w:rsid w:val="002D76EE"/>
    <w:rPr>
      <w:rFonts w:ascii="Arial" w:eastAsia="MS Gothic" w:hAnsi="Arial" w:cs="Times New Roman"/>
      <w:sz w:val="18"/>
      <w:lang w:val="pl-PL"/>
    </w:rPr>
  </w:style>
  <w:style w:type="character" w:customStyle="1" w:styleId="Style10pt">
    <w:name w:val="Style 10 pt"/>
    <w:uiPriority w:val="99"/>
    <w:semiHidden/>
    <w:rsid w:val="002D76EE"/>
    <w:rPr>
      <w:sz w:val="20"/>
      <w:lang w:val="pl-PL"/>
    </w:rPr>
  </w:style>
  <w:style w:type="character" w:styleId="Hipercze">
    <w:name w:val="Hyperlink"/>
    <w:basedOn w:val="Domylnaczcionkaakapitu"/>
    <w:uiPriority w:val="99"/>
    <w:rsid w:val="002D76EE"/>
    <w:rPr>
      <w:rFonts w:ascii="Times New Roman" w:hAnsi="Times New Roman" w:cs="Times New Roman"/>
      <w:color w:val="auto"/>
      <w:u w:val="single"/>
      <w:lang w:val="pl-PL"/>
    </w:rPr>
  </w:style>
  <w:style w:type="paragraph" w:customStyle="1" w:styleId="FormText">
    <w:name w:val="Form Text"/>
    <w:basedOn w:val="Normalny"/>
    <w:next w:val="Normalny"/>
    <w:uiPriority w:val="99"/>
    <w:semiHidden/>
    <w:rsid w:val="002D76EE"/>
    <w:rPr>
      <w:rFonts w:eastAsia="Times New Roman"/>
      <w:b/>
      <w:sz w:val="20"/>
      <w:szCs w:val="20"/>
      <w:lang w:eastAsia="en-US"/>
    </w:rPr>
  </w:style>
  <w:style w:type="character" w:customStyle="1" w:styleId="HR-8">
    <w:name w:val="HR-8"/>
    <w:uiPriority w:val="99"/>
    <w:semiHidden/>
    <w:rsid w:val="002D76EE"/>
    <w:rPr>
      <w:rFonts w:ascii="Arial" w:hAnsi="Arial"/>
      <w:sz w:val="16"/>
      <w:lang w:val="pl-PL"/>
    </w:rPr>
  </w:style>
  <w:style w:type="paragraph" w:customStyle="1" w:styleId="Filename">
    <w:name w:val="Filename"/>
    <w:basedOn w:val="Stopka"/>
    <w:uiPriority w:val="99"/>
    <w:semiHidden/>
    <w:rsid w:val="002D76EE"/>
    <w:pPr>
      <w:spacing w:before="80" w:line="100" w:lineRule="exact"/>
    </w:pPr>
    <w:rPr>
      <w:rFonts w:eastAsia="MS Gothic"/>
      <w:caps/>
      <w:noProof/>
      <w:sz w:val="8"/>
      <w:szCs w:val="12"/>
    </w:rPr>
  </w:style>
  <w:style w:type="character" w:styleId="Odwoaniedokomentarza">
    <w:name w:val="annotation reference"/>
    <w:basedOn w:val="Domylnaczcionkaakapitu"/>
    <w:uiPriority w:val="99"/>
    <w:semiHidden/>
    <w:rsid w:val="002D76EE"/>
    <w:rPr>
      <w:rFonts w:cs="Times New Roman"/>
      <w:sz w:val="16"/>
      <w:lang w:val="pl-PL"/>
    </w:rPr>
  </w:style>
  <w:style w:type="paragraph" w:styleId="Tekstkomentarza">
    <w:name w:val="annotation text"/>
    <w:basedOn w:val="Normalny"/>
    <w:link w:val="TekstkomentarzaZnak"/>
    <w:uiPriority w:val="99"/>
    <w:semiHidden/>
    <w:rsid w:val="002D76EE"/>
    <w:rPr>
      <w:rFonts w:ascii="Arial" w:hAnsi="Arial"/>
      <w:sz w:val="18"/>
      <w:szCs w:val="20"/>
    </w:rPr>
  </w:style>
  <w:style w:type="character" w:customStyle="1" w:styleId="TekstkomentarzaZnak">
    <w:name w:val="Tekst komentarza Znak"/>
    <w:basedOn w:val="Domylnaczcionkaakapitu"/>
    <w:link w:val="Tekstkomentarza"/>
    <w:uiPriority w:val="99"/>
    <w:semiHidden/>
    <w:locked/>
    <w:rsid w:val="002D76EE"/>
    <w:rPr>
      <w:rFonts w:ascii="Arial" w:eastAsia="MS Mincho" w:hAnsi="Arial"/>
      <w:sz w:val="18"/>
      <w:lang w:val="pl-PL" w:eastAsia="zh-CN"/>
    </w:rPr>
  </w:style>
  <w:style w:type="paragraph" w:customStyle="1" w:styleId="ReportContentsMain">
    <w:name w:val="Report Contents Main"/>
    <w:basedOn w:val="Normalny"/>
    <w:uiPriority w:val="99"/>
    <w:semiHidden/>
    <w:rsid w:val="002D76EE"/>
    <w:pPr>
      <w:pBdr>
        <w:bottom w:val="single" w:sz="8" w:space="1" w:color="28AAE1"/>
      </w:pBdr>
      <w:spacing w:line="380" w:lineRule="exact"/>
      <w:outlineLvl w:val="0"/>
    </w:pPr>
    <w:rPr>
      <w:b/>
      <w:color w:val="28AAE1"/>
      <w:sz w:val="36"/>
    </w:rPr>
  </w:style>
  <w:style w:type="paragraph" w:customStyle="1" w:styleId="ReportContentsSub">
    <w:name w:val="Report Contents Sub"/>
    <w:basedOn w:val="Normalny"/>
    <w:uiPriority w:val="99"/>
    <w:semiHidden/>
    <w:rsid w:val="002D76EE"/>
    <w:pPr>
      <w:keepNext/>
      <w:outlineLvl w:val="1"/>
    </w:pPr>
    <w:rPr>
      <w:rFonts w:cs="Arial"/>
      <w:b/>
      <w:color w:val="28AAE1"/>
    </w:rPr>
  </w:style>
  <w:style w:type="paragraph" w:customStyle="1" w:styleId="FormUserText">
    <w:name w:val="Form User Text"/>
    <w:basedOn w:val="Normalny"/>
    <w:uiPriority w:val="99"/>
    <w:semiHidden/>
    <w:rsid w:val="002D76EE"/>
  </w:style>
  <w:style w:type="paragraph" w:customStyle="1" w:styleId="FormTitle">
    <w:name w:val="Form Title"/>
    <w:basedOn w:val="Normalny"/>
    <w:next w:val="Normalny"/>
    <w:uiPriority w:val="99"/>
    <w:semiHidden/>
    <w:rsid w:val="002D76EE"/>
    <w:pPr>
      <w:keepNext/>
      <w:tabs>
        <w:tab w:val="left" w:pos="720"/>
      </w:tabs>
      <w:spacing w:line="370" w:lineRule="exact"/>
      <w:outlineLvl w:val="1"/>
    </w:pPr>
    <w:rPr>
      <w:b/>
      <w:sz w:val="36"/>
    </w:rPr>
  </w:style>
  <w:style w:type="paragraph" w:styleId="Spistreci1">
    <w:name w:val="toc 1"/>
    <w:aliases w:val="Report Contents Level 1"/>
    <w:basedOn w:val="Normalny"/>
    <w:next w:val="Normalny"/>
    <w:uiPriority w:val="39"/>
    <w:rsid w:val="002D76EE"/>
    <w:pPr>
      <w:tabs>
        <w:tab w:val="right" w:pos="7938"/>
      </w:tabs>
      <w:spacing w:before="240" w:after="120" w:line="260" w:lineRule="exact"/>
      <w:ind w:left="851" w:right="113" w:hanging="851"/>
    </w:pPr>
    <w:rPr>
      <w:b/>
      <w:noProof/>
    </w:rPr>
  </w:style>
  <w:style w:type="paragraph" w:customStyle="1" w:styleId="Cover-AddressBlock">
    <w:name w:val="Cover - Address Block"/>
    <w:basedOn w:val="Normalny"/>
    <w:uiPriority w:val="99"/>
    <w:semiHidden/>
    <w:rsid w:val="002D76EE"/>
    <w:pPr>
      <w:framePr w:wrap="notBeside" w:hAnchor="text" w:xAlign="right" w:yAlign="bottom"/>
      <w:spacing w:line="180" w:lineRule="exact"/>
      <w:suppressOverlap/>
    </w:pPr>
    <w:rPr>
      <w:sz w:val="14"/>
      <w:szCs w:val="14"/>
    </w:rPr>
  </w:style>
  <w:style w:type="paragraph" w:customStyle="1" w:styleId="Cover-TitleBlock">
    <w:name w:val="Cover - Title Block"/>
    <w:basedOn w:val="Normalny"/>
    <w:next w:val="Normalny"/>
    <w:uiPriority w:val="99"/>
    <w:semiHidden/>
    <w:rsid w:val="002D76EE"/>
    <w:pPr>
      <w:spacing w:after="113" w:line="340" w:lineRule="exact"/>
    </w:pPr>
    <w:rPr>
      <w:sz w:val="32"/>
      <w:szCs w:val="32"/>
    </w:rPr>
  </w:style>
  <w:style w:type="paragraph" w:customStyle="1" w:styleId="Cover-Ref">
    <w:name w:val="Cover - Ref"/>
    <w:basedOn w:val="Normalny"/>
    <w:uiPriority w:val="99"/>
    <w:semiHidden/>
    <w:rsid w:val="002D76EE"/>
    <w:pPr>
      <w:spacing w:before="200" w:after="113" w:line="220" w:lineRule="exact"/>
    </w:pPr>
    <w:rPr>
      <w:sz w:val="18"/>
    </w:rPr>
  </w:style>
  <w:style w:type="paragraph" w:customStyle="1" w:styleId="Cover-JobTitle">
    <w:name w:val="Cover - Job Title"/>
    <w:basedOn w:val="Normalny"/>
    <w:uiPriority w:val="99"/>
    <w:semiHidden/>
    <w:rsid w:val="002D76EE"/>
    <w:pPr>
      <w:spacing w:after="113"/>
    </w:pPr>
    <w:rPr>
      <w:b/>
      <w:color w:val="28AAE1"/>
      <w:sz w:val="32"/>
    </w:rPr>
  </w:style>
  <w:style w:type="paragraph" w:customStyle="1" w:styleId="ReportLevel1">
    <w:name w:val="Report Level 1"/>
    <w:next w:val="ReportText"/>
    <w:uiPriority w:val="2"/>
    <w:qFormat/>
    <w:rsid w:val="002D76EE"/>
    <w:pPr>
      <w:keepNext/>
      <w:pBdr>
        <w:bottom w:val="single" w:sz="8" w:space="1" w:color="28AAE1"/>
      </w:pBdr>
      <w:spacing w:before="340" w:after="227" w:line="360" w:lineRule="atLeast"/>
      <w:outlineLvl w:val="0"/>
    </w:pPr>
    <w:rPr>
      <w:rFonts w:eastAsia="MS Mincho"/>
      <w:b/>
      <w:color w:val="28AAE1"/>
      <w:sz w:val="36"/>
      <w:szCs w:val="20"/>
      <w:lang w:eastAsia="en-US"/>
    </w:rPr>
  </w:style>
  <w:style w:type="paragraph" w:customStyle="1" w:styleId="ReportLevel2">
    <w:name w:val="Report Level 2"/>
    <w:basedOn w:val="ReportLevel1"/>
    <w:next w:val="ReportText"/>
    <w:uiPriority w:val="2"/>
    <w:qFormat/>
    <w:rsid w:val="002D76EE"/>
    <w:pPr>
      <w:pBdr>
        <w:bottom w:val="none" w:sz="0" w:space="0" w:color="auto"/>
      </w:pBdr>
      <w:spacing w:after="170" w:line="320" w:lineRule="atLeast"/>
      <w:outlineLvl w:val="1"/>
    </w:pPr>
    <w:rPr>
      <w:sz w:val="32"/>
    </w:rPr>
  </w:style>
  <w:style w:type="paragraph" w:customStyle="1" w:styleId="ReportLevel3">
    <w:name w:val="Report Level 3"/>
    <w:basedOn w:val="ReportLevel1"/>
    <w:next w:val="ReportText"/>
    <w:uiPriority w:val="2"/>
    <w:qFormat/>
    <w:rsid w:val="002D76EE"/>
    <w:pPr>
      <w:numPr>
        <w:ilvl w:val="2"/>
        <w:numId w:val="3"/>
      </w:numPr>
      <w:pBdr>
        <w:bottom w:val="none" w:sz="0" w:space="0" w:color="auto"/>
      </w:pBdr>
      <w:tabs>
        <w:tab w:val="num" w:pos="1134"/>
      </w:tabs>
      <w:spacing w:after="113" w:line="320" w:lineRule="exact"/>
      <w:outlineLvl w:val="2"/>
    </w:pPr>
    <w:rPr>
      <w:sz w:val="28"/>
      <w:szCs w:val="18"/>
    </w:rPr>
  </w:style>
  <w:style w:type="paragraph" w:customStyle="1" w:styleId="ReportLevel4">
    <w:name w:val="Report Level 4"/>
    <w:basedOn w:val="ReportLevel1"/>
    <w:next w:val="ReportText"/>
    <w:uiPriority w:val="2"/>
    <w:rsid w:val="002D76EE"/>
    <w:pPr>
      <w:numPr>
        <w:ilvl w:val="3"/>
        <w:numId w:val="3"/>
      </w:numPr>
      <w:pBdr>
        <w:bottom w:val="none" w:sz="0" w:space="0" w:color="auto"/>
      </w:pBdr>
      <w:tabs>
        <w:tab w:val="num" w:pos="1134"/>
      </w:tabs>
      <w:spacing w:after="113" w:line="320" w:lineRule="atLeast"/>
      <w:outlineLvl w:val="3"/>
    </w:pPr>
    <w:rPr>
      <w:sz w:val="28"/>
    </w:rPr>
  </w:style>
  <w:style w:type="table" w:customStyle="1" w:styleId="Siatkatabelijasna1">
    <w:name w:val="Siatka tabeli — jasna1"/>
    <w:uiPriority w:val="99"/>
    <w:rsid w:val="002D76EE"/>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0" w:type="dxa"/>
        <w:bottom w:w="0" w:type="dxa"/>
        <w:right w:w="0" w:type="dxa"/>
      </w:tblCellMar>
    </w:tblPr>
  </w:style>
  <w:style w:type="character" w:styleId="Tekstzastpczy">
    <w:name w:val="Placeholder Text"/>
    <w:basedOn w:val="Domylnaczcionkaakapitu"/>
    <w:uiPriority w:val="99"/>
    <w:rsid w:val="002D76EE"/>
    <w:rPr>
      <w:rFonts w:cs="Times New Roman"/>
      <w:color w:val="808080"/>
      <w:lang w:val="pl-PL"/>
    </w:rPr>
  </w:style>
  <w:style w:type="paragraph" w:customStyle="1" w:styleId="AppendixContents">
    <w:name w:val="Appendix Contents"/>
    <w:basedOn w:val="Normalny"/>
    <w:uiPriority w:val="99"/>
    <w:semiHidden/>
    <w:rsid w:val="002D76EE"/>
    <w:pPr>
      <w:keepNext/>
      <w:pBdr>
        <w:bottom w:val="single" w:sz="12" w:space="1" w:color="28AAE1"/>
      </w:pBdr>
      <w:spacing w:before="340" w:after="227" w:line="360" w:lineRule="exact"/>
      <w:outlineLvl w:val="0"/>
    </w:pPr>
    <w:rPr>
      <w:b/>
      <w:color w:val="28AAE1"/>
      <w:sz w:val="36"/>
    </w:rPr>
  </w:style>
  <w:style w:type="paragraph" w:customStyle="1" w:styleId="AppendixLetter">
    <w:name w:val="Appendix Letter"/>
    <w:next w:val="Normalny"/>
    <w:uiPriority w:val="99"/>
    <w:semiHidden/>
    <w:rsid w:val="000A4B48"/>
    <w:pPr>
      <w:numPr>
        <w:numId w:val="6"/>
      </w:numPr>
      <w:spacing w:after="113" w:line="360" w:lineRule="exact"/>
      <w:outlineLvl w:val="0"/>
    </w:pPr>
    <w:rPr>
      <w:rFonts w:eastAsia="MS Mincho"/>
      <w:b/>
      <w:color w:val="28AAE1"/>
      <w:sz w:val="36"/>
      <w:szCs w:val="20"/>
      <w:lang w:eastAsia="en-US"/>
    </w:rPr>
  </w:style>
  <w:style w:type="paragraph" w:customStyle="1" w:styleId="AppendixLevel1">
    <w:name w:val="Appendix Level 1"/>
    <w:next w:val="AppendixText"/>
    <w:uiPriority w:val="99"/>
    <w:semiHidden/>
    <w:rsid w:val="000A4B48"/>
    <w:pPr>
      <w:keepNext/>
      <w:numPr>
        <w:ilvl w:val="1"/>
        <w:numId w:val="6"/>
      </w:numPr>
      <w:pBdr>
        <w:bottom w:val="single" w:sz="8" w:space="1" w:color="28AAE1"/>
      </w:pBdr>
      <w:spacing w:before="340" w:after="227" w:line="360" w:lineRule="atLeast"/>
      <w:outlineLvl w:val="0"/>
    </w:pPr>
    <w:rPr>
      <w:rFonts w:eastAsia="MS Mincho"/>
      <w:b/>
      <w:color w:val="28AAE1"/>
      <w:sz w:val="36"/>
      <w:szCs w:val="28"/>
      <w:lang w:eastAsia="en-US"/>
    </w:rPr>
  </w:style>
  <w:style w:type="paragraph" w:customStyle="1" w:styleId="ReportLevel1NoNumber">
    <w:name w:val="Report Level 1 No Number"/>
    <w:basedOn w:val="ReportLevel1"/>
    <w:next w:val="ReportText"/>
    <w:uiPriority w:val="99"/>
    <w:rsid w:val="002D76EE"/>
  </w:style>
  <w:style w:type="paragraph" w:customStyle="1" w:styleId="AppendixLevel1NoNumber">
    <w:name w:val="Appendix Level 1 No Number"/>
    <w:basedOn w:val="ReportLevel1NoNumber"/>
    <w:next w:val="AppendixText"/>
    <w:uiPriority w:val="99"/>
    <w:semiHidden/>
    <w:rsid w:val="002D76EE"/>
  </w:style>
  <w:style w:type="paragraph" w:customStyle="1" w:styleId="AppendixLevel2">
    <w:name w:val="Appendix Level 2"/>
    <w:basedOn w:val="AppendixLevel1"/>
    <w:next w:val="AppendixText"/>
    <w:uiPriority w:val="99"/>
    <w:semiHidden/>
    <w:rsid w:val="000A4B48"/>
    <w:pPr>
      <w:numPr>
        <w:ilvl w:val="2"/>
      </w:numPr>
      <w:pBdr>
        <w:bottom w:val="none" w:sz="0" w:space="0" w:color="auto"/>
      </w:pBdr>
      <w:tabs>
        <w:tab w:val="num" w:pos="926"/>
      </w:tabs>
      <w:spacing w:after="170" w:line="320" w:lineRule="atLeast"/>
      <w:ind w:left="926" w:hanging="360"/>
      <w:outlineLvl w:val="1"/>
    </w:pPr>
    <w:rPr>
      <w:sz w:val="32"/>
      <w:szCs w:val="20"/>
    </w:rPr>
  </w:style>
  <w:style w:type="paragraph" w:customStyle="1" w:styleId="AppendixLevel2NoNumber">
    <w:name w:val="Appendix Level 2 No Number"/>
    <w:basedOn w:val="AppendixLevel2"/>
    <w:next w:val="AppendixText"/>
    <w:uiPriority w:val="99"/>
    <w:semiHidden/>
    <w:rsid w:val="000A4B48"/>
    <w:pPr>
      <w:numPr>
        <w:ilvl w:val="0"/>
        <w:numId w:val="0"/>
      </w:numPr>
    </w:pPr>
  </w:style>
  <w:style w:type="paragraph" w:customStyle="1" w:styleId="AppendixLevel3">
    <w:name w:val="Appendix Level 3"/>
    <w:basedOn w:val="AppendixLevel2"/>
    <w:next w:val="AppendixText"/>
    <w:uiPriority w:val="99"/>
    <w:semiHidden/>
    <w:rsid w:val="000A4B48"/>
    <w:pPr>
      <w:numPr>
        <w:ilvl w:val="3"/>
      </w:numPr>
      <w:tabs>
        <w:tab w:val="num" w:pos="926"/>
      </w:tabs>
      <w:spacing w:after="113"/>
      <w:ind w:left="926" w:hanging="360"/>
      <w:outlineLvl w:val="2"/>
    </w:pPr>
    <w:rPr>
      <w:sz w:val="28"/>
      <w:szCs w:val="18"/>
    </w:rPr>
  </w:style>
  <w:style w:type="paragraph" w:customStyle="1" w:styleId="AppendixLevel3NoNumber">
    <w:name w:val="Appendix Level 3 No Number"/>
    <w:basedOn w:val="AppendixLevel3"/>
    <w:next w:val="AppendixText"/>
    <w:uiPriority w:val="99"/>
    <w:semiHidden/>
    <w:rsid w:val="000A4B48"/>
    <w:pPr>
      <w:numPr>
        <w:ilvl w:val="0"/>
        <w:numId w:val="0"/>
      </w:numPr>
    </w:pPr>
  </w:style>
  <w:style w:type="paragraph" w:customStyle="1" w:styleId="AppendixLevel4">
    <w:name w:val="Appendix Level 4"/>
    <w:basedOn w:val="AppendixLevel3"/>
    <w:next w:val="AppendixText"/>
    <w:uiPriority w:val="99"/>
    <w:semiHidden/>
    <w:rsid w:val="000A4B48"/>
    <w:pPr>
      <w:numPr>
        <w:ilvl w:val="4"/>
      </w:numPr>
      <w:tabs>
        <w:tab w:val="num" w:pos="926"/>
      </w:tabs>
      <w:ind w:left="926" w:hanging="360"/>
      <w:outlineLvl w:val="3"/>
    </w:pPr>
  </w:style>
  <w:style w:type="paragraph" w:customStyle="1" w:styleId="AppendixText">
    <w:name w:val="Appendix Text"/>
    <w:uiPriority w:val="99"/>
    <w:semiHidden/>
    <w:rsid w:val="000A4B48"/>
    <w:pPr>
      <w:spacing w:before="170" w:after="170" w:line="260" w:lineRule="atLeast"/>
    </w:pPr>
    <w:rPr>
      <w:rFonts w:eastAsia="MS Mincho"/>
      <w:sz w:val="24"/>
      <w:szCs w:val="24"/>
      <w:lang w:eastAsia="zh-CN"/>
    </w:rPr>
  </w:style>
  <w:style w:type="paragraph" w:customStyle="1" w:styleId="HR-18">
    <w:name w:val="HR-18"/>
    <w:basedOn w:val="Normalny"/>
    <w:next w:val="Normalny"/>
    <w:uiPriority w:val="99"/>
    <w:semiHidden/>
    <w:rsid w:val="002D76EE"/>
    <w:rPr>
      <w:sz w:val="36"/>
    </w:rPr>
  </w:style>
  <w:style w:type="paragraph" w:customStyle="1" w:styleId="AppendixTitle">
    <w:name w:val="Appendix Title"/>
    <w:basedOn w:val="HR-18"/>
    <w:next w:val="Normalny"/>
    <w:uiPriority w:val="99"/>
    <w:semiHidden/>
    <w:rsid w:val="002D76EE"/>
    <w:pPr>
      <w:spacing w:before="170" w:line="360" w:lineRule="atLeast"/>
      <w:outlineLvl w:val="0"/>
    </w:pPr>
  </w:style>
  <w:style w:type="paragraph" w:styleId="Tekstdymka">
    <w:name w:val="Balloon Text"/>
    <w:basedOn w:val="Normalny"/>
    <w:link w:val="TekstdymkaZnak"/>
    <w:uiPriority w:val="99"/>
    <w:semiHidden/>
    <w:rsid w:val="002D76EE"/>
    <w:rPr>
      <w:rFonts w:ascii="Tahoma" w:hAnsi="Tahoma"/>
      <w:sz w:val="16"/>
      <w:szCs w:val="16"/>
    </w:rPr>
  </w:style>
  <w:style w:type="character" w:customStyle="1" w:styleId="TekstdymkaZnak">
    <w:name w:val="Tekst dymka Znak"/>
    <w:basedOn w:val="Domylnaczcionkaakapitu"/>
    <w:link w:val="Tekstdymka"/>
    <w:uiPriority w:val="99"/>
    <w:semiHidden/>
    <w:locked/>
    <w:rsid w:val="002D76EE"/>
    <w:rPr>
      <w:rFonts w:ascii="Tahoma" w:eastAsia="MS Mincho" w:hAnsi="Tahoma"/>
      <w:sz w:val="16"/>
      <w:lang w:val="pl-PL" w:eastAsia="zh-CN"/>
    </w:rPr>
  </w:style>
  <w:style w:type="paragraph" w:styleId="Tekstpodstawowy">
    <w:name w:val="Body Text"/>
    <w:basedOn w:val="Normalny"/>
    <w:link w:val="TekstpodstawowyZnak"/>
    <w:uiPriority w:val="99"/>
    <w:semiHidden/>
    <w:rsid w:val="002D76EE"/>
    <w:pPr>
      <w:ind w:left="720"/>
    </w:pPr>
    <w:rPr>
      <w:sz w:val="20"/>
      <w:szCs w:val="20"/>
    </w:rPr>
  </w:style>
  <w:style w:type="character" w:customStyle="1" w:styleId="TekstpodstawowyZnak">
    <w:name w:val="Tekst podstawowy Znak"/>
    <w:basedOn w:val="Domylnaczcionkaakapitu"/>
    <w:link w:val="Tekstpodstawowy"/>
    <w:uiPriority w:val="99"/>
    <w:semiHidden/>
    <w:locked/>
    <w:rsid w:val="002D76EE"/>
    <w:rPr>
      <w:rFonts w:eastAsia="MS Mincho"/>
      <w:lang w:val="pl-PL" w:eastAsia="zh-CN"/>
    </w:rPr>
  </w:style>
  <w:style w:type="paragraph" w:styleId="Legenda">
    <w:name w:val="caption"/>
    <w:aliases w:val="Podpis tab.,Caption Char,Znak Char,Znak Char1,Podpis nad obiektem,Legenda Znak Znak Znak,Legenda Znak Znak,Legenda Znak Znak Znak Znak,Legenda Znak Znak Znak Znak Znak Znak,Legenda Znak Znak Znak Znak Znak Znak Znak,Tabela,Podpis pod rysunkiem"/>
    <w:basedOn w:val="Normalny"/>
    <w:next w:val="ReportText"/>
    <w:uiPriority w:val="35"/>
    <w:qFormat/>
    <w:rsid w:val="002D76EE"/>
    <w:pPr>
      <w:keepNext/>
      <w:tabs>
        <w:tab w:val="left" w:pos="1080"/>
      </w:tabs>
      <w:spacing w:before="170" w:after="170" w:line="220" w:lineRule="atLeast"/>
    </w:pPr>
    <w:rPr>
      <w:sz w:val="22"/>
    </w:rPr>
  </w:style>
  <w:style w:type="paragraph" w:styleId="Tematkomentarza">
    <w:name w:val="annotation subject"/>
    <w:basedOn w:val="Tekstkomentarza"/>
    <w:next w:val="Tekstkomentarza"/>
    <w:link w:val="TematkomentarzaZnak"/>
    <w:uiPriority w:val="99"/>
    <w:semiHidden/>
    <w:rsid w:val="002D76EE"/>
    <w:rPr>
      <w:b/>
      <w:bCs/>
    </w:rPr>
  </w:style>
  <w:style w:type="character" w:customStyle="1" w:styleId="TematkomentarzaZnak">
    <w:name w:val="Temat komentarza Znak"/>
    <w:basedOn w:val="TekstkomentarzaZnak"/>
    <w:link w:val="Tematkomentarza"/>
    <w:uiPriority w:val="99"/>
    <w:semiHidden/>
    <w:locked/>
    <w:rsid w:val="002D76EE"/>
    <w:rPr>
      <w:rFonts w:ascii="Arial" w:eastAsia="MS Mincho" w:hAnsi="Arial"/>
      <w:b/>
      <w:sz w:val="18"/>
      <w:lang w:val="pl-PL" w:eastAsia="zh-CN"/>
    </w:rPr>
  </w:style>
  <w:style w:type="character" w:customStyle="1" w:styleId="Copyright">
    <w:name w:val="Copyright"/>
    <w:basedOn w:val="Domylnaczcionkaakapitu"/>
    <w:uiPriority w:val="99"/>
    <w:rsid w:val="002D76EE"/>
    <w:rPr>
      <w:rFonts w:ascii="Times New Roman" w:hAnsi="Times New Roman" w:cs="Times New Roman"/>
      <w:sz w:val="20"/>
      <w:szCs w:val="20"/>
      <w:lang w:val="pl-PL" w:eastAsia="en-GB"/>
    </w:rPr>
  </w:style>
  <w:style w:type="paragraph" w:customStyle="1" w:styleId="CVBullets">
    <w:name w:val="CV Bullets"/>
    <w:uiPriority w:val="99"/>
    <w:rsid w:val="002D76EE"/>
    <w:pPr>
      <w:numPr>
        <w:numId w:val="4"/>
      </w:numPr>
      <w:spacing w:before="113" w:after="113" w:line="260" w:lineRule="atLeast"/>
    </w:pPr>
    <w:rPr>
      <w:rFonts w:eastAsia="MS Mincho"/>
      <w:sz w:val="24"/>
      <w:szCs w:val="24"/>
      <w:lang w:eastAsia="zh-CN"/>
    </w:rPr>
  </w:style>
  <w:style w:type="paragraph" w:customStyle="1" w:styleId="CVProjectHeading">
    <w:name w:val="CV Project Heading"/>
    <w:next w:val="Normalny"/>
    <w:uiPriority w:val="99"/>
    <w:rsid w:val="002D76EE"/>
    <w:pPr>
      <w:spacing w:after="57" w:line="260" w:lineRule="atLeast"/>
    </w:pPr>
    <w:rPr>
      <w:rFonts w:eastAsia="MS Mincho"/>
      <w:b/>
      <w:sz w:val="24"/>
      <w:szCs w:val="24"/>
      <w:lang w:eastAsia="zh-CN"/>
    </w:rPr>
  </w:style>
  <w:style w:type="paragraph" w:styleId="Mapadokumentu">
    <w:name w:val="Document Map"/>
    <w:basedOn w:val="Normalny"/>
    <w:link w:val="MapadokumentuZnak"/>
    <w:uiPriority w:val="99"/>
    <w:semiHidden/>
    <w:rsid w:val="002D76EE"/>
    <w:pPr>
      <w:shd w:val="clear" w:color="auto" w:fill="000080"/>
    </w:pPr>
    <w:rPr>
      <w:rFonts w:ascii="Arial" w:hAnsi="Arial"/>
      <w:sz w:val="18"/>
      <w:szCs w:val="20"/>
    </w:rPr>
  </w:style>
  <w:style w:type="character" w:customStyle="1" w:styleId="MapadokumentuZnak">
    <w:name w:val="Mapa dokumentu Znak"/>
    <w:basedOn w:val="Domylnaczcionkaakapitu"/>
    <w:link w:val="Mapadokumentu"/>
    <w:uiPriority w:val="99"/>
    <w:semiHidden/>
    <w:locked/>
    <w:rsid w:val="002D76EE"/>
    <w:rPr>
      <w:rFonts w:ascii="Arial" w:eastAsia="MS Mincho" w:hAnsi="Arial"/>
      <w:sz w:val="18"/>
      <w:shd w:val="clear" w:color="auto" w:fill="000080"/>
      <w:lang w:val="pl-PL" w:eastAsia="zh-CN"/>
    </w:rPr>
  </w:style>
  <w:style w:type="table" w:customStyle="1" w:styleId="Tabelasiatki1jasna1">
    <w:name w:val="Tabela siatki 1 — jasna1"/>
    <w:uiPriority w:val="99"/>
    <w:rsid w:val="002D76EE"/>
    <w:rPr>
      <w:rFonts w:eastAsia="MS Mincho"/>
      <w:sz w:val="20"/>
      <w:szCs w:val="20"/>
      <w:lang w:val="en-GB" w:eastAsia="zh-CN"/>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rFonts w:cs="Times New Roman"/>
        <w:b/>
        <w:bCs/>
      </w:rPr>
      <w:tblPr/>
      <w:tcPr>
        <w:tcBorders>
          <w:bottom w:val="single" w:sz="12" w:space="0" w:color="666666"/>
        </w:tcBorders>
      </w:tcPr>
    </w:tblStylePr>
    <w:tblStylePr w:type="lastRow">
      <w:rPr>
        <w:rFonts w:cs="Times New Roman"/>
        <w:b/>
        <w:bCs/>
      </w:rPr>
      <w:tblPr/>
      <w:tcPr>
        <w:tcBorders>
          <w:top w:val="double" w:sz="2" w:space="0" w:color="666666"/>
        </w:tcBorders>
      </w:tcPr>
    </w:tblStylePr>
    <w:tblStylePr w:type="firstCol">
      <w:rPr>
        <w:rFonts w:cs="Times New Roman"/>
        <w:b/>
        <w:bCs/>
      </w:rPr>
    </w:tblStylePr>
    <w:tblStylePr w:type="lastCol">
      <w:rPr>
        <w:rFonts w:cs="Times New Roman"/>
        <w:b/>
        <w:bCs/>
      </w:rPr>
    </w:tblStylePr>
  </w:style>
  <w:style w:type="table" w:customStyle="1" w:styleId="Tabelasiatki21">
    <w:name w:val="Tabela siatki 21"/>
    <w:uiPriority w:val="99"/>
    <w:rsid w:val="002D76EE"/>
    <w:rPr>
      <w:rFonts w:eastAsia="MS Mincho"/>
      <w:sz w:val="20"/>
      <w:szCs w:val="20"/>
      <w:lang w:val="en-GB" w:eastAsia="zh-CN"/>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rFonts w:cs="Times New Roman"/>
        <w:b/>
        <w:bCs/>
      </w:rPr>
      <w:tblPr/>
      <w:tcPr>
        <w:tcBorders>
          <w:top w:val="nil"/>
          <w:bottom w:val="single" w:sz="12" w:space="0" w:color="666666"/>
          <w:insideH w:val="nil"/>
          <w:insideV w:val="nil"/>
        </w:tcBorders>
        <w:shd w:val="clear" w:color="auto" w:fill="FFFFFF"/>
      </w:tcPr>
    </w:tblStylePr>
    <w:tblStylePr w:type="lastRow">
      <w:rPr>
        <w:rFonts w:cs="Times New Roman"/>
        <w:b/>
        <w:bCs/>
      </w:rPr>
      <w:tblPr/>
      <w:tcPr>
        <w:tcBorders>
          <w:top w:val="double" w:sz="2" w:space="0" w:color="666666"/>
          <w:bottom w:val="nil"/>
          <w:insideH w:val="nil"/>
          <w:insideV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table" w:customStyle="1" w:styleId="Tabelasiatki31">
    <w:name w:val="Tabela siatki 31"/>
    <w:uiPriority w:val="99"/>
    <w:rsid w:val="002D76EE"/>
    <w:rPr>
      <w:rFonts w:eastAsia="MS Mincho"/>
      <w:sz w:val="20"/>
      <w:szCs w:val="20"/>
      <w:lang w:val="en-GB"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tblStylePr w:type="neCell">
      <w:rPr>
        <w:rFonts w:cs="Times New Roman"/>
      </w:rPr>
      <w:tblPr/>
      <w:tcPr>
        <w:tcBorders>
          <w:bottom w:val="single" w:sz="4" w:space="0" w:color="666666"/>
        </w:tcBorders>
      </w:tcPr>
    </w:tblStylePr>
    <w:tblStylePr w:type="nwCell">
      <w:rPr>
        <w:rFonts w:cs="Times New Roman"/>
      </w:rPr>
      <w:tblPr/>
      <w:tcPr>
        <w:tcBorders>
          <w:bottom w:val="single" w:sz="4" w:space="0" w:color="666666"/>
        </w:tcBorders>
      </w:tcPr>
    </w:tblStylePr>
    <w:tblStylePr w:type="seCell">
      <w:rPr>
        <w:rFonts w:cs="Times New Roman"/>
      </w:rPr>
      <w:tblPr/>
      <w:tcPr>
        <w:tcBorders>
          <w:top w:val="single" w:sz="4" w:space="0" w:color="666666"/>
        </w:tcBorders>
      </w:tcPr>
    </w:tblStylePr>
    <w:tblStylePr w:type="swCell">
      <w:rPr>
        <w:rFonts w:cs="Times New Roman"/>
      </w:rPr>
      <w:tblPr/>
      <w:tcPr>
        <w:tcBorders>
          <w:top w:val="single" w:sz="4" w:space="0" w:color="666666"/>
        </w:tcBorders>
      </w:tcPr>
    </w:tblStylePr>
  </w:style>
  <w:style w:type="table" w:customStyle="1" w:styleId="Tabelasiatki41">
    <w:name w:val="Tabela siatki 41"/>
    <w:uiPriority w:val="99"/>
    <w:rsid w:val="002D76EE"/>
    <w:rPr>
      <w:rFonts w:eastAsia="MS Mincho"/>
      <w:sz w:val="20"/>
      <w:szCs w:val="20"/>
      <w:lang w:val="en-GB"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Times New Roman"/>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rFonts w:cs="Times New Roman"/>
        <w:b/>
        <w:bCs/>
      </w:rPr>
      <w:tblPr/>
      <w:tcPr>
        <w:tcBorders>
          <w:top w:val="double" w:sz="4"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table" w:customStyle="1" w:styleId="Tabelasiatki4akcent21">
    <w:name w:val="Tabela siatki 4 — akcent 21"/>
    <w:aliases w:val="Report Table Colour"/>
    <w:uiPriority w:val="99"/>
    <w:rsid w:val="002D76EE"/>
    <w:rPr>
      <w:rFonts w:eastAsia="MS Mincho"/>
      <w:sz w:val="20"/>
      <w:szCs w:val="20"/>
      <w:lang w:val="en-GB" w:eastAsia="zh-CN"/>
    </w:rPr>
    <w:tblPr>
      <w:tblStyleRowBandSize w:val="1"/>
      <w:tblStyleColBandSize w:val="1"/>
      <w:tblInd w:w="0" w:type="dxa"/>
      <w:tblBorders>
        <w:top w:val="single" w:sz="4" w:space="0" w:color="7ECBED"/>
        <w:left w:val="single" w:sz="4" w:space="0" w:color="7ECBED"/>
        <w:bottom w:val="single" w:sz="4" w:space="0" w:color="7ECBED"/>
        <w:right w:val="single" w:sz="4" w:space="0" w:color="7ECBED"/>
        <w:insideH w:val="single" w:sz="4" w:space="0" w:color="7ECBED"/>
        <w:insideV w:val="single" w:sz="4" w:space="0" w:color="7ECBED"/>
      </w:tblBorders>
      <w:tblCellMar>
        <w:top w:w="0" w:type="dxa"/>
        <w:left w:w="108" w:type="dxa"/>
        <w:bottom w:w="0" w:type="dxa"/>
        <w:right w:w="108" w:type="dxa"/>
      </w:tblCellMar>
    </w:tblPr>
    <w:tblStylePr w:type="firstRow">
      <w:rPr>
        <w:rFonts w:cs="Times New Roman"/>
        <w:b/>
        <w:bCs/>
        <w:color w:val="FFFFFF"/>
      </w:rPr>
      <w:tblPr/>
      <w:tcPr>
        <w:tcBorders>
          <w:top w:val="single" w:sz="4" w:space="0" w:color="28AAE1"/>
          <w:left w:val="single" w:sz="4" w:space="0" w:color="28AAE1"/>
          <w:bottom w:val="single" w:sz="4" w:space="0" w:color="28AAE1"/>
          <w:right w:val="single" w:sz="4" w:space="0" w:color="28AAE1"/>
          <w:insideH w:val="nil"/>
          <w:insideV w:val="nil"/>
        </w:tcBorders>
        <w:shd w:val="clear" w:color="auto" w:fill="28AAE1"/>
      </w:tcPr>
    </w:tblStylePr>
    <w:tblStylePr w:type="lastRow">
      <w:rPr>
        <w:rFonts w:cs="Times New Roman"/>
        <w:b w:val="0"/>
        <w:bCs/>
      </w:rPr>
      <w:tblPr/>
      <w:tcPr>
        <w:tcBorders>
          <w:top w:val="double" w:sz="4" w:space="0" w:color="28AAE1"/>
        </w:tcBorders>
      </w:tcPr>
    </w:tblStylePr>
    <w:tblStylePr w:type="firstCol">
      <w:rPr>
        <w:rFonts w:cs="Times New Roman"/>
        <w:b w:val="0"/>
        <w:bCs/>
      </w:rPr>
    </w:tblStylePr>
    <w:tblStylePr w:type="lastCol">
      <w:rPr>
        <w:rFonts w:cs="Times New Roman"/>
        <w:b w:val="0"/>
        <w:bCs/>
      </w:rPr>
    </w:tblStylePr>
    <w:tblStylePr w:type="band1Vert">
      <w:rPr>
        <w:rFonts w:cs="Times New Roman"/>
      </w:rPr>
      <w:tblPr/>
      <w:tcPr>
        <w:shd w:val="clear" w:color="auto" w:fill="D4EDF9"/>
      </w:tcPr>
    </w:tblStylePr>
    <w:tblStylePr w:type="band1Horz">
      <w:rPr>
        <w:rFonts w:cs="Times New Roman"/>
      </w:rPr>
      <w:tblPr/>
      <w:tcPr>
        <w:shd w:val="clear" w:color="auto" w:fill="D4EDF9"/>
      </w:tcPr>
    </w:tblStylePr>
  </w:style>
  <w:style w:type="table" w:customStyle="1" w:styleId="Tabelasiatki5ciemna1">
    <w:name w:val="Tabela siatki 5 — ciemna1"/>
    <w:uiPriority w:val="99"/>
    <w:rsid w:val="002D76EE"/>
    <w:rPr>
      <w:rFonts w:eastAsia="MS Mincho"/>
      <w:sz w:val="20"/>
      <w:szCs w:val="20"/>
      <w:lang w:val="en-GB"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Times New Roman"/>
      </w:rPr>
      <w:tblPr/>
      <w:tcPr>
        <w:shd w:val="clear" w:color="auto" w:fill="999999"/>
      </w:tcPr>
    </w:tblStylePr>
    <w:tblStylePr w:type="band1Horz">
      <w:rPr>
        <w:rFonts w:cs="Times New Roman"/>
      </w:rPr>
      <w:tblPr/>
      <w:tcPr>
        <w:shd w:val="clear" w:color="auto" w:fill="999999"/>
      </w:tcPr>
    </w:tblStylePr>
  </w:style>
  <w:style w:type="table" w:customStyle="1" w:styleId="Tabelasiatki6kolorowa1">
    <w:name w:val="Tabela siatki 6 — kolorowa1"/>
    <w:uiPriority w:val="99"/>
    <w:rsid w:val="002D76EE"/>
    <w:rPr>
      <w:rFonts w:eastAsia="MS Mincho"/>
      <w:color w:val="000000"/>
      <w:sz w:val="20"/>
      <w:szCs w:val="20"/>
      <w:lang w:val="en-GB"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Times New Roman"/>
        <w:b/>
        <w:bCs/>
      </w:rPr>
      <w:tblPr/>
      <w:tcPr>
        <w:tcBorders>
          <w:bottom w:val="single" w:sz="12" w:space="0" w:color="666666"/>
        </w:tcBorders>
      </w:tcPr>
    </w:tblStylePr>
    <w:tblStylePr w:type="lastRow">
      <w:rPr>
        <w:rFonts w:cs="Times New Roman"/>
        <w:b/>
        <w:bCs/>
      </w:rPr>
      <w:tblPr/>
      <w:tcPr>
        <w:tcBorders>
          <w:top w:val="double" w:sz="4" w:space="0" w:color="66666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paragraph" w:customStyle="1" w:styleId="Headinginput">
    <w:name w:val="Heading input"/>
    <w:next w:val="Normalny"/>
    <w:uiPriority w:val="99"/>
    <w:semiHidden/>
    <w:rsid w:val="002D76EE"/>
    <w:pPr>
      <w:spacing w:before="60"/>
    </w:pPr>
    <w:rPr>
      <w:rFonts w:ascii="Arial" w:hAnsi="Arial"/>
      <w:sz w:val="18"/>
      <w:szCs w:val="18"/>
      <w:lang w:eastAsia="en-US"/>
    </w:rPr>
  </w:style>
  <w:style w:type="character" w:customStyle="1" w:styleId="HR-12">
    <w:name w:val="HR-12"/>
    <w:uiPriority w:val="99"/>
    <w:semiHidden/>
    <w:rsid w:val="002D76EE"/>
    <w:rPr>
      <w:rFonts w:ascii="Arial" w:hAnsi="Arial"/>
      <w:sz w:val="24"/>
      <w:lang w:val="pl-PL"/>
    </w:rPr>
  </w:style>
  <w:style w:type="paragraph" w:customStyle="1" w:styleId="HR-14">
    <w:name w:val="HR-14"/>
    <w:basedOn w:val="Normalny"/>
    <w:next w:val="Normalny"/>
    <w:uiPriority w:val="99"/>
    <w:semiHidden/>
    <w:rsid w:val="002D76EE"/>
    <w:rPr>
      <w:sz w:val="28"/>
    </w:rPr>
  </w:style>
  <w:style w:type="paragraph" w:styleId="Lista">
    <w:name w:val="List"/>
    <w:basedOn w:val="Normalny"/>
    <w:uiPriority w:val="99"/>
    <w:semiHidden/>
    <w:rsid w:val="002D76EE"/>
    <w:pPr>
      <w:spacing w:before="113" w:after="113" w:line="260" w:lineRule="exact"/>
      <w:ind w:left="357" w:hanging="357"/>
    </w:pPr>
  </w:style>
  <w:style w:type="paragraph" w:styleId="Lista2">
    <w:name w:val="List 2"/>
    <w:basedOn w:val="Lista"/>
    <w:uiPriority w:val="99"/>
    <w:semiHidden/>
    <w:rsid w:val="002D76EE"/>
  </w:style>
  <w:style w:type="paragraph" w:styleId="Listanumerowana">
    <w:name w:val="List Number"/>
    <w:basedOn w:val="Normalny"/>
    <w:uiPriority w:val="99"/>
    <w:semiHidden/>
    <w:rsid w:val="002D76EE"/>
    <w:pPr>
      <w:numPr>
        <w:numId w:val="2"/>
      </w:numPr>
      <w:tabs>
        <w:tab w:val="clear" w:pos="1209"/>
        <w:tab w:val="num" w:pos="360"/>
      </w:tabs>
      <w:spacing w:before="113" w:after="113" w:line="260" w:lineRule="exact"/>
      <w:ind w:left="360"/>
      <w:contextualSpacing/>
    </w:pPr>
  </w:style>
  <w:style w:type="paragraph" w:styleId="Akapitzlist">
    <w:name w:val="List Paragraph"/>
    <w:aliases w:val="List_Paragraph,Multilevel para_II,List Paragraph1,Akapit z listą BS,Bullet1,Bullets,List Paragraph 1,References,List Paragraph (numbered (a)),IBL List Paragraph,List Paragraph nowy,Numbered List Paragraph,WYPUNKTOWANIE Akapit z listą,Ha"/>
    <w:basedOn w:val="Normalny"/>
    <w:link w:val="AkapitzlistZnak"/>
    <w:uiPriority w:val="36"/>
    <w:qFormat/>
    <w:rsid w:val="002D76EE"/>
    <w:pPr>
      <w:ind w:left="720"/>
      <w:contextualSpacing/>
    </w:pPr>
    <w:rPr>
      <w:sz w:val="20"/>
      <w:szCs w:val="20"/>
    </w:rPr>
  </w:style>
  <w:style w:type="paragraph" w:styleId="NormalnyWeb">
    <w:name w:val="Normal (Web)"/>
    <w:basedOn w:val="Normalny"/>
    <w:uiPriority w:val="99"/>
    <w:semiHidden/>
    <w:rsid w:val="002D76EE"/>
    <w:pPr>
      <w:spacing w:before="100" w:beforeAutospacing="1"/>
    </w:pPr>
  </w:style>
  <w:style w:type="paragraph" w:styleId="Wcicienormalne">
    <w:name w:val="Normal Indent"/>
    <w:basedOn w:val="Normalny"/>
    <w:uiPriority w:val="99"/>
    <w:semiHidden/>
    <w:rsid w:val="002D76EE"/>
    <w:pPr>
      <w:ind w:left="720"/>
    </w:pPr>
  </w:style>
  <w:style w:type="paragraph" w:customStyle="1" w:styleId="ReportExecSummary">
    <w:name w:val="Report Exec Summary"/>
    <w:basedOn w:val="ReportLevel1NoNumber"/>
    <w:next w:val="Normalny"/>
    <w:uiPriority w:val="99"/>
    <w:rsid w:val="002D76EE"/>
    <w:pPr>
      <w:spacing w:before="0"/>
    </w:pPr>
  </w:style>
  <w:style w:type="paragraph" w:customStyle="1" w:styleId="ReportText">
    <w:name w:val="Report Text"/>
    <w:aliases w:val="Left:  0 cm,caext"/>
    <w:link w:val="ReportTextChar"/>
    <w:uiPriority w:val="3"/>
    <w:qFormat/>
    <w:rsid w:val="00347E16"/>
    <w:pPr>
      <w:spacing w:before="170" w:after="170" w:line="260" w:lineRule="atLeast"/>
      <w:jc w:val="both"/>
    </w:pPr>
    <w:rPr>
      <w:rFonts w:eastAsia="MS Mincho"/>
      <w:sz w:val="24"/>
      <w:szCs w:val="20"/>
      <w:lang w:eastAsia="en-US"/>
    </w:rPr>
  </w:style>
  <w:style w:type="character" w:customStyle="1" w:styleId="ReportTextChar">
    <w:name w:val="Report Text Char"/>
    <w:basedOn w:val="Domylnaczcionkaakapitu"/>
    <w:link w:val="ReportText"/>
    <w:uiPriority w:val="3"/>
    <w:locked/>
    <w:rsid w:val="00347E16"/>
    <w:rPr>
      <w:rFonts w:eastAsia="MS Mincho" w:cs="Times New Roman"/>
      <w:sz w:val="24"/>
      <w:lang w:val="pl-PL" w:eastAsia="en-US" w:bidi="ar-SA"/>
    </w:rPr>
  </w:style>
  <w:style w:type="paragraph" w:customStyle="1" w:styleId="ReportExecSummaryText">
    <w:name w:val="Report Exec Summary Text"/>
    <w:basedOn w:val="ReportText"/>
    <w:uiPriority w:val="99"/>
    <w:rsid w:val="002D76EE"/>
  </w:style>
  <w:style w:type="table" w:customStyle="1" w:styleId="ReportImageOnly">
    <w:name w:val="Report Image Only"/>
    <w:uiPriority w:val="99"/>
    <w:rsid w:val="002D76EE"/>
    <w:rPr>
      <w:rFonts w:eastAsia="MS Mincho"/>
      <w:sz w:val="20"/>
      <w:szCs w:val="20"/>
      <w:lang w:eastAsia="zh-CN"/>
    </w:rPr>
    <w:tblPr>
      <w:tblInd w:w="0" w:type="dxa"/>
      <w:tblCellMar>
        <w:top w:w="0" w:type="dxa"/>
        <w:left w:w="0" w:type="dxa"/>
        <w:bottom w:w="0" w:type="dxa"/>
        <w:right w:w="0" w:type="dxa"/>
      </w:tblCellMar>
    </w:tblPr>
  </w:style>
  <w:style w:type="paragraph" w:customStyle="1" w:styleId="ReportInsertPicture">
    <w:name w:val="Report Insert Picture"/>
    <w:next w:val="ReportText"/>
    <w:uiPriority w:val="99"/>
    <w:rsid w:val="002D76EE"/>
    <w:rPr>
      <w:rFonts w:eastAsia="MS Mincho"/>
      <w:sz w:val="24"/>
      <w:szCs w:val="20"/>
      <w:lang w:eastAsia="en-US"/>
    </w:rPr>
  </w:style>
  <w:style w:type="paragraph" w:customStyle="1" w:styleId="ReportLevel2NoNumber">
    <w:name w:val="Report Level 2 No Number"/>
    <w:basedOn w:val="ReportLevel2"/>
    <w:next w:val="ReportText"/>
    <w:uiPriority w:val="99"/>
    <w:rsid w:val="002D76EE"/>
  </w:style>
  <w:style w:type="paragraph" w:customStyle="1" w:styleId="ReportLevel3NoNumber">
    <w:name w:val="Report Level 3 No Number"/>
    <w:basedOn w:val="ReportLevel3"/>
    <w:next w:val="ReportText"/>
    <w:uiPriority w:val="99"/>
    <w:rsid w:val="002D76EE"/>
    <w:pPr>
      <w:numPr>
        <w:ilvl w:val="0"/>
        <w:numId w:val="0"/>
      </w:numPr>
      <w:spacing w:after="80" w:line="320" w:lineRule="atLeast"/>
    </w:pPr>
  </w:style>
  <w:style w:type="paragraph" w:customStyle="1" w:styleId="ReportLevel4NoNumber">
    <w:name w:val="Report Level 4 No Number"/>
    <w:basedOn w:val="ReportLevel3NoNumber"/>
    <w:next w:val="ReportText"/>
    <w:uiPriority w:val="99"/>
    <w:rsid w:val="002D76EE"/>
    <w:pPr>
      <w:spacing w:before="240" w:line="260" w:lineRule="atLeast"/>
    </w:pPr>
    <w:rPr>
      <w:color w:val="auto"/>
      <w:sz w:val="24"/>
      <w:szCs w:val="24"/>
    </w:rPr>
  </w:style>
  <w:style w:type="paragraph" w:customStyle="1" w:styleId="ReportList">
    <w:name w:val="Report List"/>
    <w:basedOn w:val="ReportText"/>
    <w:uiPriority w:val="99"/>
    <w:rsid w:val="002D76EE"/>
    <w:pPr>
      <w:spacing w:before="0" w:after="0"/>
    </w:pPr>
  </w:style>
  <w:style w:type="paragraph" w:customStyle="1" w:styleId="ReportList1">
    <w:name w:val="Report List 1"/>
    <w:basedOn w:val="Lista"/>
    <w:uiPriority w:val="2"/>
    <w:qFormat/>
    <w:rsid w:val="002D76EE"/>
    <w:pPr>
      <w:numPr>
        <w:numId w:val="13"/>
      </w:numPr>
      <w:spacing w:line="260" w:lineRule="atLeast"/>
    </w:pPr>
  </w:style>
  <w:style w:type="paragraph" w:customStyle="1" w:styleId="ReportList-Colour">
    <w:name w:val="Report List - Colour"/>
    <w:basedOn w:val="ReportList1"/>
    <w:uiPriority w:val="99"/>
    <w:rsid w:val="002D76EE"/>
    <w:pPr>
      <w:numPr>
        <w:numId w:val="10"/>
      </w:numPr>
      <w:spacing w:before="120" w:after="120"/>
      <w:ind w:left="357" w:hanging="357"/>
    </w:pPr>
    <w:rPr>
      <w:szCs w:val="21"/>
    </w:rPr>
  </w:style>
  <w:style w:type="paragraph" w:customStyle="1" w:styleId="ReportList2">
    <w:name w:val="Report List 2"/>
    <w:basedOn w:val="ReportList1"/>
    <w:uiPriority w:val="2"/>
    <w:rsid w:val="002D76EE"/>
    <w:pPr>
      <w:numPr>
        <w:ilvl w:val="1"/>
      </w:numPr>
      <w:spacing w:before="0" w:after="0"/>
      <w:ind w:hanging="360"/>
    </w:pPr>
  </w:style>
  <w:style w:type="paragraph" w:customStyle="1" w:styleId="ReportListNumber">
    <w:name w:val="Report List Number"/>
    <w:link w:val="ReportListNumberZnak"/>
    <w:uiPriority w:val="99"/>
    <w:rsid w:val="002D76EE"/>
    <w:pPr>
      <w:numPr>
        <w:numId w:val="1"/>
      </w:numPr>
      <w:tabs>
        <w:tab w:val="clear" w:pos="926"/>
        <w:tab w:val="num" w:pos="567"/>
      </w:tabs>
      <w:spacing w:before="113" w:after="113" w:line="260" w:lineRule="atLeast"/>
      <w:ind w:left="567" w:hanging="567"/>
    </w:pPr>
    <w:rPr>
      <w:rFonts w:eastAsia="MS Mincho"/>
      <w:sz w:val="24"/>
      <w:szCs w:val="24"/>
      <w:lang w:eastAsia="zh-CN"/>
    </w:rPr>
  </w:style>
  <w:style w:type="paragraph" w:customStyle="1" w:styleId="ReportTableText">
    <w:name w:val="Report Table Text"/>
    <w:basedOn w:val="ReportText"/>
    <w:uiPriority w:val="99"/>
    <w:rsid w:val="002D76EE"/>
    <w:pPr>
      <w:spacing w:before="57" w:after="57" w:line="200" w:lineRule="atLeast"/>
    </w:pPr>
    <w:rPr>
      <w:sz w:val="20"/>
    </w:rPr>
  </w:style>
  <w:style w:type="paragraph" w:customStyle="1" w:styleId="ReportPicTextBox">
    <w:name w:val="Report Pic+Text Box"/>
    <w:basedOn w:val="ReportTableText"/>
    <w:uiPriority w:val="99"/>
    <w:rsid w:val="002D76EE"/>
    <w:pPr>
      <w:spacing w:before="170" w:after="113"/>
      <w:ind w:left="170" w:right="113"/>
    </w:pPr>
  </w:style>
  <w:style w:type="paragraph" w:customStyle="1" w:styleId="ReportReference">
    <w:name w:val="Report Reference"/>
    <w:uiPriority w:val="99"/>
    <w:rsid w:val="002D76EE"/>
    <w:pPr>
      <w:numPr>
        <w:numId w:val="12"/>
      </w:numPr>
      <w:tabs>
        <w:tab w:val="clear" w:pos="1973"/>
        <w:tab w:val="left" w:pos="680"/>
        <w:tab w:val="left" w:pos="1247"/>
      </w:tabs>
      <w:spacing w:before="170" w:after="170" w:line="260" w:lineRule="atLeast"/>
    </w:pPr>
    <w:rPr>
      <w:sz w:val="24"/>
      <w:szCs w:val="20"/>
      <w:lang w:eastAsia="en-US"/>
    </w:rPr>
  </w:style>
  <w:style w:type="table" w:customStyle="1" w:styleId="ReportSummaryTable">
    <w:name w:val="Report Summary Table"/>
    <w:uiPriority w:val="99"/>
    <w:rsid w:val="002D76EE"/>
    <w:rPr>
      <w:rFonts w:eastAsia="MS Mincho"/>
      <w:sz w:val="20"/>
      <w:szCs w:val="20"/>
      <w:lang w:eastAsia="zh-CN"/>
    </w:rPr>
    <w:tblPr>
      <w:tblInd w:w="0" w:type="dxa"/>
      <w:tblCellMar>
        <w:top w:w="0" w:type="dxa"/>
        <w:left w:w="0" w:type="dxa"/>
        <w:bottom w:w="170" w:type="dxa"/>
        <w:right w:w="0" w:type="dxa"/>
      </w:tblCellMar>
    </w:tblPr>
    <w:tcPr>
      <w:shd w:val="clear" w:color="auto" w:fill="DADADA"/>
    </w:tcPr>
  </w:style>
  <w:style w:type="table" w:customStyle="1" w:styleId="ReportTable">
    <w:name w:val="Report Table"/>
    <w:uiPriority w:val="99"/>
    <w:rsid w:val="002D76EE"/>
    <w:rPr>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rFonts w:cs="Times New Roman"/>
        <w:b/>
      </w:rPr>
      <w:tblPr/>
      <w:tcPr>
        <w:shd w:val="clear" w:color="auto" w:fill="DADADA"/>
      </w:tcPr>
    </w:tblStylePr>
  </w:style>
  <w:style w:type="table" w:styleId="Tabela-Siatka1">
    <w:name w:val="Table Grid 1"/>
    <w:basedOn w:val="Standardowy"/>
    <w:uiPriority w:val="99"/>
    <w:semiHidden/>
    <w:rsid w:val="002D76EE"/>
    <w:rPr>
      <w:rFonts w:eastAsia="MS Mincho"/>
      <w:sz w:val="20"/>
      <w:szCs w:val="20"/>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ReportTable-Colour">
    <w:name w:val="Report Table - Colour"/>
    <w:basedOn w:val="Tabela-Siatka1"/>
    <w:uiPriority w:val="99"/>
    <w:rsid w:val="002D76EE"/>
    <w:rPr>
      <w:sz w:val="22"/>
      <w:lang w:eastAsia="en-GB"/>
    </w:rPr>
    <w:tblPr>
      <w:tblBorders>
        <w:top w:val="single" w:sz="4" w:space="0" w:color="28AAE1"/>
        <w:left w:val="single" w:sz="4" w:space="0" w:color="28AAE1"/>
        <w:bottom w:val="single" w:sz="4" w:space="0" w:color="28AAE1"/>
        <w:right w:val="single" w:sz="4" w:space="0" w:color="28AAE1"/>
        <w:insideH w:val="single" w:sz="4" w:space="0" w:color="28AAE1"/>
        <w:insideV w:val="single" w:sz="4" w:space="0" w:color="28AAE1"/>
      </w:tblBorders>
    </w:tblPr>
    <w:tblStylePr w:type="firstRow">
      <w:rPr>
        <w:rFonts w:cs="Times New Roman"/>
        <w:b/>
        <w:color w:val="FFFFFF"/>
      </w:rPr>
      <w:tblPr/>
      <w:tcPr>
        <w:shd w:val="clear" w:color="auto" w:fill="28AAE1"/>
      </w:tcPr>
    </w:tblStylePr>
    <w:tblStylePr w:type="lastRow">
      <w:rPr>
        <w:rFonts w:cs="Times New Roman"/>
        <w:i w:val="0"/>
        <w:iCs/>
      </w:rPr>
      <w:tblPr/>
      <w:tcPr>
        <w:tcBorders>
          <w:tl2br w:val="none" w:sz="0" w:space="0" w:color="auto"/>
          <w:tr2bl w:val="none" w:sz="0" w:space="0" w:color="auto"/>
        </w:tcBorders>
      </w:tcPr>
    </w:tblStylePr>
    <w:tblStylePr w:type="lastCol">
      <w:rPr>
        <w:rFonts w:cs="Times New Roman"/>
        <w:i w:val="0"/>
        <w:iCs/>
      </w:rPr>
      <w:tblPr/>
      <w:tcPr>
        <w:tcBorders>
          <w:tl2br w:val="none" w:sz="0" w:space="0" w:color="auto"/>
          <w:tr2bl w:val="none" w:sz="0" w:space="0" w:color="auto"/>
        </w:tcBorders>
      </w:tcPr>
    </w:tblStylePr>
  </w:style>
  <w:style w:type="paragraph" w:customStyle="1" w:styleId="ReportTableNoSpacing">
    <w:name w:val="Report Table No Spacing"/>
    <w:uiPriority w:val="99"/>
    <w:rsid w:val="007C358C"/>
    <w:rPr>
      <w:rFonts w:eastAsia="MS Mincho"/>
      <w:sz w:val="20"/>
      <w:szCs w:val="20"/>
      <w:lang w:eastAsia="en-US"/>
    </w:rPr>
  </w:style>
  <w:style w:type="table" w:customStyle="1" w:styleId="ReportTablewithoutheader">
    <w:name w:val="Report Table without header"/>
    <w:basedOn w:val="ReportTable"/>
    <w:uiPriority w:val="99"/>
    <w:rsid w:val="002D76EE"/>
    <w:tblPr/>
    <w:tblStylePr w:type="firstRow">
      <w:rPr>
        <w:rFonts w:cs="Times New Roman"/>
        <w:b w:val="0"/>
      </w:rPr>
      <w:tblPr/>
      <w:tcPr>
        <w:shd w:val="clear" w:color="auto" w:fill="FFFFFF"/>
      </w:tcPr>
    </w:tblStylePr>
  </w:style>
  <w:style w:type="character" w:styleId="Pogrubienie">
    <w:name w:val="Strong"/>
    <w:basedOn w:val="Domylnaczcionkaakapitu"/>
    <w:uiPriority w:val="99"/>
    <w:qFormat/>
    <w:rsid w:val="002D76EE"/>
    <w:rPr>
      <w:rFonts w:cs="Times New Roman"/>
      <w:b/>
      <w:bCs/>
      <w:lang w:val="pl-PL"/>
    </w:rPr>
  </w:style>
  <w:style w:type="paragraph" w:customStyle="1" w:styleId="SubmissionCoverTitle">
    <w:name w:val="Submission Cover Title"/>
    <w:next w:val="Normalny"/>
    <w:uiPriority w:val="99"/>
    <w:semiHidden/>
    <w:rsid w:val="002D76EE"/>
    <w:pPr>
      <w:spacing w:before="200" w:after="200" w:line="520" w:lineRule="atLeast"/>
    </w:pPr>
    <w:rPr>
      <w:rFonts w:eastAsia="MS Mincho"/>
      <w:color w:val="28AAE1"/>
      <w:sz w:val="50"/>
      <w:szCs w:val="50"/>
      <w:lang w:eastAsia="zh-CN"/>
    </w:rPr>
  </w:style>
  <w:style w:type="table" w:styleId="Tabela-Siatka">
    <w:name w:val="Table Grid"/>
    <w:basedOn w:val="Standardowy"/>
    <w:uiPriority w:val="99"/>
    <w:rsid w:val="002D76EE"/>
    <w:rPr>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isilustracji">
    <w:name w:val="table of figures"/>
    <w:basedOn w:val="Normalny"/>
    <w:next w:val="Normalny"/>
    <w:uiPriority w:val="99"/>
    <w:rsid w:val="002D76EE"/>
    <w:pPr>
      <w:tabs>
        <w:tab w:val="left" w:pos="1247"/>
      </w:tabs>
      <w:spacing w:after="60" w:line="260" w:lineRule="exact"/>
      <w:ind w:left="1247" w:hanging="1247"/>
    </w:pPr>
  </w:style>
  <w:style w:type="paragraph" w:styleId="Spistreci2">
    <w:name w:val="toc 2"/>
    <w:aliases w:val="Report Contents Level 2"/>
    <w:basedOn w:val="Spistreci1"/>
    <w:next w:val="Normalny"/>
    <w:uiPriority w:val="39"/>
    <w:rsid w:val="002D76EE"/>
    <w:pPr>
      <w:spacing w:before="0" w:after="60"/>
      <w:ind w:left="1815" w:hanging="964"/>
    </w:pPr>
    <w:rPr>
      <w:b w:val="0"/>
    </w:rPr>
  </w:style>
  <w:style w:type="paragraph" w:styleId="Spistreci3">
    <w:name w:val="toc 3"/>
    <w:aliases w:val="Report Contents Level 3"/>
    <w:basedOn w:val="Spistreci2"/>
    <w:next w:val="Normalny"/>
    <w:uiPriority w:val="99"/>
    <w:rsid w:val="002D76EE"/>
    <w:pPr>
      <w:ind w:left="851" w:firstLine="0"/>
    </w:pPr>
  </w:style>
  <w:style w:type="paragraph" w:styleId="Spistreci4">
    <w:name w:val="toc 4"/>
    <w:aliases w:val="Report Contents Level 4"/>
    <w:basedOn w:val="Spistreci3"/>
    <w:next w:val="Normalny"/>
    <w:uiPriority w:val="99"/>
    <w:rsid w:val="002D76EE"/>
    <w:pPr>
      <w:ind w:left="0"/>
    </w:pPr>
  </w:style>
  <w:style w:type="paragraph" w:styleId="Spistreci8">
    <w:name w:val="toc 8"/>
    <w:aliases w:val="ArupSpec Level 2"/>
    <w:basedOn w:val="Normalny"/>
    <w:next w:val="Normalny"/>
    <w:uiPriority w:val="99"/>
    <w:semiHidden/>
    <w:rsid w:val="002D76EE"/>
    <w:pPr>
      <w:tabs>
        <w:tab w:val="right" w:pos="7938"/>
      </w:tabs>
      <w:spacing w:after="60" w:line="260" w:lineRule="exact"/>
      <w:ind w:left="851" w:right="170" w:hanging="851"/>
    </w:pPr>
    <w:rPr>
      <w:noProof/>
    </w:rPr>
  </w:style>
  <w:style w:type="paragraph" w:styleId="Spistreci9">
    <w:name w:val="toc 9"/>
    <w:aliases w:val="Report Contents Exec Summary"/>
    <w:basedOn w:val="Spistreci1"/>
    <w:next w:val="Normalny"/>
    <w:uiPriority w:val="39"/>
    <w:rsid w:val="002D76EE"/>
  </w:style>
  <w:style w:type="paragraph" w:styleId="Poprawka">
    <w:name w:val="Revision"/>
    <w:hidden/>
    <w:uiPriority w:val="99"/>
    <w:semiHidden/>
    <w:rsid w:val="004419DD"/>
    <w:rPr>
      <w:rFonts w:eastAsia="MS Mincho"/>
      <w:sz w:val="24"/>
      <w:szCs w:val="24"/>
      <w:lang w:val="en-GB" w:eastAsia="zh-CN"/>
    </w:rPr>
  </w:style>
  <w:style w:type="paragraph" w:customStyle="1" w:styleId="ClientsName">
    <w:name w:val="Clients Name"/>
    <w:basedOn w:val="Normalny"/>
    <w:uiPriority w:val="99"/>
    <w:semiHidden/>
    <w:rsid w:val="0089422F"/>
    <w:pPr>
      <w:spacing w:line="260" w:lineRule="atLeast"/>
    </w:pPr>
    <w:rPr>
      <w:szCs w:val="21"/>
    </w:rPr>
  </w:style>
  <w:style w:type="paragraph" w:styleId="Bibliografia">
    <w:name w:val="Bibliography"/>
    <w:basedOn w:val="Normalny"/>
    <w:next w:val="Normalny"/>
    <w:uiPriority w:val="99"/>
    <w:semiHidden/>
    <w:rsid w:val="007C28CC"/>
  </w:style>
  <w:style w:type="paragraph" w:styleId="Tekstblokowy">
    <w:name w:val="Block Text"/>
    <w:basedOn w:val="Normalny"/>
    <w:uiPriority w:val="99"/>
    <w:semiHidden/>
    <w:rsid w:val="007C28CC"/>
    <w:pPr>
      <w:pBdr>
        <w:top w:val="single" w:sz="2" w:space="10" w:color="D22D7D"/>
        <w:left w:val="single" w:sz="2" w:space="10" w:color="D22D7D"/>
        <w:bottom w:val="single" w:sz="2" w:space="10" w:color="D22D7D"/>
        <w:right w:val="single" w:sz="2" w:space="10" w:color="D22D7D"/>
      </w:pBdr>
      <w:ind w:left="1152" w:right="1152"/>
    </w:pPr>
    <w:rPr>
      <w:i/>
      <w:iCs/>
      <w:color w:val="D22D7D"/>
    </w:rPr>
  </w:style>
  <w:style w:type="paragraph" w:styleId="Tekstpodstawowy2">
    <w:name w:val="Body Text 2"/>
    <w:basedOn w:val="Normalny"/>
    <w:link w:val="Tekstpodstawowy2Znak"/>
    <w:uiPriority w:val="99"/>
    <w:semiHidden/>
    <w:rsid w:val="007C28CC"/>
    <w:pPr>
      <w:spacing w:after="120" w:line="480" w:lineRule="auto"/>
    </w:pPr>
  </w:style>
  <w:style w:type="character" w:customStyle="1" w:styleId="Tekstpodstawowy2Znak">
    <w:name w:val="Tekst podstawowy 2 Znak"/>
    <w:basedOn w:val="Domylnaczcionkaakapitu"/>
    <w:link w:val="Tekstpodstawowy2"/>
    <w:uiPriority w:val="99"/>
    <w:semiHidden/>
    <w:locked/>
    <w:rsid w:val="007C28CC"/>
    <w:rPr>
      <w:rFonts w:eastAsia="MS Mincho" w:cs="Times New Roman"/>
      <w:lang w:val="pl-PL" w:eastAsia="zh-CN"/>
    </w:rPr>
  </w:style>
  <w:style w:type="paragraph" w:styleId="Tekstpodstawowy3">
    <w:name w:val="Body Text 3"/>
    <w:basedOn w:val="Normalny"/>
    <w:link w:val="Tekstpodstawowy3Znak"/>
    <w:uiPriority w:val="99"/>
    <w:semiHidden/>
    <w:rsid w:val="007C28CC"/>
    <w:pPr>
      <w:spacing w:after="120"/>
    </w:pPr>
    <w:rPr>
      <w:sz w:val="16"/>
      <w:szCs w:val="16"/>
    </w:rPr>
  </w:style>
  <w:style w:type="character" w:customStyle="1" w:styleId="Tekstpodstawowy3Znak">
    <w:name w:val="Tekst podstawowy 3 Znak"/>
    <w:basedOn w:val="Domylnaczcionkaakapitu"/>
    <w:link w:val="Tekstpodstawowy3"/>
    <w:uiPriority w:val="99"/>
    <w:semiHidden/>
    <w:locked/>
    <w:rsid w:val="007C28CC"/>
    <w:rPr>
      <w:rFonts w:eastAsia="MS Mincho" w:cs="Times New Roman"/>
      <w:sz w:val="16"/>
      <w:szCs w:val="16"/>
      <w:lang w:val="pl-PL" w:eastAsia="zh-CN"/>
    </w:rPr>
  </w:style>
  <w:style w:type="paragraph" w:styleId="Tekstpodstawowyzwciciem">
    <w:name w:val="Body Text First Indent"/>
    <w:basedOn w:val="Tekstpodstawowy"/>
    <w:link w:val="TekstpodstawowyzwciciemZnak"/>
    <w:uiPriority w:val="99"/>
    <w:semiHidden/>
    <w:rsid w:val="007C28CC"/>
    <w:pPr>
      <w:ind w:left="0" w:firstLine="360"/>
    </w:pPr>
  </w:style>
  <w:style w:type="character" w:customStyle="1" w:styleId="TekstpodstawowyzwciciemZnak">
    <w:name w:val="Tekst podstawowy z wcięciem Znak"/>
    <w:basedOn w:val="TekstpodstawowyZnak"/>
    <w:link w:val="Tekstpodstawowyzwciciem"/>
    <w:uiPriority w:val="99"/>
    <w:semiHidden/>
    <w:locked/>
    <w:rsid w:val="007C28CC"/>
    <w:rPr>
      <w:rFonts w:eastAsia="MS Mincho" w:cs="Times New Roman"/>
      <w:lang w:val="pl-PL" w:eastAsia="zh-CN"/>
    </w:rPr>
  </w:style>
  <w:style w:type="paragraph" w:styleId="Tekstpodstawowywcity">
    <w:name w:val="Body Text Indent"/>
    <w:basedOn w:val="Normalny"/>
    <w:link w:val="TekstpodstawowywcityZnak"/>
    <w:uiPriority w:val="99"/>
    <w:semiHidden/>
    <w:rsid w:val="007C28CC"/>
    <w:pPr>
      <w:spacing w:after="120"/>
      <w:ind w:left="283"/>
    </w:pPr>
  </w:style>
  <w:style w:type="character" w:customStyle="1" w:styleId="TekstpodstawowywcityZnak">
    <w:name w:val="Tekst podstawowy wcięty Znak"/>
    <w:basedOn w:val="Domylnaczcionkaakapitu"/>
    <w:link w:val="Tekstpodstawowywcity"/>
    <w:uiPriority w:val="99"/>
    <w:semiHidden/>
    <w:locked/>
    <w:rsid w:val="007C28CC"/>
    <w:rPr>
      <w:rFonts w:eastAsia="MS Mincho" w:cs="Times New Roman"/>
      <w:lang w:val="pl-PL" w:eastAsia="zh-CN"/>
    </w:rPr>
  </w:style>
  <w:style w:type="paragraph" w:styleId="Tekstpodstawowyzwciciem2">
    <w:name w:val="Body Text First Indent 2"/>
    <w:basedOn w:val="Tekstpodstawowywcity"/>
    <w:link w:val="Tekstpodstawowyzwciciem2Znak"/>
    <w:uiPriority w:val="99"/>
    <w:semiHidden/>
    <w:rsid w:val="007C28CC"/>
    <w:pPr>
      <w:spacing w:after="0"/>
      <w:ind w:left="360" w:firstLine="360"/>
    </w:pPr>
  </w:style>
  <w:style w:type="character" w:customStyle="1" w:styleId="Tekstpodstawowyzwciciem2Znak">
    <w:name w:val="Tekst podstawowy z wcięciem 2 Znak"/>
    <w:basedOn w:val="TekstpodstawowywcityZnak"/>
    <w:link w:val="Tekstpodstawowyzwciciem2"/>
    <w:uiPriority w:val="99"/>
    <w:semiHidden/>
    <w:locked/>
    <w:rsid w:val="007C28CC"/>
    <w:rPr>
      <w:rFonts w:eastAsia="MS Mincho" w:cs="Times New Roman"/>
      <w:lang w:val="pl-PL" w:eastAsia="zh-CN"/>
    </w:rPr>
  </w:style>
  <w:style w:type="paragraph" w:styleId="Tekstpodstawowywcity2">
    <w:name w:val="Body Text Indent 2"/>
    <w:basedOn w:val="Normalny"/>
    <w:link w:val="Tekstpodstawowywcity2Znak"/>
    <w:uiPriority w:val="99"/>
    <w:semiHidden/>
    <w:rsid w:val="007C28CC"/>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locked/>
    <w:rsid w:val="007C28CC"/>
    <w:rPr>
      <w:rFonts w:eastAsia="MS Mincho" w:cs="Times New Roman"/>
      <w:lang w:val="pl-PL" w:eastAsia="zh-CN"/>
    </w:rPr>
  </w:style>
  <w:style w:type="paragraph" w:styleId="Tekstpodstawowywcity3">
    <w:name w:val="Body Text Indent 3"/>
    <w:basedOn w:val="Normalny"/>
    <w:link w:val="Tekstpodstawowywcity3Znak"/>
    <w:uiPriority w:val="99"/>
    <w:semiHidden/>
    <w:rsid w:val="007C28CC"/>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locked/>
    <w:rsid w:val="007C28CC"/>
    <w:rPr>
      <w:rFonts w:eastAsia="MS Mincho" w:cs="Times New Roman"/>
      <w:sz w:val="16"/>
      <w:szCs w:val="16"/>
      <w:lang w:val="pl-PL" w:eastAsia="zh-CN"/>
    </w:rPr>
  </w:style>
  <w:style w:type="character" w:styleId="Tytuksiki">
    <w:name w:val="Book Title"/>
    <w:basedOn w:val="Domylnaczcionkaakapitu"/>
    <w:uiPriority w:val="99"/>
    <w:qFormat/>
    <w:rsid w:val="007C28CC"/>
    <w:rPr>
      <w:rFonts w:cs="Times New Roman"/>
      <w:b/>
      <w:bCs/>
      <w:i/>
      <w:iCs/>
      <w:spacing w:val="5"/>
      <w:lang w:val="pl-PL"/>
    </w:rPr>
  </w:style>
  <w:style w:type="paragraph" w:styleId="Zwrotpoegnalny">
    <w:name w:val="Closing"/>
    <w:basedOn w:val="Normalny"/>
    <w:link w:val="ZwrotpoegnalnyZnak"/>
    <w:uiPriority w:val="99"/>
    <w:semiHidden/>
    <w:rsid w:val="007C28CC"/>
    <w:pPr>
      <w:ind w:left="4252"/>
    </w:pPr>
  </w:style>
  <w:style w:type="character" w:customStyle="1" w:styleId="ZwrotpoegnalnyZnak">
    <w:name w:val="Zwrot pożegnalny Znak"/>
    <w:basedOn w:val="Domylnaczcionkaakapitu"/>
    <w:link w:val="Zwrotpoegnalny"/>
    <w:uiPriority w:val="99"/>
    <w:semiHidden/>
    <w:locked/>
    <w:rsid w:val="007C28CC"/>
    <w:rPr>
      <w:rFonts w:eastAsia="MS Mincho" w:cs="Times New Roman"/>
      <w:lang w:val="pl-PL" w:eastAsia="zh-CN"/>
    </w:rPr>
  </w:style>
  <w:style w:type="table" w:styleId="Kolorowasiatka">
    <w:name w:val="Colorful Grid"/>
    <w:basedOn w:val="Standardowy"/>
    <w:uiPriority w:val="99"/>
    <w:semiHidden/>
    <w:rsid w:val="007C28CC"/>
    <w:rPr>
      <w:color w:val="000000"/>
      <w:sz w:val="20"/>
      <w:szCs w:val="20"/>
    </w:rPr>
    <w:tblPr>
      <w:tblStyleRowBandSize w:val="1"/>
      <w:tblStyleColBandSize w:val="1"/>
      <w:tblBorders>
        <w:insideH w:val="single" w:sz="4" w:space="0" w:color="FFFFFF"/>
      </w:tblBorders>
    </w:tblPr>
    <w:tcPr>
      <w:shd w:val="clear" w:color="auto" w:fill="CCCCCC"/>
    </w:tcPr>
    <w:tblStylePr w:type="firstRow">
      <w:rPr>
        <w:rFonts w:cs="Times New Roman"/>
        <w:b/>
        <w:bCs/>
      </w:rPr>
      <w:tblPr/>
      <w:tcPr>
        <w:shd w:val="clear" w:color="auto" w:fill="999999"/>
      </w:tcPr>
    </w:tblStylePr>
    <w:tblStylePr w:type="lastRow">
      <w:rPr>
        <w:rFonts w:cs="Times New Roman"/>
        <w:b/>
        <w:bCs/>
        <w:color w:val="000000"/>
      </w:rPr>
      <w:tblPr/>
      <w:tcPr>
        <w:shd w:val="clear" w:color="auto" w:fill="999999"/>
      </w:tcPr>
    </w:tblStylePr>
    <w:tblStylePr w:type="firstCol">
      <w:rPr>
        <w:rFonts w:cs="Times New Roman"/>
        <w:color w:val="FFFFFF"/>
      </w:rPr>
      <w:tblPr/>
      <w:tcPr>
        <w:shd w:val="clear" w:color="auto" w:fill="000000"/>
      </w:tcPr>
    </w:tblStylePr>
    <w:tblStylePr w:type="lastCol">
      <w:rPr>
        <w:rFonts w:cs="Times New Roman"/>
        <w:color w:val="FFFFFF"/>
      </w:rPr>
      <w:tblPr/>
      <w:tcPr>
        <w:shd w:val="clear" w:color="auto" w:fill="000000"/>
      </w:tcPr>
    </w:tblStylePr>
    <w:tblStylePr w:type="band1Vert">
      <w:rPr>
        <w:rFonts w:cs="Times New Roman"/>
      </w:rPr>
      <w:tblPr/>
      <w:tcPr>
        <w:shd w:val="clear" w:color="auto" w:fill="808080"/>
      </w:tcPr>
    </w:tblStylePr>
    <w:tblStylePr w:type="band1Horz">
      <w:rPr>
        <w:rFonts w:cs="Times New Roman"/>
      </w:rPr>
      <w:tblPr/>
      <w:tcPr>
        <w:shd w:val="clear" w:color="auto" w:fill="808080"/>
      </w:tcPr>
    </w:tblStylePr>
  </w:style>
  <w:style w:type="table" w:styleId="Kolorowasiatkaakcent1">
    <w:name w:val="Colorful Grid Accent 1"/>
    <w:basedOn w:val="Standardowy"/>
    <w:uiPriority w:val="99"/>
    <w:semiHidden/>
    <w:rsid w:val="007C28CC"/>
    <w:rPr>
      <w:color w:val="000000"/>
      <w:sz w:val="20"/>
      <w:szCs w:val="20"/>
    </w:rPr>
    <w:tblPr>
      <w:tblStyleRowBandSize w:val="1"/>
      <w:tblStyleColBandSize w:val="1"/>
      <w:tblBorders>
        <w:insideH w:val="single" w:sz="4" w:space="0" w:color="FFFFFF"/>
      </w:tblBorders>
    </w:tblPr>
    <w:tcPr>
      <w:shd w:val="clear" w:color="auto" w:fill="F6D5E4"/>
    </w:tcPr>
    <w:tblStylePr w:type="firstRow">
      <w:rPr>
        <w:rFonts w:cs="Times New Roman"/>
        <w:b/>
        <w:bCs/>
      </w:rPr>
      <w:tblPr/>
      <w:tcPr>
        <w:shd w:val="clear" w:color="auto" w:fill="EDABCA"/>
      </w:tcPr>
    </w:tblStylePr>
    <w:tblStylePr w:type="lastRow">
      <w:rPr>
        <w:rFonts w:cs="Times New Roman"/>
        <w:b/>
        <w:bCs/>
        <w:color w:val="000000"/>
      </w:rPr>
      <w:tblPr/>
      <w:tcPr>
        <w:shd w:val="clear" w:color="auto" w:fill="EDABCA"/>
      </w:tcPr>
    </w:tblStylePr>
    <w:tblStylePr w:type="firstCol">
      <w:rPr>
        <w:rFonts w:cs="Times New Roman"/>
        <w:color w:val="FFFFFF"/>
      </w:rPr>
      <w:tblPr/>
      <w:tcPr>
        <w:shd w:val="clear" w:color="auto" w:fill="9D215D"/>
      </w:tcPr>
    </w:tblStylePr>
    <w:tblStylePr w:type="lastCol">
      <w:rPr>
        <w:rFonts w:cs="Times New Roman"/>
        <w:color w:val="FFFFFF"/>
      </w:rPr>
      <w:tblPr/>
      <w:tcPr>
        <w:shd w:val="clear" w:color="auto" w:fill="9D215D"/>
      </w:tcPr>
    </w:tblStylePr>
    <w:tblStylePr w:type="band1Vert">
      <w:rPr>
        <w:rFonts w:cs="Times New Roman"/>
      </w:rPr>
      <w:tblPr/>
      <w:tcPr>
        <w:shd w:val="clear" w:color="auto" w:fill="E896BE"/>
      </w:tcPr>
    </w:tblStylePr>
    <w:tblStylePr w:type="band1Horz">
      <w:rPr>
        <w:rFonts w:cs="Times New Roman"/>
      </w:rPr>
      <w:tblPr/>
      <w:tcPr>
        <w:shd w:val="clear" w:color="auto" w:fill="E896BE"/>
      </w:tcPr>
    </w:tblStylePr>
  </w:style>
  <w:style w:type="table" w:styleId="Kolorowasiatkaakcent2">
    <w:name w:val="Colorful Grid Accent 2"/>
    <w:basedOn w:val="Standardowy"/>
    <w:uiPriority w:val="99"/>
    <w:semiHidden/>
    <w:rsid w:val="007C28CC"/>
    <w:rPr>
      <w:color w:val="000000"/>
      <w:sz w:val="20"/>
      <w:szCs w:val="20"/>
    </w:rPr>
    <w:tblPr>
      <w:tblStyleRowBandSize w:val="1"/>
      <w:tblStyleColBandSize w:val="1"/>
      <w:tblBorders>
        <w:insideH w:val="single" w:sz="4" w:space="0" w:color="FFFFFF"/>
      </w:tblBorders>
    </w:tblPr>
    <w:tcPr>
      <w:shd w:val="clear" w:color="auto" w:fill="D4EDF9"/>
    </w:tcPr>
    <w:tblStylePr w:type="firstRow">
      <w:rPr>
        <w:rFonts w:cs="Times New Roman"/>
        <w:b/>
        <w:bCs/>
      </w:rPr>
      <w:tblPr/>
      <w:tcPr>
        <w:shd w:val="clear" w:color="auto" w:fill="A9DCF3"/>
      </w:tcPr>
    </w:tblStylePr>
    <w:tblStylePr w:type="lastRow">
      <w:rPr>
        <w:rFonts w:cs="Times New Roman"/>
        <w:b/>
        <w:bCs/>
        <w:color w:val="000000"/>
      </w:rPr>
      <w:tblPr/>
      <w:tcPr>
        <w:shd w:val="clear" w:color="auto" w:fill="A9DCF3"/>
      </w:tcPr>
    </w:tblStylePr>
    <w:tblStylePr w:type="firstCol">
      <w:rPr>
        <w:rFonts w:cs="Times New Roman"/>
        <w:color w:val="FFFFFF"/>
      </w:rPr>
      <w:tblPr/>
      <w:tcPr>
        <w:shd w:val="clear" w:color="auto" w:fill="1881AE"/>
      </w:tcPr>
    </w:tblStylePr>
    <w:tblStylePr w:type="lastCol">
      <w:rPr>
        <w:rFonts w:cs="Times New Roman"/>
        <w:color w:val="FFFFFF"/>
      </w:rPr>
      <w:tblPr/>
      <w:tcPr>
        <w:shd w:val="clear" w:color="auto" w:fill="1881AE"/>
      </w:tcPr>
    </w:tblStylePr>
    <w:tblStylePr w:type="band1Vert">
      <w:rPr>
        <w:rFonts w:cs="Times New Roman"/>
      </w:rPr>
      <w:tblPr/>
      <w:tcPr>
        <w:shd w:val="clear" w:color="auto" w:fill="93D4F0"/>
      </w:tcPr>
    </w:tblStylePr>
    <w:tblStylePr w:type="band1Horz">
      <w:rPr>
        <w:rFonts w:cs="Times New Roman"/>
      </w:rPr>
      <w:tblPr/>
      <w:tcPr>
        <w:shd w:val="clear" w:color="auto" w:fill="93D4F0"/>
      </w:tcPr>
    </w:tblStylePr>
  </w:style>
  <w:style w:type="table" w:styleId="Kolorowasiatkaakcent3">
    <w:name w:val="Colorful Grid Accent 3"/>
    <w:basedOn w:val="Standardowy"/>
    <w:uiPriority w:val="99"/>
    <w:semiHidden/>
    <w:rsid w:val="007C28CC"/>
    <w:rPr>
      <w:color w:val="000000"/>
      <w:sz w:val="20"/>
      <w:szCs w:val="20"/>
    </w:rPr>
    <w:tblPr>
      <w:tblStyleRowBandSize w:val="1"/>
      <w:tblStyleColBandSize w:val="1"/>
      <w:tblBorders>
        <w:insideH w:val="single" w:sz="4" w:space="0" w:color="FFFFFF"/>
      </w:tblBorders>
    </w:tblPr>
    <w:tcPr>
      <w:shd w:val="clear" w:color="auto" w:fill="FCDBD3"/>
    </w:tcPr>
    <w:tblStylePr w:type="firstRow">
      <w:rPr>
        <w:rFonts w:cs="Times New Roman"/>
        <w:b/>
        <w:bCs/>
      </w:rPr>
      <w:tblPr/>
      <w:tcPr>
        <w:shd w:val="clear" w:color="auto" w:fill="F9B8A7"/>
      </w:tcPr>
    </w:tblStylePr>
    <w:tblStylePr w:type="lastRow">
      <w:rPr>
        <w:rFonts w:cs="Times New Roman"/>
        <w:b/>
        <w:bCs/>
        <w:color w:val="000000"/>
      </w:rPr>
      <w:tblPr/>
      <w:tcPr>
        <w:shd w:val="clear" w:color="auto" w:fill="F9B8A7"/>
      </w:tcPr>
    </w:tblStylePr>
    <w:tblStylePr w:type="firstCol">
      <w:rPr>
        <w:rFonts w:cs="Times New Roman"/>
        <w:color w:val="FFFFFF"/>
      </w:rPr>
      <w:tblPr/>
      <w:tcPr>
        <w:shd w:val="clear" w:color="auto" w:fill="C0330D"/>
      </w:tcPr>
    </w:tblStylePr>
    <w:tblStylePr w:type="lastCol">
      <w:rPr>
        <w:rFonts w:cs="Times New Roman"/>
        <w:color w:val="FFFFFF"/>
      </w:rPr>
      <w:tblPr/>
      <w:tcPr>
        <w:shd w:val="clear" w:color="auto" w:fill="C0330D"/>
      </w:tcPr>
    </w:tblStylePr>
    <w:tblStylePr w:type="band1Vert">
      <w:rPr>
        <w:rFonts w:cs="Times New Roman"/>
      </w:rPr>
      <w:tblPr/>
      <w:tcPr>
        <w:shd w:val="clear" w:color="auto" w:fill="F7A791"/>
      </w:tcPr>
    </w:tblStylePr>
    <w:tblStylePr w:type="band1Horz">
      <w:rPr>
        <w:rFonts w:cs="Times New Roman"/>
      </w:rPr>
      <w:tblPr/>
      <w:tcPr>
        <w:shd w:val="clear" w:color="auto" w:fill="F7A791"/>
      </w:tcPr>
    </w:tblStylePr>
  </w:style>
  <w:style w:type="table" w:styleId="Kolorowasiatkaakcent4">
    <w:name w:val="Colorful Grid Accent 4"/>
    <w:basedOn w:val="Standardowy"/>
    <w:uiPriority w:val="99"/>
    <w:semiHidden/>
    <w:rsid w:val="007C28CC"/>
    <w:rPr>
      <w:color w:val="000000"/>
      <w:sz w:val="20"/>
      <w:szCs w:val="20"/>
    </w:rPr>
    <w:tblPr>
      <w:tblStyleRowBandSize w:val="1"/>
      <w:tblStyleColBandSize w:val="1"/>
      <w:tblBorders>
        <w:insideH w:val="single" w:sz="4" w:space="0" w:color="FFFFFF"/>
      </w:tblBorders>
    </w:tblPr>
    <w:tcPr>
      <w:shd w:val="clear" w:color="auto" w:fill="E1E2F0"/>
    </w:tcPr>
    <w:tblStylePr w:type="firstRow">
      <w:rPr>
        <w:rFonts w:cs="Times New Roman"/>
        <w:b/>
        <w:bCs/>
      </w:rPr>
      <w:tblPr/>
      <w:tcPr>
        <w:shd w:val="clear" w:color="auto" w:fill="C3C5E1"/>
      </w:tcPr>
    </w:tblStylePr>
    <w:tblStylePr w:type="lastRow">
      <w:rPr>
        <w:rFonts w:cs="Times New Roman"/>
        <w:b/>
        <w:bCs/>
        <w:color w:val="000000"/>
      </w:rPr>
      <w:tblPr/>
      <w:tcPr>
        <w:shd w:val="clear" w:color="auto" w:fill="C3C5E1"/>
      </w:tcPr>
    </w:tblStylePr>
    <w:tblStylePr w:type="firstCol">
      <w:rPr>
        <w:rFonts w:cs="Times New Roman"/>
        <w:color w:val="FFFFFF"/>
      </w:rPr>
      <w:tblPr/>
      <w:tcPr>
        <w:shd w:val="clear" w:color="auto" w:fill="474B8E"/>
      </w:tcPr>
    </w:tblStylePr>
    <w:tblStylePr w:type="lastCol">
      <w:rPr>
        <w:rFonts w:cs="Times New Roman"/>
        <w:color w:val="FFFFFF"/>
      </w:rPr>
      <w:tblPr/>
      <w:tcPr>
        <w:shd w:val="clear" w:color="auto" w:fill="474B8E"/>
      </w:tcPr>
    </w:tblStylePr>
    <w:tblStylePr w:type="band1Vert">
      <w:rPr>
        <w:rFonts w:cs="Times New Roman"/>
      </w:rPr>
      <w:tblPr/>
      <w:tcPr>
        <w:shd w:val="clear" w:color="auto" w:fill="B4B6D9"/>
      </w:tcPr>
    </w:tblStylePr>
    <w:tblStylePr w:type="band1Horz">
      <w:rPr>
        <w:rFonts w:cs="Times New Roman"/>
      </w:rPr>
      <w:tblPr/>
      <w:tcPr>
        <w:shd w:val="clear" w:color="auto" w:fill="B4B6D9"/>
      </w:tcPr>
    </w:tblStylePr>
  </w:style>
  <w:style w:type="table" w:styleId="Kolorowasiatkaakcent5">
    <w:name w:val="Colorful Grid Accent 5"/>
    <w:basedOn w:val="Standardowy"/>
    <w:uiPriority w:val="99"/>
    <w:semiHidden/>
    <w:rsid w:val="007C28CC"/>
    <w:rPr>
      <w:color w:val="000000"/>
      <w:sz w:val="20"/>
      <w:szCs w:val="20"/>
    </w:rPr>
    <w:tblPr>
      <w:tblStyleRowBandSize w:val="1"/>
      <w:tblStyleColBandSize w:val="1"/>
      <w:tblBorders>
        <w:insideH w:val="single" w:sz="4" w:space="0" w:color="FFFFFF"/>
      </w:tblBorders>
    </w:tblPr>
    <w:tcPr>
      <w:shd w:val="clear" w:color="auto" w:fill="FEEAD2"/>
    </w:tcPr>
    <w:tblStylePr w:type="firstRow">
      <w:rPr>
        <w:rFonts w:cs="Times New Roman"/>
        <w:b/>
        <w:bCs/>
      </w:rPr>
      <w:tblPr/>
      <w:tcPr>
        <w:shd w:val="clear" w:color="auto" w:fill="FDD6A5"/>
      </w:tcPr>
    </w:tblStylePr>
    <w:tblStylePr w:type="lastRow">
      <w:rPr>
        <w:rFonts w:cs="Times New Roman"/>
        <w:b/>
        <w:bCs/>
        <w:color w:val="000000"/>
      </w:rPr>
      <w:tblPr/>
      <w:tcPr>
        <w:shd w:val="clear" w:color="auto" w:fill="FDD6A5"/>
      </w:tcPr>
    </w:tblStylePr>
    <w:tblStylePr w:type="firstCol">
      <w:rPr>
        <w:rFonts w:cs="Times New Roman"/>
        <w:color w:val="FFFFFF"/>
      </w:rPr>
      <w:tblPr/>
      <w:tcPr>
        <w:shd w:val="clear" w:color="auto" w:fill="CD7504"/>
      </w:tcPr>
    </w:tblStylePr>
    <w:tblStylePr w:type="lastCol">
      <w:rPr>
        <w:rFonts w:cs="Times New Roman"/>
        <w:color w:val="FFFFFF"/>
      </w:rPr>
      <w:tblPr/>
      <w:tcPr>
        <w:shd w:val="clear" w:color="auto" w:fill="CD7504"/>
      </w:tcPr>
    </w:tblStylePr>
    <w:tblStylePr w:type="band1Vert">
      <w:rPr>
        <w:rFonts w:cs="Times New Roman"/>
      </w:rPr>
      <w:tblPr/>
      <w:tcPr>
        <w:shd w:val="clear" w:color="auto" w:fill="FCCC8E"/>
      </w:tcPr>
    </w:tblStylePr>
    <w:tblStylePr w:type="band1Horz">
      <w:rPr>
        <w:rFonts w:cs="Times New Roman"/>
      </w:rPr>
      <w:tblPr/>
      <w:tcPr>
        <w:shd w:val="clear" w:color="auto" w:fill="FCCC8E"/>
      </w:tcPr>
    </w:tblStylePr>
  </w:style>
  <w:style w:type="table" w:styleId="Kolorowasiatkaakcent6">
    <w:name w:val="Colorful Grid Accent 6"/>
    <w:basedOn w:val="Standardowy"/>
    <w:uiPriority w:val="99"/>
    <w:semiHidden/>
    <w:rsid w:val="007C28CC"/>
    <w:rPr>
      <w:color w:val="000000"/>
      <w:sz w:val="20"/>
      <w:szCs w:val="20"/>
    </w:rPr>
    <w:tblPr>
      <w:tblStyleRowBandSize w:val="1"/>
      <w:tblStyleColBandSize w:val="1"/>
      <w:tblBorders>
        <w:insideH w:val="single" w:sz="4" w:space="0" w:color="FFFFFF"/>
      </w:tblBorders>
    </w:tblPr>
    <w:tcPr>
      <w:shd w:val="clear" w:color="auto" w:fill="CEF4E3"/>
    </w:tcPr>
    <w:tblStylePr w:type="firstRow">
      <w:rPr>
        <w:rFonts w:cs="Times New Roman"/>
        <w:b/>
        <w:bCs/>
      </w:rPr>
      <w:tblPr/>
      <w:tcPr>
        <w:shd w:val="clear" w:color="auto" w:fill="9EE9C7"/>
      </w:tcPr>
    </w:tblStylePr>
    <w:tblStylePr w:type="lastRow">
      <w:rPr>
        <w:rFonts w:cs="Times New Roman"/>
        <w:b/>
        <w:bCs/>
        <w:color w:val="000000"/>
      </w:rPr>
      <w:tblPr/>
      <w:tcPr>
        <w:shd w:val="clear" w:color="auto" w:fill="9EE9C7"/>
      </w:tcPr>
    </w:tblStylePr>
    <w:tblStylePr w:type="firstCol">
      <w:rPr>
        <w:rFonts w:cs="Times New Roman"/>
        <w:color w:val="FFFFFF"/>
      </w:rPr>
      <w:tblPr/>
      <w:tcPr>
        <w:shd w:val="clear" w:color="auto" w:fill="1E8355"/>
      </w:tcPr>
    </w:tblStylePr>
    <w:tblStylePr w:type="lastCol">
      <w:rPr>
        <w:rFonts w:cs="Times New Roman"/>
        <w:color w:val="FFFFFF"/>
      </w:rPr>
      <w:tblPr/>
      <w:tcPr>
        <w:shd w:val="clear" w:color="auto" w:fill="1E8355"/>
      </w:tcPr>
    </w:tblStylePr>
    <w:tblStylePr w:type="band1Vert">
      <w:rPr>
        <w:rFonts w:cs="Times New Roman"/>
      </w:rPr>
      <w:tblPr/>
      <w:tcPr>
        <w:shd w:val="clear" w:color="auto" w:fill="87E3BA"/>
      </w:tcPr>
    </w:tblStylePr>
    <w:tblStylePr w:type="band1Horz">
      <w:rPr>
        <w:rFonts w:cs="Times New Roman"/>
      </w:rPr>
      <w:tblPr/>
      <w:tcPr>
        <w:shd w:val="clear" w:color="auto" w:fill="87E3BA"/>
      </w:tcPr>
    </w:tblStylePr>
  </w:style>
  <w:style w:type="table" w:styleId="Kolorowalista">
    <w:name w:val="Colorful List"/>
    <w:basedOn w:val="Standardowy"/>
    <w:uiPriority w:val="99"/>
    <w:semiHidden/>
    <w:rsid w:val="007C28CC"/>
    <w:rPr>
      <w:color w:val="000000"/>
      <w:sz w:val="20"/>
      <w:szCs w:val="20"/>
    </w:rPr>
    <w:tblPr>
      <w:tblStyleRowBandSize w:val="1"/>
      <w:tblStyleColBandSize w:val="1"/>
    </w:tblPr>
    <w:tcPr>
      <w:shd w:val="clear" w:color="auto" w:fill="E6E6E6"/>
    </w:tcPr>
    <w:tblStylePr w:type="firstRow">
      <w:rPr>
        <w:rFonts w:cs="Times New Roman"/>
        <w:b/>
        <w:bCs/>
        <w:color w:val="FFFFFF"/>
      </w:rPr>
      <w:tblPr/>
      <w:tcPr>
        <w:tcBorders>
          <w:bottom w:val="single" w:sz="12" w:space="0" w:color="FFFFFF"/>
        </w:tcBorders>
        <w:shd w:val="clear" w:color="auto" w:fill="1A8ABA"/>
      </w:tcPr>
    </w:tblStylePr>
    <w:tblStylePr w:type="lastRow">
      <w:rPr>
        <w:rFonts w:cs="Times New Roman"/>
        <w:b/>
        <w:bCs/>
        <w:color w:val="1A8ABA"/>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C0C0C0"/>
      </w:tcPr>
    </w:tblStylePr>
    <w:tblStylePr w:type="band1Horz">
      <w:rPr>
        <w:rFonts w:cs="Times New Roman"/>
      </w:rPr>
      <w:tblPr/>
      <w:tcPr>
        <w:shd w:val="clear" w:color="auto" w:fill="CCCCCC"/>
      </w:tcPr>
    </w:tblStylePr>
  </w:style>
  <w:style w:type="table" w:styleId="Kolorowalistaakcent1">
    <w:name w:val="Colorful List Accent 1"/>
    <w:basedOn w:val="Standardowy"/>
    <w:uiPriority w:val="99"/>
    <w:semiHidden/>
    <w:rsid w:val="007C28CC"/>
    <w:rPr>
      <w:color w:val="000000"/>
      <w:sz w:val="20"/>
      <w:szCs w:val="20"/>
    </w:rPr>
    <w:tblPr>
      <w:tblStyleRowBandSize w:val="1"/>
      <w:tblStyleColBandSize w:val="1"/>
    </w:tblPr>
    <w:tcPr>
      <w:shd w:val="clear" w:color="auto" w:fill="FAEAF2"/>
    </w:tcPr>
    <w:tblStylePr w:type="firstRow">
      <w:rPr>
        <w:rFonts w:cs="Times New Roman"/>
        <w:b/>
        <w:bCs/>
        <w:color w:val="FFFFFF"/>
      </w:rPr>
      <w:tblPr/>
      <w:tcPr>
        <w:tcBorders>
          <w:bottom w:val="single" w:sz="12" w:space="0" w:color="FFFFFF"/>
        </w:tcBorders>
        <w:shd w:val="clear" w:color="auto" w:fill="1A8ABA"/>
      </w:tcPr>
    </w:tblStylePr>
    <w:tblStylePr w:type="lastRow">
      <w:rPr>
        <w:rFonts w:cs="Times New Roman"/>
        <w:b/>
        <w:bCs/>
        <w:color w:val="1A8ABA"/>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F4CBDE"/>
      </w:tcPr>
    </w:tblStylePr>
    <w:tblStylePr w:type="band1Horz">
      <w:rPr>
        <w:rFonts w:cs="Times New Roman"/>
      </w:rPr>
      <w:tblPr/>
      <w:tcPr>
        <w:shd w:val="clear" w:color="auto" w:fill="F6D5E4"/>
      </w:tcPr>
    </w:tblStylePr>
  </w:style>
  <w:style w:type="table" w:styleId="Kolorowalistaakcent2">
    <w:name w:val="Colorful List Accent 2"/>
    <w:basedOn w:val="Standardowy"/>
    <w:uiPriority w:val="99"/>
    <w:semiHidden/>
    <w:rsid w:val="007C28CC"/>
    <w:rPr>
      <w:color w:val="000000"/>
      <w:sz w:val="20"/>
      <w:szCs w:val="20"/>
    </w:rPr>
    <w:tblPr>
      <w:tblStyleRowBandSize w:val="1"/>
      <w:tblStyleColBandSize w:val="1"/>
    </w:tblPr>
    <w:tcPr>
      <w:shd w:val="clear" w:color="auto" w:fill="E9F6FC"/>
    </w:tcPr>
    <w:tblStylePr w:type="firstRow">
      <w:rPr>
        <w:rFonts w:cs="Times New Roman"/>
        <w:b/>
        <w:bCs/>
        <w:color w:val="FFFFFF"/>
      </w:rPr>
      <w:tblPr/>
      <w:tcPr>
        <w:tcBorders>
          <w:bottom w:val="single" w:sz="12" w:space="0" w:color="FFFFFF"/>
        </w:tcBorders>
        <w:shd w:val="clear" w:color="auto" w:fill="1A8ABA"/>
      </w:tcPr>
    </w:tblStylePr>
    <w:tblStylePr w:type="lastRow">
      <w:rPr>
        <w:rFonts w:cs="Times New Roman"/>
        <w:b/>
        <w:bCs/>
        <w:color w:val="1A8ABA"/>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C9E9F7"/>
      </w:tcPr>
    </w:tblStylePr>
    <w:tblStylePr w:type="band1Horz">
      <w:rPr>
        <w:rFonts w:cs="Times New Roman"/>
      </w:rPr>
      <w:tblPr/>
      <w:tcPr>
        <w:shd w:val="clear" w:color="auto" w:fill="D4EDF9"/>
      </w:tcPr>
    </w:tblStylePr>
  </w:style>
  <w:style w:type="table" w:styleId="Kolorowalistaakcent3">
    <w:name w:val="Colorful List Accent 3"/>
    <w:basedOn w:val="Standardowy"/>
    <w:uiPriority w:val="99"/>
    <w:semiHidden/>
    <w:rsid w:val="007C28CC"/>
    <w:rPr>
      <w:color w:val="000000"/>
      <w:sz w:val="20"/>
      <w:szCs w:val="20"/>
    </w:rPr>
    <w:tblPr>
      <w:tblStyleRowBandSize w:val="1"/>
      <w:tblStyleColBandSize w:val="1"/>
    </w:tblPr>
    <w:tcPr>
      <w:shd w:val="clear" w:color="auto" w:fill="FDEDE9"/>
    </w:tcPr>
    <w:tblStylePr w:type="firstRow">
      <w:rPr>
        <w:rFonts w:cs="Times New Roman"/>
        <w:b/>
        <w:bCs/>
        <w:color w:val="FFFFFF"/>
      </w:rPr>
      <w:tblPr/>
      <w:tcPr>
        <w:tcBorders>
          <w:bottom w:val="single" w:sz="12" w:space="0" w:color="FFFFFF"/>
        </w:tcBorders>
        <w:shd w:val="clear" w:color="auto" w:fill="4C5198"/>
      </w:tcPr>
    </w:tblStylePr>
    <w:tblStylePr w:type="lastRow">
      <w:rPr>
        <w:rFonts w:cs="Times New Roman"/>
        <w:b/>
        <w:bCs/>
        <w:color w:val="4C5198"/>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FBD3C8"/>
      </w:tcPr>
    </w:tblStylePr>
    <w:tblStylePr w:type="band1Horz">
      <w:rPr>
        <w:rFonts w:cs="Times New Roman"/>
      </w:rPr>
      <w:tblPr/>
      <w:tcPr>
        <w:shd w:val="clear" w:color="auto" w:fill="FCDBD3"/>
      </w:tcPr>
    </w:tblStylePr>
  </w:style>
  <w:style w:type="table" w:styleId="Kolorowalistaakcent4">
    <w:name w:val="Colorful List Accent 4"/>
    <w:basedOn w:val="Standardowy"/>
    <w:uiPriority w:val="99"/>
    <w:semiHidden/>
    <w:rsid w:val="007C28CC"/>
    <w:rPr>
      <w:color w:val="000000"/>
      <w:sz w:val="20"/>
      <w:szCs w:val="20"/>
    </w:rPr>
    <w:tblPr>
      <w:tblStyleRowBandSize w:val="1"/>
      <w:tblStyleColBandSize w:val="1"/>
    </w:tblPr>
    <w:tcPr>
      <w:shd w:val="clear" w:color="auto" w:fill="F0F0F7"/>
    </w:tcPr>
    <w:tblStylePr w:type="firstRow">
      <w:rPr>
        <w:rFonts w:cs="Times New Roman"/>
        <w:b/>
        <w:bCs/>
        <w:color w:val="FFFFFF"/>
      </w:rPr>
      <w:tblPr/>
      <w:tcPr>
        <w:tcBorders>
          <w:bottom w:val="single" w:sz="12" w:space="0" w:color="FFFFFF"/>
        </w:tcBorders>
        <w:shd w:val="clear" w:color="auto" w:fill="CD370E"/>
      </w:tcPr>
    </w:tblStylePr>
    <w:tblStylePr w:type="lastRow">
      <w:rPr>
        <w:rFonts w:cs="Times New Roman"/>
        <w:b/>
        <w:bCs/>
        <w:color w:val="CD370E"/>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9DBEC"/>
      </w:tcPr>
    </w:tblStylePr>
    <w:tblStylePr w:type="band1Horz">
      <w:rPr>
        <w:rFonts w:cs="Times New Roman"/>
      </w:rPr>
      <w:tblPr/>
      <w:tcPr>
        <w:shd w:val="clear" w:color="auto" w:fill="E1E2F0"/>
      </w:tcPr>
    </w:tblStylePr>
  </w:style>
  <w:style w:type="table" w:styleId="Kolorowalistaakcent5">
    <w:name w:val="Colorful List Accent 5"/>
    <w:basedOn w:val="Standardowy"/>
    <w:uiPriority w:val="99"/>
    <w:semiHidden/>
    <w:rsid w:val="007C28CC"/>
    <w:rPr>
      <w:color w:val="000000"/>
      <w:sz w:val="20"/>
      <w:szCs w:val="20"/>
    </w:rPr>
    <w:tblPr>
      <w:tblStyleRowBandSize w:val="1"/>
      <w:tblStyleColBandSize w:val="1"/>
    </w:tblPr>
    <w:tcPr>
      <w:shd w:val="clear" w:color="auto" w:fill="FEF5E8"/>
    </w:tcPr>
    <w:tblStylePr w:type="firstRow">
      <w:rPr>
        <w:rFonts w:cs="Times New Roman"/>
        <w:b/>
        <w:bCs/>
        <w:color w:val="FFFFFF"/>
      </w:rPr>
      <w:tblPr/>
      <w:tcPr>
        <w:tcBorders>
          <w:bottom w:val="single" w:sz="12" w:space="0" w:color="FFFFFF"/>
        </w:tcBorders>
        <w:shd w:val="clear" w:color="auto" w:fill="208B5B"/>
      </w:tcPr>
    </w:tblStylePr>
    <w:tblStylePr w:type="lastRow">
      <w:rPr>
        <w:rFonts w:cs="Times New Roman"/>
        <w:b/>
        <w:bCs/>
        <w:color w:val="208B5B"/>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FDE6C7"/>
      </w:tcPr>
    </w:tblStylePr>
    <w:tblStylePr w:type="band1Horz">
      <w:rPr>
        <w:rFonts w:cs="Times New Roman"/>
      </w:rPr>
      <w:tblPr/>
      <w:tcPr>
        <w:shd w:val="clear" w:color="auto" w:fill="FEEAD2"/>
      </w:tcPr>
    </w:tblStylePr>
  </w:style>
  <w:style w:type="table" w:styleId="Kolorowalistaakcent6">
    <w:name w:val="Colorful List Accent 6"/>
    <w:basedOn w:val="Standardowy"/>
    <w:uiPriority w:val="99"/>
    <w:semiHidden/>
    <w:rsid w:val="007C28CC"/>
    <w:rPr>
      <w:color w:val="000000"/>
      <w:sz w:val="20"/>
      <w:szCs w:val="20"/>
    </w:rPr>
    <w:tblPr>
      <w:tblStyleRowBandSize w:val="1"/>
      <w:tblStyleColBandSize w:val="1"/>
    </w:tblPr>
    <w:tcPr>
      <w:shd w:val="clear" w:color="auto" w:fill="E7F9F1"/>
    </w:tcPr>
    <w:tblStylePr w:type="firstRow">
      <w:rPr>
        <w:rFonts w:cs="Times New Roman"/>
        <w:b/>
        <w:bCs/>
        <w:color w:val="FFFFFF"/>
      </w:rPr>
      <w:tblPr/>
      <w:tcPr>
        <w:tcBorders>
          <w:bottom w:val="single" w:sz="12" w:space="0" w:color="FFFFFF"/>
        </w:tcBorders>
        <w:shd w:val="clear" w:color="auto" w:fill="DB7D05"/>
      </w:tcPr>
    </w:tblStylePr>
    <w:tblStylePr w:type="lastRow">
      <w:rPr>
        <w:rFonts w:cs="Times New Roman"/>
        <w:b/>
        <w:bCs/>
        <w:color w:val="DB7D05"/>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C3F1DC"/>
      </w:tcPr>
    </w:tblStylePr>
    <w:tblStylePr w:type="band1Horz">
      <w:rPr>
        <w:rFonts w:cs="Times New Roman"/>
      </w:rPr>
      <w:tblPr/>
      <w:tcPr>
        <w:shd w:val="clear" w:color="auto" w:fill="CEF4E3"/>
      </w:tcPr>
    </w:tblStylePr>
  </w:style>
  <w:style w:type="table" w:styleId="Kolorowecieniowanie">
    <w:name w:val="Colorful Shading"/>
    <w:basedOn w:val="Standardowy"/>
    <w:uiPriority w:val="99"/>
    <w:semiHidden/>
    <w:rsid w:val="007C28CC"/>
    <w:rPr>
      <w:color w:val="000000"/>
      <w:sz w:val="20"/>
      <w:szCs w:val="20"/>
    </w:rPr>
    <w:tblPr>
      <w:tblStyleRowBandSize w:val="1"/>
      <w:tblStyleColBandSize w:val="1"/>
      <w:tblBorders>
        <w:top w:val="single" w:sz="24" w:space="0" w:color="28AAE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Times New Roman"/>
        <w:b/>
        <w:bCs/>
      </w:rPr>
      <w:tblPr/>
      <w:tcPr>
        <w:tcBorders>
          <w:top w:val="nil"/>
          <w:left w:val="nil"/>
          <w:bottom w:val="single" w:sz="24" w:space="0" w:color="28AAE1"/>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000000"/>
      </w:tcPr>
    </w:tblStylePr>
    <w:tblStylePr w:type="firstCol">
      <w:rPr>
        <w:rFonts w:cs="Times New Roman"/>
        <w:color w:val="FFFFFF"/>
      </w:rPr>
      <w:tblPr/>
      <w:tcPr>
        <w:tcBorders>
          <w:top w:val="nil"/>
          <w:left w:val="nil"/>
          <w:bottom w:val="nil"/>
          <w:right w:val="nil"/>
          <w:insideH w:val="single" w:sz="4" w:space="0" w:color="000000"/>
          <w:insideV w:val="nil"/>
        </w:tcBorders>
        <w:shd w:val="clear" w:color="auto" w:fill="000000"/>
      </w:tcPr>
    </w:tblStylePr>
    <w:tblStylePr w:type="lastCol">
      <w:rPr>
        <w:rFonts w:cs="Times New Roman"/>
        <w:color w:val="FFFFFF"/>
      </w:rPr>
      <w:tblPr/>
      <w:tcPr>
        <w:tcBorders>
          <w:top w:val="nil"/>
          <w:left w:val="nil"/>
          <w:bottom w:val="nil"/>
          <w:right w:val="nil"/>
          <w:insideH w:val="nil"/>
          <w:insideV w:val="nil"/>
        </w:tcBorders>
        <w:shd w:val="clear" w:color="auto" w:fill="000000"/>
      </w:tcPr>
    </w:tblStylePr>
    <w:tblStylePr w:type="band1Vert">
      <w:rPr>
        <w:rFonts w:cs="Times New Roman"/>
      </w:rPr>
      <w:tblPr/>
      <w:tcPr>
        <w:shd w:val="clear" w:color="auto" w:fill="999999"/>
      </w:tcPr>
    </w:tblStylePr>
    <w:tblStylePr w:type="band1Horz">
      <w:rPr>
        <w:rFonts w:cs="Times New Roman"/>
      </w:rPr>
      <w:tblPr/>
      <w:tcPr>
        <w:shd w:val="clear" w:color="auto" w:fill="808080"/>
      </w:tcPr>
    </w:tblStylePr>
    <w:tblStylePr w:type="neCell">
      <w:rPr>
        <w:rFonts w:cs="Times New Roman"/>
        <w:color w:val="000000"/>
      </w:rPr>
    </w:tblStylePr>
    <w:tblStylePr w:type="nwCell">
      <w:rPr>
        <w:rFonts w:cs="Times New Roman"/>
        <w:color w:val="000000"/>
      </w:rPr>
    </w:tblStylePr>
  </w:style>
  <w:style w:type="table" w:styleId="Kolorowecieniowanieakcent1">
    <w:name w:val="Colorful Shading Accent 1"/>
    <w:basedOn w:val="Standardowy"/>
    <w:uiPriority w:val="99"/>
    <w:semiHidden/>
    <w:rsid w:val="007C28CC"/>
    <w:rPr>
      <w:color w:val="000000"/>
      <w:sz w:val="20"/>
      <w:szCs w:val="20"/>
    </w:rPr>
    <w:tblPr>
      <w:tblStyleRowBandSize w:val="1"/>
      <w:tblStyleColBandSize w:val="1"/>
      <w:tblBorders>
        <w:top w:val="single" w:sz="24" w:space="0" w:color="28AAE1"/>
        <w:left w:val="single" w:sz="4" w:space="0" w:color="D22D7D"/>
        <w:bottom w:val="single" w:sz="4" w:space="0" w:color="D22D7D"/>
        <w:right w:val="single" w:sz="4" w:space="0" w:color="D22D7D"/>
        <w:insideH w:val="single" w:sz="4" w:space="0" w:color="FFFFFF"/>
        <w:insideV w:val="single" w:sz="4" w:space="0" w:color="FFFFFF"/>
      </w:tblBorders>
    </w:tblPr>
    <w:tcPr>
      <w:shd w:val="clear" w:color="auto" w:fill="FAEAF2"/>
    </w:tcPr>
    <w:tblStylePr w:type="firstRow">
      <w:rPr>
        <w:rFonts w:cs="Times New Roman"/>
        <w:b/>
        <w:bCs/>
      </w:rPr>
      <w:tblPr/>
      <w:tcPr>
        <w:tcBorders>
          <w:top w:val="nil"/>
          <w:left w:val="nil"/>
          <w:bottom w:val="single" w:sz="24" w:space="0" w:color="28AAE1"/>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7E1B4A"/>
      </w:tcPr>
    </w:tblStylePr>
    <w:tblStylePr w:type="firstCol">
      <w:rPr>
        <w:rFonts w:cs="Times New Roman"/>
        <w:color w:val="FFFFFF"/>
      </w:rPr>
      <w:tblPr/>
      <w:tcPr>
        <w:tcBorders>
          <w:top w:val="nil"/>
          <w:left w:val="nil"/>
          <w:bottom w:val="nil"/>
          <w:right w:val="nil"/>
          <w:insideH w:val="single" w:sz="4" w:space="0" w:color="7E1B4A"/>
          <w:insideV w:val="nil"/>
        </w:tcBorders>
        <w:shd w:val="clear" w:color="auto" w:fill="7E1B4A"/>
      </w:tcPr>
    </w:tblStylePr>
    <w:tblStylePr w:type="lastCol">
      <w:rPr>
        <w:rFonts w:cs="Times New Roman"/>
        <w:color w:val="FFFFFF"/>
      </w:rPr>
      <w:tblPr/>
      <w:tcPr>
        <w:tcBorders>
          <w:top w:val="nil"/>
          <w:left w:val="nil"/>
          <w:bottom w:val="nil"/>
          <w:right w:val="nil"/>
          <w:insideH w:val="nil"/>
          <w:insideV w:val="nil"/>
        </w:tcBorders>
        <w:shd w:val="clear" w:color="auto" w:fill="7E1B4A"/>
      </w:tcPr>
    </w:tblStylePr>
    <w:tblStylePr w:type="band1Vert">
      <w:rPr>
        <w:rFonts w:cs="Times New Roman"/>
      </w:rPr>
      <w:tblPr/>
      <w:tcPr>
        <w:shd w:val="clear" w:color="auto" w:fill="EDABCA"/>
      </w:tcPr>
    </w:tblStylePr>
    <w:tblStylePr w:type="band1Horz">
      <w:rPr>
        <w:rFonts w:cs="Times New Roman"/>
      </w:rPr>
      <w:tblPr/>
      <w:tcPr>
        <w:shd w:val="clear" w:color="auto" w:fill="E896BE"/>
      </w:tcPr>
    </w:tblStylePr>
    <w:tblStylePr w:type="neCell">
      <w:rPr>
        <w:rFonts w:cs="Times New Roman"/>
        <w:color w:val="000000"/>
      </w:rPr>
    </w:tblStylePr>
    <w:tblStylePr w:type="nwCell">
      <w:rPr>
        <w:rFonts w:cs="Times New Roman"/>
        <w:color w:val="000000"/>
      </w:rPr>
    </w:tblStylePr>
  </w:style>
  <w:style w:type="table" w:styleId="Kolorowecieniowanieakcent2">
    <w:name w:val="Colorful Shading Accent 2"/>
    <w:basedOn w:val="Standardowy"/>
    <w:uiPriority w:val="99"/>
    <w:semiHidden/>
    <w:rsid w:val="007C28CC"/>
    <w:rPr>
      <w:color w:val="000000"/>
      <w:sz w:val="20"/>
      <w:szCs w:val="20"/>
    </w:rPr>
    <w:tblPr>
      <w:tblStyleRowBandSize w:val="1"/>
      <w:tblStyleColBandSize w:val="1"/>
      <w:tblBorders>
        <w:top w:val="single" w:sz="24" w:space="0" w:color="28AAE1"/>
        <w:left w:val="single" w:sz="4" w:space="0" w:color="28AAE1"/>
        <w:bottom w:val="single" w:sz="4" w:space="0" w:color="28AAE1"/>
        <w:right w:val="single" w:sz="4" w:space="0" w:color="28AAE1"/>
        <w:insideH w:val="single" w:sz="4" w:space="0" w:color="FFFFFF"/>
        <w:insideV w:val="single" w:sz="4" w:space="0" w:color="FFFFFF"/>
      </w:tblBorders>
    </w:tblPr>
    <w:tcPr>
      <w:shd w:val="clear" w:color="auto" w:fill="E9F6FC"/>
    </w:tcPr>
    <w:tblStylePr w:type="firstRow">
      <w:rPr>
        <w:rFonts w:cs="Times New Roman"/>
        <w:b/>
        <w:bCs/>
      </w:rPr>
      <w:tblPr/>
      <w:tcPr>
        <w:tcBorders>
          <w:top w:val="nil"/>
          <w:left w:val="nil"/>
          <w:bottom w:val="single" w:sz="24" w:space="0" w:color="28AAE1"/>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13678B"/>
      </w:tcPr>
    </w:tblStylePr>
    <w:tblStylePr w:type="firstCol">
      <w:rPr>
        <w:rFonts w:cs="Times New Roman"/>
        <w:color w:val="FFFFFF"/>
      </w:rPr>
      <w:tblPr/>
      <w:tcPr>
        <w:tcBorders>
          <w:top w:val="nil"/>
          <w:left w:val="nil"/>
          <w:bottom w:val="nil"/>
          <w:right w:val="nil"/>
          <w:insideH w:val="single" w:sz="4" w:space="0" w:color="13678B"/>
          <w:insideV w:val="nil"/>
        </w:tcBorders>
        <w:shd w:val="clear" w:color="auto" w:fill="13678B"/>
      </w:tcPr>
    </w:tblStylePr>
    <w:tblStylePr w:type="lastCol">
      <w:rPr>
        <w:rFonts w:cs="Times New Roman"/>
        <w:color w:val="FFFFFF"/>
      </w:rPr>
      <w:tblPr/>
      <w:tcPr>
        <w:tcBorders>
          <w:top w:val="nil"/>
          <w:left w:val="nil"/>
          <w:bottom w:val="nil"/>
          <w:right w:val="nil"/>
          <w:insideH w:val="nil"/>
          <w:insideV w:val="nil"/>
        </w:tcBorders>
        <w:shd w:val="clear" w:color="auto" w:fill="13678B"/>
      </w:tcPr>
    </w:tblStylePr>
    <w:tblStylePr w:type="band1Vert">
      <w:rPr>
        <w:rFonts w:cs="Times New Roman"/>
      </w:rPr>
      <w:tblPr/>
      <w:tcPr>
        <w:shd w:val="clear" w:color="auto" w:fill="A9DCF3"/>
      </w:tcPr>
    </w:tblStylePr>
    <w:tblStylePr w:type="band1Horz">
      <w:rPr>
        <w:rFonts w:cs="Times New Roman"/>
      </w:rPr>
      <w:tblPr/>
      <w:tcPr>
        <w:shd w:val="clear" w:color="auto" w:fill="93D4F0"/>
      </w:tcPr>
    </w:tblStylePr>
    <w:tblStylePr w:type="neCell">
      <w:rPr>
        <w:rFonts w:cs="Times New Roman"/>
        <w:color w:val="000000"/>
      </w:rPr>
    </w:tblStylePr>
    <w:tblStylePr w:type="nwCell">
      <w:rPr>
        <w:rFonts w:cs="Times New Roman"/>
        <w:color w:val="000000"/>
      </w:rPr>
    </w:tblStylePr>
  </w:style>
  <w:style w:type="table" w:styleId="Kolorowecieniowanieakcent3">
    <w:name w:val="Colorful Shading Accent 3"/>
    <w:basedOn w:val="Standardowy"/>
    <w:uiPriority w:val="99"/>
    <w:semiHidden/>
    <w:rsid w:val="007C28CC"/>
    <w:rPr>
      <w:color w:val="000000"/>
      <w:sz w:val="20"/>
      <w:szCs w:val="20"/>
    </w:rPr>
    <w:tblPr>
      <w:tblStyleRowBandSize w:val="1"/>
      <w:tblStyleColBandSize w:val="1"/>
      <w:tblBorders>
        <w:top w:val="single" w:sz="24" w:space="0" w:color="696EB4"/>
        <w:left w:val="single" w:sz="4" w:space="0" w:color="F05023"/>
        <w:bottom w:val="single" w:sz="4" w:space="0" w:color="F05023"/>
        <w:right w:val="single" w:sz="4" w:space="0" w:color="F05023"/>
        <w:insideH w:val="single" w:sz="4" w:space="0" w:color="FFFFFF"/>
        <w:insideV w:val="single" w:sz="4" w:space="0" w:color="FFFFFF"/>
      </w:tblBorders>
    </w:tblPr>
    <w:tcPr>
      <w:shd w:val="clear" w:color="auto" w:fill="FDEDE9"/>
    </w:tcPr>
    <w:tblStylePr w:type="firstRow">
      <w:rPr>
        <w:rFonts w:cs="Times New Roman"/>
        <w:b/>
        <w:bCs/>
      </w:rPr>
      <w:tblPr/>
      <w:tcPr>
        <w:tcBorders>
          <w:top w:val="nil"/>
          <w:left w:val="nil"/>
          <w:bottom w:val="single" w:sz="24" w:space="0" w:color="696EB4"/>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9A290A"/>
      </w:tcPr>
    </w:tblStylePr>
    <w:tblStylePr w:type="firstCol">
      <w:rPr>
        <w:rFonts w:cs="Times New Roman"/>
        <w:color w:val="FFFFFF"/>
      </w:rPr>
      <w:tblPr/>
      <w:tcPr>
        <w:tcBorders>
          <w:top w:val="nil"/>
          <w:left w:val="nil"/>
          <w:bottom w:val="nil"/>
          <w:right w:val="nil"/>
          <w:insideH w:val="single" w:sz="4" w:space="0" w:color="9A290A"/>
          <w:insideV w:val="nil"/>
        </w:tcBorders>
        <w:shd w:val="clear" w:color="auto" w:fill="9A290A"/>
      </w:tcPr>
    </w:tblStylePr>
    <w:tblStylePr w:type="lastCol">
      <w:rPr>
        <w:rFonts w:cs="Times New Roman"/>
        <w:color w:val="FFFFFF"/>
      </w:rPr>
      <w:tblPr/>
      <w:tcPr>
        <w:tcBorders>
          <w:top w:val="nil"/>
          <w:left w:val="nil"/>
          <w:bottom w:val="nil"/>
          <w:right w:val="nil"/>
          <w:insideH w:val="nil"/>
          <w:insideV w:val="nil"/>
        </w:tcBorders>
        <w:shd w:val="clear" w:color="auto" w:fill="9A290A"/>
      </w:tcPr>
    </w:tblStylePr>
    <w:tblStylePr w:type="band1Vert">
      <w:rPr>
        <w:rFonts w:cs="Times New Roman"/>
      </w:rPr>
      <w:tblPr/>
      <w:tcPr>
        <w:shd w:val="clear" w:color="auto" w:fill="F9B8A7"/>
      </w:tcPr>
    </w:tblStylePr>
    <w:tblStylePr w:type="band1Horz">
      <w:rPr>
        <w:rFonts w:cs="Times New Roman"/>
      </w:rPr>
      <w:tblPr/>
      <w:tcPr>
        <w:shd w:val="clear" w:color="auto" w:fill="F7A791"/>
      </w:tcPr>
    </w:tblStylePr>
  </w:style>
  <w:style w:type="table" w:styleId="Kolorowecieniowanieakcent4">
    <w:name w:val="Colorful Shading Accent 4"/>
    <w:basedOn w:val="Standardowy"/>
    <w:uiPriority w:val="99"/>
    <w:semiHidden/>
    <w:rsid w:val="007C28CC"/>
    <w:rPr>
      <w:color w:val="000000"/>
      <w:sz w:val="20"/>
      <w:szCs w:val="20"/>
    </w:rPr>
    <w:tblPr>
      <w:tblStyleRowBandSize w:val="1"/>
      <w:tblStyleColBandSize w:val="1"/>
      <w:tblBorders>
        <w:top w:val="single" w:sz="24" w:space="0" w:color="F05023"/>
        <w:left w:val="single" w:sz="4" w:space="0" w:color="696EB4"/>
        <w:bottom w:val="single" w:sz="4" w:space="0" w:color="696EB4"/>
        <w:right w:val="single" w:sz="4" w:space="0" w:color="696EB4"/>
        <w:insideH w:val="single" w:sz="4" w:space="0" w:color="FFFFFF"/>
        <w:insideV w:val="single" w:sz="4" w:space="0" w:color="FFFFFF"/>
      </w:tblBorders>
    </w:tblPr>
    <w:tcPr>
      <w:shd w:val="clear" w:color="auto" w:fill="F0F0F7"/>
    </w:tcPr>
    <w:tblStylePr w:type="firstRow">
      <w:rPr>
        <w:rFonts w:cs="Times New Roman"/>
        <w:b/>
        <w:bCs/>
      </w:rPr>
      <w:tblPr/>
      <w:tcPr>
        <w:tcBorders>
          <w:top w:val="nil"/>
          <w:left w:val="nil"/>
          <w:bottom w:val="single" w:sz="24" w:space="0" w:color="F05023"/>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393C72"/>
      </w:tcPr>
    </w:tblStylePr>
    <w:tblStylePr w:type="firstCol">
      <w:rPr>
        <w:rFonts w:cs="Times New Roman"/>
        <w:color w:val="FFFFFF"/>
      </w:rPr>
      <w:tblPr/>
      <w:tcPr>
        <w:tcBorders>
          <w:top w:val="nil"/>
          <w:left w:val="nil"/>
          <w:bottom w:val="nil"/>
          <w:right w:val="nil"/>
          <w:insideH w:val="single" w:sz="4" w:space="0" w:color="393C72"/>
          <w:insideV w:val="nil"/>
        </w:tcBorders>
        <w:shd w:val="clear" w:color="auto" w:fill="393C72"/>
      </w:tcPr>
    </w:tblStylePr>
    <w:tblStylePr w:type="lastCol">
      <w:rPr>
        <w:rFonts w:cs="Times New Roman"/>
        <w:color w:val="FFFFFF"/>
      </w:rPr>
      <w:tblPr/>
      <w:tcPr>
        <w:tcBorders>
          <w:top w:val="nil"/>
          <w:left w:val="nil"/>
          <w:bottom w:val="nil"/>
          <w:right w:val="nil"/>
          <w:insideH w:val="nil"/>
          <w:insideV w:val="nil"/>
        </w:tcBorders>
        <w:shd w:val="clear" w:color="auto" w:fill="393C72"/>
      </w:tcPr>
    </w:tblStylePr>
    <w:tblStylePr w:type="band1Vert">
      <w:rPr>
        <w:rFonts w:cs="Times New Roman"/>
      </w:rPr>
      <w:tblPr/>
      <w:tcPr>
        <w:shd w:val="clear" w:color="auto" w:fill="C3C5E1"/>
      </w:tcPr>
    </w:tblStylePr>
    <w:tblStylePr w:type="band1Horz">
      <w:rPr>
        <w:rFonts w:cs="Times New Roman"/>
      </w:rPr>
      <w:tblPr/>
      <w:tcPr>
        <w:shd w:val="clear" w:color="auto" w:fill="B4B6D9"/>
      </w:tcPr>
    </w:tblStylePr>
    <w:tblStylePr w:type="neCell">
      <w:rPr>
        <w:rFonts w:cs="Times New Roman"/>
        <w:color w:val="000000"/>
      </w:rPr>
    </w:tblStylePr>
    <w:tblStylePr w:type="nwCell">
      <w:rPr>
        <w:rFonts w:cs="Times New Roman"/>
        <w:color w:val="000000"/>
      </w:rPr>
    </w:tblStylePr>
  </w:style>
  <w:style w:type="table" w:styleId="Kolorowecieniowanieakcent5">
    <w:name w:val="Colorful Shading Accent 5"/>
    <w:basedOn w:val="Standardowy"/>
    <w:uiPriority w:val="99"/>
    <w:semiHidden/>
    <w:rsid w:val="007C28CC"/>
    <w:rPr>
      <w:color w:val="000000"/>
      <w:sz w:val="20"/>
      <w:szCs w:val="20"/>
    </w:rPr>
    <w:tblPr>
      <w:tblStyleRowBandSize w:val="1"/>
      <w:tblStyleColBandSize w:val="1"/>
      <w:tblBorders>
        <w:top w:val="single" w:sz="24" w:space="0" w:color="28AF73"/>
        <w:left w:val="single" w:sz="4" w:space="0" w:color="FA9B1E"/>
        <w:bottom w:val="single" w:sz="4" w:space="0" w:color="FA9B1E"/>
        <w:right w:val="single" w:sz="4" w:space="0" w:color="FA9B1E"/>
        <w:insideH w:val="single" w:sz="4" w:space="0" w:color="FFFFFF"/>
        <w:insideV w:val="single" w:sz="4" w:space="0" w:color="FFFFFF"/>
      </w:tblBorders>
    </w:tblPr>
    <w:tcPr>
      <w:shd w:val="clear" w:color="auto" w:fill="FEF5E8"/>
    </w:tcPr>
    <w:tblStylePr w:type="firstRow">
      <w:rPr>
        <w:rFonts w:cs="Times New Roman"/>
        <w:b/>
        <w:bCs/>
      </w:rPr>
      <w:tblPr/>
      <w:tcPr>
        <w:tcBorders>
          <w:top w:val="nil"/>
          <w:left w:val="nil"/>
          <w:bottom w:val="single" w:sz="24" w:space="0" w:color="28AF73"/>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A45E03"/>
      </w:tcPr>
    </w:tblStylePr>
    <w:tblStylePr w:type="firstCol">
      <w:rPr>
        <w:rFonts w:cs="Times New Roman"/>
        <w:color w:val="FFFFFF"/>
      </w:rPr>
      <w:tblPr/>
      <w:tcPr>
        <w:tcBorders>
          <w:top w:val="nil"/>
          <w:left w:val="nil"/>
          <w:bottom w:val="nil"/>
          <w:right w:val="nil"/>
          <w:insideH w:val="single" w:sz="4" w:space="0" w:color="A45E03"/>
          <w:insideV w:val="nil"/>
        </w:tcBorders>
        <w:shd w:val="clear" w:color="auto" w:fill="A45E03"/>
      </w:tcPr>
    </w:tblStylePr>
    <w:tblStylePr w:type="lastCol">
      <w:rPr>
        <w:rFonts w:cs="Times New Roman"/>
        <w:color w:val="FFFFFF"/>
      </w:rPr>
      <w:tblPr/>
      <w:tcPr>
        <w:tcBorders>
          <w:top w:val="nil"/>
          <w:left w:val="nil"/>
          <w:bottom w:val="nil"/>
          <w:right w:val="nil"/>
          <w:insideH w:val="nil"/>
          <w:insideV w:val="nil"/>
        </w:tcBorders>
        <w:shd w:val="clear" w:color="auto" w:fill="A45E03"/>
      </w:tcPr>
    </w:tblStylePr>
    <w:tblStylePr w:type="band1Vert">
      <w:rPr>
        <w:rFonts w:cs="Times New Roman"/>
      </w:rPr>
      <w:tblPr/>
      <w:tcPr>
        <w:shd w:val="clear" w:color="auto" w:fill="FDD6A5"/>
      </w:tcPr>
    </w:tblStylePr>
    <w:tblStylePr w:type="band1Horz">
      <w:rPr>
        <w:rFonts w:cs="Times New Roman"/>
      </w:rPr>
      <w:tblPr/>
      <w:tcPr>
        <w:shd w:val="clear" w:color="auto" w:fill="FCCC8E"/>
      </w:tcPr>
    </w:tblStylePr>
    <w:tblStylePr w:type="neCell">
      <w:rPr>
        <w:rFonts w:cs="Times New Roman"/>
        <w:color w:val="000000"/>
      </w:rPr>
    </w:tblStylePr>
    <w:tblStylePr w:type="nwCell">
      <w:rPr>
        <w:rFonts w:cs="Times New Roman"/>
        <w:color w:val="000000"/>
      </w:rPr>
    </w:tblStylePr>
  </w:style>
  <w:style w:type="table" w:styleId="Kolorowecieniowanieakcent6">
    <w:name w:val="Colorful Shading Accent 6"/>
    <w:basedOn w:val="Standardowy"/>
    <w:uiPriority w:val="99"/>
    <w:semiHidden/>
    <w:rsid w:val="007C28CC"/>
    <w:rPr>
      <w:color w:val="000000"/>
      <w:sz w:val="20"/>
      <w:szCs w:val="20"/>
    </w:rPr>
    <w:tblPr>
      <w:tblStyleRowBandSize w:val="1"/>
      <w:tblStyleColBandSize w:val="1"/>
      <w:tblBorders>
        <w:top w:val="single" w:sz="24" w:space="0" w:color="FA9B1E"/>
        <w:left w:val="single" w:sz="4" w:space="0" w:color="28AF73"/>
        <w:bottom w:val="single" w:sz="4" w:space="0" w:color="28AF73"/>
        <w:right w:val="single" w:sz="4" w:space="0" w:color="28AF73"/>
        <w:insideH w:val="single" w:sz="4" w:space="0" w:color="FFFFFF"/>
        <w:insideV w:val="single" w:sz="4" w:space="0" w:color="FFFFFF"/>
      </w:tblBorders>
    </w:tblPr>
    <w:tcPr>
      <w:shd w:val="clear" w:color="auto" w:fill="E7F9F1"/>
    </w:tcPr>
    <w:tblStylePr w:type="firstRow">
      <w:rPr>
        <w:rFonts w:cs="Times New Roman"/>
        <w:b/>
        <w:bCs/>
      </w:rPr>
      <w:tblPr/>
      <w:tcPr>
        <w:tcBorders>
          <w:top w:val="nil"/>
          <w:left w:val="nil"/>
          <w:bottom w:val="single" w:sz="24" w:space="0" w:color="FA9B1E"/>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186844"/>
      </w:tcPr>
    </w:tblStylePr>
    <w:tblStylePr w:type="firstCol">
      <w:rPr>
        <w:rFonts w:cs="Times New Roman"/>
        <w:color w:val="FFFFFF"/>
      </w:rPr>
      <w:tblPr/>
      <w:tcPr>
        <w:tcBorders>
          <w:top w:val="nil"/>
          <w:left w:val="nil"/>
          <w:bottom w:val="nil"/>
          <w:right w:val="nil"/>
          <w:insideH w:val="single" w:sz="4" w:space="0" w:color="186844"/>
          <w:insideV w:val="nil"/>
        </w:tcBorders>
        <w:shd w:val="clear" w:color="auto" w:fill="186844"/>
      </w:tcPr>
    </w:tblStylePr>
    <w:tblStylePr w:type="lastCol">
      <w:rPr>
        <w:rFonts w:cs="Times New Roman"/>
        <w:color w:val="FFFFFF"/>
      </w:rPr>
      <w:tblPr/>
      <w:tcPr>
        <w:tcBorders>
          <w:top w:val="nil"/>
          <w:left w:val="nil"/>
          <w:bottom w:val="nil"/>
          <w:right w:val="nil"/>
          <w:insideH w:val="nil"/>
          <w:insideV w:val="nil"/>
        </w:tcBorders>
        <w:shd w:val="clear" w:color="auto" w:fill="186844"/>
      </w:tcPr>
    </w:tblStylePr>
    <w:tblStylePr w:type="band1Vert">
      <w:rPr>
        <w:rFonts w:cs="Times New Roman"/>
      </w:rPr>
      <w:tblPr/>
      <w:tcPr>
        <w:shd w:val="clear" w:color="auto" w:fill="9EE9C7"/>
      </w:tcPr>
    </w:tblStylePr>
    <w:tblStylePr w:type="band1Horz">
      <w:rPr>
        <w:rFonts w:cs="Times New Roman"/>
      </w:rPr>
      <w:tblPr/>
      <w:tcPr>
        <w:shd w:val="clear" w:color="auto" w:fill="87E3BA"/>
      </w:tcPr>
    </w:tblStylePr>
    <w:tblStylePr w:type="neCell">
      <w:rPr>
        <w:rFonts w:cs="Times New Roman"/>
        <w:color w:val="000000"/>
      </w:rPr>
    </w:tblStylePr>
    <w:tblStylePr w:type="nwCell">
      <w:rPr>
        <w:rFonts w:cs="Times New Roman"/>
        <w:color w:val="000000"/>
      </w:rPr>
    </w:tblStylePr>
  </w:style>
  <w:style w:type="table" w:styleId="Ciemnalista">
    <w:name w:val="Dark List"/>
    <w:basedOn w:val="Standardowy"/>
    <w:uiPriority w:val="99"/>
    <w:semiHidden/>
    <w:rsid w:val="007C28CC"/>
    <w:rPr>
      <w:color w:val="FFFFFF"/>
      <w:sz w:val="20"/>
      <w:szCs w:val="20"/>
    </w:rPr>
    <w:tblPr>
      <w:tblStyleRowBandSize w:val="1"/>
      <w:tblStyleColBandSize w:val="1"/>
    </w:tblPr>
    <w:tcPr>
      <w:shd w:val="clear" w:color="auto" w:fill="000000"/>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000000"/>
      </w:tcPr>
    </w:tblStylePr>
    <w:tblStylePr w:type="firstCol">
      <w:rPr>
        <w:rFonts w:cs="Times New Roman"/>
      </w:rPr>
      <w:tblPr/>
      <w:tcPr>
        <w:tcBorders>
          <w:top w:val="nil"/>
          <w:left w:val="nil"/>
          <w:bottom w:val="nil"/>
          <w:right w:val="single" w:sz="18" w:space="0" w:color="FFFFFF"/>
          <w:insideH w:val="nil"/>
          <w:insideV w:val="nil"/>
        </w:tcBorders>
        <w:shd w:val="clear" w:color="auto" w:fill="000000"/>
      </w:tcPr>
    </w:tblStylePr>
    <w:tblStylePr w:type="lastCol">
      <w:rPr>
        <w:rFonts w:cs="Times New Roman"/>
      </w:rPr>
      <w:tblPr/>
      <w:tcPr>
        <w:tcBorders>
          <w:top w:val="nil"/>
          <w:left w:val="single" w:sz="18" w:space="0" w:color="FFFFFF"/>
          <w:bottom w:val="nil"/>
          <w:right w:val="nil"/>
          <w:insideH w:val="nil"/>
          <w:insideV w:val="nil"/>
        </w:tcBorders>
        <w:shd w:val="clear" w:color="auto" w:fill="000000"/>
      </w:tcPr>
    </w:tblStylePr>
    <w:tblStylePr w:type="band1Vert">
      <w:rPr>
        <w:rFonts w:cs="Times New Roman"/>
      </w:rPr>
      <w:tblPr/>
      <w:tcPr>
        <w:tcBorders>
          <w:top w:val="nil"/>
          <w:left w:val="nil"/>
          <w:bottom w:val="nil"/>
          <w:right w:val="nil"/>
          <w:insideH w:val="nil"/>
          <w:insideV w:val="nil"/>
        </w:tcBorders>
        <w:shd w:val="clear" w:color="auto" w:fill="000000"/>
      </w:tcPr>
    </w:tblStylePr>
    <w:tblStylePr w:type="band1Horz">
      <w:rPr>
        <w:rFonts w:cs="Times New Roman"/>
      </w:rPr>
      <w:tblPr/>
      <w:tcPr>
        <w:tcBorders>
          <w:top w:val="nil"/>
          <w:left w:val="nil"/>
          <w:bottom w:val="nil"/>
          <w:right w:val="nil"/>
          <w:insideH w:val="nil"/>
          <w:insideV w:val="nil"/>
        </w:tcBorders>
        <w:shd w:val="clear" w:color="auto" w:fill="000000"/>
      </w:tcPr>
    </w:tblStylePr>
  </w:style>
  <w:style w:type="table" w:styleId="Ciemnalista2akcent1">
    <w:name w:val="Dark List Accent 1"/>
    <w:basedOn w:val="Standardowy"/>
    <w:uiPriority w:val="99"/>
    <w:semiHidden/>
    <w:rsid w:val="007C28CC"/>
    <w:rPr>
      <w:color w:val="FFFFFF"/>
      <w:sz w:val="20"/>
      <w:szCs w:val="20"/>
    </w:rPr>
    <w:tblPr>
      <w:tblStyleRowBandSize w:val="1"/>
      <w:tblStyleColBandSize w:val="1"/>
    </w:tblPr>
    <w:tcPr>
      <w:shd w:val="clear" w:color="auto" w:fill="D22D7D"/>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68163E"/>
      </w:tcPr>
    </w:tblStylePr>
    <w:tblStylePr w:type="firstCol">
      <w:rPr>
        <w:rFonts w:cs="Times New Roman"/>
      </w:rPr>
      <w:tblPr/>
      <w:tcPr>
        <w:tcBorders>
          <w:top w:val="nil"/>
          <w:left w:val="nil"/>
          <w:bottom w:val="nil"/>
          <w:right w:val="single" w:sz="18" w:space="0" w:color="FFFFFF"/>
          <w:insideH w:val="nil"/>
          <w:insideV w:val="nil"/>
        </w:tcBorders>
        <w:shd w:val="clear" w:color="auto" w:fill="9D215D"/>
      </w:tcPr>
    </w:tblStylePr>
    <w:tblStylePr w:type="lastCol">
      <w:rPr>
        <w:rFonts w:cs="Times New Roman"/>
      </w:rPr>
      <w:tblPr/>
      <w:tcPr>
        <w:tcBorders>
          <w:top w:val="nil"/>
          <w:left w:val="single" w:sz="18" w:space="0" w:color="FFFFFF"/>
          <w:bottom w:val="nil"/>
          <w:right w:val="nil"/>
          <w:insideH w:val="nil"/>
          <w:insideV w:val="nil"/>
        </w:tcBorders>
        <w:shd w:val="clear" w:color="auto" w:fill="9D215D"/>
      </w:tcPr>
    </w:tblStylePr>
    <w:tblStylePr w:type="band1Vert">
      <w:rPr>
        <w:rFonts w:cs="Times New Roman"/>
      </w:rPr>
      <w:tblPr/>
      <w:tcPr>
        <w:tcBorders>
          <w:top w:val="nil"/>
          <w:left w:val="nil"/>
          <w:bottom w:val="nil"/>
          <w:right w:val="nil"/>
          <w:insideH w:val="nil"/>
          <w:insideV w:val="nil"/>
        </w:tcBorders>
        <w:shd w:val="clear" w:color="auto" w:fill="9D215D"/>
      </w:tcPr>
    </w:tblStylePr>
    <w:tblStylePr w:type="band1Horz">
      <w:rPr>
        <w:rFonts w:cs="Times New Roman"/>
      </w:rPr>
      <w:tblPr/>
      <w:tcPr>
        <w:tcBorders>
          <w:top w:val="nil"/>
          <w:left w:val="nil"/>
          <w:bottom w:val="nil"/>
          <w:right w:val="nil"/>
          <w:insideH w:val="nil"/>
          <w:insideV w:val="nil"/>
        </w:tcBorders>
        <w:shd w:val="clear" w:color="auto" w:fill="9D215D"/>
      </w:tcPr>
    </w:tblStylePr>
  </w:style>
  <w:style w:type="table" w:styleId="Ciemnalistaakcent2">
    <w:name w:val="Dark List Accent 2"/>
    <w:basedOn w:val="Standardowy"/>
    <w:uiPriority w:val="99"/>
    <w:semiHidden/>
    <w:rsid w:val="007C28CC"/>
    <w:rPr>
      <w:color w:val="FFFFFF"/>
      <w:sz w:val="20"/>
      <w:szCs w:val="20"/>
    </w:rPr>
    <w:tblPr>
      <w:tblStyleRowBandSize w:val="1"/>
      <w:tblStyleColBandSize w:val="1"/>
    </w:tblPr>
    <w:tcPr>
      <w:shd w:val="clear" w:color="auto" w:fill="28AAE1"/>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105573"/>
      </w:tcPr>
    </w:tblStylePr>
    <w:tblStylePr w:type="firstCol">
      <w:rPr>
        <w:rFonts w:cs="Times New Roman"/>
      </w:rPr>
      <w:tblPr/>
      <w:tcPr>
        <w:tcBorders>
          <w:top w:val="nil"/>
          <w:left w:val="nil"/>
          <w:bottom w:val="nil"/>
          <w:right w:val="single" w:sz="18" w:space="0" w:color="FFFFFF"/>
          <w:insideH w:val="nil"/>
          <w:insideV w:val="nil"/>
        </w:tcBorders>
        <w:shd w:val="clear" w:color="auto" w:fill="1881AE"/>
      </w:tcPr>
    </w:tblStylePr>
    <w:tblStylePr w:type="lastCol">
      <w:rPr>
        <w:rFonts w:cs="Times New Roman"/>
      </w:rPr>
      <w:tblPr/>
      <w:tcPr>
        <w:tcBorders>
          <w:top w:val="nil"/>
          <w:left w:val="single" w:sz="18" w:space="0" w:color="FFFFFF"/>
          <w:bottom w:val="nil"/>
          <w:right w:val="nil"/>
          <w:insideH w:val="nil"/>
          <w:insideV w:val="nil"/>
        </w:tcBorders>
        <w:shd w:val="clear" w:color="auto" w:fill="1881AE"/>
      </w:tcPr>
    </w:tblStylePr>
    <w:tblStylePr w:type="band1Vert">
      <w:rPr>
        <w:rFonts w:cs="Times New Roman"/>
      </w:rPr>
      <w:tblPr/>
      <w:tcPr>
        <w:tcBorders>
          <w:top w:val="nil"/>
          <w:left w:val="nil"/>
          <w:bottom w:val="nil"/>
          <w:right w:val="nil"/>
          <w:insideH w:val="nil"/>
          <w:insideV w:val="nil"/>
        </w:tcBorders>
        <w:shd w:val="clear" w:color="auto" w:fill="1881AE"/>
      </w:tcPr>
    </w:tblStylePr>
    <w:tblStylePr w:type="band1Horz">
      <w:rPr>
        <w:rFonts w:cs="Times New Roman"/>
      </w:rPr>
      <w:tblPr/>
      <w:tcPr>
        <w:tcBorders>
          <w:top w:val="nil"/>
          <w:left w:val="nil"/>
          <w:bottom w:val="nil"/>
          <w:right w:val="nil"/>
          <w:insideH w:val="nil"/>
          <w:insideV w:val="nil"/>
        </w:tcBorders>
        <w:shd w:val="clear" w:color="auto" w:fill="1881AE"/>
      </w:tcPr>
    </w:tblStylePr>
  </w:style>
  <w:style w:type="table" w:styleId="Ciemnalistaakcent3">
    <w:name w:val="Dark List Accent 3"/>
    <w:basedOn w:val="Standardowy"/>
    <w:uiPriority w:val="99"/>
    <w:semiHidden/>
    <w:rsid w:val="007C28CC"/>
    <w:rPr>
      <w:color w:val="FFFFFF"/>
      <w:sz w:val="20"/>
      <w:szCs w:val="20"/>
    </w:rPr>
    <w:tblPr>
      <w:tblStyleRowBandSize w:val="1"/>
      <w:tblStyleColBandSize w:val="1"/>
    </w:tblPr>
    <w:tcPr>
      <w:shd w:val="clear" w:color="auto" w:fill="F05023"/>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7F2208"/>
      </w:tcPr>
    </w:tblStylePr>
    <w:tblStylePr w:type="firstCol">
      <w:rPr>
        <w:rFonts w:cs="Times New Roman"/>
      </w:rPr>
      <w:tblPr/>
      <w:tcPr>
        <w:tcBorders>
          <w:top w:val="nil"/>
          <w:left w:val="nil"/>
          <w:bottom w:val="nil"/>
          <w:right w:val="single" w:sz="18" w:space="0" w:color="FFFFFF"/>
          <w:insideH w:val="nil"/>
          <w:insideV w:val="nil"/>
        </w:tcBorders>
        <w:shd w:val="clear" w:color="auto" w:fill="C0330D"/>
      </w:tcPr>
    </w:tblStylePr>
    <w:tblStylePr w:type="lastCol">
      <w:rPr>
        <w:rFonts w:cs="Times New Roman"/>
      </w:rPr>
      <w:tblPr/>
      <w:tcPr>
        <w:tcBorders>
          <w:top w:val="nil"/>
          <w:left w:val="single" w:sz="18" w:space="0" w:color="FFFFFF"/>
          <w:bottom w:val="nil"/>
          <w:right w:val="nil"/>
          <w:insideH w:val="nil"/>
          <w:insideV w:val="nil"/>
        </w:tcBorders>
        <w:shd w:val="clear" w:color="auto" w:fill="C0330D"/>
      </w:tcPr>
    </w:tblStylePr>
    <w:tblStylePr w:type="band1Vert">
      <w:rPr>
        <w:rFonts w:cs="Times New Roman"/>
      </w:rPr>
      <w:tblPr/>
      <w:tcPr>
        <w:tcBorders>
          <w:top w:val="nil"/>
          <w:left w:val="nil"/>
          <w:bottom w:val="nil"/>
          <w:right w:val="nil"/>
          <w:insideH w:val="nil"/>
          <w:insideV w:val="nil"/>
        </w:tcBorders>
        <w:shd w:val="clear" w:color="auto" w:fill="C0330D"/>
      </w:tcPr>
    </w:tblStylePr>
    <w:tblStylePr w:type="band1Horz">
      <w:rPr>
        <w:rFonts w:cs="Times New Roman"/>
      </w:rPr>
      <w:tblPr/>
      <w:tcPr>
        <w:tcBorders>
          <w:top w:val="nil"/>
          <w:left w:val="nil"/>
          <w:bottom w:val="nil"/>
          <w:right w:val="nil"/>
          <w:insideH w:val="nil"/>
          <w:insideV w:val="nil"/>
        </w:tcBorders>
        <w:shd w:val="clear" w:color="auto" w:fill="C0330D"/>
      </w:tcPr>
    </w:tblStylePr>
  </w:style>
  <w:style w:type="table" w:styleId="Ciemnalistaakcent4">
    <w:name w:val="Dark List Accent 4"/>
    <w:basedOn w:val="Standardowy"/>
    <w:uiPriority w:val="99"/>
    <w:semiHidden/>
    <w:rsid w:val="007C28CC"/>
    <w:rPr>
      <w:color w:val="FFFFFF"/>
      <w:sz w:val="20"/>
      <w:szCs w:val="20"/>
    </w:rPr>
    <w:tblPr>
      <w:tblStyleRowBandSize w:val="1"/>
      <w:tblStyleColBandSize w:val="1"/>
    </w:tblPr>
    <w:tcPr>
      <w:shd w:val="clear" w:color="auto" w:fill="696EB4"/>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2F325E"/>
      </w:tcPr>
    </w:tblStylePr>
    <w:tblStylePr w:type="firstCol">
      <w:rPr>
        <w:rFonts w:cs="Times New Roman"/>
      </w:rPr>
      <w:tblPr/>
      <w:tcPr>
        <w:tcBorders>
          <w:top w:val="nil"/>
          <w:left w:val="nil"/>
          <w:bottom w:val="nil"/>
          <w:right w:val="single" w:sz="18" w:space="0" w:color="FFFFFF"/>
          <w:insideH w:val="nil"/>
          <w:insideV w:val="nil"/>
        </w:tcBorders>
        <w:shd w:val="clear" w:color="auto" w:fill="474B8E"/>
      </w:tcPr>
    </w:tblStylePr>
    <w:tblStylePr w:type="lastCol">
      <w:rPr>
        <w:rFonts w:cs="Times New Roman"/>
      </w:rPr>
      <w:tblPr/>
      <w:tcPr>
        <w:tcBorders>
          <w:top w:val="nil"/>
          <w:left w:val="single" w:sz="18" w:space="0" w:color="FFFFFF"/>
          <w:bottom w:val="nil"/>
          <w:right w:val="nil"/>
          <w:insideH w:val="nil"/>
          <w:insideV w:val="nil"/>
        </w:tcBorders>
        <w:shd w:val="clear" w:color="auto" w:fill="474B8E"/>
      </w:tcPr>
    </w:tblStylePr>
    <w:tblStylePr w:type="band1Vert">
      <w:rPr>
        <w:rFonts w:cs="Times New Roman"/>
      </w:rPr>
      <w:tblPr/>
      <w:tcPr>
        <w:tcBorders>
          <w:top w:val="nil"/>
          <w:left w:val="nil"/>
          <w:bottom w:val="nil"/>
          <w:right w:val="nil"/>
          <w:insideH w:val="nil"/>
          <w:insideV w:val="nil"/>
        </w:tcBorders>
        <w:shd w:val="clear" w:color="auto" w:fill="474B8E"/>
      </w:tcPr>
    </w:tblStylePr>
    <w:tblStylePr w:type="band1Horz">
      <w:rPr>
        <w:rFonts w:cs="Times New Roman"/>
      </w:rPr>
      <w:tblPr/>
      <w:tcPr>
        <w:tcBorders>
          <w:top w:val="nil"/>
          <w:left w:val="nil"/>
          <w:bottom w:val="nil"/>
          <w:right w:val="nil"/>
          <w:insideH w:val="nil"/>
          <w:insideV w:val="nil"/>
        </w:tcBorders>
        <w:shd w:val="clear" w:color="auto" w:fill="474B8E"/>
      </w:tcPr>
    </w:tblStylePr>
  </w:style>
  <w:style w:type="table" w:styleId="Ciemnalistaakcent5">
    <w:name w:val="Dark List Accent 5"/>
    <w:basedOn w:val="Standardowy"/>
    <w:uiPriority w:val="99"/>
    <w:semiHidden/>
    <w:rsid w:val="007C28CC"/>
    <w:rPr>
      <w:color w:val="FFFFFF"/>
      <w:sz w:val="20"/>
      <w:szCs w:val="20"/>
    </w:rPr>
    <w:tblPr>
      <w:tblStyleRowBandSize w:val="1"/>
      <w:tblStyleColBandSize w:val="1"/>
    </w:tblPr>
    <w:tcPr>
      <w:shd w:val="clear" w:color="auto" w:fill="FA9B1E"/>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884E03"/>
      </w:tcPr>
    </w:tblStylePr>
    <w:tblStylePr w:type="firstCol">
      <w:rPr>
        <w:rFonts w:cs="Times New Roman"/>
      </w:rPr>
      <w:tblPr/>
      <w:tcPr>
        <w:tcBorders>
          <w:top w:val="nil"/>
          <w:left w:val="nil"/>
          <w:bottom w:val="nil"/>
          <w:right w:val="single" w:sz="18" w:space="0" w:color="FFFFFF"/>
          <w:insideH w:val="nil"/>
          <w:insideV w:val="nil"/>
        </w:tcBorders>
        <w:shd w:val="clear" w:color="auto" w:fill="CD7504"/>
      </w:tcPr>
    </w:tblStylePr>
    <w:tblStylePr w:type="lastCol">
      <w:rPr>
        <w:rFonts w:cs="Times New Roman"/>
      </w:rPr>
      <w:tblPr/>
      <w:tcPr>
        <w:tcBorders>
          <w:top w:val="nil"/>
          <w:left w:val="single" w:sz="18" w:space="0" w:color="FFFFFF"/>
          <w:bottom w:val="nil"/>
          <w:right w:val="nil"/>
          <w:insideH w:val="nil"/>
          <w:insideV w:val="nil"/>
        </w:tcBorders>
        <w:shd w:val="clear" w:color="auto" w:fill="CD7504"/>
      </w:tcPr>
    </w:tblStylePr>
    <w:tblStylePr w:type="band1Vert">
      <w:rPr>
        <w:rFonts w:cs="Times New Roman"/>
      </w:rPr>
      <w:tblPr/>
      <w:tcPr>
        <w:tcBorders>
          <w:top w:val="nil"/>
          <w:left w:val="nil"/>
          <w:bottom w:val="nil"/>
          <w:right w:val="nil"/>
          <w:insideH w:val="nil"/>
          <w:insideV w:val="nil"/>
        </w:tcBorders>
        <w:shd w:val="clear" w:color="auto" w:fill="CD7504"/>
      </w:tcPr>
    </w:tblStylePr>
    <w:tblStylePr w:type="band1Horz">
      <w:rPr>
        <w:rFonts w:cs="Times New Roman"/>
      </w:rPr>
      <w:tblPr/>
      <w:tcPr>
        <w:tcBorders>
          <w:top w:val="nil"/>
          <w:left w:val="nil"/>
          <w:bottom w:val="nil"/>
          <w:right w:val="nil"/>
          <w:insideH w:val="nil"/>
          <w:insideV w:val="nil"/>
        </w:tcBorders>
        <w:shd w:val="clear" w:color="auto" w:fill="CD7504"/>
      </w:tcPr>
    </w:tblStylePr>
  </w:style>
  <w:style w:type="table" w:styleId="Ciemnalistaakcent6">
    <w:name w:val="Dark List Accent 6"/>
    <w:basedOn w:val="Standardowy"/>
    <w:uiPriority w:val="99"/>
    <w:semiHidden/>
    <w:rsid w:val="007C28CC"/>
    <w:rPr>
      <w:color w:val="FFFFFF"/>
      <w:sz w:val="20"/>
      <w:szCs w:val="20"/>
    </w:rPr>
    <w:tblPr>
      <w:tblStyleRowBandSize w:val="1"/>
      <w:tblStyleColBandSize w:val="1"/>
    </w:tblPr>
    <w:tcPr>
      <w:shd w:val="clear" w:color="auto" w:fill="28AF73"/>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145739"/>
      </w:tcPr>
    </w:tblStylePr>
    <w:tblStylePr w:type="firstCol">
      <w:rPr>
        <w:rFonts w:cs="Times New Roman"/>
      </w:rPr>
      <w:tblPr/>
      <w:tcPr>
        <w:tcBorders>
          <w:top w:val="nil"/>
          <w:left w:val="nil"/>
          <w:bottom w:val="nil"/>
          <w:right w:val="single" w:sz="18" w:space="0" w:color="FFFFFF"/>
          <w:insideH w:val="nil"/>
          <w:insideV w:val="nil"/>
        </w:tcBorders>
        <w:shd w:val="clear" w:color="auto" w:fill="1E8355"/>
      </w:tcPr>
    </w:tblStylePr>
    <w:tblStylePr w:type="lastCol">
      <w:rPr>
        <w:rFonts w:cs="Times New Roman"/>
      </w:rPr>
      <w:tblPr/>
      <w:tcPr>
        <w:tcBorders>
          <w:top w:val="nil"/>
          <w:left w:val="single" w:sz="18" w:space="0" w:color="FFFFFF"/>
          <w:bottom w:val="nil"/>
          <w:right w:val="nil"/>
          <w:insideH w:val="nil"/>
          <w:insideV w:val="nil"/>
        </w:tcBorders>
        <w:shd w:val="clear" w:color="auto" w:fill="1E8355"/>
      </w:tcPr>
    </w:tblStylePr>
    <w:tblStylePr w:type="band1Vert">
      <w:rPr>
        <w:rFonts w:cs="Times New Roman"/>
      </w:rPr>
      <w:tblPr/>
      <w:tcPr>
        <w:tcBorders>
          <w:top w:val="nil"/>
          <w:left w:val="nil"/>
          <w:bottom w:val="nil"/>
          <w:right w:val="nil"/>
          <w:insideH w:val="nil"/>
          <w:insideV w:val="nil"/>
        </w:tcBorders>
        <w:shd w:val="clear" w:color="auto" w:fill="1E8355"/>
      </w:tcPr>
    </w:tblStylePr>
    <w:tblStylePr w:type="band1Horz">
      <w:rPr>
        <w:rFonts w:cs="Times New Roman"/>
      </w:rPr>
      <w:tblPr/>
      <w:tcPr>
        <w:tcBorders>
          <w:top w:val="nil"/>
          <w:left w:val="nil"/>
          <w:bottom w:val="nil"/>
          <w:right w:val="nil"/>
          <w:insideH w:val="nil"/>
          <w:insideV w:val="nil"/>
        </w:tcBorders>
        <w:shd w:val="clear" w:color="auto" w:fill="1E8355"/>
      </w:tcPr>
    </w:tblStylePr>
  </w:style>
  <w:style w:type="paragraph" w:styleId="Data">
    <w:name w:val="Date"/>
    <w:basedOn w:val="Normalny"/>
    <w:next w:val="Normalny"/>
    <w:link w:val="DataZnak"/>
    <w:uiPriority w:val="99"/>
    <w:semiHidden/>
    <w:rsid w:val="007C28CC"/>
  </w:style>
  <w:style w:type="character" w:customStyle="1" w:styleId="DataZnak">
    <w:name w:val="Data Znak"/>
    <w:basedOn w:val="Domylnaczcionkaakapitu"/>
    <w:link w:val="Data"/>
    <w:uiPriority w:val="99"/>
    <w:semiHidden/>
    <w:locked/>
    <w:rsid w:val="007C28CC"/>
    <w:rPr>
      <w:rFonts w:eastAsia="MS Mincho" w:cs="Times New Roman"/>
      <w:lang w:val="pl-PL" w:eastAsia="zh-CN"/>
    </w:rPr>
  </w:style>
  <w:style w:type="paragraph" w:styleId="Podpise-mail">
    <w:name w:val="E-mail Signature"/>
    <w:basedOn w:val="Normalny"/>
    <w:link w:val="Podpise-mailZnak"/>
    <w:uiPriority w:val="99"/>
    <w:semiHidden/>
    <w:rsid w:val="007C28CC"/>
  </w:style>
  <w:style w:type="character" w:customStyle="1" w:styleId="Podpise-mailZnak">
    <w:name w:val="Podpis e-mail Znak"/>
    <w:basedOn w:val="Domylnaczcionkaakapitu"/>
    <w:link w:val="Podpise-mail"/>
    <w:uiPriority w:val="99"/>
    <w:semiHidden/>
    <w:locked/>
    <w:rsid w:val="007C28CC"/>
    <w:rPr>
      <w:rFonts w:eastAsia="MS Mincho" w:cs="Times New Roman"/>
      <w:lang w:val="pl-PL" w:eastAsia="zh-CN"/>
    </w:rPr>
  </w:style>
  <w:style w:type="character" w:styleId="Uwydatnienie">
    <w:name w:val="Emphasis"/>
    <w:basedOn w:val="Domylnaczcionkaakapitu"/>
    <w:uiPriority w:val="20"/>
    <w:qFormat/>
    <w:rsid w:val="007C28CC"/>
    <w:rPr>
      <w:rFonts w:cs="Times New Roman"/>
      <w:i/>
      <w:iCs/>
      <w:lang w:val="pl-PL"/>
    </w:rPr>
  </w:style>
  <w:style w:type="character" w:styleId="Odwoanieprzypisukocowego">
    <w:name w:val="endnote reference"/>
    <w:basedOn w:val="Domylnaczcionkaakapitu"/>
    <w:uiPriority w:val="99"/>
    <w:semiHidden/>
    <w:rsid w:val="007C28CC"/>
    <w:rPr>
      <w:rFonts w:cs="Times New Roman"/>
      <w:vertAlign w:val="superscript"/>
      <w:lang w:val="pl-PL"/>
    </w:rPr>
  </w:style>
  <w:style w:type="paragraph" w:styleId="Tekstprzypisukocowego">
    <w:name w:val="endnote text"/>
    <w:basedOn w:val="Normalny"/>
    <w:link w:val="TekstprzypisukocowegoZnak"/>
    <w:uiPriority w:val="99"/>
    <w:semiHidden/>
    <w:rsid w:val="007C28CC"/>
    <w:rPr>
      <w:sz w:val="20"/>
      <w:szCs w:val="20"/>
    </w:rPr>
  </w:style>
  <w:style w:type="character" w:customStyle="1" w:styleId="TekstprzypisukocowegoZnak">
    <w:name w:val="Tekst przypisu końcowego Znak"/>
    <w:basedOn w:val="Domylnaczcionkaakapitu"/>
    <w:link w:val="Tekstprzypisukocowego"/>
    <w:uiPriority w:val="99"/>
    <w:semiHidden/>
    <w:locked/>
    <w:rsid w:val="007C28CC"/>
    <w:rPr>
      <w:rFonts w:eastAsia="MS Mincho" w:cs="Times New Roman"/>
      <w:sz w:val="20"/>
      <w:szCs w:val="20"/>
      <w:lang w:val="pl-PL" w:eastAsia="zh-CN"/>
    </w:rPr>
  </w:style>
  <w:style w:type="paragraph" w:styleId="Adresnakopercie">
    <w:name w:val="envelope address"/>
    <w:basedOn w:val="Normalny"/>
    <w:uiPriority w:val="99"/>
    <w:semiHidden/>
    <w:rsid w:val="007C28CC"/>
    <w:pPr>
      <w:framePr w:w="7920" w:h="1980" w:hRule="exact" w:hSpace="180" w:wrap="auto" w:hAnchor="page" w:xAlign="center" w:yAlign="bottom"/>
      <w:ind w:left="2880"/>
    </w:pPr>
    <w:rPr>
      <w:rFonts w:eastAsia="MS Gothic"/>
    </w:rPr>
  </w:style>
  <w:style w:type="paragraph" w:styleId="Adreszwrotnynakopercie">
    <w:name w:val="envelope return"/>
    <w:basedOn w:val="Normalny"/>
    <w:uiPriority w:val="99"/>
    <w:semiHidden/>
    <w:rsid w:val="007C28CC"/>
    <w:rPr>
      <w:rFonts w:eastAsia="MS Gothic"/>
      <w:sz w:val="20"/>
      <w:szCs w:val="20"/>
    </w:rPr>
  </w:style>
  <w:style w:type="character" w:styleId="UyteHipercze">
    <w:name w:val="FollowedHyperlink"/>
    <w:basedOn w:val="Domylnaczcionkaakapitu"/>
    <w:uiPriority w:val="99"/>
    <w:semiHidden/>
    <w:rsid w:val="007C28CC"/>
    <w:rPr>
      <w:rFonts w:cs="Times New Roman"/>
      <w:color w:val="7F7F7F"/>
      <w:u w:val="single"/>
      <w:lang w:val="pl-PL"/>
    </w:rPr>
  </w:style>
  <w:style w:type="character" w:styleId="Odwoanieprzypisudolnego">
    <w:name w:val="footnote reference"/>
    <w:aliases w:val="Tekst przypisu dolnego Znak2,Tekst przypisu dolnego Znak1 Znak,Tekst przypisu dolnego Znak Znak Znak,Tekst przypisu dolnego Znak1 Znak Znak Znak,Tekst przypisu dolnego Znak Znak Znak Znak Znak,Odwołanie przypisu,Times 10 Point"/>
    <w:basedOn w:val="Domylnaczcionkaakapitu"/>
    <w:uiPriority w:val="99"/>
    <w:rsid w:val="007C28CC"/>
    <w:rPr>
      <w:rFonts w:cs="Times New Roman"/>
      <w:vertAlign w:val="superscript"/>
      <w:lang w:val="pl-PL"/>
    </w:rPr>
  </w:style>
  <w:style w:type="paragraph" w:styleId="Tekstprzypisudolnego">
    <w:name w:val="footnote text"/>
    <w:aliases w:val="Tekst przypisu dolnego Znak1,Tekst przypisu dolnego Znak Znak,Tekst przypisu dolnego Znak1 Znak Znak,Tekst przypisu dolnego Znak Znak Znak Znak,Tekst przypisu dolnego Znak1 Znak Znak Znak Znak,Podrozdział,Tekst przypisu1,Znak,fn"/>
    <w:basedOn w:val="Normalny"/>
    <w:link w:val="TekstprzypisudolnegoZnak"/>
    <w:uiPriority w:val="99"/>
    <w:qFormat/>
    <w:rsid w:val="007C28CC"/>
    <w:rPr>
      <w:sz w:val="20"/>
      <w:szCs w:val="20"/>
    </w:rPr>
  </w:style>
  <w:style w:type="character" w:customStyle="1" w:styleId="FootnoteTextChar">
    <w:name w:val="Footnote Text Char"/>
    <w:aliases w:val="Tekst przypisu dolnego Znak1 Char,Tekst przypisu dolnego Znak Znak Char,Tekst przypisu dolnego Znak1 Znak Znak Char,Tekst przypisu dolnego Znak Znak Znak Znak Char,Tekst przypisu dolnego Znak1 Znak Znak Znak Znak Char,Podrozdział Char"/>
    <w:basedOn w:val="Domylnaczcionkaakapitu"/>
    <w:uiPriority w:val="99"/>
    <w:semiHidden/>
    <w:rsid w:val="00D4647F"/>
    <w:rPr>
      <w:rFonts w:eastAsia="MS Mincho"/>
      <w:sz w:val="20"/>
      <w:szCs w:val="20"/>
      <w:lang w:eastAsia="zh-CN"/>
    </w:rPr>
  </w:style>
  <w:style w:type="character" w:customStyle="1" w:styleId="TekstprzypisudolnegoZnak">
    <w:name w:val="Tekst przypisu dolnego Znak"/>
    <w:aliases w:val="Tekst przypisu dolnego Znak1 Znak1,Tekst przypisu dolnego Znak Znak Znak1,Tekst przypisu dolnego Znak1 Znak Znak Znak1,Tekst przypisu dolnego Znak Znak Znak Znak Znak1,Tekst przypisu dolnego Znak1 Znak Znak Znak Znak Znak"/>
    <w:basedOn w:val="Domylnaczcionkaakapitu"/>
    <w:link w:val="Tekstprzypisudolnego"/>
    <w:uiPriority w:val="99"/>
    <w:locked/>
    <w:rsid w:val="007C28CC"/>
    <w:rPr>
      <w:rFonts w:eastAsia="MS Mincho" w:cs="Times New Roman"/>
      <w:sz w:val="20"/>
      <w:szCs w:val="20"/>
      <w:lang w:val="pl-PL" w:eastAsia="zh-CN"/>
    </w:rPr>
  </w:style>
  <w:style w:type="table" w:customStyle="1" w:styleId="Tabelasiatki1jasnaakcent11">
    <w:name w:val="Tabela siatki 1 — jasna — akcent 11"/>
    <w:uiPriority w:val="99"/>
    <w:rsid w:val="007C28CC"/>
    <w:rPr>
      <w:sz w:val="20"/>
      <w:szCs w:val="20"/>
      <w:lang w:val="en-GB" w:eastAsia="en-GB"/>
    </w:rPr>
    <w:tblPr>
      <w:tblStyleRowBandSize w:val="1"/>
      <w:tblStyleColBandSize w:val="1"/>
      <w:tblInd w:w="0" w:type="dxa"/>
      <w:tblBorders>
        <w:top w:val="single" w:sz="4" w:space="0" w:color="EDABCA"/>
        <w:left w:val="single" w:sz="4" w:space="0" w:color="EDABCA"/>
        <w:bottom w:val="single" w:sz="4" w:space="0" w:color="EDABCA"/>
        <w:right w:val="single" w:sz="4" w:space="0" w:color="EDABCA"/>
        <w:insideH w:val="single" w:sz="4" w:space="0" w:color="EDABCA"/>
        <w:insideV w:val="single" w:sz="4" w:space="0" w:color="EDABCA"/>
      </w:tblBorders>
      <w:tblCellMar>
        <w:top w:w="0" w:type="dxa"/>
        <w:left w:w="108" w:type="dxa"/>
        <w:bottom w:w="0" w:type="dxa"/>
        <w:right w:w="108" w:type="dxa"/>
      </w:tblCellMar>
    </w:tblPr>
    <w:tblStylePr w:type="firstRow">
      <w:rPr>
        <w:rFonts w:cs="Times New Roman"/>
        <w:b/>
        <w:bCs/>
      </w:rPr>
      <w:tblPr/>
      <w:tcPr>
        <w:tcBorders>
          <w:bottom w:val="single" w:sz="12" w:space="0" w:color="E481B0"/>
        </w:tcBorders>
      </w:tcPr>
    </w:tblStylePr>
    <w:tblStylePr w:type="lastRow">
      <w:rPr>
        <w:rFonts w:cs="Times New Roman"/>
        <w:b/>
        <w:bCs/>
      </w:rPr>
      <w:tblPr/>
      <w:tcPr>
        <w:tcBorders>
          <w:top w:val="double" w:sz="2" w:space="0" w:color="E481B0"/>
        </w:tcBorders>
      </w:tcPr>
    </w:tblStylePr>
    <w:tblStylePr w:type="firstCol">
      <w:rPr>
        <w:rFonts w:cs="Times New Roman"/>
        <w:b/>
        <w:bCs/>
      </w:rPr>
    </w:tblStylePr>
    <w:tblStylePr w:type="lastCol">
      <w:rPr>
        <w:rFonts w:cs="Times New Roman"/>
        <w:b/>
        <w:bCs/>
      </w:rPr>
    </w:tblStylePr>
  </w:style>
  <w:style w:type="table" w:customStyle="1" w:styleId="Tabelasiatki1jasnaakcent21">
    <w:name w:val="Tabela siatki 1 — jasna — akcent 21"/>
    <w:uiPriority w:val="99"/>
    <w:rsid w:val="007C28CC"/>
    <w:rPr>
      <w:sz w:val="20"/>
      <w:szCs w:val="20"/>
      <w:lang w:val="en-GB" w:eastAsia="en-GB"/>
    </w:rPr>
    <w:tblPr>
      <w:tblStyleRowBandSize w:val="1"/>
      <w:tblStyleColBandSize w:val="1"/>
      <w:tblInd w:w="0" w:type="dxa"/>
      <w:tblBorders>
        <w:top w:val="single" w:sz="4" w:space="0" w:color="A9DCF3"/>
        <w:left w:val="single" w:sz="4" w:space="0" w:color="A9DCF3"/>
        <w:bottom w:val="single" w:sz="4" w:space="0" w:color="A9DCF3"/>
        <w:right w:val="single" w:sz="4" w:space="0" w:color="A9DCF3"/>
        <w:insideH w:val="single" w:sz="4" w:space="0" w:color="A9DCF3"/>
        <w:insideV w:val="single" w:sz="4" w:space="0" w:color="A9DCF3"/>
      </w:tblBorders>
      <w:tblCellMar>
        <w:top w:w="0" w:type="dxa"/>
        <w:left w:w="108" w:type="dxa"/>
        <w:bottom w:w="0" w:type="dxa"/>
        <w:right w:w="108" w:type="dxa"/>
      </w:tblCellMar>
    </w:tblPr>
    <w:tblStylePr w:type="firstRow">
      <w:rPr>
        <w:rFonts w:cs="Times New Roman"/>
        <w:b/>
        <w:bCs/>
      </w:rPr>
      <w:tblPr/>
      <w:tcPr>
        <w:tcBorders>
          <w:bottom w:val="single" w:sz="12" w:space="0" w:color="7ECBED"/>
        </w:tcBorders>
      </w:tcPr>
    </w:tblStylePr>
    <w:tblStylePr w:type="lastRow">
      <w:rPr>
        <w:rFonts w:cs="Times New Roman"/>
        <w:b/>
        <w:bCs/>
      </w:rPr>
      <w:tblPr/>
      <w:tcPr>
        <w:tcBorders>
          <w:top w:val="double" w:sz="2" w:space="0" w:color="7ECBED"/>
        </w:tcBorders>
      </w:tcPr>
    </w:tblStylePr>
    <w:tblStylePr w:type="firstCol">
      <w:rPr>
        <w:rFonts w:cs="Times New Roman"/>
        <w:b/>
        <w:bCs/>
      </w:rPr>
    </w:tblStylePr>
    <w:tblStylePr w:type="lastCol">
      <w:rPr>
        <w:rFonts w:cs="Times New Roman"/>
        <w:b/>
        <w:bCs/>
      </w:rPr>
    </w:tblStylePr>
  </w:style>
  <w:style w:type="table" w:customStyle="1" w:styleId="Tabelasiatki1jasnaakcent31">
    <w:name w:val="Tabela siatki 1 — jasna — akcent 31"/>
    <w:uiPriority w:val="99"/>
    <w:rsid w:val="007C28CC"/>
    <w:rPr>
      <w:sz w:val="20"/>
      <w:szCs w:val="20"/>
      <w:lang w:val="en-GB" w:eastAsia="en-GB"/>
    </w:rPr>
    <w:tblPr>
      <w:tblStyleRowBandSize w:val="1"/>
      <w:tblStyleColBandSize w:val="1"/>
      <w:tblInd w:w="0" w:type="dxa"/>
      <w:tblBorders>
        <w:top w:val="single" w:sz="4" w:space="0" w:color="F9B8A7"/>
        <w:left w:val="single" w:sz="4" w:space="0" w:color="F9B8A7"/>
        <w:bottom w:val="single" w:sz="4" w:space="0" w:color="F9B8A7"/>
        <w:right w:val="single" w:sz="4" w:space="0" w:color="F9B8A7"/>
        <w:insideH w:val="single" w:sz="4" w:space="0" w:color="F9B8A7"/>
        <w:insideV w:val="single" w:sz="4" w:space="0" w:color="F9B8A7"/>
      </w:tblBorders>
      <w:tblCellMar>
        <w:top w:w="0" w:type="dxa"/>
        <w:left w:w="108" w:type="dxa"/>
        <w:bottom w:w="0" w:type="dxa"/>
        <w:right w:w="108" w:type="dxa"/>
      </w:tblCellMar>
    </w:tblPr>
    <w:tblStylePr w:type="firstRow">
      <w:rPr>
        <w:rFonts w:cs="Times New Roman"/>
        <w:b/>
        <w:bCs/>
      </w:rPr>
      <w:tblPr/>
      <w:tcPr>
        <w:tcBorders>
          <w:bottom w:val="single" w:sz="12" w:space="0" w:color="F6957B"/>
        </w:tcBorders>
      </w:tcPr>
    </w:tblStylePr>
    <w:tblStylePr w:type="lastRow">
      <w:rPr>
        <w:rFonts w:cs="Times New Roman"/>
        <w:b/>
        <w:bCs/>
      </w:rPr>
      <w:tblPr/>
      <w:tcPr>
        <w:tcBorders>
          <w:top w:val="double" w:sz="2" w:space="0" w:color="F6957B"/>
        </w:tcBorders>
      </w:tcPr>
    </w:tblStylePr>
    <w:tblStylePr w:type="firstCol">
      <w:rPr>
        <w:rFonts w:cs="Times New Roman"/>
        <w:b/>
        <w:bCs/>
      </w:rPr>
    </w:tblStylePr>
    <w:tblStylePr w:type="lastCol">
      <w:rPr>
        <w:rFonts w:cs="Times New Roman"/>
        <w:b/>
        <w:bCs/>
      </w:rPr>
    </w:tblStylePr>
  </w:style>
  <w:style w:type="table" w:customStyle="1" w:styleId="Tabelasiatki1jasnaakcent41">
    <w:name w:val="Tabela siatki 1 — jasna — akcent 41"/>
    <w:uiPriority w:val="99"/>
    <w:rsid w:val="007C28CC"/>
    <w:rPr>
      <w:sz w:val="20"/>
      <w:szCs w:val="20"/>
      <w:lang w:val="en-GB" w:eastAsia="en-GB"/>
    </w:rPr>
    <w:tblPr>
      <w:tblStyleRowBandSize w:val="1"/>
      <w:tblStyleColBandSize w:val="1"/>
      <w:tblInd w:w="0" w:type="dxa"/>
      <w:tblBorders>
        <w:top w:val="single" w:sz="4" w:space="0" w:color="C3C5E1"/>
        <w:left w:val="single" w:sz="4" w:space="0" w:color="C3C5E1"/>
        <w:bottom w:val="single" w:sz="4" w:space="0" w:color="C3C5E1"/>
        <w:right w:val="single" w:sz="4" w:space="0" w:color="C3C5E1"/>
        <w:insideH w:val="single" w:sz="4" w:space="0" w:color="C3C5E1"/>
        <w:insideV w:val="single" w:sz="4" w:space="0" w:color="C3C5E1"/>
      </w:tblBorders>
      <w:tblCellMar>
        <w:top w:w="0" w:type="dxa"/>
        <w:left w:w="108" w:type="dxa"/>
        <w:bottom w:w="0" w:type="dxa"/>
        <w:right w:w="108" w:type="dxa"/>
      </w:tblCellMar>
    </w:tblPr>
    <w:tblStylePr w:type="firstRow">
      <w:rPr>
        <w:rFonts w:cs="Times New Roman"/>
        <w:b/>
        <w:bCs/>
      </w:rPr>
      <w:tblPr/>
      <w:tcPr>
        <w:tcBorders>
          <w:bottom w:val="single" w:sz="12" w:space="0" w:color="A5A8D2"/>
        </w:tcBorders>
      </w:tcPr>
    </w:tblStylePr>
    <w:tblStylePr w:type="lastRow">
      <w:rPr>
        <w:rFonts w:cs="Times New Roman"/>
        <w:b/>
        <w:bCs/>
      </w:rPr>
      <w:tblPr/>
      <w:tcPr>
        <w:tcBorders>
          <w:top w:val="double" w:sz="2" w:space="0" w:color="A5A8D2"/>
        </w:tcBorders>
      </w:tcPr>
    </w:tblStylePr>
    <w:tblStylePr w:type="firstCol">
      <w:rPr>
        <w:rFonts w:cs="Times New Roman"/>
        <w:b/>
        <w:bCs/>
      </w:rPr>
    </w:tblStylePr>
    <w:tblStylePr w:type="lastCol">
      <w:rPr>
        <w:rFonts w:cs="Times New Roman"/>
        <w:b/>
        <w:bCs/>
      </w:rPr>
    </w:tblStylePr>
  </w:style>
  <w:style w:type="table" w:customStyle="1" w:styleId="Tabelasiatki1jasnaakcent51">
    <w:name w:val="Tabela siatki 1 — jasna — akcent 51"/>
    <w:uiPriority w:val="99"/>
    <w:rsid w:val="007C28CC"/>
    <w:rPr>
      <w:sz w:val="20"/>
      <w:szCs w:val="20"/>
      <w:lang w:val="en-GB" w:eastAsia="en-GB"/>
    </w:rPr>
    <w:tblPr>
      <w:tblStyleRowBandSize w:val="1"/>
      <w:tblStyleColBandSize w:val="1"/>
      <w:tblInd w:w="0" w:type="dxa"/>
      <w:tblBorders>
        <w:top w:val="single" w:sz="4" w:space="0" w:color="FDD6A5"/>
        <w:left w:val="single" w:sz="4" w:space="0" w:color="FDD6A5"/>
        <w:bottom w:val="single" w:sz="4" w:space="0" w:color="FDD6A5"/>
        <w:right w:val="single" w:sz="4" w:space="0" w:color="FDD6A5"/>
        <w:insideH w:val="single" w:sz="4" w:space="0" w:color="FDD6A5"/>
        <w:insideV w:val="single" w:sz="4" w:space="0" w:color="FDD6A5"/>
      </w:tblBorders>
      <w:tblCellMar>
        <w:top w:w="0" w:type="dxa"/>
        <w:left w:w="108" w:type="dxa"/>
        <w:bottom w:w="0" w:type="dxa"/>
        <w:right w:w="108" w:type="dxa"/>
      </w:tblCellMar>
    </w:tblPr>
    <w:tblStylePr w:type="firstRow">
      <w:rPr>
        <w:rFonts w:cs="Times New Roman"/>
        <w:b/>
        <w:bCs/>
      </w:rPr>
      <w:tblPr/>
      <w:tcPr>
        <w:tcBorders>
          <w:bottom w:val="single" w:sz="12" w:space="0" w:color="FCC278"/>
        </w:tcBorders>
      </w:tcPr>
    </w:tblStylePr>
    <w:tblStylePr w:type="lastRow">
      <w:rPr>
        <w:rFonts w:cs="Times New Roman"/>
        <w:b/>
        <w:bCs/>
      </w:rPr>
      <w:tblPr/>
      <w:tcPr>
        <w:tcBorders>
          <w:top w:val="double" w:sz="2" w:space="0" w:color="FCC278"/>
        </w:tcBorders>
      </w:tcPr>
    </w:tblStylePr>
    <w:tblStylePr w:type="firstCol">
      <w:rPr>
        <w:rFonts w:cs="Times New Roman"/>
        <w:b/>
        <w:bCs/>
      </w:rPr>
    </w:tblStylePr>
    <w:tblStylePr w:type="lastCol">
      <w:rPr>
        <w:rFonts w:cs="Times New Roman"/>
        <w:b/>
        <w:bCs/>
      </w:rPr>
    </w:tblStylePr>
  </w:style>
  <w:style w:type="table" w:customStyle="1" w:styleId="Tabelasiatki1jasnaakcent61">
    <w:name w:val="Tabela siatki 1 — jasna — akcent 61"/>
    <w:uiPriority w:val="99"/>
    <w:rsid w:val="007C28CC"/>
    <w:rPr>
      <w:sz w:val="20"/>
      <w:szCs w:val="20"/>
      <w:lang w:val="en-GB" w:eastAsia="en-GB"/>
    </w:rPr>
    <w:tblPr>
      <w:tblStyleRowBandSize w:val="1"/>
      <w:tblStyleColBandSize w:val="1"/>
      <w:tblInd w:w="0" w:type="dxa"/>
      <w:tblBorders>
        <w:top w:val="single" w:sz="4" w:space="0" w:color="9EE9C7"/>
        <w:left w:val="single" w:sz="4" w:space="0" w:color="9EE9C7"/>
        <w:bottom w:val="single" w:sz="4" w:space="0" w:color="9EE9C7"/>
        <w:right w:val="single" w:sz="4" w:space="0" w:color="9EE9C7"/>
        <w:insideH w:val="single" w:sz="4" w:space="0" w:color="9EE9C7"/>
        <w:insideV w:val="single" w:sz="4" w:space="0" w:color="9EE9C7"/>
      </w:tblBorders>
      <w:tblCellMar>
        <w:top w:w="0" w:type="dxa"/>
        <w:left w:w="108" w:type="dxa"/>
        <w:bottom w:w="0" w:type="dxa"/>
        <w:right w:w="108" w:type="dxa"/>
      </w:tblCellMar>
    </w:tblPr>
    <w:tblStylePr w:type="firstRow">
      <w:rPr>
        <w:rFonts w:cs="Times New Roman"/>
        <w:b/>
        <w:bCs/>
      </w:rPr>
      <w:tblPr/>
      <w:tcPr>
        <w:tcBorders>
          <w:bottom w:val="single" w:sz="12" w:space="0" w:color="6EDEAC"/>
        </w:tcBorders>
      </w:tcPr>
    </w:tblStylePr>
    <w:tblStylePr w:type="lastRow">
      <w:rPr>
        <w:rFonts w:cs="Times New Roman"/>
        <w:b/>
        <w:bCs/>
      </w:rPr>
      <w:tblPr/>
      <w:tcPr>
        <w:tcBorders>
          <w:top w:val="double" w:sz="2" w:space="0" w:color="6EDEAC"/>
        </w:tcBorders>
      </w:tcPr>
    </w:tblStylePr>
    <w:tblStylePr w:type="firstCol">
      <w:rPr>
        <w:rFonts w:cs="Times New Roman"/>
        <w:b/>
        <w:bCs/>
      </w:rPr>
    </w:tblStylePr>
    <w:tblStylePr w:type="lastCol">
      <w:rPr>
        <w:rFonts w:cs="Times New Roman"/>
        <w:b/>
        <w:bCs/>
      </w:rPr>
    </w:tblStylePr>
  </w:style>
  <w:style w:type="table" w:customStyle="1" w:styleId="Tabelasiatki2akcent11">
    <w:name w:val="Tabela siatki 2 — akcent 11"/>
    <w:uiPriority w:val="99"/>
    <w:rsid w:val="007C28CC"/>
    <w:rPr>
      <w:sz w:val="20"/>
      <w:szCs w:val="20"/>
      <w:lang w:val="en-GB" w:eastAsia="en-GB"/>
    </w:rPr>
    <w:tblPr>
      <w:tblStyleRowBandSize w:val="1"/>
      <w:tblStyleColBandSize w:val="1"/>
      <w:tblInd w:w="0" w:type="dxa"/>
      <w:tblBorders>
        <w:top w:val="single" w:sz="2" w:space="0" w:color="E481B0"/>
        <w:bottom w:val="single" w:sz="2" w:space="0" w:color="E481B0"/>
        <w:insideH w:val="single" w:sz="2" w:space="0" w:color="E481B0"/>
        <w:insideV w:val="single" w:sz="2" w:space="0" w:color="E481B0"/>
      </w:tblBorders>
      <w:tblCellMar>
        <w:top w:w="0" w:type="dxa"/>
        <w:left w:w="108" w:type="dxa"/>
        <w:bottom w:w="0" w:type="dxa"/>
        <w:right w:w="108" w:type="dxa"/>
      </w:tblCellMar>
    </w:tblPr>
    <w:tblStylePr w:type="firstRow">
      <w:rPr>
        <w:rFonts w:cs="Times New Roman"/>
        <w:b/>
        <w:bCs/>
      </w:rPr>
      <w:tblPr/>
      <w:tcPr>
        <w:tcBorders>
          <w:top w:val="nil"/>
          <w:bottom w:val="single" w:sz="12" w:space="0" w:color="E481B0"/>
          <w:insideH w:val="nil"/>
          <w:insideV w:val="nil"/>
        </w:tcBorders>
        <w:shd w:val="clear" w:color="auto" w:fill="FFFFFF"/>
      </w:tcPr>
    </w:tblStylePr>
    <w:tblStylePr w:type="lastRow">
      <w:rPr>
        <w:rFonts w:cs="Times New Roman"/>
        <w:b/>
        <w:bCs/>
      </w:rPr>
      <w:tblPr/>
      <w:tcPr>
        <w:tcBorders>
          <w:top w:val="double" w:sz="2" w:space="0" w:color="E481B0"/>
          <w:bottom w:val="nil"/>
          <w:insideH w:val="nil"/>
          <w:insideV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6D5E4"/>
      </w:tcPr>
    </w:tblStylePr>
    <w:tblStylePr w:type="band1Horz">
      <w:rPr>
        <w:rFonts w:cs="Times New Roman"/>
      </w:rPr>
      <w:tblPr/>
      <w:tcPr>
        <w:shd w:val="clear" w:color="auto" w:fill="F6D5E4"/>
      </w:tcPr>
    </w:tblStylePr>
  </w:style>
  <w:style w:type="table" w:customStyle="1" w:styleId="Tabelasiatki2akcent21">
    <w:name w:val="Tabela siatki 2 — akcent 21"/>
    <w:uiPriority w:val="99"/>
    <w:rsid w:val="007C28CC"/>
    <w:rPr>
      <w:sz w:val="20"/>
      <w:szCs w:val="20"/>
      <w:lang w:val="en-GB" w:eastAsia="en-GB"/>
    </w:rPr>
    <w:tblPr>
      <w:tblStyleRowBandSize w:val="1"/>
      <w:tblStyleColBandSize w:val="1"/>
      <w:tblInd w:w="0" w:type="dxa"/>
      <w:tblBorders>
        <w:top w:val="single" w:sz="2" w:space="0" w:color="7ECBED"/>
        <w:bottom w:val="single" w:sz="2" w:space="0" w:color="7ECBED"/>
        <w:insideH w:val="single" w:sz="2" w:space="0" w:color="7ECBED"/>
        <w:insideV w:val="single" w:sz="2" w:space="0" w:color="7ECBED"/>
      </w:tblBorders>
      <w:tblCellMar>
        <w:top w:w="0" w:type="dxa"/>
        <w:left w:w="108" w:type="dxa"/>
        <w:bottom w:w="0" w:type="dxa"/>
        <w:right w:w="108" w:type="dxa"/>
      </w:tblCellMar>
    </w:tblPr>
    <w:tblStylePr w:type="firstRow">
      <w:rPr>
        <w:rFonts w:cs="Times New Roman"/>
        <w:b/>
        <w:bCs/>
      </w:rPr>
      <w:tblPr/>
      <w:tcPr>
        <w:tcBorders>
          <w:top w:val="nil"/>
          <w:bottom w:val="single" w:sz="12" w:space="0" w:color="7ECBED"/>
          <w:insideH w:val="nil"/>
          <w:insideV w:val="nil"/>
        </w:tcBorders>
        <w:shd w:val="clear" w:color="auto" w:fill="FFFFFF"/>
      </w:tcPr>
    </w:tblStylePr>
    <w:tblStylePr w:type="lastRow">
      <w:rPr>
        <w:rFonts w:cs="Times New Roman"/>
        <w:b/>
        <w:bCs/>
      </w:rPr>
      <w:tblPr/>
      <w:tcPr>
        <w:tcBorders>
          <w:top w:val="double" w:sz="2" w:space="0" w:color="7ECBED"/>
          <w:bottom w:val="nil"/>
          <w:insideH w:val="nil"/>
          <w:insideV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4EDF9"/>
      </w:tcPr>
    </w:tblStylePr>
    <w:tblStylePr w:type="band1Horz">
      <w:rPr>
        <w:rFonts w:cs="Times New Roman"/>
      </w:rPr>
      <w:tblPr/>
      <w:tcPr>
        <w:shd w:val="clear" w:color="auto" w:fill="D4EDF9"/>
      </w:tcPr>
    </w:tblStylePr>
  </w:style>
  <w:style w:type="table" w:customStyle="1" w:styleId="Tabelasiatki2akcent31">
    <w:name w:val="Tabela siatki 2 — akcent 31"/>
    <w:uiPriority w:val="99"/>
    <w:rsid w:val="007C28CC"/>
    <w:rPr>
      <w:sz w:val="20"/>
      <w:szCs w:val="20"/>
      <w:lang w:val="en-GB" w:eastAsia="en-GB"/>
    </w:rPr>
    <w:tblPr>
      <w:tblStyleRowBandSize w:val="1"/>
      <w:tblStyleColBandSize w:val="1"/>
      <w:tblInd w:w="0" w:type="dxa"/>
      <w:tblBorders>
        <w:top w:val="single" w:sz="2" w:space="0" w:color="F6957B"/>
        <w:bottom w:val="single" w:sz="2" w:space="0" w:color="F6957B"/>
        <w:insideH w:val="single" w:sz="2" w:space="0" w:color="F6957B"/>
        <w:insideV w:val="single" w:sz="2" w:space="0" w:color="F6957B"/>
      </w:tblBorders>
      <w:tblCellMar>
        <w:top w:w="0" w:type="dxa"/>
        <w:left w:w="108" w:type="dxa"/>
        <w:bottom w:w="0" w:type="dxa"/>
        <w:right w:w="108" w:type="dxa"/>
      </w:tblCellMar>
    </w:tblPr>
    <w:tblStylePr w:type="firstRow">
      <w:rPr>
        <w:rFonts w:cs="Times New Roman"/>
        <w:b/>
        <w:bCs/>
      </w:rPr>
      <w:tblPr/>
      <w:tcPr>
        <w:tcBorders>
          <w:top w:val="nil"/>
          <w:bottom w:val="single" w:sz="12" w:space="0" w:color="F6957B"/>
          <w:insideH w:val="nil"/>
          <w:insideV w:val="nil"/>
        </w:tcBorders>
        <w:shd w:val="clear" w:color="auto" w:fill="FFFFFF"/>
      </w:tcPr>
    </w:tblStylePr>
    <w:tblStylePr w:type="lastRow">
      <w:rPr>
        <w:rFonts w:cs="Times New Roman"/>
        <w:b/>
        <w:bCs/>
      </w:rPr>
      <w:tblPr/>
      <w:tcPr>
        <w:tcBorders>
          <w:top w:val="double" w:sz="2" w:space="0" w:color="F6957B"/>
          <w:bottom w:val="nil"/>
          <w:insideH w:val="nil"/>
          <w:insideV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CDBD3"/>
      </w:tcPr>
    </w:tblStylePr>
    <w:tblStylePr w:type="band1Horz">
      <w:rPr>
        <w:rFonts w:cs="Times New Roman"/>
      </w:rPr>
      <w:tblPr/>
      <w:tcPr>
        <w:shd w:val="clear" w:color="auto" w:fill="FCDBD3"/>
      </w:tcPr>
    </w:tblStylePr>
  </w:style>
  <w:style w:type="table" w:customStyle="1" w:styleId="Tabelasiatki2akcent41">
    <w:name w:val="Tabela siatki 2 — akcent 41"/>
    <w:uiPriority w:val="99"/>
    <w:rsid w:val="007C28CC"/>
    <w:rPr>
      <w:sz w:val="20"/>
      <w:szCs w:val="20"/>
      <w:lang w:val="en-GB" w:eastAsia="en-GB"/>
    </w:rPr>
    <w:tblPr>
      <w:tblStyleRowBandSize w:val="1"/>
      <w:tblStyleColBandSize w:val="1"/>
      <w:tblInd w:w="0" w:type="dxa"/>
      <w:tblBorders>
        <w:top w:val="single" w:sz="2" w:space="0" w:color="A5A8D2"/>
        <w:bottom w:val="single" w:sz="2" w:space="0" w:color="A5A8D2"/>
        <w:insideH w:val="single" w:sz="2" w:space="0" w:color="A5A8D2"/>
        <w:insideV w:val="single" w:sz="2" w:space="0" w:color="A5A8D2"/>
      </w:tblBorders>
      <w:tblCellMar>
        <w:top w:w="0" w:type="dxa"/>
        <w:left w:w="108" w:type="dxa"/>
        <w:bottom w:w="0" w:type="dxa"/>
        <w:right w:w="108" w:type="dxa"/>
      </w:tblCellMar>
    </w:tblPr>
    <w:tblStylePr w:type="firstRow">
      <w:rPr>
        <w:rFonts w:cs="Times New Roman"/>
        <w:b/>
        <w:bCs/>
      </w:rPr>
      <w:tblPr/>
      <w:tcPr>
        <w:tcBorders>
          <w:top w:val="nil"/>
          <w:bottom w:val="single" w:sz="12" w:space="0" w:color="A5A8D2"/>
          <w:insideH w:val="nil"/>
          <w:insideV w:val="nil"/>
        </w:tcBorders>
        <w:shd w:val="clear" w:color="auto" w:fill="FFFFFF"/>
      </w:tcPr>
    </w:tblStylePr>
    <w:tblStylePr w:type="lastRow">
      <w:rPr>
        <w:rFonts w:cs="Times New Roman"/>
        <w:b/>
        <w:bCs/>
      </w:rPr>
      <w:tblPr/>
      <w:tcPr>
        <w:tcBorders>
          <w:top w:val="double" w:sz="2" w:space="0" w:color="A5A8D2"/>
          <w:bottom w:val="nil"/>
          <w:insideH w:val="nil"/>
          <w:insideV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1E2F0"/>
      </w:tcPr>
    </w:tblStylePr>
    <w:tblStylePr w:type="band1Horz">
      <w:rPr>
        <w:rFonts w:cs="Times New Roman"/>
      </w:rPr>
      <w:tblPr/>
      <w:tcPr>
        <w:shd w:val="clear" w:color="auto" w:fill="E1E2F0"/>
      </w:tcPr>
    </w:tblStylePr>
  </w:style>
  <w:style w:type="table" w:customStyle="1" w:styleId="Tabelasiatki2akcent51">
    <w:name w:val="Tabela siatki 2 — akcent 51"/>
    <w:uiPriority w:val="99"/>
    <w:rsid w:val="007C28CC"/>
    <w:rPr>
      <w:sz w:val="20"/>
      <w:szCs w:val="20"/>
      <w:lang w:val="en-GB" w:eastAsia="en-GB"/>
    </w:rPr>
    <w:tblPr>
      <w:tblStyleRowBandSize w:val="1"/>
      <w:tblStyleColBandSize w:val="1"/>
      <w:tblInd w:w="0" w:type="dxa"/>
      <w:tblBorders>
        <w:top w:val="single" w:sz="2" w:space="0" w:color="FCC278"/>
        <w:bottom w:val="single" w:sz="2" w:space="0" w:color="FCC278"/>
        <w:insideH w:val="single" w:sz="2" w:space="0" w:color="FCC278"/>
        <w:insideV w:val="single" w:sz="2" w:space="0" w:color="FCC278"/>
      </w:tblBorders>
      <w:tblCellMar>
        <w:top w:w="0" w:type="dxa"/>
        <w:left w:w="108" w:type="dxa"/>
        <w:bottom w:w="0" w:type="dxa"/>
        <w:right w:w="108" w:type="dxa"/>
      </w:tblCellMar>
    </w:tblPr>
    <w:tblStylePr w:type="firstRow">
      <w:rPr>
        <w:rFonts w:cs="Times New Roman"/>
        <w:b/>
        <w:bCs/>
      </w:rPr>
      <w:tblPr/>
      <w:tcPr>
        <w:tcBorders>
          <w:top w:val="nil"/>
          <w:bottom w:val="single" w:sz="12" w:space="0" w:color="FCC278"/>
          <w:insideH w:val="nil"/>
          <w:insideV w:val="nil"/>
        </w:tcBorders>
        <w:shd w:val="clear" w:color="auto" w:fill="FFFFFF"/>
      </w:tcPr>
    </w:tblStylePr>
    <w:tblStylePr w:type="lastRow">
      <w:rPr>
        <w:rFonts w:cs="Times New Roman"/>
        <w:b/>
        <w:bCs/>
      </w:rPr>
      <w:tblPr/>
      <w:tcPr>
        <w:tcBorders>
          <w:top w:val="double" w:sz="2" w:space="0" w:color="FCC278"/>
          <w:bottom w:val="nil"/>
          <w:insideH w:val="nil"/>
          <w:insideV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EEAD2"/>
      </w:tcPr>
    </w:tblStylePr>
    <w:tblStylePr w:type="band1Horz">
      <w:rPr>
        <w:rFonts w:cs="Times New Roman"/>
      </w:rPr>
      <w:tblPr/>
      <w:tcPr>
        <w:shd w:val="clear" w:color="auto" w:fill="FEEAD2"/>
      </w:tcPr>
    </w:tblStylePr>
  </w:style>
  <w:style w:type="table" w:customStyle="1" w:styleId="Tabelasiatki2akcent61">
    <w:name w:val="Tabela siatki 2 — akcent 61"/>
    <w:uiPriority w:val="99"/>
    <w:rsid w:val="007C28CC"/>
    <w:rPr>
      <w:sz w:val="20"/>
      <w:szCs w:val="20"/>
      <w:lang w:val="en-GB" w:eastAsia="en-GB"/>
    </w:rPr>
    <w:tblPr>
      <w:tblStyleRowBandSize w:val="1"/>
      <w:tblStyleColBandSize w:val="1"/>
      <w:tblInd w:w="0" w:type="dxa"/>
      <w:tblBorders>
        <w:top w:val="single" w:sz="2" w:space="0" w:color="6EDEAC"/>
        <w:bottom w:val="single" w:sz="2" w:space="0" w:color="6EDEAC"/>
        <w:insideH w:val="single" w:sz="2" w:space="0" w:color="6EDEAC"/>
        <w:insideV w:val="single" w:sz="2" w:space="0" w:color="6EDEAC"/>
      </w:tblBorders>
      <w:tblCellMar>
        <w:top w:w="0" w:type="dxa"/>
        <w:left w:w="108" w:type="dxa"/>
        <w:bottom w:w="0" w:type="dxa"/>
        <w:right w:w="108" w:type="dxa"/>
      </w:tblCellMar>
    </w:tblPr>
    <w:tblStylePr w:type="firstRow">
      <w:rPr>
        <w:rFonts w:cs="Times New Roman"/>
        <w:b/>
        <w:bCs/>
      </w:rPr>
      <w:tblPr/>
      <w:tcPr>
        <w:tcBorders>
          <w:top w:val="nil"/>
          <w:bottom w:val="single" w:sz="12" w:space="0" w:color="6EDEAC"/>
          <w:insideH w:val="nil"/>
          <w:insideV w:val="nil"/>
        </w:tcBorders>
        <w:shd w:val="clear" w:color="auto" w:fill="FFFFFF"/>
      </w:tcPr>
    </w:tblStylePr>
    <w:tblStylePr w:type="lastRow">
      <w:rPr>
        <w:rFonts w:cs="Times New Roman"/>
        <w:b/>
        <w:bCs/>
      </w:rPr>
      <w:tblPr/>
      <w:tcPr>
        <w:tcBorders>
          <w:top w:val="double" w:sz="2" w:space="0" w:color="6EDEAC"/>
          <w:bottom w:val="nil"/>
          <w:insideH w:val="nil"/>
          <w:insideV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EF4E3"/>
      </w:tcPr>
    </w:tblStylePr>
    <w:tblStylePr w:type="band1Horz">
      <w:rPr>
        <w:rFonts w:cs="Times New Roman"/>
      </w:rPr>
      <w:tblPr/>
      <w:tcPr>
        <w:shd w:val="clear" w:color="auto" w:fill="CEF4E3"/>
      </w:tcPr>
    </w:tblStylePr>
  </w:style>
  <w:style w:type="table" w:customStyle="1" w:styleId="Tabelasiatki3akcent11">
    <w:name w:val="Tabela siatki 3 — akcent 11"/>
    <w:uiPriority w:val="99"/>
    <w:rsid w:val="007C28CC"/>
    <w:rPr>
      <w:sz w:val="20"/>
      <w:szCs w:val="20"/>
      <w:lang w:val="en-GB" w:eastAsia="en-GB"/>
    </w:rPr>
    <w:tblPr>
      <w:tblStyleRowBandSize w:val="1"/>
      <w:tblStyleColBandSize w:val="1"/>
      <w:tblInd w:w="0" w:type="dxa"/>
      <w:tblBorders>
        <w:top w:val="single" w:sz="4" w:space="0" w:color="E481B0"/>
        <w:left w:val="single" w:sz="4" w:space="0" w:color="E481B0"/>
        <w:bottom w:val="single" w:sz="4" w:space="0" w:color="E481B0"/>
        <w:right w:val="single" w:sz="4" w:space="0" w:color="E481B0"/>
        <w:insideH w:val="single" w:sz="4" w:space="0" w:color="E481B0"/>
        <w:insideV w:val="single" w:sz="4" w:space="0" w:color="E481B0"/>
      </w:tblBorders>
      <w:tblCellMar>
        <w:top w:w="0" w:type="dxa"/>
        <w:left w:w="108" w:type="dxa"/>
        <w:bottom w:w="0" w:type="dxa"/>
        <w:right w:w="108" w:type="dxa"/>
      </w:tblCellMar>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F6D5E4"/>
      </w:tcPr>
    </w:tblStylePr>
    <w:tblStylePr w:type="band1Horz">
      <w:rPr>
        <w:rFonts w:cs="Times New Roman"/>
      </w:rPr>
      <w:tblPr/>
      <w:tcPr>
        <w:shd w:val="clear" w:color="auto" w:fill="F6D5E4"/>
      </w:tcPr>
    </w:tblStylePr>
    <w:tblStylePr w:type="neCell">
      <w:rPr>
        <w:rFonts w:cs="Times New Roman"/>
      </w:rPr>
      <w:tblPr/>
      <w:tcPr>
        <w:tcBorders>
          <w:bottom w:val="single" w:sz="4" w:space="0" w:color="E481B0"/>
        </w:tcBorders>
      </w:tcPr>
    </w:tblStylePr>
    <w:tblStylePr w:type="nwCell">
      <w:rPr>
        <w:rFonts w:cs="Times New Roman"/>
      </w:rPr>
      <w:tblPr/>
      <w:tcPr>
        <w:tcBorders>
          <w:bottom w:val="single" w:sz="4" w:space="0" w:color="E481B0"/>
        </w:tcBorders>
      </w:tcPr>
    </w:tblStylePr>
    <w:tblStylePr w:type="seCell">
      <w:rPr>
        <w:rFonts w:cs="Times New Roman"/>
      </w:rPr>
      <w:tblPr/>
      <w:tcPr>
        <w:tcBorders>
          <w:top w:val="single" w:sz="4" w:space="0" w:color="E481B0"/>
        </w:tcBorders>
      </w:tcPr>
    </w:tblStylePr>
    <w:tblStylePr w:type="swCell">
      <w:rPr>
        <w:rFonts w:cs="Times New Roman"/>
      </w:rPr>
      <w:tblPr/>
      <w:tcPr>
        <w:tcBorders>
          <w:top w:val="single" w:sz="4" w:space="0" w:color="E481B0"/>
        </w:tcBorders>
      </w:tcPr>
    </w:tblStylePr>
  </w:style>
  <w:style w:type="table" w:customStyle="1" w:styleId="Tabelasiatki3akcent21">
    <w:name w:val="Tabela siatki 3 — akcent 21"/>
    <w:uiPriority w:val="99"/>
    <w:rsid w:val="007C28CC"/>
    <w:rPr>
      <w:sz w:val="20"/>
      <w:szCs w:val="20"/>
      <w:lang w:val="en-GB" w:eastAsia="en-GB"/>
    </w:rPr>
    <w:tblPr>
      <w:tblStyleRowBandSize w:val="1"/>
      <w:tblStyleColBandSize w:val="1"/>
      <w:tblInd w:w="0" w:type="dxa"/>
      <w:tblBorders>
        <w:top w:val="single" w:sz="4" w:space="0" w:color="7ECBED"/>
        <w:left w:val="single" w:sz="4" w:space="0" w:color="7ECBED"/>
        <w:bottom w:val="single" w:sz="4" w:space="0" w:color="7ECBED"/>
        <w:right w:val="single" w:sz="4" w:space="0" w:color="7ECBED"/>
        <w:insideH w:val="single" w:sz="4" w:space="0" w:color="7ECBED"/>
        <w:insideV w:val="single" w:sz="4" w:space="0" w:color="7ECBED"/>
      </w:tblBorders>
      <w:tblCellMar>
        <w:top w:w="0" w:type="dxa"/>
        <w:left w:w="108" w:type="dxa"/>
        <w:bottom w:w="0" w:type="dxa"/>
        <w:right w:w="108" w:type="dxa"/>
      </w:tblCellMar>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D4EDF9"/>
      </w:tcPr>
    </w:tblStylePr>
    <w:tblStylePr w:type="band1Horz">
      <w:rPr>
        <w:rFonts w:cs="Times New Roman"/>
      </w:rPr>
      <w:tblPr/>
      <w:tcPr>
        <w:shd w:val="clear" w:color="auto" w:fill="D4EDF9"/>
      </w:tcPr>
    </w:tblStylePr>
    <w:tblStylePr w:type="neCell">
      <w:rPr>
        <w:rFonts w:cs="Times New Roman"/>
      </w:rPr>
      <w:tblPr/>
      <w:tcPr>
        <w:tcBorders>
          <w:bottom w:val="single" w:sz="4" w:space="0" w:color="7ECBED"/>
        </w:tcBorders>
      </w:tcPr>
    </w:tblStylePr>
    <w:tblStylePr w:type="nwCell">
      <w:rPr>
        <w:rFonts w:cs="Times New Roman"/>
      </w:rPr>
      <w:tblPr/>
      <w:tcPr>
        <w:tcBorders>
          <w:bottom w:val="single" w:sz="4" w:space="0" w:color="7ECBED"/>
        </w:tcBorders>
      </w:tcPr>
    </w:tblStylePr>
    <w:tblStylePr w:type="seCell">
      <w:rPr>
        <w:rFonts w:cs="Times New Roman"/>
      </w:rPr>
      <w:tblPr/>
      <w:tcPr>
        <w:tcBorders>
          <w:top w:val="single" w:sz="4" w:space="0" w:color="7ECBED"/>
        </w:tcBorders>
      </w:tcPr>
    </w:tblStylePr>
    <w:tblStylePr w:type="swCell">
      <w:rPr>
        <w:rFonts w:cs="Times New Roman"/>
      </w:rPr>
      <w:tblPr/>
      <w:tcPr>
        <w:tcBorders>
          <w:top w:val="single" w:sz="4" w:space="0" w:color="7ECBED"/>
        </w:tcBorders>
      </w:tcPr>
    </w:tblStylePr>
  </w:style>
  <w:style w:type="table" w:customStyle="1" w:styleId="Tabelasiatki3akcent31">
    <w:name w:val="Tabela siatki 3 — akcent 31"/>
    <w:uiPriority w:val="99"/>
    <w:rsid w:val="007C28CC"/>
    <w:rPr>
      <w:sz w:val="20"/>
      <w:szCs w:val="20"/>
      <w:lang w:val="en-GB" w:eastAsia="en-GB"/>
    </w:rPr>
    <w:tblPr>
      <w:tblStyleRowBandSize w:val="1"/>
      <w:tblStyleColBandSize w:val="1"/>
      <w:tblInd w:w="0" w:type="dxa"/>
      <w:tblBorders>
        <w:top w:val="single" w:sz="4" w:space="0" w:color="F6957B"/>
        <w:left w:val="single" w:sz="4" w:space="0" w:color="F6957B"/>
        <w:bottom w:val="single" w:sz="4" w:space="0" w:color="F6957B"/>
        <w:right w:val="single" w:sz="4" w:space="0" w:color="F6957B"/>
        <w:insideH w:val="single" w:sz="4" w:space="0" w:color="F6957B"/>
        <w:insideV w:val="single" w:sz="4" w:space="0" w:color="F6957B"/>
      </w:tblBorders>
      <w:tblCellMar>
        <w:top w:w="0" w:type="dxa"/>
        <w:left w:w="108" w:type="dxa"/>
        <w:bottom w:w="0" w:type="dxa"/>
        <w:right w:w="108" w:type="dxa"/>
      </w:tblCellMar>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FCDBD3"/>
      </w:tcPr>
    </w:tblStylePr>
    <w:tblStylePr w:type="band1Horz">
      <w:rPr>
        <w:rFonts w:cs="Times New Roman"/>
      </w:rPr>
      <w:tblPr/>
      <w:tcPr>
        <w:shd w:val="clear" w:color="auto" w:fill="FCDBD3"/>
      </w:tcPr>
    </w:tblStylePr>
    <w:tblStylePr w:type="neCell">
      <w:rPr>
        <w:rFonts w:cs="Times New Roman"/>
      </w:rPr>
      <w:tblPr/>
      <w:tcPr>
        <w:tcBorders>
          <w:bottom w:val="single" w:sz="4" w:space="0" w:color="F6957B"/>
        </w:tcBorders>
      </w:tcPr>
    </w:tblStylePr>
    <w:tblStylePr w:type="nwCell">
      <w:rPr>
        <w:rFonts w:cs="Times New Roman"/>
      </w:rPr>
      <w:tblPr/>
      <w:tcPr>
        <w:tcBorders>
          <w:bottom w:val="single" w:sz="4" w:space="0" w:color="F6957B"/>
        </w:tcBorders>
      </w:tcPr>
    </w:tblStylePr>
    <w:tblStylePr w:type="seCell">
      <w:rPr>
        <w:rFonts w:cs="Times New Roman"/>
      </w:rPr>
      <w:tblPr/>
      <w:tcPr>
        <w:tcBorders>
          <w:top w:val="single" w:sz="4" w:space="0" w:color="F6957B"/>
        </w:tcBorders>
      </w:tcPr>
    </w:tblStylePr>
    <w:tblStylePr w:type="swCell">
      <w:rPr>
        <w:rFonts w:cs="Times New Roman"/>
      </w:rPr>
      <w:tblPr/>
      <w:tcPr>
        <w:tcBorders>
          <w:top w:val="single" w:sz="4" w:space="0" w:color="F6957B"/>
        </w:tcBorders>
      </w:tcPr>
    </w:tblStylePr>
  </w:style>
  <w:style w:type="table" w:customStyle="1" w:styleId="Tabelasiatki3akcent41">
    <w:name w:val="Tabela siatki 3 — akcent 41"/>
    <w:uiPriority w:val="99"/>
    <w:rsid w:val="007C28CC"/>
    <w:rPr>
      <w:sz w:val="20"/>
      <w:szCs w:val="20"/>
      <w:lang w:val="en-GB" w:eastAsia="en-GB"/>
    </w:rPr>
    <w:tblPr>
      <w:tblStyleRowBandSize w:val="1"/>
      <w:tblStyleColBandSize w:val="1"/>
      <w:tblInd w:w="0" w:type="dxa"/>
      <w:tblBorders>
        <w:top w:val="single" w:sz="4" w:space="0" w:color="A5A8D2"/>
        <w:left w:val="single" w:sz="4" w:space="0" w:color="A5A8D2"/>
        <w:bottom w:val="single" w:sz="4" w:space="0" w:color="A5A8D2"/>
        <w:right w:val="single" w:sz="4" w:space="0" w:color="A5A8D2"/>
        <w:insideH w:val="single" w:sz="4" w:space="0" w:color="A5A8D2"/>
        <w:insideV w:val="single" w:sz="4" w:space="0" w:color="A5A8D2"/>
      </w:tblBorders>
      <w:tblCellMar>
        <w:top w:w="0" w:type="dxa"/>
        <w:left w:w="108" w:type="dxa"/>
        <w:bottom w:w="0" w:type="dxa"/>
        <w:right w:w="108" w:type="dxa"/>
      </w:tblCellMar>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E1E2F0"/>
      </w:tcPr>
    </w:tblStylePr>
    <w:tblStylePr w:type="band1Horz">
      <w:rPr>
        <w:rFonts w:cs="Times New Roman"/>
      </w:rPr>
      <w:tblPr/>
      <w:tcPr>
        <w:shd w:val="clear" w:color="auto" w:fill="E1E2F0"/>
      </w:tcPr>
    </w:tblStylePr>
    <w:tblStylePr w:type="neCell">
      <w:rPr>
        <w:rFonts w:cs="Times New Roman"/>
      </w:rPr>
      <w:tblPr/>
      <w:tcPr>
        <w:tcBorders>
          <w:bottom w:val="single" w:sz="4" w:space="0" w:color="A5A8D2"/>
        </w:tcBorders>
      </w:tcPr>
    </w:tblStylePr>
    <w:tblStylePr w:type="nwCell">
      <w:rPr>
        <w:rFonts w:cs="Times New Roman"/>
      </w:rPr>
      <w:tblPr/>
      <w:tcPr>
        <w:tcBorders>
          <w:bottom w:val="single" w:sz="4" w:space="0" w:color="A5A8D2"/>
        </w:tcBorders>
      </w:tcPr>
    </w:tblStylePr>
    <w:tblStylePr w:type="seCell">
      <w:rPr>
        <w:rFonts w:cs="Times New Roman"/>
      </w:rPr>
      <w:tblPr/>
      <w:tcPr>
        <w:tcBorders>
          <w:top w:val="single" w:sz="4" w:space="0" w:color="A5A8D2"/>
        </w:tcBorders>
      </w:tcPr>
    </w:tblStylePr>
    <w:tblStylePr w:type="swCell">
      <w:rPr>
        <w:rFonts w:cs="Times New Roman"/>
      </w:rPr>
      <w:tblPr/>
      <w:tcPr>
        <w:tcBorders>
          <w:top w:val="single" w:sz="4" w:space="0" w:color="A5A8D2"/>
        </w:tcBorders>
      </w:tcPr>
    </w:tblStylePr>
  </w:style>
  <w:style w:type="table" w:customStyle="1" w:styleId="Tabelasiatki3akcent51">
    <w:name w:val="Tabela siatki 3 — akcent 51"/>
    <w:uiPriority w:val="99"/>
    <w:rsid w:val="007C28CC"/>
    <w:rPr>
      <w:sz w:val="20"/>
      <w:szCs w:val="20"/>
      <w:lang w:val="en-GB" w:eastAsia="en-GB"/>
    </w:rPr>
    <w:tblPr>
      <w:tblStyleRowBandSize w:val="1"/>
      <w:tblStyleColBandSize w:val="1"/>
      <w:tblInd w:w="0" w:type="dxa"/>
      <w:tblBorders>
        <w:top w:val="single" w:sz="4" w:space="0" w:color="FCC278"/>
        <w:left w:val="single" w:sz="4" w:space="0" w:color="FCC278"/>
        <w:bottom w:val="single" w:sz="4" w:space="0" w:color="FCC278"/>
        <w:right w:val="single" w:sz="4" w:space="0" w:color="FCC278"/>
        <w:insideH w:val="single" w:sz="4" w:space="0" w:color="FCC278"/>
        <w:insideV w:val="single" w:sz="4" w:space="0" w:color="FCC278"/>
      </w:tblBorders>
      <w:tblCellMar>
        <w:top w:w="0" w:type="dxa"/>
        <w:left w:w="108" w:type="dxa"/>
        <w:bottom w:w="0" w:type="dxa"/>
        <w:right w:w="108" w:type="dxa"/>
      </w:tblCellMar>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FEEAD2"/>
      </w:tcPr>
    </w:tblStylePr>
    <w:tblStylePr w:type="band1Horz">
      <w:rPr>
        <w:rFonts w:cs="Times New Roman"/>
      </w:rPr>
      <w:tblPr/>
      <w:tcPr>
        <w:shd w:val="clear" w:color="auto" w:fill="FEEAD2"/>
      </w:tcPr>
    </w:tblStylePr>
    <w:tblStylePr w:type="neCell">
      <w:rPr>
        <w:rFonts w:cs="Times New Roman"/>
      </w:rPr>
      <w:tblPr/>
      <w:tcPr>
        <w:tcBorders>
          <w:bottom w:val="single" w:sz="4" w:space="0" w:color="FCC278"/>
        </w:tcBorders>
      </w:tcPr>
    </w:tblStylePr>
    <w:tblStylePr w:type="nwCell">
      <w:rPr>
        <w:rFonts w:cs="Times New Roman"/>
      </w:rPr>
      <w:tblPr/>
      <w:tcPr>
        <w:tcBorders>
          <w:bottom w:val="single" w:sz="4" w:space="0" w:color="FCC278"/>
        </w:tcBorders>
      </w:tcPr>
    </w:tblStylePr>
    <w:tblStylePr w:type="seCell">
      <w:rPr>
        <w:rFonts w:cs="Times New Roman"/>
      </w:rPr>
      <w:tblPr/>
      <w:tcPr>
        <w:tcBorders>
          <w:top w:val="single" w:sz="4" w:space="0" w:color="FCC278"/>
        </w:tcBorders>
      </w:tcPr>
    </w:tblStylePr>
    <w:tblStylePr w:type="swCell">
      <w:rPr>
        <w:rFonts w:cs="Times New Roman"/>
      </w:rPr>
      <w:tblPr/>
      <w:tcPr>
        <w:tcBorders>
          <w:top w:val="single" w:sz="4" w:space="0" w:color="FCC278"/>
        </w:tcBorders>
      </w:tcPr>
    </w:tblStylePr>
  </w:style>
  <w:style w:type="table" w:customStyle="1" w:styleId="Tabelasiatki3akcent61">
    <w:name w:val="Tabela siatki 3 — akcent 61"/>
    <w:uiPriority w:val="99"/>
    <w:rsid w:val="007C28CC"/>
    <w:rPr>
      <w:sz w:val="20"/>
      <w:szCs w:val="20"/>
      <w:lang w:val="en-GB" w:eastAsia="en-GB"/>
    </w:rPr>
    <w:tblPr>
      <w:tblStyleRowBandSize w:val="1"/>
      <w:tblStyleColBandSize w:val="1"/>
      <w:tblInd w:w="0" w:type="dxa"/>
      <w:tblBorders>
        <w:top w:val="single" w:sz="4" w:space="0" w:color="6EDEAC"/>
        <w:left w:val="single" w:sz="4" w:space="0" w:color="6EDEAC"/>
        <w:bottom w:val="single" w:sz="4" w:space="0" w:color="6EDEAC"/>
        <w:right w:val="single" w:sz="4" w:space="0" w:color="6EDEAC"/>
        <w:insideH w:val="single" w:sz="4" w:space="0" w:color="6EDEAC"/>
        <w:insideV w:val="single" w:sz="4" w:space="0" w:color="6EDEAC"/>
      </w:tblBorders>
      <w:tblCellMar>
        <w:top w:w="0" w:type="dxa"/>
        <w:left w:w="108" w:type="dxa"/>
        <w:bottom w:w="0" w:type="dxa"/>
        <w:right w:w="108" w:type="dxa"/>
      </w:tblCellMar>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CEF4E3"/>
      </w:tcPr>
    </w:tblStylePr>
    <w:tblStylePr w:type="band1Horz">
      <w:rPr>
        <w:rFonts w:cs="Times New Roman"/>
      </w:rPr>
      <w:tblPr/>
      <w:tcPr>
        <w:shd w:val="clear" w:color="auto" w:fill="CEF4E3"/>
      </w:tcPr>
    </w:tblStylePr>
    <w:tblStylePr w:type="neCell">
      <w:rPr>
        <w:rFonts w:cs="Times New Roman"/>
      </w:rPr>
      <w:tblPr/>
      <w:tcPr>
        <w:tcBorders>
          <w:bottom w:val="single" w:sz="4" w:space="0" w:color="6EDEAC"/>
        </w:tcBorders>
      </w:tcPr>
    </w:tblStylePr>
    <w:tblStylePr w:type="nwCell">
      <w:rPr>
        <w:rFonts w:cs="Times New Roman"/>
      </w:rPr>
      <w:tblPr/>
      <w:tcPr>
        <w:tcBorders>
          <w:bottom w:val="single" w:sz="4" w:space="0" w:color="6EDEAC"/>
        </w:tcBorders>
      </w:tcPr>
    </w:tblStylePr>
    <w:tblStylePr w:type="seCell">
      <w:rPr>
        <w:rFonts w:cs="Times New Roman"/>
      </w:rPr>
      <w:tblPr/>
      <w:tcPr>
        <w:tcBorders>
          <w:top w:val="single" w:sz="4" w:space="0" w:color="6EDEAC"/>
        </w:tcBorders>
      </w:tcPr>
    </w:tblStylePr>
    <w:tblStylePr w:type="swCell">
      <w:rPr>
        <w:rFonts w:cs="Times New Roman"/>
      </w:rPr>
      <w:tblPr/>
      <w:tcPr>
        <w:tcBorders>
          <w:top w:val="single" w:sz="4" w:space="0" w:color="6EDEAC"/>
        </w:tcBorders>
      </w:tcPr>
    </w:tblStylePr>
  </w:style>
  <w:style w:type="table" w:customStyle="1" w:styleId="Tabelasiatki4akcent11">
    <w:name w:val="Tabela siatki 4 — akcent 11"/>
    <w:uiPriority w:val="99"/>
    <w:rsid w:val="007C28CC"/>
    <w:rPr>
      <w:sz w:val="20"/>
      <w:szCs w:val="20"/>
      <w:lang w:val="en-GB" w:eastAsia="en-GB"/>
    </w:rPr>
    <w:tblPr>
      <w:tblStyleRowBandSize w:val="1"/>
      <w:tblStyleColBandSize w:val="1"/>
      <w:tblInd w:w="0" w:type="dxa"/>
      <w:tblBorders>
        <w:top w:val="single" w:sz="4" w:space="0" w:color="E481B0"/>
        <w:left w:val="single" w:sz="4" w:space="0" w:color="E481B0"/>
        <w:bottom w:val="single" w:sz="4" w:space="0" w:color="E481B0"/>
        <w:right w:val="single" w:sz="4" w:space="0" w:color="E481B0"/>
        <w:insideH w:val="single" w:sz="4" w:space="0" w:color="E481B0"/>
        <w:insideV w:val="single" w:sz="4" w:space="0" w:color="E481B0"/>
      </w:tblBorders>
      <w:tblCellMar>
        <w:top w:w="0" w:type="dxa"/>
        <w:left w:w="108" w:type="dxa"/>
        <w:bottom w:w="0" w:type="dxa"/>
        <w:right w:w="108" w:type="dxa"/>
      </w:tblCellMar>
    </w:tblPr>
    <w:tblStylePr w:type="firstRow">
      <w:rPr>
        <w:rFonts w:cs="Times New Roman"/>
        <w:b/>
        <w:bCs/>
        <w:color w:val="FFFFFF"/>
      </w:rPr>
      <w:tblPr/>
      <w:tcPr>
        <w:tcBorders>
          <w:top w:val="single" w:sz="4" w:space="0" w:color="D22D7D"/>
          <w:left w:val="single" w:sz="4" w:space="0" w:color="D22D7D"/>
          <w:bottom w:val="single" w:sz="4" w:space="0" w:color="D22D7D"/>
          <w:right w:val="single" w:sz="4" w:space="0" w:color="D22D7D"/>
          <w:insideH w:val="nil"/>
          <w:insideV w:val="nil"/>
        </w:tcBorders>
        <w:shd w:val="clear" w:color="auto" w:fill="D22D7D"/>
      </w:tcPr>
    </w:tblStylePr>
    <w:tblStylePr w:type="lastRow">
      <w:rPr>
        <w:rFonts w:cs="Times New Roman"/>
        <w:b/>
        <w:bCs/>
      </w:rPr>
      <w:tblPr/>
      <w:tcPr>
        <w:tcBorders>
          <w:top w:val="double" w:sz="4" w:space="0" w:color="D22D7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6D5E4"/>
      </w:tcPr>
    </w:tblStylePr>
    <w:tblStylePr w:type="band1Horz">
      <w:rPr>
        <w:rFonts w:cs="Times New Roman"/>
      </w:rPr>
      <w:tblPr/>
      <w:tcPr>
        <w:shd w:val="clear" w:color="auto" w:fill="F6D5E4"/>
      </w:tcPr>
    </w:tblStylePr>
  </w:style>
  <w:style w:type="table" w:customStyle="1" w:styleId="Tabelasiatki4akcent31">
    <w:name w:val="Tabela siatki 4 — akcent 31"/>
    <w:uiPriority w:val="99"/>
    <w:rsid w:val="007C28CC"/>
    <w:rPr>
      <w:sz w:val="20"/>
      <w:szCs w:val="20"/>
      <w:lang w:val="en-GB" w:eastAsia="en-GB"/>
    </w:rPr>
    <w:tblPr>
      <w:tblStyleRowBandSize w:val="1"/>
      <w:tblStyleColBandSize w:val="1"/>
      <w:tblInd w:w="0" w:type="dxa"/>
      <w:tblBorders>
        <w:top w:val="single" w:sz="4" w:space="0" w:color="F6957B"/>
        <w:left w:val="single" w:sz="4" w:space="0" w:color="F6957B"/>
        <w:bottom w:val="single" w:sz="4" w:space="0" w:color="F6957B"/>
        <w:right w:val="single" w:sz="4" w:space="0" w:color="F6957B"/>
        <w:insideH w:val="single" w:sz="4" w:space="0" w:color="F6957B"/>
        <w:insideV w:val="single" w:sz="4" w:space="0" w:color="F6957B"/>
      </w:tblBorders>
      <w:tblCellMar>
        <w:top w:w="0" w:type="dxa"/>
        <w:left w:w="108" w:type="dxa"/>
        <w:bottom w:w="0" w:type="dxa"/>
        <w:right w:w="108" w:type="dxa"/>
      </w:tblCellMar>
    </w:tblPr>
    <w:tblStylePr w:type="firstRow">
      <w:rPr>
        <w:rFonts w:cs="Times New Roman"/>
        <w:b/>
        <w:bCs/>
        <w:color w:val="FFFFFF"/>
      </w:rPr>
      <w:tblPr/>
      <w:tcPr>
        <w:tcBorders>
          <w:top w:val="single" w:sz="4" w:space="0" w:color="F05023"/>
          <w:left w:val="single" w:sz="4" w:space="0" w:color="F05023"/>
          <w:bottom w:val="single" w:sz="4" w:space="0" w:color="F05023"/>
          <w:right w:val="single" w:sz="4" w:space="0" w:color="F05023"/>
          <w:insideH w:val="nil"/>
          <w:insideV w:val="nil"/>
        </w:tcBorders>
        <w:shd w:val="clear" w:color="auto" w:fill="F05023"/>
      </w:tcPr>
    </w:tblStylePr>
    <w:tblStylePr w:type="lastRow">
      <w:rPr>
        <w:rFonts w:cs="Times New Roman"/>
        <w:b/>
        <w:bCs/>
      </w:rPr>
      <w:tblPr/>
      <w:tcPr>
        <w:tcBorders>
          <w:top w:val="double" w:sz="4" w:space="0" w:color="F05023"/>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CDBD3"/>
      </w:tcPr>
    </w:tblStylePr>
    <w:tblStylePr w:type="band1Horz">
      <w:rPr>
        <w:rFonts w:cs="Times New Roman"/>
      </w:rPr>
      <w:tblPr/>
      <w:tcPr>
        <w:shd w:val="clear" w:color="auto" w:fill="FCDBD3"/>
      </w:tcPr>
    </w:tblStylePr>
  </w:style>
  <w:style w:type="table" w:customStyle="1" w:styleId="Tabelasiatki4akcent41">
    <w:name w:val="Tabela siatki 4 — akcent 41"/>
    <w:uiPriority w:val="99"/>
    <w:rsid w:val="007C28CC"/>
    <w:rPr>
      <w:sz w:val="20"/>
      <w:szCs w:val="20"/>
      <w:lang w:val="en-GB" w:eastAsia="en-GB"/>
    </w:rPr>
    <w:tblPr>
      <w:tblStyleRowBandSize w:val="1"/>
      <w:tblStyleColBandSize w:val="1"/>
      <w:tblInd w:w="0" w:type="dxa"/>
      <w:tblBorders>
        <w:top w:val="single" w:sz="4" w:space="0" w:color="A5A8D2"/>
        <w:left w:val="single" w:sz="4" w:space="0" w:color="A5A8D2"/>
        <w:bottom w:val="single" w:sz="4" w:space="0" w:color="A5A8D2"/>
        <w:right w:val="single" w:sz="4" w:space="0" w:color="A5A8D2"/>
        <w:insideH w:val="single" w:sz="4" w:space="0" w:color="A5A8D2"/>
        <w:insideV w:val="single" w:sz="4" w:space="0" w:color="A5A8D2"/>
      </w:tblBorders>
      <w:tblCellMar>
        <w:top w:w="0" w:type="dxa"/>
        <w:left w:w="108" w:type="dxa"/>
        <w:bottom w:w="0" w:type="dxa"/>
        <w:right w:w="108" w:type="dxa"/>
      </w:tblCellMar>
    </w:tblPr>
    <w:tblStylePr w:type="firstRow">
      <w:rPr>
        <w:rFonts w:cs="Times New Roman"/>
        <w:b/>
        <w:bCs/>
        <w:color w:val="FFFFFF"/>
      </w:rPr>
      <w:tblPr/>
      <w:tcPr>
        <w:tcBorders>
          <w:top w:val="single" w:sz="4" w:space="0" w:color="696EB4"/>
          <w:left w:val="single" w:sz="4" w:space="0" w:color="696EB4"/>
          <w:bottom w:val="single" w:sz="4" w:space="0" w:color="696EB4"/>
          <w:right w:val="single" w:sz="4" w:space="0" w:color="696EB4"/>
          <w:insideH w:val="nil"/>
          <w:insideV w:val="nil"/>
        </w:tcBorders>
        <w:shd w:val="clear" w:color="auto" w:fill="696EB4"/>
      </w:tcPr>
    </w:tblStylePr>
    <w:tblStylePr w:type="lastRow">
      <w:rPr>
        <w:rFonts w:cs="Times New Roman"/>
        <w:b/>
        <w:bCs/>
      </w:rPr>
      <w:tblPr/>
      <w:tcPr>
        <w:tcBorders>
          <w:top w:val="double" w:sz="4" w:space="0" w:color="696EB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1E2F0"/>
      </w:tcPr>
    </w:tblStylePr>
    <w:tblStylePr w:type="band1Horz">
      <w:rPr>
        <w:rFonts w:cs="Times New Roman"/>
      </w:rPr>
      <w:tblPr/>
      <w:tcPr>
        <w:shd w:val="clear" w:color="auto" w:fill="E1E2F0"/>
      </w:tcPr>
    </w:tblStylePr>
  </w:style>
  <w:style w:type="table" w:customStyle="1" w:styleId="Tabelasiatki4akcent51">
    <w:name w:val="Tabela siatki 4 — akcent 51"/>
    <w:uiPriority w:val="99"/>
    <w:rsid w:val="007C28CC"/>
    <w:rPr>
      <w:sz w:val="20"/>
      <w:szCs w:val="20"/>
      <w:lang w:val="en-GB" w:eastAsia="en-GB"/>
    </w:rPr>
    <w:tblPr>
      <w:tblStyleRowBandSize w:val="1"/>
      <w:tblStyleColBandSize w:val="1"/>
      <w:tblInd w:w="0" w:type="dxa"/>
      <w:tblBorders>
        <w:top w:val="single" w:sz="4" w:space="0" w:color="FCC278"/>
        <w:left w:val="single" w:sz="4" w:space="0" w:color="FCC278"/>
        <w:bottom w:val="single" w:sz="4" w:space="0" w:color="FCC278"/>
        <w:right w:val="single" w:sz="4" w:space="0" w:color="FCC278"/>
        <w:insideH w:val="single" w:sz="4" w:space="0" w:color="FCC278"/>
        <w:insideV w:val="single" w:sz="4" w:space="0" w:color="FCC278"/>
      </w:tblBorders>
      <w:tblCellMar>
        <w:top w:w="0" w:type="dxa"/>
        <w:left w:w="108" w:type="dxa"/>
        <w:bottom w:w="0" w:type="dxa"/>
        <w:right w:w="108" w:type="dxa"/>
      </w:tblCellMar>
    </w:tblPr>
    <w:tblStylePr w:type="firstRow">
      <w:rPr>
        <w:rFonts w:cs="Times New Roman"/>
        <w:b/>
        <w:bCs/>
        <w:color w:val="FFFFFF"/>
      </w:rPr>
      <w:tblPr/>
      <w:tcPr>
        <w:tcBorders>
          <w:top w:val="single" w:sz="4" w:space="0" w:color="FA9B1E"/>
          <w:left w:val="single" w:sz="4" w:space="0" w:color="FA9B1E"/>
          <w:bottom w:val="single" w:sz="4" w:space="0" w:color="FA9B1E"/>
          <w:right w:val="single" w:sz="4" w:space="0" w:color="FA9B1E"/>
          <w:insideH w:val="nil"/>
          <w:insideV w:val="nil"/>
        </w:tcBorders>
        <w:shd w:val="clear" w:color="auto" w:fill="FA9B1E"/>
      </w:tcPr>
    </w:tblStylePr>
    <w:tblStylePr w:type="lastRow">
      <w:rPr>
        <w:rFonts w:cs="Times New Roman"/>
        <w:b/>
        <w:bCs/>
      </w:rPr>
      <w:tblPr/>
      <w:tcPr>
        <w:tcBorders>
          <w:top w:val="double" w:sz="4" w:space="0" w:color="FA9B1E"/>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EEAD2"/>
      </w:tcPr>
    </w:tblStylePr>
    <w:tblStylePr w:type="band1Horz">
      <w:rPr>
        <w:rFonts w:cs="Times New Roman"/>
      </w:rPr>
      <w:tblPr/>
      <w:tcPr>
        <w:shd w:val="clear" w:color="auto" w:fill="FEEAD2"/>
      </w:tcPr>
    </w:tblStylePr>
  </w:style>
  <w:style w:type="table" w:customStyle="1" w:styleId="Tabelasiatki4akcent61">
    <w:name w:val="Tabela siatki 4 — akcent 61"/>
    <w:uiPriority w:val="99"/>
    <w:rsid w:val="007C28CC"/>
    <w:rPr>
      <w:sz w:val="20"/>
      <w:szCs w:val="20"/>
      <w:lang w:val="en-GB" w:eastAsia="en-GB"/>
    </w:rPr>
    <w:tblPr>
      <w:tblStyleRowBandSize w:val="1"/>
      <w:tblStyleColBandSize w:val="1"/>
      <w:tblInd w:w="0" w:type="dxa"/>
      <w:tblBorders>
        <w:top w:val="single" w:sz="4" w:space="0" w:color="6EDEAC"/>
        <w:left w:val="single" w:sz="4" w:space="0" w:color="6EDEAC"/>
        <w:bottom w:val="single" w:sz="4" w:space="0" w:color="6EDEAC"/>
        <w:right w:val="single" w:sz="4" w:space="0" w:color="6EDEAC"/>
        <w:insideH w:val="single" w:sz="4" w:space="0" w:color="6EDEAC"/>
        <w:insideV w:val="single" w:sz="4" w:space="0" w:color="6EDEAC"/>
      </w:tblBorders>
      <w:tblCellMar>
        <w:top w:w="0" w:type="dxa"/>
        <w:left w:w="108" w:type="dxa"/>
        <w:bottom w:w="0" w:type="dxa"/>
        <w:right w:w="108" w:type="dxa"/>
      </w:tblCellMar>
    </w:tblPr>
    <w:tblStylePr w:type="firstRow">
      <w:rPr>
        <w:rFonts w:cs="Times New Roman"/>
        <w:b/>
        <w:bCs/>
        <w:color w:val="FFFFFF"/>
      </w:rPr>
      <w:tblPr/>
      <w:tcPr>
        <w:tcBorders>
          <w:top w:val="single" w:sz="4" w:space="0" w:color="28AF73"/>
          <w:left w:val="single" w:sz="4" w:space="0" w:color="28AF73"/>
          <w:bottom w:val="single" w:sz="4" w:space="0" w:color="28AF73"/>
          <w:right w:val="single" w:sz="4" w:space="0" w:color="28AF73"/>
          <w:insideH w:val="nil"/>
          <w:insideV w:val="nil"/>
        </w:tcBorders>
        <w:shd w:val="clear" w:color="auto" w:fill="28AF73"/>
      </w:tcPr>
    </w:tblStylePr>
    <w:tblStylePr w:type="lastRow">
      <w:rPr>
        <w:rFonts w:cs="Times New Roman"/>
        <w:b/>
        <w:bCs/>
      </w:rPr>
      <w:tblPr/>
      <w:tcPr>
        <w:tcBorders>
          <w:top w:val="double" w:sz="4" w:space="0" w:color="28AF73"/>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EF4E3"/>
      </w:tcPr>
    </w:tblStylePr>
    <w:tblStylePr w:type="band1Horz">
      <w:rPr>
        <w:rFonts w:cs="Times New Roman"/>
      </w:rPr>
      <w:tblPr/>
      <w:tcPr>
        <w:shd w:val="clear" w:color="auto" w:fill="CEF4E3"/>
      </w:tcPr>
    </w:tblStylePr>
  </w:style>
  <w:style w:type="table" w:customStyle="1" w:styleId="Tabelasiatki5ciemnaakcent11">
    <w:name w:val="Tabela siatki 5 — ciemna — akcent 11"/>
    <w:uiPriority w:val="99"/>
    <w:rsid w:val="007C28CC"/>
    <w:rPr>
      <w:sz w:val="20"/>
      <w:szCs w:val="20"/>
      <w:lang w:val="en-GB" w:eastAsia="en-GB"/>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6D5E4"/>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D22D7D"/>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D22D7D"/>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D22D7D"/>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D22D7D"/>
      </w:tcPr>
    </w:tblStylePr>
    <w:tblStylePr w:type="band1Vert">
      <w:rPr>
        <w:rFonts w:cs="Times New Roman"/>
      </w:rPr>
      <w:tblPr/>
      <w:tcPr>
        <w:shd w:val="clear" w:color="auto" w:fill="EDABCA"/>
      </w:tcPr>
    </w:tblStylePr>
    <w:tblStylePr w:type="band1Horz">
      <w:rPr>
        <w:rFonts w:cs="Times New Roman"/>
      </w:rPr>
      <w:tblPr/>
      <w:tcPr>
        <w:shd w:val="clear" w:color="auto" w:fill="EDABCA"/>
      </w:tcPr>
    </w:tblStylePr>
  </w:style>
  <w:style w:type="table" w:customStyle="1" w:styleId="Tabelasiatki5ciemnaakcent21">
    <w:name w:val="Tabela siatki 5 — ciemna — akcent 21"/>
    <w:uiPriority w:val="99"/>
    <w:rsid w:val="007C28CC"/>
    <w:rPr>
      <w:sz w:val="20"/>
      <w:szCs w:val="20"/>
      <w:lang w:val="en-GB" w:eastAsia="en-GB"/>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4EDF9"/>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28AAE1"/>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28AAE1"/>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28AAE1"/>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28AAE1"/>
      </w:tcPr>
    </w:tblStylePr>
    <w:tblStylePr w:type="band1Vert">
      <w:rPr>
        <w:rFonts w:cs="Times New Roman"/>
      </w:rPr>
      <w:tblPr/>
      <w:tcPr>
        <w:shd w:val="clear" w:color="auto" w:fill="A9DCF3"/>
      </w:tcPr>
    </w:tblStylePr>
    <w:tblStylePr w:type="band1Horz">
      <w:rPr>
        <w:rFonts w:cs="Times New Roman"/>
      </w:rPr>
      <w:tblPr/>
      <w:tcPr>
        <w:shd w:val="clear" w:color="auto" w:fill="A9DCF3"/>
      </w:tcPr>
    </w:tblStylePr>
  </w:style>
  <w:style w:type="table" w:customStyle="1" w:styleId="Tabelasiatki5ciemnaakcent31">
    <w:name w:val="Tabela siatki 5 — ciemna — akcent 31"/>
    <w:uiPriority w:val="99"/>
    <w:rsid w:val="007C28CC"/>
    <w:rPr>
      <w:sz w:val="20"/>
      <w:szCs w:val="20"/>
      <w:lang w:val="en-GB" w:eastAsia="en-GB"/>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CDBD3"/>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F05023"/>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F05023"/>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F05023"/>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F05023"/>
      </w:tcPr>
    </w:tblStylePr>
    <w:tblStylePr w:type="band1Vert">
      <w:rPr>
        <w:rFonts w:cs="Times New Roman"/>
      </w:rPr>
      <w:tblPr/>
      <w:tcPr>
        <w:shd w:val="clear" w:color="auto" w:fill="F9B8A7"/>
      </w:tcPr>
    </w:tblStylePr>
    <w:tblStylePr w:type="band1Horz">
      <w:rPr>
        <w:rFonts w:cs="Times New Roman"/>
      </w:rPr>
      <w:tblPr/>
      <w:tcPr>
        <w:shd w:val="clear" w:color="auto" w:fill="F9B8A7"/>
      </w:tcPr>
    </w:tblStylePr>
  </w:style>
  <w:style w:type="table" w:customStyle="1" w:styleId="Tabelasiatki5ciemnaakcent41">
    <w:name w:val="Tabela siatki 5 — ciemna — akcent 41"/>
    <w:uiPriority w:val="99"/>
    <w:rsid w:val="007C28CC"/>
    <w:rPr>
      <w:sz w:val="20"/>
      <w:szCs w:val="20"/>
      <w:lang w:val="en-GB" w:eastAsia="en-GB"/>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1E2F0"/>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696EB4"/>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696EB4"/>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696EB4"/>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696EB4"/>
      </w:tcPr>
    </w:tblStylePr>
    <w:tblStylePr w:type="band1Vert">
      <w:rPr>
        <w:rFonts w:cs="Times New Roman"/>
      </w:rPr>
      <w:tblPr/>
      <w:tcPr>
        <w:shd w:val="clear" w:color="auto" w:fill="C3C5E1"/>
      </w:tcPr>
    </w:tblStylePr>
    <w:tblStylePr w:type="band1Horz">
      <w:rPr>
        <w:rFonts w:cs="Times New Roman"/>
      </w:rPr>
      <w:tblPr/>
      <w:tcPr>
        <w:shd w:val="clear" w:color="auto" w:fill="C3C5E1"/>
      </w:tcPr>
    </w:tblStylePr>
  </w:style>
  <w:style w:type="table" w:customStyle="1" w:styleId="Tabelasiatki5ciemnaakcent51">
    <w:name w:val="Tabela siatki 5 — ciemna — akcent 51"/>
    <w:uiPriority w:val="99"/>
    <w:rsid w:val="007C28CC"/>
    <w:rPr>
      <w:sz w:val="20"/>
      <w:szCs w:val="20"/>
      <w:lang w:val="en-GB" w:eastAsia="en-GB"/>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EEAD2"/>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FA9B1E"/>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FA9B1E"/>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FA9B1E"/>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FA9B1E"/>
      </w:tcPr>
    </w:tblStylePr>
    <w:tblStylePr w:type="band1Vert">
      <w:rPr>
        <w:rFonts w:cs="Times New Roman"/>
      </w:rPr>
      <w:tblPr/>
      <w:tcPr>
        <w:shd w:val="clear" w:color="auto" w:fill="FDD6A5"/>
      </w:tcPr>
    </w:tblStylePr>
    <w:tblStylePr w:type="band1Horz">
      <w:rPr>
        <w:rFonts w:cs="Times New Roman"/>
      </w:rPr>
      <w:tblPr/>
      <w:tcPr>
        <w:shd w:val="clear" w:color="auto" w:fill="FDD6A5"/>
      </w:tcPr>
    </w:tblStylePr>
  </w:style>
  <w:style w:type="table" w:customStyle="1" w:styleId="Tabelasiatki5ciemnaakcent61">
    <w:name w:val="Tabela siatki 5 — ciemna — akcent 61"/>
    <w:uiPriority w:val="99"/>
    <w:rsid w:val="007C28CC"/>
    <w:rPr>
      <w:sz w:val="20"/>
      <w:szCs w:val="20"/>
      <w:lang w:val="en-GB" w:eastAsia="en-GB"/>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EF4E3"/>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28AF73"/>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28AF73"/>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28AF73"/>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28AF73"/>
      </w:tcPr>
    </w:tblStylePr>
    <w:tblStylePr w:type="band1Vert">
      <w:rPr>
        <w:rFonts w:cs="Times New Roman"/>
      </w:rPr>
      <w:tblPr/>
      <w:tcPr>
        <w:shd w:val="clear" w:color="auto" w:fill="9EE9C7"/>
      </w:tcPr>
    </w:tblStylePr>
    <w:tblStylePr w:type="band1Horz">
      <w:rPr>
        <w:rFonts w:cs="Times New Roman"/>
      </w:rPr>
      <w:tblPr/>
      <w:tcPr>
        <w:shd w:val="clear" w:color="auto" w:fill="9EE9C7"/>
      </w:tcPr>
    </w:tblStylePr>
  </w:style>
  <w:style w:type="table" w:customStyle="1" w:styleId="Tabelasiatki6kolorowaakcent11">
    <w:name w:val="Tabela siatki 6 — kolorowa — akcent 11"/>
    <w:uiPriority w:val="99"/>
    <w:rsid w:val="007C28CC"/>
    <w:rPr>
      <w:color w:val="9D215D"/>
      <w:sz w:val="20"/>
      <w:szCs w:val="20"/>
      <w:lang w:val="en-GB" w:eastAsia="en-GB"/>
    </w:rPr>
    <w:tblPr>
      <w:tblStyleRowBandSize w:val="1"/>
      <w:tblStyleColBandSize w:val="1"/>
      <w:tblInd w:w="0" w:type="dxa"/>
      <w:tblBorders>
        <w:top w:val="single" w:sz="4" w:space="0" w:color="E481B0"/>
        <w:left w:val="single" w:sz="4" w:space="0" w:color="E481B0"/>
        <w:bottom w:val="single" w:sz="4" w:space="0" w:color="E481B0"/>
        <w:right w:val="single" w:sz="4" w:space="0" w:color="E481B0"/>
        <w:insideH w:val="single" w:sz="4" w:space="0" w:color="E481B0"/>
        <w:insideV w:val="single" w:sz="4" w:space="0" w:color="E481B0"/>
      </w:tblBorders>
      <w:tblCellMar>
        <w:top w:w="0" w:type="dxa"/>
        <w:left w:w="108" w:type="dxa"/>
        <w:bottom w:w="0" w:type="dxa"/>
        <w:right w:w="108" w:type="dxa"/>
      </w:tblCellMar>
    </w:tblPr>
    <w:tblStylePr w:type="firstRow">
      <w:rPr>
        <w:rFonts w:cs="Times New Roman"/>
        <w:b/>
        <w:bCs/>
      </w:rPr>
      <w:tblPr/>
      <w:tcPr>
        <w:tcBorders>
          <w:bottom w:val="single" w:sz="12" w:space="0" w:color="E481B0"/>
        </w:tcBorders>
      </w:tcPr>
    </w:tblStylePr>
    <w:tblStylePr w:type="lastRow">
      <w:rPr>
        <w:rFonts w:cs="Times New Roman"/>
        <w:b/>
        <w:bCs/>
      </w:rPr>
      <w:tblPr/>
      <w:tcPr>
        <w:tcBorders>
          <w:top w:val="double" w:sz="4" w:space="0" w:color="E481B0"/>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6D5E4"/>
      </w:tcPr>
    </w:tblStylePr>
    <w:tblStylePr w:type="band1Horz">
      <w:rPr>
        <w:rFonts w:cs="Times New Roman"/>
      </w:rPr>
      <w:tblPr/>
      <w:tcPr>
        <w:shd w:val="clear" w:color="auto" w:fill="F6D5E4"/>
      </w:tcPr>
    </w:tblStylePr>
  </w:style>
  <w:style w:type="table" w:customStyle="1" w:styleId="Tabelasiatki6kolorowaakcent21">
    <w:name w:val="Tabela siatki 6 — kolorowa — akcent 21"/>
    <w:uiPriority w:val="99"/>
    <w:rsid w:val="007C28CC"/>
    <w:rPr>
      <w:color w:val="1881AE"/>
      <w:sz w:val="20"/>
      <w:szCs w:val="20"/>
      <w:lang w:val="en-GB" w:eastAsia="en-GB"/>
    </w:rPr>
    <w:tblPr>
      <w:tblStyleRowBandSize w:val="1"/>
      <w:tblStyleColBandSize w:val="1"/>
      <w:tblInd w:w="0" w:type="dxa"/>
      <w:tblBorders>
        <w:top w:val="single" w:sz="4" w:space="0" w:color="7ECBED"/>
        <w:left w:val="single" w:sz="4" w:space="0" w:color="7ECBED"/>
        <w:bottom w:val="single" w:sz="4" w:space="0" w:color="7ECBED"/>
        <w:right w:val="single" w:sz="4" w:space="0" w:color="7ECBED"/>
        <w:insideH w:val="single" w:sz="4" w:space="0" w:color="7ECBED"/>
        <w:insideV w:val="single" w:sz="4" w:space="0" w:color="7ECBED"/>
      </w:tblBorders>
      <w:tblCellMar>
        <w:top w:w="0" w:type="dxa"/>
        <w:left w:w="108" w:type="dxa"/>
        <w:bottom w:w="0" w:type="dxa"/>
        <w:right w:w="108" w:type="dxa"/>
      </w:tblCellMar>
    </w:tblPr>
    <w:tblStylePr w:type="firstRow">
      <w:rPr>
        <w:rFonts w:cs="Times New Roman"/>
        <w:b/>
        <w:bCs/>
      </w:rPr>
      <w:tblPr/>
      <w:tcPr>
        <w:tcBorders>
          <w:bottom w:val="single" w:sz="12" w:space="0" w:color="7ECBED"/>
        </w:tcBorders>
      </w:tcPr>
    </w:tblStylePr>
    <w:tblStylePr w:type="lastRow">
      <w:rPr>
        <w:rFonts w:cs="Times New Roman"/>
        <w:b/>
        <w:bCs/>
      </w:rPr>
      <w:tblPr/>
      <w:tcPr>
        <w:tcBorders>
          <w:top w:val="double" w:sz="4" w:space="0" w:color="7ECBE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4EDF9"/>
      </w:tcPr>
    </w:tblStylePr>
    <w:tblStylePr w:type="band1Horz">
      <w:rPr>
        <w:rFonts w:cs="Times New Roman"/>
      </w:rPr>
      <w:tblPr/>
      <w:tcPr>
        <w:shd w:val="clear" w:color="auto" w:fill="D4EDF9"/>
      </w:tcPr>
    </w:tblStylePr>
  </w:style>
  <w:style w:type="table" w:customStyle="1" w:styleId="Tabelasiatki6kolorowaakcent31">
    <w:name w:val="Tabela siatki 6 — kolorowa — akcent 31"/>
    <w:uiPriority w:val="99"/>
    <w:rsid w:val="007C28CC"/>
    <w:rPr>
      <w:color w:val="C0330D"/>
      <w:sz w:val="20"/>
      <w:szCs w:val="20"/>
      <w:lang w:val="en-GB" w:eastAsia="en-GB"/>
    </w:rPr>
    <w:tblPr>
      <w:tblStyleRowBandSize w:val="1"/>
      <w:tblStyleColBandSize w:val="1"/>
      <w:tblInd w:w="0" w:type="dxa"/>
      <w:tblBorders>
        <w:top w:val="single" w:sz="4" w:space="0" w:color="F6957B"/>
        <w:left w:val="single" w:sz="4" w:space="0" w:color="F6957B"/>
        <w:bottom w:val="single" w:sz="4" w:space="0" w:color="F6957B"/>
        <w:right w:val="single" w:sz="4" w:space="0" w:color="F6957B"/>
        <w:insideH w:val="single" w:sz="4" w:space="0" w:color="F6957B"/>
        <w:insideV w:val="single" w:sz="4" w:space="0" w:color="F6957B"/>
      </w:tblBorders>
      <w:tblCellMar>
        <w:top w:w="0" w:type="dxa"/>
        <w:left w:w="108" w:type="dxa"/>
        <w:bottom w:w="0" w:type="dxa"/>
        <w:right w:w="108" w:type="dxa"/>
      </w:tblCellMar>
    </w:tblPr>
    <w:tblStylePr w:type="firstRow">
      <w:rPr>
        <w:rFonts w:cs="Times New Roman"/>
        <w:b/>
        <w:bCs/>
      </w:rPr>
      <w:tblPr/>
      <w:tcPr>
        <w:tcBorders>
          <w:bottom w:val="single" w:sz="12" w:space="0" w:color="F6957B"/>
        </w:tcBorders>
      </w:tcPr>
    </w:tblStylePr>
    <w:tblStylePr w:type="lastRow">
      <w:rPr>
        <w:rFonts w:cs="Times New Roman"/>
        <w:b/>
        <w:bCs/>
      </w:rPr>
      <w:tblPr/>
      <w:tcPr>
        <w:tcBorders>
          <w:top w:val="double" w:sz="4" w:space="0" w:color="F6957B"/>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CDBD3"/>
      </w:tcPr>
    </w:tblStylePr>
    <w:tblStylePr w:type="band1Horz">
      <w:rPr>
        <w:rFonts w:cs="Times New Roman"/>
      </w:rPr>
      <w:tblPr/>
      <w:tcPr>
        <w:shd w:val="clear" w:color="auto" w:fill="FCDBD3"/>
      </w:tcPr>
    </w:tblStylePr>
  </w:style>
  <w:style w:type="table" w:customStyle="1" w:styleId="Tabelasiatki6kolorowaakcent41">
    <w:name w:val="Tabela siatki 6 — kolorowa — akcent 41"/>
    <w:uiPriority w:val="99"/>
    <w:rsid w:val="007C28CC"/>
    <w:rPr>
      <w:color w:val="474B8E"/>
      <w:sz w:val="20"/>
      <w:szCs w:val="20"/>
      <w:lang w:val="en-GB" w:eastAsia="en-GB"/>
    </w:rPr>
    <w:tblPr>
      <w:tblStyleRowBandSize w:val="1"/>
      <w:tblStyleColBandSize w:val="1"/>
      <w:tblInd w:w="0" w:type="dxa"/>
      <w:tblBorders>
        <w:top w:val="single" w:sz="4" w:space="0" w:color="A5A8D2"/>
        <w:left w:val="single" w:sz="4" w:space="0" w:color="A5A8D2"/>
        <w:bottom w:val="single" w:sz="4" w:space="0" w:color="A5A8D2"/>
        <w:right w:val="single" w:sz="4" w:space="0" w:color="A5A8D2"/>
        <w:insideH w:val="single" w:sz="4" w:space="0" w:color="A5A8D2"/>
        <w:insideV w:val="single" w:sz="4" w:space="0" w:color="A5A8D2"/>
      </w:tblBorders>
      <w:tblCellMar>
        <w:top w:w="0" w:type="dxa"/>
        <w:left w:w="108" w:type="dxa"/>
        <w:bottom w:w="0" w:type="dxa"/>
        <w:right w:w="108" w:type="dxa"/>
      </w:tblCellMar>
    </w:tblPr>
    <w:tblStylePr w:type="firstRow">
      <w:rPr>
        <w:rFonts w:cs="Times New Roman"/>
        <w:b/>
        <w:bCs/>
      </w:rPr>
      <w:tblPr/>
      <w:tcPr>
        <w:tcBorders>
          <w:bottom w:val="single" w:sz="12" w:space="0" w:color="A5A8D2"/>
        </w:tcBorders>
      </w:tcPr>
    </w:tblStylePr>
    <w:tblStylePr w:type="lastRow">
      <w:rPr>
        <w:rFonts w:cs="Times New Roman"/>
        <w:b/>
        <w:bCs/>
      </w:rPr>
      <w:tblPr/>
      <w:tcPr>
        <w:tcBorders>
          <w:top w:val="double" w:sz="4" w:space="0" w:color="A5A8D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1E2F0"/>
      </w:tcPr>
    </w:tblStylePr>
    <w:tblStylePr w:type="band1Horz">
      <w:rPr>
        <w:rFonts w:cs="Times New Roman"/>
      </w:rPr>
      <w:tblPr/>
      <w:tcPr>
        <w:shd w:val="clear" w:color="auto" w:fill="E1E2F0"/>
      </w:tcPr>
    </w:tblStylePr>
  </w:style>
  <w:style w:type="table" w:customStyle="1" w:styleId="Tabelasiatki6kolorowaakcent51">
    <w:name w:val="Tabela siatki 6 — kolorowa — akcent 51"/>
    <w:uiPriority w:val="99"/>
    <w:rsid w:val="007C28CC"/>
    <w:rPr>
      <w:color w:val="CD7504"/>
      <w:sz w:val="20"/>
      <w:szCs w:val="20"/>
      <w:lang w:val="en-GB" w:eastAsia="en-GB"/>
    </w:rPr>
    <w:tblPr>
      <w:tblStyleRowBandSize w:val="1"/>
      <w:tblStyleColBandSize w:val="1"/>
      <w:tblInd w:w="0" w:type="dxa"/>
      <w:tblBorders>
        <w:top w:val="single" w:sz="4" w:space="0" w:color="FCC278"/>
        <w:left w:val="single" w:sz="4" w:space="0" w:color="FCC278"/>
        <w:bottom w:val="single" w:sz="4" w:space="0" w:color="FCC278"/>
        <w:right w:val="single" w:sz="4" w:space="0" w:color="FCC278"/>
        <w:insideH w:val="single" w:sz="4" w:space="0" w:color="FCC278"/>
        <w:insideV w:val="single" w:sz="4" w:space="0" w:color="FCC278"/>
      </w:tblBorders>
      <w:tblCellMar>
        <w:top w:w="0" w:type="dxa"/>
        <w:left w:w="108" w:type="dxa"/>
        <w:bottom w:w="0" w:type="dxa"/>
        <w:right w:w="108" w:type="dxa"/>
      </w:tblCellMar>
    </w:tblPr>
    <w:tblStylePr w:type="firstRow">
      <w:rPr>
        <w:rFonts w:cs="Times New Roman"/>
        <w:b/>
        <w:bCs/>
      </w:rPr>
      <w:tblPr/>
      <w:tcPr>
        <w:tcBorders>
          <w:bottom w:val="single" w:sz="12" w:space="0" w:color="FCC278"/>
        </w:tcBorders>
      </w:tcPr>
    </w:tblStylePr>
    <w:tblStylePr w:type="lastRow">
      <w:rPr>
        <w:rFonts w:cs="Times New Roman"/>
        <w:b/>
        <w:bCs/>
      </w:rPr>
      <w:tblPr/>
      <w:tcPr>
        <w:tcBorders>
          <w:top w:val="double" w:sz="4" w:space="0" w:color="FCC278"/>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EEAD2"/>
      </w:tcPr>
    </w:tblStylePr>
    <w:tblStylePr w:type="band1Horz">
      <w:rPr>
        <w:rFonts w:cs="Times New Roman"/>
      </w:rPr>
      <w:tblPr/>
      <w:tcPr>
        <w:shd w:val="clear" w:color="auto" w:fill="FEEAD2"/>
      </w:tcPr>
    </w:tblStylePr>
  </w:style>
  <w:style w:type="table" w:customStyle="1" w:styleId="Tabelasiatki6kolorowaakcent61">
    <w:name w:val="Tabela siatki 6 — kolorowa — akcent 61"/>
    <w:uiPriority w:val="99"/>
    <w:rsid w:val="007C28CC"/>
    <w:rPr>
      <w:color w:val="1E8355"/>
      <w:sz w:val="20"/>
      <w:szCs w:val="20"/>
      <w:lang w:val="en-GB" w:eastAsia="en-GB"/>
    </w:rPr>
    <w:tblPr>
      <w:tblStyleRowBandSize w:val="1"/>
      <w:tblStyleColBandSize w:val="1"/>
      <w:tblInd w:w="0" w:type="dxa"/>
      <w:tblBorders>
        <w:top w:val="single" w:sz="4" w:space="0" w:color="6EDEAC"/>
        <w:left w:val="single" w:sz="4" w:space="0" w:color="6EDEAC"/>
        <w:bottom w:val="single" w:sz="4" w:space="0" w:color="6EDEAC"/>
        <w:right w:val="single" w:sz="4" w:space="0" w:color="6EDEAC"/>
        <w:insideH w:val="single" w:sz="4" w:space="0" w:color="6EDEAC"/>
        <w:insideV w:val="single" w:sz="4" w:space="0" w:color="6EDEAC"/>
      </w:tblBorders>
      <w:tblCellMar>
        <w:top w:w="0" w:type="dxa"/>
        <w:left w:w="108" w:type="dxa"/>
        <w:bottom w:w="0" w:type="dxa"/>
        <w:right w:w="108" w:type="dxa"/>
      </w:tblCellMar>
    </w:tblPr>
    <w:tblStylePr w:type="firstRow">
      <w:rPr>
        <w:rFonts w:cs="Times New Roman"/>
        <w:b/>
        <w:bCs/>
      </w:rPr>
      <w:tblPr/>
      <w:tcPr>
        <w:tcBorders>
          <w:bottom w:val="single" w:sz="12" w:space="0" w:color="6EDEAC"/>
        </w:tcBorders>
      </w:tcPr>
    </w:tblStylePr>
    <w:tblStylePr w:type="lastRow">
      <w:rPr>
        <w:rFonts w:cs="Times New Roman"/>
        <w:b/>
        <w:bCs/>
      </w:rPr>
      <w:tblPr/>
      <w:tcPr>
        <w:tcBorders>
          <w:top w:val="double" w:sz="4" w:space="0" w:color="6EDEAC"/>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EF4E3"/>
      </w:tcPr>
    </w:tblStylePr>
    <w:tblStylePr w:type="band1Horz">
      <w:rPr>
        <w:rFonts w:cs="Times New Roman"/>
      </w:rPr>
      <w:tblPr/>
      <w:tcPr>
        <w:shd w:val="clear" w:color="auto" w:fill="CEF4E3"/>
      </w:tcPr>
    </w:tblStylePr>
  </w:style>
  <w:style w:type="table" w:customStyle="1" w:styleId="Tabelasiatki7kolorowa1">
    <w:name w:val="Tabela siatki 7 — kolorowa1"/>
    <w:uiPriority w:val="99"/>
    <w:rsid w:val="007C28CC"/>
    <w:rPr>
      <w:color w:val="000000"/>
      <w:sz w:val="20"/>
      <w:szCs w:val="20"/>
      <w:lang w:val="en-GB" w:eastAsia="en-GB"/>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tblStylePr w:type="neCell">
      <w:rPr>
        <w:rFonts w:cs="Times New Roman"/>
      </w:rPr>
      <w:tblPr/>
      <w:tcPr>
        <w:tcBorders>
          <w:bottom w:val="single" w:sz="4" w:space="0" w:color="666666"/>
        </w:tcBorders>
      </w:tcPr>
    </w:tblStylePr>
    <w:tblStylePr w:type="nwCell">
      <w:rPr>
        <w:rFonts w:cs="Times New Roman"/>
      </w:rPr>
      <w:tblPr/>
      <w:tcPr>
        <w:tcBorders>
          <w:bottom w:val="single" w:sz="4" w:space="0" w:color="666666"/>
        </w:tcBorders>
      </w:tcPr>
    </w:tblStylePr>
    <w:tblStylePr w:type="seCell">
      <w:rPr>
        <w:rFonts w:cs="Times New Roman"/>
      </w:rPr>
      <w:tblPr/>
      <w:tcPr>
        <w:tcBorders>
          <w:top w:val="single" w:sz="4" w:space="0" w:color="666666"/>
        </w:tcBorders>
      </w:tcPr>
    </w:tblStylePr>
    <w:tblStylePr w:type="swCell">
      <w:rPr>
        <w:rFonts w:cs="Times New Roman"/>
      </w:rPr>
      <w:tblPr/>
      <w:tcPr>
        <w:tcBorders>
          <w:top w:val="single" w:sz="4" w:space="0" w:color="666666"/>
        </w:tcBorders>
      </w:tcPr>
    </w:tblStylePr>
  </w:style>
  <w:style w:type="table" w:customStyle="1" w:styleId="Tabelasiatki7kolorowaakcent11">
    <w:name w:val="Tabela siatki 7 — kolorowa — akcent 11"/>
    <w:uiPriority w:val="99"/>
    <w:rsid w:val="007C28CC"/>
    <w:rPr>
      <w:color w:val="9D215D"/>
      <w:sz w:val="20"/>
      <w:szCs w:val="20"/>
      <w:lang w:val="en-GB" w:eastAsia="en-GB"/>
    </w:rPr>
    <w:tblPr>
      <w:tblStyleRowBandSize w:val="1"/>
      <w:tblStyleColBandSize w:val="1"/>
      <w:tblInd w:w="0" w:type="dxa"/>
      <w:tblBorders>
        <w:top w:val="single" w:sz="4" w:space="0" w:color="E481B0"/>
        <w:left w:val="single" w:sz="4" w:space="0" w:color="E481B0"/>
        <w:bottom w:val="single" w:sz="4" w:space="0" w:color="E481B0"/>
        <w:right w:val="single" w:sz="4" w:space="0" w:color="E481B0"/>
        <w:insideH w:val="single" w:sz="4" w:space="0" w:color="E481B0"/>
        <w:insideV w:val="single" w:sz="4" w:space="0" w:color="E481B0"/>
      </w:tblBorders>
      <w:tblCellMar>
        <w:top w:w="0" w:type="dxa"/>
        <w:left w:w="108" w:type="dxa"/>
        <w:bottom w:w="0" w:type="dxa"/>
        <w:right w:w="108" w:type="dxa"/>
      </w:tblCellMar>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F6D5E4"/>
      </w:tcPr>
    </w:tblStylePr>
    <w:tblStylePr w:type="band1Horz">
      <w:rPr>
        <w:rFonts w:cs="Times New Roman"/>
      </w:rPr>
      <w:tblPr/>
      <w:tcPr>
        <w:shd w:val="clear" w:color="auto" w:fill="F6D5E4"/>
      </w:tcPr>
    </w:tblStylePr>
    <w:tblStylePr w:type="neCell">
      <w:rPr>
        <w:rFonts w:cs="Times New Roman"/>
      </w:rPr>
      <w:tblPr/>
      <w:tcPr>
        <w:tcBorders>
          <w:bottom w:val="single" w:sz="4" w:space="0" w:color="E481B0"/>
        </w:tcBorders>
      </w:tcPr>
    </w:tblStylePr>
    <w:tblStylePr w:type="nwCell">
      <w:rPr>
        <w:rFonts w:cs="Times New Roman"/>
      </w:rPr>
      <w:tblPr/>
      <w:tcPr>
        <w:tcBorders>
          <w:bottom w:val="single" w:sz="4" w:space="0" w:color="E481B0"/>
        </w:tcBorders>
      </w:tcPr>
    </w:tblStylePr>
    <w:tblStylePr w:type="seCell">
      <w:rPr>
        <w:rFonts w:cs="Times New Roman"/>
      </w:rPr>
      <w:tblPr/>
      <w:tcPr>
        <w:tcBorders>
          <w:top w:val="single" w:sz="4" w:space="0" w:color="E481B0"/>
        </w:tcBorders>
      </w:tcPr>
    </w:tblStylePr>
    <w:tblStylePr w:type="swCell">
      <w:rPr>
        <w:rFonts w:cs="Times New Roman"/>
      </w:rPr>
      <w:tblPr/>
      <w:tcPr>
        <w:tcBorders>
          <w:top w:val="single" w:sz="4" w:space="0" w:color="E481B0"/>
        </w:tcBorders>
      </w:tcPr>
    </w:tblStylePr>
  </w:style>
  <w:style w:type="table" w:customStyle="1" w:styleId="Tabelasiatki7kolorowaakcent21">
    <w:name w:val="Tabela siatki 7 — kolorowa — akcent 21"/>
    <w:uiPriority w:val="99"/>
    <w:rsid w:val="007C28CC"/>
    <w:rPr>
      <w:color w:val="1881AE"/>
      <w:sz w:val="20"/>
      <w:szCs w:val="20"/>
      <w:lang w:val="en-GB" w:eastAsia="en-GB"/>
    </w:rPr>
    <w:tblPr>
      <w:tblStyleRowBandSize w:val="1"/>
      <w:tblStyleColBandSize w:val="1"/>
      <w:tblInd w:w="0" w:type="dxa"/>
      <w:tblBorders>
        <w:top w:val="single" w:sz="4" w:space="0" w:color="7ECBED"/>
        <w:left w:val="single" w:sz="4" w:space="0" w:color="7ECBED"/>
        <w:bottom w:val="single" w:sz="4" w:space="0" w:color="7ECBED"/>
        <w:right w:val="single" w:sz="4" w:space="0" w:color="7ECBED"/>
        <w:insideH w:val="single" w:sz="4" w:space="0" w:color="7ECBED"/>
        <w:insideV w:val="single" w:sz="4" w:space="0" w:color="7ECBED"/>
      </w:tblBorders>
      <w:tblCellMar>
        <w:top w:w="0" w:type="dxa"/>
        <w:left w:w="108" w:type="dxa"/>
        <w:bottom w:w="0" w:type="dxa"/>
        <w:right w:w="108" w:type="dxa"/>
      </w:tblCellMar>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D4EDF9"/>
      </w:tcPr>
    </w:tblStylePr>
    <w:tblStylePr w:type="band1Horz">
      <w:rPr>
        <w:rFonts w:cs="Times New Roman"/>
      </w:rPr>
      <w:tblPr/>
      <w:tcPr>
        <w:shd w:val="clear" w:color="auto" w:fill="D4EDF9"/>
      </w:tcPr>
    </w:tblStylePr>
    <w:tblStylePr w:type="neCell">
      <w:rPr>
        <w:rFonts w:cs="Times New Roman"/>
      </w:rPr>
      <w:tblPr/>
      <w:tcPr>
        <w:tcBorders>
          <w:bottom w:val="single" w:sz="4" w:space="0" w:color="7ECBED"/>
        </w:tcBorders>
      </w:tcPr>
    </w:tblStylePr>
    <w:tblStylePr w:type="nwCell">
      <w:rPr>
        <w:rFonts w:cs="Times New Roman"/>
      </w:rPr>
      <w:tblPr/>
      <w:tcPr>
        <w:tcBorders>
          <w:bottom w:val="single" w:sz="4" w:space="0" w:color="7ECBED"/>
        </w:tcBorders>
      </w:tcPr>
    </w:tblStylePr>
    <w:tblStylePr w:type="seCell">
      <w:rPr>
        <w:rFonts w:cs="Times New Roman"/>
      </w:rPr>
      <w:tblPr/>
      <w:tcPr>
        <w:tcBorders>
          <w:top w:val="single" w:sz="4" w:space="0" w:color="7ECBED"/>
        </w:tcBorders>
      </w:tcPr>
    </w:tblStylePr>
    <w:tblStylePr w:type="swCell">
      <w:rPr>
        <w:rFonts w:cs="Times New Roman"/>
      </w:rPr>
      <w:tblPr/>
      <w:tcPr>
        <w:tcBorders>
          <w:top w:val="single" w:sz="4" w:space="0" w:color="7ECBED"/>
        </w:tcBorders>
      </w:tcPr>
    </w:tblStylePr>
  </w:style>
  <w:style w:type="table" w:customStyle="1" w:styleId="Tabelasiatki7kolorowaakcent31">
    <w:name w:val="Tabela siatki 7 — kolorowa — akcent 31"/>
    <w:uiPriority w:val="99"/>
    <w:rsid w:val="007C28CC"/>
    <w:rPr>
      <w:color w:val="C0330D"/>
      <w:sz w:val="20"/>
      <w:szCs w:val="20"/>
      <w:lang w:val="en-GB" w:eastAsia="en-GB"/>
    </w:rPr>
    <w:tblPr>
      <w:tblStyleRowBandSize w:val="1"/>
      <w:tblStyleColBandSize w:val="1"/>
      <w:tblInd w:w="0" w:type="dxa"/>
      <w:tblBorders>
        <w:top w:val="single" w:sz="4" w:space="0" w:color="F6957B"/>
        <w:left w:val="single" w:sz="4" w:space="0" w:color="F6957B"/>
        <w:bottom w:val="single" w:sz="4" w:space="0" w:color="F6957B"/>
        <w:right w:val="single" w:sz="4" w:space="0" w:color="F6957B"/>
        <w:insideH w:val="single" w:sz="4" w:space="0" w:color="F6957B"/>
        <w:insideV w:val="single" w:sz="4" w:space="0" w:color="F6957B"/>
      </w:tblBorders>
      <w:tblCellMar>
        <w:top w:w="0" w:type="dxa"/>
        <w:left w:w="108" w:type="dxa"/>
        <w:bottom w:w="0" w:type="dxa"/>
        <w:right w:w="108" w:type="dxa"/>
      </w:tblCellMar>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FCDBD3"/>
      </w:tcPr>
    </w:tblStylePr>
    <w:tblStylePr w:type="band1Horz">
      <w:rPr>
        <w:rFonts w:cs="Times New Roman"/>
      </w:rPr>
      <w:tblPr/>
      <w:tcPr>
        <w:shd w:val="clear" w:color="auto" w:fill="FCDBD3"/>
      </w:tcPr>
    </w:tblStylePr>
    <w:tblStylePr w:type="neCell">
      <w:rPr>
        <w:rFonts w:cs="Times New Roman"/>
      </w:rPr>
      <w:tblPr/>
      <w:tcPr>
        <w:tcBorders>
          <w:bottom w:val="single" w:sz="4" w:space="0" w:color="F6957B"/>
        </w:tcBorders>
      </w:tcPr>
    </w:tblStylePr>
    <w:tblStylePr w:type="nwCell">
      <w:rPr>
        <w:rFonts w:cs="Times New Roman"/>
      </w:rPr>
      <w:tblPr/>
      <w:tcPr>
        <w:tcBorders>
          <w:bottom w:val="single" w:sz="4" w:space="0" w:color="F6957B"/>
        </w:tcBorders>
      </w:tcPr>
    </w:tblStylePr>
    <w:tblStylePr w:type="seCell">
      <w:rPr>
        <w:rFonts w:cs="Times New Roman"/>
      </w:rPr>
      <w:tblPr/>
      <w:tcPr>
        <w:tcBorders>
          <w:top w:val="single" w:sz="4" w:space="0" w:color="F6957B"/>
        </w:tcBorders>
      </w:tcPr>
    </w:tblStylePr>
    <w:tblStylePr w:type="swCell">
      <w:rPr>
        <w:rFonts w:cs="Times New Roman"/>
      </w:rPr>
      <w:tblPr/>
      <w:tcPr>
        <w:tcBorders>
          <w:top w:val="single" w:sz="4" w:space="0" w:color="F6957B"/>
        </w:tcBorders>
      </w:tcPr>
    </w:tblStylePr>
  </w:style>
  <w:style w:type="table" w:customStyle="1" w:styleId="Tabelasiatki7kolorowaakcent41">
    <w:name w:val="Tabela siatki 7 — kolorowa — akcent 41"/>
    <w:uiPriority w:val="99"/>
    <w:rsid w:val="007C28CC"/>
    <w:rPr>
      <w:color w:val="474B8E"/>
      <w:sz w:val="20"/>
      <w:szCs w:val="20"/>
      <w:lang w:val="en-GB" w:eastAsia="en-GB"/>
    </w:rPr>
    <w:tblPr>
      <w:tblStyleRowBandSize w:val="1"/>
      <w:tblStyleColBandSize w:val="1"/>
      <w:tblInd w:w="0" w:type="dxa"/>
      <w:tblBorders>
        <w:top w:val="single" w:sz="4" w:space="0" w:color="A5A8D2"/>
        <w:left w:val="single" w:sz="4" w:space="0" w:color="A5A8D2"/>
        <w:bottom w:val="single" w:sz="4" w:space="0" w:color="A5A8D2"/>
        <w:right w:val="single" w:sz="4" w:space="0" w:color="A5A8D2"/>
        <w:insideH w:val="single" w:sz="4" w:space="0" w:color="A5A8D2"/>
        <w:insideV w:val="single" w:sz="4" w:space="0" w:color="A5A8D2"/>
      </w:tblBorders>
      <w:tblCellMar>
        <w:top w:w="0" w:type="dxa"/>
        <w:left w:w="108" w:type="dxa"/>
        <w:bottom w:w="0" w:type="dxa"/>
        <w:right w:w="108" w:type="dxa"/>
      </w:tblCellMar>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E1E2F0"/>
      </w:tcPr>
    </w:tblStylePr>
    <w:tblStylePr w:type="band1Horz">
      <w:rPr>
        <w:rFonts w:cs="Times New Roman"/>
      </w:rPr>
      <w:tblPr/>
      <w:tcPr>
        <w:shd w:val="clear" w:color="auto" w:fill="E1E2F0"/>
      </w:tcPr>
    </w:tblStylePr>
    <w:tblStylePr w:type="neCell">
      <w:rPr>
        <w:rFonts w:cs="Times New Roman"/>
      </w:rPr>
      <w:tblPr/>
      <w:tcPr>
        <w:tcBorders>
          <w:bottom w:val="single" w:sz="4" w:space="0" w:color="A5A8D2"/>
        </w:tcBorders>
      </w:tcPr>
    </w:tblStylePr>
    <w:tblStylePr w:type="nwCell">
      <w:rPr>
        <w:rFonts w:cs="Times New Roman"/>
      </w:rPr>
      <w:tblPr/>
      <w:tcPr>
        <w:tcBorders>
          <w:bottom w:val="single" w:sz="4" w:space="0" w:color="A5A8D2"/>
        </w:tcBorders>
      </w:tcPr>
    </w:tblStylePr>
    <w:tblStylePr w:type="seCell">
      <w:rPr>
        <w:rFonts w:cs="Times New Roman"/>
      </w:rPr>
      <w:tblPr/>
      <w:tcPr>
        <w:tcBorders>
          <w:top w:val="single" w:sz="4" w:space="0" w:color="A5A8D2"/>
        </w:tcBorders>
      </w:tcPr>
    </w:tblStylePr>
    <w:tblStylePr w:type="swCell">
      <w:rPr>
        <w:rFonts w:cs="Times New Roman"/>
      </w:rPr>
      <w:tblPr/>
      <w:tcPr>
        <w:tcBorders>
          <w:top w:val="single" w:sz="4" w:space="0" w:color="A5A8D2"/>
        </w:tcBorders>
      </w:tcPr>
    </w:tblStylePr>
  </w:style>
  <w:style w:type="table" w:customStyle="1" w:styleId="Tabelasiatki7kolorowaakcent51">
    <w:name w:val="Tabela siatki 7 — kolorowa — akcent 51"/>
    <w:uiPriority w:val="99"/>
    <w:rsid w:val="007C28CC"/>
    <w:rPr>
      <w:color w:val="CD7504"/>
      <w:sz w:val="20"/>
      <w:szCs w:val="20"/>
      <w:lang w:val="en-GB" w:eastAsia="en-GB"/>
    </w:rPr>
    <w:tblPr>
      <w:tblStyleRowBandSize w:val="1"/>
      <w:tblStyleColBandSize w:val="1"/>
      <w:tblInd w:w="0" w:type="dxa"/>
      <w:tblBorders>
        <w:top w:val="single" w:sz="4" w:space="0" w:color="FCC278"/>
        <w:left w:val="single" w:sz="4" w:space="0" w:color="FCC278"/>
        <w:bottom w:val="single" w:sz="4" w:space="0" w:color="FCC278"/>
        <w:right w:val="single" w:sz="4" w:space="0" w:color="FCC278"/>
        <w:insideH w:val="single" w:sz="4" w:space="0" w:color="FCC278"/>
        <w:insideV w:val="single" w:sz="4" w:space="0" w:color="FCC278"/>
      </w:tblBorders>
      <w:tblCellMar>
        <w:top w:w="0" w:type="dxa"/>
        <w:left w:w="108" w:type="dxa"/>
        <w:bottom w:w="0" w:type="dxa"/>
        <w:right w:w="108" w:type="dxa"/>
      </w:tblCellMar>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FEEAD2"/>
      </w:tcPr>
    </w:tblStylePr>
    <w:tblStylePr w:type="band1Horz">
      <w:rPr>
        <w:rFonts w:cs="Times New Roman"/>
      </w:rPr>
      <w:tblPr/>
      <w:tcPr>
        <w:shd w:val="clear" w:color="auto" w:fill="FEEAD2"/>
      </w:tcPr>
    </w:tblStylePr>
    <w:tblStylePr w:type="neCell">
      <w:rPr>
        <w:rFonts w:cs="Times New Roman"/>
      </w:rPr>
      <w:tblPr/>
      <w:tcPr>
        <w:tcBorders>
          <w:bottom w:val="single" w:sz="4" w:space="0" w:color="FCC278"/>
        </w:tcBorders>
      </w:tcPr>
    </w:tblStylePr>
    <w:tblStylePr w:type="nwCell">
      <w:rPr>
        <w:rFonts w:cs="Times New Roman"/>
      </w:rPr>
      <w:tblPr/>
      <w:tcPr>
        <w:tcBorders>
          <w:bottom w:val="single" w:sz="4" w:space="0" w:color="FCC278"/>
        </w:tcBorders>
      </w:tcPr>
    </w:tblStylePr>
    <w:tblStylePr w:type="seCell">
      <w:rPr>
        <w:rFonts w:cs="Times New Roman"/>
      </w:rPr>
      <w:tblPr/>
      <w:tcPr>
        <w:tcBorders>
          <w:top w:val="single" w:sz="4" w:space="0" w:color="FCC278"/>
        </w:tcBorders>
      </w:tcPr>
    </w:tblStylePr>
    <w:tblStylePr w:type="swCell">
      <w:rPr>
        <w:rFonts w:cs="Times New Roman"/>
      </w:rPr>
      <w:tblPr/>
      <w:tcPr>
        <w:tcBorders>
          <w:top w:val="single" w:sz="4" w:space="0" w:color="FCC278"/>
        </w:tcBorders>
      </w:tcPr>
    </w:tblStylePr>
  </w:style>
  <w:style w:type="table" w:customStyle="1" w:styleId="Tabelasiatki7kolorowaakcent61">
    <w:name w:val="Tabela siatki 7 — kolorowa — akcent 61"/>
    <w:uiPriority w:val="99"/>
    <w:rsid w:val="007C28CC"/>
    <w:rPr>
      <w:color w:val="1E8355"/>
      <w:sz w:val="20"/>
      <w:szCs w:val="20"/>
      <w:lang w:val="en-GB" w:eastAsia="en-GB"/>
    </w:rPr>
    <w:tblPr>
      <w:tblStyleRowBandSize w:val="1"/>
      <w:tblStyleColBandSize w:val="1"/>
      <w:tblInd w:w="0" w:type="dxa"/>
      <w:tblBorders>
        <w:top w:val="single" w:sz="4" w:space="0" w:color="6EDEAC"/>
        <w:left w:val="single" w:sz="4" w:space="0" w:color="6EDEAC"/>
        <w:bottom w:val="single" w:sz="4" w:space="0" w:color="6EDEAC"/>
        <w:right w:val="single" w:sz="4" w:space="0" w:color="6EDEAC"/>
        <w:insideH w:val="single" w:sz="4" w:space="0" w:color="6EDEAC"/>
        <w:insideV w:val="single" w:sz="4" w:space="0" w:color="6EDEAC"/>
      </w:tblBorders>
      <w:tblCellMar>
        <w:top w:w="0" w:type="dxa"/>
        <w:left w:w="108" w:type="dxa"/>
        <w:bottom w:w="0" w:type="dxa"/>
        <w:right w:w="108" w:type="dxa"/>
      </w:tblCellMar>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CEF4E3"/>
      </w:tcPr>
    </w:tblStylePr>
    <w:tblStylePr w:type="band1Horz">
      <w:rPr>
        <w:rFonts w:cs="Times New Roman"/>
      </w:rPr>
      <w:tblPr/>
      <w:tcPr>
        <w:shd w:val="clear" w:color="auto" w:fill="CEF4E3"/>
      </w:tcPr>
    </w:tblStylePr>
    <w:tblStylePr w:type="neCell">
      <w:rPr>
        <w:rFonts w:cs="Times New Roman"/>
      </w:rPr>
      <w:tblPr/>
      <w:tcPr>
        <w:tcBorders>
          <w:bottom w:val="single" w:sz="4" w:space="0" w:color="6EDEAC"/>
        </w:tcBorders>
      </w:tcPr>
    </w:tblStylePr>
    <w:tblStylePr w:type="nwCell">
      <w:rPr>
        <w:rFonts w:cs="Times New Roman"/>
      </w:rPr>
      <w:tblPr/>
      <w:tcPr>
        <w:tcBorders>
          <w:bottom w:val="single" w:sz="4" w:space="0" w:color="6EDEAC"/>
        </w:tcBorders>
      </w:tcPr>
    </w:tblStylePr>
    <w:tblStylePr w:type="seCell">
      <w:rPr>
        <w:rFonts w:cs="Times New Roman"/>
      </w:rPr>
      <w:tblPr/>
      <w:tcPr>
        <w:tcBorders>
          <w:top w:val="single" w:sz="4" w:space="0" w:color="6EDEAC"/>
        </w:tcBorders>
      </w:tcPr>
    </w:tblStylePr>
    <w:tblStylePr w:type="swCell">
      <w:rPr>
        <w:rFonts w:cs="Times New Roman"/>
      </w:rPr>
      <w:tblPr/>
      <w:tcPr>
        <w:tcBorders>
          <w:top w:val="single" w:sz="4" w:space="0" w:color="6EDEAC"/>
        </w:tcBorders>
      </w:tcPr>
    </w:tblStylePr>
  </w:style>
  <w:style w:type="character" w:customStyle="1" w:styleId="Hasztag1">
    <w:name w:val="Hasztag1"/>
    <w:basedOn w:val="Domylnaczcionkaakapitu"/>
    <w:uiPriority w:val="99"/>
    <w:semiHidden/>
    <w:rsid w:val="007C28CC"/>
    <w:rPr>
      <w:rFonts w:cs="Times New Roman"/>
      <w:color w:val="2B579A"/>
      <w:shd w:val="clear" w:color="auto" w:fill="E1DFDD"/>
      <w:lang w:val="pl-PL"/>
    </w:rPr>
  </w:style>
  <w:style w:type="character" w:styleId="HTML-akronim">
    <w:name w:val="HTML Acronym"/>
    <w:basedOn w:val="Domylnaczcionkaakapitu"/>
    <w:uiPriority w:val="99"/>
    <w:semiHidden/>
    <w:rsid w:val="007C28CC"/>
    <w:rPr>
      <w:rFonts w:cs="Times New Roman"/>
      <w:lang w:val="pl-PL"/>
    </w:rPr>
  </w:style>
  <w:style w:type="paragraph" w:styleId="HTML-adres">
    <w:name w:val="HTML Address"/>
    <w:basedOn w:val="Normalny"/>
    <w:link w:val="HTML-adresZnak"/>
    <w:uiPriority w:val="99"/>
    <w:semiHidden/>
    <w:rsid w:val="007C28CC"/>
    <w:rPr>
      <w:i/>
      <w:iCs/>
    </w:rPr>
  </w:style>
  <w:style w:type="character" w:customStyle="1" w:styleId="HTML-adresZnak">
    <w:name w:val="HTML - adres Znak"/>
    <w:basedOn w:val="Domylnaczcionkaakapitu"/>
    <w:link w:val="HTML-adres"/>
    <w:uiPriority w:val="99"/>
    <w:semiHidden/>
    <w:locked/>
    <w:rsid w:val="007C28CC"/>
    <w:rPr>
      <w:rFonts w:eastAsia="MS Mincho" w:cs="Times New Roman"/>
      <w:i/>
      <w:iCs/>
      <w:lang w:val="pl-PL" w:eastAsia="zh-CN"/>
    </w:rPr>
  </w:style>
  <w:style w:type="character" w:styleId="HTML-cytat">
    <w:name w:val="HTML Cite"/>
    <w:basedOn w:val="Domylnaczcionkaakapitu"/>
    <w:uiPriority w:val="99"/>
    <w:semiHidden/>
    <w:rsid w:val="007C28CC"/>
    <w:rPr>
      <w:rFonts w:cs="Times New Roman"/>
      <w:i/>
      <w:iCs/>
      <w:lang w:val="pl-PL"/>
    </w:rPr>
  </w:style>
  <w:style w:type="character" w:styleId="HTML-kod">
    <w:name w:val="HTML Code"/>
    <w:basedOn w:val="Domylnaczcionkaakapitu"/>
    <w:uiPriority w:val="99"/>
    <w:semiHidden/>
    <w:rsid w:val="007C28CC"/>
    <w:rPr>
      <w:rFonts w:ascii="Consolas" w:hAnsi="Consolas" w:cs="Times New Roman"/>
      <w:sz w:val="20"/>
      <w:szCs w:val="20"/>
      <w:lang w:val="pl-PL"/>
    </w:rPr>
  </w:style>
  <w:style w:type="character" w:styleId="HTML-definicja">
    <w:name w:val="HTML Definition"/>
    <w:basedOn w:val="Domylnaczcionkaakapitu"/>
    <w:uiPriority w:val="99"/>
    <w:semiHidden/>
    <w:rsid w:val="007C28CC"/>
    <w:rPr>
      <w:rFonts w:cs="Times New Roman"/>
      <w:i/>
      <w:iCs/>
      <w:lang w:val="pl-PL"/>
    </w:rPr>
  </w:style>
  <w:style w:type="character" w:styleId="HTML-klawiatura">
    <w:name w:val="HTML Keyboard"/>
    <w:basedOn w:val="Domylnaczcionkaakapitu"/>
    <w:uiPriority w:val="99"/>
    <w:semiHidden/>
    <w:rsid w:val="007C28CC"/>
    <w:rPr>
      <w:rFonts w:ascii="Consolas" w:hAnsi="Consolas" w:cs="Times New Roman"/>
      <w:sz w:val="20"/>
      <w:szCs w:val="20"/>
      <w:lang w:val="pl-PL"/>
    </w:rPr>
  </w:style>
  <w:style w:type="paragraph" w:styleId="HTML-wstpniesformatowany">
    <w:name w:val="HTML Preformatted"/>
    <w:basedOn w:val="Normalny"/>
    <w:link w:val="HTML-wstpniesformatowanyZnak"/>
    <w:uiPriority w:val="99"/>
    <w:semiHidden/>
    <w:rsid w:val="007C28CC"/>
    <w:rPr>
      <w:rFonts w:ascii="Consolas" w:hAnsi="Consolas"/>
      <w:sz w:val="20"/>
      <w:szCs w:val="20"/>
    </w:rPr>
  </w:style>
  <w:style w:type="character" w:customStyle="1" w:styleId="HTML-wstpniesformatowanyZnak">
    <w:name w:val="HTML - wstępnie sformatowany Znak"/>
    <w:basedOn w:val="Domylnaczcionkaakapitu"/>
    <w:link w:val="HTML-wstpniesformatowany"/>
    <w:uiPriority w:val="99"/>
    <w:semiHidden/>
    <w:locked/>
    <w:rsid w:val="007C28CC"/>
    <w:rPr>
      <w:rFonts w:ascii="Consolas" w:eastAsia="MS Mincho" w:hAnsi="Consolas" w:cs="Times New Roman"/>
      <w:sz w:val="20"/>
      <w:szCs w:val="20"/>
      <w:lang w:val="pl-PL" w:eastAsia="zh-CN"/>
    </w:rPr>
  </w:style>
  <w:style w:type="character" w:styleId="HTML-przykad">
    <w:name w:val="HTML Sample"/>
    <w:basedOn w:val="Domylnaczcionkaakapitu"/>
    <w:uiPriority w:val="99"/>
    <w:semiHidden/>
    <w:rsid w:val="007C28CC"/>
    <w:rPr>
      <w:rFonts w:ascii="Consolas" w:hAnsi="Consolas" w:cs="Times New Roman"/>
      <w:sz w:val="24"/>
      <w:szCs w:val="24"/>
      <w:lang w:val="pl-PL"/>
    </w:rPr>
  </w:style>
  <w:style w:type="character" w:styleId="HTML-staaszeroko">
    <w:name w:val="HTML Typewriter"/>
    <w:basedOn w:val="Domylnaczcionkaakapitu"/>
    <w:uiPriority w:val="99"/>
    <w:semiHidden/>
    <w:rsid w:val="007C28CC"/>
    <w:rPr>
      <w:rFonts w:ascii="Consolas" w:hAnsi="Consolas" w:cs="Times New Roman"/>
      <w:sz w:val="20"/>
      <w:szCs w:val="20"/>
      <w:lang w:val="pl-PL"/>
    </w:rPr>
  </w:style>
  <w:style w:type="character" w:styleId="HTML-zmienna">
    <w:name w:val="HTML Variable"/>
    <w:basedOn w:val="Domylnaczcionkaakapitu"/>
    <w:uiPriority w:val="99"/>
    <w:semiHidden/>
    <w:rsid w:val="007C28CC"/>
    <w:rPr>
      <w:rFonts w:cs="Times New Roman"/>
      <w:i/>
      <w:iCs/>
      <w:lang w:val="pl-PL"/>
    </w:rPr>
  </w:style>
  <w:style w:type="paragraph" w:styleId="Indeks1">
    <w:name w:val="index 1"/>
    <w:basedOn w:val="Normalny"/>
    <w:next w:val="Normalny"/>
    <w:autoRedefine/>
    <w:uiPriority w:val="99"/>
    <w:semiHidden/>
    <w:rsid w:val="007C28CC"/>
    <w:pPr>
      <w:ind w:left="240" w:hanging="240"/>
    </w:pPr>
  </w:style>
  <w:style w:type="paragraph" w:styleId="Indeks2">
    <w:name w:val="index 2"/>
    <w:basedOn w:val="Normalny"/>
    <w:next w:val="Normalny"/>
    <w:autoRedefine/>
    <w:uiPriority w:val="99"/>
    <w:semiHidden/>
    <w:rsid w:val="007C28CC"/>
    <w:pPr>
      <w:ind w:left="480" w:hanging="240"/>
    </w:pPr>
  </w:style>
  <w:style w:type="paragraph" w:styleId="Indeks3">
    <w:name w:val="index 3"/>
    <w:basedOn w:val="Normalny"/>
    <w:next w:val="Normalny"/>
    <w:autoRedefine/>
    <w:uiPriority w:val="99"/>
    <w:semiHidden/>
    <w:rsid w:val="007C28CC"/>
    <w:pPr>
      <w:ind w:left="720" w:hanging="240"/>
    </w:pPr>
  </w:style>
  <w:style w:type="paragraph" w:styleId="Indeks4">
    <w:name w:val="index 4"/>
    <w:basedOn w:val="Normalny"/>
    <w:next w:val="Normalny"/>
    <w:autoRedefine/>
    <w:uiPriority w:val="99"/>
    <w:semiHidden/>
    <w:rsid w:val="007C28CC"/>
    <w:pPr>
      <w:ind w:left="960" w:hanging="240"/>
    </w:pPr>
  </w:style>
  <w:style w:type="paragraph" w:styleId="Indeks5">
    <w:name w:val="index 5"/>
    <w:basedOn w:val="Normalny"/>
    <w:next w:val="Normalny"/>
    <w:autoRedefine/>
    <w:uiPriority w:val="99"/>
    <w:semiHidden/>
    <w:rsid w:val="007C28CC"/>
    <w:pPr>
      <w:ind w:left="1200" w:hanging="240"/>
    </w:pPr>
  </w:style>
  <w:style w:type="paragraph" w:styleId="Indeks6">
    <w:name w:val="index 6"/>
    <w:basedOn w:val="Normalny"/>
    <w:next w:val="Normalny"/>
    <w:autoRedefine/>
    <w:uiPriority w:val="99"/>
    <w:semiHidden/>
    <w:rsid w:val="007C28CC"/>
    <w:pPr>
      <w:ind w:left="1440" w:hanging="240"/>
    </w:pPr>
  </w:style>
  <w:style w:type="paragraph" w:styleId="Indeks7">
    <w:name w:val="index 7"/>
    <w:basedOn w:val="Normalny"/>
    <w:next w:val="Normalny"/>
    <w:autoRedefine/>
    <w:uiPriority w:val="99"/>
    <w:semiHidden/>
    <w:rsid w:val="007C28CC"/>
    <w:pPr>
      <w:ind w:left="1680" w:hanging="240"/>
    </w:pPr>
  </w:style>
  <w:style w:type="paragraph" w:styleId="Indeks8">
    <w:name w:val="index 8"/>
    <w:basedOn w:val="Normalny"/>
    <w:next w:val="Normalny"/>
    <w:autoRedefine/>
    <w:uiPriority w:val="99"/>
    <w:semiHidden/>
    <w:rsid w:val="007C28CC"/>
    <w:pPr>
      <w:ind w:left="1920" w:hanging="240"/>
    </w:pPr>
  </w:style>
  <w:style w:type="paragraph" w:styleId="Indeks9">
    <w:name w:val="index 9"/>
    <w:basedOn w:val="Normalny"/>
    <w:next w:val="Normalny"/>
    <w:autoRedefine/>
    <w:uiPriority w:val="99"/>
    <w:semiHidden/>
    <w:rsid w:val="007C28CC"/>
    <w:pPr>
      <w:ind w:left="2160" w:hanging="240"/>
    </w:pPr>
  </w:style>
  <w:style w:type="paragraph" w:styleId="Nagwekindeksu">
    <w:name w:val="index heading"/>
    <w:basedOn w:val="Normalny"/>
    <w:next w:val="Indeks1"/>
    <w:uiPriority w:val="99"/>
    <w:semiHidden/>
    <w:rsid w:val="007C28CC"/>
    <w:rPr>
      <w:rFonts w:eastAsia="MS Gothic"/>
      <w:b/>
      <w:bCs/>
    </w:rPr>
  </w:style>
  <w:style w:type="character" w:styleId="Wyrnienieintensywne">
    <w:name w:val="Intense Emphasis"/>
    <w:basedOn w:val="Domylnaczcionkaakapitu"/>
    <w:uiPriority w:val="99"/>
    <w:qFormat/>
    <w:rsid w:val="007C28CC"/>
    <w:rPr>
      <w:rFonts w:cs="Times New Roman"/>
      <w:i/>
      <w:iCs/>
      <w:color w:val="D22D7D"/>
      <w:lang w:val="pl-PL"/>
    </w:rPr>
  </w:style>
  <w:style w:type="paragraph" w:styleId="Cytatintensywny">
    <w:name w:val="Intense Quote"/>
    <w:basedOn w:val="Normalny"/>
    <w:next w:val="Normalny"/>
    <w:link w:val="CytatintensywnyZnak"/>
    <w:uiPriority w:val="99"/>
    <w:qFormat/>
    <w:rsid w:val="007C28CC"/>
    <w:pPr>
      <w:pBdr>
        <w:top w:val="single" w:sz="4" w:space="10" w:color="D22D7D"/>
        <w:bottom w:val="single" w:sz="4" w:space="10" w:color="D22D7D"/>
      </w:pBdr>
      <w:spacing w:before="360" w:after="360"/>
      <w:ind w:left="864" w:right="864"/>
      <w:jc w:val="center"/>
    </w:pPr>
    <w:rPr>
      <w:i/>
      <w:iCs/>
      <w:color w:val="D22D7D"/>
    </w:rPr>
  </w:style>
  <w:style w:type="character" w:customStyle="1" w:styleId="CytatintensywnyZnak">
    <w:name w:val="Cytat intensywny Znak"/>
    <w:basedOn w:val="Domylnaczcionkaakapitu"/>
    <w:link w:val="Cytatintensywny"/>
    <w:uiPriority w:val="99"/>
    <w:locked/>
    <w:rsid w:val="007C28CC"/>
    <w:rPr>
      <w:rFonts w:eastAsia="MS Mincho" w:cs="Times New Roman"/>
      <w:i/>
      <w:iCs/>
      <w:color w:val="D22D7D"/>
      <w:lang w:val="pl-PL" w:eastAsia="zh-CN"/>
    </w:rPr>
  </w:style>
  <w:style w:type="character" w:styleId="Odwoanieintensywne">
    <w:name w:val="Intense Reference"/>
    <w:basedOn w:val="Domylnaczcionkaakapitu"/>
    <w:uiPriority w:val="99"/>
    <w:qFormat/>
    <w:rsid w:val="007C28CC"/>
    <w:rPr>
      <w:rFonts w:cs="Times New Roman"/>
      <w:b/>
      <w:bCs/>
      <w:smallCaps/>
      <w:color w:val="D22D7D"/>
      <w:spacing w:val="5"/>
      <w:lang w:val="pl-PL"/>
    </w:rPr>
  </w:style>
  <w:style w:type="table" w:styleId="Jasnasiatka">
    <w:name w:val="Light Grid"/>
    <w:basedOn w:val="Standardowy"/>
    <w:uiPriority w:val="99"/>
    <w:semiHidden/>
    <w:rsid w:val="007C28CC"/>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Times New Roman" w:eastAsia="MS Gothic"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Times New Roman" w:eastAsia="MS Gothic"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Jasnasiatkaakcent1">
    <w:name w:val="Light Grid Accent 1"/>
    <w:basedOn w:val="Standardowy"/>
    <w:uiPriority w:val="99"/>
    <w:semiHidden/>
    <w:rsid w:val="007C28CC"/>
    <w:rPr>
      <w:sz w:val="20"/>
      <w:szCs w:val="20"/>
    </w:rPr>
    <w:tblPr>
      <w:tblStyleRowBandSize w:val="1"/>
      <w:tblStyleColBandSize w:val="1"/>
      <w:tblBorders>
        <w:top w:val="single" w:sz="8" w:space="0" w:color="D22D7D"/>
        <w:left w:val="single" w:sz="8" w:space="0" w:color="D22D7D"/>
        <w:bottom w:val="single" w:sz="8" w:space="0" w:color="D22D7D"/>
        <w:right w:val="single" w:sz="8" w:space="0" w:color="D22D7D"/>
        <w:insideH w:val="single" w:sz="8" w:space="0" w:color="D22D7D"/>
        <w:insideV w:val="single" w:sz="8" w:space="0" w:color="D22D7D"/>
      </w:tblBorders>
    </w:tblPr>
    <w:tblStylePr w:type="firstRow">
      <w:pPr>
        <w:spacing w:before="0" w:after="0"/>
      </w:pPr>
      <w:rPr>
        <w:rFonts w:ascii="Times New Roman" w:eastAsia="MS Gothic" w:hAnsi="Times New Roman" w:cs="Times New Roman"/>
        <w:b/>
        <w:bCs/>
      </w:rPr>
      <w:tblPr/>
      <w:tcPr>
        <w:tcBorders>
          <w:top w:val="single" w:sz="8" w:space="0" w:color="D22D7D"/>
          <w:left w:val="single" w:sz="8" w:space="0" w:color="D22D7D"/>
          <w:bottom w:val="single" w:sz="18" w:space="0" w:color="D22D7D"/>
          <w:right w:val="single" w:sz="8" w:space="0" w:color="D22D7D"/>
          <w:insideH w:val="nil"/>
          <w:insideV w:val="single" w:sz="8" w:space="0" w:color="D22D7D"/>
        </w:tcBorders>
      </w:tcPr>
    </w:tblStylePr>
    <w:tblStylePr w:type="lastRow">
      <w:pPr>
        <w:spacing w:before="0" w:after="0"/>
      </w:pPr>
      <w:rPr>
        <w:rFonts w:ascii="Times New Roman" w:eastAsia="MS Gothic" w:hAnsi="Times New Roman" w:cs="Times New Roman"/>
        <w:b/>
        <w:bCs/>
      </w:rPr>
      <w:tblPr/>
      <w:tcPr>
        <w:tcBorders>
          <w:top w:val="double" w:sz="6" w:space="0" w:color="D22D7D"/>
          <w:left w:val="single" w:sz="8" w:space="0" w:color="D22D7D"/>
          <w:bottom w:val="single" w:sz="8" w:space="0" w:color="D22D7D"/>
          <w:right w:val="single" w:sz="8" w:space="0" w:color="D22D7D"/>
          <w:insideH w:val="nil"/>
          <w:insideV w:val="single" w:sz="8" w:space="0" w:color="D22D7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D22D7D"/>
          <w:left w:val="single" w:sz="8" w:space="0" w:color="D22D7D"/>
          <w:bottom w:val="single" w:sz="8" w:space="0" w:color="D22D7D"/>
          <w:right w:val="single" w:sz="8" w:space="0" w:color="D22D7D"/>
        </w:tcBorders>
      </w:tcPr>
    </w:tblStylePr>
    <w:tblStylePr w:type="band1Vert">
      <w:rPr>
        <w:rFonts w:cs="Times New Roman"/>
      </w:rPr>
      <w:tblPr/>
      <w:tcPr>
        <w:tcBorders>
          <w:top w:val="single" w:sz="8" w:space="0" w:color="D22D7D"/>
          <w:left w:val="single" w:sz="8" w:space="0" w:color="D22D7D"/>
          <w:bottom w:val="single" w:sz="8" w:space="0" w:color="D22D7D"/>
          <w:right w:val="single" w:sz="8" w:space="0" w:color="D22D7D"/>
        </w:tcBorders>
        <w:shd w:val="clear" w:color="auto" w:fill="F4CBDE"/>
      </w:tcPr>
    </w:tblStylePr>
    <w:tblStylePr w:type="band1Horz">
      <w:rPr>
        <w:rFonts w:cs="Times New Roman"/>
      </w:rPr>
      <w:tblPr/>
      <w:tcPr>
        <w:tcBorders>
          <w:top w:val="single" w:sz="8" w:space="0" w:color="D22D7D"/>
          <w:left w:val="single" w:sz="8" w:space="0" w:color="D22D7D"/>
          <w:bottom w:val="single" w:sz="8" w:space="0" w:color="D22D7D"/>
          <w:right w:val="single" w:sz="8" w:space="0" w:color="D22D7D"/>
          <w:insideV w:val="single" w:sz="8" w:space="0" w:color="D22D7D"/>
        </w:tcBorders>
        <w:shd w:val="clear" w:color="auto" w:fill="F4CBDE"/>
      </w:tcPr>
    </w:tblStylePr>
    <w:tblStylePr w:type="band2Horz">
      <w:rPr>
        <w:rFonts w:cs="Times New Roman"/>
      </w:rPr>
      <w:tblPr/>
      <w:tcPr>
        <w:tcBorders>
          <w:top w:val="single" w:sz="8" w:space="0" w:color="D22D7D"/>
          <w:left w:val="single" w:sz="8" w:space="0" w:color="D22D7D"/>
          <w:bottom w:val="single" w:sz="8" w:space="0" w:color="D22D7D"/>
          <w:right w:val="single" w:sz="8" w:space="0" w:color="D22D7D"/>
          <w:insideV w:val="single" w:sz="8" w:space="0" w:color="D22D7D"/>
        </w:tcBorders>
      </w:tcPr>
    </w:tblStylePr>
  </w:style>
  <w:style w:type="table" w:styleId="Jasnasiatkaakcent2">
    <w:name w:val="Light Grid Accent 2"/>
    <w:basedOn w:val="Standardowy"/>
    <w:uiPriority w:val="99"/>
    <w:semiHidden/>
    <w:rsid w:val="007C28CC"/>
    <w:rPr>
      <w:sz w:val="20"/>
      <w:szCs w:val="20"/>
    </w:rPr>
    <w:tblPr>
      <w:tblStyleRowBandSize w:val="1"/>
      <w:tblStyleColBandSize w:val="1"/>
      <w:tblBorders>
        <w:top w:val="single" w:sz="8" w:space="0" w:color="28AAE1"/>
        <w:left w:val="single" w:sz="8" w:space="0" w:color="28AAE1"/>
        <w:bottom w:val="single" w:sz="8" w:space="0" w:color="28AAE1"/>
        <w:right w:val="single" w:sz="8" w:space="0" w:color="28AAE1"/>
        <w:insideH w:val="single" w:sz="8" w:space="0" w:color="28AAE1"/>
        <w:insideV w:val="single" w:sz="8" w:space="0" w:color="28AAE1"/>
      </w:tblBorders>
    </w:tblPr>
    <w:tblStylePr w:type="firstRow">
      <w:pPr>
        <w:spacing w:before="0" w:after="0"/>
      </w:pPr>
      <w:rPr>
        <w:rFonts w:ascii="Times New Roman" w:eastAsia="MS Gothic" w:hAnsi="Times New Roman" w:cs="Times New Roman"/>
        <w:b/>
        <w:bCs/>
      </w:rPr>
      <w:tblPr/>
      <w:tcPr>
        <w:tcBorders>
          <w:top w:val="single" w:sz="8" w:space="0" w:color="28AAE1"/>
          <w:left w:val="single" w:sz="8" w:space="0" w:color="28AAE1"/>
          <w:bottom w:val="single" w:sz="18" w:space="0" w:color="28AAE1"/>
          <w:right w:val="single" w:sz="8" w:space="0" w:color="28AAE1"/>
          <w:insideH w:val="nil"/>
          <w:insideV w:val="single" w:sz="8" w:space="0" w:color="28AAE1"/>
        </w:tcBorders>
      </w:tcPr>
    </w:tblStylePr>
    <w:tblStylePr w:type="lastRow">
      <w:pPr>
        <w:spacing w:before="0" w:after="0"/>
      </w:pPr>
      <w:rPr>
        <w:rFonts w:ascii="Times New Roman" w:eastAsia="MS Gothic" w:hAnsi="Times New Roman" w:cs="Times New Roman"/>
        <w:b/>
        <w:bCs/>
      </w:rPr>
      <w:tblPr/>
      <w:tcPr>
        <w:tcBorders>
          <w:top w:val="double" w:sz="6" w:space="0" w:color="28AAE1"/>
          <w:left w:val="single" w:sz="8" w:space="0" w:color="28AAE1"/>
          <w:bottom w:val="single" w:sz="8" w:space="0" w:color="28AAE1"/>
          <w:right w:val="single" w:sz="8" w:space="0" w:color="28AAE1"/>
          <w:insideH w:val="nil"/>
          <w:insideV w:val="single" w:sz="8" w:space="0" w:color="28AAE1"/>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28AAE1"/>
          <w:left w:val="single" w:sz="8" w:space="0" w:color="28AAE1"/>
          <w:bottom w:val="single" w:sz="8" w:space="0" w:color="28AAE1"/>
          <w:right w:val="single" w:sz="8" w:space="0" w:color="28AAE1"/>
        </w:tcBorders>
      </w:tcPr>
    </w:tblStylePr>
    <w:tblStylePr w:type="band1Vert">
      <w:rPr>
        <w:rFonts w:cs="Times New Roman"/>
      </w:rPr>
      <w:tblPr/>
      <w:tcPr>
        <w:tcBorders>
          <w:top w:val="single" w:sz="8" w:space="0" w:color="28AAE1"/>
          <w:left w:val="single" w:sz="8" w:space="0" w:color="28AAE1"/>
          <w:bottom w:val="single" w:sz="8" w:space="0" w:color="28AAE1"/>
          <w:right w:val="single" w:sz="8" w:space="0" w:color="28AAE1"/>
        </w:tcBorders>
        <w:shd w:val="clear" w:color="auto" w:fill="C9E9F7"/>
      </w:tcPr>
    </w:tblStylePr>
    <w:tblStylePr w:type="band1Horz">
      <w:rPr>
        <w:rFonts w:cs="Times New Roman"/>
      </w:rPr>
      <w:tblPr/>
      <w:tcPr>
        <w:tcBorders>
          <w:top w:val="single" w:sz="8" w:space="0" w:color="28AAE1"/>
          <w:left w:val="single" w:sz="8" w:space="0" w:color="28AAE1"/>
          <w:bottom w:val="single" w:sz="8" w:space="0" w:color="28AAE1"/>
          <w:right w:val="single" w:sz="8" w:space="0" w:color="28AAE1"/>
          <w:insideV w:val="single" w:sz="8" w:space="0" w:color="28AAE1"/>
        </w:tcBorders>
        <w:shd w:val="clear" w:color="auto" w:fill="C9E9F7"/>
      </w:tcPr>
    </w:tblStylePr>
    <w:tblStylePr w:type="band2Horz">
      <w:rPr>
        <w:rFonts w:cs="Times New Roman"/>
      </w:rPr>
      <w:tblPr/>
      <w:tcPr>
        <w:tcBorders>
          <w:top w:val="single" w:sz="8" w:space="0" w:color="28AAE1"/>
          <w:left w:val="single" w:sz="8" w:space="0" w:color="28AAE1"/>
          <w:bottom w:val="single" w:sz="8" w:space="0" w:color="28AAE1"/>
          <w:right w:val="single" w:sz="8" w:space="0" w:color="28AAE1"/>
          <w:insideV w:val="single" w:sz="8" w:space="0" w:color="28AAE1"/>
        </w:tcBorders>
      </w:tcPr>
    </w:tblStylePr>
  </w:style>
  <w:style w:type="table" w:styleId="Jasnasiatkaakcent3">
    <w:name w:val="Light Grid Accent 3"/>
    <w:basedOn w:val="Standardowy"/>
    <w:uiPriority w:val="99"/>
    <w:semiHidden/>
    <w:rsid w:val="007C28CC"/>
    <w:rPr>
      <w:sz w:val="20"/>
      <w:szCs w:val="20"/>
    </w:rPr>
    <w:tblPr>
      <w:tblStyleRowBandSize w:val="1"/>
      <w:tblStyleColBandSize w:val="1"/>
      <w:tblBorders>
        <w:top w:val="single" w:sz="8" w:space="0" w:color="F05023"/>
        <w:left w:val="single" w:sz="8" w:space="0" w:color="F05023"/>
        <w:bottom w:val="single" w:sz="8" w:space="0" w:color="F05023"/>
        <w:right w:val="single" w:sz="8" w:space="0" w:color="F05023"/>
        <w:insideH w:val="single" w:sz="8" w:space="0" w:color="F05023"/>
        <w:insideV w:val="single" w:sz="8" w:space="0" w:color="F05023"/>
      </w:tblBorders>
    </w:tblPr>
    <w:tblStylePr w:type="firstRow">
      <w:pPr>
        <w:spacing w:before="0" w:after="0"/>
      </w:pPr>
      <w:rPr>
        <w:rFonts w:ascii="Times New Roman" w:eastAsia="MS Gothic" w:hAnsi="Times New Roman" w:cs="Times New Roman"/>
        <w:b/>
        <w:bCs/>
      </w:rPr>
      <w:tblPr/>
      <w:tcPr>
        <w:tcBorders>
          <w:top w:val="single" w:sz="8" w:space="0" w:color="F05023"/>
          <w:left w:val="single" w:sz="8" w:space="0" w:color="F05023"/>
          <w:bottom w:val="single" w:sz="18" w:space="0" w:color="F05023"/>
          <w:right w:val="single" w:sz="8" w:space="0" w:color="F05023"/>
          <w:insideH w:val="nil"/>
          <w:insideV w:val="single" w:sz="8" w:space="0" w:color="F05023"/>
        </w:tcBorders>
      </w:tcPr>
    </w:tblStylePr>
    <w:tblStylePr w:type="lastRow">
      <w:pPr>
        <w:spacing w:before="0" w:after="0"/>
      </w:pPr>
      <w:rPr>
        <w:rFonts w:ascii="Times New Roman" w:eastAsia="MS Gothic" w:hAnsi="Times New Roman" w:cs="Times New Roman"/>
        <w:b/>
        <w:bCs/>
      </w:rPr>
      <w:tblPr/>
      <w:tcPr>
        <w:tcBorders>
          <w:top w:val="double" w:sz="6" w:space="0" w:color="F05023"/>
          <w:left w:val="single" w:sz="8" w:space="0" w:color="F05023"/>
          <w:bottom w:val="single" w:sz="8" w:space="0" w:color="F05023"/>
          <w:right w:val="single" w:sz="8" w:space="0" w:color="F05023"/>
          <w:insideH w:val="nil"/>
          <w:insideV w:val="single" w:sz="8" w:space="0" w:color="F05023"/>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F05023"/>
          <w:left w:val="single" w:sz="8" w:space="0" w:color="F05023"/>
          <w:bottom w:val="single" w:sz="8" w:space="0" w:color="F05023"/>
          <w:right w:val="single" w:sz="8" w:space="0" w:color="F05023"/>
        </w:tcBorders>
      </w:tcPr>
    </w:tblStylePr>
    <w:tblStylePr w:type="band1Vert">
      <w:rPr>
        <w:rFonts w:cs="Times New Roman"/>
      </w:rPr>
      <w:tblPr/>
      <w:tcPr>
        <w:tcBorders>
          <w:top w:val="single" w:sz="8" w:space="0" w:color="F05023"/>
          <w:left w:val="single" w:sz="8" w:space="0" w:color="F05023"/>
          <w:bottom w:val="single" w:sz="8" w:space="0" w:color="F05023"/>
          <w:right w:val="single" w:sz="8" w:space="0" w:color="F05023"/>
        </w:tcBorders>
        <w:shd w:val="clear" w:color="auto" w:fill="FBD3C8"/>
      </w:tcPr>
    </w:tblStylePr>
    <w:tblStylePr w:type="band1Horz">
      <w:rPr>
        <w:rFonts w:cs="Times New Roman"/>
      </w:rPr>
      <w:tblPr/>
      <w:tcPr>
        <w:tcBorders>
          <w:top w:val="single" w:sz="8" w:space="0" w:color="F05023"/>
          <w:left w:val="single" w:sz="8" w:space="0" w:color="F05023"/>
          <w:bottom w:val="single" w:sz="8" w:space="0" w:color="F05023"/>
          <w:right w:val="single" w:sz="8" w:space="0" w:color="F05023"/>
          <w:insideV w:val="single" w:sz="8" w:space="0" w:color="F05023"/>
        </w:tcBorders>
        <w:shd w:val="clear" w:color="auto" w:fill="FBD3C8"/>
      </w:tcPr>
    </w:tblStylePr>
    <w:tblStylePr w:type="band2Horz">
      <w:rPr>
        <w:rFonts w:cs="Times New Roman"/>
      </w:rPr>
      <w:tblPr/>
      <w:tcPr>
        <w:tcBorders>
          <w:top w:val="single" w:sz="8" w:space="0" w:color="F05023"/>
          <w:left w:val="single" w:sz="8" w:space="0" w:color="F05023"/>
          <w:bottom w:val="single" w:sz="8" w:space="0" w:color="F05023"/>
          <w:right w:val="single" w:sz="8" w:space="0" w:color="F05023"/>
          <w:insideV w:val="single" w:sz="8" w:space="0" w:color="F05023"/>
        </w:tcBorders>
      </w:tcPr>
    </w:tblStylePr>
  </w:style>
  <w:style w:type="table" w:styleId="Jasnasiatkaakcent4">
    <w:name w:val="Light Grid Accent 4"/>
    <w:basedOn w:val="Standardowy"/>
    <w:uiPriority w:val="99"/>
    <w:semiHidden/>
    <w:rsid w:val="007C28CC"/>
    <w:rPr>
      <w:sz w:val="20"/>
      <w:szCs w:val="20"/>
    </w:rPr>
    <w:tblPr>
      <w:tblStyleRowBandSize w:val="1"/>
      <w:tblStyleColBandSize w:val="1"/>
      <w:tblBorders>
        <w:top w:val="single" w:sz="8" w:space="0" w:color="696EB4"/>
        <w:left w:val="single" w:sz="8" w:space="0" w:color="696EB4"/>
        <w:bottom w:val="single" w:sz="8" w:space="0" w:color="696EB4"/>
        <w:right w:val="single" w:sz="8" w:space="0" w:color="696EB4"/>
        <w:insideH w:val="single" w:sz="8" w:space="0" w:color="696EB4"/>
        <w:insideV w:val="single" w:sz="8" w:space="0" w:color="696EB4"/>
      </w:tblBorders>
    </w:tblPr>
    <w:tblStylePr w:type="firstRow">
      <w:pPr>
        <w:spacing w:before="0" w:after="0"/>
      </w:pPr>
      <w:rPr>
        <w:rFonts w:ascii="Times New Roman" w:eastAsia="MS Gothic" w:hAnsi="Times New Roman" w:cs="Times New Roman"/>
        <w:b/>
        <w:bCs/>
      </w:rPr>
      <w:tblPr/>
      <w:tcPr>
        <w:tcBorders>
          <w:top w:val="single" w:sz="8" w:space="0" w:color="696EB4"/>
          <w:left w:val="single" w:sz="8" w:space="0" w:color="696EB4"/>
          <w:bottom w:val="single" w:sz="18" w:space="0" w:color="696EB4"/>
          <w:right w:val="single" w:sz="8" w:space="0" w:color="696EB4"/>
          <w:insideH w:val="nil"/>
          <w:insideV w:val="single" w:sz="8" w:space="0" w:color="696EB4"/>
        </w:tcBorders>
      </w:tcPr>
    </w:tblStylePr>
    <w:tblStylePr w:type="lastRow">
      <w:pPr>
        <w:spacing w:before="0" w:after="0"/>
      </w:pPr>
      <w:rPr>
        <w:rFonts w:ascii="Times New Roman" w:eastAsia="MS Gothic" w:hAnsi="Times New Roman" w:cs="Times New Roman"/>
        <w:b/>
        <w:bCs/>
      </w:rPr>
      <w:tblPr/>
      <w:tcPr>
        <w:tcBorders>
          <w:top w:val="double" w:sz="6" w:space="0" w:color="696EB4"/>
          <w:left w:val="single" w:sz="8" w:space="0" w:color="696EB4"/>
          <w:bottom w:val="single" w:sz="8" w:space="0" w:color="696EB4"/>
          <w:right w:val="single" w:sz="8" w:space="0" w:color="696EB4"/>
          <w:insideH w:val="nil"/>
          <w:insideV w:val="single" w:sz="8" w:space="0" w:color="696EB4"/>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696EB4"/>
          <w:left w:val="single" w:sz="8" w:space="0" w:color="696EB4"/>
          <w:bottom w:val="single" w:sz="8" w:space="0" w:color="696EB4"/>
          <w:right w:val="single" w:sz="8" w:space="0" w:color="696EB4"/>
        </w:tcBorders>
      </w:tcPr>
    </w:tblStylePr>
    <w:tblStylePr w:type="band1Vert">
      <w:rPr>
        <w:rFonts w:cs="Times New Roman"/>
      </w:rPr>
      <w:tblPr/>
      <w:tcPr>
        <w:tcBorders>
          <w:top w:val="single" w:sz="8" w:space="0" w:color="696EB4"/>
          <w:left w:val="single" w:sz="8" w:space="0" w:color="696EB4"/>
          <w:bottom w:val="single" w:sz="8" w:space="0" w:color="696EB4"/>
          <w:right w:val="single" w:sz="8" w:space="0" w:color="696EB4"/>
        </w:tcBorders>
        <w:shd w:val="clear" w:color="auto" w:fill="D9DBEC"/>
      </w:tcPr>
    </w:tblStylePr>
    <w:tblStylePr w:type="band1Horz">
      <w:rPr>
        <w:rFonts w:cs="Times New Roman"/>
      </w:rPr>
      <w:tblPr/>
      <w:tcPr>
        <w:tcBorders>
          <w:top w:val="single" w:sz="8" w:space="0" w:color="696EB4"/>
          <w:left w:val="single" w:sz="8" w:space="0" w:color="696EB4"/>
          <w:bottom w:val="single" w:sz="8" w:space="0" w:color="696EB4"/>
          <w:right w:val="single" w:sz="8" w:space="0" w:color="696EB4"/>
          <w:insideV w:val="single" w:sz="8" w:space="0" w:color="696EB4"/>
        </w:tcBorders>
        <w:shd w:val="clear" w:color="auto" w:fill="D9DBEC"/>
      </w:tcPr>
    </w:tblStylePr>
    <w:tblStylePr w:type="band2Horz">
      <w:rPr>
        <w:rFonts w:cs="Times New Roman"/>
      </w:rPr>
      <w:tblPr/>
      <w:tcPr>
        <w:tcBorders>
          <w:top w:val="single" w:sz="8" w:space="0" w:color="696EB4"/>
          <w:left w:val="single" w:sz="8" w:space="0" w:color="696EB4"/>
          <w:bottom w:val="single" w:sz="8" w:space="0" w:color="696EB4"/>
          <w:right w:val="single" w:sz="8" w:space="0" w:color="696EB4"/>
          <w:insideV w:val="single" w:sz="8" w:space="0" w:color="696EB4"/>
        </w:tcBorders>
      </w:tcPr>
    </w:tblStylePr>
  </w:style>
  <w:style w:type="table" w:styleId="Jasnasiatkaakcent5">
    <w:name w:val="Light Grid Accent 5"/>
    <w:basedOn w:val="Standardowy"/>
    <w:uiPriority w:val="99"/>
    <w:semiHidden/>
    <w:rsid w:val="007C28CC"/>
    <w:rPr>
      <w:sz w:val="20"/>
      <w:szCs w:val="20"/>
    </w:rPr>
    <w:tblPr>
      <w:tblStyleRowBandSize w:val="1"/>
      <w:tblStyleColBandSize w:val="1"/>
      <w:tblBorders>
        <w:top w:val="single" w:sz="8" w:space="0" w:color="FA9B1E"/>
        <w:left w:val="single" w:sz="8" w:space="0" w:color="FA9B1E"/>
        <w:bottom w:val="single" w:sz="8" w:space="0" w:color="FA9B1E"/>
        <w:right w:val="single" w:sz="8" w:space="0" w:color="FA9B1E"/>
        <w:insideH w:val="single" w:sz="8" w:space="0" w:color="FA9B1E"/>
        <w:insideV w:val="single" w:sz="8" w:space="0" w:color="FA9B1E"/>
      </w:tblBorders>
    </w:tblPr>
    <w:tblStylePr w:type="firstRow">
      <w:pPr>
        <w:spacing w:before="0" w:after="0"/>
      </w:pPr>
      <w:rPr>
        <w:rFonts w:ascii="Times New Roman" w:eastAsia="MS Gothic" w:hAnsi="Times New Roman" w:cs="Times New Roman"/>
        <w:b/>
        <w:bCs/>
      </w:rPr>
      <w:tblPr/>
      <w:tcPr>
        <w:tcBorders>
          <w:top w:val="single" w:sz="8" w:space="0" w:color="FA9B1E"/>
          <w:left w:val="single" w:sz="8" w:space="0" w:color="FA9B1E"/>
          <w:bottom w:val="single" w:sz="18" w:space="0" w:color="FA9B1E"/>
          <w:right w:val="single" w:sz="8" w:space="0" w:color="FA9B1E"/>
          <w:insideH w:val="nil"/>
          <w:insideV w:val="single" w:sz="8" w:space="0" w:color="FA9B1E"/>
        </w:tcBorders>
      </w:tcPr>
    </w:tblStylePr>
    <w:tblStylePr w:type="lastRow">
      <w:pPr>
        <w:spacing w:before="0" w:after="0"/>
      </w:pPr>
      <w:rPr>
        <w:rFonts w:ascii="Times New Roman" w:eastAsia="MS Gothic" w:hAnsi="Times New Roman" w:cs="Times New Roman"/>
        <w:b/>
        <w:bCs/>
      </w:rPr>
      <w:tblPr/>
      <w:tcPr>
        <w:tcBorders>
          <w:top w:val="double" w:sz="6" w:space="0" w:color="FA9B1E"/>
          <w:left w:val="single" w:sz="8" w:space="0" w:color="FA9B1E"/>
          <w:bottom w:val="single" w:sz="8" w:space="0" w:color="FA9B1E"/>
          <w:right w:val="single" w:sz="8" w:space="0" w:color="FA9B1E"/>
          <w:insideH w:val="nil"/>
          <w:insideV w:val="single" w:sz="8" w:space="0" w:color="FA9B1E"/>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FA9B1E"/>
          <w:left w:val="single" w:sz="8" w:space="0" w:color="FA9B1E"/>
          <w:bottom w:val="single" w:sz="8" w:space="0" w:color="FA9B1E"/>
          <w:right w:val="single" w:sz="8" w:space="0" w:color="FA9B1E"/>
        </w:tcBorders>
      </w:tcPr>
    </w:tblStylePr>
    <w:tblStylePr w:type="band1Vert">
      <w:rPr>
        <w:rFonts w:cs="Times New Roman"/>
      </w:rPr>
      <w:tblPr/>
      <w:tcPr>
        <w:tcBorders>
          <w:top w:val="single" w:sz="8" w:space="0" w:color="FA9B1E"/>
          <w:left w:val="single" w:sz="8" w:space="0" w:color="FA9B1E"/>
          <w:bottom w:val="single" w:sz="8" w:space="0" w:color="FA9B1E"/>
          <w:right w:val="single" w:sz="8" w:space="0" w:color="FA9B1E"/>
        </w:tcBorders>
        <w:shd w:val="clear" w:color="auto" w:fill="FDE6C7"/>
      </w:tcPr>
    </w:tblStylePr>
    <w:tblStylePr w:type="band1Horz">
      <w:rPr>
        <w:rFonts w:cs="Times New Roman"/>
      </w:rPr>
      <w:tblPr/>
      <w:tcPr>
        <w:tcBorders>
          <w:top w:val="single" w:sz="8" w:space="0" w:color="FA9B1E"/>
          <w:left w:val="single" w:sz="8" w:space="0" w:color="FA9B1E"/>
          <w:bottom w:val="single" w:sz="8" w:space="0" w:color="FA9B1E"/>
          <w:right w:val="single" w:sz="8" w:space="0" w:color="FA9B1E"/>
          <w:insideV w:val="single" w:sz="8" w:space="0" w:color="FA9B1E"/>
        </w:tcBorders>
        <w:shd w:val="clear" w:color="auto" w:fill="FDE6C7"/>
      </w:tcPr>
    </w:tblStylePr>
    <w:tblStylePr w:type="band2Horz">
      <w:rPr>
        <w:rFonts w:cs="Times New Roman"/>
      </w:rPr>
      <w:tblPr/>
      <w:tcPr>
        <w:tcBorders>
          <w:top w:val="single" w:sz="8" w:space="0" w:color="FA9B1E"/>
          <w:left w:val="single" w:sz="8" w:space="0" w:color="FA9B1E"/>
          <w:bottom w:val="single" w:sz="8" w:space="0" w:color="FA9B1E"/>
          <w:right w:val="single" w:sz="8" w:space="0" w:color="FA9B1E"/>
          <w:insideV w:val="single" w:sz="8" w:space="0" w:color="FA9B1E"/>
        </w:tcBorders>
      </w:tcPr>
    </w:tblStylePr>
  </w:style>
  <w:style w:type="table" w:styleId="Jasnasiatkaakcent6">
    <w:name w:val="Light Grid Accent 6"/>
    <w:basedOn w:val="Standardowy"/>
    <w:uiPriority w:val="99"/>
    <w:semiHidden/>
    <w:rsid w:val="007C28CC"/>
    <w:rPr>
      <w:sz w:val="20"/>
      <w:szCs w:val="20"/>
    </w:rPr>
    <w:tblPr>
      <w:tblStyleRowBandSize w:val="1"/>
      <w:tblStyleColBandSize w:val="1"/>
      <w:tblBorders>
        <w:top w:val="single" w:sz="8" w:space="0" w:color="28AF73"/>
        <w:left w:val="single" w:sz="8" w:space="0" w:color="28AF73"/>
        <w:bottom w:val="single" w:sz="8" w:space="0" w:color="28AF73"/>
        <w:right w:val="single" w:sz="8" w:space="0" w:color="28AF73"/>
        <w:insideH w:val="single" w:sz="8" w:space="0" w:color="28AF73"/>
        <w:insideV w:val="single" w:sz="8" w:space="0" w:color="28AF73"/>
      </w:tblBorders>
    </w:tblPr>
    <w:tblStylePr w:type="firstRow">
      <w:pPr>
        <w:spacing w:before="0" w:after="0"/>
      </w:pPr>
      <w:rPr>
        <w:rFonts w:ascii="Times New Roman" w:eastAsia="MS Gothic" w:hAnsi="Times New Roman" w:cs="Times New Roman"/>
        <w:b/>
        <w:bCs/>
      </w:rPr>
      <w:tblPr/>
      <w:tcPr>
        <w:tcBorders>
          <w:top w:val="single" w:sz="8" w:space="0" w:color="28AF73"/>
          <w:left w:val="single" w:sz="8" w:space="0" w:color="28AF73"/>
          <w:bottom w:val="single" w:sz="18" w:space="0" w:color="28AF73"/>
          <w:right w:val="single" w:sz="8" w:space="0" w:color="28AF73"/>
          <w:insideH w:val="nil"/>
          <w:insideV w:val="single" w:sz="8" w:space="0" w:color="28AF73"/>
        </w:tcBorders>
      </w:tcPr>
    </w:tblStylePr>
    <w:tblStylePr w:type="lastRow">
      <w:pPr>
        <w:spacing w:before="0" w:after="0"/>
      </w:pPr>
      <w:rPr>
        <w:rFonts w:ascii="Times New Roman" w:eastAsia="MS Gothic" w:hAnsi="Times New Roman" w:cs="Times New Roman"/>
        <w:b/>
        <w:bCs/>
      </w:rPr>
      <w:tblPr/>
      <w:tcPr>
        <w:tcBorders>
          <w:top w:val="double" w:sz="6" w:space="0" w:color="28AF73"/>
          <w:left w:val="single" w:sz="8" w:space="0" w:color="28AF73"/>
          <w:bottom w:val="single" w:sz="8" w:space="0" w:color="28AF73"/>
          <w:right w:val="single" w:sz="8" w:space="0" w:color="28AF73"/>
          <w:insideH w:val="nil"/>
          <w:insideV w:val="single" w:sz="8" w:space="0" w:color="28AF73"/>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28AF73"/>
          <w:left w:val="single" w:sz="8" w:space="0" w:color="28AF73"/>
          <w:bottom w:val="single" w:sz="8" w:space="0" w:color="28AF73"/>
          <w:right w:val="single" w:sz="8" w:space="0" w:color="28AF73"/>
        </w:tcBorders>
      </w:tcPr>
    </w:tblStylePr>
    <w:tblStylePr w:type="band1Vert">
      <w:rPr>
        <w:rFonts w:cs="Times New Roman"/>
      </w:rPr>
      <w:tblPr/>
      <w:tcPr>
        <w:tcBorders>
          <w:top w:val="single" w:sz="8" w:space="0" w:color="28AF73"/>
          <w:left w:val="single" w:sz="8" w:space="0" w:color="28AF73"/>
          <w:bottom w:val="single" w:sz="8" w:space="0" w:color="28AF73"/>
          <w:right w:val="single" w:sz="8" w:space="0" w:color="28AF73"/>
        </w:tcBorders>
        <w:shd w:val="clear" w:color="auto" w:fill="C3F1DC"/>
      </w:tcPr>
    </w:tblStylePr>
    <w:tblStylePr w:type="band1Horz">
      <w:rPr>
        <w:rFonts w:cs="Times New Roman"/>
      </w:rPr>
      <w:tblPr/>
      <w:tcPr>
        <w:tcBorders>
          <w:top w:val="single" w:sz="8" w:space="0" w:color="28AF73"/>
          <w:left w:val="single" w:sz="8" w:space="0" w:color="28AF73"/>
          <w:bottom w:val="single" w:sz="8" w:space="0" w:color="28AF73"/>
          <w:right w:val="single" w:sz="8" w:space="0" w:color="28AF73"/>
          <w:insideV w:val="single" w:sz="8" w:space="0" w:color="28AF73"/>
        </w:tcBorders>
        <w:shd w:val="clear" w:color="auto" w:fill="C3F1DC"/>
      </w:tcPr>
    </w:tblStylePr>
    <w:tblStylePr w:type="band2Horz">
      <w:rPr>
        <w:rFonts w:cs="Times New Roman"/>
      </w:rPr>
      <w:tblPr/>
      <w:tcPr>
        <w:tcBorders>
          <w:top w:val="single" w:sz="8" w:space="0" w:color="28AF73"/>
          <w:left w:val="single" w:sz="8" w:space="0" w:color="28AF73"/>
          <w:bottom w:val="single" w:sz="8" w:space="0" w:color="28AF73"/>
          <w:right w:val="single" w:sz="8" w:space="0" w:color="28AF73"/>
          <w:insideV w:val="single" w:sz="8" w:space="0" w:color="28AF73"/>
        </w:tcBorders>
      </w:tcPr>
    </w:tblStylePr>
  </w:style>
  <w:style w:type="table" w:styleId="Jasnalista">
    <w:name w:val="Light List"/>
    <w:basedOn w:val="Standardowy"/>
    <w:uiPriority w:val="99"/>
    <w:semiHidden/>
    <w:rsid w:val="007C28CC"/>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Times New Roman"/>
        <w:b/>
        <w:bCs/>
        <w:color w:val="FFFFFF"/>
      </w:rPr>
      <w:tblPr/>
      <w:tcPr>
        <w:shd w:val="clear" w:color="auto" w:fill="000000"/>
      </w:tcPr>
    </w:tblStylePr>
    <w:tblStylePr w:type="lastRow">
      <w:pPr>
        <w:spacing w:before="0" w:after="0"/>
      </w:pPr>
      <w:rPr>
        <w:rFonts w:cs="Times New Roman"/>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tcBorders>
      </w:tcPr>
    </w:tblStylePr>
  </w:style>
  <w:style w:type="table" w:styleId="Jasnalistaakcent1">
    <w:name w:val="Light List Accent 1"/>
    <w:basedOn w:val="Standardowy"/>
    <w:uiPriority w:val="99"/>
    <w:semiHidden/>
    <w:rsid w:val="007C28CC"/>
    <w:rPr>
      <w:sz w:val="20"/>
      <w:szCs w:val="20"/>
    </w:rPr>
    <w:tblPr>
      <w:tblStyleRowBandSize w:val="1"/>
      <w:tblStyleColBandSize w:val="1"/>
      <w:tblBorders>
        <w:top w:val="single" w:sz="8" w:space="0" w:color="D22D7D"/>
        <w:left w:val="single" w:sz="8" w:space="0" w:color="D22D7D"/>
        <w:bottom w:val="single" w:sz="8" w:space="0" w:color="D22D7D"/>
        <w:right w:val="single" w:sz="8" w:space="0" w:color="D22D7D"/>
      </w:tblBorders>
    </w:tblPr>
    <w:tblStylePr w:type="firstRow">
      <w:pPr>
        <w:spacing w:before="0" w:after="0"/>
      </w:pPr>
      <w:rPr>
        <w:rFonts w:cs="Times New Roman"/>
        <w:b/>
        <w:bCs/>
        <w:color w:val="FFFFFF"/>
      </w:rPr>
      <w:tblPr/>
      <w:tcPr>
        <w:shd w:val="clear" w:color="auto" w:fill="D22D7D"/>
      </w:tcPr>
    </w:tblStylePr>
    <w:tblStylePr w:type="lastRow">
      <w:pPr>
        <w:spacing w:before="0" w:after="0"/>
      </w:pPr>
      <w:rPr>
        <w:rFonts w:cs="Times New Roman"/>
        <w:b/>
        <w:bCs/>
      </w:rPr>
      <w:tblPr/>
      <w:tcPr>
        <w:tcBorders>
          <w:top w:val="double" w:sz="6" w:space="0" w:color="D22D7D"/>
          <w:left w:val="single" w:sz="8" w:space="0" w:color="D22D7D"/>
          <w:bottom w:val="single" w:sz="8" w:space="0" w:color="D22D7D"/>
          <w:right w:val="single" w:sz="8" w:space="0" w:color="D22D7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D22D7D"/>
          <w:left w:val="single" w:sz="8" w:space="0" w:color="D22D7D"/>
          <w:bottom w:val="single" w:sz="8" w:space="0" w:color="D22D7D"/>
          <w:right w:val="single" w:sz="8" w:space="0" w:color="D22D7D"/>
        </w:tcBorders>
      </w:tcPr>
    </w:tblStylePr>
    <w:tblStylePr w:type="band1Horz">
      <w:rPr>
        <w:rFonts w:cs="Times New Roman"/>
      </w:rPr>
      <w:tblPr/>
      <w:tcPr>
        <w:tcBorders>
          <w:top w:val="single" w:sz="8" w:space="0" w:color="D22D7D"/>
          <w:left w:val="single" w:sz="8" w:space="0" w:color="D22D7D"/>
          <w:bottom w:val="single" w:sz="8" w:space="0" w:color="D22D7D"/>
          <w:right w:val="single" w:sz="8" w:space="0" w:color="D22D7D"/>
        </w:tcBorders>
      </w:tcPr>
    </w:tblStylePr>
  </w:style>
  <w:style w:type="table" w:styleId="Jasnalistaakcent2">
    <w:name w:val="Light List Accent 2"/>
    <w:basedOn w:val="Standardowy"/>
    <w:uiPriority w:val="99"/>
    <w:semiHidden/>
    <w:rsid w:val="007C28CC"/>
    <w:rPr>
      <w:sz w:val="20"/>
      <w:szCs w:val="20"/>
    </w:rPr>
    <w:tblPr>
      <w:tblStyleRowBandSize w:val="1"/>
      <w:tblStyleColBandSize w:val="1"/>
      <w:tblBorders>
        <w:top w:val="single" w:sz="8" w:space="0" w:color="28AAE1"/>
        <w:left w:val="single" w:sz="8" w:space="0" w:color="28AAE1"/>
        <w:bottom w:val="single" w:sz="8" w:space="0" w:color="28AAE1"/>
        <w:right w:val="single" w:sz="8" w:space="0" w:color="28AAE1"/>
      </w:tblBorders>
    </w:tblPr>
    <w:tblStylePr w:type="firstRow">
      <w:pPr>
        <w:spacing w:before="0" w:after="0"/>
      </w:pPr>
      <w:rPr>
        <w:rFonts w:cs="Times New Roman"/>
        <w:b/>
        <w:bCs/>
        <w:color w:val="FFFFFF"/>
      </w:rPr>
      <w:tblPr/>
      <w:tcPr>
        <w:shd w:val="clear" w:color="auto" w:fill="28AAE1"/>
      </w:tcPr>
    </w:tblStylePr>
    <w:tblStylePr w:type="lastRow">
      <w:pPr>
        <w:spacing w:before="0" w:after="0"/>
      </w:pPr>
      <w:rPr>
        <w:rFonts w:cs="Times New Roman"/>
        <w:b/>
        <w:bCs/>
      </w:rPr>
      <w:tblPr/>
      <w:tcPr>
        <w:tcBorders>
          <w:top w:val="double" w:sz="6" w:space="0" w:color="28AAE1"/>
          <w:left w:val="single" w:sz="8" w:space="0" w:color="28AAE1"/>
          <w:bottom w:val="single" w:sz="8" w:space="0" w:color="28AAE1"/>
          <w:right w:val="single" w:sz="8" w:space="0" w:color="28AAE1"/>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28AAE1"/>
          <w:left w:val="single" w:sz="8" w:space="0" w:color="28AAE1"/>
          <w:bottom w:val="single" w:sz="8" w:space="0" w:color="28AAE1"/>
          <w:right w:val="single" w:sz="8" w:space="0" w:color="28AAE1"/>
        </w:tcBorders>
      </w:tcPr>
    </w:tblStylePr>
    <w:tblStylePr w:type="band1Horz">
      <w:rPr>
        <w:rFonts w:cs="Times New Roman"/>
      </w:rPr>
      <w:tblPr/>
      <w:tcPr>
        <w:tcBorders>
          <w:top w:val="single" w:sz="8" w:space="0" w:color="28AAE1"/>
          <w:left w:val="single" w:sz="8" w:space="0" w:color="28AAE1"/>
          <w:bottom w:val="single" w:sz="8" w:space="0" w:color="28AAE1"/>
          <w:right w:val="single" w:sz="8" w:space="0" w:color="28AAE1"/>
        </w:tcBorders>
      </w:tcPr>
    </w:tblStylePr>
  </w:style>
  <w:style w:type="table" w:styleId="Jasnalistaakcent3">
    <w:name w:val="Light List Accent 3"/>
    <w:basedOn w:val="Standardowy"/>
    <w:uiPriority w:val="99"/>
    <w:semiHidden/>
    <w:rsid w:val="007C28CC"/>
    <w:rPr>
      <w:sz w:val="20"/>
      <w:szCs w:val="20"/>
    </w:rPr>
    <w:tblPr>
      <w:tblStyleRowBandSize w:val="1"/>
      <w:tblStyleColBandSize w:val="1"/>
      <w:tblBorders>
        <w:top w:val="single" w:sz="8" w:space="0" w:color="F05023"/>
        <w:left w:val="single" w:sz="8" w:space="0" w:color="F05023"/>
        <w:bottom w:val="single" w:sz="8" w:space="0" w:color="F05023"/>
        <w:right w:val="single" w:sz="8" w:space="0" w:color="F05023"/>
      </w:tblBorders>
    </w:tblPr>
    <w:tblStylePr w:type="firstRow">
      <w:pPr>
        <w:spacing w:before="0" w:after="0"/>
      </w:pPr>
      <w:rPr>
        <w:rFonts w:cs="Times New Roman"/>
        <w:b/>
        <w:bCs/>
        <w:color w:val="FFFFFF"/>
      </w:rPr>
      <w:tblPr/>
      <w:tcPr>
        <w:shd w:val="clear" w:color="auto" w:fill="F05023"/>
      </w:tcPr>
    </w:tblStylePr>
    <w:tblStylePr w:type="lastRow">
      <w:pPr>
        <w:spacing w:before="0" w:after="0"/>
      </w:pPr>
      <w:rPr>
        <w:rFonts w:cs="Times New Roman"/>
        <w:b/>
        <w:bCs/>
      </w:rPr>
      <w:tblPr/>
      <w:tcPr>
        <w:tcBorders>
          <w:top w:val="double" w:sz="6" w:space="0" w:color="F05023"/>
          <w:left w:val="single" w:sz="8" w:space="0" w:color="F05023"/>
          <w:bottom w:val="single" w:sz="8" w:space="0" w:color="F05023"/>
          <w:right w:val="single" w:sz="8" w:space="0" w:color="F05023"/>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05023"/>
          <w:left w:val="single" w:sz="8" w:space="0" w:color="F05023"/>
          <w:bottom w:val="single" w:sz="8" w:space="0" w:color="F05023"/>
          <w:right w:val="single" w:sz="8" w:space="0" w:color="F05023"/>
        </w:tcBorders>
      </w:tcPr>
    </w:tblStylePr>
    <w:tblStylePr w:type="band1Horz">
      <w:rPr>
        <w:rFonts w:cs="Times New Roman"/>
      </w:rPr>
      <w:tblPr/>
      <w:tcPr>
        <w:tcBorders>
          <w:top w:val="single" w:sz="8" w:space="0" w:color="F05023"/>
          <w:left w:val="single" w:sz="8" w:space="0" w:color="F05023"/>
          <w:bottom w:val="single" w:sz="8" w:space="0" w:color="F05023"/>
          <w:right w:val="single" w:sz="8" w:space="0" w:color="F05023"/>
        </w:tcBorders>
      </w:tcPr>
    </w:tblStylePr>
  </w:style>
  <w:style w:type="table" w:styleId="Jasnalistaakcent4">
    <w:name w:val="Light List Accent 4"/>
    <w:basedOn w:val="Standardowy"/>
    <w:uiPriority w:val="99"/>
    <w:semiHidden/>
    <w:rsid w:val="007C28CC"/>
    <w:rPr>
      <w:sz w:val="20"/>
      <w:szCs w:val="20"/>
    </w:rPr>
    <w:tblPr>
      <w:tblStyleRowBandSize w:val="1"/>
      <w:tblStyleColBandSize w:val="1"/>
      <w:tblBorders>
        <w:top w:val="single" w:sz="8" w:space="0" w:color="696EB4"/>
        <w:left w:val="single" w:sz="8" w:space="0" w:color="696EB4"/>
        <w:bottom w:val="single" w:sz="8" w:space="0" w:color="696EB4"/>
        <w:right w:val="single" w:sz="8" w:space="0" w:color="696EB4"/>
      </w:tblBorders>
    </w:tblPr>
    <w:tblStylePr w:type="firstRow">
      <w:pPr>
        <w:spacing w:before="0" w:after="0"/>
      </w:pPr>
      <w:rPr>
        <w:rFonts w:cs="Times New Roman"/>
        <w:b/>
        <w:bCs/>
        <w:color w:val="FFFFFF"/>
      </w:rPr>
      <w:tblPr/>
      <w:tcPr>
        <w:shd w:val="clear" w:color="auto" w:fill="696EB4"/>
      </w:tcPr>
    </w:tblStylePr>
    <w:tblStylePr w:type="lastRow">
      <w:pPr>
        <w:spacing w:before="0" w:after="0"/>
      </w:pPr>
      <w:rPr>
        <w:rFonts w:cs="Times New Roman"/>
        <w:b/>
        <w:bCs/>
      </w:rPr>
      <w:tblPr/>
      <w:tcPr>
        <w:tcBorders>
          <w:top w:val="double" w:sz="6" w:space="0" w:color="696EB4"/>
          <w:left w:val="single" w:sz="8" w:space="0" w:color="696EB4"/>
          <w:bottom w:val="single" w:sz="8" w:space="0" w:color="696EB4"/>
          <w:right w:val="single" w:sz="8" w:space="0" w:color="696EB4"/>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696EB4"/>
          <w:left w:val="single" w:sz="8" w:space="0" w:color="696EB4"/>
          <w:bottom w:val="single" w:sz="8" w:space="0" w:color="696EB4"/>
          <w:right w:val="single" w:sz="8" w:space="0" w:color="696EB4"/>
        </w:tcBorders>
      </w:tcPr>
    </w:tblStylePr>
    <w:tblStylePr w:type="band1Horz">
      <w:rPr>
        <w:rFonts w:cs="Times New Roman"/>
      </w:rPr>
      <w:tblPr/>
      <w:tcPr>
        <w:tcBorders>
          <w:top w:val="single" w:sz="8" w:space="0" w:color="696EB4"/>
          <w:left w:val="single" w:sz="8" w:space="0" w:color="696EB4"/>
          <w:bottom w:val="single" w:sz="8" w:space="0" w:color="696EB4"/>
          <w:right w:val="single" w:sz="8" w:space="0" w:color="696EB4"/>
        </w:tcBorders>
      </w:tcPr>
    </w:tblStylePr>
  </w:style>
  <w:style w:type="table" w:styleId="Jasnalistaakcent5">
    <w:name w:val="Light List Accent 5"/>
    <w:basedOn w:val="Standardowy"/>
    <w:uiPriority w:val="99"/>
    <w:semiHidden/>
    <w:rsid w:val="007C28CC"/>
    <w:rPr>
      <w:sz w:val="20"/>
      <w:szCs w:val="20"/>
    </w:rPr>
    <w:tblPr>
      <w:tblStyleRowBandSize w:val="1"/>
      <w:tblStyleColBandSize w:val="1"/>
      <w:tblBorders>
        <w:top w:val="single" w:sz="8" w:space="0" w:color="FA9B1E"/>
        <w:left w:val="single" w:sz="8" w:space="0" w:color="FA9B1E"/>
        <w:bottom w:val="single" w:sz="8" w:space="0" w:color="FA9B1E"/>
        <w:right w:val="single" w:sz="8" w:space="0" w:color="FA9B1E"/>
      </w:tblBorders>
    </w:tblPr>
    <w:tblStylePr w:type="firstRow">
      <w:pPr>
        <w:spacing w:before="0" w:after="0"/>
      </w:pPr>
      <w:rPr>
        <w:rFonts w:cs="Times New Roman"/>
        <w:b/>
        <w:bCs/>
        <w:color w:val="FFFFFF"/>
      </w:rPr>
      <w:tblPr/>
      <w:tcPr>
        <w:shd w:val="clear" w:color="auto" w:fill="FA9B1E"/>
      </w:tcPr>
    </w:tblStylePr>
    <w:tblStylePr w:type="lastRow">
      <w:pPr>
        <w:spacing w:before="0" w:after="0"/>
      </w:pPr>
      <w:rPr>
        <w:rFonts w:cs="Times New Roman"/>
        <w:b/>
        <w:bCs/>
      </w:rPr>
      <w:tblPr/>
      <w:tcPr>
        <w:tcBorders>
          <w:top w:val="double" w:sz="6" w:space="0" w:color="FA9B1E"/>
          <w:left w:val="single" w:sz="8" w:space="0" w:color="FA9B1E"/>
          <w:bottom w:val="single" w:sz="8" w:space="0" w:color="FA9B1E"/>
          <w:right w:val="single" w:sz="8" w:space="0" w:color="FA9B1E"/>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A9B1E"/>
          <w:left w:val="single" w:sz="8" w:space="0" w:color="FA9B1E"/>
          <w:bottom w:val="single" w:sz="8" w:space="0" w:color="FA9B1E"/>
          <w:right w:val="single" w:sz="8" w:space="0" w:color="FA9B1E"/>
        </w:tcBorders>
      </w:tcPr>
    </w:tblStylePr>
    <w:tblStylePr w:type="band1Horz">
      <w:rPr>
        <w:rFonts w:cs="Times New Roman"/>
      </w:rPr>
      <w:tblPr/>
      <w:tcPr>
        <w:tcBorders>
          <w:top w:val="single" w:sz="8" w:space="0" w:color="FA9B1E"/>
          <w:left w:val="single" w:sz="8" w:space="0" w:color="FA9B1E"/>
          <w:bottom w:val="single" w:sz="8" w:space="0" w:color="FA9B1E"/>
          <w:right w:val="single" w:sz="8" w:space="0" w:color="FA9B1E"/>
        </w:tcBorders>
      </w:tcPr>
    </w:tblStylePr>
  </w:style>
  <w:style w:type="table" w:styleId="Jasnalistaakcent6">
    <w:name w:val="Light List Accent 6"/>
    <w:basedOn w:val="Standardowy"/>
    <w:uiPriority w:val="99"/>
    <w:semiHidden/>
    <w:rsid w:val="007C28CC"/>
    <w:rPr>
      <w:sz w:val="20"/>
      <w:szCs w:val="20"/>
    </w:rPr>
    <w:tblPr>
      <w:tblStyleRowBandSize w:val="1"/>
      <w:tblStyleColBandSize w:val="1"/>
      <w:tblBorders>
        <w:top w:val="single" w:sz="8" w:space="0" w:color="28AF73"/>
        <w:left w:val="single" w:sz="8" w:space="0" w:color="28AF73"/>
        <w:bottom w:val="single" w:sz="8" w:space="0" w:color="28AF73"/>
        <w:right w:val="single" w:sz="8" w:space="0" w:color="28AF73"/>
      </w:tblBorders>
    </w:tblPr>
    <w:tblStylePr w:type="firstRow">
      <w:pPr>
        <w:spacing w:before="0" w:after="0"/>
      </w:pPr>
      <w:rPr>
        <w:rFonts w:cs="Times New Roman"/>
        <w:b/>
        <w:bCs/>
        <w:color w:val="FFFFFF"/>
      </w:rPr>
      <w:tblPr/>
      <w:tcPr>
        <w:shd w:val="clear" w:color="auto" w:fill="28AF73"/>
      </w:tcPr>
    </w:tblStylePr>
    <w:tblStylePr w:type="lastRow">
      <w:pPr>
        <w:spacing w:before="0" w:after="0"/>
      </w:pPr>
      <w:rPr>
        <w:rFonts w:cs="Times New Roman"/>
        <w:b/>
        <w:bCs/>
      </w:rPr>
      <w:tblPr/>
      <w:tcPr>
        <w:tcBorders>
          <w:top w:val="double" w:sz="6" w:space="0" w:color="28AF73"/>
          <w:left w:val="single" w:sz="8" w:space="0" w:color="28AF73"/>
          <w:bottom w:val="single" w:sz="8" w:space="0" w:color="28AF73"/>
          <w:right w:val="single" w:sz="8" w:space="0" w:color="28AF73"/>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28AF73"/>
          <w:left w:val="single" w:sz="8" w:space="0" w:color="28AF73"/>
          <w:bottom w:val="single" w:sz="8" w:space="0" w:color="28AF73"/>
          <w:right w:val="single" w:sz="8" w:space="0" w:color="28AF73"/>
        </w:tcBorders>
      </w:tcPr>
    </w:tblStylePr>
    <w:tblStylePr w:type="band1Horz">
      <w:rPr>
        <w:rFonts w:cs="Times New Roman"/>
      </w:rPr>
      <w:tblPr/>
      <w:tcPr>
        <w:tcBorders>
          <w:top w:val="single" w:sz="8" w:space="0" w:color="28AF73"/>
          <w:left w:val="single" w:sz="8" w:space="0" w:color="28AF73"/>
          <w:bottom w:val="single" w:sz="8" w:space="0" w:color="28AF73"/>
          <w:right w:val="single" w:sz="8" w:space="0" w:color="28AF73"/>
        </w:tcBorders>
      </w:tcPr>
    </w:tblStylePr>
  </w:style>
  <w:style w:type="table" w:styleId="Jasnecieniowanie">
    <w:name w:val="Light Shading"/>
    <w:basedOn w:val="Standardowy"/>
    <w:uiPriority w:val="99"/>
    <w:semiHidden/>
    <w:rsid w:val="007C28CC"/>
    <w:rPr>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styleId="Jasnecieniowanieakcent1">
    <w:name w:val="Light Shading Accent 1"/>
    <w:basedOn w:val="Standardowy"/>
    <w:uiPriority w:val="99"/>
    <w:semiHidden/>
    <w:rsid w:val="007C28CC"/>
    <w:rPr>
      <w:color w:val="9D215D"/>
      <w:sz w:val="20"/>
      <w:szCs w:val="20"/>
    </w:rPr>
    <w:tblPr>
      <w:tblStyleRowBandSize w:val="1"/>
      <w:tblStyleColBandSize w:val="1"/>
      <w:tblBorders>
        <w:top w:val="single" w:sz="8" w:space="0" w:color="D22D7D"/>
        <w:bottom w:val="single" w:sz="8" w:space="0" w:color="D22D7D"/>
      </w:tblBorders>
    </w:tblPr>
    <w:tblStylePr w:type="firstRow">
      <w:pPr>
        <w:spacing w:before="0" w:after="0"/>
      </w:pPr>
      <w:rPr>
        <w:rFonts w:cs="Times New Roman"/>
        <w:b/>
        <w:bCs/>
      </w:rPr>
      <w:tblPr/>
      <w:tcPr>
        <w:tcBorders>
          <w:top w:val="single" w:sz="8" w:space="0" w:color="D22D7D"/>
          <w:left w:val="nil"/>
          <w:bottom w:val="single" w:sz="8" w:space="0" w:color="D22D7D"/>
          <w:right w:val="nil"/>
          <w:insideH w:val="nil"/>
          <w:insideV w:val="nil"/>
        </w:tcBorders>
      </w:tcPr>
    </w:tblStylePr>
    <w:tblStylePr w:type="lastRow">
      <w:pPr>
        <w:spacing w:before="0" w:after="0"/>
      </w:pPr>
      <w:rPr>
        <w:rFonts w:cs="Times New Roman"/>
        <w:b/>
        <w:bCs/>
      </w:rPr>
      <w:tblPr/>
      <w:tcPr>
        <w:tcBorders>
          <w:top w:val="single" w:sz="8" w:space="0" w:color="D22D7D"/>
          <w:left w:val="nil"/>
          <w:bottom w:val="single" w:sz="8" w:space="0" w:color="D22D7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F4CBDE"/>
      </w:tcPr>
    </w:tblStylePr>
    <w:tblStylePr w:type="band1Horz">
      <w:rPr>
        <w:rFonts w:cs="Times New Roman"/>
      </w:rPr>
      <w:tblPr/>
      <w:tcPr>
        <w:tcBorders>
          <w:left w:val="nil"/>
          <w:right w:val="nil"/>
          <w:insideH w:val="nil"/>
          <w:insideV w:val="nil"/>
        </w:tcBorders>
        <w:shd w:val="clear" w:color="auto" w:fill="F4CBDE"/>
      </w:tcPr>
    </w:tblStylePr>
  </w:style>
  <w:style w:type="table" w:styleId="Jasnecieniowanieakcent2">
    <w:name w:val="Light Shading Accent 2"/>
    <w:basedOn w:val="Standardowy"/>
    <w:uiPriority w:val="99"/>
    <w:semiHidden/>
    <w:rsid w:val="007C28CC"/>
    <w:rPr>
      <w:color w:val="1881AE"/>
      <w:sz w:val="20"/>
      <w:szCs w:val="20"/>
    </w:rPr>
    <w:tblPr>
      <w:tblStyleRowBandSize w:val="1"/>
      <w:tblStyleColBandSize w:val="1"/>
      <w:tblBorders>
        <w:top w:val="single" w:sz="8" w:space="0" w:color="28AAE1"/>
        <w:bottom w:val="single" w:sz="8" w:space="0" w:color="28AAE1"/>
      </w:tblBorders>
    </w:tblPr>
    <w:tblStylePr w:type="firstRow">
      <w:pPr>
        <w:spacing w:before="0" w:after="0"/>
      </w:pPr>
      <w:rPr>
        <w:rFonts w:cs="Times New Roman"/>
        <w:b/>
        <w:bCs/>
      </w:rPr>
      <w:tblPr/>
      <w:tcPr>
        <w:tcBorders>
          <w:top w:val="single" w:sz="8" w:space="0" w:color="28AAE1"/>
          <w:left w:val="nil"/>
          <w:bottom w:val="single" w:sz="8" w:space="0" w:color="28AAE1"/>
          <w:right w:val="nil"/>
          <w:insideH w:val="nil"/>
          <w:insideV w:val="nil"/>
        </w:tcBorders>
      </w:tcPr>
    </w:tblStylePr>
    <w:tblStylePr w:type="lastRow">
      <w:pPr>
        <w:spacing w:before="0" w:after="0"/>
      </w:pPr>
      <w:rPr>
        <w:rFonts w:cs="Times New Roman"/>
        <w:b/>
        <w:bCs/>
      </w:rPr>
      <w:tblPr/>
      <w:tcPr>
        <w:tcBorders>
          <w:top w:val="single" w:sz="8" w:space="0" w:color="28AAE1"/>
          <w:left w:val="nil"/>
          <w:bottom w:val="single" w:sz="8" w:space="0" w:color="28AAE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9E9F7"/>
      </w:tcPr>
    </w:tblStylePr>
    <w:tblStylePr w:type="band1Horz">
      <w:rPr>
        <w:rFonts w:cs="Times New Roman"/>
      </w:rPr>
      <w:tblPr/>
      <w:tcPr>
        <w:tcBorders>
          <w:left w:val="nil"/>
          <w:right w:val="nil"/>
          <w:insideH w:val="nil"/>
          <w:insideV w:val="nil"/>
        </w:tcBorders>
        <w:shd w:val="clear" w:color="auto" w:fill="C9E9F7"/>
      </w:tcPr>
    </w:tblStylePr>
  </w:style>
  <w:style w:type="table" w:styleId="Jasnecieniowanieakcent3">
    <w:name w:val="Light Shading Accent 3"/>
    <w:basedOn w:val="Standardowy"/>
    <w:uiPriority w:val="99"/>
    <w:semiHidden/>
    <w:rsid w:val="007C28CC"/>
    <w:rPr>
      <w:color w:val="C0330D"/>
      <w:sz w:val="20"/>
      <w:szCs w:val="20"/>
    </w:rPr>
    <w:tblPr>
      <w:tblStyleRowBandSize w:val="1"/>
      <w:tblStyleColBandSize w:val="1"/>
      <w:tblBorders>
        <w:top w:val="single" w:sz="8" w:space="0" w:color="F05023"/>
        <w:bottom w:val="single" w:sz="8" w:space="0" w:color="F05023"/>
      </w:tblBorders>
    </w:tblPr>
    <w:tblStylePr w:type="firstRow">
      <w:pPr>
        <w:spacing w:before="0" w:after="0"/>
      </w:pPr>
      <w:rPr>
        <w:rFonts w:cs="Times New Roman"/>
        <w:b/>
        <w:bCs/>
      </w:rPr>
      <w:tblPr/>
      <w:tcPr>
        <w:tcBorders>
          <w:top w:val="single" w:sz="8" w:space="0" w:color="F05023"/>
          <w:left w:val="nil"/>
          <w:bottom w:val="single" w:sz="8" w:space="0" w:color="F05023"/>
          <w:right w:val="nil"/>
          <w:insideH w:val="nil"/>
          <w:insideV w:val="nil"/>
        </w:tcBorders>
      </w:tcPr>
    </w:tblStylePr>
    <w:tblStylePr w:type="lastRow">
      <w:pPr>
        <w:spacing w:before="0" w:after="0"/>
      </w:pPr>
      <w:rPr>
        <w:rFonts w:cs="Times New Roman"/>
        <w:b/>
        <w:bCs/>
      </w:rPr>
      <w:tblPr/>
      <w:tcPr>
        <w:tcBorders>
          <w:top w:val="single" w:sz="8" w:space="0" w:color="F05023"/>
          <w:left w:val="nil"/>
          <w:bottom w:val="single" w:sz="8" w:space="0" w:color="F05023"/>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FBD3C8"/>
      </w:tcPr>
    </w:tblStylePr>
    <w:tblStylePr w:type="band1Horz">
      <w:rPr>
        <w:rFonts w:cs="Times New Roman"/>
      </w:rPr>
      <w:tblPr/>
      <w:tcPr>
        <w:tcBorders>
          <w:left w:val="nil"/>
          <w:right w:val="nil"/>
          <w:insideH w:val="nil"/>
          <w:insideV w:val="nil"/>
        </w:tcBorders>
        <w:shd w:val="clear" w:color="auto" w:fill="FBD3C8"/>
      </w:tcPr>
    </w:tblStylePr>
  </w:style>
  <w:style w:type="table" w:styleId="Jasnecieniowanieakcent4">
    <w:name w:val="Light Shading Accent 4"/>
    <w:basedOn w:val="Standardowy"/>
    <w:uiPriority w:val="99"/>
    <w:semiHidden/>
    <w:rsid w:val="007C28CC"/>
    <w:rPr>
      <w:color w:val="474B8E"/>
      <w:sz w:val="20"/>
      <w:szCs w:val="20"/>
    </w:rPr>
    <w:tblPr>
      <w:tblStyleRowBandSize w:val="1"/>
      <w:tblStyleColBandSize w:val="1"/>
      <w:tblBorders>
        <w:top w:val="single" w:sz="8" w:space="0" w:color="696EB4"/>
        <w:bottom w:val="single" w:sz="8" w:space="0" w:color="696EB4"/>
      </w:tblBorders>
    </w:tblPr>
    <w:tblStylePr w:type="firstRow">
      <w:pPr>
        <w:spacing w:before="0" w:after="0"/>
      </w:pPr>
      <w:rPr>
        <w:rFonts w:cs="Times New Roman"/>
        <w:b/>
        <w:bCs/>
      </w:rPr>
      <w:tblPr/>
      <w:tcPr>
        <w:tcBorders>
          <w:top w:val="single" w:sz="8" w:space="0" w:color="696EB4"/>
          <w:left w:val="nil"/>
          <w:bottom w:val="single" w:sz="8" w:space="0" w:color="696EB4"/>
          <w:right w:val="nil"/>
          <w:insideH w:val="nil"/>
          <w:insideV w:val="nil"/>
        </w:tcBorders>
      </w:tcPr>
    </w:tblStylePr>
    <w:tblStylePr w:type="lastRow">
      <w:pPr>
        <w:spacing w:before="0" w:after="0"/>
      </w:pPr>
      <w:rPr>
        <w:rFonts w:cs="Times New Roman"/>
        <w:b/>
        <w:bCs/>
      </w:rPr>
      <w:tblPr/>
      <w:tcPr>
        <w:tcBorders>
          <w:top w:val="single" w:sz="8" w:space="0" w:color="696EB4"/>
          <w:left w:val="nil"/>
          <w:bottom w:val="single" w:sz="8" w:space="0" w:color="696EB4"/>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9DBEC"/>
      </w:tcPr>
    </w:tblStylePr>
    <w:tblStylePr w:type="band1Horz">
      <w:rPr>
        <w:rFonts w:cs="Times New Roman"/>
      </w:rPr>
      <w:tblPr/>
      <w:tcPr>
        <w:tcBorders>
          <w:left w:val="nil"/>
          <w:right w:val="nil"/>
          <w:insideH w:val="nil"/>
          <w:insideV w:val="nil"/>
        </w:tcBorders>
        <w:shd w:val="clear" w:color="auto" w:fill="D9DBEC"/>
      </w:tcPr>
    </w:tblStylePr>
  </w:style>
  <w:style w:type="table" w:styleId="Jasnecieniowanieakcent5">
    <w:name w:val="Light Shading Accent 5"/>
    <w:basedOn w:val="Standardowy"/>
    <w:uiPriority w:val="99"/>
    <w:semiHidden/>
    <w:rsid w:val="007C28CC"/>
    <w:rPr>
      <w:color w:val="CD7504"/>
      <w:sz w:val="20"/>
      <w:szCs w:val="20"/>
    </w:rPr>
    <w:tblPr>
      <w:tblStyleRowBandSize w:val="1"/>
      <w:tblStyleColBandSize w:val="1"/>
      <w:tblBorders>
        <w:top w:val="single" w:sz="8" w:space="0" w:color="FA9B1E"/>
        <w:bottom w:val="single" w:sz="8" w:space="0" w:color="FA9B1E"/>
      </w:tblBorders>
    </w:tblPr>
    <w:tblStylePr w:type="firstRow">
      <w:pPr>
        <w:spacing w:before="0" w:after="0"/>
      </w:pPr>
      <w:rPr>
        <w:rFonts w:cs="Times New Roman"/>
        <w:b/>
        <w:bCs/>
      </w:rPr>
      <w:tblPr/>
      <w:tcPr>
        <w:tcBorders>
          <w:top w:val="single" w:sz="8" w:space="0" w:color="FA9B1E"/>
          <w:left w:val="nil"/>
          <w:bottom w:val="single" w:sz="8" w:space="0" w:color="FA9B1E"/>
          <w:right w:val="nil"/>
          <w:insideH w:val="nil"/>
          <w:insideV w:val="nil"/>
        </w:tcBorders>
      </w:tcPr>
    </w:tblStylePr>
    <w:tblStylePr w:type="lastRow">
      <w:pPr>
        <w:spacing w:before="0" w:after="0"/>
      </w:pPr>
      <w:rPr>
        <w:rFonts w:cs="Times New Roman"/>
        <w:b/>
        <w:bCs/>
      </w:rPr>
      <w:tblPr/>
      <w:tcPr>
        <w:tcBorders>
          <w:top w:val="single" w:sz="8" w:space="0" w:color="FA9B1E"/>
          <w:left w:val="nil"/>
          <w:bottom w:val="single" w:sz="8" w:space="0" w:color="FA9B1E"/>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FDE6C7"/>
      </w:tcPr>
    </w:tblStylePr>
    <w:tblStylePr w:type="band1Horz">
      <w:rPr>
        <w:rFonts w:cs="Times New Roman"/>
      </w:rPr>
      <w:tblPr/>
      <w:tcPr>
        <w:tcBorders>
          <w:left w:val="nil"/>
          <w:right w:val="nil"/>
          <w:insideH w:val="nil"/>
          <w:insideV w:val="nil"/>
        </w:tcBorders>
        <w:shd w:val="clear" w:color="auto" w:fill="FDE6C7"/>
      </w:tcPr>
    </w:tblStylePr>
  </w:style>
  <w:style w:type="table" w:styleId="Jasnecieniowanieakcent6">
    <w:name w:val="Light Shading Accent 6"/>
    <w:basedOn w:val="Standardowy"/>
    <w:uiPriority w:val="99"/>
    <w:semiHidden/>
    <w:rsid w:val="007C28CC"/>
    <w:rPr>
      <w:color w:val="1E8355"/>
      <w:sz w:val="20"/>
      <w:szCs w:val="20"/>
    </w:rPr>
    <w:tblPr>
      <w:tblStyleRowBandSize w:val="1"/>
      <w:tblStyleColBandSize w:val="1"/>
      <w:tblBorders>
        <w:top w:val="single" w:sz="8" w:space="0" w:color="28AF73"/>
        <w:bottom w:val="single" w:sz="8" w:space="0" w:color="28AF73"/>
      </w:tblBorders>
    </w:tblPr>
    <w:tblStylePr w:type="firstRow">
      <w:pPr>
        <w:spacing w:before="0" w:after="0"/>
      </w:pPr>
      <w:rPr>
        <w:rFonts w:cs="Times New Roman"/>
        <w:b/>
        <w:bCs/>
      </w:rPr>
      <w:tblPr/>
      <w:tcPr>
        <w:tcBorders>
          <w:top w:val="single" w:sz="8" w:space="0" w:color="28AF73"/>
          <w:left w:val="nil"/>
          <w:bottom w:val="single" w:sz="8" w:space="0" w:color="28AF73"/>
          <w:right w:val="nil"/>
          <w:insideH w:val="nil"/>
          <w:insideV w:val="nil"/>
        </w:tcBorders>
      </w:tcPr>
    </w:tblStylePr>
    <w:tblStylePr w:type="lastRow">
      <w:pPr>
        <w:spacing w:before="0" w:after="0"/>
      </w:pPr>
      <w:rPr>
        <w:rFonts w:cs="Times New Roman"/>
        <w:b/>
        <w:bCs/>
      </w:rPr>
      <w:tblPr/>
      <w:tcPr>
        <w:tcBorders>
          <w:top w:val="single" w:sz="8" w:space="0" w:color="28AF73"/>
          <w:left w:val="nil"/>
          <w:bottom w:val="single" w:sz="8" w:space="0" w:color="28AF73"/>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3F1DC"/>
      </w:tcPr>
    </w:tblStylePr>
    <w:tblStylePr w:type="band1Horz">
      <w:rPr>
        <w:rFonts w:cs="Times New Roman"/>
      </w:rPr>
      <w:tblPr/>
      <w:tcPr>
        <w:tcBorders>
          <w:left w:val="nil"/>
          <w:right w:val="nil"/>
          <w:insideH w:val="nil"/>
          <w:insideV w:val="nil"/>
        </w:tcBorders>
        <w:shd w:val="clear" w:color="auto" w:fill="C3F1DC"/>
      </w:tcPr>
    </w:tblStylePr>
  </w:style>
  <w:style w:type="character" w:styleId="Numerwiersza">
    <w:name w:val="line number"/>
    <w:basedOn w:val="Domylnaczcionkaakapitu"/>
    <w:uiPriority w:val="99"/>
    <w:semiHidden/>
    <w:rsid w:val="007C28CC"/>
    <w:rPr>
      <w:rFonts w:cs="Times New Roman"/>
      <w:lang w:val="pl-PL"/>
    </w:rPr>
  </w:style>
  <w:style w:type="paragraph" w:styleId="Lista3">
    <w:name w:val="List 3"/>
    <w:basedOn w:val="Normalny"/>
    <w:uiPriority w:val="99"/>
    <w:semiHidden/>
    <w:rsid w:val="007C28CC"/>
    <w:pPr>
      <w:ind w:left="849" w:hanging="283"/>
      <w:contextualSpacing/>
    </w:pPr>
  </w:style>
  <w:style w:type="paragraph" w:styleId="Lista4">
    <w:name w:val="List 4"/>
    <w:basedOn w:val="Normalny"/>
    <w:uiPriority w:val="99"/>
    <w:semiHidden/>
    <w:rsid w:val="007C28CC"/>
    <w:pPr>
      <w:ind w:left="1132" w:hanging="283"/>
      <w:contextualSpacing/>
    </w:pPr>
  </w:style>
  <w:style w:type="paragraph" w:styleId="Lista5">
    <w:name w:val="List 5"/>
    <w:basedOn w:val="Normalny"/>
    <w:uiPriority w:val="99"/>
    <w:semiHidden/>
    <w:rsid w:val="007C28CC"/>
    <w:pPr>
      <w:ind w:left="1415" w:hanging="283"/>
      <w:contextualSpacing/>
    </w:pPr>
  </w:style>
  <w:style w:type="paragraph" w:styleId="Listapunktowana">
    <w:name w:val="List Bullet"/>
    <w:basedOn w:val="Normalny"/>
    <w:uiPriority w:val="99"/>
    <w:semiHidden/>
    <w:rsid w:val="007C28CC"/>
    <w:pPr>
      <w:numPr>
        <w:numId w:val="5"/>
      </w:numPr>
      <w:tabs>
        <w:tab w:val="clear" w:pos="1134"/>
        <w:tab w:val="num" w:pos="360"/>
      </w:tabs>
      <w:ind w:left="360" w:hanging="360"/>
      <w:contextualSpacing/>
    </w:pPr>
  </w:style>
  <w:style w:type="paragraph" w:styleId="Listapunktowana2">
    <w:name w:val="List Bullet 2"/>
    <w:basedOn w:val="Normalny"/>
    <w:uiPriority w:val="99"/>
    <w:semiHidden/>
    <w:rsid w:val="007C28CC"/>
    <w:pPr>
      <w:tabs>
        <w:tab w:val="num" w:pos="643"/>
      </w:tabs>
      <w:ind w:left="643" w:hanging="360"/>
      <w:contextualSpacing/>
    </w:pPr>
  </w:style>
  <w:style w:type="paragraph" w:styleId="Listapunktowana3">
    <w:name w:val="List Bullet 3"/>
    <w:basedOn w:val="Normalny"/>
    <w:uiPriority w:val="99"/>
    <w:semiHidden/>
    <w:rsid w:val="007C28CC"/>
    <w:pPr>
      <w:numPr>
        <w:numId w:val="7"/>
      </w:numPr>
      <w:tabs>
        <w:tab w:val="clear" w:pos="360"/>
        <w:tab w:val="num" w:pos="926"/>
      </w:tabs>
      <w:ind w:left="926"/>
      <w:contextualSpacing/>
    </w:pPr>
  </w:style>
  <w:style w:type="paragraph" w:styleId="Listapunktowana4">
    <w:name w:val="List Bullet 4"/>
    <w:basedOn w:val="Normalny"/>
    <w:uiPriority w:val="99"/>
    <w:semiHidden/>
    <w:rsid w:val="007C28CC"/>
    <w:pPr>
      <w:numPr>
        <w:numId w:val="8"/>
      </w:numPr>
      <w:tabs>
        <w:tab w:val="num" w:pos="1209"/>
      </w:tabs>
      <w:ind w:left="1209"/>
      <w:contextualSpacing/>
    </w:pPr>
  </w:style>
  <w:style w:type="paragraph" w:styleId="Listapunktowana5">
    <w:name w:val="List Bullet 5"/>
    <w:basedOn w:val="Normalny"/>
    <w:uiPriority w:val="99"/>
    <w:semiHidden/>
    <w:rsid w:val="007C28CC"/>
    <w:pPr>
      <w:numPr>
        <w:numId w:val="9"/>
      </w:numPr>
      <w:contextualSpacing/>
    </w:pPr>
  </w:style>
  <w:style w:type="paragraph" w:styleId="Lista-kontynuacja">
    <w:name w:val="List Continue"/>
    <w:basedOn w:val="Normalny"/>
    <w:uiPriority w:val="99"/>
    <w:semiHidden/>
    <w:rsid w:val="007C28CC"/>
    <w:pPr>
      <w:spacing w:after="120"/>
      <w:ind w:left="283"/>
      <w:contextualSpacing/>
    </w:pPr>
  </w:style>
  <w:style w:type="paragraph" w:styleId="Lista-kontynuacja2">
    <w:name w:val="List Continue 2"/>
    <w:basedOn w:val="Normalny"/>
    <w:uiPriority w:val="99"/>
    <w:semiHidden/>
    <w:rsid w:val="007C28CC"/>
    <w:pPr>
      <w:spacing w:after="120"/>
      <w:ind w:left="566"/>
      <w:contextualSpacing/>
    </w:pPr>
  </w:style>
  <w:style w:type="paragraph" w:styleId="Lista-kontynuacja3">
    <w:name w:val="List Continue 3"/>
    <w:basedOn w:val="Normalny"/>
    <w:uiPriority w:val="99"/>
    <w:semiHidden/>
    <w:rsid w:val="007C28CC"/>
    <w:pPr>
      <w:spacing w:after="120"/>
      <w:ind w:left="849"/>
      <w:contextualSpacing/>
    </w:pPr>
  </w:style>
  <w:style w:type="paragraph" w:styleId="Lista-kontynuacja4">
    <w:name w:val="List Continue 4"/>
    <w:basedOn w:val="Normalny"/>
    <w:uiPriority w:val="99"/>
    <w:semiHidden/>
    <w:rsid w:val="007C28CC"/>
    <w:pPr>
      <w:spacing w:after="120"/>
      <w:ind w:left="1132"/>
      <w:contextualSpacing/>
    </w:pPr>
  </w:style>
  <w:style w:type="paragraph" w:styleId="Lista-kontynuacja5">
    <w:name w:val="List Continue 5"/>
    <w:basedOn w:val="Normalny"/>
    <w:uiPriority w:val="99"/>
    <w:semiHidden/>
    <w:rsid w:val="007C28CC"/>
    <w:pPr>
      <w:spacing w:after="120"/>
      <w:ind w:left="1415"/>
      <w:contextualSpacing/>
    </w:pPr>
  </w:style>
  <w:style w:type="paragraph" w:styleId="Listanumerowana2">
    <w:name w:val="List Number 2"/>
    <w:basedOn w:val="Normalny"/>
    <w:uiPriority w:val="99"/>
    <w:semiHidden/>
    <w:rsid w:val="007C28CC"/>
    <w:pPr>
      <w:tabs>
        <w:tab w:val="num" w:pos="643"/>
      </w:tabs>
      <w:ind w:left="643" w:hanging="360"/>
      <w:contextualSpacing/>
    </w:pPr>
  </w:style>
  <w:style w:type="paragraph" w:styleId="Listanumerowana3">
    <w:name w:val="List Number 3"/>
    <w:basedOn w:val="Normalny"/>
    <w:uiPriority w:val="99"/>
    <w:semiHidden/>
    <w:rsid w:val="007C28CC"/>
    <w:pPr>
      <w:numPr>
        <w:numId w:val="11"/>
      </w:numPr>
      <w:tabs>
        <w:tab w:val="num" w:pos="926"/>
      </w:tabs>
      <w:ind w:left="926"/>
      <w:contextualSpacing/>
    </w:pPr>
  </w:style>
  <w:style w:type="paragraph" w:styleId="Listanumerowana4">
    <w:name w:val="List Number 4"/>
    <w:basedOn w:val="Normalny"/>
    <w:uiPriority w:val="99"/>
    <w:semiHidden/>
    <w:rsid w:val="007C28CC"/>
    <w:pPr>
      <w:tabs>
        <w:tab w:val="num" w:pos="1209"/>
      </w:tabs>
      <w:ind w:left="1209" w:hanging="360"/>
      <w:contextualSpacing/>
    </w:pPr>
  </w:style>
  <w:style w:type="paragraph" w:styleId="Listanumerowana5">
    <w:name w:val="List Number 5"/>
    <w:basedOn w:val="Normalny"/>
    <w:uiPriority w:val="99"/>
    <w:semiHidden/>
    <w:rsid w:val="007C28CC"/>
    <w:pPr>
      <w:tabs>
        <w:tab w:val="num" w:pos="1492"/>
      </w:tabs>
      <w:ind w:left="1492" w:hanging="360"/>
      <w:contextualSpacing/>
    </w:pPr>
  </w:style>
  <w:style w:type="table" w:customStyle="1" w:styleId="Tabelalisty1jasna1">
    <w:name w:val="Tabela listy 1 — jasna1"/>
    <w:uiPriority w:val="99"/>
    <w:rsid w:val="007C28CC"/>
    <w:rPr>
      <w:sz w:val="20"/>
      <w:szCs w:val="20"/>
      <w:lang w:val="en-GB" w:eastAsia="en-GB"/>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bottom w:val="single" w:sz="4" w:space="0" w:color="666666"/>
        </w:tcBorders>
      </w:tcPr>
    </w:tblStylePr>
    <w:tblStylePr w:type="lastRow">
      <w:rPr>
        <w:rFonts w:cs="Times New Roman"/>
        <w:b/>
        <w:bCs/>
      </w:rPr>
      <w:tblPr/>
      <w:tcPr>
        <w:tcBorders>
          <w:top w:val="single" w:sz="4" w:space="0" w:color="66666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table" w:customStyle="1" w:styleId="Tabelalisty1jasnaakcent11">
    <w:name w:val="Tabela listy 1 — jasna — akcent 11"/>
    <w:uiPriority w:val="99"/>
    <w:rsid w:val="007C28CC"/>
    <w:rPr>
      <w:sz w:val="20"/>
      <w:szCs w:val="20"/>
      <w:lang w:val="en-GB" w:eastAsia="en-GB"/>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bottom w:val="single" w:sz="4" w:space="0" w:color="E481B0"/>
        </w:tcBorders>
      </w:tcPr>
    </w:tblStylePr>
    <w:tblStylePr w:type="lastRow">
      <w:rPr>
        <w:rFonts w:cs="Times New Roman"/>
        <w:b/>
        <w:bCs/>
      </w:rPr>
      <w:tblPr/>
      <w:tcPr>
        <w:tcBorders>
          <w:top w:val="single" w:sz="4" w:space="0" w:color="E481B0"/>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6D5E4"/>
      </w:tcPr>
    </w:tblStylePr>
    <w:tblStylePr w:type="band1Horz">
      <w:rPr>
        <w:rFonts w:cs="Times New Roman"/>
      </w:rPr>
      <w:tblPr/>
      <w:tcPr>
        <w:shd w:val="clear" w:color="auto" w:fill="F6D5E4"/>
      </w:tcPr>
    </w:tblStylePr>
  </w:style>
  <w:style w:type="table" w:customStyle="1" w:styleId="Tabelalisty1jasnaakcent21">
    <w:name w:val="Tabela listy 1 — jasna — akcent 21"/>
    <w:uiPriority w:val="99"/>
    <w:rsid w:val="007C28CC"/>
    <w:rPr>
      <w:sz w:val="20"/>
      <w:szCs w:val="20"/>
      <w:lang w:val="en-GB" w:eastAsia="en-GB"/>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bottom w:val="single" w:sz="4" w:space="0" w:color="7ECBED"/>
        </w:tcBorders>
      </w:tcPr>
    </w:tblStylePr>
    <w:tblStylePr w:type="lastRow">
      <w:rPr>
        <w:rFonts w:cs="Times New Roman"/>
        <w:b/>
        <w:bCs/>
      </w:rPr>
      <w:tblPr/>
      <w:tcPr>
        <w:tcBorders>
          <w:top w:val="single" w:sz="4" w:space="0" w:color="7ECBE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4EDF9"/>
      </w:tcPr>
    </w:tblStylePr>
    <w:tblStylePr w:type="band1Horz">
      <w:rPr>
        <w:rFonts w:cs="Times New Roman"/>
      </w:rPr>
      <w:tblPr/>
      <w:tcPr>
        <w:shd w:val="clear" w:color="auto" w:fill="D4EDF9"/>
      </w:tcPr>
    </w:tblStylePr>
  </w:style>
  <w:style w:type="table" w:customStyle="1" w:styleId="Tabelalisty1jasnaakcent31">
    <w:name w:val="Tabela listy 1 — jasna — akcent 31"/>
    <w:uiPriority w:val="99"/>
    <w:rsid w:val="007C28CC"/>
    <w:rPr>
      <w:sz w:val="20"/>
      <w:szCs w:val="20"/>
      <w:lang w:val="en-GB" w:eastAsia="en-GB"/>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bottom w:val="single" w:sz="4" w:space="0" w:color="F6957B"/>
        </w:tcBorders>
      </w:tcPr>
    </w:tblStylePr>
    <w:tblStylePr w:type="lastRow">
      <w:rPr>
        <w:rFonts w:cs="Times New Roman"/>
        <w:b/>
        <w:bCs/>
      </w:rPr>
      <w:tblPr/>
      <w:tcPr>
        <w:tcBorders>
          <w:top w:val="single" w:sz="4" w:space="0" w:color="F6957B"/>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CDBD3"/>
      </w:tcPr>
    </w:tblStylePr>
    <w:tblStylePr w:type="band1Horz">
      <w:rPr>
        <w:rFonts w:cs="Times New Roman"/>
      </w:rPr>
      <w:tblPr/>
      <w:tcPr>
        <w:shd w:val="clear" w:color="auto" w:fill="FCDBD3"/>
      </w:tcPr>
    </w:tblStylePr>
  </w:style>
  <w:style w:type="table" w:customStyle="1" w:styleId="Tabelalisty1jasnaakcent41">
    <w:name w:val="Tabela listy 1 — jasna — akcent 41"/>
    <w:uiPriority w:val="99"/>
    <w:rsid w:val="007C28CC"/>
    <w:rPr>
      <w:sz w:val="20"/>
      <w:szCs w:val="20"/>
      <w:lang w:val="en-GB" w:eastAsia="en-GB"/>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bottom w:val="single" w:sz="4" w:space="0" w:color="A5A8D2"/>
        </w:tcBorders>
      </w:tcPr>
    </w:tblStylePr>
    <w:tblStylePr w:type="lastRow">
      <w:rPr>
        <w:rFonts w:cs="Times New Roman"/>
        <w:b/>
        <w:bCs/>
      </w:rPr>
      <w:tblPr/>
      <w:tcPr>
        <w:tcBorders>
          <w:top w:val="single" w:sz="4" w:space="0" w:color="A5A8D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1E2F0"/>
      </w:tcPr>
    </w:tblStylePr>
    <w:tblStylePr w:type="band1Horz">
      <w:rPr>
        <w:rFonts w:cs="Times New Roman"/>
      </w:rPr>
      <w:tblPr/>
      <w:tcPr>
        <w:shd w:val="clear" w:color="auto" w:fill="E1E2F0"/>
      </w:tcPr>
    </w:tblStylePr>
  </w:style>
  <w:style w:type="table" w:customStyle="1" w:styleId="Tabelalisty1jasnaakcent51">
    <w:name w:val="Tabela listy 1 — jasna — akcent 51"/>
    <w:uiPriority w:val="99"/>
    <w:rsid w:val="007C28CC"/>
    <w:rPr>
      <w:sz w:val="20"/>
      <w:szCs w:val="20"/>
      <w:lang w:val="en-GB" w:eastAsia="en-GB"/>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bottom w:val="single" w:sz="4" w:space="0" w:color="FCC278"/>
        </w:tcBorders>
      </w:tcPr>
    </w:tblStylePr>
    <w:tblStylePr w:type="lastRow">
      <w:rPr>
        <w:rFonts w:cs="Times New Roman"/>
        <w:b/>
        <w:bCs/>
      </w:rPr>
      <w:tblPr/>
      <w:tcPr>
        <w:tcBorders>
          <w:top w:val="single" w:sz="4" w:space="0" w:color="FCC278"/>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EEAD2"/>
      </w:tcPr>
    </w:tblStylePr>
    <w:tblStylePr w:type="band1Horz">
      <w:rPr>
        <w:rFonts w:cs="Times New Roman"/>
      </w:rPr>
      <w:tblPr/>
      <w:tcPr>
        <w:shd w:val="clear" w:color="auto" w:fill="FEEAD2"/>
      </w:tcPr>
    </w:tblStylePr>
  </w:style>
  <w:style w:type="table" w:customStyle="1" w:styleId="Tabelalisty1jasnaakcent61">
    <w:name w:val="Tabela listy 1 — jasna — akcent 61"/>
    <w:uiPriority w:val="99"/>
    <w:rsid w:val="007C28CC"/>
    <w:rPr>
      <w:sz w:val="20"/>
      <w:szCs w:val="20"/>
      <w:lang w:val="en-GB" w:eastAsia="en-GB"/>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bottom w:val="single" w:sz="4" w:space="0" w:color="6EDEAC"/>
        </w:tcBorders>
      </w:tcPr>
    </w:tblStylePr>
    <w:tblStylePr w:type="lastRow">
      <w:rPr>
        <w:rFonts w:cs="Times New Roman"/>
        <w:b/>
        <w:bCs/>
      </w:rPr>
      <w:tblPr/>
      <w:tcPr>
        <w:tcBorders>
          <w:top w:val="single" w:sz="4" w:space="0" w:color="6EDEAC"/>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EF4E3"/>
      </w:tcPr>
    </w:tblStylePr>
    <w:tblStylePr w:type="band1Horz">
      <w:rPr>
        <w:rFonts w:cs="Times New Roman"/>
      </w:rPr>
      <w:tblPr/>
      <w:tcPr>
        <w:shd w:val="clear" w:color="auto" w:fill="CEF4E3"/>
      </w:tcPr>
    </w:tblStylePr>
  </w:style>
  <w:style w:type="table" w:customStyle="1" w:styleId="Tabelalisty21">
    <w:name w:val="Tabela listy 21"/>
    <w:uiPriority w:val="99"/>
    <w:rsid w:val="007C28CC"/>
    <w:rPr>
      <w:sz w:val="20"/>
      <w:szCs w:val="20"/>
      <w:lang w:val="en-GB" w:eastAsia="en-GB"/>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table" w:customStyle="1" w:styleId="Tabelalisty2akcent11">
    <w:name w:val="Tabela listy 2 — akcent 11"/>
    <w:uiPriority w:val="99"/>
    <w:rsid w:val="007C28CC"/>
    <w:rPr>
      <w:sz w:val="20"/>
      <w:szCs w:val="20"/>
      <w:lang w:val="en-GB" w:eastAsia="en-GB"/>
    </w:rPr>
    <w:tblPr>
      <w:tblStyleRowBandSize w:val="1"/>
      <w:tblStyleColBandSize w:val="1"/>
      <w:tblInd w:w="0" w:type="dxa"/>
      <w:tblBorders>
        <w:top w:val="single" w:sz="4" w:space="0" w:color="E481B0"/>
        <w:bottom w:val="single" w:sz="4" w:space="0" w:color="E481B0"/>
        <w:insideH w:val="single" w:sz="4" w:space="0" w:color="E481B0"/>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6D5E4"/>
      </w:tcPr>
    </w:tblStylePr>
    <w:tblStylePr w:type="band1Horz">
      <w:rPr>
        <w:rFonts w:cs="Times New Roman"/>
      </w:rPr>
      <w:tblPr/>
      <w:tcPr>
        <w:shd w:val="clear" w:color="auto" w:fill="F6D5E4"/>
      </w:tcPr>
    </w:tblStylePr>
  </w:style>
  <w:style w:type="table" w:customStyle="1" w:styleId="Tabelalisty2akcent21">
    <w:name w:val="Tabela listy 2 — akcent 21"/>
    <w:uiPriority w:val="99"/>
    <w:rsid w:val="007C28CC"/>
    <w:rPr>
      <w:sz w:val="20"/>
      <w:szCs w:val="20"/>
      <w:lang w:val="en-GB" w:eastAsia="en-GB"/>
    </w:rPr>
    <w:tblPr>
      <w:tblStyleRowBandSize w:val="1"/>
      <w:tblStyleColBandSize w:val="1"/>
      <w:tblInd w:w="0" w:type="dxa"/>
      <w:tblBorders>
        <w:top w:val="single" w:sz="4" w:space="0" w:color="7ECBED"/>
        <w:bottom w:val="single" w:sz="4" w:space="0" w:color="7ECBED"/>
        <w:insideH w:val="single" w:sz="4" w:space="0" w:color="7ECBED"/>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4EDF9"/>
      </w:tcPr>
    </w:tblStylePr>
    <w:tblStylePr w:type="band1Horz">
      <w:rPr>
        <w:rFonts w:cs="Times New Roman"/>
      </w:rPr>
      <w:tblPr/>
      <w:tcPr>
        <w:shd w:val="clear" w:color="auto" w:fill="D4EDF9"/>
      </w:tcPr>
    </w:tblStylePr>
  </w:style>
  <w:style w:type="table" w:customStyle="1" w:styleId="Tabelalisty2akcent31">
    <w:name w:val="Tabela listy 2 — akcent 31"/>
    <w:uiPriority w:val="99"/>
    <w:rsid w:val="007C28CC"/>
    <w:rPr>
      <w:sz w:val="20"/>
      <w:szCs w:val="20"/>
      <w:lang w:val="en-GB" w:eastAsia="en-GB"/>
    </w:rPr>
    <w:tblPr>
      <w:tblStyleRowBandSize w:val="1"/>
      <w:tblStyleColBandSize w:val="1"/>
      <w:tblInd w:w="0" w:type="dxa"/>
      <w:tblBorders>
        <w:top w:val="single" w:sz="4" w:space="0" w:color="F6957B"/>
        <w:bottom w:val="single" w:sz="4" w:space="0" w:color="F6957B"/>
        <w:insideH w:val="single" w:sz="4" w:space="0" w:color="F6957B"/>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CDBD3"/>
      </w:tcPr>
    </w:tblStylePr>
    <w:tblStylePr w:type="band1Horz">
      <w:rPr>
        <w:rFonts w:cs="Times New Roman"/>
      </w:rPr>
      <w:tblPr/>
      <w:tcPr>
        <w:shd w:val="clear" w:color="auto" w:fill="FCDBD3"/>
      </w:tcPr>
    </w:tblStylePr>
  </w:style>
  <w:style w:type="table" w:customStyle="1" w:styleId="Tabelalisty2akcent41">
    <w:name w:val="Tabela listy 2 — akcent 41"/>
    <w:uiPriority w:val="99"/>
    <w:rsid w:val="007C28CC"/>
    <w:rPr>
      <w:sz w:val="20"/>
      <w:szCs w:val="20"/>
      <w:lang w:val="en-GB" w:eastAsia="en-GB"/>
    </w:rPr>
    <w:tblPr>
      <w:tblStyleRowBandSize w:val="1"/>
      <w:tblStyleColBandSize w:val="1"/>
      <w:tblInd w:w="0" w:type="dxa"/>
      <w:tblBorders>
        <w:top w:val="single" w:sz="4" w:space="0" w:color="A5A8D2"/>
        <w:bottom w:val="single" w:sz="4" w:space="0" w:color="A5A8D2"/>
        <w:insideH w:val="single" w:sz="4" w:space="0" w:color="A5A8D2"/>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1E2F0"/>
      </w:tcPr>
    </w:tblStylePr>
    <w:tblStylePr w:type="band1Horz">
      <w:rPr>
        <w:rFonts w:cs="Times New Roman"/>
      </w:rPr>
      <w:tblPr/>
      <w:tcPr>
        <w:shd w:val="clear" w:color="auto" w:fill="E1E2F0"/>
      </w:tcPr>
    </w:tblStylePr>
  </w:style>
  <w:style w:type="table" w:customStyle="1" w:styleId="Tabelalisty2akcent51">
    <w:name w:val="Tabela listy 2 — akcent 51"/>
    <w:uiPriority w:val="99"/>
    <w:rsid w:val="007C28CC"/>
    <w:rPr>
      <w:sz w:val="20"/>
      <w:szCs w:val="20"/>
      <w:lang w:val="en-GB" w:eastAsia="en-GB"/>
    </w:rPr>
    <w:tblPr>
      <w:tblStyleRowBandSize w:val="1"/>
      <w:tblStyleColBandSize w:val="1"/>
      <w:tblInd w:w="0" w:type="dxa"/>
      <w:tblBorders>
        <w:top w:val="single" w:sz="4" w:space="0" w:color="FCC278"/>
        <w:bottom w:val="single" w:sz="4" w:space="0" w:color="FCC278"/>
        <w:insideH w:val="single" w:sz="4" w:space="0" w:color="FCC278"/>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EEAD2"/>
      </w:tcPr>
    </w:tblStylePr>
    <w:tblStylePr w:type="band1Horz">
      <w:rPr>
        <w:rFonts w:cs="Times New Roman"/>
      </w:rPr>
      <w:tblPr/>
      <w:tcPr>
        <w:shd w:val="clear" w:color="auto" w:fill="FEEAD2"/>
      </w:tcPr>
    </w:tblStylePr>
  </w:style>
  <w:style w:type="table" w:customStyle="1" w:styleId="Tabelalisty2akcent61">
    <w:name w:val="Tabela listy 2 — akcent 61"/>
    <w:uiPriority w:val="99"/>
    <w:rsid w:val="007C28CC"/>
    <w:rPr>
      <w:sz w:val="20"/>
      <w:szCs w:val="20"/>
      <w:lang w:val="en-GB" w:eastAsia="en-GB"/>
    </w:rPr>
    <w:tblPr>
      <w:tblStyleRowBandSize w:val="1"/>
      <w:tblStyleColBandSize w:val="1"/>
      <w:tblInd w:w="0" w:type="dxa"/>
      <w:tblBorders>
        <w:top w:val="single" w:sz="4" w:space="0" w:color="6EDEAC"/>
        <w:bottom w:val="single" w:sz="4" w:space="0" w:color="6EDEAC"/>
        <w:insideH w:val="single" w:sz="4" w:space="0" w:color="6EDEAC"/>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EF4E3"/>
      </w:tcPr>
    </w:tblStylePr>
    <w:tblStylePr w:type="band1Horz">
      <w:rPr>
        <w:rFonts w:cs="Times New Roman"/>
      </w:rPr>
      <w:tblPr/>
      <w:tcPr>
        <w:shd w:val="clear" w:color="auto" w:fill="CEF4E3"/>
      </w:tcPr>
    </w:tblStylePr>
  </w:style>
  <w:style w:type="table" w:customStyle="1" w:styleId="Tabelalisty31">
    <w:name w:val="Tabela listy 31"/>
    <w:uiPriority w:val="99"/>
    <w:rsid w:val="007C28CC"/>
    <w:rPr>
      <w:sz w:val="20"/>
      <w:szCs w:val="20"/>
      <w:lang w:val="en-GB" w:eastAsia="en-GB"/>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cs="Times New Roman"/>
        <w:b/>
        <w:bCs/>
        <w:color w:val="FFFFFF"/>
      </w:rPr>
      <w:tblPr/>
      <w:tcPr>
        <w:shd w:val="clear" w:color="auto" w:fill="000000"/>
      </w:tcPr>
    </w:tblStylePr>
    <w:tblStylePr w:type="lastRow">
      <w:rPr>
        <w:rFonts w:cs="Times New Roman"/>
        <w:b/>
        <w:bCs/>
      </w:rPr>
      <w:tblPr/>
      <w:tcPr>
        <w:tcBorders>
          <w:top w:val="double" w:sz="4" w:space="0" w:color="000000"/>
        </w:tcBorders>
        <w:shd w:val="clear" w:color="auto" w:fill="FFFFFF"/>
      </w:tcPr>
    </w:tblStylePr>
    <w:tblStylePr w:type="firstCol">
      <w:rPr>
        <w:rFonts w:cs="Times New Roman"/>
        <w:b/>
        <w:bCs/>
      </w:rPr>
      <w:tblPr/>
      <w:tcPr>
        <w:tcBorders>
          <w:right w:val="nil"/>
        </w:tcBorders>
        <w:shd w:val="clear" w:color="auto" w:fill="FFFFFF"/>
      </w:tcPr>
    </w:tblStylePr>
    <w:tblStylePr w:type="lastCol">
      <w:rPr>
        <w:rFonts w:cs="Times New Roman"/>
        <w:b/>
        <w:bCs/>
      </w:rPr>
      <w:tblPr/>
      <w:tcPr>
        <w:tcBorders>
          <w:left w:val="nil"/>
        </w:tcBorders>
        <w:shd w:val="clear" w:color="auto" w:fill="FFFFFF"/>
      </w:tcPr>
    </w:tblStylePr>
    <w:tblStylePr w:type="band1Vert">
      <w:rPr>
        <w:rFonts w:cs="Times New Roman"/>
      </w:rPr>
      <w:tblPr/>
      <w:tcPr>
        <w:tcBorders>
          <w:left w:val="single" w:sz="4" w:space="0" w:color="000000"/>
          <w:right w:val="single" w:sz="4" w:space="0" w:color="000000"/>
        </w:tcBorders>
      </w:tcPr>
    </w:tblStylePr>
    <w:tblStylePr w:type="band1Horz">
      <w:rPr>
        <w:rFonts w:cs="Times New Roman"/>
      </w:rPr>
      <w:tblPr/>
      <w:tcPr>
        <w:tcBorders>
          <w:top w:val="single" w:sz="4" w:space="0" w:color="000000"/>
          <w:bottom w:val="single" w:sz="4" w:space="0" w:color="000000"/>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000000"/>
          <w:left w:val="nil"/>
        </w:tcBorders>
      </w:tcPr>
    </w:tblStylePr>
    <w:tblStylePr w:type="swCell">
      <w:rPr>
        <w:rFonts w:cs="Times New Roman"/>
      </w:rPr>
      <w:tblPr/>
      <w:tcPr>
        <w:tcBorders>
          <w:top w:val="double" w:sz="4" w:space="0" w:color="000000"/>
          <w:right w:val="nil"/>
        </w:tcBorders>
      </w:tcPr>
    </w:tblStylePr>
  </w:style>
  <w:style w:type="table" w:customStyle="1" w:styleId="Tabelalisty3akcent11">
    <w:name w:val="Tabela listy 3 — akcent 11"/>
    <w:uiPriority w:val="99"/>
    <w:rsid w:val="007C28CC"/>
    <w:rPr>
      <w:sz w:val="20"/>
      <w:szCs w:val="20"/>
      <w:lang w:val="en-GB" w:eastAsia="en-GB"/>
    </w:rPr>
    <w:tblPr>
      <w:tblStyleRowBandSize w:val="1"/>
      <w:tblStyleColBandSize w:val="1"/>
      <w:tblInd w:w="0" w:type="dxa"/>
      <w:tblBorders>
        <w:top w:val="single" w:sz="4" w:space="0" w:color="D22D7D"/>
        <w:left w:val="single" w:sz="4" w:space="0" w:color="D22D7D"/>
        <w:bottom w:val="single" w:sz="4" w:space="0" w:color="D22D7D"/>
        <w:right w:val="single" w:sz="4" w:space="0" w:color="D22D7D"/>
      </w:tblBorders>
      <w:tblCellMar>
        <w:top w:w="0" w:type="dxa"/>
        <w:left w:w="108" w:type="dxa"/>
        <w:bottom w:w="0" w:type="dxa"/>
        <w:right w:w="108" w:type="dxa"/>
      </w:tblCellMar>
    </w:tblPr>
    <w:tblStylePr w:type="firstRow">
      <w:rPr>
        <w:rFonts w:cs="Times New Roman"/>
        <w:b/>
        <w:bCs/>
        <w:color w:val="FFFFFF"/>
      </w:rPr>
      <w:tblPr/>
      <w:tcPr>
        <w:shd w:val="clear" w:color="auto" w:fill="D22D7D"/>
      </w:tcPr>
    </w:tblStylePr>
    <w:tblStylePr w:type="lastRow">
      <w:rPr>
        <w:rFonts w:cs="Times New Roman"/>
        <w:b/>
        <w:bCs/>
      </w:rPr>
      <w:tblPr/>
      <w:tcPr>
        <w:tcBorders>
          <w:top w:val="double" w:sz="4" w:space="0" w:color="D22D7D"/>
        </w:tcBorders>
        <w:shd w:val="clear" w:color="auto" w:fill="FFFFFF"/>
      </w:tcPr>
    </w:tblStylePr>
    <w:tblStylePr w:type="firstCol">
      <w:rPr>
        <w:rFonts w:cs="Times New Roman"/>
        <w:b/>
        <w:bCs/>
      </w:rPr>
      <w:tblPr/>
      <w:tcPr>
        <w:tcBorders>
          <w:right w:val="nil"/>
        </w:tcBorders>
        <w:shd w:val="clear" w:color="auto" w:fill="FFFFFF"/>
      </w:tcPr>
    </w:tblStylePr>
    <w:tblStylePr w:type="lastCol">
      <w:rPr>
        <w:rFonts w:cs="Times New Roman"/>
        <w:b/>
        <w:bCs/>
      </w:rPr>
      <w:tblPr/>
      <w:tcPr>
        <w:tcBorders>
          <w:left w:val="nil"/>
        </w:tcBorders>
        <w:shd w:val="clear" w:color="auto" w:fill="FFFFFF"/>
      </w:tcPr>
    </w:tblStylePr>
    <w:tblStylePr w:type="band1Vert">
      <w:rPr>
        <w:rFonts w:cs="Times New Roman"/>
      </w:rPr>
      <w:tblPr/>
      <w:tcPr>
        <w:tcBorders>
          <w:left w:val="single" w:sz="4" w:space="0" w:color="D22D7D"/>
          <w:right w:val="single" w:sz="4" w:space="0" w:color="D22D7D"/>
        </w:tcBorders>
      </w:tcPr>
    </w:tblStylePr>
    <w:tblStylePr w:type="band1Horz">
      <w:rPr>
        <w:rFonts w:cs="Times New Roman"/>
      </w:rPr>
      <w:tblPr/>
      <w:tcPr>
        <w:tcBorders>
          <w:top w:val="single" w:sz="4" w:space="0" w:color="D22D7D"/>
          <w:bottom w:val="single" w:sz="4" w:space="0" w:color="D22D7D"/>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D22D7D"/>
          <w:left w:val="nil"/>
        </w:tcBorders>
      </w:tcPr>
    </w:tblStylePr>
    <w:tblStylePr w:type="swCell">
      <w:rPr>
        <w:rFonts w:cs="Times New Roman"/>
      </w:rPr>
      <w:tblPr/>
      <w:tcPr>
        <w:tcBorders>
          <w:top w:val="double" w:sz="4" w:space="0" w:color="D22D7D"/>
          <w:right w:val="nil"/>
        </w:tcBorders>
      </w:tcPr>
    </w:tblStylePr>
  </w:style>
  <w:style w:type="table" w:customStyle="1" w:styleId="Tabelalisty3akcent21">
    <w:name w:val="Tabela listy 3 — akcent 21"/>
    <w:uiPriority w:val="99"/>
    <w:rsid w:val="007C28CC"/>
    <w:rPr>
      <w:sz w:val="20"/>
      <w:szCs w:val="20"/>
      <w:lang w:val="en-GB" w:eastAsia="en-GB"/>
    </w:rPr>
    <w:tblPr>
      <w:tblStyleRowBandSize w:val="1"/>
      <w:tblStyleColBandSize w:val="1"/>
      <w:tblInd w:w="0" w:type="dxa"/>
      <w:tblBorders>
        <w:top w:val="single" w:sz="4" w:space="0" w:color="28AAE1"/>
        <w:left w:val="single" w:sz="4" w:space="0" w:color="28AAE1"/>
        <w:bottom w:val="single" w:sz="4" w:space="0" w:color="28AAE1"/>
        <w:right w:val="single" w:sz="4" w:space="0" w:color="28AAE1"/>
      </w:tblBorders>
      <w:tblCellMar>
        <w:top w:w="0" w:type="dxa"/>
        <w:left w:w="108" w:type="dxa"/>
        <w:bottom w:w="0" w:type="dxa"/>
        <w:right w:w="108" w:type="dxa"/>
      </w:tblCellMar>
    </w:tblPr>
    <w:tblStylePr w:type="firstRow">
      <w:rPr>
        <w:rFonts w:cs="Times New Roman"/>
        <w:b/>
        <w:bCs/>
        <w:color w:val="FFFFFF"/>
      </w:rPr>
      <w:tblPr/>
      <w:tcPr>
        <w:shd w:val="clear" w:color="auto" w:fill="28AAE1"/>
      </w:tcPr>
    </w:tblStylePr>
    <w:tblStylePr w:type="lastRow">
      <w:rPr>
        <w:rFonts w:cs="Times New Roman"/>
        <w:b/>
        <w:bCs/>
      </w:rPr>
      <w:tblPr/>
      <w:tcPr>
        <w:tcBorders>
          <w:top w:val="double" w:sz="4" w:space="0" w:color="28AAE1"/>
        </w:tcBorders>
        <w:shd w:val="clear" w:color="auto" w:fill="FFFFFF"/>
      </w:tcPr>
    </w:tblStylePr>
    <w:tblStylePr w:type="firstCol">
      <w:rPr>
        <w:rFonts w:cs="Times New Roman"/>
        <w:b/>
        <w:bCs/>
      </w:rPr>
      <w:tblPr/>
      <w:tcPr>
        <w:tcBorders>
          <w:right w:val="nil"/>
        </w:tcBorders>
        <w:shd w:val="clear" w:color="auto" w:fill="FFFFFF"/>
      </w:tcPr>
    </w:tblStylePr>
    <w:tblStylePr w:type="lastCol">
      <w:rPr>
        <w:rFonts w:cs="Times New Roman"/>
        <w:b/>
        <w:bCs/>
      </w:rPr>
      <w:tblPr/>
      <w:tcPr>
        <w:tcBorders>
          <w:left w:val="nil"/>
        </w:tcBorders>
        <w:shd w:val="clear" w:color="auto" w:fill="FFFFFF"/>
      </w:tcPr>
    </w:tblStylePr>
    <w:tblStylePr w:type="band1Vert">
      <w:rPr>
        <w:rFonts w:cs="Times New Roman"/>
      </w:rPr>
      <w:tblPr/>
      <w:tcPr>
        <w:tcBorders>
          <w:left w:val="single" w:sz="4" w:space="0" w:color="28AAE1"/>
          <w:right w:val="single" w:sz="4" w:space="0" w:color="28AAE1"/>
        </w:tcBorders>
      </w:tcPr>
    </w:tblStylePr>
    <w:tblStylePr w:type="band1Horz">
      <w:rPr>
        <w:rFonts w:cs="Times New Roman"/>
      </w:rPr>
      <w:tblPr/>
      <w:tcPr>
        <w:tcBorders>
          <w:top w:val="single" w:sz="4" w:space="0" w:color="28AAE1"/>
          <w:bottom w:val="single" w:sz="4" w:space="0" w:color="28AAE1"/>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28AAE1"/>
          <w:left w:val="nil"/>
        </w:tcBorders>
      </w:tcPr>
    </w:tblStylePr>
    <w:tblStylePr w:type="swCell">
      <w:rPr>
        <w:rFonts w:cs="Times New Roman"/>
      </w:rPr>
      <w:tblPr/>
      <w:tcPr>
        <w:tcBorders>
          <w:top w:val="double" w:sz="4" w:space="0" w:color="28AAE1"/>
          <w:right w:val="nil"/>
        </w:tcBorders>
      </w:tcPr>
    </w:tblStylePr>
  </w:style>
  <w:style w:type="table" w:customStyle="1" w:styleId="Tabelalisty3akcent31">
    <w:name w:val="Tabela listy 3 — akcent 31"/>
    <w:uiPriority w:val="99"/>
    <w:rsid w:val="007C28CC"/>
    <w:rPr>
      <w:sz w:val="20"/>
      <w:szCs w:val="20"/>
      <w:lang w:val="en-GB" w:eastAsia="en-GB"/>
    </w:rPr>
    <w:tblPr>
      <w:tblStyleRowBandSize w:val="1"/>
      <w:tblStyleColBandSize w:val="1"/>
      <w:tblInd w:w="0" w:type="dxa"/>
      <w:tblBorders>
        <w:top w:val="single" w:sz="4" w:space="0" w:color="F05023"/>
        <w:left w:val="single" w:sz="4" w:space="0" w:color="F05023"/>
        <w:bottom w:val="single" w:sz="4" w:space="0" w:color="F05023"/>
        <w:right w:val="single" w:sz="4" w:space="0" w:color="F05023"/>
      </w:tblBorders>
      <w:tblCellMar>
        <w:top w:w="0" w:type="dxa"/>
        <w:left w:w="108" w:type="dxa"/>
        <w:bottom w:w="0" w:type="dxa"/>
        <w:right w:w="108" w:type="dxa"/>
      </w:tblCellMar>
    </w:tblPr>
    <w:tblStylePr w:type="firstRow">
      <w:rPr>
        <w:rFonts w:cs="Times New Roman"/>
        <w:b/>
        <w:bCs/>
        <w:color w:val="FFFFFF"/>
      </w:rPr>
      <w:tblPr/>
      <w:tcPr>
        <w:shd w:val="clear" w:color="auto" w:fill="F05023"/>
      </w:tcPr>
    </w:tblStylePr>
    <w:tblStylePr w:type="lastRow">
      <w:rPr>
        <w:rFonts w:cs="Times New Roman"/>
        <w:b/>
        <w:bCs/>
      </w:rPr>
      <w:tblPr/>
      <w:tcPr>
        <w:tcBorders>
          <w:top w:val="double" w:sz="4" w:space="0" w:color="F05023"/>
        </w:tcBorders>
        <w:shd w:val="clear" w:color="auto" w:fill="FFFFFF"/>
      </w:tcPr>
    </w:tblStylePr>
    <w:tblStylePr w:type="firstCol">
      <w:rPr>
        <w:rFonts w:cs="Times New Roman"/>
        <w:b/>
        <w:bCs/>
      </w:rPr>
      <w:tblPr/>
      <w:tcPr>
        <w:tcBorders>
          <w:right w:val="nil"/>
        </w:tcBorders>
        <w:shd w:val="clear" w:color="auto" w:fill="FFFFFF"/>
      </w:tcPr>
    </w:tblStylePr>
    <w:tblStylePr w:type="lastCol">
      <w:rPr>
        <w:rFonts w:cs="Times New Roman"/>
        <w:b/>
        <w:bCs/>
      </w:rPr>
      <w:tblPr/>
      <w:tcPr>
        <w:tcBorders>
          <w:left w:val="nil"/>
        </w:tcBorders>
        <w:shd w:val="clear" w:color="auto" w:fill="FFFFFF"/>
      </w:tcPr>
    </w:tblStylePr>
    <w:tblStylePr w:type="band1Vert">
      <w:rPr>
        <w:rFonts w:cs="Times New Roman"/>
      </w:rPr>
      <w:tblPr/>
      <w:tcPr>
        <w:tcBorders>
          <w:left w:val="single" w:sz="4" w:space="0" w:color="F05023"/>
          <w:right w:val="single" w:sz="4" w:space="0" w:color="F05023"/>
        </w:tcBorders>
      </w:tcPr>
    </w:tblStylePr>
    <w:tblStylePr w:type="band1Horz">
      <w:rPr>
        <w:rFonts w:cs="Times New Roman"/>
      </w:rPr>
      <w:tblPr/>
      <w:tcPr>
        <w:tcBorders>
          <w:top w:val="single" w:sz="4" w:space="0" w:color="F05023"/>
          <w:bottom w:val="single" w:sz="4" w:space="0" w:color="F05023"/>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F05023"/>
          <w:left w:val="nil"/>
        </w:tcBorders>
      </w:tcPr>
    </w:tblStylePr>
    <w:tblStylePr w:type="swCell">
      <w:rPr>
        <w:rFonts w:cs="Times New Roman"/>
      </w:rPr>
      <w:tblPr/>
      <w:tcPr>
        <w:tcBorders>
          <w:top w:val="double" w:sz="4" w:space="0" w:color="F05023"/>
          <w:right w:val="nil"/>
        </w:tcBorders>
      </w:tcPr>
    </w:tblStylePr>
  </w:style>
  <w:style w:type="table" w:customStyle="1" w:styleId="Tabelalisty3akcent41">
    <w:name w:val="Tabela listy 3 — akcent 41"/>
    <w:uiPriority w:val="99"/>
    <w:rsid w:val="007C28CC"/>
    <w:rPr>
      <w:sz w:val="20"/>
      <w:szCs w:val="20"/>
      <w:lang w:val="en-GB" w:eastAsia="en-GB"/>
    </w:rPr>
    <w:tblPr>
      <w:tblStyleRowBandSize w:val="1"/>
      <w:tblStyleColBandSize w:val="1"/>
      <w:tblInd w:w="0" w:type="dxa"/>
      <w:tblBorders>
        <w:top w:val="single" w:sz="4" w:space="0" w:color="696EB4"/>
        <w:left w:val="single" w:sz="4" w:space="0" w:color="696EB4"/>
        <w:bottom w:val="single" w:sz="4" w:space="0" w:color="696EB4"/>
        <w:right w:val="single" w:sz="4" w:space="0" w:color="696EB4"/>
      </w:tblBorders>
      <w:tblCellMar>
        <w:top w:w="0" w:type="dxa"/>
        <w:left w:w="108" w:type="dxa"/>
        <w:bottom w:w="0" w:type="dxa"/>
        <w:right w:w="108" w:type="dxa"/>
      </w:tblCellMar>
    </w:tblPr>
    <w:tblStylePr w:type="firstRow">
      <w:rPr>
        <w:rFonts w:cs="Times New Roman"/>
        <w:b/>
        <w:bCs/>
        <w:color w:val="FFFFFF"/>
      </w:rPr>
      <w:tblPr/>
      <w:tcPr>
        <w:shd w:val="clear" w:color="auto" w:fill="696EB4"/>
      </w:tcPr>
    </w:tblStylePr>
    <w:tblStylePr w:type="lastRow">
      <w:rPr>
        <w:rFonts w:cs="Times New Roman"/>
        <w:b/>
        <w:bCs/>
      </w:rPr>
      <w:tblPr/>
      <w:tcPr>
        <w:tcBorders>
          <w:top w:val="double" w:sz="4" w:space="0" w:color="696EB4"/>
        </w:tcBorders>
        <w:shd w:val="clear" w:color="auto" w:fill="FFFFFF"/>
      </w:tcPr>
    </w:tblStylePr>
    <w:tblStylePr w:type="firstCol">
      <w:rPr>
        <w:rFonts w:cs="Times New Roman"/>
        <w:b/>
        <w:bCs/>
      </w:rPr>
      <w:tblPr/>
      <w:tcPr>
        <w:tcBorders>
          <w:right w:val="nil"/>
        </w:tcBorders>
        <w:shd w:val="clear" w:color="auto" w:fill="FFFFFF"/>
      </w:tcPr>
    </w:tblStylePr>
    <w:tblStylePr w:type="lastCol">
      <w:rPr>
        <w:rFonts w:cs="Times New Roman"/>
        <w:b/>
        <w:bCs/>
      </w:rPr>
      <w:tblPr/>
      <w:tcPr>
        <w:tcBorders>
          <w:left w:val="nil"/>
        </w:tcBorders>
        <w:shd w:val="clear" w:color="auto" w:fill="FFFFFF"/>
      </w:tcPr>
    </w:tblStylePr>
    <w:tblStylePr w:type="band1Vert">
      <w:rPr>
        <w:rFonts w:cs="Times New Roman"/>
      </w:rPr>
      <w:tblPr/>
      <w:tcPr>
        <w:tcBorders>
          <w:left w:val="single" w:sz="4" w:space="0" w:color="696EB4"/>
          <w:right w:val="single" w:sz="4" w:space="0" w:color="696EB4"/>
        </w:tcBorders>
      </w:tcPr>
    </w:tblStylePr>
    <w:tblStylePr w:type="band1Horz">
      <w:rPr>
        <w:rFonts w:cs="Times New Roman"/>
      </w:rPr>
      <w:tblPr/>
      <w:tcPr>
        <w:tcBorders>
          <w:top w:val="single" w:sz="4" w:space="0" w:color="696EB4"/>
          <w:bottom w:val="single" w:sz="4" w:space="0" w:color="696EB4"/>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696EB4"/>
          <w:left w:val="nil"/>
        </w:tcBorders>
      </w:tcPr>
    </w:tblStylePr>
    <w:tblStylePr w:type="swCell">
      <w:rPr>
        <w:rFonts w:cs="Times New Roman"/>
      </w:rPr>
      <w:tblPr/>
      <w:tcPr>
        <w:tcBorders>
          <w:top w:val="double" w:sz="4" w:space="0" w:color="696EB4"/>
          <w:right w:val="nil"/>
        </w:tcBorders>
      </w:tcPr>
    </w:tblStylePr>
  </w:style>
  <w:style w:type="table" w:customStyle="1" w:styleId="Tabelalisty3akcent51">
    <w:name w:val="Tabela listy 3 — akcent 51"/>
    <w:uiPriority w:val="99"/>
    <w:rsid w:val="007C28CC"/>
    <w:rPr>
      <w:sz w:val="20"/>
      <w:szCs w:val="20"/>
      <w:lang w:val="en-GB" w:eastAsia="en-GB"/>
    </w:rPr>
    <w:tblPr>
      <w:tblStyleRowBandSize w:val="1"/>
      <w:tblStyleColBandSize w:val="1"/>
      <w:tblInd w:w="0" w:type="dxa"/>
      <w:tblBorders>
        <w:top w:val="single" w:sz="4" w:space="0" w:color="FA9B1E"/>
        <w:left w:val="single" w:sz="4" w:space="0" w:color="FA9B1E"/>
        <w:bottom w:val="single" w:sz="4" w:space="0" w:color="FA9B1E"/>
        <w:right w:val="single" w:sz="4" w:space="0" w:color="FA9B1E"/>
      </w:tblBorders>
      <w:tblCellMar>
        <w:top w:w="0" w:type="dxa"/>
        <w:left w:w="108" w:type="dxa"/>
        <w:bottom w:w="0" w:type="dxa"/>
        <w:right w:w="108" w:type="dxa"/>
      </w:tblCellMar>
    </w:tblPr>
    <w:tblStylePr w:type="firstRow">
      <w:rPr>
        <w:rFonts w:cs="Times New Roman"/>
        <w:b/>
        <w:bCs/>
        <w:color w:val="FFFFFF"/>
      </w:rPr>
      <w:tblPr/>
      <w:tcPr>
        <w:shd w:val="clear" w:color="auto" w:fill="FA9B1E"/>
      </w:tcPr>
    </w:tblStylePr>
    <w:tblStylePr w:type="lastRow">
      <w:rPr>
        <w:rFonts w:cs="Times New Roman"/>
        <w:b/>
        <w:bCs/>
      </w:rPr>
      <w:tblPr/>
      <w:tcPr>
        <w:tcBorders>
          <w:top w:val="double" w:sz="4" w:space="0" w:color="FA9B1E"/>
        </w:tcBorders>
        <w:shd w:val="clear" w:color="auto" w:fill="FFFFFF"/>
      </w:tcPr>
    </w:tblStylePr>
    <w:tblStylePr w:type="firstCol">
      <w:rPr>
        <w:rFonts w:cs="Times New Roman"/>
        <w:b/>
        <w:bCs/>
      </w:rPr>
      <w:tblPr/>
      <w:tcPr>
        <w:tcBorders>
          <w:right w:val="nil"/>
        </w:tcBorders>
        <w:shd w:val="clear" w:color="auto" w:fill="FFFFFF"/>
      </w:tcPr>
    </w:tblStylePr>
    <w:tblStylePr w:type="lastCol">
      <w:rPr>
        <w:rFonts w:cs="Times New Roman"/>
        <w:b/>
        <w:bCs/>
      </w:rPr>
      <w:tblPr/>
      <w:tcPr>
        <w:tcBorders>
          <w:left w:val="nil"/>
        </w:tcBorders>
        <w:shd w:val="clear" w:color="auto" w:fill="FFFFFF"/>
      </w:tcPr>
    </w:tblStylePr>
    <w:tblStylePr w:type="band1Vert">
      <w:rPr>
        <w:rFonts w:cs="Times New Roman"/>
      </w:rPr>
      <w:tblPr/>
      <w:tcPr>
        <w:tcBorders>
          <w:left w:val="single" w:sz="4" w:space="0" w:color="FA9B1E"/>
          <w:right w:val="single" w:sz="4" w:space="0" w:color="FA9B1E"/>
        </w:tcBorders>
      </w:tcPr>
    </w:tblStylePr>
    <w:tblStylePr w:type="band1Horz">
      <w:rPr>
        <w:rFonts w:cs="Times New Roman"/>
      </w:rPr>
      <w:tblPr/>
      <w:tcPr>
        <w:tcBorders>
          <w:top w:val="single" w:sz="4" w:space="0" w:color="FA9B1E"/>
          <w:bottom w:val="single" w:sz="4" w:space="0" w:color="FA9B1E"/>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FA9B1E"/>
          <w:left w:val="nil"/>
        </w:tcBorders>
      </w:tcPr>
    </w:tblStylePr>
    <w:tblStylePr w:type="swCell">
      <w:rPr>
        <w:rFonts w:cs="Times New Roman"/>
      </w:rPr>
      <w:tblPr/>
      <w:tcPr>
        <w:tcBorders>
          <w:top w:val="double" w:sz="4" w:space="0" w:color="FA9B1E"/>
          <w:right w:val="nil"/>
        </w:tcBorders>
      </w:tcPr>
    </w:tblStylePr>
  </w:style>
  <w:style w:type="table" w:customStyle="1" w:styleId="Tabelalisty3akcent61">
    <w:name w:val="Tabela listy 3 — akcent 61"/>
    <w:uiPriority w:val="99"/>
    <w:rsid w:val="007C28CC"/>
    <w:rPr>
      <w:sz w:val="20"/>
      <w:szCs w:val="20"/>
      <w:lang w:val="en-GB" w:eastAsia="en-GB"/>
    </w:rPr>
    <w:tblPr>
      <w:tblStyleRowBandSize w:val="1"/>
      <w:tblStyleColBandSize w:val="1"/>
      <w:tblInd w:w="0" w:type="dxa"/>
      <w:tblBorders>
        <w:top w:val="single" w:sz="4" w:space="0" w:color="28AF73"/>
        <w:left w:val="single" w:sz="4" w:space="0" w:color="28AF73"/>
        <w:bottom w:val="single" w:sz="4" w:space="0" w:color="28AF73"/>
        <w:right w:val="single" w:sz="4" w:space="0" w:color="28AF73"/>
      </w:tblBorders>
      <w:tblCellMar>
        <w:top w:w="0" w:type="dxa"/>
        <w:left w:w="108" w:type="dxa"/>
        <w:bottom w:w="0" w:type="dxa"/>
        <w:right w:w="108" w:type="dxa"/>
      </w:tblCellMar>
    </w:tblPr>
    <w:tblStylePr w:type="firstRow">
      <w:rPr>
        <w:rFonts w:cs="Times New Roman"/>
        <w:b/>
        <w:bCs/>
        <w:color w:val="FFFFFF"/>
      </w:rPr>
      <w:tblPr/>
      <w:tcPr>
        <w:shd w:val="clear" w:color="auto" w:fill="28AF73"/>
      </w:tcPr>
    </w:tblStylePr>
    <w:tblStylePr w:type="lastRow">
      <w:rPr>
        <w:rFonts w:cs="Times New Roman"/>
        <w:b/>
        <w:bCs/>
      </w:rPr>
      <w:tblPr/>
      <w:tcPr>
        <w:tcBorders>
          <w:top w:val="double" w:sz="4" w:space="0" w:color="28AF73"/>
        </w:tcBorders>
        <w:shd w:val="clear" w:color="auto" w:fill="FFFFFF"/>
      </w:tcPr>
    </w:tblStylePr>
    <w:tblStylePr w:type="firstCol">
      <w:rPr>
        <w:rFonts w:cs="Times New Roman"/>
        <w:b/>
        <w:bCs/>
      </w:rPr>
      <w:tblPr/>
      <w:tcPr>
        <w:tcBorders>
          <w:right w:val="nil"/>
        </w:tcBorders>
        <w:shd w:val="clear" w:color="auto" w:fill="FFFFFF"/>
      </w:tcPr>
    </w:tblStylePr>
    <w:tblStylePr w:type="lastCol">
      <w:rPr>
        <w:rFonts w:cs="Times New Roman"/>
        <w:b/>
        <w:bCs/>
      </w:rPr>
      <w:tblPr/>
      <w:tcPr>
        <w:tcBorders>
          <w:left w:val="nil"/>
        </w:tcBorders>
        <w:shd w:val="clear" w:color="auto" w:fill="FFFFFF"/>
      </w:tcPr>
    </w:tblStylePr>
    <w:tblStylePr w:type="band1Vert">
      <w:rPr>
        <w:rFonts w:cs="Times New Roman"/>
      </w:rPr>
      <w:tblPr/>
      <w:tcPr>
        <w:tcBorders>
          <w:left w:val="single" w:sz="4" w:space="0" w:color="28AF73"/>
          <w:right w:val="single" w:sz="4" w:space="0" w:color="28AF73"/>
        </w:tcBorders>
      </w:tcPr>
    </w:tblStylePr>
    <w:tblStylePr w:type="band1Horz">
      <w:rPr>
        <w:rFonts w:cs="Times New Roman"/>
      </w:rPr>
      <w:tblPr/>
      <w:tcPr>
        <w:tcBorders>
          <w:top w:val="single" w:sz="4" w:space="0" w:color="28AF73"/>
          <w:bottom w:val="single" w:sz="4" w:space="0" w:color="28AF73"/>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28AF73"/>
          <w:left w:val="nil"/>
        </w:tcBorders>
      </w:tcPr>
    </w:tblStylePr>
    <w:tblStylePr w:type="swCell">
      <w:rPr>
        <w:rFonts w:cs="Times New Roman"/>
      </w:rPr>
      <w:tblPr/>
      <w:tcPr>
        <w:tcBorders>
          <w:top w:val="double" w:sz="4" w:space="0" w:color="28AF73"/>
          <w:right w:val="nil"/>
        </w:tcBorders>
      </w:tcPr>
    </w:tblStylePr>
  </w:style>
  <w:style w:type="table" w:customStyle="1" w:styleId="Tabelalisty41">
    <w:name w:val="Tabela listy 41"/>
    <w:uiPriority w:val="99"/>
    <w:rsid w:val="007C28CC"/>
    <w:rPr>
      <w:sz w:val="20"/>
      <w:szCs w:val="20"/>
      <w:lang w:val="en-GB" w:eastAsia="en-GB"/>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rFonts w:cs="Times New Roman"/>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rFonts w:cs="Times New Roman"/>
        <w:b/>
        <w:bCs/>
      </w:rPr>
      <w:tblPr/>
      <w:tcPr>
        <w:tcBorders>
          <w:top w:val="double" w:sz="4" w:space="0" w:color="66666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table" w:customStyle="1" w:styleId="Tabelalisty4akcent11">
    <w:name w:val="Tabela listy 4 — akcent 11"/>
    <w:uiPriority w:val="99"/>
    <w:rsid w:val="007C28CC"/>
    <w:rPr>
      <w:sz w:val="20"/>
      <w:szCs w:val="20"/>
      <w:lang w:val="en-GB" w:eastAsia="en-GB"/>
    </w:rPr>
    <w:tblPr>
      <w:tblStyleRowBandSize w:val="1"/>
      <w:tblStyleColBandSize w:val="1"/>
      <w:tblInd w:w="0" w:type="dxa"/>
      <w:tblBorders>
        <w:top w:val="single" w:sz="4" w:space="0" w:color="E481B0"/>
        <w:left w:val="single" w:sz="4" w:space="0" w:color="E481B0"/>
        <w:bottom w:val="single" w:sz="4" w:space="0" w:color="E481B0"/>
        <w:right w:val="single" w:sz="4" w:space="0" w:color="E481B0"/>
        <w:insideH w:val="single" w:sz="4" w:space="0" w:color="E481B0"/>
      </w:tblBorders>
      <w:tblCellMar>
        <w:top w:w="0" w:type="dxa"/>
        <w:left w:w="108" w:type="dxa"/>
        <w:bottom w:w="0" w:type="dxa"/>
        <w:right w:w="108" w:type="dxa"/>
      </w:tblCellMar>
    </w:tblPr>
    <w:tblStylePr w:type="firstRow">
      <w:rPr>
        <w:rFonts w:cs="Times New Roman"/>
        <w:b/>
        <w:bCs/>
        <w:color w:val="FFFFFF"/>
      </w:rPr>
      <w:tblPr/>
      <w:tcPr>
        <w:tcBorders>
          <w:top w:val="single" w:sz="4" w:space="0" w:color="D22D7D"/>
          <w:left w:val="single" w:sz="4" w:space="0" w:color="D22D7D"/>
          <w:bottom w:val="single" w:sz="4" w:space="0" w:color="D22D7D"/>
          <w:right w:val="single" w:sz="4" w:space="0" w:color="D22D7D"/>
          <w:insideH w:val="nil"/>
        </w:tcBorders>
        <w:shd w:val="clear" w:color="auto" w:fill="D22D7D"/>
      </w:tcPr>
    </w:tblStylePr>
    <w:tblStylePr w:type="lastRow">
      <w:rPr>
        <w:rFonts w:cs="Times New Roman"/>
        <w:b/>
        <w:bCs/>
      </w:rPr>
      <w:tblPr/>
      <w:tcPr>
        <w:tcBorders>
          <w:top w:val="double" w:sz="4" w:space="0" w:color="E481B0"/>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6D5E4"/>
      </w:tcPr>
    </w:tblStylePr>
    <w:tblStylePr w:type="band1Horz">
      <w:rPr>
        <w:rFonts w:cs="Times New Roman"/>
      </w:rPr>
      <w:tblPr/>
      <w:tcPr>
        <w:shd w:val="clear" w:color="auto" w:fill="F6D5E4"/>
      </w:tcPr>
    </w:tblStylePr>
  </w:style>
  <w:style w:type="table" w:customStyle="1" w:styleId="Tabelalisty4akcent21">
    <w:name w:val="Tabela listy 4 — akcent 21"/>
    <w:uiPriority w:val="99"/>
    <w:rsid w:val="007C28CC"/>
    <w:rPr>
      <w:sz w:val="20"/>
      <w:szCs w:val="20"/>
      <w:lang w:val="en-GB" w:eastAsia="en-GB"/>
    </w:rPr>
    <w:tblPr>
      <w:tblStyleRowBandSize w:val="1"/>
      <w:tblStyleColBandSize w:val="1"/>
      <w:tblInd w:w="0" w:type="dxa"/>
      <w:tblBorders>
        <w:top w:val="single" w:sz="4" w:space="0" w:color="7ECBED"/>
        <w:left w:val="single" w:sz="4" w:space="0" w:color="7ECBED"/>
        <w:bottom w:val="single" w:sz="4" w:space="0" w:color="7ECBED"/>
        <w:right w:val="single" w:sz="4" w:space="0" w:color="7ECBED"/>
        <w:insideH w:val="single" w:sz="4" w:space="0" w:color="7ECBED"/>
      </w:tblBorders>
      <w:tblCellMar>
        <w:top w:w="0" w:type="dxa"/>
        <w:left w:w="108" w:type="dxa"/>
        <w:bottom w:w="0" w:type="dxa"/>
        <w:right w:w="108" w:type="dxa"/>
      </w:tblCellMar>
    </w:tblPr>
    <w:tblStylePr w:type="firstRow">
      <w:rPr>
        <w:rFonts w:cs="Times New Roman"/>
        <w:b/>
        <w:bCs/>
        <w:color w:val="FFFFFF"/>
      </w:rPr>
      <w:tblPr/>
      <w:tcPr>
        <w:tcBorders>
          <w:top w:val="single" w:sz="4" w:space="0" w:color="28AAE1"/>
          <w:left w:val="single" w:sz="4" w:space="0" w:color="28AAE1"/>
          <w:bottom w:val="single" w:sz="4" w:space="0" w:color="28AAE1"/>
          <w:right w:val="single" w:sz="4" w:space="0" w:color="28AAE1"/>
          <w:insideH w:val="nil"/>
        </w:tcBorders>
        <w:shd w:val="clear" w:color="auto" w:fill="28AAE1"/>
      </w:tcPr>
    </w:tblStylePr>
    <w:tblStylePr w:type="lastRow">
      <w:rPr>
        <w:rFonts w:cs="Times New Roman"/>
        <w:b/>
        <w:bCs/>
      </w:rPr>
      <w:tblPr/>
      <w:tcPr>
        <w:tcBorders>
          <w:top w:val="double" w:sz="4" w:space="0" w:color="7ECBE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4EDF9"/>
      </w:tcPr>
    </w:tblStylePr>
    <w:tblStylePr w:type="band1Horz">
      <w:rPr>
        <w:rFonts w:cs="Times New Roman"/>
      </w:rPr>
      <w:tblPr/>
      <w:tcPr>
        <w:shd w:val="clear" w:color="auto" w:fill="D4EDF9"/>
      </w:tcPr>
    </w:tblStylePr>
  </w:style>
  <w:style w:type="table" w:customStyle="1" w:styleId="Tabelalisty4akcent31">
    <w:name w:val="Tabela listy 4 — akcent 31"/>
    <w:uiPriority w:val="99"/>
    <w:rsid w:val="007C28CC"/>
    <w:rPr>
      <w:sz w:val="20"/>
      <w:szCs w:val="20"/>
      <w:lang w:val="en-GB" w:eastAsia="en-GB"/>
    </w:rPr>
    <w:tblPr>
      <w:tblStyleRowBandSize w:val="1"/>
      <w:tblStyleColBandSize w:val="1"/>
      <w:tblInd w:w="0" w:type="dxa"/>
      <w:tblBorders>
        <w:top w:val="single" w:sz="4" w:space="0" w:color="F6957B"/>
        <w:left w:val="single" w:sz="4" w:space="0" w:color="F6957B"/>
        <w:bottom w:val="single" w:sz="4" w:space="0" w:color="F6957B"/>
        <w:right w:val="single" w:sz="4" w:space="0" w:color="F6957B"/>
        <w:insideH w:val="single" w:sz="4" w:space="0" w:color="F6957B"/>
      </w:tblBorders>
      <w:tblCellMar>
        <w:top w:w="0" w:type="dxa"/>
        <w:left w:w="108" w:type="dxa"/>
        <w:bottom w:w="0" w:type="dxa"/>
        <w:right w:w="108" w:type="dxa"/>
      </w:tblCellMar>
    </w:tblPr>
    <w:tblStylePr w:type="firstRow">
      <w:rPr>
        <w:rFonts w:cs="Times New Roman"/>
        <w:b/>
        <w:bCs/>
        <w:color w:val="FFFFFF"/>
      </w:rPr>
      <w:tblPr/>
      <w:tcPr>
        <w:tcBorders>
          <w:top w:val="single" w:sz="4" w:space="0" w:color="F05023"/>
          <w:left w:val="single" w:sz="4" w:space="0" w:color="F05023"/>
          <w:bottom w:val="single" w:sz="4" w:space="0" w:color="F05023"/>
          <w:right w:val="single" w:sz="4" w:space="0" w:color="F05023"/>
          <w:insideH w:val="nil"/>
        </w:tcBorders>
        <w:shd w:val="clear" w:color="auto" w:fill="F05023"/>
      </w:tcPr>
    </w:tblStylePr>
    <w:tblStylePr w:type="lastRow">
      <w:rPr>
        <w:rFonts w:cs="Times New Roman"/>
        <w:b/>
        <w:bCs/>
      </w:rPr>
      <w:tblPr/>
      <w:tcPr>
        <w:tcBorders>
          <w:top w:val="double" w:sz="4" w:space="0" w:color="F6957B"/>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CDBD3"/>
      </w:tcPr>
    </w:tblStylePr>
    <w:tblStylePr w:type="band1Horz">
      <w:rPr>
        <w:rFonts w:cs="Times New Roman"/>
      </w:rPr>
      <w:tblPr/>
      <w:tcPr>
        <w:shd w:val="clear" w:color="auto" w:fill="FCDBD3"/>
      </w:tcPr>
    </w:tblStylePr>
  </w:style>
  <w:style w:type="table" w:customStyle="1" w:styleId="Tabelalisty4akcent41">
    <w:name w:val="Tabela listy 4 — akcent 41"/>
    <w:uiPriority w:val="99"/>
    <w:rsid w:val="007C28CC"/>
    <w:rPr>
      <w:sz w:val="20"/>
      <w:szCs w:val="20"/>
      <w:lang w:val="en-GB" w:eastAsia="en-GB"/>
    </w:rPr>
    <w:tblPr>
      <w:tblStyleRowBandSize w:val="1"/>
      <w:tblStyleColBandSize w:val="1"/>
      <w:tblInd w:w="0" w:type="dxa"/>
      <w:tblBorders>
        <w:top w:val="single" w:sz="4" w:space="0" w:color="A5A8D2"/>
        <w:left w:val="single" w:sz="4" w:space="0" w:color="A5A8D2"/>
        <w:bottom w:val="single" w:sz="4" w:space="0" w:color="A5A8D2"/>
        <w:right w:val="single" w:sz="4" w:space="0" w:color="A5A8D2"/>
        <w:insideH w:val="single" w:sz="4" w:space="0" w:color="A5A8D2"/>
      </w:tblBorders>
      <w:tblCellMar>
        <w:top w:w="0" w:type="dxa"/>
        <w:left w:w="108" w:type="dxa"/>
        <w:bottom w:w="0" w:type="dxa"/>
        <w:right w:w="108" w:type="dxa"/>
      </w:tblCellMar>
    </w:tblPr>
    <w:tblStylePr w:type="firstRow">
      <w:rPr>
        <w:rFonts w:cs="Times New Roman"/>
        <w:b/>
        <w:bCs/>
        <w:color w:val="FFFFFF"/>
      </w:rPr>
      <w:tblPr/>
      <w:tcPr>
        <w:tcBorders>
          <w:top w:val="single" w:sz="4" w:space="0" w:color="696EB4"/>
          <w:left w:val="single" w:sz="4" w:space="0" w:color="696EB4"/>
          <w:bottom w:val="single" w:sz="4" w:space="0" w:color="696EB4"/>
          <w:right w:val="single" w:sz="4" w:space="0" w:color="696EB4"/>
          <w:insideH w:val="nil"/>
        </w:tcBorders>
        <w:shd w:val="clear" w:color="auto" w:fill="696EB4"/>
      </w:tcPr>
    </w:tblStylePr>
    <w:tblStylePr w:type="lastRow">
      <w:rPr>
        <w:rFonts w:cs="Times New Roman"/>
        <w:b/>
        <w:bCs/>
      </w:rPr>
      <w:tblPr/>
      <w:tcPr>
        <w:tcBorders>
          <w:top w:val="double" w:sz="4" w:space="0" w:color="A5A8D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1E2F0"/>
      </w:tcPr>
    </w:tblStylePr>
    <w:tblStylePr w:type="band1Horz">
      <w:rPr>
        <w:rFonts w:cs="Times New Roman"/>
      </w:rPr>
      <w:tblPr/>
      <w:tcPr>
        <w:shd w:val="clear" w:color="auto" w:fill="E1E2F0"/>
      </w:tcPr>
    </w:tblStylePr>
  </w:style>
  <w:style w:type="table" w:customStyle="1" w:styleId="Tabelalisty4akcent51">
    <w:name w:val="Tabela listy 4 — akcent 51"/>
    <w:uiPriority w:val="99"/>
    <w:rsid w:val="007C28CC"/>
    <w:rPr>
      <w:sz w:val="20"/>
      <w:szCs w:val="20"/>
      <w:lang w:val="en-GB" w:eastAsia="en-GB"/>
    </w:rPr>
    <w:tblPr>
      <w:tblStyleRowBandSize w:val="1"/>
      <w:tblStyleColBandSize w:val="1"/>
      <w:tblInd w:w="0" w:type="dxa"/>
      <w:tblBorders>
        <w:top w:val="single" w:sz="4" w:space="0" w:color="FCC278"/>
        <w:left w:val="single" w:sz="4" w:space="0" w:color="FCC278"/>
        <w:bottom w:val="single" w:sz="4" w:space="0" w:color="FCC278"/>
        <w:right w:val="single" w:sz="4" w:space="0" w:color="FCC278"/>
        <w:insideH w:val="single" w:sz="4" w:space="0" w:color="FCC278"/>
      </w:tblBorders>
      <w:tblCellMar>
        <w:top w:w="0" w:type="dxa"/>
        <w:left w:w="108" w:type="dxa"/>
        <w:bottom w:w="0" w:type="dxa"/>
        <w:right w:w="108" w:type="dxa"/>
      </w:tblCellMar>
    </w:tblPr>
    <w:tblStylePr w:type="firstRow">
      <w:rPr>
        <w:rFonts w:cs="Times New Roman"/>
        <w:b/>
        <w:bCs/>
        <w:color w:val="FFFFFF"/>
      </w:rPr>
      <w:tblPr/>
      <w:tcPr>
        <w:tcBorders>
          <w:top w:val="single" w:sz="4" w:space="0" w:color="FA9B1E"/>
          <w:left w:val="single" w:sz="4" w:space="0" w:color="FA9B1E"/>
          <w:bottom w:val="single" w:sz="4" w:space="0" w:color="FA9B1E"/>
          <w:right w:val="single" w:sz="4" w:space="0" w:color="FA9B1E"/>
          <w:insideH w:val="nil"/>
        </w:tcBorders>
        <w:shd w:val="clear" w:color="auto" w:fill="FA9B1E"/>
      </w:tcPr>
    </w:tblStylePr>
    <w:tblStylePr w:type="lastRow">
      <w:rPr>
        <w:rFonts w:cs="Times New Roman"/>
        <w:b/>
        <w:bCs/>
      </w:rPr>
      <w:tblPr/>
      <w:tcPr>
        <w:tcBorders>
          <w:top w:val="double" w:sz="4" w:space="0" w:color="FCC278"/>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EEAD2"/>
      </w:tcPr>
    </w:tblStylePr>
    <w:tblStylePr w:type="band1Horz">
      <w:rPr>
        <w:rFonts w:cs="Times New Roman"/>
      </w:rPr>
      <w:tblPr/>
      <w:tcPr>
        <w:shd w:val="clear" w:color="auto" w:fill="FEEAD2"/>
      </w:tcPr>
    </w:tblStylePr>
  </w:style>
  <w:style w:type="table" w:customStyle="1" w:styleId="Tabelalisty4akcent61">
    <w:name w:val="Tabela listy 4 — akcent 61"/>
    <w:uiPriority w:val="99"/>
    <w:rsid w:val="007C28CC"/>
    <w:rPr>
      <w:sz w:val="20"/>
      <w:szCs w:val="20"/>
      <w:lang w:val="en-GB" w:eastAsia="en-GB"/>
    </w:rPr>
    <w:tblPr>
      <w:tblStyleRowBandSize w:val="1"/>
      <w:tblStyleColBandSize w:val="1"/>
      <w:tblInd w:w="0" w:type="dxa"/>
      <w:tblBorders>
        <w:top w:val="single" w:sz="4" w:space="0" w:color="6EDEAC"/>
        <w:left w:val="single" w:sz="4" w:space="0" w:color="6EDEAC"/>
        <w:bottom w:val="single" w:sz="4" w:space="0" w:color="6EDEAC"/>
        <w:right w:val="single" w:sz="4" w:space="0" w:color="6EDEAC"/>
        <w:insideH w:val="single" w:sz="4" w:space="0" w:color="6EDEAC"/>
      </w:tblBorders>
      <w:tblCellMar>
        <w:top w:w="0" w:type="dxa"/>
        <w:left w:w="108" w:type="dxa"/>
        <w:bottom w:w="0" w:type="dxa"/>
        <w:right w:w="108" w:type="dxa"/>
      </w:tblCellMar>
    </w:tblPr>
    <w:tblStylePr w:type="firstRow">
      <w:rPr>
        <w:rFonts w:cs="Times New Roman"/>
        <w:b/>
        <w:bCs/>
        <w:color w:val="FFFFFF"/>
      </w:rPr>
      <w:tblPr/>
      <w:tcPr>
        <w:tcBorders>
          <w:top w:val="single" w:sz="4" w:space="0" w:color="28AF73"/>
          <w:left w:val="single" w:sz="4" w:space="0" w:color="28AF73"/>
          <w:bottom w:val="single" w:sz="4" w:space="0" w:color="28AF73"/>
          <w:right w:val="single" w:sz="4" w:space="0" w:color="28AF73"/>
          <w:insideH w:val="nil"/>
        </w:tcBorders>
        <w:shd w:val="clear" w:color="auto" w:fill="28AF73"/>
      </w:tcPr>
    </w:tblStylePr>
    <w:tblStylePr w:type="lastRow">
      <w:rPr>
        <w:rFonts w:cs="Times New Roman"/>
        <w:b/>
        <w:bCs/>
      </w:rPr>
      <w:tblPr/>
      <w:tcPr>
        <w:tcBorders>
          <w:top w:val="double" w:sz="4" w:space="0" w:color="6EDEAC"/>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EF4E3"/>
      </w:tcPr>
    </w:tblStylePr>
    <w:tblStylePr w:type="band1Horz">
      <w:rPr>
        <w:rFonts w:cs="Times New Roman"/>
      </w:rPr>
      <w:tblPr/>
      <w:tcPr>
        <w:shd w:val="clear" w:color="auto" w:fill="CEF4E3"/>
      </w:tcPr>
    </w:tblStylePr>
  </w:style>
  <w:style w:type="table" w:customStyle="1" w:styleId="Tabelalisty5ciemna1">
    <w:name w:val="Tabela listy 5 — ciemna1"/>
    <w:uiPriority w:val="99"/>
    <w:rsid w:val="007C28CC"/>
    <w:rPr>
      <w:color w:val="FFFFFF"/>
      <w:sz w:val="20"/>
      <w:szCs w:val="20"/>
      <w:lang w:val="en-GB" w:eastAsia="en-GB"/>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rFonts w:cs="Times New Roman"/>
        <w:b/>
        <w:bCs/>
      </w:rPr>
      <w:tblPr/>
      <w:tcPr>
        <w:tcBorders>
          <w:bottom w:val="single" w:sz="18" w:space="0" w:color="FFFFFF"/>
        </w:tcBorders>
      </w:tcPr>
    </w:tblStylePr>
    <w:tblStylePr w:type="lastRow">
      <w:rPr>
        <w:rFonts w:cs="Times New Roman"/>
        <w:b/>
        <w:bCs/>
      </w:rPr>
      <w:tblPr/>
      <w:tcPr>
        <w:tcBorders>
          <w:top w:val="single" w:sz="4" w:space="0" w:color="FFFFFF"/>
        </w:tcBorders>
      </w:tcPr>
    </w:tblStylePr>
    <w:tblStylePr w:type="firstCol">
      <w:rPr>
        <w:rFonts w:cs="Times New Roman"/>
        <w:b/>
        <w:bCs/>
      </w:rPr>
      <w:tblPr/>
      <w:tcPr>
        <w:tcBorders>
          <w:right w:val="single" w:sz="4" w:space="0" w:color="FFFFFF"/>
        </w:tcBorders>
      </w:tcPr>
    </w:tblStylePr>
    <w:tblStylePr w:type="lastCol">
      <w:rPr>
        <w:rFonts w:cs="Times New Roman"/>
        <w:b/>
        <w:bCs/>
      </w:rPr>
      <w:tblPr/>
      <w:tcPr>
        <w:tcBorders>
          <w:left w:val="single" w:sz="4" w:space="0" w:color="FFFFFF"/>
        </w:tcBorders>
      </w:tcPr>
    </w:tblStylePr>
    <w:tblStylePr w:type="band1Vert">
      <w:rPr>
        <w:rFonts w:cs="Times New Roman"/>
      </w:rPr>
      <w:tblPr/>
      <w:tcPr>
        <w:tcBorders>
          <w:left w:val="single" w:sz="4" w:space="0" w:color="FFFFFF"/>
          <w:right w:val="single" w:sz="4" w:space="0" w:color="FFFFFF"/>
        </w:tcBorders>
      </w:tcPr>
    </w:tblStylePr>
    <w:tblStylePr w:type="band2Vert">
      <w:rPr>
        <w:rFonts w:cs="Times New Roman"/>
      </w:rPr>
      <w:tblPr/>
      <w:tcPr>
        <w:tcBorders>
          <w:left w:val="single" w:sz="4" w:space="0" w:color="FFFFFF"/>
          <w:right w:val="single" w:sz="4" w:space="0" w:color="FFFFFF"/>
        </w:tcBorders>
      </w:tcPr>
    </w:tblStylePr>
    <w:tblStylePr w:type="band1Horz">
      <w:rPr>
        <w:rFonts w:cs="Times New Roman"/>
      </w:rPr>
      <w:tblPr/>
      <w:tcPr>
        <w:tcBorders>
          <w:top w:val="single" w:sz="4" w:space="0" w:color="FFFFFF"/>
          <w:bottom w:val="single" w:sz="4" w:space="0" w:color="FFFFFF"/>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customStyle="1" w:styleId="Tabelalisty5ciemnaakcent11">
    <w:name w:val="Tabela listy 5 — ciemna — akcent 11"/>
    <w:uiPriority w:val="99"/>
    <w:rsid w:val="007C28CC"/>
    <w:rPr>
      <w:color w:val="FFFFFF"/>
      <w:sz w:val="20"/>
      <w:szCs w:val="20"/>
      <w:lang w:val="en-GB" w:eastAsia="en-GB"/>
    </w:rPr>
    <w:tblPr>
      <w:tblStyleRowBandSize w:val="1"/>
      <w:tblStyleColBandSize w:val="1"/>
      <w:tblInd w:w="0" w:type="dxa"/>
      <w:tblBorders>
        <w:top w:val="single" w:sz="24" w:space="0" w:color="D22D7D"/>
        <w:left w:val="single" w:sz="24" w:space="0" w:color="D22D7D"/>
        <w:bottom w:val="single" w:sz="24" w:space="0" w:color="D22D7D"/>
        <w:right w:val="single" w:sz="24" w:space="0" w:color="D22D7D"/>
      </w:tblBorders>
      <w:tblCellMar>
        <w:top w:w="0" w:type="dxa"/>
        <w:left w:w="108" w:type="dxa"/>
        <w:bottom w:w="0" w:type="dxa"/>
        <w:right w:w="108" w:type="dxa"/>
      </w:tblCellMar>
    </w:tblPr>
    <w:tcPr>
      <w:shd w:val="clear" w:color="auto" w:fill="D22D7D"/>
    </w:tcPr>
    <w:tblStylePr w:type="firstRow">
      <w:rPr>
        <w:rFonts w:cs="Times New Roman"/>
        <w:b/>
        <w:bCs/>
      </w:rPr>
      <w:tblPr/>
      <w:tcPr>
        <w:tcBorders>
          <w:bottom w:val="single" w:sz="18" w:space="0" w:color="FFFFFF"/>
        </w:tcBorders>
      </w:tcPr>
    </w:tblStylePr>
    <w:tblStylePr w:type="lastRow">
      <w:rPr>
        <w:rFonts w:cs="Times New Roman"/>
        <w:b/>
        <w:bCs/>
      </w:rPr>
      <w:tblPr/>
      <w:tcPr>
        <w:tcBorders>
          <w:top w:val="single" w:sz="4" w:space="0" w:color="FFFFFF"/>
        </w:tcBorders>
      </w:tcPr>
    </w:tblStylePr>
    <w:tblStylePr w:type="firstCol">
      <w:rPr>
        <w:rFonts w:cs="Times New Roman"/>
        <w:b/>
        <w:bCs/>
      </w:rPr>
      <w:tblPr/>
      <w:tcPr>
        <w:tcBorders>
          <w:right w:val="single" w:sz="4" w:space="0" w:color="FFFFFF"/>
        </w:tcBorders>
      </w:tcPr>
    </w:tblStylePr>
    <w:tblStylePr w:type="lastCol">
      <w:rPr>
        <w:rFonts w:cs="Times New Roman"/>
        <w:b/>
        <w:bCs/>
      </w:rPr>
      <w:tblPr/>
      <w:tcPr>
        <w:tcBorders>
          <w:left w:val="single" w:sz="4" w:space="0" w:color="FFFFFF"/>
        </w:tcBorders>
      </w:tcPr>
    </w:tblStylePr>
    <w:tblStylePr w:type="band1Vert">
      <w:rPr>
        <w:rFonts w:cs="Times New Roman"/>
      </w:rPr>
      <w:tblPr/>
      <w:tcPr>
        <w:tcBorders>
          <w:left w:val="single" w:sz="4" w:space="0" w:color="FFFFFF"/>
          <w:right w:val="single" w:sz="4" w:space="0" w:color="FFFFFF"/>
        </w:tcBorders>
      </w:tcPr>
    </w:tblStylePr>
    <w:tblStylePr w:type="band2Vert">
      <w:rPr>
        <w:rFonts w:cs="Times New Roman"/>
      </w:rPr>
      <w:tblPr/>
      <w:tcPr>
        <w:tcBorders>
          <w:left w:val="single" w:sz="4" w:space="0" w:color="FFFFFF"/>
          <w:right w:val="single" w:sz="4" w:space="0" w:color="FFFFFF"/>
        </w:tcBorders>
      </w:tcPr>
    </w:tblStylePr>
    <w:tblStylePr w:type="band1Horz">
      <w:rPr>
        <w:rFonts w:cs="Times New Roman"/>
      </w:rPr>
      <w:tblPr/>
      <w:tcPr>
        <w:tcBorders>
          <w:top w:val="single" w:sz="4" w:space="0" w:color="FFFFFF"/>
          <w:bottom w:val="single" w:sz="4" w:space="0" w:color="FFFFFF"/>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customStyle="1" w:styleId="Tabelalisty5ciemnaakcent21">
    <w:name w:val="Tabela listy 5 — ciemna — akcent 21"/>
    <w:uiPriority w:val="99"/>
    <w:rsid w:val="007C28CC"/>
    <w:rPr>
      <w:color w:val="FFFFFF"/>
      <w:sz w:val="20"/>
      <w:szCs w:val="20"/>
      <w:lang w:val="en-GB" w:eastAsia="en-GB"/>
    </w:rPr>
    <w:tblPr>
      <w:tblStyleRowBandSize w:val="1"/>
      <w:tblStyleColBandSize w:val="1"/>
      <w:tblInd w:w="0" w:type="dxa"/>
      <w:tblBorders>
        <w:top w:val="single" w:sz="24" w:space="0" w:color="28AAE1"/>
        <w:left w:val="single" w:sz="24" w:space="0" w:color="28AAE1"/>
        <w:bottom w:val="single" w:sz="24" w:space="0" w:color="28AAE1"/>
        <w:right w:val="single" w:sz="24" w:space="0" w:color="28AAE1"/>
      </w:tblBorders>
      <w:tblCellMar>
        <w:top w:w="0" w:type="dxa"/>
        <w:left w:w="108" w:type="dxa"/>
        <w:bottom w:w="0" w:type="dxa"/>
        <w:right w:w="108" w:type="dxa"/>
      </w:tblCellMar>
    </w:tblPr>
    <w:tcPr>
      <w:shd w:val="clear" w:color="auto" w:fill="28AAE1"/>
    </w:tcPr>
    <w:tblStylePr w:type="firstRow">
      <w:rPr>
        <w:rFonts w:cs="Times New Roman"/>
        <w:b/>
        <w:bCs/>
      </w:rPr>
      <w:tblPr/>
      <w:tcPr>
        <w:tcBorders>
          <w:bottom w:val="single" w:sz="18" w:space="0" w:color="FFFFFF"/>
        </w:tcBorders>
      </w:tcPr>
    </w:tblStylePr>
    <w:tblStylePr w:type="lastRow">
      <w:rPr>
        <w:rFonts w:cs="Times New Roman"/>
        <w:b/>
        <w:bCs/>
      </w:rPr>
      <w:tblPr/>
      <w:tcPr>
        <w:tcBorders>
          <w:top w:val="single" w:sz="4" w:space="0" w:color="FFFFFF"/>
        </w:tcBorders>
      </w:tcPr>
    </w:tblStylePr>
    <w:tblStylePr w:type="firstCol">
      <w:rPr>
        <w:rFonts w:cs="Times New Roman"/>
        <w:b/>
        <w:bCs/>
      </w:rPr>
      <w:tblPr/>
      <w:tcPr>
        <w:tcBorders>
          <w:right w:val="single" w:sz="4" w:space="0" w:color="FFFFFF"/>
        </w:tcBorders>
      </w:tcPr>
    </w:tblStylePr>
    <w:tblStylePr w:type="lastCol">
      <w:rPr>
        <w:rFonts w:cs="Times New Roman"/>
        <w:b/>
        <w:bCs/>
      </w:rPr>
      <w:tblPr/>
      <w:tcPr>
        <w:tcBorders>
          <w:left w:val="single" w:sz="4" w:space="0" w:color="FFFFFF"/>
        </w:tcBorders>
      </w:tcPr>
    </w:tblStylePr>
    <w:tblStylePr w:type="band1Vert">
      <w:rPr>
        <w:rFonts w:cs="Times New Roman"/>
      </w:rPr>
      <w:tblPr/>
      <w:tcPr>
        <w:tcBorders>
          <w:left w:val="single" w:sz="4" w:space="0" w:color="FFFFFF"/>
          <w:right w:val="single" w:sz="4" w:space="0" w:color="FFFFFF"/>
        </w:tcBorders>
      </w:tcPr>
    </w:tblStylePr>
    <w:tblStylePr w:type="band2Vert">
      <w:rPr>
        <w:rFonts w:cs="Times New Roman"/>
      </w:rPr>
      <w:tblPr/>
      <w:tcPr>
        <w:tcBorders>
          <w:left w:val="single" w:sz="4" w:space="0" w:color="FFFFFF"/>
          <w:right w:val="single" w:sz="4" w:space="0" w:color="FFFFFF"/>
        </w:tcBorders>
      </w:tcPr>
    </w:tblStylePr>
    <w:tblStylePr w:type="band1Horz">
      <w:rPr>
        <w:rFonts w:cs="Times New Roman"/>
      </w:rPr>
      <w:tblPr/>
      <w:tcPr>
        <w:tcBorders>
          <w:top w:val="single" w:sz="4" w:space="0" w:color="FFFFFF"/>
          <w:bottom w:val="single" w:sz="4" w:space="0" w:color="FFFFFF"/>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customStyle="1" w:styleId="Tabelalisty5ciemnaakcent31">
    <w:name w:val="Tabela listy 5 — ciemna — akcent 31"/>
    <w:uiPriority w:val="99"/>
    <w:rsid w:val="007C28CC"/>
    <w:rPr>
      <w:color w:val="FFFFFF"/>
      <w:sz w:val="20"/>
      <w:szCs w:val="20"/>
      <w:lang w:val="en-GB" w:eastAsia="en-GB"/>
    </w:rPr>
    <w:tblPr>
      <w:tblStyleRowBandSize w:val="1"/>
      <w:tblStyleColBandSize w:val="1"/>
      <w:tblInd w:w="0" w:type="dxa"/>
      <w:tblBorders>
        <w:top w:val="single" w:sz="24" w:space="0" w:color="F05023"/>
        <w:left w:val="single" w:sz="24" w:space="0" w:color="F05023"/>
        <w:bottom w:val="single" w:sz="24" w:space="0" w:color="F05023"/>
        <w:right w:val="single" w:sz="24" w:space="0" w:color="F05023"/>
      </w:tblBorders>
      <w:tblCellMar>
        <w:top w:w="0" w:type="dxa"/>
        <w:left w:w="108" w:type="dxa"/>
        <w:bottom w:w="0" w:type="dxa"/>
        <w:right w:w="108" w:type="dxa"/>
      </w:tblCellMar>
    </w:tblPr>
    <w:tcPr>
      <w:shd w:val="clear" w:color="auto" w:fill="F05023"/>
    </w:tcPr>
    <w:tblStylePr w:type="firstRow">
      <w:rPr>
        <w:rFonts w:cs="Times New Roman"/>
        <w:b/>
        <w:bCs/>
      </w:rPr>
      <w:tblPr/>
      <w:tcPr>
        <w:tcBorders>
          <w:bottom w:val="single" w:sz="18" w:space="0" w:color="FFFFFF"/>
        </w:tcBorders>
      </w:tcPr>
    </w:tblStylePr>
    <w:tblStylePr w:type="lastRow">
      <w:rPr>
        <w:rFonts w:cs="Times New Roman"/>
        <w:b/>
        <w:bCs/>
      </w:rPr>
      <w:tblPr/>
      <w:tcPr>
        <w:tcBorders>
          <w:top w:val="single" w:sz="4" w:space="0" w:color="FFFFFF"/>
        </w:tcBorders>
      </w:tcPr>
    </w:tblStylePr>
    <w:tblStylePr w:type="firstCol">
      <w:rPr>
        <w:rFonts w:cs="Times New Roman"/>
        <w:b/>
        <w:bCs/>
      </w:rPr>
      <w:tblPr/>
      <w:tcPr>
        <w:tcBorders>
          <w:right w:val="single" w:sz="4" w:space="0" w:color="FFFFFF"/>
        </w:tcBorders>
      </w:tcPr>
    </w:tblStylePr>
    <w:tblStylePr w:type="lastCol">
      <w:rPr>
        <w:rFonts w:cs="Times New Roman"/>
        <w:b/>
        <w:bCs/>
      </w:rPr>
      <w:tblPr/>
      <w:tcPr>
        <w:tcBorders>
          <w:left w:val="single" w:sz="4" w:space="0" w:color="FFFFFF"/>
        </w:tcBorders>
      </w:tcPr>
    </w:tblStylePr>
    <w:tblStylePr w:type="band1Vert">
      <w:rPr>
        <w:rFonts w:cs="Times New Roman"/>
      </w:rPr>
      <w:tblPr/>
      <w:tcPr>
        <w:tcBorders>
          <w:left w:val="single" w:sz="4" w:space="0" w:color="FFFFFF"/>
          <w:right w:val="single" w:sz="4" w:space="0" w:color="FFFFFF"/>
        </w:tcBorders>
      </w:tcPr>
    </w:tblStylePr>
    <w:tblStylePr w:type="band2Vert">
      <w:rPr>
        <w:rFonts w:cs="Times New Roman"/>
      </w:rPr>
      <w:tblPr/>
      <w:tcPr>
        <w:tcBorders>
          <w:left w:val="single" w:sz="4" w:space="0" w:color="FFFFFF"/>
          <w:right w:val="single" w:sz="4" w:space="0" w:color="FFFFFF"/>
        </w:tcBorders>
      </w:tcPr>
    </w:tblStylePr>
    <w:tblStylePr w:type="band1Horz">
      <w:rPr>
        <w:rFonts w:cs="Times New Roman"/>
      </w:rPr>
      <w:tblPr/>
      <w:tcPr>
        <w:tcBorders>
          <w:top w:val="single" w:sz="4" w:space="0" w:color="FFFFFF"/>
          <w:bottom w:val="single" w:sz="4" w:space="0" w:color="FFFFFF"/>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customStyle="1" w:styleId="Tabelalisty5ciemnaakcent41">
    <w:name w:val="Tabela listy 5 — ciemna — akcent 41"/>
    <w:uiPriority w:val="99"/>
    <w:rsid w:val="007C28CC"/>
    <w:rPr>
      <w:color w:val="FFFFFF"/>
      <w:sz w:val="20"/>
      <w:szCs w:val="20"/>
      <w:lang w:val="en-GB" w:eastAsia="en-GB"/>
    </w:rPr>
    <w:tblPr>
      <w:tblStyleRowBandSize w:val="1"/>
      <w:tblStyleColBandSize w:val="1"/>
      <w:tblInd w:w="0" w:type="dxa"/>
      <w:tblBorders>
        <w:top w:val="single" w:sz="24" w:space="0" w:color="696EB4"/>
        <w:left w:val="single" w:sz="24" w:space="0" w:color="696EB4"/>
        <w:bottom w:val="single" w:sz="24" w:space="0" w:color="696EB4"/>
        <w:right w:val="single" w:sz="24" w:space="0" w:color="696EB4"/>
      </w:tblBorders>
      <w:tblCellMar>
        <w:top w:w="0" w:type="dxa"/>
        <w:left w:w="108" w:type="dxa"/>
        <w:bottom w:w="0" w:type="dxa"/>
        <w:right w:w="108" w:type="dxa"/>
      </w:tblCellMar>
    </w:tblPr>
    <w:tcPr>
      <w:shd w:val="clear" w:color="auto" w:fill="696EB4"/>
    </w:tcPr>
    <w:tblStylePr w:type="firstRow">
      <w:rPr>
        <w:rFonts w:cs="Times New Roman"/>
        <w:b/>
        <w:bCs/>
      </w:rPr>
      <w:tblPr/>
      <w:tcPr>
        <w:tcBorders>
          <w:bottom w:val="single" w:sz="18" w:space="0" w:color="FFFFFF"/>
        </w:tcBorders>
      </w:tcPr>
    </w:tblStylePr>
    <w:tblStylePr w:type="lastRow">
      <w:rPr>
        <w:rFonts w:cs="Times New Roman"/>
        <w:b/>
        <w:bCs/>
      </w:rPr>
      <w:tblPr/>
      <w:tcPr>
        <w:tcBorders>
          <w:top w:val="single" w:sz="4" w:space="0" w:color="FFFFFF"/>
        </w:tcBorders>
      </w:tcPr>
    </w:tblStylePr>
    <w:tblStylePr w:type="firstCol">
      <w:rPr>
        <w:rFonts w:cs="Times New Roman"/>
        <w:b/>
        <w:bCs/>
      </w:rPr>
      <w:tblPr/>
      <w:tcPr>
        <w:tcBorders>
          <w:right w:val="single" w:sz="4" w:space="0" w:color="FFFFFF"/>
        </w:tcBorders>
      </w:tcPr>
    </w:tblStylePr>
    <w:tblStylePr w:type="lastCol">
      <w:rPr>
        <w:rFonts w:cs="Times New Roman"/>
        <w:b/>
        <w:bCs/>
      </w:rPr>
      <w:tblPr/>
      <w:tcPr>
        <w:tcBorders>
          <w:left w:val="single" w:sz="4" w:space="0" w:color="FFFFFF"/>
        </w:tcBorders>
      </w:tcPr>
    </w:tblStylePr>
    <w:tblStylePr w:type="band1Vert">
      <w:rPr>
        <w:rFonts w:cs="Times New Roman"/>
      </w:rPr>
      <w:tblPr/>
      <w:tcPr>
        <w:tcBorders>
          <w:left w:val="single" w:sz="4" w:space="0" w:color="FFFFFF"/>
          <w:right w:val="single" w:sz="4" w:space="0" w:color="FFFFFF"/>
        </w:tcBorders>
      </w:tcPr>
    </w:tblStylePr>
    <w:tblStylePr w:type="band2Vert">
      <w:rPr>
        <w:rFonts w:cs="Times New Roman"/>
      </w:rPr>
      <w:tblPr/>
      <w:tcPr>
        <w:tcBorders>
          <w:left w:val="single" w:sz="4" w:space="0" w:color="FFFFFF"/>
          <w:right w:val="single" w:sz="4" w:space="0" w:color="FFFFFF"/>
        </w:tcBorders>
      </w:tcPr>
    </w:tblStylePr>
    <w:tblStylePr w:type="band1Horz">
      <w:rPr>
        <w:rFonts w:cs="Times New Roman"/>
      </w:rPr>
      <w:tblPr/>
      <w:tcPr>
        <w:tcBorders>
          <w:top w:val="single" w:sz="4" w:space="0" w:color="FFFFFF"/>
          <w:bottom w:val="single" w:sz="4" w:space="0" w:color="FFFFFF"/>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customStyle="1" w:styleId="Tabelalisty5ciemnaakcent51">
    <w:name w:val="Tabela listy 5 — ciemna — akcent 51"/>
    <w:uiPriority w:val="99"/>
    <w:rsid w:val="007C28CC"/>
    <w:rPr>
      <w:color w:val="FFFFFF"/>
      <w:sz w:val="20"/>
      <w:szCs w:val="20"/>
      <w:lang w:val="en-GB" w:eastAsia="en-GB"/>
    </w:rPr>
    <w:tblPr>
      <w:tblStyleRowBandSize w:val="1"/>
      <w:tblStyleColBandSize w:val="1"/>
      <w:tblInd w:w="0" w:type="dxa"/>
      <w:tblBorders>
        <w:top w:val="single" w:sz="24" w:space="0" w:color="FA9B1E"/>
        <w:left w:val="single" w:sz="24" w:space="0" w:color="FA9B1E"/>
        <w:bottom w:val="single" w:sz="24" w:space="0" w:color="FA9B1E"/>
        <w:right w:val="single" w:sz="24" w:space="0" w:color="FA9B1E"/>
      </w:tblBorders>
      <w:tblCellMar>
        <w:top w:w="0" w:type="dxa"/>
        <w:left w:w="108" w:type="dxa"/>
        <w:bottom w:w="0" w:type="dxa"/>
        <w:right w:w="108" w:type="dxa"/>
      </w:tblCellMar>
    </w:tblPr>
    <w:tcPr>
      <w:shd w:val="clear" w:color="auto" w:fill="FA9B1E"/>
    </w:tcPr>
    <w:tblStylePr w:type="firstRow">
      <w:rPr>
        <w:rFonts w:cs="Times New Roman"/>
        <w:b/>
        <w:bCs/>
      </w:rPr>
      <w:tblPr/>
      <w:tcPr>
        <w:tcBorders>
          <w:bottom w:val="single" w:sz="18" w:space="0" w:color="FFFFFF"/>
        </w:tcBorders>
      </w:tcPr>
    </w:tblStylePr>
    <w:tblStylePr w:type="lastRow">
      <w:rPr>
        <w:rFonts w:cs="Times New Roman"/>
        <w:b/>
        <w:bCs/>
      </w:rPr>
      <w:tblPr/>
      <w:tcPr>
        <w:tcBorders>
          <w:top w:val="single" w:sz="4" w:space="0" w:color="FFFFFF"/>
        </w:tcBorders>
      </w:tcPr>
    </w:tblStylePr>
    <w:tblStylePr w:type="firstCol">
      <w:rPr>
        <w:rFonts w:cs="Times New Roman"/>
        <w:b/>
        <w:bCs/>
      </w:rPr>
      <w:tblPr/>
      <w:tcPr>
        <w:tcBorders>
          <w:right w:val="single" w:sz="4" w:space="0" w:color="FFFFFF"/>
        </w:tcBorders>
      </w:tcPr>
    </w:tblStylePr>
    <w:tblStylePr w:type="lastCol">
      <w:rPr>
        <w:rFonts w:cs="Times New Roman"/>
        <w:b/>
        <w:bCs/>
      </w:rPr>
      <w:tblPr/>
      <w:tcPr>
        <w:tcBorders>
          <w:left w:val="single" w:sz="4" w:space="0" w:color="FFFFFF"/>
        </w:tcBorders>
      </w:tcPr>
    </w:tblStylePr>
    <w:tblStylePr w:type="band1Vert">
      <w:rPr>
        <w:rFonts w:cs="Times New Roman"/>
      </w:rPr>
      <w:tblPr/>
      <w:tcPr>
        <w:tcBorders>
          <w:left w:val="single" w:sz="4" w:space="0" w:color="FFFFFF"/>
          <w:right w:val="single" w:sz="4" w:space="0" w:color="FFFFFF"/>
        </w:tcBorders>
      </w:tcPr>
    </w:tblStylePr>
    <w:tblStylePr w:type="band2Vert">
      <w:rPr>
        <w:rFonts w:cs="Times New Roman"/>
      </w:rPr>
      <w:tblPr/>
      <w:tcPr>
        <w:tcBorders>
          <w:left w:val="single" w:sz="4" w:space="0" w:color="FFFFFF"/>
          <w:right w:val="single" w:sz="4" w:space="0" w:color="FFFFFF"/>
        </w:tcBorders>
      </w:tcPr>
    </w:tblStylePr>
    <w:tblStylePr w:type="band1Horz">
      <w:rPr>
        <w:rFonts w:cs="Times New Roman"/>
      </w:rPr>
      <w:tblPr/>
      <w:tcPr>
        <w:tcBorders>
          <w:top w:val="single" w:sz="4" w:space="0" w:color="FFFFFF"/>
          <w:bottom w:val="single" w:sz="4" w:space="0" w:color="FFFFFF"/>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customStyle="1" w:styleId="Tabelalisty5ciemnaakcent61">
    <w:name w:val="Tabela listy 5 — ciemna — akcent 61"/>
    <w:uiPriority w:val="99"/>
    <w:rsid w:val="007C28CC"/>
    <w:rPr>
      <w:color w:val="FFFFFF"/>
      <w:sz w:val="20"/>
      <w:szCs w:val="20"/>
      <w:lang w:val="en-GB" w:eastAsia="en-GB"/>
    </w:rPr>
    <w:tblPr>
      <w:tblStyleRowBandSize w:val="1"/>
      <w:tblStyleColBandSize w:val="1"/>
      <w:tblInd w:w="0" w:type="dxa"/>
      <w:tblBorders>
        <w:top w:val="single" w:sz="24" w:space="0" w:color="28AF73"/>
        <w:left w:val="single" w:sz="24" w:space="0" w:color="28AF73"/>
        <w:bottom w:val="single" w:sz="24" w:space="0" w:color="28AF73"/>
        <w:right w:val="single" w:sz="24" w:space="0" w:color="28AF73"/>
      </w:tblBorders>
      <w:tblCellMar>
        <w:top w:w="0" w:type="dxa"/>
        <w:left w:w="108" w:type="dxa"/>
        <w:bottom w:w="0" w:type="dxa"/>
        <w:right w:w="108" w:type="dxa"/>
      </w:tblCellMar>
    </w:tblPr>
    <w:tcPr>
      <w:shd w:val="clear" w:color="auto" w:fill="28AF73"/>
    </w:tcPr>
    <w:tblStylePr w:type="firstRow">
      <w:rPr>
        <w:rFonts w:cs="Times New Roman"/>
        <w:b/>
        <w:bCs/>
      </w:rPr>
      <w:tblPr/>
      <w:tcPr>
        <w:tcBorders>
          <w:bottom w:val="single" w:sz="18" w:space="0" w:color="FFFFFF"/>
        </w:tcBorders>
      </w:tcPr>
    </w:tblStylePr>
    <w:tblStylePr w:type="lastRow">
      <w:rPr>
        <w:rFonts w:cs="Times New Roman"/>
        <w:b/>
        <w:bCs/>
      </w:rPr>
      <w:tblPr/>
      <w:tcPr>
        <w:tcBorders>
          <w:top w:val="single" w:sz="4" w:space="0" w:color="FFFFFF"/>
        </w:tcBorders>
      </w:tcPr>
    </w:tblStylePr>
    <w:tblStylePr w:type="firstCol">
      <w:rPr>
        <w:rFonts w:cs="Times New Roman"/>
        <w:b/>
        <w:bCs/>
      </w:rPr>
      <w:tblPr/>
      <w:tcPr>
        <w:tcBorders>
          <w:right w:val="single" w:sz="4" w:space="0" w:color="FFFFFF"/>
        </w:tcBorders>
      </w:tcPr>
    </w:tblStylePr>
    <w:tblStylePr w:type="lastCol">
      <w:rPr>
        <w:rFonts w:cs="Times New Roman"/>
        <w:b/>
        <w:bCs/>
      </w:rPr>
      <w:tblPr/>
      <w:tcPr>
        <w:tcBorders>
          <w:left w:val="single" w:sz="4" w:space="0" w:color="FFFFFF"/>
        </w:tcBorders>
      </w:tcPr>
    </w:tblStylePr>
    <w:tblStylePr w:type="band1Vert">
      <w:rPr>
        <w:rFonts w:cs="Times New Roman"/>
      </w:rPr>
      <w:tblPr/>
      <w:tcPr>
        <w:tcBorders>
          <w:left w:val="single" w:sz="4" w:space="0" w:color="FFFFFF"/>
          <w:right w:val="single" w:sz="4" w:space="0" w:color="FFFFFF"/>
        </w:tcBorders>
      </w:tcPr>
    </w:tblStylePr>
    <w:tblStylePr w:type="band2Vert">
      <w:rPr>
        <w:rFonts w:cs="Times New Roman"/>
      </w:rPr>
      <w:tblPr/>
      <w:tcPr>
        <w:tcBorders>
          <w:left w:val="single" w:sz="4" w:space="0" w:color="FFFFFF"/>
          <w:right w:val="single" w:sz="4" w:space="0" w:color="FFFFFF"/>
        </w:tcBorders>
      </w:tcPr>
    </w:tblStylePr>
    <w:tblStylePr w:type="band1Horz">
      <w:rPr>
        <w:rFonts w:cs="Times New Roman"/>
      </w:rPr>
      <w:tblPr/>
      <w:tcPr>
        <w:tcBorders>
          <w:top w:val="single" w:sz="4" w:space="0" w:color="FFFFFF"/>
          <w:bottom w:val="single" w:sz="4" w:space="0" w:color="FFFFFF"/>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customStyle="1" w:styleId="Tabelalisty6kolorowa1">
    <w:name w:val="Tabela listy 6 — kolorowa1"/>
    <w:uiPriority w:val="99"/>
    <w:rsid w:val="007C28CC"/>
    <w:rPr>
      <w:color w:val="000000"/>
      <w:sz w:val="20"/>
      <w:szCs w:val="20"/>
      <w:lang w:val="en-GB" w:eastAsia="en-GB"/>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rFonts w:cs="Times New Roman"/>
        <w:b/>
        <w:bCs/>
      </w:rPr>
      <w:tblPr/>
      <w:tcPr>
        <w:tcBorders>
          <w:bottom w:val="single" w:sz="4" w:space="0" w:color="000000"/>
        </w:tcBorders>
      </w:tcPr>
    </w:tblStylePr>
    <w:tblStylePr w:type="lastRow">
      <w:rPr>
        <w:rFonts w:cs="Times New Roman"/>
        <w:b/>
        <w:bCs/>
      </w:rPr>
      <w:tblPr/>
      <w:tcPr>
        <w:tcBorders>
          <w:top w:val="double" w:sz="4"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table" w:customStyle="1" w:styleId="Tabelalisty6kolorowaakcent11">
    <w:name w:val="Tabela listy 6 — kolorowa — akcent 11"/>
    <w:uiPriority w:val="99"/>
    <w:rsid w:val="007C28CC"/>
    <w:rPr>
      <w:color w:val="9D215D"/>
      <w:sz w:val="20"/>
      <w:szCs w:val="20"/>
      <w:lang w:val="en-GB" w:eastAsia="en-GB"/>
    </w:rPr>
    <w:tblPr>
      <w:tblStyleRowBandSize w:val="1"/>
      <w:tblStyleColBandSize w:val="1"/>
      <w:tblInd w:w="0" w:type="dxa"/>
      <w:tblBorders>
        <w:top w:val="single" w:sz="4" w:space="0" w:color="D22D7D"/>
        <w:bottom w:val="single" w:sz="4" w:space="0" w:color="D22D7D"/>
      </w:tblBorders>
      <w:tblCellMar>
        <w:top w:w="0" w:type="dxa"/>
        <w:left w:w="108" w:type="dxa"/>
        <w:bottom w:w="0" w:type="dxa"/>
        <w:right w:w="108" w:type="dxa"/>
      </w:tblCellMar>
    </w:tblPr>
    <w:tblStylePr w:type="firstRow">
      <w:rPr>
        <w:rFonts w:cs="Times New Roman"/>
        <w:b/>
        <w:bCs/>
      </w:rPr>
      <w:tblPr/>
      <w:tcPr>
        <w:tcBorders>
          <w:bottom w:val="single" w:sz="4" w:space="0" w:color="D22D7D"/>
        </w:tcBorders>
      </w:tcPr>
    </w:tblStylePr>
    <w:tblStylePr w:type="lastRow">
      <w:rPr>
        <w:rFonts w:cs="Times New Roman"/>
        <w:b/>
        <w:bCs/>
      </w:rPr>
      <w:tblPr/>
      <w:tcPr>
        <w:tcBorders>
          <w:top w:val="double" w:sz="4" w:space="0" w:color="D22D7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6D5E4"/>
      </w:tcPr>
    </w:tblStylePr>
    <w:tblStylePr w:type="band1Horz">
      <w:rPr>
        <w:rFonts w:cs="Times New Roman"/>
      </w:rPr>
      <w:tblPr/>
      <w:tcPr>
        <w:shd w:val="clear" w:color="auto" w:fill="F6D5E4"/>
      </w:tcPr>
    </w:tblStylePr>
  </w:style>
  <w:style w:type="table" w:customStyle="1" w:styleId="Tabelalisty6kolorowaakcent21">
    <w:name w:val="Tabela listy 6 — kolorowa — akcent 21"/>
    <w:uiPriority w:val="99"/>
    <w:rsid w:val="007C28CC"/>
    <w:rPr>
      <w:color w:val="1881AE"/>
      <w:sz w:val="20"/>
      <w:szCs w:val="20"/>
      <w:lang w:val="en-GB" w:eastAsia="en-GB"/>
    </w:rPr>
    <w:tblPr>
      <w:tblStyleRowBandSize w:val="1"/>
      <w:tblStyleColBandSize w:val="1"/>
      <w:tblInd w:w="0" w:type="dxa"/>
      <w:tblBorders>
        <w:top w:val="single" w:sz="4" w:space="0" w:color="28AAE1"/>
        <w:bottom w:val="single" w:sz="4" w:space="0" w:color="28AAE1"/>
      </w:tblBorders>
      <w:tblCellMar>
        <w:top w:w="0" w:type="dxa"/>
        <w:left w:w="108" w:type="dxa"/>
        <w:bottom w:w="0" w:type="dxa"/>
        <w:right w:w="108" w:type="dxa"/>
      </w:tblCellMar>
    </w:tblPr>
    <w:tblStylePr w:type="firstRow">
      <w:rPr>
        <w:rFonts w:cs="Times New Roman"/>
        <w:b/>
        <w:bCs/>
      </w:rPr>
      <w:tblPr/>
      <w:tcPr>
        <w:tcBorders>
          <w:bottom w:val="single" w:sz="4" w:space="0" w:color="28AAE1"/>
        </w:tcBorders>
      </w:tcPr>
    </w:tblStylePr>
    <w:tblStylePr w:type="lastRow">
      <w:rPr>
        <w:rFonts w:cs="Times New Roman"/>
        <w:b/>
        <w:bCs/>
      </w:rPr>
      <w:tblPr/>
      <w:tcPr>
        <w:tcBorders>
          <w:top w:val="double" w:sz="4" w:space="0" w:color="28AAE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4EDF9"/>
      </w:tcPr>
    </w:tblStylePr>
    <w:tblStylePr w:type="band1Horz">
      <w:rPr>
        <w:rFonts w:cs="Times New Roman"/>
      </w:rPr>
      <w:tblPr/>
      <w:tcPr>
        <w:shd w:val="clear" w:color="auto" w:fill="D4EDF9"/>
      </w:tcPr>
    </w:tblStylePr>
  </w:style>
  <w:style w:type="table" w:customStyle="1" w:styleId="Tabelalisty6kolorowaakcent31">
    <w:name w:val="Tabela listy 6 — kolorowa — akcent 31"/>
    <w:uiPriority w:val="99"/>
    <w:rsid w:val="007C28CC"/>
    <w:rPr>
      <w:color w:val="C0330D"/>
      <w:sz w:val="20"/>
      <w:szCs w:val="20"/>
      <w:lang w:val="en-GB" w:eastAsia="en-GB"/>
    </w:rPr>
    <w:tblPr>
      <w:tblStyleRowBandSize w:val="1"/>
      <w:tblStyleColBandSize w:val="1"/>
      <w:tblInd w:w="0" w:type="dxa"/>
      <w:tblBorders>
        <w:top w:val="single" w:sz="4" w:space="0" w:color="F05023"/>
        <w:bottom w:val="single" w:sz="4" w:space="0" w:color="F05023"/>
      </w:tblBorders>
      <w:tblCellMar>
        <w:top w:w="0" w:type="dxa"/>
        <w:left w:w="108" w:type="dxa"/>
        <w:bottom w:w="0" w:type="dxa"/>
        <w:right w:w="108" w:type="dxa"/>
      </w:tblCellMar>
    </w:tblPr>
    <w:tblStylePr w:type="firstRow">
      <w:rPr>
        <w:rFonts w:cs="Times New Roman"/>
        <w:b/>
        <w:bCs/>
      </w:rPr>
      <w:tblPr/>
      <w:tcPr>
        <w:tcBorders>
          <w:bottom w:val="single" w:sz="4" w:space="0" w:color="F05023"/>
        </w:tcBorders>
      </w:tcPr>
    </w:tblStylePr>
    <w:tblStylePr w:type="lastRow">
      <w:rPr>
        <w:rFonts w:cs="Times New Roman"/>
        <w:b/>
        <w:bCs/>
      </w:rPr>
      <w:tblPr/>
      <w:tcPr>
        <w:tcBorders>
          <w:top w:val="double" w:sz="4" w:space="0" w:color="F05023"/>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CDBD3"/>
      </w:tcPr>
    </w:tblStylePr>
    <w:tblStylePr w:type="band1Horz">
      <w:rPr>
        <w:rFonts w:cs="Times New Roman"/>
      </w:rPr>
      <w:tblPr/>
      <w:tcPr>
        <w:shd w:val="clear" w:color="auto" w:fill="FCDBD3"/>
      </w:tcPr>
    </w:tblStylePr>
  </w:style>
  <w:style w:type="table" w:customStyle="1" w:styleId="Tabelalisty6kolorowaakcent41">
    <w:name w:val="Tabela listy 6 — kolorowa — akcent 41"/>
    <w:uiPriority w:val="99"/>
    <w:rsid w:val="007C28CC"/>
    <w:rPr>
      <w:color w:val="474B8E"/>
      <w:sz w:val="20"/>
      <w:szCs w:val="20"/>
      <w:lang w:val="en-GB" w:eastAsia="en-GB"/>
    </w:rPr>
    <w:tblPr>
      <w:tblStyleRowBandSize w:val="1"/>
      <w:tblStyleColBandSize w:val="1"/>
      <w:tblInd w:w="0" w:type="dxa"/>
      <w:tblBorders>
        <w:top w:val="single" w:sz="4" w:space="0" w:color="696EB4"/>
        <w:bottom w:val="single" w:sz="4" w:space="0" w:color="696EB4"/>
      </w:tblBorders>
      <w:tblCellMar>
        <w:top w:w="0" w:type="dxa"/>
        <w:left w:w="108" w:type="dxa"/>
        <w:bottom w:w="0" w:type="dxa"/>
        <w:right w:w="108" w:type="dxa"/>
      </w:tblCellMar>
    </w:tblPr>
    <w:tblStylePr w:type="firstRow">
      <w:rPr>
        <w:rFonts w:cs="Times New Roman"/>
        <w:b/>
        <w:bCs/>
      </w:rPr>
      <w:tblPr/>
      <w:tcPr>
        <w:tcBorders>
          <w:bottom w:val="single" w:sz="4" w:space="0" w:color="696EB4"/>
        </w:tcBorders>
      </w:tcPr>
    </w:tblStylePr>
    <w:tblStylePr w:type="lastRow">
      <w:rPr>
        <w:rFonts w:cs="Times New Roman"/>
        <w:b/>
        <w:bCs/>
      </w:rPr>
      <w:tblPr/>
      <w:tcPr>
        <w:tcBorders>
          <w:top w:val="double" w:sz="4" w:space="0" w:color="696EB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1E2F0"/>
      </w:tcPr>
    </w:tblStylePr>
    <w:tblStylePr w:type="band1Horz">
      <w:rPr>
        <w:rFonts w:cs="Times New Roman"/>
      </w:rPr>
      <w:tblPr/>
      <w:tcPr>
        <w:shd w:val="clear" w:color="auto" w:fill="E1E2F0"/>
      </w:tcPr>
    </w:tblStylePr>
  </w:style>
  <w:style w:type="table" w:customStyle="1" w:styleId="Tabelalisty6kolorowaakcent51">
    <w:name w:val="Tabela listy 6 — kolorowa — akcent 51"/>
    <w:uiPriority w:val="99"/>
    <w:rsid w:val="007C28CC"/>
    <w:rPr>
      <w:color w:val="CD7504"/>
      <w:sz w:val="20"/>
      <w:szCs w:val="20"/>
      <w:lang w:val="en-GB" w:eastAsia="en-GB"/>
    </w:rPr>
    <w:tblPr>
      <w:tblStyleRowBandSize w:val="1"/>
      <w:tblStyleColBandSize w:val="1"/>
      <w:tblInd w:w="0" w:type="dxa"/>
      <w:tblBorders>
        <w:top w:val="single" w:sz="4" w:space="0" w:color="FA9B1E"/>
        <w:bottom w:val="single" w:sz="4" w:space="0" w:color="FA9B1E"/>
      </w:tblBorders>
      <w:tblCellMar>
        <w:top w:w="0" w:type="dxa"/>
        <w:left w:w="108" w:type="dxa"/>
        <w:bottom w:w="0" w:type="dxa"/>
        <w:right w:w="108" w:type="dxa"/>
      </w:tblCellMar>
    </w:tblPr>
    <w:tblStylePr w:type="firstRow">
      <w:rPr>
        <w:rFonts w:cs="Times New Roman"/>
        <w:b/>
        <w:bCs/>
      </w:rPr>
      <w:tblPr/>
      <w:tcPr>
        <w:tcBorders>
          <w:bottom w:val="single" w:sz="4" w:space="0" w:color="FA9B1E"/>
        </w:tcBorders>
      </w:tcPr>
    </w:tblStylePr>
    <w:tblStylePr w:type="lastRow">
      <w:rPr>
        <w:rFonts w:cs="Times New Roman"/>
        <w:b/>
        <w:bCs/>
      </w:rPr>
      <w:tblPr/>
      <w:tcPr>
        <w:tcBorders>
          <w:top w:val="double" w:sz="4" w:space="0" w:color="FA9B1E"/>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EEAD2"/>
      </w:tcPr>
    </w:tblStylePr>
    <w:tblStylePr w:type="band1Horz">
      <w:rPr>
        <w:rFonts w:cs="Times New Roman"/>
      </w:rPr>
      <w:tblPr/>
      <w:tcPr>
        <w:shd w:val="clear" w:color="auto" w:fill="FEEAD2"/>
      </w:tcPr>
    </w:tblStylePr>
  </w:style>
  <w:style w:type="table" w:customStyle="1" w:styleId="Tabelalisty6kolorowaakcent61">
    <w:name w:val="Tabela listy 6 — kolorowa — akcent 61"/>
    <w:uiPriority w:val="99"/>
    <w:rsid w:val="007C28CC"/>
    <w:rPr>
      <w:color w:val="1E8355"/>
      <w:sz w:val="20"/>
      <w:szCs w:val="20"/>
      <w:lang w:val="en-GB" w:eastAsia="en-GB"/>
    </w:rPr>
    <w:tblPr>
      <w:tblStyleRowBandSize w:val="1"/>
      <w:tblStyleColBandSize w:val="1"/>
      <w:tblInd w:w="0" w:type="dxa"/>
      <w:tblBorders>
        <w:top w:val="single" w:sz="4" w:space="0" w:color="28AF73"/>
        <w:bottom w:val="single" w:sz="4" w:space="0" w:color="28AF73"/>
      </w:tblBorders>
      <w:tblCellMar>
        <w:top w:w="0" w:type="dxa"/>
        <w:left w:w="108" w:type="dxa"/>
        <w:bottom w:w="0" w:type="dxa"/>
        <w:right w:w="108" w:type="dxa"/>
      </w:tblCellMar>
    </w:tblPr>
    <w:tblStylePr w:type="firstRow">
      <w:rPr>
        <w:rFonts w:cs="Times New Roman"/>
        <w:b/>
        <w:bCs/>
      </w:rPr>
      <w:tblPr/>
      <w:tcPr>
        <w:tcBorders>
          <w:bottom w:val="single" w:sz="4" w:space="0" w:color="28AF73"/>
        </w:tcBorders>
      </w:tcPr>
    </w:tblStylePr>
    <w:tblStylePr w:type="lastRow">
      <w:rPr>
        <w:rFonts w:cs="Times New Roman"/>
        <w:b/>
        <w:bCs/>
      </w:rPr>
      <w:tblPr/>
      <w:tcPr>
        <w:tcBorders>
          <w:top w:val="double" w:sz="4" w:space="0" w:color="28AF73"/>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EF4E3"/>
      </w:tcPr>
    </w:tblStylePr>
    <w:tblStylePr w:type="band1Horz">
      <w:rPr>
        <w:rFonts w:cs="Times New Roman"/>
      </w:rPr>
      <w:tblPr/>
      <w:tcPr>
        <w:shd w:val="clear" w:color="auto" w:fill="CEF4E3"/>
      </w:tcPr>
    </w:tblStylePr>
  </w:style>
  <w:style w:type="table" w:customStyle="1" w:styleId="Tabelalisty7kolorowa1">
    <w:name w:val="Tabela listy 7 — kolorowa1"/>
    <w:uiPriority w:val="99"/>
    <w:rsid w:val="007C28CC"/>
    <w:rPr>
      <w:color w:val="000000"/>
      <w:sz w:val="20"/>
      <w:szCs w:val="20"/>
      <w:lang w:val="en-GB" w:eastAsia="en-GB"/>
    </w:rPr>
    <w:tblPr>
      <w:tblStyleRowBandSize w:val="1"/>
      <w:tblStyleColBandSize w:val="1"/>
      <w:tblInd w:w="0" w:type="dxa"/>
      <w:tblCellMar>
        <w:top w:w="0" w:type="dxa"/>
        <w:left w:w="108" w:type="dxa"/>
        <w:bottom w:w="0" w:type="dxa"/>
        <w:right w:w="108" w:type="dxa"/>
      </w:tblCellMar>
    </w:tblPr>
    <w:tblStylePr w:type="firstRow">
      <w:rPr>
        <w:rFonts w:ascii="Times New Roman" w:eastAsia="MS Gothic" w:hAnsi="Times New Roman" w:cs="Times New Roman"/>
        <w:i/>
        <w:iCs/>
        <w:sz w:val="26"/>
      </w:rPr>
      <w:tblPr/>
      <w:tcPr>
        <w:tcBorders>
          <w:bottom w:val="single" w:sz="4" w:space="0" w:color="000000"/>
        </w:tcBorders>
        <w:shd w:val="clear" w:color="auto" w:fill="FFFFFF"/>
      </w:tcPr>
    </w:tblStylePr>
    <w:tblStylePr w:type="lastRow">
      <w:rPr>
        <w:rFonts w:ascii="Times New Roman" w:eastAsia="MS Gothic" w:hAnsi="Times New Roman" w:cs="Times New Roman"/>
        <w:i/>
        <w:iCs/>
        <w:sz w:val="26"/>
      </w:rPr>
      <w:tblPr/>
      <w:tcPr>
        <w:tcBorders>
          <w:top w:val="single" w:sz="4" w:space="0" w:color="000000"/>
        </w:tcBorders>
        <w:shd w:val="clear" w:color="auto" w:fill="FFFFFF"/>
      </w:tcPr>
    </w:tblStylePr>
    <w:tblStylePr w:type="firstCol">
      <w:pPr>
        <w:jc w:val="right"/>
      </w:pPr>
      <w:rPr>
        <w:rFonts w:ascii="Times New Roman" w:eastAsia="MS Gothic" w:hAnsi="Times New Roman" w:cs="Times New Roman"/>
        <w:i/>
        <w:iCs/>
        <w:sz w:val="26"/>
      </w:rPr>
      <w:tblPr/>
      <w:tcPr>
        <w:tcBorders>
          <w:right w:val="single" w:sz="4" w:space="0" w:color="000000"/>
        </w:tcBorders>
        <w:shd w:val="clear" w:color="auto" w:fill="FFFFFF"/>
      </w:tcPr>
    </w:tblStylePr>
    <w:tblStylePr w:type="lastCol">
      <w:rPr>
        <w:rFonts w:ascii="Times New Roman" w:eastAsia="MS Gothic" w:hAnsi="Times New Roman" w:cs="Times New Roman"/>
        <w:i/>
        <w:iCs/>
        <w:sz w:val="26"/>
      </w:rPr>
      <w:tblPr/>
      <w:tcPr>
        <w:tcBorders>
          <w:left w:val="single" w:sz="4" w:space="0" w:color="000000"/>
        </w:tcBorders>
        <w:shd w:val="clear" w:color="auto" w:fill="FFFFFF"/>
      </w:tc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customStyle="1" w:styleId="Tabelalisty7kolorowaakcent11">
    <w:name w:val="Tabela listy 7 — kolorowa — akcent 11"/>
    <w:uiPriority w:val="99"/>
    <w:rsid w:val="007C28CC"/>
    <w:rPr>
      <w:color w:val="9D215D"/>
      <w:sz w:val="20"/>
      <w:szCs w:val="20"/>
      <w:lang w:val="en-GB" w:eastAsia="en-GB"/>
    </w:rPr>
    <w:tblPr>
      <w:tblStyleRowBandSize w:val="1"/>
      <w:tblStyleColBandSize w:val="1"/>
      <w:tblInd w:w="0" w:type="dxa"/>
      <w:tblCellMar>
        <w:top w:w="0" w:type="dxa"/>
        <w:left w:w="108" w:type="dxa"/>
        <w:bottom w:w="0" w:type="dxa"/>
        <w:right w:w="108" w:type="dxa"/>
      </w:tblCellMar>
    </w:tblPr>
    <w:tblStylePr w:type="firstRow">
      <w:rPr>
        <w:rFonts w:ascii="Times New Roman" w:eastAsia="MS Gothic" w:hAnsi="Times New Roman" w:cs="Times New Roman"/>
        <w:i/>
        <w:iCs/>
        <w:sz w:val="26"/>
      </w:rPr>
      <w:tblPr/>
      <w:tcPr>
        <w:tcBorders>
          <w:bottom w:val="single" w:sz="4" w:space="0" w:color="D22D7D"/>
        </w:tcBorders>
        <w:shd w:val="clear" w:color="auto" w:fill="FFFFFF"/>
      </w:tcPr>
    </w:tblStylePr>
    <w:tblStylePr w:type="lastRow">
      <w:rPr>
        <w:rFonts w:ascii="Times New Roman" w:eastAsia="MS Gothic" w:hAnsi="Times New Roman" w:cs="Times New Roman"/>
        <w:i/>
        <w:iCs/>
        <w:sz w:val="26"/>
      </w:rPr>
      <w:tblPr/>
      <w:tcPr>
        <w:tcBorders>
          <w:top w:val="single" w:sz="4" w:space="0" w:color="D22D7D"/>
        </w:tcBorders>
        <w:shd w:val="clear" w:color="auto" w:fill="FFFFFF"/>
      </w:tcPr>
    </w:tblStylePr>
    <w:tblStylePr w:type="firstCol">
      <w:pPr>
        <w:jc w:val="right"/>
      </w:pPr>
      <w:rPr>
        <w:rFonts w:ascii="Times New Roman" w:eastAsia="MS Gothic" w:hAnsi="Times New Roman" w:cs="Times New Roman"/>
        <w:i/>
        <w:iCs/>
        <w:sz w:val="26"/>
      </w:rPr>
      <w:tblPr/>
      <w:tcPr>
        <w:tcBorders>
          <w:right w:val="single" w:sz="4" w:space="0" w:color="D22D7D"/>
        </w:tcBorders>
        <w:shd w:val="clear" w:color="auto" w:fill="FFFFFF"/>
      </w:tcPr>
    </w:tblStylePr>
    <w:tblStylePr w:type="lastCol">
      <w:rPr>
        <w:rFonts w:ascii="Times New Roman" w:eastAsia="MS Gothic" w:hAnsi="Times New Roman" w:cs="Times New Roman"/>
        <w:i/>
        <w:iCs/>
        <w:sz w:val="26"/>
      </w:rPr>
      <w:tblPr/>
      <w:tcPr>
        <w:tcBorders>
          <w:left w:val="single" w:sz="4" w:space="0" w:color="D22D7D"/>
        </w:tcBorders>
        <w:shd w:val="clear" w:color="auto" w:fill="FFFFFF"/>
      </w:tcPr>
    </w:tblStylePr>
    <w:tblStylePr w:type="band1Vert">
      <w:rPr>
        <w:rFonts w:cs="Times New Roman"/>
      </w:rPr>
      <w:tblPr/>
      <w:tcPr>
        <w:shd w:val="clear" w:color="auto" w:fill="F6D5E4"/>
      </w:tcPr>
    </w:tblStylePr>
    <w:tblStylePr w:type="band1Horz">
      <w:rPr>
        <w:rFonts w:cs="Times New Roman"/>
      </w:rPr>
      <w:tblPr/>
      <w:tcPr>
        <w:shd w:val="clear" w:color="auto" w:fill="F6D5E4"/>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customStyle="1" w:styleId="Tabelalisty7kolorowaakcent21">
    <w:name w:val="Tabela listy 7 — kolorowa — akcent 21"/>
    <w:uiPriority w:val="99"/>
    <w:rsid w:val="007C28CC"/>
    <w:rPr>
      <w:color w:val="1881AE"/>
      <w:sz w:val="20"/>
      <w:szCs w:val="20"/>
      <w:lang w:val="en-GB" w:eastAsia="en-GB"/>
    </w:rPr>
    <w:tblPr>
      <w:tblStyleRowBandSize w:val="1"/>
      <w:tblStyleColBandSize w:val="1"/>
      <w:tblInd w:w="0" w:type="dxa"/>
      <w:tblCellMar>
        <w:top w:w="0" w:type="dxa"/>
        <w:left w:w="108" w:type="dxa"/>
        <w:bottom w:w="0" w:type="dxa"/>
        <w:right w:w="108" w:type="dxa"/>
      </w:tblCellMar>
    </w:tblPr>
    <w:tblStylePr w:type="firstRow">
      <w:rPr>
        <w:rFonts w:ascii="Times New Roman" w:eastAsia="MS Gothic" w:hAnsi="Times New Roman" w:cs="Times New Roman"/>
        <w:i/>
        <w:iCs/>
        <w:sz w:val="26"/>
      </w:rPr>
      <w:tblPr/>
      <w:tcPr>
        <w:tcBorders>
          <w:bottom w:val="single" w:sz="4" w:space="0" w:color="28AAE1"/>
        </w:tcBorders>
        <w:shd w:val="clear" w:color="auto" w:fill="FFFFFF"/>
      </w:tcPr>
    </w:tblStylePr>
    <w:tblStylePr w:type="lastRow">
      <w:rPr>
        <w:rFonts w:ascii="Times New Roman" w:eastAsia="MS Gothic" w:hAnsi="Times New Roman" w:cs="Times New Roman"/>
        <w:i/>
        <w:iCs/>
        <w:sz w:val="26"/>
      </w:rPr>
      <w:tblPr/>
      <w:tcPr>
        <w:tcBorders>
          <w:top w:val="single" w:sz="4" w:space="0" w:color="28AAE1"/>
        </w:tcBorders>
        <w:shd w:val="clear" w:color="auto" w:fill="FFFFFF"/>
      </w:tcPr>
    </w:tblStylePr>
    <w:tblStylePr w:type="firstCol">
      <w:pPr>
        <w:jc w:val="right"/>
      </w:pPr>
      <w:rPr>
        <w:rFonts w:ascii="Times New Roman" w:eastAsia="MS Gothic" w:hAnsi="Times New Roman" w:cs="Times New Roman"/>
        <w:i/>
        <w:iCs/>
        <w:sz w:val="26"/>
      </w:rPr>
      <w:tblPr/>
      <w:tcPr>
        <w:tcBorders>
          <w:right w:val="single" w:sz="4" w:space="0" w:color="28AAE1"/>
        </w:tcBorders>
        <w:shd w:val="clear" w:color="auto" w:fill="FFFFFF"/>
      </w:tcPr>
    </w:tblStylePr>
    <w:tblStylePr w:type="lastCol">
      <w:rPr>
        <w:rFonts w:ascii="Times New Roman" w:eastAsia="MS Gothic" w:hAnsi="Times New Roman" w:cs="Times New Roman"/>
        <w:i/>
        <w:iCs/>
        <w:sz w:val="26"/>
      </w:rPr>
      <w:tblPr/>
      <w:tcPr>
        <w:tcBorders>
          <w:left w:val="single" w:sz="4" w:space="0" w:color="28AAE1"/>
        </w:tcBorders>
        <w:shd w:val="clear" w:color="auto" w:fill="FFFFFF"/>
      </w:tcPr>
    </w:tblStylePr>
    <w:tblStylePr w:type="band1Vert">
      <w:rPr>
        <w:rFonts w:cs="Times New Roman"/>
      </w:rPr>
      <w:tblPr/>
      <w:tcPr>
        <w:shd w:val="clear" w:color="auto" w:fill="D4EDF9"/>
      </w:tcPr>
    </w:tblStylePr>
    <w:tblStylePr w:type="band1Horz">
      <w:rPr>
        <w:rFonts w:cs="Times New Roman"/>
      </w:rPr>
      <w:tblPr/>
      <w:tcPr>
        <w:shd w:val="clear" w:color="auto" w:fill="D4EDF9"/>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customStyle="1" w:styleId="Tabelalisty7kolorowaakcent31">
    <w:name w:val="Tabela listy 7 — kolorowa — akcent 31"/>
    <w:uiPriority w:val="99"/>
    <w:rsid w:val="007C28CC"/>
    <w:rPr>
      <w:color w:val="C0330D"/>
      <w:sz w:val="20"/>
      <w:szCs w:val="20"/>
      <w:lang w:val="en-GB" w:eastAsia="en-GB"/>
    </w:rPr>
    <w:tblPr>
      <w:tblStyleRowBandSize w:val="1"/>
      <w:tblStyleColBandSize w:val="1"/>
      <w:tblInd w:w="0" w:type="dxa"/>
      <w:tblCellMar>
        <w:top w:w="0" w:type="dxa"/>
        <w:left w:w="108" w:type="dxa"/>
        <w:bottom w:w="0" w:type="dxa"/>
        <w:right w:w="108" w:type="dxa"/>
      </w:tblCellMar>
    </w:tblPr>
    <w:tblStylePr w:type="firstRow">
      <w:rPr>
        <w:rFonts w:ascii="Times New Roman" w:eastAsia="MS Gothic" w:hAnsi="Times New Roman" w:cs="Times New Roman"/>
        <w:i/>
        <w:iCs/>
        <w:sz w:val="26"/>
      </w:rPr>
      <w:tblPr/>
      <w:tcPr>
        <w:tcBorders>
          <w:bottom w:val="single" w:sz="4" w:space="0" w:color="F05023"/>
        </w:tcBorders>
        <w:shd w:val="clear" w:color="auto" w:fill="FFFFFF"/>
      </w:tcPr>
    </w:tblStylePr>
    <w:tblStylePr w:type="lastRow">
      <w:rPr>
        <w:rFonts w:ascii="Times New Roman" w:eastAsia="MS Gothic" w:hAnsi="Times New Roman" w:cs="Times New Roman"/>
        <w:i/>
        <w:iCs/>
        <w:sz w:val="26"/>
      </w:rPr>
      <w:tblPr/>
      <w:tcPr>
        <w:tcBorders>
          <w:top w:val="single" w:sz="4" w:space="0" w:color="F05023"/>
        </w:tcBorders>
        <w:shd w:val="clear" w:color="auto" w:fill="FFFFFF"/>
      </w:tcPr>
    </w:tblStylePr>
    <w:tblStylePr w:type="firstCol">
      <w:pPr>
        <w:jc w:val="right"/>
      </w:pPr>
      <w:rPr>
        <w:rFonts w:ascii="Times New Roman" w:eastAsia="MS Gothic" w:hAnsi="Times New Roman" w:cs="Times New Roman"/>
        <w:i/>
        <w:iCs/>
        <w:sz w:val="26"/>
      </w:rPr>
      <w:tblPr/>
      <w:tcPr>
        <w:tcBorders>
          <w:right w:val="single" w:sz="4" w:space="0" w:color="F05023"/>
        </w:tcBorders>
        <w:shd w:val="clear" w:color="auto" w:fill="FFFFFF"/>
      </w:tcPr>
    </w:tblStylePr>
    <w:tblStylePr w:type="lastCol">
      <w:rPr>
        <w:rFonts w:ascii="Times New Roman" w:eastAsia="MS Gothic" w:hAnsi="Times New Roman" w:cs="Times New Roman"/>
        <w:i/>
        <w:iCs/>
        <w:sz w:val="26"/>
      </w:rPr>
      <w:tblPr/>
      <w:tcPr>
        <w:tcBorders>
          <w:left w:val="single" w:sz="4" w:space="0" w:color="F05023"/>
        </w:tcBorders>
        <w:shd w:val="clear" w:color="auto" w:fill="FFFFFF"/>
      </w:tcPr>
    </w:tblStylePr>
    <w:tblStylePr w:type="band1Vert">
      <w:rPr>
        <w:rFonts w:cs="Times New Roman"/>
      </w:rPr>
      <w:tblPr/>
      <w:tcPr>
        <w:shd w:val="clear" w:color="auto" w:fill="FCDBD3"/>
      </w:tcPr>
    </w:tblStylePr>
    <w:tblStylePr w:type="band1Horz">
      <w:rPr>
        <w:rFonts w:cs="Times New Roman"/>
      </w:rPr>
      <w:tblPr/>
      <w:tcPr>
        <w:shd w:val="clear" w:color="auto" w:fill="FCDBD3"/>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customStyle="1" w:styleId="Tabelalisty7kolorowaakcent41">
    <w:name w:val="Tabela listy 7 — kolorowa — akcent 41"/>
    <w:uiPriority w:val="99"/>
    <w:rsid w:val="007C28CC"/>
    <w:rPr>
      <w:color w:val="474B8E"/>
      <w:sz w:val="20"/>
      <w:szCs w:val="20"/>
      <w:lang w:val="en-GB" w:eastAsia="en-GB"/>
    </w:rPr>
    <w:tblPr>
      <w:tblStyleRowBandSize w:val="1"/>
      <w:tblStyleColBandSize w:val="1"/>
      <w:tblInd w:w="0" w:type="dxa"/>
      <w:tblCellMar>
        <w:top w:w="0" w:type="dxa"/>
        <w:left w:w="108" w:type="dxa"/>
        <w:bottom w:w="0" w:type="dxa"/>
        <w:right w:w="108" w:type="dxa"/>
      </w:tblCellMar>
    </w:tblPr>
    <w:tblStylePr w:type="firstRow">
      <w:rPr>
        <w:rFonts w:ascii="Times New Roman" w:eastAsia="MS Gothic" w:hAnsi="Times New Roman" w:cs="Times New Roman"/>
        <w:i/>
        <w:iCs/>
        <w:sz w:val="26"/>
      </w:rPr>
      <w:tblPr/>
      <w:tcPr>
        <w:tcBorders>
          <w:bottom w:val="single" w:sz="4" w:space="0" w:color="696EB4"/>
        </w:tcBorders>
        <w:shd w:val="clear" w:color="auto" w:fill="FFFFFF"/>
      </w:tcPr>
    </w:tblStylePr>
    <w:tblStylePr w:type="lastRow">
      <w:rPr>
        <w:rFonts w:ascii="Times New Roman" w:eastAsia="MS Gothic" w:hAnsi="Times New Roman" w:cs="Times New Roman"/>
        <w:i/>
        <w:iCs/>
        <w:sz w:val="26"/>
      </w:rPr>
      <w:tblPr/>
      <w:tcPr>
        <w:tcBorders>
          <w:top w:val="single" w:sz="4" w:space="0" w:color="696EB4"/>
        </w:tcBorders>
        <w:shd w:val="clear" w:color="auto" w:fill="FFFFFF"/>
      </w:tcPr>
    </w:tblStylePr>
    <w:tblStylePr w:type="firstCol">
      <w:pPr>
        <w:jc w:val="right"/>
      </w:pPr>
      <w:rPr>
        <w:rFonts w:ascii="Times New Roman" w:eastAsia="MS Gothic" w:hAnsi="Times New Roman" w:cs="Times New Roman"/>
        <w:i/>
        <w:iCs/>
        <w:sz w:val="26"/>
      </w:rPr>
      <w:tblPr/>
      <w:tcPr>
        <w:tcBorders>
          <w:right w:val="single" w:sz="4" w:space="0" w:color="696EB4"/>
        </w:tcBorders>
        <w:shd w:val="clear" w:color="auto" w:fill="FFFFFF"/>
      </w:tcPr>
    </w:tblStylePr>
    <w:tblStylePr w:type="lastCol">
      <w:rPr>
        <w:rFonts w:ascii="Times New Roman" w:eastAsia="MS Gothic" w:hAnsi="Times New Roman" w:cs="Times New Roman"/>
        <w:i/>
        <w:iCs/>
        <w:sz w:val="26"/>
      </w:rPr>
      <w:tblPr/>
      <w:tcPr>
        <w:tcBorders>
          <w:left w:val="single" w:sz="4" w:space="0" w:color="696EB4"/>
        </w:tcBorders>
        <w:shd w:val="clear" w:color="auto" w:fill="FFFFFF"/>
      </w:tcPr>
    </w:tblStylePr>
    <w:tblStylePr w:type="band1Vert">
      <w:rPr>
        <w:rFonts w:cs="Times New Roman"/>
      </w:rPr>
      <w:tblPr/>
      <w:tcPr>
        <w:shd w:val="clear" w:color="auto" w:fill="E1E2F0"/>
      </w:tcPr>
    </w:tblStylePr>
    <w:tblStylePr w:type="band1Horz">
      <w:rPr>
        <w:rFonts w:cs="Times New Roman"/>
      </w:rPr>
      <w:tblPr/>
      <w:tcPr>
        <w:shd w:val="clear" w:color="auto" w:fill="E1E2F0"/>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customStyle="1" w:styleId="Tabelalisty7kolorowaakcent51">
    <w:name w:val="Tabela listy 7 — kolorowa — akcent 51"/>
    <w:uiPriority w:val="99"/>
    <w:rsid w:val="007C28CC"/>
    <w:rPr>
      <w:color w:val="CD7504"/>
      <w:sz w:val="20"/>
      <w:szCs w:val="20"/>
      <w:lang w:val="en-GB" w:eastAsia="en-GB"/>
    </w:rPr>
    <w:tblPr>
      <w:tblStyleRowBandSize w:val="1"/>
      <w:tblStyleColBandSize w:val="1"/>
      <w:tblInd w:w="0" w:type="dxa"/>
      <w:tblCellMar>
        <w:top w:w="0" w:type="dxa"/>
        <w:left w:w="108" w:type="dxa"/>
        <w:bottom w:w="0" w:type="dxa"/>
        <w:right w:w="108" w:type="dxa"/>
      </w:tblCellMar>
    </w:tblPr>
    <w:tblStylePr w:type="firstRow">
      <w:rPr>
        <w:rFonts w:ascii="Times New Roman" w:eastAsia="MS Gothic" w:hAnsi="Times New Roman" w:cs="Times New Roman"/>
        <w:i/>
        <w:iCs/>
        <w:sz w:val="26"/>
      </w:rPr>
      <w:tblPr/>
      <w:tcPr>
        <w:tcBorders>
          <w:bottom w:val="single" w:sz="4" w:space="0" w:color="FA9B1E"/>
        </w:tcBorders>
        <w:shd w:val="clear" w:color="auto" w:fill="FFFFFF"/>
      </w:tcPr>
    </w:tblStylePr>
    <w:tblStylePr w:type="lastRow">
      <w:rPr>
        <w:rFonts w:ascii="Times New Roman" w:eastAsia="MS Gothic" w:hAnsi="Times New Roman" w:cs="Times New Roman"/>
        <w:i/>
        <w:iCs/>
        <w:sz w:val="26"/>
      </w:rPr>
      <w:tblPr/>
      <w:tcPr>
        <w:tcBorders>
          <w:top w:val="single" w:sz="4" w:space="0" w:color="FA9B1E"/>
        </w:tcBorders>
        <w:shd w:val="clear" w:color="auto" w:fill="FFFFFF"/>
      </w:tcPr>
    </w:tblStylePr>
    <w:tblStylePr w:type="firstCol">
      <w:pPr>
        <w:jc w:val="right"/>
      </w:pPr>
      <w:rPr>
        <w:rFonts w:ascii="Times New Roman" w:eastAsia="MS Gothic" w:hAnsi="Times New Roman" w:cs="Times New Roman"/>
        <w:i/>
        <w:iCs/>
        <w:sz w:val="26"/>
      </w:rPr>
      <w:tblPr/>
      <w:tcPr>
        <w:tcBorders>
          <w:right w:val="single" w:sz="4" w:space="0" w:color="FA9B1E"/>
        </w:tcBorders>
        <w:shd w:val="clear" w:color="auto" w:fill="FFFFFF"/>
      </w:tcPr>
    </w:tblStylePr>
    <w:tblStylePr w:type="lastCol">
      <w:rPr>
        <w:rFonts w:ascii="Times New Roman" w:eastAsia="MS Gothic" w:hAnsi="Times New Roman" w:cs="Times New Roman"/>
        <w:i/>
        <w:iCs/>
        <w:sz w:val="26"/>
      </w:rPr>
      <w:tblPr/>
      <w:tcPr>
        <w:tcBorders>
          <w:left w:val="single" w:sz="4" w:space="0" w:color="FA9B1E"/>
        </w:tcBorders>
        <w:shd w:val="clear" w:color="auto" w:fill="FFFFFF"/>
      </w:tcPr>
    </w:tblStylePr>
    <w:tblStylePr w:type="band1Vert">
      <w:rPr>
        <w:rFonts w:cs="Times New Roman"/>
      </w:rPr>
      <w:tblPr/>
      <w:tcPr>
        <w:shd w:val="clear" w:color="auto" w:fill="FEEAD2"/>
      </w:tcPr>
    </w:tblStylePr>
    <w:tblStylePr w:type="band1Horz">
      <w:rPr>
        <w:rFonts w:cs="Times New Roman"/>
      </w:rPr>
      <w:tblPr/>
      <w:tcPr>
        <w:shd w:val="clear" w:color="auto" w:fill="FEEAD2"/>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customStyle="1" w:styleId="Tabelalisty7kolorowaakcent61">
    <w:name w:val="Tabela listy 7 — kolorowa — akcent 61"/>
    <w:uiPriority w:val="99"/>
    <w:rsid w:val="007C28CC"/>
    <w:rPr>
      <w:color w:val="1E8355"/>
      <w:sz w:val="20"/>
      <w:szCs w:val="20"/>
      <w:lang w:val="en-GB" w:eastAsia="en-GB"/>
    </w:rPr>
    <w:tblPr>
      <w:tblStyleRowBandSize w:val="1"/>
      <w:tblStyleColBandSize w:val="1"/>
      <w:tblInd w:w="0" w:type="dxa"/>
      <w:tblCellMar>
        <w:top w:w="0" w:type="dxa"/>
        <w:left w:w="108" w:type="dxa"/>
        <w:bottom w:w="0" w:type="dxa"/>
        <w:right w:w="108" w:type="dxa"/>
      </w:tblCellMar>
    </w:tblPr>
    <w:tblStylePr w:type="firstRow">
      <w:rPr>
        <w:rFonts w:ascii="Times New Roman" w:eastAsia="MS Gothic" w:hAnsi="Times New Roman" w:cs="Times New Roman"/>
        <w:i/>
        <w:iCs/>
        <w:sz w:val="26"/>
      </w:rPr>
      <w:tblPr/>
      <w:tcPr>
        <w:tcBorders>
          <w:bottom w:val="single" w:sz="4" w:space="0" w:color="28AF73"/>
        </w:tcBorders>
        <w:shd w:val="clear" w:color="auto" w:fill="FFFFFF"/>
      </w:tcPr>
    </w:tblStylePr>
    <w:tblStylePr w:type="lastRow">
      <w:rPr>
        <w:rFonts w:ascii="Times New Roman" w:eastAsia="MS Gothic" w:hAnsi="Times New Roman" w:cs="Times New Roman"/>
        <w:i/>
        <w:iCs/>
        <w:sz w:val="26"/>
      </w:rPr>
      <w:tblPr/>
      <w:tcPr>
        <w:tcBorders>
          <w:top w:val="single" w:sz="4" w:space="0" w:color="28AF73"/>
        </w:tcBorders>
        <w:shd w:val="clear" w:color="auto" w:fill="FFFFFF"/>
      </w:tcPr>
    </w:tblStylePr>
    <w:tblStylePr w:type="firstCol">
      <w:pPr>
        <w:jc w:val="right"/>
      </w:pPr>
      <w:rPr>
        <w:rFonts w:ascii="Times New Roman" w:eastAsia="MS Gothic" w:hAnsi="Times New Roman" w:cs="Times New Roman"/>
        <w:i/>
        <w:iCs/>
        <w:sz w:val="26"/>
      </w:rPr>
      <w:tblPr/>
      <w:tcPr>
        <w:tcBorders>
          <w:right w:val="single" w:sz="4" w:space="0" w:color="28AF73"/>
        </w:tcBorders>
        <w:shd w:val="clear" w:color="auto" w:fill="FFFFFF"/>
      </w:tcPr>
    </w:tblStylePr>
    <w:tblStylePr w:type="lastCol">
      <w:rPr>
        <w:rFonts w:ascii="Times New Roman" w:eastAsia="MS Gothic" w:hAnsi="Times New Roman" w:cs="Times New Roman"/>
        <w:i/>
        <w:iCs/>
        <w:sz w:val="26"/>
      </w:rPr>
      <w:tblPr/>
      <w:tcPr>
        <w:tcBorders>
          <w:left w:val="single" w:sz="4" w:space="0" w:color="28AF73"/>
        </w:tcBorders>
        <w:shd w:val="clear" w:color="auto" w:fill="FFFFFF"/>
      </w:tcPr>
    </w:tblStylePr>
    <w:tblStylePr w:type="band1Vert">
      <w:rPr>
        <w:rFonts w:cs="Times New Roman"/>
      </w:rPr>
      <w:tblPr/>
      <w:tcPr>
        <w:shd w:val="clear" w:color="auto" w:fill="CEF4E3"/>
      </w:tcPr>
    </w:tblStylePr>
    <w:tblStylePr w:type="band1Horz">
      <w:rPr>
        <w:rFonts w:cs="Times New Roman"/>
      </w:rPr>
      <w:tblPr/>
      <w:tcPr>
        <w:shd w:val="clear" w:color="auto" w:fill="CEF4E3"/>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paragraph" w:styleId="Tekstmakra">
    <w:name w:val="macro"/>
    <w:link w:val="TekstmakraZnak"/>
    <w:uiPriority w:val="99"/>
    <w:semiHidden/>
    <w:rsid w:val="007C28CC"/>
    <w:pPr>
      <w:tabs>
        <w:tab w:val="left" w:pos="480"/>
        <w:tab w:val="left" w:pos="960"/>
        <w:tab w:val="left" w:pos="1440"/>
        <w:tab w:val="left" w:pos="1920"/>
        <w:tab w:val="left" w:pos="2400"/>
        <w:tab w:val="left" w:pos="2880"/>
        <w:tab w:val="left" w:pos="3360"/>
        <w:tab w:val="left" w:pos="3840"/>
        <w:tab w:val="left" w:pos="4320"/>
      </w:tabs>
    </w:pPr>
    <w:rPr>
      <w:rFonts w:ascii="Consolas" w:eastAsia="MS Mincho" w:hAnsi="Consolas"/>
      <w:sz w:val="20"/>
      <w:szCs w:val="20"/>
      <w:lang w:eastAsia="zh-CN"/>
    </w:rPr>
  </w:style>
  <w:style w:type="character" w:customStyle="1" w:styleId="TekstmakraZnak">
    <w:name w:val="Tekst makra Znak"/>
    <w:basedOn w:val="Domylnaczcionkaakapitu"/>
    <w:link w:val="Tekstmakra"/>
    <w:uiPriority w:val="99"/>
    <w:semiHidden/>
    <w:locked/>
    <w:rsid w:val="007C28CC"/>
    <w:rPr>
      <w:rFonts w:ascii="Consolas" w:eastAsia="MS Mincho" w:hAnsi="Consolas" w:cs="Times New Roman"/>
      <w:lang w:val="pl-PL" w:eastAsia="zh-CN" w:bidi="ar-SA"/>
    </w:rPr>
  </w:style>
  <w:style w:type="table" w:styleId="redniasiatka1">
    <w:name w:val="Medium Grid 1"/>
    <w:basedOn w:val="Standardowy"/>
    <w:uiPriority w:val="99"/>
    <w:semiHidden/>
    <w:rsid w:val="007C28CC"/>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Times New Roman"/>
        <w:b/>
        <w:bCs/>
      </w:rPr>
    </w:tblStylePr>
    <w:tblStylePr w:type="lastRow">
      <w:rPr>
        <w:rFonts w:cs="Times New Roman"/>
        <w:b/>
        <w:bCs/>
      </w:rPr>
      <w:tblPr/>
      <w:tcPr>
        <w:tcBorders>
          <w:top w:val="single" w:sz="18" w:space="0" w:color="404040"/>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808080"/>
      </w:tcPr>
    </w:tblStylePr>
    <w:tblStylePr w:type="band1Horz">
      <w:rPr>
        <w:rFonts w:cs="Times New Roman"/>
      </w:rPr>
      <w:tblPr/>
      <w:tcPr>
        <w:shd w:val="clear" w:color="auto" w:fill="808080"/>
      </w:tcPr>
    </w:tblStylePr>
  </w:style>
  <w:style w:type="table" w:styleId="redniasiatka1akcent1">
    <w:name w:val="Medium Grid 1 Accent 1"/>
    <w:basedOn w:val="Standardowy"/>
    <w:uiPriority w:val="99"/>
    <w:semiHidden/>
    <w:rsid w:val="007C28CC"/>
    <w:rPr>
      <w:sz w:val="20"/>
      <w:szCs w:val="20"/>
    </w:rPr>
    <w:tblPr>
      <w:tblStyleRowBandSize w:val="1"/>
      <w:tblStyleColBandSize w:val="1"/>
      <w:tblBorders>
        <w:top w:val="single" w:sz="8" w:space="0" w:color="DD619D"/>
        <w:left w:val="single" w:sz="8" w:space="0" w:color="DD619D"/>
        <w:bottom w:val="single" w:sz="8" w:space="0" w:color="DD619D"/>
        <w:right w:val="single" w:sz="8" w:space="0" w:color="DD619D"/>
        <w:insideH w:val="single" w:sz="8" w:space="0" w:color="DD619D"/>
        <w:insideV w:val="single" w:sz="8" w:space="0" w:color="DD619D"/>
      </w:tblBorders>
    </w:tblPr>
    <w:tcPr>
      <w:shd w:val="clear" w:color="auto" w:fill="F4CBDE"/>
    </w:tcPr>
    <w:tblStylePr w:type="firstRow">
      <w:rPr>
        <w:rFonts w:cs="Times New Roman"/>
        <w:b/>
        <w:bCs/>
      </w:rPr>
    </w:tblStylePr>
    <w:tblStylePr w:type="lastRow">
      <w:rPr>
        <w:rFonts w:cs="Times New Roman"/>
        <w:b/>
        <w:bCs/>
      </w:rPr>
      <w:tblPr/>
      <w:tcPr>
        <w:tcBorders>
          <w:top w:val="single" w:sz="18" w:space="0" w:color="DD619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896BE"/>
      </w:tcPr>
    </w:tblStylePr>
    <w:tblStylePr w:type="band1Horz">
      <w:rPr>
        <w:rFonts w:cs="Times New Roman"/>
      </w:rPr>
      <w:tblPr/>
      <w:tcPr>
        <w:shd w:val="clear" w:color="auto" w:fill="E896BE"/>
      </w:tcPr>
    </w:tblStylePr>
  </w:style>
  <w:style w:type="table" w:styleId="redniasiatka1akcent2">
    <w:name w:val="Medium Grid 1 Accent 2"/>
    <w:basedOn w:val="Standardowy"/>
    <w:uiPriority w:val="99"/>
    <w:semiHidden/>
    <w:rsid w:val="007C28CC"/>
    <w:rPr>
      <w:sz w:val="20"/>
      <w:szCs w:val="20"/>
    </w:rPr>
    <w:tblPr>
      <w:tblStyleRowBandSize w:val="1"/>
      <w:tblStyleColBandSize w:val="1"/>
      <w:tblBorders>
        <w:top w:val="single" w:sz="8" w:space="0" w:color="5DBFE8"/>
        <w:left w:val="single" w:sz="8" w:space="0" w:color="5DBFE8"/>
        <w:bottom w:val="single" w:sz="8" w:space="0" w:color="5DBFE8"/>
        <w:right w:val="single" w:sz="8" w:space="0" w:color="5DBFE8"/>
        <w:insideH w:val="single" w:sz="8" w:space="0" w:color="5DBFE8"/>
        <w:insideV w:val="single" w:sz="8" w:space="0" w:color="5DBFE8"/>
      </w:tblBorders>
    </w:tblPr>
    <w:tcPr>
      <w:shd w:val="clear" w:color="auto" w:fill="C9E9F7"/>
    </w:tcPr>
    <w:tblStylePr w:type="firstRow">
      <w:rPr>
        <w:rFonts w:cs="Times New Roman"/>
        <w:b/>
        <w:bCs/>
      </w:rPr>
    </w:tblStylePr>
    <w:tblStylePr w:type="lastRow">
      <w:rPr>
        <w:rFonts w:cs="Times New Roman"/>
        <w:b/>
        <w:bCs/>
      </w:rPr>
      <w:tblPr/>
      <w:tcPr>
        <w:tcBorders>
          <w:top w:val="single" w:sz="18" w:space="0" w:color="5DBFE8"/>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93D4F0"/>
      </w:tcPr>
    </w:tblStylePr>
    <w:tblStylePr w:type="band1Horz">
      <w:rPr>
        <w:rFonts w:cs="Times New Roman"/>
      </w:rPr>
      <w:tblPr/>
      <w:tcPr>
        <w:shd w:val="clear" w:color="auto" w:fill="93D4F0"/>
      </w:tcPr>
    </w:tblStylePr>
  </w:style>
  <w:style w:type="table" w:styleId="redniasiatka1akcent3">
    <w:name w:val="Medium Grid 1 Accent 3"/>
    <w:basedOn w:val="Standardowy"/>
    <w:uiPriority w:val="99"/>
    <w:semiHidden/>
    <w:rsid w:val="007C28CC"/>
    <w:rPr>
      <w:sz w:val="20"/>
      <w:szCs w:val="20"/>
    </w:rPr>
    <w:tblPr>
      <w:tblStyleRowBandSize w:val="1"/>
      <w:tblStyleColBandSize w:val="1"/>
      <w:tblBorders>
        <w:top w:val="single" w:sz="8" w:space="0" w:color="F37B59"/>
        <w:left w:val="single" w:sz="8" w:space="0" w:color="F37B59"/>
        <w:bottom w:val="single" w:sz="8" w:space="0" w:color="F37B59"/>
        <w:right w:val="single" w:sz="8" w:space="0" w:color="F37B59"/>
        <w:insideH w:val="single" w:sz="8" w:space="0" w:color="F37B59"/>
        <w:insideV w:val="single" w:sz="8" w:space="0" w:color="F37B59"/>
      </w:tblBorders>
    </w:tblPr>
    <w:tcPr>
      <w:shd w:val="clear" w:color="auto" w:fill="FBD3C8"/>
    </w:tcPr>
    <w:tblStylePr w:type="firstRow">
      <w:rPr>
        <w:rFonts w:cs="Times New Roman"/>
        <w:b/>
        <w:bCs/>
      </w:rPr>
    </w:tblStylePr>
    <w:tblStylePr w:type="lastRow">
      <w:rPr>
        <w:rFonts w:cs="Times New Roman"/>
        <w:b/>
        <w:bCs/>
      </w:rPr>
      <w:tblPr/>
      <w:tcPr>
        <w:tcBorders>
          <w:top w:val="single" w:sz="18" w:space="0" w:color="F37B5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7A791"/>
      </w:tcPr>
    </w:tblStylePr>
    <w:tblStylePr w:type="band1Horz">
      <w:rPr>
        <w:rFonts w:cs="Times New Roman"/>
      </w:rPr>
      <w:tblPr/>
      <w:tcPr>
        <w:shd w:val="clear" w:color="auto" w:fill="F7A791"/>
      </w:tcPr>
    </w:tblStylePr>
  </w:style>
  <w:style w:type="table" w:styleId="redniasiatka1akcent4">
    <w:name w:val="Medium Grid 1 Accent 4"/>
    <w:basedOn w:val="Standardowy"/>
    <w:uiPriority w:val="99"/>
    <w:semiHidden/>
    <w:rsid w:val="007C28CC"/>
    <w:rPr>
      <w:sz w:val="20"/>
      <w:szCs w:val="20"/>
    </w:rPr>
    <w:tblPr>
      <w:tblStyleRowBandSize w:val="1"/>
      <w:tblStyleColBandSize w:val="1"/>
      <w:tblBorders>
        <w:top w:val="single" w:sz="8" w:space="0" w:color="8E92C6"/>
        <w:left w:val="single" w:sz="8" w:space="0" w:color="8E92C6"/>
        <w:bottom w:val="single" w:sz="8" w:space="0" w:color="8E92C6"/>
        <w:right w:val="single" w:sz="8" w:space="0" w:color="8E92C6"/>
        <w:insideH w:val="single" w:sz="8" w:space="0" w:color="8E92C6"/>
        <w:insideV w:val="single" w:sz="8" w:space="0" w:color="8E92C6"/>
      </w:tblBorders>
    </w:tblPr>
    <w:tcPr>
      <w:shd w:val="clear" w:color="auto" w:fill="D9DBEC"/>
    </w:tcPr>
    <w:tblStylePr w:type="firstRow">
      <w:rPr>
        <w:rFonts w:cs="Times New Roman"/>
        <w:b/>
        <w:bCs/>
      </w:rPr>
    </w:tblStylePr>
    <w:tblStylePr w:type="lastRow">
      <w:rPr>
        <w:rFonts w:cs="Times New Roman"/>
        <w:b/>
        <w:bCs/>
      </w:rPr>
      <w:tblPr/>
      <w:tcPr>
        <w:tcBorders>
          <w:top w:val="single" w:sz="18" w:space="0" w:color="8E92C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4B6D9"/>
      </w:tcPr>
    </w:tblStylePr>
    <w:tblStylePr w:type="band1Horz">
      <w:rPr>
        <w:rFonts w:cs="Times New Roman"/>
      </w:rPr>
      <w:tblPr/>
      <w:tcPr>
        <w:shd w:val="clear" w:color="auto" w:fill="B4B6D9"/>
      </w:tcPr>
    </w:tblStylePr>
  </w:style>
  <w:style w:type="table" w:styleId="redniasiatka1akcent5">
    <w:name w:val="Medium Grid 1 Accent 5"/>
    <w:basedOn w:val="Standardowy"/>
    <w:uiPriority w:val="99"/>
    <w:semiHidden/>
    <w:rsid w:val="007C28CC"/>
    <w:rPr>
      <w:sz w:val="20"/>
      <w:szCs w:val="20"/>
    </w:rPr>
    <w:tblPr>
      <w:tblStyleRowBandSize w:val="1"/>
      <w:tblStyleColBandSize w:val="1"/>
      <w:tblBorders>
        <w:top w:val="single" w:sz="8" w:space="0" w:color="FBB356"/>
        <w:left w:val="single" w:sz="8" w:space="0" w:color="FBB356"/>
        <w:bottom w:val="single" w:sz="8" w:space="0" w:color="FBB356"/>
        <w:right w:val="single" w:sz="8" w:space="0" w:color="FBB356"/>
        <w:insideH w:val="single" w:sz="8" w:space="0" w:color="FBB356"/>
        <w:insideV w:val="single" w:sz="8" w:space="0" w:color="FBB356"/>
      </w:tblBorders>
    </w:tblPr>
    <w:tcPr>
      <w:shd w:val="clear" w:color="auto" w:fill="FDE6C7"/>
    </w:tcPr>
    <w:tblStylePr w:type="firstRow">
      <w:rPr>
        <w:rFonts w:cs="Times New Roman"/>
        <w:b/>
        <w:bCs/>
      </w:rPr>
    </w:tblStylePr>
    <w:tblStylePr w:type="lastRow">
      <w:rPr>
        <w:rFonts w:cs="Times New Roman"/>
        <w:b/>
        <w:bCs/>
      </w:rPr>
      <w:tblPr/>
      <w:tcPr>
        <w:tcBorders>
          <w:top w:val="single" w:sz="18" w:space="0" w:color="FBB35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CCC8E"/>
      </w:tcPr>
    </w:tblStylePr>
    <w:tblStylePr w:type="band1Horz">
      <w:rPr>
        <w:rFonts w:cs="Times New Roman"/>
      </w:rPr>
      <w:tblPr/>
      <w:tcPr>
        <w:shd w:val="clear" w:color="auto" w:fill="FCCC8E"/>
      </w:tcPr>
    </w:tblStylePr>
  </w:style>
  <w:style w:type="table" w:styleId="redniasiatka1akcent6">
    <w:name w:val="Medium Grid 1 Accent 6"/>
    <w:basedOn w:val="Standardowy"/>
    <w:uiPriority w:val="99"/>
    <w:semiHidden/>
    <w:rsid w:val="007C28CC"/>
    <w:rPr>
      <w:sz w:val="20"/>
      <w:szCs w:val="20"/>
    </w:rPr>
    <w:tblPr>
      <w:tblStyleRowBandSize w:val="1"/>
      <w:tblStyleColBandSize w:val="1"/>
      <w:tblBorders>
        <w:top w:val="single" w:sz="8" w:space="0" w:color="4BD597"/>
        <w:left w:val="single" w:sz="8" w:space="0" w:color="4BD597"/>
        <w:bottom w:val="single" w:sz="8" w:space="0" w:color="4BD597"/>
        <w:right w:val="single" w:sz="8" w:space="0" w:color="4BD597"/>
        <w:insideH w:val="single" w:sz="8" w:space="0" w:color="4BD597"/>
        <w:insideV w:val="single" w:sz="8" w:space="0" w:color="4BD597"/>
      </w:tblBorders>
    </w:tblPr>
    <w:tcPr>
      <w:shd w:val="clear" w:color="auto" w:fill="C3F1DC"/>
    </w:tcPr>
    <w:tblStylePr w:type="firstRow">
      <w:rPr>
        <w:rFonts w:cs="Times New Roman"/>
        <w:b/>
        <w:bCs/>
      </w:rPr>
    </w:tblStylePr>
    <w:tblStylePr w:type="lastRow">
      <w:rPr>
        <w:rFonts w:cs="Times New Roman"/>
        <w:b/>
        <w:bCs/>
      </w:rPr>
      <w:tblPr/>
      <w:tcPr>
        <w:tcBorders>
          <w:top w:val="single" w:sz="18" w:space="0" w:color="4BD597"/>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87E3BA"/>
      </w:tcPr>
    </w:tblStylePr>
    <w:tblStylePr w:type="band1Horz">
      <w:rPr>
        <w:rFonts w:cs="Times New Roman"/>
      </w:rPr>
      <w:tblPr/>
      <w:tcPr>
        <w:shd w:val="clear" w:color="auto" w:fill="87E3BA"/>
      </w:tcPr>
    </w:tblStylePr>
  </w:style>
  <w:style w:type="table" w:styleId="redniasiatka2">
    <w:name w:val="Medium Grid 2"/>
    <w:basedOn w:val="Standardowy"/>
    <w:uiPriority w:val="99"/>
    <w:semiHidden/>
    <w:rsid w:val="007C28CC"/>
    <w:rPr>
      <w:rFonts w:eastAsia="MS Gothic"/>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redniasiatka2akcent1">
    <w:name w:val="Medium Grid 2 Accent 1"/>
    <w:basedOn w:val="Standardowy"/>
    <w:uiPriority w:val="99"/>
    <w:semiHidden/>
    <w:rsid w:val="007C28CC"/>
    <w:rPr>
      <w:rFonts w:eastAsia="MS Gothic"/>
      <w:color w:val="000000"/>
      <w:sz w:val="20"/>
      <w:szCs w:val="20"/>
    </w:rPr>
    <w:tblPr>
      <w:tblStyleRowBandSize w:val="1"/>
      <w:tblStyleColBandSize w:val="1"/>
      <w:tblBorders>
        <w:top w:val="single" w:sz="8" w:space="0" w:color="D22D7D"/>
        <w:left w:val="single" w:sz="8" w:space="0" w:color="D22D7D"/>
        <w:bottom w:val="single" w:sz="8" w:space="0" w:color="D22D7D"/>
        <w:right w:val="single" w:sz="8" w:space="0" w:color="D22D7D"/>
        <w:insideH w:val="single" w:sz="8" w:space="0" w:color="D22D7D"/>
        <w:insideV w:val="single" w:sz="8" w:space="0" w:color="D22D7D"/>
      </w:tblBorders>
    </w:tblPr>
    <w:tcPr>
      <w:shd w:val="clear" w:color="auto" w:fill="F4CBDE"/>
    </w:tcPr>
    <w:tblStylePr w:type="firstRow">
      <w:rPr>
        <w:rFonts w:cs="Times New Roman"/>
        <w:b/>
        <w:bCs/>
        <w:color w:val="000000"/>
      </w:rPr>
      <w:tblPr/>
      <w:tcPr>
        <w:shd w:val="clear" w:color="auto" w:fill="FAEAF2"/>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6D5E4"/>
      </w:tcPr>
    </w:tblStylePr>
    <w:tblStylePr w:type="band1Vert">
      <w:rPr>
        <w:rFonts w:cs="Times New Roman"/>
      </w:rPr>
      <w:tblPr/>
      <w:tcPr>
        <w:shd w:val="clear" w:color="auto" w:fill="E896BE"/>
      </w:tcPr>
    </w:tblStylePr>
    <w:tblStylePr w:type="band1Horz">
      <w:rPr>
        <w:rFonts w:cs="Times New Roman"/>
      </w:rPr>
      <w:tblPr/>
      <w:tcPr>
        <w:tcBorders>
          <w:insideH w:val="single" w:sz="6" w:space="0" w:color="D22D7D"/>
          <w:insideV w:val="single" w:sz="6" w:space="0" w:color="D22D7D"/>
        </w:tcBorders>
        <w:shd w:val="clear" w:color="auto" w:fill="E896BE"/>
      </w:tcPr>
    </w:tblStylePr>
    <w:tblStylePr w:type="nwCell">
      <w:rPr>
        <w:rFonts w:cs="Times New Roman"/>
      </w:rPr>
      <w:tblPr/>
      <w:tcPr>
        <w:shd w:val="clear" w:color="auto" w:fill="FFFFFF"/>
      </w:tcPr>
    </w:tblStylePr>
  </w:style>
  <w:style w:type="table" w:styleId="redniasiatka2akcent2">
    <w:name w:val="Medium Grid 2 Accent 2"/>
    <w:basedOn w:val="Standardowy"/>
    <w:uiPriority w:val="99"/>
    <w:semiHidden/>
    <w:rsid w:val="007C28CC"/>
    <w:rPr>
      <w:rFonts w:eastAsia="MS Gothic"/>
      <w:color w:val="000000"/>
      <w:sz w:val="20"/>
      <w:szCs w:val="20"/>
    </w:rPr>
    <w:tblPr>
      <w:tblStyleRowBandSize w:val="1"/>
      <w:tblStyleColBandSize w:val="1"/>
      <w:tblBorders>
        <w:top w:val="single" w:sz="8" w:space="0" w:color="28AAE1"/>
        <w:left w:val="single" w:sz="8" w:space="0" w:color="28AAE1"/>
        <w:bottom w:val="single" w:sz="8" w:space="0" w:color="28AAE1"/>
        <w:right w:val="single" w:sz="8" w:space="0" w:color="28AAE1"/>
        <w:insideH w:val="single" w:sz="8" w:space="0" w:color="28AAE1"/>
        <w:insideV w:val="single" w:sz="8" w:space="0" w:color="28AAE1"/>
      </w:tblBorders>
    </w:tblPr>
    <w:tcPr>
      <w:shd w:val="clear" w:color="auto" w:fill="C9E9F7"/>
    </w:tcPr>
    <w:tblStylePr w:type="firstRow">
      <w:rPr>
        <w:rFonts w:cs="Times New Roman"/>
        <w:b/>
        <w:bCs/>
        <w:color w:val="000000"/>
      </w:rPr>
      <w:tblPr/>
      <w:tcPr>
        <w:shd w:val="clear" w:color="auto" w:fill="E9F6F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4EDF9"/>
      </w:tcPr>
    </w:tblStylePr>
    <w:tblStylePr w:type="band1Vert">
      <w:rPr>
        <w:rFonts w:cs="Times New Roman"/>
      </w:rPr>
      <w:tblPr/>
      <w:tcPr>
        <w:shd w:val="clear" w:color="auto" w:fill="93D4F0"/>
      </w:tcPr>
    </w:tblStylePr>
    <w:tblStylePr w:type="band1Horz">
      <w:rPr>
        <w:rFonts w:cs="Times New Roman"/>
      </w:rPr>
      <w:tblPr/>
      <w:tcPr>
        <w:tcBorders>
          <w:insideH w:val="single" w:sz="6" w:space="0" w:color="28AAE1"/>
          <w:insideV w:val="single" w:sz="6" w:space="0" w:color="28AAE1"/>
        </w:tcBorders>
        <w:shd w:val="clear" w:color="auto" w:fill="93D4F0"/>
      </w:tcPr>
    </w:tblStylePr>
    <w:tblStylePr w:type="nwCell">
      <w:rPr>
        <w:rFonts w:cs="Times New Roman"/>
      </w:rPr>
      <w:tblPr/>
      <w:tcPr>
        <w:shd w:val="clear" w:color="auto" w:fill="FFFFFF"/>
      </w:tcPr>
    </w:tblStylePr>
  </w:style>
  <w:style w:type="table" w:styleId="redniasiatka2akcent3">
    <w:name w:val="Medium Grid 2 Accent 3"/>
    <w:basedOn w:val="Standardowy"/>
    <w:uiPriority w:val="99"/>
    <w:semiHidden/>
    <w:rsid w:val="007C28CC"/>
    <w:rPr>
      <w:rFonts w:eastAsia="MS Gothic"/>
      <w:color w:val="000000"/>
      <w:sz w:val="20"/>
      <w:szCs w:val="20"/>
    </w:rPr>
    <w:tblPr>
      <w:tblStyleRowBandSize w:val="1"/>
      <w:tblStyleColBandSize w:val="1"/>
      <w:tblBorders>
        <w:top w:val="single" w:sz="8" w:space="0" w:color="F05023"/>
        <w:left w:val="single" w:sz="8" w:space="0" w:color="F05023"/>
        <w:bottom w:val="single" w:sz="8" w:space="0" w:color="F05023"/>
        <w:right w:val="single" w:sz="8" w:space="0" w:color="F05023"/>
        <w:insideH w:val="single" w:sz="8" w:space="0" w:color="F05023"/>
        <w:insideV w:val="single" w:sz="8" w:space="0" w:color="F05023"/>
      </w:tblBorders>
    </w:tblPr>
    <w:tcPr>
      <w:shd w:val="clear" w:color="auto" w:fill="FBD3C8"/>
    </w:tcPr>
    <w:tblStylePr w:type="firstRow">
      <w:rPr>
        <w:rFonts w:cs="Times New Roman"/>
        <w:b/>
        <w:bCs/>
        <w:color w:val="000000"/>
      </w:rPr>
      <w:tblPr/>
      <w:tcPr>
        <w:shd w:val="clear" w:color="auto" w:fill="FDEDE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CDBD3"/>
      </w:tcPr>
    </w:tblStylePr>
    <w:tblStylePr w:type="band1Vert">
      <w:rPr>
        <w:rFonts w:cs="Times New Roman"/>
      </w:rPr>
      <w:tblPr/>
      <w:tcPr>
        <w:shd w:val="clear" w:color="auto" w:fill="F7A791"/>
      </w:tcPr>
    </w:tblStylePr>
    <w:tblStylePr w:type="band1Horz">
      <w:rPr>
        <w:rFonts w:cs="Times New Roman"/>
      </w:rPr>
      <w:tblPr/>
      <w:tcPr>
        <w:tcBorders>
          <w:insideH w:val="single" w:sz="6" w:space="0" w:color="F05023"/>
          <w:insideV w:val="single" w:sz="6" w:space="0" w:color="F05023"/>
        </w:tcBorders>
        <w:shd w:val="clear" w:color="auto" w:fill="F7A791"/>
      </w:tcPr>
    </w:tblStylePr>
    <w:tblStylePr w:type="nwCell">
      <w:rPr>
        <w:rFonts w:cs="Times New Roman"/>
      </w:rPr>
      <w:tblPr/>
      <w:tcPr>
        <w:shd w:val="clear" w:color="auto" w:fill="FFFFFF"/>
      </w:tcPr>
    </w:tblStylePr>
  </w:style>
  <w:style w:type="table" w:styleId="redniasiatka2akcent4">
    <w:name w:val="Medium Grid 2 Accent 4"/>
    <w:basedOn w:val="Standardowy"/>
    <w:uiPriority w:val="99"/>
    <w:semiHidden/>
    <w:rsid w:val="007C28CC"/>
    <w:rPr>
      <w:rFonts w:eastAsia="MS Gothic"/>
      <w:color w:val="000000"/>
      <w:sz w:val="20"/>
      <w:szCs w:val="20"/>
    </w:rPr>
    <w:tblPr>
      <w:tblStyleRowBandSize w:val="1"/>
      <w:tblStyleColBandSize w:val="1"/>
      <w:tblBorders>
        <w:top w:val="single" w:sz="8" w:space="0" w:color="696EB4"/>
        <w:left w:val="single" w:sz="8" w:space="0" w:color="696EB4"/>
        <w:bottom w:val="single" w:sz="8" w:space="0" w:color="696EB4"/>
        <w:right w:val="single" w:sz="8" w:space="0" w:color="696EB4"/>
        <w:insideH w:val="single" w:sz="8" w:space="0" w:color="696EB4"/>
        <w:insideV w:val="single" w:sz="8" w:space="0" w:color="696EB4"/>
      </w:tblBorders>
    </w:tblPr>
    <w:tcPr>
      <w:shd w:val="clear" w:color="auto" w:fill="D9DBEC"/>
    </w:tcPr>
    <w:tblStylePr w:type="firstRow">
      <w:rPr>
        <w:rFonts w:cs="Times New Roman"/>
        <w:b/>
        <w:bCs/>
        <w:color w:val="000000"/>
      </w:rPr>
      <w:tblPr/>
      <w:tcPr>
        <w:shd w:val="clear" w:color="auto" w:fill="F0F0F7"/>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1E2F0"/>
      </w:tcPr>
    </w:tblStylePr>
    <w:tblStylePr w:type="band1Vert">
      <w:rPr>
        <w:rFonts w:cs="Times New Roman"/>
      </w:rPr>
      <w:tblPr/>
      <w:tcPr>
        <w:shd w:val="clear" w:color="auto" w:fill="B4B6D9"/>
      </w:tcPr>
    </w:tblStylePr>
    <w:tblStylePr w:type="band1Horz">
      <w:rPr>
        <w:rFonts w:cs="Times New Roman"/>
      </w:rPr>
      <w:tblPr/>
      <w:tcPr>
        <w:tcBorders>
          <w:insideH w:val="single" w:sz="6" w:space="0" w:color="696EB4"/>
          <w:insideV w:val="single" w:sz="6" w:space="0" w:color="696EB4"/>
        </w:tcBorders>
        <w:shd w:val="clear" w:color="auto" w:fill="B4B6D9"/>
      </w:tcPr>
    </w:tblStylePr>
    <w:tblStylePr w:type="nwCell">
      <w:rPr>
        <w:rFonts w:cs="Times New Roman"/>
      </w:rPr>
      <w:tblPr/>
      <w:tcPr>
        <w:shd w:val="clear" w:color="auto" w:fill="FFFFFF"/>
      </w:tcPr>
    </w:tblStylePr>
  </w:style>
  <w:style w:type="table" w:styleId="redniasiatka2akcent5">
    <w:name w:val="Medium Grid 2 Accent 5"/>
    <w:basedOn w:val="Standardowy"/>
    <w:uiPriority w:val="99"/>
    <w:semiHidden/>
    <w:rsid w:val="007C28CC"/>
    <w:rPr>
      <w:rFonts w:eastAsia="MS Gothic"/>
      <w:color w:val="000000"/>
      <w:sz w:val="20"/>
      <w:szCs w:val="20"/>
    </w:rPr>
    <w:tblPr>
      <w:tblStyleRowBandSize w:val="1"/>
      <w:tblStyleColBandSize w:val="1"/>
      <w:tblBorders>
        <w:top w:val="single" w:sz="8" w:space="0" w:color="FA9B1E"/>
        <w:left w:val="single" w:sz="8" w:space="0" w:color="FA9B1E"/>
        <w:bottom w:val="single" w:sz="8" w:space="0" w:color="FA9B1E"/>
        <w:right w:val="single" w:sz="8" w:space="0" w:color="FA9B1E"/>
        <w:insideH w:val="single" w:sz="8" w:space="0" w:color="FA9B1E"/>
        <w:insideV w:val="single" w:sz="8" w:space="0" w:color="FA9B1E"/>
      </w:tblBorders>
    </w:tblPr>
    <w:tcPr>
      <w:shd w:val="clear" w:color="auto" w:fill="FDE6C7"/>
    </w:tcPr>
    <w:tblStylePr w:type="firstRow">
      <w:rPr>
        <w:rFonts w:cs="Times New Roman"/>
        <w:b/>
        <w:bCs/>
        <w:color w:val="000000"/>
      </w:rPr>
      <w:tblPr/>
      <w:tcPr>
        <w:shd w:val="clear" w:color="auto" w:fill="FEF5E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EEAD2"/>
      </w:tcPr>
    </w:tblStylePr>
    <w:tblStylePr w:type="band1Vert">
      <w:rPr>
        <w:rFonts w:cs="Times New Roman"/>
      </w:rPr>
      <w:tblPr/>
      <w:tcPr>
        <w:shd w:val="clear" w:color="auto" w:fill="FCCC8E"/>
      </w:tcPr>
    </w:tblStylePr>
    <w:tblStylePr w:type="band1Horz">
      <w:rPr>
        <w:rFonts w:cs="Times New Roman"/>
      </w:rPr>
      <w:tblPr/>
      <w:tcPr>
        <w:tcBorders>
          <w:insideH w:val="single" w:sz="6" w:space="0" w:color="FA9B1E"/>
          <w:insideV w:val="single" w:sz="6" w:space="0" w:color="FA9B1E"/>
        </w:tcBorders>
        <w:shd w:val="clear" w:color="auto" w:fill="FCCC8E"/>
      </w:tcPr>
    </w:tblStylePr>
    <w:tblStylePr w:type="nwCell">
      <w:rPr>
        <w:rFonts w:cs="Times New Roman"/>
      </w:rPr>
      <w:tblPr/>
      <w:tcPr>
        <w:shd w:val="clear" w:color="auto" w:fill="FFFFFF"/>
      </w:tcPr>
    </w:tblStylePr>
  </w:style>
  <w:style w:type="table" w:styleId="redniasiatka2akcent6">
    <w:name w:val="Medium Grid 2 Accent 6"/>
    <w:basedOn w:val="Standardowy"/>
    <w:uiPriority w:val="99"/>
    <w:semiHidden/>
    <w:rsid w:val="007C28CC"/>
    <w:rPr>
      <w:rFonts w:eastAsia="MS Gothic"/>
      <w:color w:val="000000"/>
      <w:sz w:val="20"/>
      <w:szCs w:val="20"/>
    </w:rPr>
    <w:tblPr>
      <w:tblStyleRowBandSize w:val="1"/>
      <w:tblStyleColBandSize w:val="1"/>
      <w:tblBorders>
        <w:top w:val="single" w:sz="8" w:space="0" w:color="28AF73"/>
        <w:left w:val="single" w:sz="8" w:space="0" w:color="28AF73"/>
        <w:bottom w:val="single" w:sz="8" w:space="0" w:color="28AF73"/>
        <w:right w:val="single" w:sz="8" w:space="0" w:color="28AF73"/>
        <w:insideH w:val="single" w:sz="8" w:space="0" w:color="28AF73"/>
        <w:insideV w:val="single" w:sz="8" w:space="0" w:color="28AF73"/>
      </w:tblBorders>
    </w:tblPr>
    <w:tcPr>
      <w:shd w:val="clear" w:color="auto" w:fill="C3F1DC"/>
    </w:tcPr>
    <w:tblStylePr w:type="firstRow">
      <w:rPr>
        <w:rFonts w:cs="Times New Roman"/>
        <w:b/>
        <w:bCs/>
        <w:color w:val="000000"/>
      </w:rPr>
      <w:tblPr/>
      <w:tcPr>
        <w:shd w:val="clear" w:color="auto" w:fill="E7F9F1"/>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EF4E3"/>
      </w:tcPr>
    </w:tblStylePr>
    <w:tblStylePr w:type="band1Vert">
      <w:rPr>
        <w:rFonts w:cs="Times New Roman"/>
      </w:rPr>
      <w:tblPr/>
      <w:tcPr>
        <w:shd w:val="clear" w:color="auto" w:fill="87E3BA"/>
      </w:tcPr>
    </w:tblStylePr>
    <w:tblStylePr w:type="band1Horz">
      <w:rPr>
        <w:rFonts w:cs="Times New Roman"/>
      </w:rPr>
      <w:tblPr/>
      <w:tcPr>
        <w:tcBorders>
          <w:insideH w:val="single" w:sz="6" w:space="0" w:color="28AF73"/>
          <w:insideV w:val="single" w:sz="6" w:space="0" w:color="28AF73"/>
        </w:tcBorders>
        <w:shd w:val="clear" w:color="auto" w:fill="87E3BA"/>
      </w:tcPr>
    </w:tblStylePr>
    <w:tblStylePr w:type="nwCell">
      <w:rPr>
        <w:rFonts w:cs="Times New Roman"/>
      </w:rPr>
      <w:tblPr/>
      <w:tcPr>
        <w:shd w:val="clear" w:color="auto" w:fill="FFFFFF"/>
      </w:tcPr>
    </w:tblStylePr>
  </w:style>
  <w:style w:type="table" w:styleId="redniasiatka3">
    <w:name w:val="Medium Grid 3"/>
    <w:basedOn w:val="Standardowy"/>
    <w:uiPriority w:val="99"/>
    <w:semiHidden/>
    <w:rsid w:val="007C28CC"/>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redniasiatka3akcent1">
    <w:name w:val="Medium Grid 3 Accent 1"/>
    <w:basedOn w:val="Standardowy"/>
    <w:uiPriority w:val="99"/>
    <w:semiHidden/>
    <w:rsid w:val="007C28CC"/>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4CBDE"/>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D22D7D"/>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D22D7D"/>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D22D7D"/>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D22D7D"/>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E896BE"/>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896BE"/>
      </w:tcPr>
    </w:tblStylePr>
  </w:style>
  <w:style w:type="table" w:styleId="redniasiatka3akcent2">
    <w:name w:val="Medium Grid 3 Accent 2"/>
    <w:basedOn w:val="Standardowy"/>
    <w:uiPriority w:val="99"/>
    <w:semiHidden/>
    <w:rsid w:val="007C28CC"/>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9E9F7"/>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28AAE1"/>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28AAE1"/>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28AAE1"/>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28AAE1"/>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93D4F0"/>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3D4F0"/>
      </w:tcPr>
    </w:tblStylePr>
  </w:style>
  <w:style w:type="table" w:styleId="redniasiatka3akcent3">
    <w:name w:val="Medium Grid 3 Accent 3"/>
    <w:basedOn w:val="Standardowy"/>
    <w:uiPriority w:val="99"/>
    <w:semiHidden/>
    <w:rsid w:val="007C28CC"/>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BD3C8"/>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05023"/>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05023"/>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F05023"/>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F05023"/>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7A791"/>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7A791"/>
      </w:tcPr>
    </w:tblStylePr>
  </w:style>
  <w:style w:type="table" w:styleId="redniasiatka3akcent4">
    <w:name w:val="Medium Grid 3 Accent 4"/>
    <w:basedOn w:val="Standardowy"/>
    <w:uiPriority w:val="99"/>
    <w:semiHidden/>
    <w:rsid w:val="007C28CC"/>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9DBEC"/>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696EB4"/>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696EB4"/>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696EB4"/>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696EB4"/>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4B6D9"/>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4B6D9"/>
      </w:tcPr>
    </w:tblStylePr>
  </w:style>
  <w:style w:type="table" w:styleId="redniasiatka3akcent5">
    <w:name w:val="Medium Grid 3 Accent 5"/>
    <w:basedOn w:val="Standardowy"/>
    <w:uiPriority w:val="99"/>
    <w:semiHidden/>
    <w:rsid w:val="007C28CC"/>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6C7"/>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A9B1E"/>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A9B1E"/>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FA9B1E"/>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FA9B1E"/>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CCC8E"/>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CCC8E"/>
      </w:tcPr>
    </w:tblStylePr>
  </w:style>
  <w:style w:type="table" w:styleId="redniasiatka3akcent6">
    <w:name w:val="Medium Grid 3 Accent 6"/>
    <w:basedOn w:val="Standardowy"/>
    <w:uiPriority w:val="99"/>
    <w:semiHidden/>
    <w:rsid w:val="007C28CC"/>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3F1DC"/>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28AF73"/>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28AF73"/>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28AF73"/>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28AF73"/>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7E3BA"/>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7E3BA"/>
      </w:tcPr>
    </w:tblStylePr>
  </w:style>
  <w:style w:type="table" w:styleId="rednialista1">
    <w:name w:val="Medium List 1"/>
    <w:basedOn w:val="Standardowy"/>
    <w:uiPriority w:val="99"/>
    <w:semiHidden/>
    <w:rsid w:val="007C28CC"/>
    <w:rPr>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w:eastAsia="MS Gothic" w:hAnsi="Times New Roman" w:cs="Times New Roman"/>
      </w:rPr>
      <w:tblPr/>
      <w:tcPr>
        <w:tcBorders>
          <w:top w:val="nil"/>
          <w:bottom w:val="single" w:sz="8" w:space="0" w:color="000000"/>
        </w:tcBorders>
      </w:tcPr>
    </w:tblStylePr>
    <w:tblStylePr w:type="lastRow">
      <w:rPr>
        <w:rFonts w:cs="Times New Roman"/>
        <w:b/>
        <w:bCs/>
        <w:color w:val="D2D2D2"/>
      </w:rPr>
      <w:tblPr/>
      <w:tcPr>
        <w:tcBorders>
          <w:top w:val="single" w:sz="8" w:space="0" w:color="000000"/>
          <w:bottom w:val="single" w:sz="8" w:space="0" w:color="000000"/>
        </w:tcBorders>
      </w:tcPr>
    </w:tblStylePr>
    <w:tblStylePr w:type="firstCol">
      <w:rPr>
        <w:rFonts w:cs="Times New Roman"/>
        <w:b/>
        <w:bCs/>
      </w:rPr>
    </w:tblStylePr>
    <w:tblStylePr w:type="lastCol">
      <w:rPr>
        <w:rFonts w:cs="Times New Roman"/>
        <w:b/>
        <w:bCs/>
      </w:rPr>
      <w:tblPr/>
      <w:tcPr>
        <w:tcBorders>
          <w:top w:val="single" w:sz="8" w:space="0" w:color="000000"/>
          <w:bottom w:val="single" w:sz="8" w:space="0" w:color="000000"/>
        </w:tcBorders>
      </w:tcPr>
    </w:tblStylePr>
    <w:tblStylePr w:type="band1Vert">
      <w:rPr>
        <w:rFonts w:cs="Times New Roman"/>
      </w:rPr>
      <w:tblPr/>
      <w:tcPr>
        <w:shd w:val="clear" w:color="auto" w:fill="C0C0C0"/>
      </w:tcPr>
    </w:tblStylePr>
    <w:tblStylePr w:type="band1Horz">
      <w:rPr>
        <w:rFonts w:cs="Times New Roman"/>
      </w:rPr>
      <w:tblPr/>
      <w:tcPr>
        <w:shd w:val="clear" w:color="auto" w:fill="C0C0C0"/>
      </w:tcPr>
    </w:tblStylePr>
  </w:style>
  <w:style w:type="table" w:styleId="rednialista1akcent1">
    <w:name w:val="Medium List 1 Accent 1"/>
    <w:basedOn w:val="Standardowy"/>
    <w:uiPriority w:val="99"/>
    <w:semiHidden/>
    <w:rsid w:val="007C28CC"/>
    <w:rPr>
      <w:color w:val="000000"/>
      <w:sz w:val="20"/>
      <w:szCs w:val="20"/>
    </w:rPr>
    <w:tblPr>
      <w:tblStyleRowBandSize w:val="1"/>
      <w:tblStyleColBandSize w:val="1"/>
      <w:tblBorders>
        <w:top w:val="single" w:sz="8" w:space="0" w:color="D22D7D"/>
        <w:bottom w:val="single" w:sz="8" w:space="0" w:color="D22D7D"/>
      </w:tblBorders>
    </w:tblPr>
    <w:tblStylePr w:type="firstRow">
      <w:rPr>
        <w:rFonts w:ascii="Times New Roman" w:eastAsia="MS Gothic" w:hAnsi="Times New Roman" w:cs="Times New Roman"/>
      </w:rPr>
      <w:tblPr/>
      <w:tcPr>
        <w:tcBorders>
          <w:top w:val="nil"/>
          <w:bottom w:val="single" w:sz="8" w:space="0" w:color="D22D7D"/>
        </w:tcBorders>
      </w:tcPr>
    </w:tblStylePr>
    <w:tblStylePr w:type="lastRow">
      <w:rPr>
        <w:rFonts w:cs="Times New Roman"/>
        <w:b/>
        <w:bCs/>
        <w:color w:val="D2D2D2"/>
      </w:rPr>
      <w:tblPr/>
      <w:tcPr>
        <w:tcBorders>
          <w:top w:val="single" w:sz="8" w:space="0" w:color="D22D7D"/>
          <w:bottom w:val="single" w:sz="8" w:space="0" w:color="D22D7D"/>
        </w:tcBorders>
      </w:tcPr>
    </w:tblStylePr>
    <w:tblStylePr w:type="firstCol">
      <w:rPr>
        <w:rFonts w:cs="Times New Roman"/>
        <w:b/>
        <w:bCs/>
      </w:rPr>
    </w:tblStylePr>
    <w:tblStylePr w:type="lastCol">
      <w:rPr>
        <w:rFonts w:cs="Times New Roman"/>
        <w:b/>
        <w:bCs/>
      </w:rPr>
      <w:tblPr/>
      <w:tcPr>
        <w:tcBorders>
          <w:top w:val="single" w:sz="8" w:space="0" w:color="D22D7D"/>
          <w:bottom w:val="single" w:sz="8" w:space="0" w:color="D22D7D"/>
        </w:tcBorders>
      </w:tcPr>
    </w:tblStylePr>
    <w:tblStylePr w:type="band1Vert">
      <w:rPr>
        <w:rFonts w:cs="Times New Roman"/>
      </w:rPr>
      <w:tblPr/>
      <w:tcPr>
        <w:shd w:val="clear" w:color="auto" w:fill="F4CBDE"/>
      </w:tcPr>
    </w:tblStylePr>
    <w:tblStylePr w:type="band1Horz">
      <w:rPr>
        <w:rFonts w:cs="Times New Roman"/>
      </w:rPr>
      <w:tblPr/>
      <w:tcPr>
        <w:shd w:val="clear" w:color="auto" w:fill="F4CBDE"/>
      </w:tcPr>
    </w:tblStylePr>
  </w:style>
  <w:style w:type="table" w:styleId="rednialista1akcent2">
    <w:name w:val="Medium List 1 Accent 2"/>
    <w:basedOn w:val="Standardowy"/>
    <w:uiPriority w:val="99"/>
    <w:semiHidden/>
    <w:rsid w:val="007C28CC"/>
    <w:rPr>
      <w:color w:val="000000"/>
      <w:sz w:val="20"/>
      <w:szCs w:val="20"/>
    </w:rPr>
    <w:tblPr>
      <w:tblStyleRowBandSize w:val="1"/>
      <w:tblStyleColBandSize w:val="1"/>
      <w:tblBorders>
        <w:top w:val="single" w:sz="8" w:space="0" w:color="28AAE1"/>
        <w:bottom w:val="single" w:sz="8" w:space="0" w:color="28AAE1"/>
      </w:tblBorders>
    </w:tblPr>
    <w:tblStylePr w:type="firstRow">
      <w:rPr>
        <w:rFonts w:ascii="Times New Roman" w:eastAsia="MS Gothic" w:hAnsi="Times New Roman" w:cs="Times New Roman"/>
      </w:rPr>
      <w:tblPr/>
      <w:tcPr>
        <w:tcBorders>
          <w:top w:val="nil"/>
          <w:bottom w:val="single" w:sz="8" w:space="0" w:color="28AAE1"/>
        </w:tcBorders>
      </w:tcPr>
    </w:tblStylePr>
    <w:tblStylePr w:type="lastRow">
      <w:rPr>
        <w:rFonts w:cs="Times New Roman"/>
        <w:b/>
        <w:bCs/>
        <w:color w:val="D2D2D2"/>
      </w:rPr>
      <w:tblPr/>
      <w:tcPr>
        <w:tcBorders>
          <w:top w:val="single" w:sz="8" w:space="0" w:color="28AAE1"/>
          <w:bottom w:val="single" w:sz="8" w:space="0" w:color="28AAE1"/>
        </w:tcBorders>
      </w:tcPr>
    </w:tblStylePr>
    <w:tblStylePr w:type="firstCol">
      <w:rPr>
        <w:rFonts w:cs="Times New Roman"/>
        <w:b/>
        <w:bCs/>
      </w:rPr>
    </w:tblStylePr>
    <w:tblStylePr w:type="lastCol">
      <w:rPr>
        <w:rFonts w:cs="Times New Roman"/>
        <w:b/>
        <w:bCs/>
      </w:rPr>
      <w:tblPr/>
      <w:tcPr>
        <w:tcBorders>
          <w:top w:val="single" w:sz="8" w:space="0" w:color="28AAE1"/>
          <w:bottom w:val="single" w:sz="8" w:space="0" w:color="28AAE1"/>
        </w:tcBorders>
      </w:tcPr>
    </w:tblStylePr>
    <w:tblStylePr w:type="band1Vert">
      <w:rPr>
        <w:rFonts w:cs="Times New Roman"/>
      </w:rPr>
      <w:tblPr/>
      <w:tcPr>
        <w:shd w:val="clear" w:color="auto" w:fill="C9E9F7"/>
      </w:tcPr>
    </w:tblStylePr>
    <w:tblStylePr w:type="band1Horz">
      <w:rPr>
        <w:rFonts w:cs="Times New Roman"/>
      </w:rPr>
      <w:tblPr/>
      <w:tcPr>
        <w:shd w:val="clear" w:color="auto" w:fill="C9E9F7"/>
      </w:tcPr>
    </w:tblStylePr>
  </w:style>
  <w:style w:type="table" w:styleId="rednialista1akcent3">
    <w:name w:val="Medium List 1 Accent 3"/>
    <w:basedOn w:val="Standardowy"/>
    <w:uiPriority w:val="99"/>
    <w:semiHidden/>
    <w:rsid w:val="007C28CC"/>
    <w:rPr>
      <w:color w:val="000000"/>
      <w:sz w:val="20"/>
      <w:szCs w:val="20"/>
    </w:rPr>
    <w:tblPr>
      <w:tblStyleRowBandSize w:val="1"/>
      <w:tblStyleColBandSize w:val="1"/>
      <w:tblBorders>
        <w:top w:val="single" w:sz="8" w:space="0" w:color="F05023"/>
        <w:bottom w:val="single" w:sz="8" w:space="0" w:color="F05023"/>
      </w:tblBorders>
    </w:tblPr>
    <w:tblStylePr w:type="firstRow">
      <w:rPr>
        <w:rFonts w:ascii="Times New Roman" w:eastAsia="MS Gothic" w:hAnsi="Times New Roman" w:cs="Times New Roman"/>
      </w:rPr>
      <w:tblPr/>
      <w:tcPr>
        <w:tcBorders>
          <w:top w:val="nil"/>
          <w:bottom w:val="single" w:sz="8" w:space="0" w:color="F05023"/>
        </w:tcBorders>
      </w:tcPr>
    </w:tblStylePr>
    <w:tblStylePr w:type="lastRow">
      <w:rPr>
        <w:rFonts w:cs="Times New Roman"/>
        <w:b/>
        <w:bCs/>
        <w:color w:val="D2D2D2"/>
      </w:rPr>
      <w:tblPr/>
      <w:tcPr>
        <w:tcBorders>
          <w:top w:val="single" w:sz="8" w:space="0" w:color="F05023"/>
          <w:bottom w:val="single" w:sz="8" w:space="0" w:color="F05023"/>
        </w:tcBorders>
      </w:tcPr>
    </w:tblStylePr>
    <w:tblStylePr w:type="firstCol">
      <w:rPr>
        <w:rFonts w:cs="Times New Roman"/>
        <w:b/>
        <w:bCs/>
      </w:rPr>
    </w:tblStylePr>
    <w:tblStylePr w:type="lastCol">
      <w:rPr>
        <w:rFonts w:cs="Times New Roman"/>
        <w:b/>
        <w:bCs/>
      </w:rPr>
      <w:tblPr/>
      <w:tcPr>
        <w:tcBorders>
          <w:top w:val="single" w:sz="8" w:space="0" w:color="F05023"/>
          <w:bottom w:val="single" w:sz="8" w:space="0" w:color="F05023"/>
        </w:tcBorders>
      </w:tcPr>
    </w:tblStylePr>
    <w:tblStylePr w:type="band1Vert">
      <w:rPr>
        <w:rFonts w:cs="Times New Roman"/>
      </w:rPr>
      <w:tblPr/>
      <w:tcPr>
        <w:shd w:val="clear" w:color="auto" w:fill="FBD3C8"/>
      </w:tcPr>
    </w:tblStylePr>
    <w:tblStylePr w:type="band1Horz">
      <w:rPr>
        <w:rFonts w:cs="Times New Roman"/>
      </w:rPr>
      <w:tblPr/>
      <w:tcPr>
        <w:shd w:val="clear" w:color="auto" w:fill="FBD3C8"/>
      </w:tcPr>
    </w:tblStylePr>
  </w:style>
  <w:style w:type="table" w:styleId="rednialista1akcent4">
    <w:name w:val="Medium List 1 Accent 4"/>
    <w:basedOn w:val="Standardowy"/>
    <w:uiPriority w:val="99"/>
    <w:semiHidden/>
    <w:rsid w:val="007C28CC"/>
    <w:rPr>
      <w:color w:val="000000"/>
      <w:sz w:val="20"/>
      <w:szCs w:val="20"/>
    </w:rPr>
    <w:tblPr>
      <w:tblStyleRowBandSize w:val="1"/>
      <w:tblStyleColBandSize w:val="1"/>
      <w:tblBorders>
        <w:top w:val="single" w:sz="8" w:space="0" w:color="696EB4"/>
        <w:bottom w:val="single" w:sz="8" w:space="0" w:color="696EB4"/>
      </w:tblBorders>
    </w:tblPr>
    <w:tblStylePr w:type="firstRow">
      <w:rPr>
        <w:rFonts w:ascii="Times New Roman" w:eastAsia="MS Gothic" w:hAnsi="Times New Roman" w:cs="Times New Roman"/>
      </w:rPr>
      <w:tblPr/>
      <w:tcPr>
        <w:tcBorders>
          <w:top w:val="nil"/>
          <w:bottom w:val="single" w:sz="8" w:space="0" w:color="696EB4"/>
        </w:tcBorders>
      </w:tcPr>
    </w:tblStylePr>
    <w:tblStylePr w:type="lastRow">
      <w:rPr>
        <w:rFonts w:cs="Times New Roman"/>
        <w:b/>
        <w:bCs/>
        <w:color w:val="D2D2D2"/>
      </w:rPr>
      <w:tblPr/>
      <w:tcPr>
        <w:tcBorders>
          <w:top w:val="single" w:sz="8" w:space="0" w:color="696EB4"/>
          <w:bottom w:val="single" w:sz="8" w:space="0" w:color="696EB4"/>
        </w:tcBorders>
      </w:tcPr>
    </w:tblStylePr>
    <w:tblStylePr w:type="firstCol">
      <w:rPr>
        <w:rFonts w:cs="Times New Roman"/>
        <w:b/>
        <w:bCs/>
      </w:rPr>
    </w:tblStylePr>
    <w:tblStylePr w:type="lastCol">
      <w:rPr>
        <w:rFonts w:cs="Times New Roman"/>
        <w:b/>
        <w:bCs/>
      </w:rPr>
      <w:tblPr/>
      <w:tcPr>
        <w:tcBorders>
          <w:top w:val="single" w:sz="8" w:space="0" w:color="696EB4"/>
          <w:bottom w:val="single" w:sz="8" w:space="0" w:color="696EB4"/>
        </w:tcBorders>
      </w:tcPr>
    </w:tblStylePr>
    <w:tblStylePr w:type="band1Vert">
      <w:rPr>
        <w:rFonts w:cs="Times New Roman"/>
      </w:rPr>
      <w:tblPr/>
      <w:tcPr>
        <w:shd w:val="clear" w:color="auto" w:fill="D9DBEC"/>
      </w:tcPr>
    </w:tblStylePr>
    <w:tblStylePr w:type="band1Horz">
      <w:rPr>
        <w:rFonts w:cs="Times New Roman"/>
      </w:rPr>
      <w:tblPr/>
      <w:tcPr>
        <w:shd w:val="clear" w:color="auto" w:fill="D9DBEC"/>
      </w:tcPr>
    </w:tblStylePr>
  </w:style>
  <w:style w:type="table" w:styleId="rednialista1akcent5">
    <w:name w:val="Medium List 1 Accent 5"/>
    <w:basedOn w:val="Standardowy"/>
    <w:uiPriority w:val="99"/>
    <w:semiHidden/>
    <w:rsid w:val="007C28CC"/>
    <w:rPr>
      <w:color w:val="000000"/>
      <w:sz w:val="20"/>
      <w:szCs w:val="20"/>
    </w:rPr>
    <w:tblPr>
      <w:tblStyleRowBandSize w:val="1"/>
      <w:tblStyleColBandSize w:val="1"/>
      <w:tblBorders>
        <w:top w:val="single" w:sz="8" w:space="0" w:color="FA9B1E"/>
        <w:bottom w:val="single" w:sz="8" w:space="0" w:color="FA9B1E"/>
      </w:tblBorders>
    </w:tblPr>
    <w:tblStylePr w:type="firstRow">
      <w:rPr>
        <w:rFonts w:ascii="Times New Roman" w:eastAsia="MS Gothic" w:hAnsi="Times New Roman" w:cs="Times New Roman"/>
      </w:rPr>
      <w:tblPr/>
      <w:tcPr>
        <w:tcBorders>
          <w:top w:val="nil"/>
          <w:bottom w:val="single" w:sz="8" w:space="0" w:color="FA9B1E"/>
        </w:tcBorders>
      </w:tcPr>
    </w:tblStylePr>
    <w:tblStylePr w:type="lastRow">
      <w:rPr>
        <w:rFonts w:cs="Times New Roman"/>
        <w:b/>
        <w:bCs/>
        <w:color w:val="D2D2D2"/>
      </w:rPr>
      <w:tblPr/>
      <w:tcPr>
        <w:tcBorders>
          <w:top w:val="single" w:sz="8" w:space="0" w:color="FA9B1E"/>
          <w:bottom w:val="single" w:sz="8" w:space="0" w:color="FA9B1E"/>
        </w:tcBorders>
      </w:tcPr>
    </w:tblStylePr>
    <w:tblStylePr w:type="firstCol">
      <w:rPr>
        <w:rFonts w:cs="Times New Roman"/>
        <w:b/>
        <w:bCs/>
      </w:rPr>
    </w:tblStylePr>
    <w:tblStylePr w:type="lastCol">
      <w:rPr>
        <w:rFonts w:cs="Times New Roman"/>
        <w:b/>
        <w:bCs/>
      </w:rPr>
      <w:tblPr/>
      <w:tcPr>
        <w:tcBorders>
          <w:top w:val="single" w:sz="8" w:space="0" w:color="FA9B1E"/>
          <w:bottom w:val="single" w:sz="8" w:space="0" w:color="FA9B1E"/>
        </w:tcBorders>
      </w:tcPr>
    </w:tblStylePr>
    <w:tblStylePr w:type="band1Vert">
      <w:rPr>
        <w:rFonts w:cs="Times New Roman"/>
      </w:rPr>
      <w:tblPr/>
      <w:tcPr>
        <w:shd w:val="clear" w:color="auto" w:fill="FDE6C7"/>
      </w:tcPr>
    </w:tblStylePr>
    <w:tblStylePr w:type="band1Horz">
      <w:rPr>
        <w:rFonts w:cs="Times New Roman"/>
      </w:rPr>
      <w:tblPr/>
      <w:tcPr>
        <w:shd w:val="clear" w:color="auto" w:fill="FDE6C7"/>
      </w:tcPr>
    </w:tblStylePr>
  </w:style>
  <w:style w:type="table" w:styleId="rednialista1akcent6">
    <w:name w:val="Medium List 1 Accent 6"/>
    <w:basedOn w:val="Standardowy"/>
    <w:uiPriority w:val="99"/>
    <w:semiHidden/>
    <w:rsid w:val="007C28CC"/>
    <w:rPr>
      <w:color w:val="000000"/>
      <w:sz w:val="20"/>
      <w:szCs w:val="20"/>
    </w:rPr>
    <w:tblPr>
      <w:tblStyleRowBandSize w:val="1"/>
      <w:tblStyleColBandSize w:val="1"/>
      <w:tblBorders>
        <w:top w:val="single" w:sz="8" w:space="0" w:color="28AF73"/>
        <w:bottom w:val="single" w:sz="8" w:space="0" w:color="28AF73"/>
      </w:tblBorders>
    </w:tblPr>
    <w:tblStylePr w:type="firstRow">
      <w:rPr>
        <w:rFonts w:ascii="Times New Roman" w:eastAsia="MS Gothic" w:hAnsi="Times New Roman" w:cs="Times New Roman"/>
      </w:rPr>
      <w:tblPr/>
      <w:tcPr>
        <w:tcBorders>
          <w:top w:val="nil"/>
          <w:bottom w:val="single" w:sz="8" w:space="0" w:color="28AF73"/>
        </w:tcBorders>
      </w:tcPr>
    </w:tblStylePr>
    <w:tblStylePr w:type="lastRow">
      <w:rPr>
        <w:rFonts w:cs="Times New Roman"/>
        <w:b/>
        <w:bCs/>
        <w:color w:val="D2D2D2"/>
      </w:rPr>
      <w:tblPr/>
      <w:tcPr>
        <w:tcBorders>
          <w:top w:val="single" w:sz="8" w:space="0" w:color="28AF73"/>
          <w:bottom w:val="single" w:sz="8" w:space="0" w:color="28AF73"/>
        </w:tcBorders>
      </w:tcPr>
    </w:tblStylePr>
    <w:tblStylePr w:type="firstCol">
      <w:rPr>
        <w:rFonts w:cs="Times New Roman"/>
        <w:b/>
        <w:bCs/>
      </w:rPr>
    </w:tblStylePr>
    <w:tblStylePr w:type="lastCol">
      <w:rPr>
        <w:rFonts w:cs="Times New Roman"/>
        <w:b/>
        <w:bCs/>
      </w:rPr>
      <w:tblPr/>
      <w:tcPr>
        <w:tcBorders>
          <w:top w:val="single" w:sz="8" w:space="0" w:color="28AF73"/>
          <w:bottom w:val="single" w:sz="8" w:space="0" w:color="28AF73"/>
        </w:tcBorders>
      </w:tcPr>
    </w:tblStylePr>
    <w:tblStylePr w:type="band1Vert">
      <w:rPr>
        <w:rFonts w:cs="Times New Roman"/>
      </w:rPr>
      <w:tblPr/>
      <w:tcPr>
        <w:shd w:val="clear" w:color="auto" w:fill="C3F1DC"/>
      </w:tcPr>
    </w:tblStylePr>
    <w:tblStylePr w:type="band1Horz">
      <w:rPr>
        <w:rFonts w:cs="Times New Roman"/>
      </w:rPr>
      <w:tblPr/>
      <w:tcPr>
        <w:shd w:val="clear" w:color="auto" w:fill="C3F1DC"/>
      </w:tcPr>
    </w:tblStylePr>
  </w:style>
  <w:style w:type="table" w:styleId="rednialista2">
    <w:name w:val="Medium List 2"/>
    <w:basedOn w:val="Standardowy"/>
    <w:uiPriority w:val="99"/>
    <w:semiHidden/>
    <w:rsid w:val="007C28CC"/>
    <w:rPr>
      <w:rFonts w:eastAsia="MS Gothic"/>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rednialista2akcent1">
    <w:name w:val="Medium List 2 Accent 1"/>
    <w:basedOn w:val="Standardowy"/>
    <w:uiPriority w:val="99"/>
    <w:semiHidden/>
    <w:rsid w:val="007C28CC"/>
    <w:rPr>
      <w:rFonts w:eastAsia="MS Gothic"/>
      <w:color w:val="000000"/>
      <w:sz w:val="20"/>
      <w:szCs w:val="20"/>
    </w:rPr>
    <w:tblPr>
      <w:tblStyleRowBandSize w:val="1"/>
      <w:tblStyleColBandSize w:val="1"/>
      <w:tblBorders>
        <w:top w:val="single" w:sz="8" w:space="0" w:color="D22D7D"/>
        <w:left w:val="single" w:sz="8" w:space="0" w:color="D22D7D"/>
        <w:bottom w:val="single" w:sz="8" w:space="0" w:color="D22D7D"/>
        <w:right w:val="single" w:sz="8" w:space="0" w:color="D22D7D"/>
      </w:tblBorders>
    </w:tblPr>
    <w:tblStylePr w:type="firstRow">
      <w:rPr>
        <w:rFonts w:cs="Times New Roman"/>
        <w:sz w:val="24"/>
        <w:szCs w:val="24"/>
      </w:rPr>
      <w:tblPr/>
      <w:tcPr>
        <w:tcBorders>
          <w:top w:val="nil"/>
          <w:left w:val="nil"/>
          <w:bottom w:val="single" w:sz="24" w:space="0" w:color="D22D7D"/>
          <w:right w:val="nil"/>
          <w:insideH w:val="nil"/>
          <w:insideV w:val="nil"/>
        </w:tcBorders>
        <w:shd w:val="clear" w:color="auto" w:fill="FFFFFF"/>
      </w:tcPr>
    </w:tblStylePr>
    <w:tblStylePr w:type="lastRow">
      <w:rPr>
        <w:rFonts w:cs="Times New Roman"/>
      </w:rPr>
      <w:tblPr/>
      <w:tcPr>
        <w:tcBorders>
          <w:top w:val="single" w:sz="8" w:space="0" w:color="D22D7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D22D7D"/>
          <w:insideH w:val="nil"/>
          <w:insideV w:val="nil"/>
        </w:tcBorders>
        <w:shd w:val="clear" w:color="auto" w:fill="FFFFFF"/>
      </w:tcPr>
    </w:tblStylePr>
    <w:tblStylePr w:type="lastCol">
      <w:rPr>
        <w:rFonts w:cs="Times New Roman"/>
      </w:rPr>
      <w:tblPr/>
      <w:tcPr>
        <w:tcBorders>
          <w:top w:val="nil"/>
          <w:left w:val="single" w:sz="8" w:space="0" w:color="D22D7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4CBDE"/>
      </w:tcPr>
    </w:tblStylePr>
    <w:tblStylePr w:type="band1Horz">
      <w:rPr>
        <w:rFonts w:cs="Times New Roman"/>
      </w:rPr>
      <w:tblPr/>
      <w:tcPr>
        <w:tcBorders>
          <w:top w:val="nil"/>
          <w:bottom w:val="nil"/>
          <w:insideH w:val="nil"/>
          <w:insideV w:val="nil"/>
        </w:tcBorders>
        <w:shd w:val="clear" w:color="auto" w:fill="F4CBD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rednialista2akcent2">
    <w:name w:val="Medium List 2 Accent 2"/>
    <w:basedOn w:val="Standardowy"/>
    <w:uiPriority w:val="99"/>
    <w:semiHidden/>
    <w:rsid w:val="007C28CC"/>
    <w:rPr>
      <w:rFonts w:eastAsia="MS Gothic"/>
      <w:color w:val="000000"/>
      <w:sz w:val="20"/>
      <w:szCs w:val="20"/>
    </w:rPr>
    <w:tblPr>
      <w:tblStyleRowBandSize w:val="1"/>
      <w:tblStyleColBandSize w:val="1"/>
      <w:tblBorders>
        <w:top w:val="single" w:sz="8" w:space="0" w:color="28AAE1"/>
        <w:left w:val="single" w:sz="8" w:space="0" w:color="28AAE1"/>
        <w:bottom w:val="single" w:sz="8" w:space="0" w:color="28AAE1"/>
        <w:right w:val="single" w:sz="8" w:space="0" w:color="28AAE1"/>
      </w:tblBorders>
    </w:tblPr>
    <w:tblStylePr w:type="firstRow">
      <w:rPr>
        <w:rFonts w:cs="Times New Roman"/>
        <w:sz w:val="24"/>
        <w:szCs w:val="24"/>
      </w:rPr>
      <w:tblPr/>
      <w:tcPr>
        <w:tcBorders>
          <w:top w:val="nil"/>
          <w:left w:val="nil"/>
          <w:bottom w:val="single" w:sz="24" w:space="0" w:color="28AAE1"/>
          <w:right w:val="nil"/>
          <w:insideH w:val="nil"/>
          <w:insideV w:val="nil"/>
        </w:tcBorders>
        <w:shd w:val="clear" w:color="auto" w:fill="FFFFFF"/>
      </w:tcPr>
    </w:tblStylePr>
    <w:tblStylePr w:type="lastRow">
      <w:rPr>
        <w:rFonts w:cs="Times New Roman"/>
      </w:rPr>
      <w:tblPr/>
      <w:tcPr>
        <w:tcBorders>
          <w:top w:val="single" w:sz="8" w:space="0" w:color="28AAE1"/>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28AAE1"/>
          <w:insideH w:val="nil"/>
          <w:insideV w:val="nil"/>
        </w:tcBorders>
        <w:shd w:val="clear" w:color="auto" w:fill="FFFFFF"/>
      </w:tcPr>
    </w:tblStylePr>
    <w:tblStylePr w:type="lastCol">
      <w:rPr>
        <w:rFonts w:cs="Times New Roman"/>
      </w:rPr>
      <w:tblPr/>
      <w:tcPr>
        <w:tcBorders>
          <w:top w:val="nil"/>
          <w:left w:val="single" w:sz="8" w:space="0" w:color="28AAE1"/>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9E9F7"/>
      </w:tcPr>
    </w:tblStylePr>
    <w:tblStylePr w:type="band1Horz">
      <w:rPr>
        <w:rFonts w:cs="Times New Roman"/>
      </w:rPr>
      <w:tblPr/>
      <w:tcPr>
        <w:tcBorders>
          <w:top w:val="nil"/>
          <w:bottom w:val="nil"/>
          <w:insideH w:val="nil"/>
          <w:insideV w:val="nil"/>
        </w:tcBorders>
        <w:shd w:val="clear" w:color="auto" w:fill="C9E9F7"/>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rednialista2akcent3">
    <w:name w:val="Medium List 2 Accent 3"/>
    <w:basedOn w:val="Standardowy"/>
    <w:uiPriority w:val="99"/>
    <w:semiHidden/>
    <w:rsid w:val="007C28CC"/>
    <w:rPr>
      <w:rFonts w:eastAsia="MS Gothic"/>
      <w:color w:val="000000"/>
      <w:sz w:val="20"/>
      <w:szCs w:val="20"/>
    </w:rPr>
    <w:tblPr>
      <w:tblStyleRowBandSize w:val="1"/>
      <w:tblStyleColBandSize w:val="1"/>
      <w:tblBorders>
        <w:top w:val="single" w:sz="8" w:space="0" w:color="F05023"/>
        <w:left w:val="single" w:sz="8" w:space="0" w:color="F05023"/>
        <w:bottom w:val="single" w:sz="8" w:space="0" w:color="F05023"/>
        <w:right w:val="single" w:sz="8" w:space="0" w:color="F05023"/>
      </w:tblBorders>
    </w:tblPr>
    <w:tblStylePr w:type="firstRow">
      <w:rPr>
        <w:rFonts w:cs="Times New Roman"/>
        <w:sz w:val="24"/>
        <w:szCs w:val="24"/>
      </w:rPr>
      <w:tblPr/>
      <w:tcPr>
        <w:tcBorders>
          <w:top w:val="nil"/>
          <w:left w:val="nil"/>
          <w:bottom w:val="single" w:sz="24" w:space="0" w:color="F05023"/>
          <w:right w:val="nil"/>
          <w:insideH w:val="nil"/>
          <w:insideV w:val="nil"/>
        </w:tcBorders>
        <w:shd w:val="clear" w:color="auto" w:fill="FFFFFF"/>
      </w:tcPr>
    </w:tblStylePr>
    <w:tblStylePr w:type="lastRow">
      <w:rPr>
        <w:rFonts w:cs="Times New Roman"/>
      </w:rPr>
      <w:tblPr/>
      <w:tcPr>
        <w:tcBorders>
          <w:top w:val="single" w:sz="8" w:space="0" w:color="F05023"/>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05023"/>
          <w:insideH w:val="nil"/>
          <w:insideV w:val="nil"/>
        </w:tcBorders>
        <w:shd w:val="clear" w:color="auto" w:fill="FFFFFF"/>
      </w:tcPr>
    </w:tblStylePr>
    <w:tblStylePr w:type="lastCol">
      <w:rPr>
        <w:rFonts w:cs="Times New Roman"/>
      </w:rPr>
      <w:tblPr/>
      <w:tcPr>
        <w:tcBorders>
          <w:top w:val="nil"/>
          <w:left w:val="single" w:sz="8" w:space="0" w:color="F05023"/>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BD3C8"/>
      </w:tcPr>
    </w:tblStylePr>
    <w:tblStylePr w:type="band1Horz">
      <w:rPr>
        <w:rFonts w:cs="Times New Roman"/>
      </w:rPr>
      <w:tblPr/>
      <w:tcPr>
        <w:tcBorders>
          <w:top w:val="nil"/>
          <w:bottom w:val="nil"/>
          <w:insideH w:val="nil"/>
          <w:insideV w:val="nil"/>
        </w:tcBorders>
        <w:shd w:val="clear" w:color="auto" w:fill="FBD3C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rednialista2akcent4">
    <w:name w:val="Medium List 2 Accent 4"/>
    <w:basedOn w:val="Standardowy"/>
    <w:uiPriority w:val="99"/>
    <w:semiHidden/>
    <w:rsid w:val="007C28CC"/>
    <w:rPr>
      <w:rFonts w:eastAsia="MS Gothic"/>
      <w:color w:val="000000"/>
      <w:sz w:val="20"/>
      <w:szCs w:val="20"/>
    </w:rPr>
    <w:tblPr>
      <w:tblStyleRowBandSize w:val="1"/>
      <w:tblStyleColBandSize w:val="1"/>
      <w:tblBorders>
        <w:top w:val="single" w:sz="8" w:space="0" w:color="696EB4"/>
        <w:left w:val="single" w:sz="8" w:space="0" w:color="696EB4"/>
        <w:bottom w:val="single" w:sz="8" w:space="0" w:color="696EB4"/>
        <w:right w:val="single" w:sz="8" w:space="0" w:color="696EB4"/>
      </w:tblBorders>
    </w:tblPr>
    <w:tblStylePr w:type="firstRow">
      <w:rPr>
        <w:rFonts w:cs="Times New Roman"/>
        <w:sz w:val="24"/>
        <w:szCs w:val="24"/>
      </w:rPr>
      <w:tblPr/>
      <w:tcPr>
        <w:tcBorders>
          <w:top w:val="nil"/>
          <w:left w:val="nil"/>
          <w:bottom w:val="single" w:sz="24" w:space="0" w:color="696EB4"/>
          <w:right w:val="nil"/>
          <w:insideH w:val="nil"/>
          <w:insideV w:val="nil"/>
        </w:tcBorders>
        <w:shd w:val="clear" w:color="auto" w:fill="FFFFFF"/>
      </w:tcPr>
    </w:tblStylePr>
    <w:tblStylePr w:type="lastRow">
      <w:rPr>
        <w:rFonts w:cs="Times New Roman"/>
      </w:rPr>
      <w:tblPr/>
      <w:tcPr>
        <w:tcBorders>
          <w:top w:val="single" w:sz="8" w:space="0" w:color="696EB4"/>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696EB4"/>
          <w:insideH w:val="nil"/>
          <w:insideV w:val="nil"/>
        </w:tcBorders>
        <w:shd w:val="clear" w:color="auto" w:fill="FFFFFF"/>
      </w:tcPr>
    </w:tblStylePr>
    <w:tblStylePr w:type="lastCol">
      <w:rPr>
        <w:rFonts w:cs="Times New Roman"/>
      </w:rPr>
      <w:tblPr/>
      <w:tcPr>
        <w:tcBorders>
          <w:top w:val="nil"/>
          <w:left w:val="single" w:sz="8" w:space="0" w:color="696EB4"/>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9DBEC"/>
      </w:tcPr>
    </w:tblStylePr>
    <w:tblStylePr w:type="band1Horz">
      <w:rPr>
        <w:rFonts w:cs="Times New Roman"/>
      </w:rPr>
      <w:tblPr/>
      <w:tcPr>
        <w:tcBorders>
          <w:top w:val="nil"/>
          <w:bottom w:val="nil"/>
          <w:insideH w:val="nil"/>
          <w:insideV w:val="nil"/>
        </w:tcBorders>
        <w:shd w:val="clear" w:color="auto" w:fill="D9DBEC"/>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rednialista2akcent5">
    <w:name w:val="Medium List 2 Accent 5"/>
    <w:basedOn w:val="Standardowy"/>
    <w:uiPriority w:val="99"/>
    <w:semiHidden/>
    <w:rsid w:val="007C28CC"/>
    <w:rPr>
      <w:rFonts w:eastAsia="MS Gothic"/>
      <w:color w:val="000000"/>
      <w:sz w:val="20"/>
      <w:szCs w:val="20"/>
    </w:rPr>
    <w:tblPr>
      <w:tblStyleRowBandSize w:val="1"/>
      <w:tblStyleColBandSize w:val="1"/>
      <w:tblBorders>
        <w:top w:val="single" w:sz="8" w:space="0" w:color="FA9B1E"/>
        <w:left w:val="single" w:sz="8" w:space="0" w:color="FA9B1E"/>
        <w:bottom w:val="single" w:sz="8" w:space="0" w:color="FA9B1E"/>
        <w:right w:val="single" w:sz="8" w:space="0" w:color="FA9B1E"/>
      </w:tblBorders>
    </w:tblPr>
    <w:tblStylePr w:type="firstRow">
      <w:rPr>
        <w:rFonts w:cs="Times New Roman"/>
        <w:sz w:val="24"/>
        <w:szCs w:val="24"/>
      </w:rPr>
      <w:tblPr/>
      <w:tcPr>
        <w:tcBorders>
          <w:top w:val="nil"/>
          <w:left w:val="nil"/>
          <w:bottom w:val="single" w:sz="24" w:space="0" w:color="FA9B1E"/>
          <w:right w:val="nil"/>
          <w:insideH w:val="nil"/>
          <w:insideV w:val="nil"/>
        </w:tcBorders>
        <w:shd w:val="clear" w:color="auto" w:fill="FFFFFF"/>
      </w:tcPr>
    </w:tblStylePr>
    <w:tblStylePr w:type="lastRow">
      <w:rPr>
        <w:rFonts w:cs="Times New Roman"/>
      </w:rPr>
      <w:tblPr/>
      <w:tcPr>
        <w:tcBorders>
          <w:top w:val="single" w:sz="8" w:space="0" w:color="FA9B1E"/>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A9B1E"/>
          <w:insideH w:val="nil"/>
          <w:insideV w:val="nil"/>
        </w:tcBorders>
        <w:shd w:val="clear" w:color="auto" w:fill="FFFFFF"/>
      </w:tcPr>
    </w:tblStylePr>
    <w:tblStylePr w:type="lastCol">
      <w:rPr>
        <w:rFonts w:cs="Times New Roman"/>
      </w:rPr>
      <w:tblPr/>
      <w:tcPr>
        <w:tcBorders>
          <w:top w:val="nil"/>
          <w:left w:val="single" w:sz="8" w:space="0" w:color="FA9B1E"/>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6C7"/>
      </w:tcPr>
    </w:tblStylePr>
    <w:tblStylePr w:type="band1Horz">
      <w:rPr>
        <w:rFonts w:cs="Times New Roman"/>
      </w:rPr>
      <w:tblPr/>
      <w:tcPr>
        <w:tcBorders>
          <w:top w:val="nil"/>
          <w:bottom w:val="nil"/>
          <w:insideH w:val="nil"/>
          <w:insideV w:val="nil"/>
        </w:tcBorders>
        <w:shd w:val="clear" w:color="auto" w:fill="FDE6C7"/>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rednialista2akcent6">
    <w:name w:val="Medium List 2 Accent 6"/>
    <w:basedOn w:val="Standardowy"/>
    <w:uiPriority w:val="99"/>
    <w:semiHidden/>
    <w:rsid w:val="007C28CC"/>
    <w:rPr>
      <w:rFonts w:eastAsia="MS Gothic"/>
      <w:color w:val="000000"/>
      <w:sz w:val="20"/>
      <w:szCs w:val="20"/>
    </w:rPr>
    <w:tblPr>
      <w:tblStyleRowBandSize w:val="1"/>
      <w:tblStyleColBandSize w:val="1"/>
      <w:tblBorders>
        <w:top w:val="single" w:sz="8" w:space="0" w:color="28AF73"/>
        <w:left w:val="single" w:sz="8" w:space="0" w:color="28AF73"/>
        <w:bottom w:val="single" w:sz="8" w:space="0" w:color="28AF73"/>
        <w:right w:val="single" w:sz="8" w:space="0" w:color="28AF73"/>
      </w:tblBorders>
    </w:tblPr>
    <w:tblStylePr w:type="firstRow">
      <w:rPr>
        <w:rFonts w:cs="Times New Roman"/>
        <w:sz w:val="24"/>
        <w:szCs w:val="24"/>
      </w:rPr>
      <w:tblPr/>
      <w:tcPr>
        <w:tcBorders>
          <w:top w:val="nil"/>
          <w:left w:val="nil"/>
          <w:bottom w:val="single" w:sz="24" w:space="0" w:color="28AF73"/>
          <w:right w:val="nil"/>
          <w:insideH w:val="nil"/>
          <w:insideV w:val="nil"/>
        </w:tcBorders>
        <w:shd w:val="clear" w:color="auto" w:fill="FFFFFF"/>
      </w:tcPr>
    </w:tblStylePr>
    <w:tblStylePr w:type="lastRow">
      <w:rPr>
        <w:rFonts w:cs="Times New Roman"/>
      </w:rPr>
      <w:tblPr/>
      <w:tcPr>
        <w:tcBorders>
          <w:top w:val="single" w:sz="8" w:space="0" w:color="28AF73"/>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28AF73"/>
          <w:insideH w:val="nil"/>
          <w:insideV w:val="nil"/>
        </w:tcBorders>
        <w:shd w:val="clear" w:color="auto" w:fill="FFFFFF"/>
      </w:tcPr>
    </w:tblStylePr>
    <w:tblStylePr w:type="lastCol">
      <w:rPr>
        <w:rFonts w:cs="Times New Roman"/>
      </w:rPr>
      <w:tblPr/>
      <w:tcPr>
        <w:tcBorders>
          <w:top w:val="nil"/>
          <w:left w:val="single" w:sz="8" w:space="0" w:color="28AF73"/>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3F1DC"/>
      </w:tcPr>
    </w:tblStylePr>
    <w:tblStylePr w:type="band1Horz">
      <w:rPr>
        <w:rFonts w:cs="Times New Roman"/>
      </w:rPr>
      <w:tblPr/>
      <w:tcPr>
        <w:tcBorders>
          <w:top w:val="nil"/>
          <w:bottom w:val="nil"/>
          <w:insideH w:val="nil"/>
          <w:insideV w:val="nil"/>
        </w:tcBorders>
        <w:shd w:val="clear" w:color="auto" w:fill="C3F1DC"/>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redniecieniowanie1">
    <w:name w:val="Medium Shading 1"/>
    <w:basedOn w:val="Standardowy"/>
    <w:uiPriority w:val="99"/>
    <w:semiHidden/>
    <w:rsid w:val="007C28CC"/>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Times New Roman"/>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Times New Roman"/>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0C0C0"/>
      </w:tcPr>
    </w:tblStylePr>
    <w:tblStylePr w:type="band1Horz">
      <w:rPr>
        <w:rFonts w:cs="Times New Roman"/>
      </w:rPr>
      <w:tblPr/>
      <w:tcPr>
        <w:tcBorders>
          <w:insideH w:val="nil"/>
          <w:insideV w:val="nil"/>
        </w:tcBorders>
        <w:shd w:val="clear" w:color="auto" w:fill="C0C0C0"/>
      </w:tcPr>
    </w:tblStylePr>
    <w:tblStylePr w:type="band2Horz">
      <w:rPr>
        <w:rFonts w:cs="Times New Roman"/>
      </w:rPr>
      <w:tblPr/>
      <w:tcPr>
        <w:tcBorders>
          <w:insideH w:val="nil"/>
          <w:insideV w:val="nil"/>
        </w:tcBorders>
      </w:tcPr>
    </w:tblStylePr>
  </w:style>
  <w:style w:type="table" w:styleId="redniecieniowanie1akcent1">
    <w:name w:val="Medium Shading 1 Accent 1"/>
    <w:basedOn w:val="Standardowy"/>
    <w:uiPriority w:val="99"/>
    <w:semiHidden/>
    <w:rsid w:val="007C28CC"/>
    <w:rPr>
      <w:sz w:val="20"/>
      <w:szCs w:val="20"/>
    </w:rPr>
    <w:tblPr>
      <w:tblStyleRowBandSize w:val="1"/>
      <w:tblStyleColBandSize w:val="1"/>
      <w:tblBorders>
        <w:top w:val="single" w:sz="8" w:space="0" w:color="DD619D"/>
        <w:left w:val="single" w:sz="8" w:space="0" w:color="DD619D"/>
        <w:bottom w:val="single" w:sz="8" w:space="0" w:color="DD619D"/>
        <w:right w:val="single" w:sz="8" w:space="0" w:color="DD619D"/>
        <w:insideH w:val="single" w:sz="8" w:space="0" w:color="DD619D"/>
      </w:tblBorders>
    </w:tblPr>
    <w:tblStylePr w:type="firstRow">
      <w:pPr>
        <w:spacing w:before="0" w:after="0"/>
      </w:pPr>
      <w:rPr>
        <w:rFonts w:cs="Times New Roman"/>
        <w:b/>
        <w:bCs/>
        <w:color w:val="FFFFFF"/>
      </w:rPr>
      <w:tblPr/>
      <w:tcPr>
        <w:tcBorders>
          <w:top w:val="single" w:sz="8" w:space="0" w:color="DD619D"/>
          <w:left w:val="single" w:sz="8" w:space="0" w:color="DD619D"/>
          <w:bottom w:val="single" w:sz="8" w:space="0" w:color="DD619D"/>
          <w:right w:val="single" w:sz="8" w:space="0" w:color="DD619D"/>
          <w:insideH w:val="nil"/>
          <w:insideV w:val="nil"/>
        </w:tcBorders>
        <w:shd w:val="clear" w:color="auto" w:fill="D22D7D"/>
      </w:tcPr>
    </w:tblStylePr>
    <w:tblStylePr w:type="lastRow">
      <w:pPr>
        <w:spacing w:before="0" w:after="0"/>
      </w:pPr>
      <w:rPr>
        <w:rFonts w:cs="Times New Roman"/>
        <w:b/>
        <w:bCs/>
      </w:rPr>
      <w:tblPr/>
      <w:tcPr>
        <w:tcBorders>
          <w:top w:val="double" w:sz="6" w:space="0" w:color="DD619D"/>
          <w:left w:val="single" w:sz="8" w:space="0" w:color="DD619D"/>
          <w:bottom w:val="single" w:sz="8" w:space="0" w:color="DD619D"/>
          <w:right w:val="single" w:sz="8" w:space="0" w:color="DD619D"/>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4CBDE"/>
      </w:tcPr>
    </w:tblStylePr>
    <w:tblStylePr w:type="band1Horz">
      <w:rPr>
        <w:rFonts w:cs="Times New Roman"/>
      </w:rPr>
      <w:tblPr/>
      <w:tcPr>
        <w:tcBorders>
          <w:insideH w:val="nil"/>
          <w:insideV w:val="nil"/>
        </w:tcBorders>
        <w:shd w:val="clear" w:color="auto" w:fill="F4CBDE"/>
      </w:tcPr>
    </w:tblStylePr>
    <w:tblStylePr w:type="band2Horz">
      <w:rPr>
        <w:rFonts w:cs="Times New Roman"/>
      </w:rPr>
      <w:tblPr/>
      <w:tcPr>
        <w:tcBorders>
          <w:insideH w:val="nil"/>
          <w:insideV w:val="nil"/>
        </w:tcBorders>
      </w:tcPr>
    </w:tblStylePr>
  </w:style>
  <w:style w:type="table" w:styleId="redniecieniowanie1akcent2">
    <w:name w:val="Medium Shading 1 Accent 2"/>
    <w:basedOn w:val="Standardowy"/>
    <w:uiPriority w:val="99"/>
    <w:semiHidden/>
    <w:rsid w:val="007C28CC"/>
    <w:rPr>
      <w:sz w:val="20"/>
      <w:szCs w:val="20"/>
    </w:rPr>
    <w:tblPr>
      <w:tblStyleRowBandSize w:val="1"/>
      <w:tblStyleColBandSize w:val="1"/>
      <w:tblBorders>
        <w:top w:val="single" w:sz="8" w:space="0" w:color="5DBFE8"/>
        <w:left w:val="single" w:sz="8" w:space="0" w:color="5DBFE8"/>
        <w:bottom w:val="single" w:sz="8" w:space="0" w:color="5DBFE8"/>
        <w:right w:val="single" w:sz="8" w:space="0" w:color="5DBFE8"/>
        <w:insideH w:val="single" w:sz="8" w:space="0" w:color="5DBFE8"/>
      </w:tblBorders>
    </w:tblPr>
    <w:tblStylePr w:type="firstRow">
      <w:pPr>
        <w:spacing w:before="0" w:after="0"/>
      </w:pPr>
      <w:rPr>
        <w:rFonts w:cs="Times New Roman"/>
        <w:b/>
        <w:bCs/>
        <w:color w:val="FFFFFF"/>
      </w:rPr>
      <w:tblPr/>
      <w:tcPr>
        <w:tcBorders>
          <w:top w:val="single" w:sz="8" w:space="0" w:color="5DBFE8"/>
          <w:left w:val="single" w:sz="8" w:space="0" w:color="5DBFE8"/>
          <w:bottom w:val="single" w:sz="8" w:space="0" w:color="5DBFE8"/>
          <w:right w:val="single" w:sz="8" w:space="0" w:color="5DBFE8"/>
          <w:insideH w:val="nil"/>
          <w:insideV w:val="nil"/>
        </w:tcBorders>
        <w:shd w:val="clear" w:color="auto" w:fill="28AAE1"/>
      </w:tcPr>
    </w:tblStylePr>
    <w:tblStylePr w:type="lastRow">
      <w:pPr>
        <w:spacing w:before="0" w:after="0"/>
      </w:pPr>
      <w:rPr>
        <w:rFonts w:cs="Times New Roman"/>
        <w:b/>
        <w:bCs/>
      </w:rPr>
      <w:tblPr/>
      <w:tcPr>
        <w:tcBorders>
          <w:top w:val="double" w:sz="6" w:space="0" w:color="5DBFE8"/>
          <w:left w:val="single" w:sz="8" w:space="0" w:color="5DBFE8"/>
          <w:bottom w:val="single" w:sz="8" w:space="0" w:color="5DBFE8"/>
          <w:right w:val="single" w:sz="8" w:space="0" w:color="5DBFE8"/>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9E9F7"/>
      </w:tcPr>
    </w:tblStylePr>
    <w:tblStylePr w:type="band1Horz">
      <w:rPr>
        <w:rFonts w:cs="Times New Roman"/>
      </w:rPr>
      <w:tblPr/>
      <w:tcPr>
        <w:tcBorders>
          <w:insideH w:val="nil"/>
          <w:insideV w:val="nil"/>
        </w:tcBorders>
        <w:shd w:val="clear" w:color="auto" w:fill="C9E9F7"/>
      </w:tcPr>
    </w:tblStylePr>
    <w:tblStylePr w:type="band2Horz">
      <w:rPr>
        <w:rFonts w:cs="Times New Roman"/>
      </w:rPr>
      <w:tblPr/>
      <w:tcPr>
        <w:tcBorders>
          <w:insideH w:val="nil"/>
          <w:insideV w:val="nil"/>
        </w:tcBorders>
      </w:tcPr>
    </w:tblStylePr>
  </w:style>
  <w:style w:type="table" w:styleId="redniecieniowanie1akcent3">
    <w:name w:val="Medium Shading 1 Accent 3"/>
    <w:basedOn w:val="Standardowy"/>
    <w:uiPriority w:val="99"/>
    <w:semiHidden/>
    <w:rsid w:val="007C28CC"/>
    <w:rPr>
      <w:sz w:val="20"/>
      <w:szCs w:val="20"/>
    </w:rPr>
    <w:tblPr>
      <w:tblStyleRowBandSize w:val="1"/>
      <w:tblStyleColBandSize w:val="1"/>
      <w:tblBorders>
        <w:top w:val="single" w:sz="8" w:space="0" w:color="F37B59"/>
        <w:left w:val="single" w:sz="8" w:space="0" w:color="F37B59"/>
        <w:bottom w:val="single" w:sz="8" w:space="0" w:color="F37B59"/>
        <w:right w:val="single" w:sz="8" w:space="0" w:color="F37B59"/>
        <w:insideH w:val="single" w:sz="8" w:space="0" w:color="F37B59"/>
      </w:tblBorders>
    </w:tblPr>
    <w:tblStylePr w:type="firstRow">
      <w:pPr>
        <w:spacing w:before="0" w:after="0"/>
      </w:pPr>
      <w:rPr>
        <w:rFonts w:cs="Times New Roman"/>
        <w:b/>
        <w:bCs/>
        <w:color w:val="FFFFFF"/>
      </w:rPr>
      <w:tblPr/>
      <w:tcPr>
        <w:tcBorders>
          <w:top w:val="single" w:sz="8" w:space="0" w:color="F37B59"/>
          <w:left w:val="single" w:sz="8" w:space="0" w:color="F37B59"/>
          <w:bottom w:val="single" w:sz="8" w:space="0" w:color="F37B59"/>
          <w:right w:val="single" w:sz="8" w:space="0" w:color="F37B59"/>
          <w:insideH w:val="nil"/>
          <w:insideV w:val="nil"/>
        </w:tcBorders>
        <w:shd w:val="clear" w:color="auto" w:fill="F05023"/>
      </w:tcPr>
    </w:tblStylePr>
    <w:tblStylePr w:type="lastRow">
      <w:pPr>
        <w:spacing w:before="0" w:after="0"/>
      </w:pPr>
      <w:rPr>
        <w:rFonts w:cs="Times New Roman"/>
        <w:b/>
        <w:bCs/>
      </w:rPr>
      <w:tblPr/>
      <w:tcPr>
        <w:tcBorders>
          <w:top w:val="double" w:sz="6" w:space="0" w:color="F37B59"/>
          <w:left w:val="single" w:sz="8" w:space="0" w:color="F37B59"/>
          <w:bottom w:val="single" w:sz="8" w:space="0" w:color="F37B59"/>
          <w:right w:val="single" w:sz="8" w:space="0" w:color="F37B5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D3C8"/>
      </w:tcPr>
    </w:tblStylePr>
    <w:tblStylePr w:type="band1Horz">
      <w:rPr>
        <w:rFonts w:cs="Times New Roman"/>
      </w:rPr>
      <w:tblPr/>
      <w:tcPr>
        <w:tcBorders>
          <w:insideH w:val="nil"/>
          <w:insideV w:val="nil"/>
        </w:tcBorders>
        <w:shd w:val="clear" w:color="auto" w:fill="FBD3C8"/>
      </w:tcPr>
    </w:tblStylePr>
    <w:tblStylePr w:type="band2Horz">
      <w:rPr>
        <w:rFonts w:cs="Times New Roman"/>
      </w:rPr>
      <w:tblPr/>
      <w:tcPr>
        <w:tcBorders>
          <w:insideH w:val="nil"/>
          <w:insideV w:val="nil"/>
        </w:tcBorders>
      </w:tcPr>
    </w:tblStylePr>
  </w:style>
  <w:style w:type="table" w:styleId="redniecieniowanie1akcent4">
    <w:name w:val="Medium Shading 1 Accent 4"/>
    <w:basedOn w:val="Standardowy"/>
    <w:uiPriority w:val="99"/>
    <w:semiHidden/>
    <w:rsid w:val="007C28CC"/>
    <w:rPr>
      <w:sz w:val="20"/>
      <w:szCs w:val="20"/>
    </w:rPr>
    <w:tblPr>
      <w:tblStyleRowBandSize w:val="1"/>
      <w:tblStyleColBandSize w:val="1"/>
      <w:tblBorders>
        <w:top w:val="single" w:sz="8" w:space="0" w:color="8E92C6"/>
        <w:left w:val="single" w:sz="8" w:space="0" w:color="8E92C6"/>
        <w:bottom w:val="single" w:sz="8" w:space="0" w:color="8E92C6"/>
        <w:right w:val="single" w:sz="8" w:space="0" w:color="8E92C6"/>
        <w:insideH w:val="single" w:sz="8" w:space="0" w:color="8E92C6"/>
      </w:tblBorders>
    </w:tblPr>
    <w:tblStylePr w:type="firstRow">
      <w:pPr>
        <w:spacing w:before="0" w:after="0"/>
      </w:pPr>
      <w:rPr>
        <w:rFonts w:cs="Times New Roman"/>
        <w:b/>
        <w:bCs/>
        <w:color w:val="FFFFFF"/>
      </w:rPr>
      <w:tblPr/>
      <w:tcPr>
        <w:tcBorders>
          <w:top w:val="single" w:sz="8" w:space="0" w:color="8E92C6"/>
          <w:left w:val="single" w:sz="8" w:space="0" w:color="8E92C6"/>
          <w:bottom w:val="single" w:sz="8" w:space="0" w:color="8E92C6"/>
          <w:right w:val="single" w:sz="8" w:space="0" w:color="8E92C6"/>
          <w:insideH w:val="nil"/>
          <w:insideV w:val="nil"/>
        </w:tcBorders>
        <w:shd w:val="clear" w:color="auto" w:fill="696EB4"/>
      </w:tcPr>
    </w:tblStylePr>
    <w:tblStylePr w:type="lastRow">
      <w:pPr>
        <w:spacing w:before="0" w:after="0"/>
      </w:pPr>
      <w:rPr>
        <w:rFonts w:cs="Times New Roman"/>
        <w:b/>
        <w:bCs/>
      </w:rPr>
      <w:tblPr/>
      <w:tcPr>
        <w:tcBorders>
          <w:top w:val="double" w:sz="6" w:space="0" w:color="8E92C6"/>
          <w:left w:val="single" w:sz="8" w:space="0" w:color="8E92C6"/>
          <w:bottom w:val="single" w:sz="8" w:space="0" w:color="8E92C6"/>
          <w:right w:val="single" w:sz="8" w:space="0" w:color="8E92C6"/>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9DBEC"/>
      </w:tcPr>
    </w:tblStylePr>
    <w:tblStylePr w:type="band1Horz">
      <w:rPr>
        <w:rFonts w:cs="Times New Roman"/>
      </w:rPr>
      <w:tblPr/>
      <w:tcPr>
        <w:tcBorders>
          <w:insideH w:val="nil"/>
          <w:insideV w:val="nil"/>
        </w:tcBorders>
        <w:shd w:val="clear" w:color="auto" w:fill="D9DBEC"/>
      </w:tcPr>
    </w:tblStylePr>
    <w:tblStylePr w:type="band2Horz">
      <w:rPr>
        <w:rFonts w:cs="Times New Roman"/>
      </w:rPr>
      <w:tblPr/>
      <w:tcPr>
        <w:tcBorders>
          <w:insideH w:val="nil"/>
          <w:insideV w:val="nil"/>
        </w:tcBorders>
      </w:tcPr>
    </w:tblStylePr>
  </w:style>
  <w:style w:type="table" w:styleId="redniecieniowanie1akcent5">
    <w:name w:val="Medium Shading 1 Accent 5"/>
    <w:basedOn w:val="Standardowy"/>
    <w:uiPriority w:val="99"/>
    <w:semiHidden/>
    <w:rsid w:val="007C28CC"/>
    <w:rPr>
      <w:sz w:val="20"/>
      <w:szCs w:val="20"/>
    </w:rPr>
    <w:tblPr>
      <w:tblStyleRowBandSize w:val="1"/>
      <w:tblStyleColBandSize w:val="1"/>
      <w:tblBorders>
        <w:top w:val="single" w:sz="8" w:space="0" w:color="FBB356"/>
        <w:left w:val="single" w:sz="8" w:space="0" w:color="FBB356"/>
        <w:bottom w:val="single" w:sz="8" w:space="0" w:color="FBB356"/>
        <w:right w:val="single" w:sz="8" w:space="0" w:color="FBB356"/>
        <w:insideH w:val="single" w:sz="8" w:space="0" w:color="FBB356"/>
      </w:tblBorders>
    </w:tblPr>
    <w:tblStylePr w:type="firstRow">
      <w:pPr>
        <w:spacing w:before="0" w:after="0"/>
      </w:pPr>
      <w:rPr>
        <w:rFonts w:cs="Times New Roman"/>
        <w:b/>
        <w:bCs/>
        <w:color w:val="FFFFFF"/>
      </w:rPr>
      <w:tblPr/>
      <w:tcPr>
        <w:tcBorders>
          <w:top w:val="single" w:sz="8" w:space="0" w:color="FBB356"/>
          <w:left w:val="single" w:sz="8" w:space="0" w:color="FBB356"/>
          <w:bottom w:val="single" w:sz="8" w:space="0" w:color="FBB356"/>
          <w:right w:val="single" w:sz="8" w:space="0" w:color="FBB356"/>
          <w:insideH w:val="nil"/>
          <w:insideV w:val="nil"/>
        </w:tcBorders>
        <w:shd w:val="clear" w:color="auto" w:fill="FA9B1E"/>
      </w:tcPr>
    </w:tblStylePr>
    <w:tblStylePr w:type="lastRow">
      <w:pPr>
        <w:spacing w:before="0" w:after="0"/>
      </w:pPr>
      <w:rPr>
        <w:rFonts w:cs="Times New Roman"/>
        <w:b/>
        <w:bCs/>
      </w:rPr>
      <w:tblPr/>
      <w:tcPr>
        <w:tcBorders>
          <w:top w:val="double" w:sz="6" w:space="0" w:color="FBB356"/>
          <w:left w:val="single" w:sz="8" w:space="0" w:color="FBB356"/>
          <w:bottom w:val="single" w:sz="8" w:space="0" w:color="FBB356"/>
          <w:right w:val="single" w:sz="8" w:space="0" w:color="FBB356"/>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6C7"/>
      </w:tcPr>
    </w:tblStylePr>
    <w:tblStylePr w:type="band1Horz">
      <w:rPr>
        <w:rFonts w:cs="Times New Roman"/>
      </w:rPr>
      <w:tblPr/>
      <w:tcPr>
        <w:tcBorders>
          <w:insideH w:val="nil"/>
          <w:insideV w:val="nil"/>
        </w:tcBorders>
        <w:shd w:val="clear" w:color="auto" w:fill="FDE6C7"/>
      </w:tcPr>
    </w:tblStylePr>
    <w:tblStylePr w:type="band2Horz">
      <w:rPr>
        <w:rFonts w:cs="Times New Roman"/>
      </w:rPr>
      <w:tblPr/>
      <w:tcPr>
        <w:tcBorders>
          <w:insideH w:val="nil"/>
          <w:insideV w:val="nil"/>
        </w:tcBorders>
      </w:tcPr>
    </w:tblStylePr>
  </w:style>
  <w:style w:type="table" w:styleId="redniecieniowanie1akcent6">
    <w:name w:val="Medium Shading 1 Accent 6"/>
    <w:basedOn w:val="Standardowy"/>
    <w:uiPriority w:val="99"/>
    <w:semiHidden/>
    <w:rsid w:val="007C28CC"/>
    <w:rPr>
      <w:sz w:val="20"/>
      <w:szCs w:val="20"/>
    </w:rPr>
    <w:tblPr>
      <w:tblStyleRowBandSize w:val="1"/>
      <w:tblStyleColBandSize w:val="1"/>
      <w:tblBorders>
        <w:top w:val="single" w:sz="8" w:space="0" w:color="4BD597"/>
        <w:left w:val="single" w:sz="8" w:space="0" w:color="4BD597"/>
        <w:bottom w:val="single" w:sz="8" w:space="0" w:color="4BD597"/>
        <w:right w:val="single" w:sz="8" w:space="0" w:color="4BD597"/>
        <w:insideH w:val="single" w:sz="8" w:space="0" w:color="4BD597"/>
      </w:tblBorders>
    </w:tblPr>
    <w:tblStylePr w:type="firstRow">
      <w:pPr>
        <w:spacing w:before="0" w:after="0"/>
      </w:pPr>
      <w:rPr>
        <w:rFonts w:cs="Times New Roman"/>
        <w:b/>
        <w:bCs/>
        <w:color w:val="FFFFFF"/>
      </w:rPr>
      <w:tblPr/>
      <w:tcPr>
        <w:tcBorders>
          <w:top w:val="single" w:sz="8" w:space="0" w:color="4BD597"/>
          <w:left w:val="single" w:sz="8" w:space="0" w:color="4BD597"/>
          <w:bottom w:val="single" w:sz="8" w:space="0" w:color="4BD597"/>
          <w:right w:val="single" w:sz="8" w:space="0" w:color="4BD597"/>
          <w:insideH w:val="nil"/>
          <w:insideV w:val="nil"/>
        </w:tcBorders>
        <w:shd w:val="clear" w:color="auto" w:fill="28AF73"/>
      </w:tcPr>
    </w:tblStylePr>
    <w:tblStylePr w:type="lastRow">
      <w:pPr>
        <w:spacing w:before="0" w:after="0"/>
      </w:pPr>
      <w:rPr>
        <w:rFonts w:cs="Times New Roman"/>
        <w:b/>
        <w:bCs/>
      </w:rPr>
      <w:tblPr/>
      <w:tcPr>
        <w:tcBorders>
          <w:top w:val="double" w:sz="6" w:space="0" w:color="4BD597"/>
          <w:left w:val="single" w:sz="8" w:space="0" w:color="4BD597"/>
          <w:bottom w:val="single" w:sz="8" w:space="0" w:color="4BD597"/>
          <w:right w:val="single" w:sz="8" w:space="0" w:color="4BD597"/>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3F1DC"/>
      </w:tcPr>
    </w:tblStylePr>
    <w:tblStylePr w:type="band1Horz">
      <w:rPr>
        <w:rFonts w:cs="Times New Roman"/>
      </w:rPr>
      <w:tblPr/>
      <w:tcPr>
        <w:tcBorders>
          <w:insideH w:val="nil"/>
          <w:insideV w:val="nil"/>
        </w:tcBorders>
        <w:shd w:val="clear" w:color="auto" w:fill="C3F1DC"/>
      </w:tcPr>
    </w:tblStylePr>
    <w:tblStylePr w:type="band2Horz">
      <w:rPr>
        <w:rFonts w:cs="Times New Roman"/>
      </w:rPr>
      <w:tblPr/>
      <w:tcPr>
        <w:tcBorders>
          <w:insideH w:val="nil"/>
          <w:insideV w:val="nil"/>
        </w:tcBorders>
      </w:tcPr>
    </w:tblStylePr>
  </w:style>
  <w:style w:type="table" w:styleId="redniecieniowanie2">
    <w:name w:val="Medium Shading 2"/>
    <w:basedOn w:val="Standardowy"/>
    <w:uiPriority w:val="99"/>
    <w:semiHidden/>
    <w:rsid w:val="007C28CC"/>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Times New Roman"/>
        <w:b/>
        <w:bCs/>
        <w:color w:val="FFFFFF"/>
      </w:rPr>
      <w:tblPr/>
      <w:tcPr>
        <w:tcBorders>
          <w:left w:val="nil"/>
          <w:right w:val="nil"/>
          <w:insideH w:val="nil"/>
          <w:insideV w:val="nil"/>
        </w:tcBorders>
        <w:shd w:val="clear" w:color="auto" w:fill="000000"/>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99"/>
    <w:semiHidden/>
    <w:rsid w:val="007C28CC"/>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D22D7D"/>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D22D7D"/>
      </w:tcPr>
    </w:tblStylePr>
    <w:tblStylePr w:type="lastCol">
      <w:rPr>
        <w:rFonts w:cs="Times New Roman"/>
        <w:b/>
        <w:bCs/>
        <w:color w:val="FFFFFF"/>
      </w:rPr>
      <w:tblPr/>
      <w:tcPr>
        <w:tcBorders>
          <w:left w:val="nil"/>
          <w:right w:val="nil"/>
          <w:insideH w:val="nil"/>
          <w:insideV w:val="nil"/>
        </w:tcBorders>
        <w:shd w:val="clear" w:color="auto" w:fill="D22D7D"/>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99"/>
    <w:semiHidden/>
    <w:rsid w:val="007C28CC"/>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28AAE1"/>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28AAE1"/>
      </w:tcPr>
    </w:tblStylePr>
    <w:tblStylePr w:type="lastCol">
      <w:rPr>
        <w:rFonts w:cs="Times New Roman"/>
        <w:b/>
        <w:bCs/>
        <w:color w:val="FFFFFF"/>
      </w:rPr>
      <w:tblPr/>
      <w:tcPr>
        <w:tcBorders>
          <w:left w:val="nil"/>
          <w:right w:val="nil"/>
          <w:insideH w:val="nil"/>
          <w:insideV w:val="nil"/>
        </w:tcBorders>
        <w:shd w:val="clear" w:color="auto" w:fill="28AAE1"/>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99"/>
    <w:semiHidden/>
    <w:rsid w:val="007C28CC"/>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F05023"/>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F05023"/>
      </w:tcPr>
    </w:tblStylePr>
    <w:tblStylePr w:type="lastCol">
      <w:rPr>
        <w:rFonts w:cs="Times New Roman"/>
        <w:b/>
        <w:bCs/>
        <w:color w:val="FFFFFF"/>
      </w:rPr>
      <w:tblPr/>
      <w:tcPr>
        <w:tcBorders>
          <w:left w:val="nil"/>
          <w:right w:val="nil"/>
          <w:insideH w:val="nil"/>
          <w:insideV w:val="nil"/>
        </w:tcBorders>
        <w:shd w:val="clear" w:color="auto" w:fill="F05023"/>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99"/>
    <w:semiHidden/>
    <w:rsid w:val="007C28CC"/>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696EB4"/>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696EB4"/>
      </w:tcPr>
    </w:tblStylePr>
    <w:tblStylePr w:type="lastCol">
      <w:rPr>
        <w:rFonts w:cs="Times New Roman"/>
        <w:b/>
        <w:bCs/>
        <w:color w:val="FFFFFF"/>
      </w:rPr>
      <w:tblPr/>
      <w:tcPr>
        <w:tcBorders>
          <w:left w:val="nil"/>
          <w:right w:val="nil"/>
          <w:insideH w:val="nil"/>
          <w:insideV w:val="nil"/>
        </w:tcBorders>
        <w:shd w:val="clear" w:color="auto" w:fill="696EB4"/>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99"/>
    <w:semiHidden/>
    <w:rsid w:val="007C28CC"/>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FA9B1E"/>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FA9B1E"/>
      </w:tcPr>
    </w:tblStylePr>
    <w:tblStylePr w:type="lastCol">
      <w:rPr>
        <w:rFonts w:cs="Times New Roman"/>
        <w:b/>
        <w:bCs/>
        <w:color w:val="FFFFFF"/>
      </w:rPr>
      <w:tblPr/>
      <w:tcPr>
        <w:tcBorders>
          <w:left w:val="nil"/>
          <w:right w:val="nil"/>
          <w:insideH w:val="nil"/>
          <w:insideV w:val="nil"/>
        </w:tcBorders>
        <w:shd w:val="clear" w:color="auto" w:fill="FA9B1E"/>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99"/>
    <w:semiHidden/>
    <w:rsid w:val="007C28CC"/>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28AF73"/>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28AF73"/>
      </w:tcPr>
    </w:tblStylePr>
    <w:tblStylePr w:type="lastCol">
      <w:rPr>
        <w:rFonts w:cs="Times New Roman"/>
        <w:b/>
        <w:bCs/>
        <w:color w:val="FFFFFF"/>
      </w:rPr>
      <w:tblPr/>
      <w:tcPr>
        <w:tcBorders>
          <w:left w:val="nil"/>
          <w:right w:val="nil"/>
          <w:insideH w:val="nil"/>
          <w:insideV w:val="nil"/>
        </w:tcBorders>
        <w:shd w:val="clear" w:color="auto" w:fill="28AF73"/>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character" w:customStyle="1" w:styleId="Wzmianka1">
    <w:name w:val="Wzmianka1"/>
    <w:basedOn w:val="Domylnaczcionkaakapitu"/>
    <w:uiPriority w:val="99"/>
    <w:semiHidden/>
    <w:rsid w:val="007C28CC"/>
    <w:rPr>
      <w:rFonts w:cs="Times New Roman"/>
      <w:color w:val="2B579A"/>
      <w:shd w:val="clear" w:color="auto" w:fill="E1DFDD"/>
      <w:lang w:val="pl-PL"/>
    </w:rPr>
  </w:style>
  <w:style w:type="paragraph" w:styleId="Nagwekwiadomoci">
    <w:name w:val="Message Header"/>
    <w:basedOn w:val="Normalny"/>
    <w:link w:val="NagwekwiadomociZnak"/>
    <w:uiPriority w:val="99"/>
    <w:semiHidden/>
    <w:rsid w:val="007C28CC"/>
    <w:pPr>
      <w:pBdr>
        <w:top w:val="single" w:sz="6" w:space="1" w:color="auto"/>
        <w:left w:val="single" w:sz="6" w:space="1" w:color="auto"/>
        <w:bottom w:val="single" w:sz="6" w:space="1" w:color="auto"/>
        <w:right w:val="single" w:sz="6" w:space="1" w:color="auto"/>
      </w:pBdr>
      <w:shd w:val="pct20" w:color="auto" w:fill="auto"/>
      <w:ind w:left="1134" w:hanging="1134"/>
    </w:pPr>
    <w:rPr>
      <w:rFonts w:eastAsia="MS Gothic"/>
    </w:rPr>
  </w:style>
  <w:style w:type="character" w:customStyle="1" w:styleId="NagwekwiadomociZnak">
    <w:name w:val="Nagłówek wiadomości Znak"/>
    <w:basedOn w:val="Domylnaczcionkaakapitu"/>
    <w:link w:val="Nagwekwiadomoci"/>
    <w:uiPriority w:val="99"/>
    <w:semiHidden/>
    <w:locked/>
    <w:rsid w:val="007C28CC"/>
    <w:rPr>
      <w:rFonts w:ascii="Times New Roman" w:eastAsia="MS Gothic" w:hAnsi="Times New Roman" w:cs="Times New Roman"/>
      <w:shd w:val="pct20" w:color="auto" w:fill="auto"/>
      <w:lang w:val="pl-PL" w:eastAsia="zh-CN"/>
    </w:rPr>
  </w:style>
  <w:style w:type="paragraph" w:styleId="Bezodstpw">
    <w:name w:val="No Spacing"/>
    <w:uiPriority w:val="99"/>
    <w:qFormat/>
    <w:rsid w:val="007C28CC"/>
    <w:rPr>
      <w:rFonts w:eastAsia="MS Mincho"/>
      <w:sz w:val="24"/>
      <w:szCs w:val="24"/>
      <w:lang w:eastAsia="zh-CN"/>
    </w:rPr>
  </w:style>
  <w:style w:type="paragraph" w:styleId="Nagweknotatki">
    <w:name w:val="Note Heading"/>
    <w:basedOn w:val="Normalny"/>
    <w:next w:val="Normalny"/>
    <w:link w:val="NagweknotatkiZnak"/>
    <w:uiPriority w:val="99"/>
    <w:semiHidden/>
    <w:rsid w:val="007C28CC"/>
  </w:style>
  <w:style w:type="character" w:customStyle="1" w:styleId="NagweknotatkiZnak">
    <w:name w:val="Nagłówek notatki Znak"/>
    <w:basedOn w:val="Domylnaczcionkaakapitu"/>
    <w:link w:val="Nagweknotatki"/>
    <w:uiPriority w:val="99"/>
    <w:semiHidden/>
    <w:locked/>
    <w:rsid w:val="007C28CC"/>
    <w:rPr>
      <w:rFonts w:eastAsia="MS Mincho" w:cs="Times New Roman"/>
      <w:lang w:val="pl-PL" w:eastAsia="zh-CN"/>
    </w:rPr>
  </w:style>
  <w:style w:type="table" w:customStyle="1" w:styleId="Zwykatabela11">
    <w:name w:val="Zwykła tabela 11"/>
    <w:uiPriority w:val="99"/>
    <w:rsid w:val="007C28CC"/>
    <w:rPr>
      <w:sz w:val="20"/>
      <w:szCs w:val="20"/>
      <w:lang w:val="en-GB" w:eastAsia="en-GB"/>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Zwykatabela21">
    <w:name w:val="Zwykła tabela 21"/>
    <w:uiPriority w:val="99"/>
    <w:rsid w:val="007C28CC"/>
    <w:rPr>
      <w:sz w:val="20"/>
      <w:szCs w:val="20"/>
      <w:lang w:val="en-GB" w:eastAsia="en-GB"/>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rFonts w:cs="Times New Roman"/>
        <w:b/>
        <w:bCs/>
      </w:rPr>
      <w:tblPr/>
      <w:tcPr>
        <w:tcBorders>
          <w:bottom w:val="single" w:sz="4" w:space="0" w:color="7F7F7F"/>
        </w:tcBorders>
      </w:tcPr>
    </w:tblStylePr>
    <w:tblStylePr w:type="lastRow">
      <w:rPr>
        <w:rFonts w:cs="Times New Roman"/>
        <w:b/>
        <w:bCs/>
      </w:rPr>
      <w:tblPr/>
      <w:tcPr>
        <w:tcBorders>
          <w:top w:val="single" w:sz="4" w:space="0" w:color="7F7F7F"/>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F7F7F"/>
          <w:right w:val="single" w:sz="4" w:space="0" w:color="7F7F7F"/>
        </w:tcBorders>
      </w:tcPr>
    </w:tblStylePr>
    <w:tblStylePr w:type="band2Vert">
      <w:rPr>
        <w:rFonts w:cs="Times New Roman"/>
      </w:rPr>
      <w:tblPr/>
      <w:tcPr>
        <w:tcBorders>
          <w:left w:val="single" w:sz="4" w:space="0" w:color="7F7F7F"/>
          <w:right w:val="single" w:sz="4" w:space="0" w:color="7F7F7F"/>
        </w:tcBorders>
      </w:tcPr>
    </w:tblStylePr>
    <w:tblStylePr w:type="band1Horz">
      <w:rPr>
        <w:rFonts w:cs="Times New Roman"/>
      </w:rPr>
      <w:tblPr/>
      <w:tcPr>
        <w:tcBorders>
          <w:top w:val="single" w:sz="4" w:space="0" w:color="7F7F7F"/>
          <w:bottom w:val="single" w:sz="4" w:space="0" w:color="7F7F7F"/>
        </w:tcBorders>
      </w:tcPr>
    </w:tblStylePr>
  </w:style>
  <w:style w:type="table" w:customStyle="1" w:styleId="Zwykatabela31">
    <w:name w:val="Zwykła tabela 31"/>
    <w:uiPriority w:val="99"/>
    <w:rsid w:val="007C28CC"/>
    <w:rPr>
      <w:sz w:val="20"/>
      <w:szCs w:val="20"/>
      <w:lang w:val="en-GB" w:eastAsia="en-GB"/>
    </w:rPr>
    <w:tblPr>
      <w:tblStyleRowBandSize w:val="1"/>
      <w:tblStyleColBandSize w:val="1"/>
      <w:tblInd w:w="0" w:type="dxa"/>
      <w:tblCellMar>
        <w:top w:w="0" w:type="dxa"/>
        <w:left w:w="108" w:type="dxa"/>
        <w:bottom w:w="0" w:type="dxa"/>
        <w:right w:w="108" w:type="dxa"/>
      </w:tblCellMar>
    </w:tblPr>
    <w:tblStylePr w:type="firstRow">
      <w:rPr>
        <w:rFonts w:cs="Times New Roman"/>
        <w:b/>
        <w:bCs/>
        <w:caps/>
      </w:rPr>
      <w:tblPr/>
      <w:tcPr>
        <w:tcBorders>
          <w:bottom w:val="single" w:sz="4" w:space="0" w:color="7F7F7F"/>
        </w:tcBorders>
      </w:tcPr>
    </w:tblStylePr>
    <w:tblStylePr w:type="lastRow">
      <w:rPr>
        <w:rFonts w:cs="Times New Roman"/>
        <w:b/>
        <w:bCs/>
        <w:caps/>
      </w:rPr>
      <w:tblPr/>
      <w:tcPr>
        <w:tcBorders>
          <w:top w:val="nil"/>
        </w:tcBorders>
      </w:tcPr>
    </w:tblStylePr>
    <w:tblStylePr w:type="firstCol">
      <w:rPr>
        <w:rFonts w:cs="Times New Roman"/>
        <w:b/>
        <w:bCs/>
        <w:caps/>
      </w:rPr>
      <w:tblPr/>
      <w:tcPr>
        <w:tcBorders>
          <w:right w:val="single" w:sz="4" w:space="0" w:color="7F7F7F"/>
        </w:tcBorders>
      </w:tcPr>
    </w:tblStylePr>
    <w:tblStylePr w:type="lastCol">
      <w:rPr>
        <w:rFonts w:cs="Times New Roman"/>
        <w:b/>
        <w:bCs/>
        <w:caps/>
      </w:rPr>
      <w:tblPr/>
      <w:tcPr>
        <w:tcBorders>
          <w:left w:val="nil"/>
        </w:tcBorders>
      </w:tc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tblStylePr w:type="neCell">
      <w:rPr>
        <w:rFonts w:cs="Times New Roman"/>
      </w:rPr>
      <w:tblPr/>
      <w:tcPr>
        <w:tcBorders>
          <w:left w:val="nil"/>
        </w:tcBorders>
      </w:tcPr>
    </w:tblStylePr>
    <w:tblStylePr w:type="nwCell">
      <w:rPr>
        <w:rFonts w:cs="Times New Roman"/>
      </w:rPr>
      <w:tblPr/>
      <w:tcPr>
        <w:tcBorders>
          <w:right w:val="nil"/>
        </w:tcBorders>
      </w:tcPr>
    </w:tblStylePr>
  </w:style>
  <w:style w:type="table" w:customStyle="1" w:styleId="Zwykatabela41">
    <w:name w:val="Zwykła tabela 41"/>
    <w:uiPriority w:val="99"/>
    <w:rsid w:val="007C28CC"/>
    <w:rPr>
      <w:sz w:val="20"/>
      <w:szCs w:val="20"/>
      <w:lang w:val="en-GB" w:eastAsia="en-GB"/>
    </w:rPr>
    <w:tblPr>
      <w:tblStyleRowBandSize w:val="1"/>
      <w:tblStyleColBandSize w:val="1"/>
      <w:tblInd w:w="0" w:type="dxa"/>
      <w:tblCellMar>
        <w:top w:w="0" w:type="dxa"/>
        <w:left w:w="108" w:type="dxa"/>
        <w:bottom w:w="0" w:type="dxa"/>
        <w:right w:w="108" w:type="dxa"/>
      </w:tblCellMar>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Zwykatabela51">
    <w:name w:val="Zwykła tabela 51"/>
    <w:uiPriority w:val="99"/>
    <w:rsid w:val="007C28CC"/>
    <w:rPr>
      <w:sz w:val="20"/>
      <w:szCs w:val="20"/>
      <w:lang w:val="en-GB" w:eastAsia="en-GB"/>
    </w:rPr>
    <w:tblPr>
      <w:tblStyleRowBandSize w:val="1"/>
      <w:tblStyleColBandSize w:val="1"/>
      <w:tblInd w:w="0" w:type="dxa"/>
      <w:tblCellMar>
        <w:top w:w="0" w:type="dxa"/>
        <w:left w:w="108" w:type="dxa"/>
        <w:bottom w:w="0" w:type="dxa"/>
        <w:right w:w="108" w:type="dxa"/>
      </w:tblCellMar>
    </w:tblPr>
    <w:tblStylePr w:type="firstRow">
      <w:rPr>
        <w:rFonts w:ascii="Times New Roman" w:eastAsia="MS Gothic" w:hAnsi="Times New Roman" w:cs="Times New Roman"/>
        <w:i/>
        <w:iCs/>
        <w:sz w:val="26"/>
      </w:rPr>
      <w:tblPr/>
      <w:tcPr>
        <w:tcBorders>
          <w:bottom w:val="single" w:sz="4" w:space="0" w:color="7F7F7F"/>
        </w:tcBorders>
        <w:shd w:val="clear" w:color="auto" w:fill="FFFFFF"/>
      </w:tcPr>
    </w:tblStylePr>
    <w:tblStylePr w:type="lastRow">
      <w:rPr>
        <w:rFonts w:ascii="Times New Roman" w:eastAsia="MS Gothic" w:hAnsi="Times New Roman" w:cs="Times New Roman"/>
        <w:i/>
        <w:iCs/>
        <w:sz w:val="26"/>
      </w:rPr>
      <w:tblPr/>
      <w:tcPr>
        <w:tcBorders>
          <w:top w:val="single" w:sz="4" w:space="0" w:color="7F7F7F"/>
        </w:tcBorders>
        <w:shd w:val="clear" w:color="auto" w:fill="FFFFFF"/>
      </w:tcPr>
    </w:tblStylePr>
    <w:tblStylePr w:type="firstCol">
      <w:pPr>
        <w:jc w:val="right"/>
      </w:pPr>
      <w:rPr>
        <w:rFonts w:ascii="Times New Roman" w:eastAsia="MS Gothic" w:hAnsi="Times New Roman" w:cs="Times New Roman"/>
        <w:i/>
        <w:iCs/>
        <w:sz w:val="26"/>
      </w:rPr>
      <w:tblPr/>
      <w:tcPr>
        <w:tcBorders>
          <w:right w:val="single" w:sz="4" w:space="0" w:color="7F7F7F"/>
        </w:tcBorders>
        <w:shd w:val="clear" w:color="auto" w:fill="FFFFFF"/>
      </w:tcPr>
    </w:tblStylePr>
    <w:tblStylePr w:type="lastCol">
      <w:rPr>
        <w:rFonts w:ascii="Times New Roman" w:eastAsia="MS Gothic" w:hAnsi="Times New Roman" w:cs="Times New Roman"/>
        <w:i/>
        <w:iCs/>
        <w:sz w:val="26"/>
      </w:rPr>
      <w:tblPr/>
      <w:tcPr>
        <w:tcBorders>
          <w:left w:val="single" w:sz="4" w:space="0" w:color="7F7F7F"/>
        </w:tcBorders>
        <w:shd w:val="clear" w:color="auto" w:fill="FFFFFF"/>
      </w:tc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paragraph" w:styleId="Zwykytekst">
    <w:name w:val="Plain Text"/>
    <w:basedOn w:val="Normalny"/>
    <w:link w:val="ZwykytekstZnak"/>
    <w:uiPriority w:val="99"/>
    <w:semiHidden/>
    <w:rsid w:val="007C28CC"/>
    <w:rPr>
      <w:rFonts w:ascii="Consolas" w:hAnsi="Consolas"/>
      <w:sz w:val="21"/>
      <w:szCs w:val="21"/>
    </w:rPr>
  </w:style>
  <w:style w:type="character" w:customStyle="1" w:styleId="ZwykytekstZnak">
    <w:name w:val="Zwykły tekst Znak"/>
    <w:basedOn w:val="Domylnaczcionkaakapitu"/>
    <w:link w:val="Zwykytekst"/>
    <w:uiPriority w:val="99"/>
    <w:semiHidden/>
    <w:locked/>
    <w:rsid w:val="007C28CC"/>
    <w:rPr>
      <w:rFonts w:ascii="Consolas" w:eastAsia="MS Mincho" w:hAnsi="Consolas" w:cs="Times New Roman"/>
      <w:sz w:val="21"/>
      <w:szCs w:val="21"/>
      <w:lang w:val="pl-PL" w:eastAsia="zh-CN"/>
    </w:rPr>
  </w:style>
  <w:style w:type="paragraph" w:styleId="Cytat">
    <w:name w:val="Quote"/>
    <w:basedOn w:val="Normalny"/>
    <w:next w:val="Normalny"/>
    <w:link w:val="CytatZnak"/>
    <w:uiPriority w:val="99"/>
    <w:qFormat/>
    <w:rsid w:val="007C28CC"/>
    <w:pPr>
      <w:spacing w:before="200" w:after="160"/>
      <w:ind w:left="864" w:right="864"/>
      <w:jc w:val="center"/>
    </w:pPr>
    <w:rPr>
      <w:i/>
      <w:iCs/>
      <w:color w:val="404040"/>
    </w:rPr>
  </w:style>
  <w:style w:type="character" w:customStyle="1" w:styleId="CytatZnak">
    <w:name w:val="Cytat Znak"/>
    <w:basedOn w:val="Domylnaczcionkaakapitu"/>
    <w:link w:val="Cytat"/>
    <w:uiPriority w:val="99"/>
    <w:locked/>
    <w:rsid w:val="007C28CC"/>
    <w:rPr>
      <w:rFonts w:eastAsia="MS Mincho" w:cs="Times New Roman"/>
      <w:i/>
      <w:iCs/>
      <w:color w:val="404040"/>
      <w:lang w:val="pl-PL" w:eastAsia="zh-CN"/>
    </w:rPr>
  </w:style>
  <w:style w:type="paragraph" w:styleId="Zwrotgrzecznociowy">
    <w:name w:val="Salutation"/>
    <w:basedOn w:val="Normalny"/>
    <w:next w:val="Normalny"/>
    <w:link w:val="ZwrotgrzecznociowyZnak"/>
    <w:uiPriority w:val="99"/>
    <w:semiHidden/>
    <w:rsid w:val="007C28CC"/>
  </w:style>
  <w:style w:type="character" w:customStyle="1" w:styleId="ZwrotgrzecznociowyZnak">
    <w:name w:val="Zwrot grzecznościowy Znak"/>
    <w:basedOn w:val="Domylnaczcionkaakapitu"/>
    <w:link w:val="Zwrotgrzecznociowy"/>
    <w:uiPriority w:val="99"/>
    <w:semiHidden/>
    <w:locked/>
    <w:rsid w:val="007C28CC"/>
    <w:rPr>
      <w:rFonts w:eastAsia="MS Mincho" w:cs="Times New Roman"/>
      <w:lang w:val="pl-PL" w:eastAsia="zh-CN"/>
    </w:rPr>
  </w:style>
  <w:style w:type="paragraph" w:styleId="Podpis">
    <w:name w:val="Signature"/>
    <w:basedOn w:val="Normalny"/>
    <w:link w:val="PodpisZnak"/>
    <w:uiPriority w:val="99"/>
    <w:semiHidden/>
    <w:rsid w:val="007C28CC"/>
    <w:pPr>
      <w:ind w:left="4252"/>
    </w:pPr>
  </w:style>
  <w:style w:type="character" w:customStyle="1" w:styleId="PodpisZnak">
    <w:name w:val="Podpis Znak"/>
    <w:basedOn w:val="Domylnaczcionkaakapitu"/>
    <w:link w:val="Podpis"/>
    <w:uiPriority w:val="99"/>
    <w:semiHidden/>
    <w:locked/>
    <w:rsid w:val="007C28CC"/>
    <w:rPr>
      <w:rFonts w:eastAsia="MS Mincho" w:cs="Times New Roman"/>
      <w:lang w:val="pl-PL" w:eastAsia="zh-CN"/>
    </w:rPr>
  </w:style>
  <w:style w:type="character" w:customStyle="1" w:styleId="Inteligentnyhiperlink1">
    <w:name w:val="Inteligentny hiperlink1"/>
    <w:basedOn w:val="Domylnaczcionkaakapitu"/>
    <w:uiPriority w:val="99"/>
    <w:semiHidden/>
    <w:rsid w:val="007C28CC"/>
    <w:rPr>
      <w:rFonts w:cs="Times New Roman"/>
      <w:u w:val="dotted"/>
      <w:lang w:val="pl-PL"/>
    </w:rPr>
  </w:style>
  <w:style w:type="character" w:customStyle="1" w:styleId="Inteligentnylink1">
    <w:name w:val="Inteligentny link1"/>
    <w:basedOn w:val="Domylnaczcionkaakapitu"/>
    <w:uiPriority w:val="99"/>
    <w:semiHidden/>
    <w:rsid w:val="007C28CC"/>
    <w:rPr>
      <w:rFonts w:cs="Times New Roman"/>
      <w:color w:val="0000FF"/>
      <w:u w:val="single"/>
      <w:shd w:val="clear" w:color="auto" w:fill="F3F2F1"/>
      <w:lang w:val="pl-PL"/>
    </w:rPr>
  </w:style>
  <w:style w:type="paragraph" w:styleId="Podtytu">
    <w:name w:val="Subtitle"/>
    <w:basedOn w:val="Normalny"/>
    <w:next w:val="Normalny"/>
    <w:link w:val="PodtytuZnak"/>
    <w:uiPriority w:val="99"/>
    <w:qFormat/>
    <w:rsid w:val="007C28CC"/>
    <w:pPr>
      <w:numPr>
        <w:ilvl w:val="1"/>
      </w:numPr>
      <w:spacing w:after="160"/>
    </w:pPr>
    <w:rPr>
      <w:color w:val="5A5A5A"/>
      <w:spacing w:val="15"/>
      <w:sz w:val="22"/>
      <w:szCs w:val="22"/>
    </w:rPr>
  </w:style>
  <w:style w:type="character" w:customStyle="1" w:styleId="PodtytuZnak">
    <w:name w:val="Podtytuł Znak"/>
    <w:basedOn w:val="Domylnaczcionkaakapitu"/>
    <w:link w:val="Podtytu"/>
    <w:uiPriority w:val="99"/>
    <w:locked/>
    <w:rsid w:val="007C28CC"/>
    <w:rPr>
      <w:rFonts w:eastAsia="MS Mincho" w:cs="Times New Roman"/>
      <w:color w:val="5A5A5A"/>
      <w:spacing w:val="15"/>
      <w:sz w:val="22"/>
      <w:szCs w:val="22"/>
      <w:lang w:val="pl-PL" w:eastAsia="zh-CN"/>
    </w:rPr>
  </w:style>
  <w:style w:type="character" w:styleId="Wyrnieniedelikatne">
    <w:name w:val="Subtle Emphasis"/>
    <w:basedOn w:val="Domylnaczcionkaakapitu"/>
    <w:uiPriority w:val="99"/>
    <w:qFormat/>
    <w:rsid w:val="007C28CC"/>
    <w:rPr>
      <w:rFonts w:cs="Times New Roman"/>
      <w:i/>
      <w:iCs/>
      <w:color w:val="404040"/>
      <w:lang w:val="pl-PL"/>
    </w:rPr>
  </w:style>
  <w:style w:type="character" w:styleId="Odwoaniedelikatne">
    <w:name w:val="Subtle Reference"/>
    <w:basedOn w:val="Domylnaczcionkaakapitu"/>
    <w:uiPriority w:val="99"/>
    <w:qFormat/>
    <w:rsid w:val="007C28CC"/>
    <w:rPr>
      <w:rFonts w:cs="Times New Roman"/>
      <w:smallCaps/>
      <w:color w:val="5A5A5A"/>
      <w:lang w:val="pl-PL"/>
    </w:rPr>
  </w:style>
  <w:style w:type="table" w:styleId="Tabela-Efekty3W1">
    <w:name w:val="Table 3D effects 1"/>
    <w:basedOn w:val="Standardowy"/>
    <w:uiPriority w:val="99"/>
    <w:semiHidden/>
    <w:rsid w:val="007C28CC"/>
    <w:rPr>
      <w:sz w:val="20"/>
      <w:szCs w:val="20"/>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ela-Efekty3W2">
    <w:name w:val="Table 3D effects 2"/>
    <w:basedOn w:val="Standardowy"/>
    <w:uiPriority w:val="99"/>
    <w:semiHidden/>
    <w:rsid w:val="007C28CC"/>
    <w:rPr>
      <w:sz w:val="20"/>
      <w:szCs w:val="20"/>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a-Efekty3W3">
    <w:name w:val="Table 3D effects 3"/>
    <w:basedOn w:val="Standardowy"/>
    <w:uiPriority w:val="99"/>
    <w:semiHidden/>
    <w:rsid w:val="007C28CC"/>
    <w:rPr>
      <w:sz w:val="20"/>
      <w:szCs w:val="20"/>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a-Klasyczny1">
    <w:name w:val="Table Classic 1"/>
    <w:basedOn w:val="Standardowy"/>
    <w:uiPriority w:val="99"/>
    <w:semiHidden/>
    <w:rsid w:val="007C28CC"/>
    <w:rPr>
      <w:sz w:val="20"/>
      <w:szCs w:val="20"/>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a-Klasyczny2">
    <w:name w:val="Table Classic 2"/>
    <w:basedOn w:val="Standardowy"/>
    <w:uiPriority w:val="99"/>
    <w:semiHidden/>
    <w:rsid w:val="007C28CC"/>
    <w:rPr>
      <w:sz w:val="20"/>
      <w:szCs w:val="20"/>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ela-Klasyczny3">
    <w:name w:val="Table Classic 3"/>
    <w:basedOn w:val="Standardowy"/>
    <w:uiPriority w:val="99"/>
    <w:semiHidden/>
    <w:rsid w:val="007C28CC"/>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ela-Klasyczny4">
    <w:name w:val="Table Classic 4"/>
    <w:basedOn w:val="Standardowy"/>
    <w:uiPriority w:val="99"/>
    <w:semiHidden/>
    <w:rsid w:val="007C28CC"/>
    <w:rPr>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ela-Kolorowy1">
    <w:name w:val="Table Colorful 1"/>
    <w:basedOn w:val="Standardowy"/>
    <w:uiPriority w:val="99"/>
    <w:semiHidden/>
    <w:rsid w:val="007C28CC"/>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ela-Kolorowy2">
    <w:name w:val="Table Colorful 2"/>
    <w:basedOn w:val="Standardowy"/>
    <w:uiPriority w:val="99"/>
    <w:semiHidden/>
    <w:rsid w:val="007C28CC"/>
    <w:rPr>
      <w:sz w:val="20"/>
      <w:szCs w:val="20"/>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ela-Kolorowy3">
    <w:name w:val="Table Colorful 3"/>
    <w:basedOn w:val="Standardowy"/>
    <w:uiPriority w:val="99"/>
    <w:semiHidden/>
    <w:rsid w:val="007C28CC"/>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ela-Kolumnowy1">
    <w:name w:val="Table Columns 1"/>
    <w:basedOn w:val="Standardowy"/>
    <w:uiPriority w:val="99"/>
    <w:semiHidden/>
    <w:rsid w:val="007C28CC"/>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a-Kolumnowy2">
    <w:name w:val="Table Columns 2"/>
    <w:basedOn w:val="Standardowy"/>
    <w:uiPriority w:val="99"/>
    <w:semiHidden/>
    <w:rsid w:val="007C28CC"/>
    <w:rPr>
      <w:b/>
      <w:bCs/>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a-Kolumnowy3">
    <w:name w:val="Table Columns 3"/>
    <w:basedOn w:val="Standardowy"/>
    <w:uiPriority w:val="99"/>
    <w:semiHidden/>
    <w:rsid w:val="007C28CC"/>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ela-Kolumnowy4">
    <w:name w:val="Table Columns 4"/>
    <w:basedOn w:val="Standardowy"/>
    <w:uiPriority w:val="99"/>
    <w:semiHidden/>
    <w:rsid w:val="007C28CC"/>
    <w:rPr>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ela-Kolumnowy5">
    <w:name w:val="Table Columns 5"/>
    <w:basedOn w:val="Standardowy"/>
    <w:uiPriority w:val="99"/>
    <w:semiHidden/>
    <w:rsid w:val="007C28CC"/>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ela-Wspczesny">
    <w:name w:val="Table Contemporary"/>
    <w:basedOn w:val="Standardowy"/>
    <w:uiPriority w:val="99"/>
    <w:semiHidden/>
    <w:rsid w:val="007C28CC"/>
    <w:rPr>
      <w:sz w:val="20"/>
      <w:szCs w:val="20"/>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ela-Elegancki">
    <w:name w:val="Table Elegant"/>
    <w:basedOn w:val="Standardowy"/>
    <w:uiPriority w:val="99"/>
    <w:semiHidden/>
    <w:rsid w:val="007C28CC"/>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ela-Siatka2">
    <w:name w:val="Table Grid 2"/>
    <w:basedOn w:val="Standardowy"/>
    <w:uiPriority w:val="99"/>
    <w:semiHidden/>
    <w:rsid w:val="007C28CC"/>
    <w:rPr>
      <w:sz w:val="20"/>
      <w:szCs w:val="20"/>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ela-Siatka3">
    <w:name w:val="Table Grid 3"/>
    <w:basedOn w:val="Standardowy"/>
    <w:uiPriority w:val="99"/>
    <w:semiHidden/>
    <w:rsid w:val="007C28CC"/>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ela-Siatka4">
    <w:name w:val="Table Grid 4"/>
    <w:basedOn w:val="Standardowy"/>
    <w:uiPriority w:val="99"/>
    <w:semiHidden/>
    <w:rsid w:val="007C28CC"/>
    <w:rPr>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ela-Siatka5">
    <w:name w:val="Table Grid 5"/>
    <w:basedOn w:val="Standardowy"/>
    <w:uiPriority w:val="99"/>
    <w:semiHidden/>
    <w:rsid w:val="007C28CC"/>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ela-Siatka6">
    <w:name w:val="Table Grid 6"/>
    <w:basedOn w:val="Standardowy"/>
    <w:uiPriority w:val="99"/>
    <w:semiHidden/>
    <w:rsid w:val="007C28CC"/>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ela-Siatka7">
    <w:name w:val="Table Grid 7"/>
    <w:basedOn w:val="Standardowy"/>
    <w:uiPriority w:val="99"/>
    <w:semiHidden/>
    <w:rsid w:val="007C28CC"/>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ela-Siatka8">
    <w:name w:val="Table Grid 8"/>
    <w:basedOn w:val="Standardowy"/>
    <w:uiPriority w:val="99"/>
    <w:semiHidden/>
    <w:rsid w:val="007C28CC"/>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ela-Lista1">
    <w:name w:val="Table List 1"/>
    <w:basedOn w:val="Standardowy"/>
    <w:uiPriority w:val="99"/>
    <w:semiHidden/>
    <w:rsid w:val="007C28CC"/>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a-Lista2">
    <w:name w:val="Table List 2"/>
    <w:basedOn w:val="Standardowy"/>
    <w:uiPriority w:val="99"/>
    <w:semiHidden/>
    <w:rsid w:val="007C28CC"/>
    <w:rPr>
      <w:sz w:val="20"/>
      <w:szCs w:val="20"/>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a-Lista3">
    <w:name w:val="Table List 3"/>
    <w:basedOn w:val="Standardowy"/>
    <w:uiPriority w:val="99"/>
    <w:semiHidden/>
    <w:rsid w:val="007C28CC"/>
    <w:rPr>
      <w:sz w:val="20"/>
      <w:szCs w:val="20"/>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ela-Lista4">
    <w:name w:val="Table List 4"/>
    <w:basedOn w:val="Standardowy"/>
    <w:uiPriority w:val="99"/>
    <w:semiHidden/>
    <w:rsid w:val="007C28CC"/>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a-Lista5">
    <w:name w:val="Table List 5"/>
    <w:basedOn w:val="Standardowy"/>
    <w:uiPriority w:val="99"/>
    <w:semiHidden/>
    <w:rsid w:val="007C28CC"/>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ela-Lista6">
    <w:name w:val="Table List 6"/>
    <w:basedOn w:val="Standardowy"/>
    <w:uiPriority w:val="99"/>
    <w:semiHidden/>
    <w:rsid w:val="007C28CC"/>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ela-Lista7">
    <w:name w:val="Table List 7"/>
    <w:basedOn w:val="Standardowy"/>
    <w:uiPriority w:val="99"/>
    <w:semiHidden/>
    <w:rsid w:val="007C28CC"/>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ela-Lista8">
    <w:name w:val="Table List 8"/>
    <w:basedOn w:val="Standardowy"/>
    <w:uiPriority w:val="99"/>
    <w:semiHidden/>
    <w:rsid w:val="007C28CC"/>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paragraph" w:styleId="Wykazrde">
    <w:name w:val="table of authorities"/>
    <w:basedOn w:val="Normalny"/>
    <w:next w:val="Normalny"/>
    <w:uiPriority w:val="99"/>
    <w:semiHidden/>
    <w:rsid w:val="007C28CC"/>
    <w:pPr>
      <w:ind w:left="240" w:hanging="240"/>
    </w:pPr>
  </w:style>
  <w:style w:type="table" w:styleId="Tabela-Profesjonalny">
    <w:name w:val="Table Professional"/>
    <w:basedOn w:val="Standardowy"/>
    <w:uiPriority w:val="99"/>
    <w:semiHidden/>
    <w:rsid w:val="007C28CC"/>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ela-Prosty1">
    <w:name w:val="Table Simple 1"/>
    <w:basedOn w:val="Standardowy"/>
    <w:uiPriority w:val="99"/>
    <w:semiHidden/>
    <w:rsid w:val="007C28CC"/>
    <w:rPr>
      <w:sz w:val="20"/>
      <w:szCs w:val="20"/>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ela-Prosty2">
    <w:name w:val="Table Simple 2"/>
    <w:basedOn w:val="Standardowy"/>
    <w:uiPriority w:val="99"/>
    <w:semiHidden/>
    <w:rsid w:val="007C28CC"/>
    <w:rPr>
      <w:sz w:val="20"/>
      <w:szCs w:val="20"/>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ela-Prosty3">
    <w:name w:val="Table Simple 3"/>
    <w:basedOn w:val="Standardowy"/>
    <w:uiPriority w:val="99"/>
    <w:semiHidden/>
    <w:rsid w:val="007C28CC"/>
    <w:rPr>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ela-Delikatny1">
    <w:name w:val="Table Subtle 1"/>
    <w:basedOn w:val="Standardowy"/>
    <w:uiPriority w:val="99"/>
    <w:semiHidden/>
    <w:rsid w:val="007C28CC"/>
    <w:rPr>
      <w:sz w:val="20"/>
      <w:szCs w:val="20"/>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a-Delikatny2">
    <w:name w:val="Table Subtle 2"/>
    <w:basedOn w:val="Standardowy"/>
    <w:uiPriority w:val="99"/>
    <w:semiHidden/>
    <w:rsid w:val="007C28CC"/>
    <w:rPr>
      <w:sz w:val="20"/>
      <w:szCs w:val="20"/>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a-Motyw">
    <w:name w:val="Table Theme"/>
    <w:basedOn w:val="Standardowy"/>
    <w:uiPriority w:val="99"/>
    <w:semiHidden/>
    <w:rsid w:val="007C28C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eWeb1">
    <w:name w:val="Table Web 1"/>
    <w:basedOn w:val="Standardowy"/>
    <w:uiPriority w:val="99"/>
    <w:semiHidden/>
    <w:rsid w:val="007C28CC"/>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ela-SieWeb2">
    <w:name w:val="Table Web 2"/>
    <w:basedOn w:val="Standardowy"/>
    <w:uiPriority w:val="99"/>
    <w:semiHidden/>
    <w:rsid w:val="007C28CC"/>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ela-SieWeb3">
    <w:name w:val="Table Web 3"/>
    <w:basedOn w:val="Standardowy"/>
    <w:uiPriority w:val="99"/>
    <w:semiHidden/>
    <w:rsid w:val="007C28CC"/>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Tytu">
    <w:name w:val="Title"/>
    <w:basedOn w:val="Normalny"/>
    <w:next w:val="Normalny"/>
    <w:link w:val="TytuZnak"/>
    <w:uiPriority w:val="99"/>
    <w:qFormat/>
    <w:rsid w:val="007C28CC"/>
    <w:pPr>
      <w:contextualSpacing/>
    </w:pPr>
    <w:rPr>
      <w:rFonts w:eastAsia="MS Gothic"/>
      <w:spacing w:val="-10"/>
      <w:kern w:val="28"/>
      <w:sz w:val="56"/>
      <w:szCs w:val="56"/>
    </w:rPr>
  </w:style>
  <w:style w:type="character" w:customStyle="1" w:styleId="TytuZnak">
    <w:name w:val="Tytuł Znak"/>
    <w:basedOn w:val="Domylnaczcionkaakapitu"/>
    <w:link w:val="Tytu"/>
    <w:uiPriority w:val="99"/>
    <w:locked/>
    <w:rsid w:val="007C28CC"/>
    <w:rPr>
      <w:rFonts w:ascii="Times New Roman" w:eastAsia="MS Gothic" w:hAnsi="Times New Roman" w:cs="Times New Roman"/>
      <w:spacing w:val="-10"/>
      <w:kern w:val="28"/>
      <w:sz w:val="56"/>
      <w:szCs w:val="56"/>
      <w:lang w:val="pl-PL" w:eastAsia="zh-CN"/>
    </w:rPr>
  </w:style>
  <w:style w:type="paragraph" w:styleId="Nagwekwykazurde">
    <w:name w:val="toa heading"/>
    <w:basedOn w:val="Normalny"/>
    <w:next w:val="Normalny"/>
    <w:uiPriority w:val="99"/>
    <w:semiHidden/>
    <w:rsid w:val="007C28CC"/>
    <w:pPr>
      <w:spacing w:before="120"/>
    </w:pPr>
    <w:rPr>
      <w:rFonts w:eastAsia="MS Gothic"/>
      <w:b/>
      <w:bCs/>
    </w:rPr>
  </w:style>
  <w:style w:type="paragraph" w:styleId="Spistreci5">
    <w:name w:val="toc 5"/>
    <w:basedOn w:val="Normalny"/>
    <w:next w:val="Normalny"/>
    <w:autoRedefine/>
    <w:uiPriority w:val="99"/>
    <w:semiHidden/>
    <w:rsid w:val="007C28CC"/>
    <w:pPr>
      <w:spacing w:after="100"/>
      <w:ind w:left="960"/>
    </w:pPr>
  </w:style>
  <w:style w:type="paragraph" w:styleId="Spistreci6">
    <w:name w:val="toc 6"/>
    <w:basedOn w:val="Normalny"/>
    <w:next w:val="Normalny"/>
    <w:autoRedefine/>
    <w:uiPriority w:val="99"/>
    <w:semiHidden/>
    <w:rsid w:val="007C28CC"/>
    <w:pPr>
      <w:spacing w:after="100"/>
      <w:ind w:left="1200"/>
    </w:pPr>
  </w:style>
  <w:style w:type="paragraph" w:styleId="Spistreci7">
    <w:name w:val="toc 7"/>
    <w:basedOn w:val="Normalny"/>
    <w:next w:val="Normalny"/>
    <w:autoRedefine/>
    <w:uiPriority w:val="99"/>
    <w:semiHidden/>
    <w:rsid w:val="007C28CC"/>
    <w:pPr>
      <w:spacing w:after="100"/>
      <w:ind w:left="1440"/>
    </w:pPr>
  </w:style>
  <w:style w:type="paragraph" w:styleId="Nagwekspisutreci">
    <w:name w:val="TOC Heading"/>
    <w:basedOn w:val="Nagwek1"/>
    <w:next w:val="Normalny"/>
    <w:uiPriority w:val="99"/>
    <w:qFormat/>
    <w:rsid w:val="007C28CC"/>
    <w:pPr>
      <w:keepLines/>
      <w:spacing w:after="0"/>
      <w:outlineLvl w:val="9"/>
    </w:pPr>
    <w:rPr>
      <w:rFonts w:eastAsia="MS Gothic"/>
      <w:b w:val="0"/>
      <w:color w:val="9D215D"/>
      <w:kern w:val="0"/>
      <w:sz w:val="32"/>
      <w:szCs w:val="32"/>
    </w:rPr>
  </w:style>
  <w:style w:type="character" w:customStyle="1" w:styleId="Nierozpoznanawzmianka1">
    <w:name w:val="Nierozpoznana wzmianka1"/>
    <w:basedOn w:val="Domylnaczcionkaakapitu"/>
    <w:uiPriority w:val="99"/>
    <w:semiHidden/>
    <w:rsid w:val="007C28CC"/>
    <w:rPr>
      <w:rFonts w:cs="Times New Roman"/>
      <w:color w:val="605E5C"/>
      <w:shd w:val="clear" w:color="auto" w:fill="E1DFDD"/>
      <w:lang w:val="pl-PL"/>
    </w:rPr>
  </w:style>
  <w:style w:type="paragraph" w:customStyle="1" w:styleId="Nrlist">
    <w:name w:val="Nr list"/>
    <w:basedOn w:val="ReportListNumber"/>
    <w:link w:val="NrlistZnak"/>
    <w:uiPriority w:val="99"/>
    <w:rsid w:val="007C28CC"/>
    <w:pPr>
      <w:numPr>
        <w:numId w:val="0"/>
      </w:numPr>
    </w:pPr>
  </w:style>
  <w:style w:type="character" w:customStyle="1" w:styleId="ReportListNumberZnak">
    <w:name w:val="Report List Number Znak"/>
    <w:basedOn w:val="Domylnaczcionkaakapitu"/>
    <w:link w:val="ReportListNumber"/>
    <w:uiPriority w:val="99"/>
    <w:locked/>
    <w:rsid w:val="007C28CC"/>
    <w:rPr>
      <w:rFonts w:eastAsia="MS Mincho"/>
      <w:sz w:val="24"/>
      <w:szCs w:val="24"/>
      <w:lang w:eastAsia="zh-CN"/>
    </w:rPr>
  </w:style>
  <w:style w:type="character" w:customStyle="1" w:styleId="NrlistZnak">
    <w:name w:val="Nr list Znak"/>
    <w:basedOn w:val="ReportListNumberZnak"/>
    <w:link w:val="Nrlist"/>
    <w:uiPriority w:val="99"/>
    <w:locked/>
    <w:rsid w:val="007C28CC"/>
    <w:rPr>
      <w:rFonts w:eastAsia="MS Mincho"/>
      <w:sz w:val="24"/>
      <w:szCs w:val="24"/>
      <w:lang w:eastAsia="zh-CN"/>
    </w:rPr>
  </w:style>
  <w:style w:type="character" w:customStyle="1" w:styleId="AkapitzlistZnak">
    <w:name w:val="Akapit z listą Znak"/>
    <w:aliases w:val="List_Paragraph Znak,Multilevel para_II Znak,List Paragraph1 Znak,Akapit z listą BS Znak,Bullet1 Znak,Bullets Znak,List Paragraph 1 Znak,References Znak,List Paragraph (numbered (a)) Znak,IBL List Paragraph Znak,Ha Znak"/>
    <w:link w:val="Akapitzlist"/>
    <w:locked/>
    <w:rsid w:val="007C28CC"/>
    <w:rPr>
      <w:rFonts w:eastAsia="MS Mincho"/>
      <w:lang w:val="pl-PL" w:eastAsia="zh-CN"/>
    </w:rPr>
  </w:style>
  <w:style w:type="paragraph" w:customStyle="1" w:styleId="Default">
    <w:name w:val="Default"/>
    <w:rsid w:val="007C28CC"/>
    <w:pPr>
      <w:autoSpaceDE w:val="0"/>
      <w:autoSpaceDN w:val="0"/>
      <w:adjustRightInd w:val="0"/>
    </w:pPr>
    <w:rPr>
      <w:rFonts w:ascii="Verdana" w:hAnsi="Verdana" w:cs="Verdana"/>
      <w:color w:val="000000"/>
      <w:sz w:val="24"/>
      <w:szCs w:val="24"/>
      <w:lang w:eastAsia="en-US"/>
    </w:rPr>
  </w:style>
  <w:style w:type="character" w:customStyle="1" w:styleId="gmail-fontstyle0">
    <w:name w:val="gmail-fontstyle0"/>
    <w:basedOn w:val="Domylnaczcionkaakapitu"/>
    <w:uiPriority w:val="99"/>
    <w:rsid w:val="007C28CC"/>
    <w:rPr>
      <w:rFonts w:cs="Times New Roman"/>
      <w:lang w:val="pl-PL"/>
    </w:rPr>
  </w:style>
  <w:style w:type="character" w:customStyle="1" w:styleId="gmail-fontstyle01">
    <w:name w:val="gmail-fontstyle01"/>
    <w:basedOn w:val="Domylnaczcionkaakapitu"/>
    <w:uiPriority w:val="99"/>
    <w:rsid w:val="007C28CC"/>
    <w:rPr>
      <w:rFonts w:cs="Times New Roman"/>
      <w:lang w:val="pl-PL"/>
    </w:rPr>
  </w:style>
  <w:style w:type="character" w:customStyle="1" w:styleId="11StopPowodzi-ListawypunktowanaZnak">
    <w:name w:val="_11Stop Powodzi - Lista wypunktowana Znak"/>
    <w:basedOn w:val="Domylnaczcionkaakapitu"/>
    <w:link w:val="11StopPowodzi-Listawypunktowana"/>
    <w:locked/>
    <w:rsid w:val="007C28CC"/>
    <w:rPr>
      <w:sz w:val="24"/>
      <w:szCs w:val="24"/>
      <w:lang w:eastAsia="en-US"/>
    </w:rPr>
  </w:style>
  <w:style w:type="paragraph" w:customStyle="1" w:styleId="11StopPowodzi-Listawypunktowana">
    <w:name w:val="_11Stop Powodzi - Lista wypunktowana"/>
    <w:basedOn w:val="Normalny"/>
    <w:link w:val="11StopPowodzi-ListawypunktowanaZnak"/>
    <w:qFormat/>
    <w:rsid w:val="007C28CC"/>
    <w:pPr>
      <w:numPr>
        <w:numId w:val="38"/>
      </w:numPr>
      <w:spacing w:before="120" w:after="120" w:line="276" w:lineRule="auto"/>
      <w:jc w:val="both"/>
    </w:pPr>
    <w:rPr>
      <w:rFonts w:eastAsia="Times New Roman"/>
      <w:lang w:eastAsia="en-US"/>
    </w:rPr>
  </w:style>
  <w:style w:type="character" w:customStyle="1" w:styleId="normaltextrun">
    <w:name w:val="normaltextrun"/>
    <w:basedOn w:val="Domylnaczcionkaakapitu"/>
    <w:uiPriority w:val="99"/>
    <w:rsid w:val="007C28CC"/>
    <w:rPr>
      <w:rFonts w:cs="Times New Roman"/>
      <w:lang w:val="pl-PL"/>
    </w:rPr>
  </w:style>
  <w:style w:type="paragraph" w:customStyle="1" w:styleId="Akapitzlist1">
    <w:name w:val="Akapit z listą1"/>
    <w:basedOn w:val="Normalny"/>
    <w:link w:val="ListParagraphChar"/>
    <w:uiPriority w:val="99"/>
    <w:rsid w:val="007C28CC"/>
    <w:pPr>
      <w:spacing w:after="160" w:line="259" w:lineRule="auto"/>
      <w:ind w:left="720"/>
      <w:contextualSpacing/>
    </w:pPr>
    <w:rPr>
      <w:rFonts w:ascii="Calibri" w:eastAsia="Times New Roman" w:hAnsi="Calibri"/>
      <w:sz w:val="22"/>
      <w:szCs w:val="22"/>
      <w:lang w:eastAsia="en-US"/>
    </w:rPr>
  </w:style>
  <w:style w:type="character" w:customStyle="1" w:styleId="ListParagraphChar">
    <w:name w:val="List Paragraph Char"/>
    <w:basedOn w:val="Domylnaczcionkaakapitu"/>
    <w:link w:val="Akapitzlist1"/>
    <w:uiPriority w:val="99"/>
    <w:locked/>
    <w:rsid w:val="007C28CC"/>
    <w:rPr>
      <w:rFonts w:ascii="Calibri" w:hAnsi="Calibri" w:cs="Times New Roman"/>
      <w:sz w:val="22"/>
      <w:szCs w:val="22"/>
      <w:lang w:val="pl-PL"/>
    </w:rPr>
  </w:style>
  <w:style w:type="paragraph" w:customStyle="1" w:styleId="ListParagraph2">
    <w:name w:val="List Paragraph2"/>
    <w:basedOn w:val="Normalny"/>
    <w:uiPriority w:val="99"/>
    <w:rsid w:val="007C28CC"/>
    <w:pPr>
      <w:spacing w:after="160" w:line="256" w:lineRule="auto"/>
      <w:ind w:left="720"/>
      <w:contextualSpacing/>
    </w:pPr>
    <w:rPr>
      <w:rFonts w:ascii="Calibri" w:eastAsia="Times New Roman" w:hAnsi="Calibri"/>
      <w:sz w:val="22"/>
      <w:szCs w:val="22"/>
      <w:lang w:eastAsia="en-US"/>
    </w:rPr>
  </w:style>
  <w:style w:type="character" w:customStyle="1" w:styleId="fontstyle01">
    <w:name w:val="fontstyle01"/>
    <w:basedOn w:val="Domylnaczcionkaakapitu"/>
    <w:uiPriority w:val="99"/>
    <w:rsid w:val="007C28CC"/>
    <w:rPr>
      <w:rFonts w:ascii="TimesNewRomanPSMT" w:hAnsi="TimesNewRomanPSMT" w:cs="Times New Roman"/>
      <w:color w:val="2C2C2D"/>
      <w:sz w:val="36"/>
      <w:szCs w:val="36"/>
      <w:lang w:val="pl-PL"/>
    </w:rPr>
  </w:style>
  <w:style w:type="character" w:customStyle="1" w:styleId="markedcontent">
    <w:name w:val="markedcontent"/>
    <w:basedOn w:val="Domylnaczcionkaakapitu"/>
    <w:uiPriority w:val="99"/>
    <w:rsid w:val="007C28CC"/>
    <w:rPr>
      <w:rFonts w:cs="Times New Roman"/>
      <w:lang w:val="pl-PL"/>
    </w:rPr>
  </w:style>
  <w:style w:type="character" w:customStyle="1" w:styleId="fontstyle21">
    <w:name w:val="fontstyle21"/>
    <w:basedOn w:val="Domylnaczcionkaakapitu"/>
    <w:uiPriority w:val="99"/>
    <w:rsid w:val="007C28CC"/>
    <w:rPr>
      <w:rFonts w:ascii="TimesNewRomanPS-ItalicMT" w:hAnsi="TimesNewRomanPS-ItalicMT" w:cs="Times New Roman"/>
      <w:i/>
      <w:iCs/>
      <w:color w:val="2C2C2D"/>
      <w:sz w:val="36"/>
      <w:szCs w:val="36"/>
      <w:lang w:val="pl-PL"/>
    </w:rPr>
  </w:style>
  <w:style w:type="character" w:customStyle="1" w:styleId="Heading1Char1">
    <w:name w:val="Heading 1 Char1"/>
    <w:aliases w:val="Nagłówek 1 typu 1 Char1"/>
    <w:basedOn w:val="Domylnaczcionkaakapitu"/>
    <w:uiPriority w:val="99"/>
    <w:rsid w:val="00347E16"/>
    <w:rPr>
      <w:rFonts w:ascii="Times New Roman" w:eastAsia="MS Gothic" w:hAnsi="Times New Roman" w:cs="Times New Roman"/>
      <w:color w:val="9D215D"/>
      <w:sz w:val="32"/>
      <w:szCs w:val="32"/>
      <w:lang w:val="pl-PL" w:eastAsia="zh-CN"/>
    </w:rPr>
  </w:style>
  <w:style w:type="character" w:customStyle="1" w:styleId="Heading2Char1">
    <w:name w:val="Heading 2 Char1"/>
    <w:aliases w:val="Nagłówek 2 typu 1.1 Char1"/>
    <w:basedOn w:val="Domylnaczcionkaakapitu"/>
    <w:uiPriority w:val="99"/>
    <w:semiHidden/>
    <w:rsid w:val="00347E16"/>
    <w:rPr>
      <w:rFonts w:ascii="Times New Roman" w:eastAsia="MS Gothic" w:hAnsi="Times New Roman" w:cs="Times New Roman"/>
      <w:color w:val="9D215D"/>
      <w:sz w:val="26"/>
      <w:szCs w:val="26"/>
      <w:lang w:val="pl-PL" w:eastAsia="zh-CN"/>
    </w:rPr>
  </w:style>
  <w:style w:type="character" w:customStyle="1" w:styleId="Heading3Char1">
    <w:name w:val="Heading 3 Char1"/>
    <w:aliases w:val="Nagłówek 3 typu1.1.1 Char1"/>
    <w:basedOn w:val="Domylnaczcionkaakapitu"/>
    <w:uiPriority w:val="99"/>
    <w:semiHidden/>
    <w:rsid w:val="00347E16"/>
    <w:rPr>
      <w:rFonts w:ascii="Times New Roman" w:eastAsia="MS Gothic" w:hAnsi="Times New Roman" w:cs="Times New Roman"/>
      <w:color w:val="68163E"/>
      <w:sz w:val="24"/>
      <w:szCs w:val="24"/>
      <w:lang w:val="pl-PL" w:eastAsia="zh-CN"/>
    </w:rPr>
  </w:style>
  <w:style w:type="character" w:customStyle="1" w:styleId="Heading4Char1">
    <w:name w:val="Heading 4 Char1"/>
    <w:aliases w:val="Sub-Clause Sub-paragraph Char1,Nagłówek 4. Nagłówek 4 Char1"/>
    <w:basedOn w:val="Domylnaczcionkaakapitu"/>
    <w:uiPriority w:val="99"/>
    <w:semiHidden/>
    <w:rsid w:val="00347E16"/>
    <w:rPr>
      <w:rFonts w:ascii="Times New Roman" w:eastAsia="MS Gothic" w:hAnsi="Times New Roman" w:cs="Times New Roman"/>
      <w:i/>
      <w:iCs/>
      <w:color w:val="9D215D"/>
      <w:sz w:val="24"/>
      <w:szCs w:val="24"/>
      <w:lang w:val="pl-PL" w:eastAsia="zh-CN"/>
    </w:rPr>
  </w:style>
  <w:style w:type="paragraph" w:customStyle="1" w:styleId="msonormal0">
    <w:name w:val="msonormal"/>
    <w:basedOn w:val="Normalny"/>
    <w:uiPriority w:val="99"/>
    <w:semiHidden/>
    <w:rsid w:val="00347E16"/>
    <w:pPr>
      <w:spacing w:before="100" w:beforeAutospacing="1"/>
    </w:pPr>
  </w:style>
  <w:style w:type="character" w:customStyle="1" w:styleId="FootnoteTextChar1">
    <w:name w:val="Footnote Text Char1"/>
    <w:aliases w:val="Tekst przypisu dolnego Znak1 Char1,Tekst przypisu dolnego Znak Znak Char1,Tekst przypisu dolnego Znak1 Znak Znak Char1,Tekst przypisu dolnego Znak Znak Znak Znak Char1,Tekst przypisu dolnego Znak1 Znak Znak Znak Znak Char1"/>
    <w:basedOn w:val="Domylnaczcionkaakapitu"/>
    <w:uiPriority w:val="99"/>
    <w:semiHidden/>
    <w:rsid w:val="00347E16"/>
    <w:rPr>
      <w:rFonts w:ascii="Times New Roman" w:eastAsia="MS Mincho" w:hAnsi="Times New Roman" w:cs="Times New Roman"/>
      <w:sz w:val="20"/>
      <w:szCs w:val="20"/>
      <w:lang w:val="pl-PL" w:eastAsia="zh-CN"/>
    </w:rPr>
  </w:style>
  <w:style w:type="character" w:customStyle="1" w:styleId="Inteligentnylink10">
    <w:name w:val="Inteligentny link1"/>
    <w:basedOn w:val="Domylnaczcionkaakapitu"/>
    <w:uiPriority w:val="99"/>
    <w:semiHidden/>
    <w:rsid w:val="00347E16"/>
    <w:rPr>
      <w:rFonts w:ascii="Times New Roman" w:hAnsi="Times New Roman" w:cs="Times New Roman"/>
      <w:color w:val="0000FF"/>
      <w:u w:val="single"/>
      <w:shd w:val="clear" w:color="auto" w:fill="F3F2F1"/>
      <w:lang w:val="pl-PL"/>
    </w:rPr>
  </w:style>
  <w:style w:type="character" w:customStyle="1" w:styleId="FootnoteTextChar2">
    <w:name w:val="Footnote Text Char2"/>
    <w:aliases w:val="Tekst przypisu dolnego Znak1 Char2,Tekst przypisu dolnego Znak Znak Char2,Tekst przypisu dolnego Znak1 Znak Znak Char2,Tekst przypisu dolnego Znak Znak Znak Znak Char2,Tekst przypisu dolnego Znak1 Znak Znak Znak Znak Char2"/>
    <w:basedOn w:val="Domylnaczcionkaakapitu"/>
    <w:uiPriority w:val="99"/>
    <w:semiHidden/>
    <w:locked/>
    <w:rsid w:val="00347E16"/>
    <w:rPr>
      <w:rFonts w:ascii="MS Mincho" w:eastAsia="MS Mincho" w:hAnsi="MS Mincho" w:cs="Times New Roman"/>
      <w:sz w:val="20"/>
      <w:szCs w:val="20"/>
      <w:lang w:eastAsia="zh-CN"/>
    </w:rPr>
  </w:style>
  <w:style w:type="table" w:customStyle="1" w:styleId="Siatkatabelijasna10">
    <w:name w:val="Siatka tabeli — jasna1"/>
    <w:uiPriority w:val="99"/>
    <w:rsid w:val="00347E16"/>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0" w:type="dxa"/>
        <w:bottom w:w="0" w:type="dxa"/>
        <w:right w:w="0" w:type="dxa"/>
      </w:tblCellMar>
    </w:tblPr>
  </w:style>
  <w:style w:type="table" w:customStyle="1" w:styleId="Ciemnalistaakcent21">
    <w:name w:val="Ciemna lista — akcent 21"/>
    <w:uiPriority w:val="99"/>
    <w:semiHidden/>
    <w:rsid w:val="00347E16"/>
    <w:rPr>
      <w:color w:val="FFFFFF"/>
      <w:sz w:val="20"/>
      <w:szCs w:val="20"/>
    </w:rPr>
    <w:tblPr>
      <w:tblStyleRowBandSize w:val="1"/>
      <w:tblStyleColBandSize w:val="1"/>
      <w:tblCellMar>
        <w:top w:w="0" w:type="dxa"/>
        <w:left w:w="108" w:type="dxa"/>
        <w:bottom w:w="0" w:type="dxa"/>
        <w:right w:w="108" w:type="dxa"/>
      </w:tblCellMar>
    </w:tblPr>
    <w:tcPr>
      <w:shd w:val="clear" w:color="auto" w:fill="28AAE1"/>
    </w:tcPr>
  </w:style>
  <w:style w:type="table" w:customStyle="1" w:styleId="Ciemnalistaakcent31">
    <w:name w:val="Ciemna lista — akcent 31"/>
    <w:uiPriority w:val="99"/>
    <w:semiHidden/>
    <w:rsid w:val="00347E16"/>
    <w:rPr>
      <w:color w:val="FFFFFF"/>
      <w:sz w:val="20"/>
      <w:szCs w:val="20"/>
    </w:rPr>
    <w:tblPr>
      <w:tblStyleRowBandSize w:val="1"/>
      <w:tblStyleColBandSize w:val="1"/>
      <w:tblCellMar>
        <w:top w:w="0" w:type="dxa"/>
        <w:left w:w="108" w:type="dxa"/>
        <w:bottom w:w="0" w:type="dxa"/>
        <w:right w:w="108" w:type="dxa"/>
      </w:tblCellMar>
    </w:tblPr>
    <w:tcPr>
      <w:shd w:val="clear" w:color="auto" w:fill="F05023"/>
    </w:tcPr>
  </w:style>
  <w:style w:type="table" w:customStyle="1" w:styleId="Ciemnalistaakcent41">
    <w:name w:val="Ciemna lista — akcent 41"/>
    <w:uiPriority w:val="99"/>
    <w:semiHidden/>
    <w:rsid w:val="00347E16"/>
    <w:rPr>
      <w:color w:val="FFFFFF"/>
      <w:sz w:val="20"/>
      <w:szCs w:val="20"/>
    </w:rPr>
    <w:tblPr>
      <w:tblStyleRowBandSize w:val="1"/>
      <w:tblStyleColBandSize w:val="1"/>
      <w:tblCellMar>
        <w:top w:w="0" w:type="dxa"/>
        <w:left w:w="108" w:type="dxa"/>
        <w:bottom w:w="0" w:type="dxa"/>
        <w:right w:w="108" w:type="dxa"/>
      </w:tblCellMar>
    </w:tblPr>
    <w:tcPr>
      <w:shd w:val="clear" w:color="auto" w:fill="696EB4"/>
    </w:tcPr>
  </w:style>
  <w:style w:type="table" w:customStyle="1" w:styleId="Ciemnalistaakcent51">
    <w:name w:val="Ciemna lista — akcent 51"/>
    <w:uiPriority w:val="99"/>
    <w:semiHidden/>
    <w:rsid w:val="00347E16"/>
    <w:rPr>
      <w:color w:val="FFFFFF"/>
      <w:sz w:val="20"/>
      <w:szCs w:val="20"/>
    </w:rPr>
    <w:tblPr>
      <w:tblStyleRowBandSize w:val="1"/>
      <w:tblStyleColBandSize w:val="1"/>
      <w:tblCellMar>
        <w:top w:w="0" w:type="dxa"/>
        <w:left w:w="108" w:type="dxa"/>
        <w:bottom w:w="0" w:type="dxa"/>
        <w:right w:w="108" w:type="dxa"/>
      </w:tblCellMar>
    </w:tblPr>
    <w:tcPr>
      <w:shd w:val="clear" w:color="auto" w:fill="FA9B1E"/>
    </w:tcPr>
  </w:style>
  <w:style w:type="table" w:customStyle="1" w:styleId="Ciemnalistaakcent61">
    <w:name w:val="Ciemna lista — akcent 61"/>
    <w:uiPriority w:val="99"/>
    <w:semiHidden/>
    <w:rsid w:val="00347E16"/>
    <w:rPr>
      <w:color w:val="FFFFFF"/>
      <w:sz w:val="20"/>
      <w:szCs w:val="20"/>
    </w:rPr>
    <w:tblPr>
      <w:tblStyleRowBandSize w:val="1"/>
      <w:tblStyleColBandSize w:val="1"/>
      <w:tblCellMar>
        <w:top w:w="0" w:type="dxa"/>
        <w:left w:w="108" w:type="dxa"/>
        <w:bottom w:w="0" w:type="dxa"/>
        <w:right w:w="108" w:type="dxa"/>
      </w:tblCellMar>
    </w:tblPr>
    <w:tcPr>
      <w:shd w:val="clear" w:color="auto" w:fill="28AF73"/>
    </w:tcPr>
  </w:style>
  <w:style w:type="table" w:customStyle="1" w:styleId="Ciemnalista2akcent11">
    <w:name w:val="Ciemna lista 2 — akcent 11"/>
    <w:uiPriority w:val="99"/>
    <w:semiHidden/>
    <w:rsid w:val="00347E16"/>
    <w:rPr>
      <w:color w:val="FFFFFF"/>
      <w:sz w:val="20"/>
      <w:szCs w:val="20"/>
    </w:rPr>
    <w:tblPr>
      <w:tblStyleRowBandSize w:val="1"/>
      <w:tblStyleColBandSize w:val="1"/>
      <w:tblCellMar>
        <w:top w:w="0" w:type="dxa"/>
        <w:left w:w="108" w:type="dxa"/>
        <w:bottom w:w="0" w:type="dxa"/>
        <w:right w:w="108" w:type="dxa"/>
      </w:tblCellMar>
    </w:tblPr>
    <w:tcPr>
      <w:shd w:val="clear" w:color="auto" w:fill="D22D7D"/>
    </w:tcPr>
  </w:style>
  <w:style w:type="table" w:customStyle="1" w:styleId="Jasnalistaakcent11">
    <w:name w:val="Jasna lista — akcent 11"/>
    <w:uiPriority w:val="99"/>
    <w:semiHidden/>
    <w:rsid w:val="00347E16"/>
    <w:rPr>
      <w:sz w:val="20"/>
      <w:szCs w:val="20"/>
    </w:rPr>
    <w:tblPr>
      <w:tblStyleRowBandSize w:val="1"/>
      <w:tblStyleColBandSize w:val="1"/>
      <w:tblBorders>
        <w:top w:val="single" w:sz="8" w:space="0" w:color="D22D7D"/>
        <w:left w:val="single" w:sz="8" w:space="0" w:color="D22D7D"/>
        <w:bottom w:val="single" w:sz="8" w:space="0" w:color="D22D7D"/>
        <w:right w:val="single" w:sz="8" w:space="0" w:color="D22D7D"/>
      </w:tblBorders>
      <w:tblCellMar>
        <w:top w:w="0" w:type="dxa"/>
        <w:left w:w="108" w:type="dxa"/>
        <w:bottom w:w="0" w:type="dxa"/>
        <w:right w:w="108" w:type="dxa"/>
      </w:tblCellMar>
    </w:tblPr>
  </w:style>
  <w:style w:type="table" w:customStyle="1" w:styleId="Jasnalistaakcent21">
    <w:name w:val="Jasna lista — akcent 21"/>
    <w:uiPriority w:val="99"/>
    <w:semiHidden/>
    <w:rsid w:val="00347E16"/>
    <w:rPr>
      <w:sz w:val="20"/>
      <w:szCs w:val="20"/>
    </w:rPr>
    <w:tblPr>
      <w:tblStyleRowBandSize w:val="1"/>
      <w:tblStyleColBandSize w:val="1"/>
      <w:tblBorders>
        <w:top w:val="single" w:sz="8" w:space="0" w:color="28AAE1"/>
        <w:left w:val="single" w:sz="8" w:space="0" w:color="28AAE1"/>
        <w:bottom w:val="single" w:sz="8" w:space="0" w:color="28AAE1"/>
        <w:right w:val="single" w:sz="8" w:space="0" w:color="28AAE1"/>
      </w:tblBorders>
      <w:tblCellMar>
        <w:top w:w="0" w:type="dxa"/>
        <w:left w:w="108" w:type="dxa"/>
        <w:bottom w:w="0" w:type="dxa"/>
        <w:right w:w="108" w:type="dxa"/>
      </w:tblCellMar>
    </w:tblPr>
  </w:style>
  <w:style w:type="table" w:customStyle="1" w:styleId="Jasnalistaakcent31">
    <w:name w:val="Jasna lista — akcent 31"/>
    <w:uiPriority w:val="99"/>
    <w:semiHidden/>
    <w:rsid w:val="00347E16"/>
    <w:rPr>
      <w:sz w:val="20"/>
      <w:szCs w:val="20"/>
    </w:rPr>
    <w:tblPr>
      <w:tblStyleRowBandSize w:val="1"/>
      <w:tblStyleColBandSize w:val="1"/>
      <w:tblBorders>
        <w:top w:val="single" w:sz="8" w:space="0" w:color="F05023"/>
        <w:left w:val="single" w:sz="8" w:space="0" w:color="F05023"/>
        <w:bottom w:val="single" w:sz="8" w:space="0" w:color="F05023"/>
        <w:right w:val="single" w:sz="8" w:space="0" w:color="F05023"/>
      </w:tblBorders>
      <w:tblCellMar>
        <w:top w:w="0" w:type="dxa"/>
        <w:left w:w="108" w:type="dxa"/>
        <w:bottom w:w="0" w:type="dxa"/>
        <w:right w:w="108" w:type="dxa"/>
      </w:tblCellMar>
    </w:tblPr>
  </w:style>
  <w:style w:type="table" w:customStyle="1" w:styleId="Jasnalistaakcent41">
    <w:name w:val="Jasna lista — akcent 41"/>
    <w:uiPriority w:val="99"/>
    <w:semiHidden/>
    <w:rsid w:val="00347E16"/>
    <w:rPr>
      <w:sz w:val="20"/>
      <w:szCs w:val="20"/>
    </w:rPr>
    <w:tblPr>
      <w:tblStyleRowBandSize w:val="1"/>
      <w:tblStyleColBandSize w:val="1"/>
      <w:tblBorders>
        <w:top w:val="single" w:sz="8" w:space="0" w:color="696EB4"/>
        <w:left w:val="single" w:sz="8" w:space="0" w:color="696EB4"/>
        <w:bottom w:val="single" w:sz="8" w:space="0" w:color="696EB4"/>
        <w:right w:val="single" w:sz="8" w:space="0" w:color="696EB4"/>
      </w:tblBorders>
      <w:tblCellMar>
        <w:top w:w="0" w:type="dxa"/>
        <w:left w:w="108" w:type="dxa"/>
        <w:bottom w:w="0" w:type="dxa"/>
        <w:right w:w="108" w:type="dxa"/>
      </w:tblCellMar>
    </w:tblPr>
  </w:style>
  <w:style w:type="table" w:customStyle="1" w:styleId="Jasnalistaakcent51">
    <w:name w:val="Jasna lista — akcent 51"/>
    <w:uiPriority w:val="99"/>
    <w:semiHidden/>
    <w:rsid w:val="00347E16"/>
    <w:rPr>
      <w:sz w:val="20"/>
      <w:szCs w:val="20"/>
    </w:rPr>
    <w:tblPr>
      <w:tblStyleRowBandSize w:val="1"/>
      <w:tblStyleColBandSize w:val="1"/>
      <w:tblBorders>
        <w:top w:val="single" w:sz="8" w:space="0" w:color="FA9B1E"/>
        <w:left w:val="single" w:sz="8" w:space="0" w:color="FA9B1E"/>
        <w:bottom w:val="single" w:sz="8" w:space="0" w:color="FA9B1E"/>
        <w:right w:val="single" w:sz="8" w:space="0" w:color="FA9B1E"/>
      </w:tblBorders>
      <w:tblCellMar>
        <w:top w:w="0" w:type="dxa"/>
        <w:left w:w="108" w:type="dxa"/>
        <w:bottom w:w="0" w:type="dxa"/>
        <w:right w:w="108" w:type="dxa"/>
      </w:tblCellMar>
    </w:tblPr>
  </w:style>
  <w:style w:type="table" w:customStyle="1" w:styleId="Jasnalistaakcent61">
    <w:name w:val="Jasna lista — akcent 61"/>
    <w:uiPriority w:val="99"/>
    <w:semiHidden/>
    <w:rsid w:val="00347E16"/>
    <w:rPr>
      <w:sz w:val="20"/>
      <w:szCs w:val="20"/>
    </w:rPr>
    <w:tblPr>
      <w:tblStyleRowBandSize w:val="1"/>
      <w:tblStyleColBandSize w:val="1"/>
      <w:tblBorders>
        <w:top w:val="single" w:sz="8" w:space="0" w:color="28AF73"/>
        <w:left w:val="single" w:sz="8" w:space="0" w:color="28AF73"/>
        <w:bottom w:val="single" w:sz="8" w:space="0" w:color="28AF73"/>
        <w:right w:val="single" w:sz="8" w:space="0" w:color="28AF73"/>
      </w:tblBorders>
      <w:tblCellMar>
        <w:top w:w="0" w:type="dxa"/>
        <w:left w:w="108" w:type="dxa"/>
        <w:bottom w:w="0" w:type="dxa"/>
        <w:right w:w="108" w:type="dxa"/>
      </w:tblCellMar>
    </w:tblPr>
  </w:style>
  <w:style w:type="table" w:customStyle="1" w:styleId="Jasnasiatkaakcent11">
    <w:name w:val="Jasna siatka — akcent 11"/>
    <w:uiPriority w:val="99"/>
    <w:semiHidden/>
    <w:rsid w:val="00347E16"/>
    <w:rPr>
      <w:sz w:val="20"/>
      <w:szCs w:val="20"/>
    </w:rPr>
    <w:tblPr>
      <w:tblStyleRowBandSize w:val="1"/>
      <w:tblStyleColBandSize w:val="1"/>
      <w:tblBorders>
        <w:top w:val="single" w:sz="8" w:space="0" w:color="D22D7D"/>
        <w:left w:val="single" w:sz="8" w:space="0" w:color="D22D7D"/>
        <w:bottom w:val="single" w:sz="8" w:space="0" w:color="D22D7D"/>
        <w:right w:val="single" w:sz="8" w:space="0" w:color="D22D7D"/>
        <w:insideH w:val="single" w:sz="8" w:space="0" w:color="D22D7D"/>
        <w:insideV w:val="single" w:sz="8" w:space="0" w:color="D22D7D"/>
      </w:tblBorders>
      <w:tblCellMar>
        <w:top w:w="0" w:type="dxa"/>
        <w:left w:w="108" w:type="dxa"/>
        <w:bottom w:w="0" w:type="dxa"/>
        <w:right w:w="108" w:type="dxa"/>
      </w:tblCellMar>
    </w:tblPr>
  </w:style>
  <w:style w:type="table" w:customStyle="1" w:styleId="Jasnasiatkaakcent21">
    <w:name w:val="Jasna siatka — akcent 21"/>
    <w:uiPriority w:val="99"/>
    <w:semiHidden/>
    <w:rsid w:val="00347E16"/>
    <w:rPr>
      <w:sz w:val="20"/>
      <w:szCs w:val="20"/>
    </w:rPr>
    <w:tblPr>
      <w:tblStyleRowBandSize w:val="1"/>
      <w:tblStyleColBandSize w:val="1"/>
      <w:tblBorders>
        <w:top w:val="single" w:sz="8" w:space="0" w:color="28AAE1"/>
        <w:left w:val="single" w:sz="8" w:space="0" w:color="28AAE1"/>
        <w:bottom w:val="single" w:sz="8" w:space="0" w:color="28AAE1"/>
        <w:right w:val="single" w:sz="8" w:space="0" w:color="28AAE1"/>
        <w:insideH w:val="single" w:sz="8" w:space="0" w:color="28AAE1"/>
        <w:insideV w:val="single" w:sz="8" w:space="0" w:color="28AAE1"/>
      </w:tblBorders>
      <w:tblCellMar>
        <w:top w:w="0" w:type="dxa"/>
        <w:left w:w="108" w:type="dxa"/>
        <w:bottom w:w="0" w:type="dxa"/>
        <w:right w:w="108" w:type="dxa"/>
      </w:tblCellMar>
    </w:tblPr>
  </w:style>
  <w:style w:type="table" w:customStyle="1" w:styleId="Jasnasiatkaakcent31">
    <w:name w:val="Jasna siatka — akcent 31"/>
    <w:uiPriority w:val="99"/>
    <w:semiHidden/>
    <w:rsid w:val="00347E16"/>
    <w:rPr>
      <w:sz w:val="20"/>
      <w:szCs w:val="20"/>
    </w:rPr>
    <w:tblPr>
      <w:tblStyleRowBandSize w:val="1"/>
      <w:tblStyleColBandSize w:val="1"/>
      <w:tblBorders>
        <w:top w:val="single" w:sz="8" w:space="0" w:color="F05023"/>
        <w:left w:val="single" w:sz="8" w:space="0" w:color="F05023"/>
        <w:bottom w:val="single" w:sz="8" w:space="0" w:color="F05023"/>
        <w:right w:val="single" w:sz="8" w:space="0" w:color="F05023"/>
        <w:insideH w:val="single" w:sz="8" w:space="0" w:color="F05023"/>
        <w:insideV w:val="single" w:sz="8" w:space="0" w:color="F05023"/>
      </w:tblBorders>
      <w:tblCellMar>
        <w:top w:w="0" w:type="dxa"/>
        <w:left w:w="108" w:type="dxa"/>
        <w:bottom w:w="0" w:type="dxa"/>
        <w:right w:w="108" w:type="dxa"/>
      </w:tblCellMar>
    </w:tblPr>
  </w:style>
  <w:style w:type="table" w:customStyle="1" w:styleId="Jasnasiatkaakcent41">
    <w:name w:val="Jasna siatka — akcent 41"/>
    <w:uiPriority w:val="99"/>
    <w:semiHidden/>
    <w:rsid w:val="00347E16"/>
    <w:rPr>
      <w:sz w:val="20"/>
      <w:szCs w:val="20"/>
    </w:rPr>
    <w:tblPr>
      <w:tblStyleRowBandSize w:val="1"/>
      <w:tblStyleColBandSize w:val="1"/>
      <w:tblBorders>
        <w:top w:val="single" w:sz="8" w:space="0" w:color="696EB4"/>
        <w:left w:val="single" w:sz="8" w:space="0" w:color="696EB4"/>
        <w:bottom w:val="single" w:sz="8" w:space="0" w:color="696EB4"/>
        <w:right w:val="single" w:sz="8" w:space="0" w:color="696EB4"/>
        <w:insideH w:val="single" w:sz="8" w:space="0" w:color="696EB4"/>
        <w:insideV w:val="single" w:sz="8" w:space="0" w:color="696EB4"/>
      </w:tblBorders>
      <w:tblCellMar>
        <w:top w:w="0" w:type="dxa"/>
        <w:left w:w="108" w:type="dxa"/>
        <w:bottom w:w="0" w:type="dxa"/>
        <w:right w:w="108" w:type="dxa"/>
      </w:tblCellMar>
    </w:tblPr>
  </w:style>
  <w:style w:type="table" w:customStyle="1" w:styleId="Jasnasiatkaakcent51">
    <w:name w:val="Jasna siatka — akcent 51"/>
    <w:uiPriority w:val="99"/>
    <w:semiHidden/>
    <w:rsid w:val="00347E16"/>
    <w:rPr>
      <w:sz w:val="20"/>
      <w:szCs w:val="20"/>
    </w:rPr>
    <w:tblPr>
      <w:tblStyleRowBandSize w:val="1"/>
      <w:tblStyleColBandSize w:val="1"/>
      <w:tblBorders>
        <w:top w:val="single" w:sz="8" w:space="0" w:color="FA9B1E"/>
        <w:left w:val="single" w:sz="8" w:space="0" w:color="FA9B1E"/>
        <w:bottom w:val="single" w:sz="8" w:space="0" w:color="FA9B1E"/>
        <w:right w:val="single" w:sz="8" w:space="0" w:color="FA9B1E"/>
        <w:insideH w:val="single" w:sz="8" w:space="0" w:color="FA9B1E"/>
        <w:insideV w:val="single" w:sz="8" w:space="0" w:color="FA9B1E"/>
      </w:tblBorders>
      <w:tblCellMar>
        <w:top w:w="0" w:type="dxa"/>
        <w:left w:w="108" w:type="dxa"/>
        <w:bottom w:w="0" w:type="dxa"/>
        <w:right w:w="108" w:type="dxa"/>
      </w:tblCellMar>
    </w:tblPr>
  </w:style>
  <w:style w:type="table" w:customStyle="1" w:styleId="Jasnasiatkaakcent61">
    <w:name w:val="Jasna siatka — akcent 61"/>
    <w:uiPriority w:val="99"/>
    <w:semiHidden/>
    <w:rsid w:val="00347E16"/>
    <w:rPr>
      <w:sz w:val="20"/>
      <w:szCs w:val="20"/>
    </w:rPr>
    <w:tblPr>
      <w:tblStyleRowBandSize w:val="1"/>
      <w:tblStyleColBandSize w:val="1"/>
      <w:tblBorders>
        <w:top w:val="single" w:sz="8" w:space="0" w:color="28AF73"/>
        <w:left w:val="single" w:sz="8" w:space="0" w:color="28AF73"/>
        <w:bottom w:val="single" w:sz="8" w:space="0" w:color="28AF73"/>
        <w:right w:val="single" w:sz="8" w:space="0" w:color="28AF73"/>
        <w:insideH w:val="single" w:sz="8" w:space="0" w:color="28AF73"/>
        <w:insideV w:val="single" w:sz="8" w:space="0" w:color="28AF73"/>
      </w:tblBorders>
      <w:tblCellMar>
        <w:top w:w="0" w:type="dxa"/>
        <w:left w:w="108" w:type="dxa"/>
        <w:bottom w:w="0" w:type="dxa"/>
        <w:right w:w="108" w:type="dxa"/>
      </w:tblCellMar>
    </w:tblPr>
  </w:style>
  <w:style w:type="table" w:customStyle="1" w:styleId="Jasnecieniowanieakcent11">
    <w:name w:val="Jasne cieniowanie — akcent 11"/>
    <w:uiPriority w:val="99"/>
    <w:semiHidden/>
    <w:rsid w:val="00347E16"/>
    <w:rPr>
      <w:color w:val="9D215D"/>
      <w:sz w:val="20"/>
      <w:szCs w:val="20"/>
    </w:rPr>
    <w:tblPr>
      <w:tblStyleRowBandSize w:val="1"/>
      <w:tblStyleColBandSize w:val="1"/>
      <w:tblBorders>
        <w:top w:val="single" w:sz="8" w:space="0" w:color="D22D7D"/>
        <w:bottom w:val="single" w:sz="8" w:space="0" w:color="D22D7D"/>
      </w:tblBorders>
      <w:tblCellMar>
        <w:top w:w="0" w:type="dxa"/>
        <w:left w:w="108" w:type="dxa"/>
        <w:bottom w:w="0" w:type="dxa"/>
        <w:right w:w="108" w:type="dxa"/>
      </w:tblCellMar>
    </w:tblPr>
  </w:style>
  <w:style w:type="table" w:customStyle="1" w:styleId="Jasnecieniowanieakcent21">
    <w:name w:val="Jasne cieniowanie — akcent 21"/>
    <w:uiPriority w:val="99"/>
    <w:semiHidden/>
    <w:rsid w:val="00347E16"/>
    <w:rPr>
      <w:color w:val="1881AE"/>
      <w:sz w:val="20"/>
      <w:szCs w:val="20"/>
    </w:rPr>
    <w:tblPr>
      <w:tblStyleRowBandSize w:val="1"/>
      <w:tblStyleColBandSize w:val="1"/>
      <w:tblBorders>
        <w:top w:val="single" w:sz="8" w:space="0" w:color="28AAE1"/>
        <w:bottom w:val="single" w:sz="8" w:space="0" w:color="28AAE1"/>
      </w:tblBorders>
      <w:tblCellMar>
        <w:top w:w="0" w:type="dxa"/>
        <w:left w:w="108" w:type="dxa"/>
        <w:bottom w:w="0" w:type="dxa"/>
        <w:right w:w="108" w:type="dxa"/>
      </w:tblCellMar>
    </w:tblPr>
  </w:style>
  <w:style w:type="table" w:customStyle="1" w:styleId="Jasnecieniowanieakcent31">
    <w:name w:val="Jasne cieniowanie — akcent 31"/>
    <w:uiPriority w:val="99"/>
    <w:semiHidden/>
    <w:rsid w:val="00347E16"/>
    <w:rPr>
      <w:color w:val="C0330D"/>
      <w:sz w:val="20"/>
      <w:szCs w:val="20"/>
    </w:rPr>
    <w:tblPr>
      <w:tblStyleRowBandSize w:val="1"/>
      <w:tblStyleColBandSize w:val="1"/>
      <w:tblBorders>
        <w:top w:val="single" w:sz="8" w:space="0" w:color="F05023"/>
        <w:bottom w:val="single" w:sz="8" w:space="0" w:color="F05023"/>
      </w:tblBorders>
      <w:tblCellMar>
        <w:top w:w="0" w:type="dxa"/>
        <w:left w:w="108" w:type="dxa"/>
        <w:bottom w:w="0" w:type="dxa"/>
        <w:right w:w="108" w:type="dxa"/>
      </w:tblCellMar>
    </w:tblPr>
  </w:style>
  <w:style w:type="table" w:customStyle="1" w:styleId="Jasnecieniowanieakcent41">
    <w:name w:val="Jasne cieniowanie — akcent 41"/>
    <w:uiPriority w:val="99"/>
    <w:semiHidden/>
    <w:rsid w:val="00347E16"/>
    <w:rPr>
      <w:color w:val="474B8E"/>
      <w:sz w:val="20"/>
      <w:szCs w:val="20"/>
    </w:rPr>
    <w:tblPr>
      <w:tblStyleRowBandSize w:val="1"/>
      <w:tblStyleColBandSize w:val="1"/>
      <w:tblBorders>
        <w:top w:val="single" w:sz="8" w:space="0" w:color="696EB4"/>
        <w:bottom w:val="single" w:sz="8" w:space="0" w:color="696EB4"/>
      </w:tblBorders>
      <w:tblCellMar>
        <w:top w:w="0" w:type="dxa"/>
        <w:left w:w="108" w:type="dxa"/>
        <w:bottom w:w="0" w:type="dxa"/>
        <w:right w:w="108" w:type="dxa"/>
      </w:tblCellMar>
    </w:tblPr>
  </w:style>
  <w:style w:type="table" w:customStyle="1" w:styleId="Jasnecieniowanieakcent51">
    <w:name w:val="Jasne cieniowanie — akcent 51"/>
    <w:uiPriority w:val="99"/>
    <w:semiHidden/>
    <w:rsid w:val="00347E16"/>
    <w:rPr>
      <w:color w:val="CD7504"/>
      <w:sz w:val="20"/>
      <w:szCs w:val="20"/>
    </w:rPr>
    <w:tblPr>
      <w:tblStyleRowBandSize w:val="1"/>
      <w:tblStyleColBandSize w:val="1"/>
      <w:tblBorders>
        <w:top w:val="single" w:sz="8" w:space="0" w:color="FA9B1E"/>
        <w:bottom w:val="single" w:sz="8" w:space="0" w:color="FA9B1E"/>
      </w:tblBorders>
      <w:tblCellMar>
        <w:top w:w="0" w:type="dxa"/>
        <w:left w:w="108" w:type="dxa"/>
        <w:bottom w:w="0" w:type="dxa"/>
        <w:right w:w="108" w:type="dxa"/>
      </w:tblCellMar>
    </w:tblPr>
  </w:style>
  <w:style w:type="table" w:customStyle="1" w:styleId="Jasnecieniowanieakcent61">
    <w:name w:val="Jasne cieniowanie — akcent 61"/>
    <w:uiPriority w:val="99"/>
    <w:semiHidden/>
    <w:rsid w:val="00347E16"/>
    <w:rPr>
      <w:color w:val="1E8355"/>
      <w:sz w:val="20"/>
      <w:szCs w:val="20"/>
    </w:rPr>
    <w:tblPr>
      <w:tblStyleRowBandSize w:val="1"/>
      <w:tblStyleColBandSize w:val="1"/>
      <w:tblBorders>
        <w:top w:val="single" w:sz="8" w:space="0" w:color="28AF73"/>
        <w:bottom w:val="single" w:sz="8" w:space="0" w:color="28AF73"/>
      </w:tblBorders>
      <w:tblCellMar>
        <w:top w:w="0" w:type="dxa"/>
        <w:left w:w="108" w:type="dxa"/>
        <w:bottom w:w="0" w:type="dxa"/>
        <w:right w:w="108" w:type="dxa"/>
      </w:tblCellMar>
    </w:tblPr>
  </w:style>
  <w:style w:type="table" w:customStyle="1" w:styleId="Kolorowalistaakcent11">
    <w:name w:val="Kolorowa lista — akcent 11"/>
    <w:uiPriority w:val="99"/>
    <w:semiHidden/>
    <w:rsid w:val="00347E16"/>
    <w:rPr>
      <w:color w:val="000000"/>
      <w:sz w:val="20"/>
      <w:szCs w:val="20"/>
    </w:rPr>
    <w:tblPr>
      <w:tblStyleRowBandSize w:val="1"/>
      <w:tblStyleColBandSize w:val="1"/>
      <w:tblCellMar>
        <w:top w:w="0" w:type="dxa"/>
        <w:left w:w="108" w:type="dxa"/>
        <w:bottom w:w="0" w:type="dxa"/>
        <w:right w:w="108" w:type="dxa"/>
      </w:tblCellMar>
    </w:tblPr>
    <w:tcPr>
      <w:shd w:val="clear" w:color="auto" w:fill="FAEAF2"/>
    </w:tcPr>
  </w:style>
  <w:style w:type="table" w:customStyle="1" w:styleId="Kolorowalistaakcent21">
    <w:name w:val="Kolorowa lista — akcent 21"/>
    <w:uiPriority w:val="99"/>
    <w:semiHidden/>
    <w:rsid w:val="00347E16"/>
    <w:rPr>
      <w:color w:val="000000"/>
      <w:sz w:val="20"/>
      <w:szCs w:val="20"/>
    </w:rPr>
    <w:tblPr>
      <w:tblStyleRowBandSize w:val="1"/>
      <w:tblStyleColBandSize w:val="1"/>
      <w:tblCellMar>
        <w:top w:w="0" w:type="dxa"/>
        <w:left w:w="108" w:type="dxa"/>
        <w:bottom w:w="0" w:type="dxa"/>
        <w:right w:w="108" w:type="dxa"/>
      </w:tblCellMar>
    </w:tblPr>
    <w:tcPr>
      <w:shd w:val="clear" w:color="auto" w:fill="E9F6FC"/>
    </w:tcPr>
  </w:style>
  <w:style w:type="table" w:customStyle="1" w:styleId="Kolorowalistaakcent31">
    <w:name w:val="Kolorowa lista — akcent 31"/>
    <w:uiPriority w:val="99"/>
    <w:semiHidden/>
    <w:rsid w:val="00347E16"/>
    <w:rPr>
      <w:color w:val="000000"/>
      <w:sz w:val="20"/>
      <w:szCs w:val="20"/>
    </w:rPr>
    <w:tblPr>
      <w:tblStyleRowBandSize w:val="1"/>
      <w:tblStyleColBandSize w:val="1"/>
      <w:tblCellMar>
        <w:top w:w="0" w:type="dxa"/>
        <w:left w:w="108" w:type="dxa"/>
        <w:bottom w:w="0" w:type="dxa"/>
        <w:right w:w="108" w:type="dxa"/>
      </w:tblCellMar>
    </w:tblPr>
    <w:tcPr>
      <w:shd w:val="clear" w:color="auto" w:fill="FDEDE9"/>
    </w:tcPr>
  </w:style>
  <w:style w:type="table" w:customStyle="1" w:styleId="Kolorowalistaakcent41">
    <w:name w:val="Kolorowa lista — akcent 41"/>
    <w:uiPriority w:val="99"/>
    <w:semiHidden/>
    <w:rsid w:val="00347E16"/>
    <w:rPr>
      <w:color w:val="000000"/>
      <w:sz w:val="20"/>
      <w:szCs w:val="20"/>
    </w:rPr>
    <w:tblPr>
      <w:tblStyleRowBandSize w:val="1"/>
      <w:tblStyleColBandSize w:val="1"/>
      <w:tblCellMar>
        <w:top w:w="0" w:type="dxa"/>
        <w:left w:w="108" w:type="dxa"/>
        <w:bottom w:w="0" w:type="dxa"/>
        <w:right w:w="108" w:type="dxa"/>
      </w:tblCellMar>
    </w:tblPr>
    <w:tcPr>
      <w:shd w:val="clear" w:color="auto" w:fill="F0F0F7"/>
    </w:tcPr>
  </w:style>
  <w:style w:type="table" w:customStyle="1" w:styleId="Kolorowalistaakcent51">
    <w:name w:val="Kolorowa lista — akcent 51"/>
    <w:uiPriority w:val="99"/>
    <w:semiHidden/>
    <w:rsid w:val="00347E16"/>
    <w:rPr>
      <w:color w:val="000000"/>
      <w:sz w:val="20"/>
      <w:szCs w:val="20"/>
    </w:rPr>
    <w:tblPr>
      <w:tblStyleRowBandSize w:val="1"/>
      <w:tblStyleColBandSize w:val="1"/>
      <w:tblCellMar>
        <w:top w:w="0" w:type="dxa"/>
        <w:left w:w="108" w:type="dxa"/>
        <w:bottom w:w="0" w:type="dxa"/>
        <w:right w:w="108" w:type="dxa"/>
      </w:tblCellMar>
    </w:tblPr>
    <w:tcPr>
      <w:shd w:val="clear" w:color="auto" w:fill="FEF5E8"/>
    </w:tcPr>
  </w:style>
  <w:style w:type="table" w:customStyle="1" w:styleId="Kolorowalistaakcent61">
    <w:name w:val="Kolorowa lista — akcent 61"/>
    <w:uiPriority w:val="99"/>
    <w:semiHidden/>
    <w:rsid w:val="00347E16"/>
    <w:rPr>
      <w:color w:val="000000"/>
      <w:sz w:val="20"/>
      <w:szCs w:val="20"/>
    </w:rPr>
    <w:tblPr>
      <w:tblStyleRowBandSize w:val="1"/>
      <w:tblStyleColBandSize w:val="1"/>
      <w:tblCellMar>
        <w:top w:w="0" w:type="dxa"/>
        <w:left w:w="108" w:type="dxa"/>
        <w:bottom w:w="0" w:type="dxa"/>
        <w:right w:w="108" w:type="dxa"/>
      </w:tblCellMar>
    </w:tblPr>
    <w:tcPr>
      <w:shd w:val="clear" w:color="auto" w:fill="E7F9F1"/>
    </w:tcPr>
  </w:style>
  <w:style w:type="table" w:customStyle="1" w:styleId="Kolorowasiatkaakcent11">
    <w:name w:val="Kolorowa siatka — akcent 11"/>
    <w:uiPriority w:val="99"/>
    <w:semiHidden/>
    <w:rsid w:val="00347E16"/>
    <w:rPr>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F6D5E4"/>
    </w:tcPr>
  </w:style>
  <w:style w:type="table" w:customStyle="1" w:styleId="Kolorowasiatkaakcent21">
    <w:name w:val="Kolorowa siatka — akcent 21"/>
    <w:uiPriority w:val="99"/>
    <w:semiHidden/>
    <w:rsid w:val="00347E16"/>
    <w:rPr>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4EDF9"/>
    </w:tcPr>
  </w:style>
  <w:style w:type="table" w:customStyle="1" w:styleId="Kolorowasiatkaakcent31">
    <w:name w:val="Kolorowa siatka — akcent 31"/>
    <w:uiPriority w:val="99"/>
    <w:semiHidden/>
    <w:rsid w:val="00347E16"/>
    <w:rPr>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FCDBD3"/>
    </w:tcPr>
  </w:style>
  <w:style w:type="table" w:customStyle="1" w:styleId="Kolorowasiatkaakcent41">
    <w:name w:val="Kolorowa siatka — akcent 41"/>
    <w:uiPriority w:val="99"/>
    <w:semiHidden/>
    <w:rsid w:val="00347E16"/>
    <w:rPr>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E1E2F0"/>
    </w:tcPr>
  </w:style>
  <w:style w:type="table" w:customStyle="1" w:styleId="Kolorowasiatkaakcent51">
    <w:name w:val="Kolorowa siatka — akcent 51"/>
    <w:uiPriority w:val="99"/>
    <w:semiHidden/>
    <w:rsid w:val="00347E16"/>
    <w:rPr>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FEEAD2"/>
    </w:tcPr>
  </w:style>
  <w:style w:type="table" w:customStyle="1" w:styleId="Kolorowasiatkaakcent61">
    <w:name w:val="Kolorowa siatka — akcent 61"/>
    <w:uiPriority w:val="99"/>
    <w:semiHidden/>
    <w:rsid w:val="00347E16"/>
    <w:rPr>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CEF4E3"/>
    </w:tcPr>
  </w:style>
  <w:style w:type="table" w:customStyle="1" w:styleId="Kolorowecieniowanieakcent11">
    <w:name w:val="Kolorowe cieniowanie — akcent 11"/>
    <w:uiPriority w:val="99"/>
    <w:semiHidden/>
    <w:rsid w:val="00347E16"/>
    <w:rPr>
      <w:color w:val="000000"/>
      <w:sz w:val="20"/>
      <w:szCs w:val="20"/>
    </w:rPr>
    <w:tblPr>
      <w:tblStyleRowBandSize w:val="1"/>
      <w:tblStyleColBandSize w:val="1"/>
      <w:tblBorders>
        <w:top w:val="single" w:sz="24" w:space="0" w:color="28AAE1"/>
        <w:left w:val="single" w:sz="4" w:space="0" w:color="D22D7D"/>
        <w:bottom w:val="single" w:sz="4" w:space="0" w:color="D22D7D"/>
        <w:right w:val="single" w:sz="4" w:space="0" w:color="D22D7D"/>
        <w:insideH w:val="single" w:sz="4" w:space="0" w:color="FFFFFF"/>
        <w:insideV w:val="single" w:sz="4" w:space="0" w:color="FFFFFF"/>
      </w:tblBorders>
      <w:tblCellMar>
        <w:top w:w="0" w:type="dxa"/>
        <w:left w:w="108" w:type="dxa"/>
        <w:bottom w:w="0" w:type="dxa"/>
        <w:right w:w="108" w:type="dxa"/>
      </w:tblCellMar>
    </w:tblPr>
    <w:tcPr>
      <w:shd w:val="clear" w:color="auto" w:fill="FAEAF2"/>
    </w:tcPr>
  </w:style>
  <w:style w:type="table" w:customStyle="1" w:styleId="Kolorowecieniowanieakcent21">
    <w:name w:val="Kolorowe cieniowanie — akcent 21"/>
    <w:uiPriority w:val="99"/>
    <w:semiHidden/>
    <w:rsid w:val="00347E16"/>
    <w:rPr>
      <w:color w:val="000000"/>
      <w:sz w:val="20"/>
      <w:szCs w:val="20"/>
    </w:rPr>
    <w:tblPr>
      <w:tblStyleRowBandSize w:val="1"/>
      <w:tblStyleColBandSize w:val="1"/>
      <w:tblBorders>
        <w:top w:val="single" w:sz="24" w:space="0" w:color="28AAE1"/>
        <w:left w:val="single" w:sz="4" w:space="0" w:color="28AAE1"/>
        <w:bottom w:val="single" w:sz="4" w:space="0" w:color="28AAE1"/>
        <w:right w:val="single" w:sz="4" w:space="0" w:color="28AAE1"/>
        <w:insideH w:val="single" w:sz="4" w:space="0" w:color="FFFFFF"/>
        <w:insideV w:val="single" w:sz="4" w:space="0" w:color="FFFFFF"/>
      </w:tblBorders>
      <w:tblCellMar>
        <w:top w:w="0" w:type="dxa"/>
        <w:left w:w="108" w:type="dxa"/>
        <w:bottom w:w="0" w:type="dxa"/>
        <w:right w:w="108" w:type="dxa"/>
      </w:tblCellMar>
    </w:tblPr>
    <w:tcPr>
      <w:shd w:val="clear" w:color="auto" w:fill="E9F6FC"/>
    </w:tcPr>
  </w:style>
  <w:style w:type="table" w:customStyle="1" w:styleId="Kolorowecieniowanieakcent31">
    <w:name w:val="Kolorowe cieniowanie — akcent 31"/>
    <w:uiPriority w:val="99"/>
    <w:semiHidden/>
    <w:rsid w:val="00347E16"/>
    <w:rPr>
      <w:color w:val="000000"/>
      <w:sz w:val="20"/>
      <w:szCs w:val="20"/>
    </w:rPr>
    <w:tblPr>
      <w:tblStyleRowBandSize w:val="1"/>
      <w:tblStyleColBandSize w:val="1"/>
      <w:tblBorders>
        <w:top w:val="single" w:sz="24" w:space="0" w:color="696EB4"/>
        <w:left w:val="single" w:sz="4" w:space="0" w:color="F05023"/>
        <w:bottom w:val="single" w:sz="4" w:space="0" w:color="F05023"/>
        <w:right w:val="single" w:sz="4" w:space="0" w:color="F05023"/>
        <w:insideH w:val="single" w:sz="4" w:space="0" w:color="FFFFFF"/>
        <w:insideV w:val="single" w:sz="4" w:space="0" w:color="FFFFFF"/>
      </w:tblBorders>
      <w:tblCellMar>
        <w:top w:w="0" w:type="dxa"/>
        <w:left w:w="108" w:type="dxa"/>
        <w:bottom w:w="0" w:type="dxa"/>
        <w:right w:w="108" w:type="dxa"/>
      </w:tblCellMar>
    </w:tblPr>
    <w:tcPr>
      <w:shd w:val="clear" w:color="auto" w:fill="FDEDE9"/>
    </w:tcPr>
  </w:style>
  <w:style w:type="table" w:customStyle="1" w:styleId="Kolorowecieniowanieakcent41">
    <w:name w:val="Kolorowe cieniowanie — akcent 41"/>
    <w:uiPriority w:val="99"/>
    <w:semiHidden/>
    <w:rsid w:val="00347E16"/>
    <w:rPr>
      <w:color w:val="000000"/>
      <w:sz w:val="20"/>
      <w:szCs w:val="20"/>
    </w:rPr>
    <w:tblPr>
      <w:tblStyleRowBandSize w:val="1"/>
      <w:tblStyleColBandSize w:val="1"/>
      <w:tblBorders>
        <w:top w:val="single" w:sz="24" w:space="0" w:color="F05023"/>
        <w:left w:val="single" w:sz="4" w:space="0" w:color="696EB4"/>
        <w:bottom w:val="single" w:sz="4" w:space="0" w:color="696EB4"/>
        <w:right w:val="single" w:sz="4" w:space="0" w:color="696EB4"/>
        <w:insideH w:val="single" w:sz="4" w:space="0" w:color="FFFFFF"/>
        <w:insideV w:val="single" w:sz="4" w:space="0" w:color="FFFFFF"/>
      </w:tblBorders>
      <w:tblCellMar>
        <w:top w:w="0" w:type="dxa"/>
        <w:left w:w="108" w:type="dxa"/>
        <w:bottom w:w="0" w:type="dxa"/>
        <w:right w:w="108" w:type="dxa"/>
      </w:tblCellMar>
    </w:tblPr>
    <w:tcPr>
      <w:shd w:val="clear" w:color="auto" w:fill="F0F0F7"/>
    </w:tcPr>
  </w:style>
  <w:style w:type="table" w:customStyle="1" w:styleId="Kolorowecieniowanieakcent51">
    <w:name w:val="Kolorowe cieniowanie — akcent 51"/>
    <w:uiPriority w:val="99"/>
    <w:semiHidden/>
    <w:rsid w:val="00347E16"/>
    <w:rPr>
      <w:color w:val="000000"/>
      <w:sz w:val="20"/>
      <w:szCs w:val="20"/>
    </w:rPr>
    <w:tblPr>
      <w:tblStyleRowBandSize w:val="1"/>
      <w:tblStyleColBandSize w:val="1"/>
      <w:tblBorders>
        <w:top w:val="single" w:sz="24" w:space="0" w:color="28AF73"/>
        <w:left w:val="single" w:sz="4" w:space="0" w:color="FA9B1E"/>
        <w:bottom w:val="single" w:sz="4" w:space="0" w:color="FA9B1E"/>
        <w:right w:val="single" w:sz="4" w:space="0" w:color="FA9B1E"/>
        <w:insideH w:val="single" w:sz="4" w:space="0" w:color="FFFFFF"/>
        <w:insideV w:val="single" w:sz="4" w:space="0" w:color="FFFFFF"/>
      </w:tblBorders>
      <w:tblCellMar>
        <w:top w:w="0" w:type="dxa"/>
        <w:left w:w="108" w:type="dxa"/>
        <w:bottom w:w="0" w:type="dxa"/>
        <w:right w:w="108" w:type="dxa"/>
      </w:tblCellMar>
    </w:tblPr>
    <w:tcPr>
      <w:shd w:val="clear" w:color="auto" w:fill="FEF5E8"/>
    </w:tcPr>
  </w:style>
  <w:style w:type="table" w:customStyle="1" w:styleId="Kolorowecieniowanieakcent61">
    <w:name w:val="Kolorowe cieniowanie — akcent 61"/>
    <w:uiPriority w:val="99"/>
    <w:semiHidden/>
    <w:rsid w:val="00347E16"/>
    <w:rPr>
      <w:color w:val="000000"/>
      <w:sz w:val="20"/>
      <w:szCs w:val="20"/>
    </w:rPr>
    <w:tblPr>
      <w:tblStyleRowBandSize w:val="1"/>
      <w:tblStyleColBandSize w:val="1"/>
      <w:tblBorders>
        <w:top w:val="single" w:sz="24" w:space="0" w:color="FA9B1E"/>
        <w:left w:val="single" w:sz="4" w:space="0" w:color="28AF73"/>
        <w:bottom w:val="single" w:sz="4" w:space="0" w:color="28AF73"/>
        <w:right w:val="single" w:sz="4" w:space="0" w:color="28AF73"/>
        <w:insideH w:val="single" w:sz="4" w:space="0" w:color="FFFFFF"/>
        <w:insideV w:val="single" w:sz="4" w:space="0" w:color="FFFFFF"/>
      </w:tblBorders>
      <w:tblCellMar>
        <w:top w:w="0" w:type="dxa"/>
        <w:left w:w="108" w:type="dxa"/>
        <w:bottom w:w="0" w:type="dxa"/>
        <w:right w:w="108" w:type="dxa"/>
      </w:tblCellMar>
    </w:tblPr>
    <w:tcPr>
      <w:shd w:val="clear" w:color="auto" w:fill="E7F9F1"/>
    </w:tcPr>
  </w:style>
  <w:style w:type="table" w:customStyle="1" w:styleId="rednialista1akcent11">
    <w:name w:val="Średnia lista 1 — akcent 11"/>
    <w:uiPriority w:val="99"/>
    <w:semiHidden/>
    <w:rsid w:val="00347E16"/>
    <w:rPr>
      <w:color w:val="000000"/>
      <w:sz w:val="20"/>
      <w:szCs w:val="20"/>
    </w:rPr>
    <w:tblPr>
      <w:tblStyleRowBandSize w:val="1"/>
      <w:tblStyleColBandSize w:val="1"/>
      <w:tblBorders>
        <w:top w:val="single" w:sz="8" w:space="0" w:color="D22D7D"/>
        <w:bottom w:val="single" w:sz="8" w:space="0" w:color="D22D7D"/>
      </w:tblBorders>
      <w:tblCellMar>
        <w:top w:w="0" w:type="dxa"/>
        <w:left w:w="108" w:type="dxa"/>
        <w:bottom w:w="0" w:type="dxa"/>
        <w:right w:w="108" w:type="dxa"/>
      </w:tblCellMar>
    </w:tblPr>
  </w:style>
  <w:style w:type="table" w:customStyle="1" w:styleId="rednialista1akcent21">
    <w:name w:val="Średnia lista 1 — akcent 21"/>
    <w:uiPriority w:val="99"/>
    <w:semiHidden/>
    <w:rsid w:val="00347E16"/>
    <w:rPr>
      <w:color w:val="000000"/>
      <w:sz w:val="20"/>
      <w:szCs w:val="20"/>
    </w:rPr>
    <w:tblPr>
      <w:tblStyleRowBandSize w:val="1"/>
      <w:tblStyleColBandSize w:val="1"/>
      <w:tblBorders>
        <w:top w:val="single" w:sz="8" w:space="0" w:color="28AAE1"/>
        <w:bottom w:val="single" w:sz="8" w:space="0" w:color="28AAE1"/>
      </w:tblBorders>
      <w:tblCellMar>
        <w:top w:w="0" w:type="dxa"/>
        <w:left w:w="108" w:type="dxa"/>
        <w:bottom w:w="0" w:type="dxa"/>
        <w:right w:w="108" w:type="dxa"/>
      </w:tblCellMar>
    </w:tblPr>
  </w:style>
  <w:style w:type="table" w:customStyle="1" w:styleId="rednialista1akcent31">
    <w:name w:val="Średnia lista 1 — akcent 31"/>
    <w:uiPriority w:val="99"/>
    <w:semiHidden/>
    <w:rsid w:val="00347E16"/>
    <w:rPr>
      <w:color w:val="000000"/>
      <w:sz w:val="20"/>
      <w:szCs w:val="20"/>
    </w:rPr>
    <w:tblPr>
      <w:tblStyleRowBandSize w:val="1"/>
      <w:tblStyleColBandSize w:val="1"/>
      <w:tblBorders>
        <w:top w:val="single" w:sz="8" w:space="0" w:color="F05023"/>
        <w:bottom w:val="single" w:sz="8" w:space="0" w:color="F05023"/>
      </w:tblBorders>
      <w:tblCellMar>
        <w:top w:w="0" w:type="dxa"/>
        <w:left w:w="108" w:type="dxa"/>
        <w:bottom w:w="0" w:type="dxa"/>
        <w:right w:w="108" w:type="dxa"/>
      </w:tblCellMar>
    </w:tblPr>
  </w:style>
  <w:style w:type="table" w:customStyle="1" w:styleId="rednialista1akcent41">
    <w:name w:val="Średnia lista 1 — akcent 41"/>
    <w:uiPriority w:val="99"/>
    <w:semiHidden/>
    <w:rsid w:val="00347E16"/>
    <w:rPr>
      <w:color w:val="000000"/>
      <w:sz w:val="20"/>
      <w:szCs w:val="20"/>
    </w:rPr>
    <w:tblPr>
      <w:tblStyleRowBandSize w:val="1"/>
      <w:tblStyleColBandSize w:val="1"/>
      <w:tblBorders>
        <w:top w:val="single" w:sz="8" w:space="0" w:color="696EB4"/>
        <w:bottom w:val="single" w:sz="8" w:space="0" w:color="696EB4"/>
      </w:tblBorders>
      <w:tblCellMar>
        <w:top w:w="0" w:type="dxa"/>
        <w:left w:w="108" w:type="dxa"/>
        <w:bottom w:w="0" w:type="dxa"/>
        <w:right w:w="108" w:type="dxa"/>
      </w:tblCellMar>
    </w:tblPr>
  </w:style>
  <w:style w:type="table" w:customStyle="1" w:styleId="rednialista1akcent51">
    <w:name w:val="Średnia lista 1 — akcent 51"/>
    <w:uiPriority w:val="99"/>
    <w:semiHidden/>
    <w:rsid w:val="00347E16"/>
    <w:rPr>
      <w:color w:val="000000"/>
      <w:sz w:val="20"/>
      <w:szCs w:val="20"/>
    </w:rPr>
    <w:tblPr>
      <w:tblStyleRowBandSize w:val="1"/>
      <w:tblStyleColBandSize w:val="1"/>
      <w:tblBorders>
        <w:top w:val="single" w:sz="8" w:space="0" w:color="FA9B1E"/>
        <w:bottom w:val="single" w:sz="8" w:space="0" w:color="FA9B1E"/>
      </w:tblBorders>
      <w:tblCellMar>
        <w:top w:w="0" w:type="dxa"/>
        <w:left w:w="108" w:type="dxa"/>
        <w:bottom w:w="0" w:type="dxa"/>
        <w:right w:w="108" w:type="dxa"/>
      </w:tblCellMar>
    </w:tblPr>
  </w:style>
  <w:style w:type="table" w:customStyle="1" w:styleId="rednialista1akcent61">
    <w:name w:val="Średnia lista 1 — akcent 61"/>
    <w:uiPriority w:val="99"/>
    <w:semiHidden/>
    <w:rsid w:val="00347E16"/>
    <w:rPr>
      <w:color w:val="000000"/>
      <w:sz w:val="20"/>
      <w:szCs w:val="20"/>
    </w:rPr>
    <w:tblPr>
      <w:tblStyleRowBandSize w:val="1"/>
      <w:tblStyleColBandSize w:val="1"/>
      <w:tblBorders>
        <w:top w:val="single" w:sz="8" w:space="0" w:color="28AF73"/>
        <w:bottom w:val="single" w:sz="8" w:space="0" w:color="28AF73"/>
      </w:tblBorders>
      <w:tblCellMar>
        <w:top w:w="0" w:type="dxa"/>
        <w:left w:w="108" w:type="dxa"/>
        <w:bottom w:w="0" w:type="dxa"/>
        <w:right w:w="108" w:type="dxa"/>
      </w:tblCellMar>
    </w:tblPr>
  </w:style>
  <w:style w:type="table" w:customStyle="1" w:styleId="rednialista2akcent11">
    <w:name w:val="Średnia lista 2 — akcent 11"/>
    <w:uiPriority w:val="99"/>
    <w:semiHidden/>
    <w:rsid w:val="00347E16"/>
    <w:rPr>
      <w:rFonts w:eastAsia="MS Gothic"/>
      <w:color w:val="000000"/>
      <w:sz w:val="20"/>
      <w:szCs w:val="20"/>
    </w:rPr>
    <w:tblPr>
      <w:tblStyleRowBandSize w:val="1"/>
      <w:tblStyleColBandSize w:val="1"/>
      <w:tblBorders>
        <w:top w:val="single" w:sz="8" w:space="0" w:color="D22D7D"/>
        <w:left w:val="single" w:sz="8" w:space="0" w:color="D22D7D"/>
        <w:bottom w:val="single" w:sz="8" w:space="0" w:color="D22D7D"/>
        <w:right w:val="single" w:sz="8" w:space="0" w:color="D22D7D"/>
      </w:tblBorders>
      <w:tblCellMar>
        <w:top w:w="0" w:type="dxa"/>
        <w:left w:w="108" w:type="dxa"/>
        <w:bottom w:w="0" w:type="dxa"/>
        <w:right w:w="108" w:type="dxa"/>
      </w:tblCellMar>
    </w:tblPr>
  </w:style>
  <w:style w:type="table" w:customStyle="1" w:styleId="rednialista2akcent21">
    <w:name w:val="Średnia lista 2 — akcent 21"/>
    <w:uiPriority w:val="99"/>
    <w:semiHidden/>
    <w:rsid w:val="00347E16"/>
    <w:rPr>
      <w:rFonts w:eastAsia="MS Gothic"/>
      <w:color w:val="000000"/>
      <w:sz w:val="20"/>
      <w:szCs w:val="20"/>
    </w:rPr>
    <w:tblPr>
      <w:tblStyleRowBandSize w:val="1"/>
      <w:tblStyleColBandSize w:val="1"/>
      <w:tblBorders>
        <w:top w:val="single" w:sz="8" w:space="0" w:color="28AAE1"/>
        <w:left w:val="single" w:sz="8" w:space="0" w:color="28AAE1"/>
        <w:bottom w:val="single" w:sz="8" w:space="0" w:color="28AAE1"/>
        <w:right w:val="single" w:sz="8" w:space="0" w:color="28AAE1"/>
      </w:tblBorders>
      <w:tblCellMar>
        <w:top w:w="0" w:type="dxa"/>
        <w:left w:w="108" w:type="dxa"/>
        <w:bottom w:w="0" w:type="dxa"/>
        <w:right w:w="108" w:type="dxa"/>
      </w:tblCellMar>
    </w:tblPr>
  </w:style>
  <w:style w:type="table" w:customStyle="1" w:styleId="rednialista2akcent31">
    <w:name w:val="Średnia lista 2 — akcent 31"/>
    <w:uiPriority w:val="99"/>
    <w:semiHidden/>
    <w:rsid w:val="00347E16"/>
    <w:rPr>
      <w:rFonts w:eastAsia="MS Gothic"/>
      <w:color w:val="000000"/>
      <w:sz w:val="20"/>
      <w:szCs w:val="20"/>
    </w:rPr>
    <w:tblPr>
      <w:tblStyleRowBandSize w:val="1"/>
      <w:tblStyleColBandSize w:val="1"/>
      <w:tblBorders>
        <w:top w:val="single" w:sz="8" w:space="0" w:color="F05023"/>
        <w:left w:val="single" w:sz="8" w:space="0" w:color="F05023"/>
        <w:bottom w:val="single" w:sz="8" w:space="0" w:color="F05023"/>
        <w:right w:val="single" w:sz="8" w:space="0" w:color="F05023"/>
      </w:tblBorders>
      <w:tblCellMar>
        <w:top w:w="0" w:type="dxa"/>
        <w:left w:w="108" w:type="dxa"/>
        <w:bottom w:w="0" w:type="dxa"/>
        <w:right w:w="108" w:type="dxa"/>
      </w:tblCellMar>
    </w:tblPr>
  </w:style>
  <w:style w:type="table" w:customStyle="1" w:styleId="rednialista2akcent41">
    <w:name w:val="Średnia lista 2 — akcent 41"/>
    <w:uiPriority w:val="99"/>
    <w:semiHidden/>
    <w:rsid w:val="00347E16"/>
    <w:rPr>
      <w:rFonts w:eastAsia="MS Gothic"/>
      <w:color w:val="000000"/>
      <w:sz w:val="20"/>
      <w:szCs w:val="20"/>
    </w:rPr>
    <w:tblPr>
      <w:tblStyleRowBandSize w:val="1"/>
      <w:tblStyleColBandSize w:val="1"/>
      <w:tblBorders>
        <w:top w:val="single" w:sz="8" w:space="0" w:color="696EB4"/>
        <w:left w:val="single" w:sz="8" w:space="0" w:color="696EB4"/>
        <w:bottom w:val="single" w:sz="8" w:space="0" w:color="696EB4"/>
        <w:right w:val="single" w:sz="8" w:space="0" w:color="696EB4"/>
      </w:tblBorders>
      <w:tblCellMar>
        <w:top w:w="0" w:type="dxa"/>
        <w:left w:w="108" w:type="dxa"/>
        <w:bottom w:w="0" w:type="dxa"/>
        <w:right w:w="108" w:type="dxa"/>
      </w:tblCellMar>
    </w:tblPr>
  </w:style>
  <w:style w:type="table" w:customStyle="1" w:styleId="rednialista2akcent51">
    <w:name w:val="Średnia lista 2 — akcent 51"/>
    <w:uiPriority w:val="99"/>
    <w:semiHidden/>
    <w:rsid w:val="00347E16"/>
    <w:rPr>
      <w:rFonts w:eastAsia="MS Gothic"/>
      <w:color w:val="000000"/>
      <w:sz w:val="20"/>
      <w:szCs w:val="20"/>
    </w:rPr>
    <w:tblPr>
      <w:tblStyleRowBandSize w:val="1"/>
      <w:tblStyleColBandSize w:val="1"/>
      <w:tblBorders>
        <w:top w:val="single" w:sz="8" w:space="0" w:color="FA9B1E"/>
        <w:left w:val="single" w:sz="8" w:space="0" w:color="FA9B1E"/>
        <w:bottom w:val="single" w:sz="8" w:space="0" w:color="FA9B1E"/>
        <w:right w:val="single" w:sz="8" w:space="0" w:color="FA9B1E"/>
      </w:tblBorders>
      <w:tblCellMar>
        <w:top w:w="0" w:type="dxa"/>
        <w:left w:w="108" w:type="dxa"/>
        <w:bottom w:w="0" w:type="dxa"/>
        <w:right w:w="108" w:type="dxa"/>
      </w:tblCellMar>
    </w:tblPr>
  </w:style>
  <w:style w:type="table" w:customStyle="1" w:styleId="rednialista2akcent61">
    <w:name w:val="Średnia lista 2 — akcent 61"/>
    <w:uiPriority w:val="99"/>
    <w:semiHidden/>
    <w:rsid w:val="00347E16"/>
    <w:rPr>
      <w:rFonts w:eastAsia="MS Gothic"/>
      <w:color w:val="000000"/>
      <w:sz w:val="20"/>
      <w:szCs w:val="20"/>
    </w:rPr>
    <w:tblPr>
      <w:tblStyleRowBandSize w:val="1"/>
      <w:tblStyleColBandSize w:val="1"/>
      <w:tblBorders>
        <w:top w:val="single" w:sz="8" w:space="0" w:color="28AF73"/>
        <w:left w:val="single" w:sz="8" w:space="0" w:color="28AF73"/>
        <w:bottom w:val="single" w:sz="8" w:space="0" w:color="28AF73"/>
        <w:right w:val="single" w:sz="8" w:space="0" w:color="28AF73"/>
      </w:tblBorders>
      <w:tblCellMar>
        <w:top w:w="0" w:type="dxa"/>
        <w:left w:w="108" w:type="dxa"/>
        <w:bottom w:w="0" w:type="dxa"/>
        <w:right w:w="108" w:type="dxa"/>
      </w:tblCellMar>
    </w:tblPr>
  </w:style>
  <w:style w:type="table" w:customStyle="1" w:styleId="redniasiatka1akcent11">
    <w:name w:val="Średnia siatka 1 — akcent 11"/>
    <w:uiPriority w:val="99"/>
    <w:semiHidden/>
    <w:rsid w:val="00347E16"/>
    <w:rPr>
      <w:sz w:val="20"/>
      <w:szCs w:val="20"/>
    </w:rPr>
    <w:tblPr>
      <w:tblStyleRowBandSize w:val="1"/>
      <w:tblStyleColBandSize w:val="1"/>
      <w:tblBorders>
        <w:top w:val="single" w:sz="8" w:space="0" w:color="DD619D"/>
        <w:left w:val="single" w:sz="8" w:space="0" w:color="DD619D"/>
        <w:bottom w:val="single" w:sz="8" w:space="0" w:color="DD619D"/>
        <w:right w:val="single" w:sz="8" w:space="0" w:color="DD619D"/>
        <w:insideH w:val="single" w:sz="8" w:space="0" w:color="DD619D"/>
        <w:insideV w:val="single" w:sz="8" w:space="0" w:color="DD619D"/>
      </w:tblBorders>
      <w:tblCellMar>
        <w:top w:w="0" w:type="dxa"/>
        <w:left w:w="108" w:type="dxa"/>
        <w:bottom w:w="0" w:type="dxa"/>
        <w:right w:w="108" w:type="dxa"/>
      </w:tblCellMar>
    </w:tblPr>
    <w:tcPr>
      <w:shd w:val="clear" w:color="auto" w:fill="F4CBDE"/>
    </w:tcPr>
  </w:style>
  <w:style w:type="table" w:customStyle="1" w:styleId="redniasiatka1akcent21">
    <w:name w:val="Średnia siatka 1 — akcent 21"/>
    <w:uiPriority w:val="99"/>
    <w:semiHidden/>
    <w:rsid w:val="00347E16"/>
    <w:rPr>
      <w:sz w:val="20"/>
      <w:szCs w:val="20"/>
    </w:rPr>
    <w:tblPr>
      <w:tblStyleRowBandSize w:val="1"/>
      <w:tblStyleColBandSize w:val="1"/>
      <w:tblBorders>
        <w:top w:val="single" w:sz="8" w:space="0" w:color="5DBFE8"/>
        <w:left w:val="single" w:sz="8" w:space="0" w:color="5DBFE8"/>
        <w:bottom w:val="single" w:sz="8" w:space="0" w:color="5DBFE8"/>
        <w:right w:val="single" w:sz="8" w:space="0" w:color="5DBFE8"/>
        <w:insideH w:val="single" w:sz="8" w:space="0" w:color="5DBFE8"/>
        <w:insideV w:val="single" w:sz="8" w:space="0" w:color="5DBFE8"/>
      </w:tblBorders>
      <w:tblCellMar>
        <w:top w:w="0" w:type="dxa"/>
        <w:left w:w="108" w:type="dxa"/>
        <w:bottom w:w="0" w:type="dxa"/>
        <w:right w:w="108" w:type="dxa"/>
      </w:tblCellMar>
    </w:tblPr>
    <w:tcPr>
      <w:shd w:val="clear" w:color="auto" w:fill="C9E9F7"/>
    </w:tcPr>
  </w:style>
  <w:style w:type="table" w:customStyle="1" w:styleId="redniasiatka1akcent31">
    <w:name w:val="Średnia siatka 1 — akcent 31"/>
    <w:uiPriority w:val="99"/>
    <w:semiHidden/>
    <w:rsid w:val="00347E16"/>
    <w:rPr>
      <w:sz w:val="20"/>
      <w:szCs w:val="20"/>
    </w:rPr>
    <w:tblPr>
      <w:tblStyleRowBandSize w:val="1"/>
      <w:tblStyleColBandSize w:val="1"/>
      <w:tblBorders>
        <w:top w:val="single" w:sz="8" w:space="0" w:color="F37B59"/>
        <w:left w:val="single" w:sz="8" w:space="0" w:color="F37B59"/>
        <w:bottom w:val="single" w:sz="8" w:space="0" w:color="F37B59"/>
        <w:right w:val="single" w:sz="8" w:space="0" w:color="F37B59"/>
        <w:insideH w:val="single" w:sz="8" w:space="0" w:color="F37B59"/>
        <w:insideV w:val="single" w:sz="8" w:space="0" w:color="F37B59"/>
      </w:tblBorders>
      <w:tblCellMar>
        <w:top w:w="0" w:type="dxa"/>
        <w:left w:w="108" w:type="dxa"/>
        <w:bottom w:w="0" w:type="dxa"/>
        <w:right w:w="108" w:type="dxa"/>
      </w:tblCellMar>
    </w:tblPr>
    <w:tcPr>
      <w:shd w:val="clear" w:color="auto" w:fill="FBD3C8"/>
    </w:tcPr>
  </w:style>
  <w:style w:type="table" w:customStyle="1" w:styleId="redniasiatka1akcent41">
    <w:name w:val="Średnia siatka 1 — akcent 41"/>
    <w:uiPriority w:val="99"/>
    <w:semiHidden/>
    <w:rsid w:val="00347E16"/>
    <w:rPr>
      <w:sz w:val="20"/>
      <w:szCs w:val="20"/>
    </w:rPr>
    <w:tblPr>
      <w:tblStyleRowBandSize w:val="1"/>
      <w:tblStyleColBandSize w:val="1"/>
      <w:tblBorders>
        <w:top w:val="single" w:sz="8" w:space="0" w:color="8E92C6"/>
        <w:left w:val="single" w:sz="8" w:space="0" w:color="8E92C6"/>
        <w:bottom w:val="single" w:sz="8" w:space="0" w:color="8E92C6"/>
        <w:right w:val="single" w:sz="8" w:space="0" w:color="8E92C6"/>
        <w:insideH w:val="single" w:sz="8" w:space="0" w:color="8E92C6"/>
        <w:insideV w:val="single" w:sz="8" w:space="0" w:color="8E92C6"/>
      </w:tblBorders>
      <w:tblCellMar>
        <w:top w:w="0" w:type="dxa"/>
        <w:left w:w="108" w:type="dxa"/>
        <w:bottom w:w="0" w:type="dxa"/>
        <w:right w:w="108" w:type="dxa"/>
      </w:tblCellMar>
    </w:tblPr>
    <w:tcPr>
      <w:shd w:val="clear" w:color="auto" w:fill="D9DBEC"/>
    </w:tcPr>
  </w:style>
  <w:style w:type="table" w:customStyle="1" w:styleId="redniasiatka1akcent51">
    <w:name w:val="Średnia siatka 1 — akcent 51"/>
    <w:uiPriority w:val="99"/>
    <w:semiHidden/>
    <w:rsid w:val="00347E16"/>
    <w:rPr>
      <w:sz w:val="20"/>
      <w:szCs w:val="20"/>
    </w:rPr>
    <w:tblPr>
      <w:tblStyleRowBandSize w:val="1"/>
      <w:tblStyleColBandSize w:val="1"/>
      <w:tblBorders>
        <w:top w:val="single" w:sz="8" w:space="0" w:color="FBB356"/>
        <w:left w:val="single" w:sz="8" w:space="0" w:color="FBB356"/>
        <w:bottom w:val="single" w:sz="8" w:space="0" w:color="FBB356"/>
        <w:right w:val="single" w:sz="8" w:space="0" w:color="FBB356"/>
        <w:insideH w:val="single" w:sz="8" w:space="0" w:color="FBB356"/>
        <w:insideV w:val="single" w:sz="8" w:space="0" w:color="FBB356"/>
      </w:tblBorders>
      <w:tblCellMar>
        <w:top w:w="0" w:type="dxa"/>
        <w:left w:w="108" w:type="dxa"/>
        <w:bottom w:w="0" w:type="dxa"/>
        <w:right w:w="108" w:type="dxa"/>
      </w:tblCellMar>
    </w:tblPr>
    <w:tcPr>
      <w:shd w:val="clear" w:color="auto" w:fill="FDE6C7"/>
    </w:tcPr>
  </w:style>
  <w:style w:type="table" w:customStyle="1" w:styleId="redniasiatka1akcent61">
    <w:name w:val="Średnia siatka 1 — akcent 61"/>
    <w:uiPriority w:val="99"/>
    <w:semiHidden/>
    <w:rsid w:val="00347E16"/>
    <w:rPr>
      <w:sz w:val="20"/>
      <w:szCs w:val="20"/>
    </w:rPr>
    <w:tblPr>
      <w:tblStyleRowBandSize w:val="1"/>
      <w:tblStyleColBandSize w:val="1"/>
      <w:tblBorders>
        <w:top w:val="single" w:sz="8" w:space="0" w:color="4BD597"/>
        <w:left w:val="single" w:sz="8" w:space="0" w:color="4BD597"/>
        <w:bottom w:val="single" w:sz="8" w:space="0" w:color="4BD597"/>
        <w:right w:val="single" w:sz="8" w:space="0" w:color="4BD597"/>
        <w:insideH w:val="single" w:sz="8" w:space="0" w:color="4BD597"/>
        <w:insideV w:val="single" w:sz="8" w:space="0" w:color="4BD597"/>
      </w:tblBorders>
      <w:tblCellMar>
        <w:top w:w="0" w:type="dxa"/>
        <w:left w:w="108" w:type="dxa"/>
        <w:bottom w:w="0" w:type="dxa"/>
        <w:right w:w="108" w:type="dxa"/>
      </w:tblCellMar>
    </w:tblPr>
    <w:tcPr>
      <w:shd w:val="clear" w:color="auto" w:fill="C3F1DC"/>
    </w:tcPr>
  </w:style>
  <w:style w:type="table" w:customStyle="1" w:styleId="redniasiatka2akcent11">
    <w:name w:val="Średnia siatka 2 — akcent 11"/>
    <w:uiPriority w:val="99"/>
    <w:semiHidden/>
    <w:rsid w:val="00347E16"/>
    <w:rPr>
      <w:rFonts w:eastAsia="MS Gothic"/>
      <w:color w:val="000000"/>
      <w:sz w:val="20"/>
      <w:szCs w:val="20"/>
    </w:rPr>
    <w:tblPr>
      <w:tblStyleRowBandSize w:val="1"/>
      <w:tblStyleColBandSize w:val="1"/>
      <w:tblBorders>
        <w:top w:val="single" w:sz="8" w:space="0" w:color="D22D7D"/>
        <w:left w:val="single" w:sz="8" w:space="0" w:color="D22D7D"/>
        <w:bottom w:val="single" w:sz="8" w:space="0" w:color="D22D7D"/>
        <w:right w:val="single" w:sz="8" w:space="0" w:color="D22D7D"/>
        <w:insideH w:val="single" w:sz="8" w:space="0" w:color="D22D7D"/>
        <w:insideV w:val="single" w:sz="8" w:space="0" w:color="D22D7D"/>
      </w:tblBorders>
      <w:tblCellMar>
        <w:top w:w="0" w:type="dxa"/>
        <w:left w:w="108" w:type="dxa"/>
        <w:bottom w:w="0" w:type="dxa"/>
        <w:right w:w="108" w:type="dxa"/>
      </w:tblCellMar>
    </w:tblPr>
    <w:tcPr>
      <w:shd w:val="clear" w:color="auto" w:fill="F4CBDE"/>
    </w:tcPr>
  </w:style>
  <w:style w:type="table" w:customStyle="1" w:styleId="redniasiatka2akcent21">
    <w:name w:val="Średnia siatka 2 — akcent 21"/>
    <w:uiPriority w:val="99"/>
    <w:semiHidden/>
    <w:rsid w:val="00347E16"/>
    <w:rPr>
      <w:rFonts w:eastAsia="MS Gothic"/>
      <w:color w:val="000000"/>
      <w:sz w:val="20"/>
      <w:szCs w:val="20"/>
    </w:rPr>
    <w:tblPr>
      <w:tblStyleRowBandSize w:val="1"/>
      <w:tblStyleColBandSize w:val="1"/>
      <w:tblBorders>
        <w:top w:val="single" w:sz="8" w:space="0" w:color="28AAE1"/>
        <w:left w:val="single" w:sz="8" w:space="0" w:color="28AAE1"/>
        <w:bottom w:val="single" w:sz="8" w:space="0" w:color="28AAE1"/>
        <w:right w:val="single" w:sz="8" w:space="0" w:color="28AAE1"/>
        <w:insideH w:val="single" w:sz="8" w:space="0" w:color="28AAE1"/>
        <w:insideV w:val="single" w:sz="8" w:space="0" w:color="28AAE1"/>
      </w:tblBorders>
      <w:tblCellMar>
        <w:top w:w="0" w:type="dxa"/>
        <w:left w:w="108" w:type="dxa"/>
        <w:bottom w:w="0" w:type="dxa"/>
        <w:right w:w="108" w:type="dxa"/>
      </w:tblCellMar>
    </w:tblPr>
    <w:tcPr>
      <w:shd w:val="clear" w:color="auto" w:fill="C9E9F7"/>
    </w:tcPr>
  </w:style>
  <w:style w:type="table" w:customStyle="1" w:styleId="redniasiatka2akcent31">
    <w:name w:val="Średnia siatka 2 — akcent 31"/>
    <w:uiPriority w:val="99"/>
    <w:semiHidden/>
    <w:rsid w:val="00347E16"/>
    <w:rPr>
      <w:rFonts w:eastAsia="MS Gothic"/>
      <w:color w:val="000000"/>
      <w:sz w:val="20"/>
      <w:szCs w:val="20"/>
    </w:rPr>
    <w:tblPr>
      <w:tblStyleRowBandSize w:val="1"/>
      <w:tblStyleColBandSize w:val="1"/>
      <w:tblBorders>
        <w:top w:val="single" w:sz="8" w:space="0" w:color="F05023"/>
        <w:left w:val="single" w:sz="8" w:space="0" w:color="F05023"/>
        <w:bottom w:val="single" w:sz="8" w:space="0" w:color="F05023"/>
        <w:right w:val="single" w:sz="8" w:space="0" w:color="F05023"/>
        <w:insideH w:val="single" w:sz="8" w:space="0" w:color="F05023"/>
        <w:insideV w:val="single" w:sz="8" w:space="0" w:color="F05023"/>
      </w:tblBorders>
      <w:tblCellMar>
        <w:top w:w="0" w:type="dxa"/>
        <w:left w:w="108" w:type="dxa"/>
        <w:bottom w:w="0" w:type="dxa"/>
        <w:right w:w="108" w:type="dxa"/>
      </w:tblCellMar>
    </w:tblPr>
    <w:tcPr>
      <w:shd w:val="clear" w:color="auto" w:fill="FBD3C8"/>
    </w:tcPr>
  </w:style>
  <w:style w:type="table" w:customStyle="1" w:styleId="redniasiatka2akcent41">
    <w:name w:val="Średnia siatka 2 — akcent 41"/>
    <w:uiPriority w:val="99"/>
    <w:semiHidden/>
    <w:rsid w:val="00347E16"/>
    <w:rPr>
      <w:rFonts w:eastAsia="MS Gothic"/>
      <w:color w:val="000000"/>
      <w:sz w:val="20"/>
      <w:szCs w:val="20"/>
    </w:rPr>
    <w:tblPr>
      <w:tblStyleRowBandSize w:val="1"/>
      <w:tblStyleColBandSize w:val="1"/>
      <w:tblBorders>
        <w:top w:val="single" w:sz="8" w:space="0" w:color="696EB4"/>
        <w:left w:val="single" w:sz="8" w:space="0" w:color="696EB4"/>
        <w:bottom w:val="single" w:sz="8" w:space="0" w:color="696EB4"/>
        <w:right w:val="single" w:sz="8" w:space="0" w:color="696EB4"/>
        <w:insideH w:val="single" w:sz="8" w:space="0" w:color="696EB4"/>
        <w:insideV w:val="single" w:sz="8" w:space="0" w:color="696EB4"/>
      </w:tblBorders>
      <w:tblCellMar>
        <w:top w:w="0" w:type="dxa"/>
        <w:left w:w="108" w:type="dxa"/>
        <w:bottom w:w="0" w:type="dxa"/>
        <w:right w:w="108" w:type="dxa"/>
      </w:tblCellMar>
    </w:tblPr>
    <w:tcPr>
      <w:shd w:val="clear" w:color="auto" w:fill="D9DBEC"/>
    </w:tcPr>
  </w:style>
  <w:style w:type="table" w:customStyle="1" w:styleId="redniasiatka2akcent51">
    <w:name w:val="Średnia siatka 2 — akcent 51"/>
    <w:uiPriority w:val="99"/>
    <w:semiHidden/>
    <w:rsid w:val="00347E16"/>
    <w:rPr>
      <w:rFonts w:eastAsia="MS Gothic"/>
      <w:color w:val="000000"/>
      <w:sz w:val="20"/>
      <w:szCs w:val="20"/>
    </w:rPr>
    <w:tblPr>
      <w:tblStyleRowBandSize w:val="1"/>
      <w:tblStyleColBandSize w:val="1"/>
      <w:tblBorders>
        <w:top w:val="single" w:sz="8" w:space="0" w:color="FA9B1E"/>
        <w:left w:val="single" w:sz="8" w:space="0" w:color="FA9B1E"/>
        <w:bottom w:val="single" w:sz="8" w:space="0" w:color="FA9B1E"/>
        <w:right w:val="single" w:sz="8" w:space="0" w:color="FA9B1E"/>
        <w:insideH w:val="single" w:sz="8" w:space="0" w:color="FA9B1E"/>
        <w:insideV w:val="single" w:sz="8" w:space="0" w:color="FA9B1E"/>
      </w:tblBorders>
      <w:tblCellMar>
        <w:top w:w="0" w:type="dxa"/>
        <w:left w:w="108" w:type="dxa"/>
        <w:bottom w:w="0" w:type="dxa"/>
        <w:right w:w="108" w:type="dxa"/>
      </w:tblCellMar>
    </w:tblPr>
    <w:tcPr>
      <w:shd w:val="clear" w:color="auto" w:fill="FDE6C7"/>
    </w:tcPr>
  </w:style>
  <w:style w:type="table" w:customStyle="1" w:styleId="redniasiatka2akcent61">
    <w:name w:val="Średnia siatka 2 — akcent 61"/>
    <w:uiPriority w:val="99"/>
    <w:semiHidden/>
    <w:rsid w:val="00347E16"/>
    <w:rPr>
      <w:rFonts w:eastAsia="MS Gothic"/>
      <w:color w:val="000000"/>
      <w:sz w:val="20"/>
      <w:szCs w:val="20"/>
    </w:rPr>
    <w:tblPr>
      <w:tblStyleRowBandSize w:val="1"/>
      <w:tblStyleColBandSize w:val="1"/>
      <w:tblBorders>
        <w:top w:val="single" w:sz="8" w:space="0" w:color="28AF73"/>
        <w:left w:val="single" w:sz="8" w:space="0" w:color="28AF73"/>
        <w:bottom w:val="single" w:sz="8" w:space="0" w:color="28AF73"/>
        <w:right w:val="single" w:sz="8" w:space="0" w:color="28AF73"/>
        <w:insideH w:val="single" w:sz="8" w:space="0" w:color="28AF73"/>
        <w:insideV w:val="single" w:sz="8" w:space="0" w:color="28AF73"/>
      </w:tblBorders>
      <w:tblCellMar>
        <w:top w:w="0" w:type="dxa"/>
        <w:left w:w="108" w:type="dxa"/>
        <w:bottom w:w="0" w:type="dxa"/>
        <w:right w:w="108" w:type="dxa"/>
      </w:tblCellMar>
    </w:tblPr>
    <w:tcPr>
      <w:shd w:val="clear" w:color="auto" w:fill="C3F1DC"/>
    </w:tcPr>
  </w:style>
  <w:style w:type="table" w:customStyle="1" w:styleId="redniasiatka3akcent11">
    <w:name w:val="Średnia siatka 3 — akcent 11"/>
    <w:uiPriority w:val="99"/>
    <w:semiHidden/>
    <w:rsid w:val="00347E16"/>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4CBDE"/>
    </w:tcPr>
  </w:style>
  <w:style w:type="table" w:customStyle="1" w:styleId="redniasiatka3akcent21">
    <w:name w:val="Średnia siatka 3 — akcent 21"/>
    <w:uiPriority w:val="99"/>
    <w:semiHidden/>
    <w:rsid w:val="00347E16"/>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9E9F7"/>
    </w:tcPr>
  </w:style>
  <w:style w:type="table" w:customStyle="1" w:styleId="redniasiatka3akcent31">
    <w:name w:val="Średnia siatka 3 — akcent 31"/>
    <w:uiPriority w:val="99"/>
    <w:semiHidden/>
    <w:rsid w:val="00347E16"/>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BD3C8"/>
    </w:tcPr>
  </w:style>
  <w:style w:type="table" w:customStyle="1" w:styleId="redniasiatka3akcent41">
    <w:name w:val="Średnia siatka 3 — akcent 41"/>
    <w:uiPriority w:val="99"/>
    <w:semiHidden/>
    <w:rsid w:val="00347E16"/>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9DBEC"/>
    </w:tcPr>
  </w:style>
  <w:style w:type="table" w:customStyle="1" w:styleId="redniasiatka3akcent51">
    <w:name w:val="Średnia siatka 3 — akcent 51"/>
    <w:uiPriority w:val="99"/>
    <w:semiHidden/>
    <w:rsid w:val="00347E16"/>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6C7"/>
    </w:tcPr>
  </w:style>
  <w:style w:type="table" w:customStyle="1" w:styleId="redniasiatka3akcent61">
    <w:name w:val="Średnia siatka 3 — akcent 61"/>
    <w:uiPriority w:val="99"/>
    <w:semiHidden/>
    <w:rsid w:val="00347E16"/>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3F1DC"/>
    </w:tcPr>
  </w:style>
  <w:style w:type="table" w:customStyle="1" w:styleId="redniecieniowanie1akcent11">
    <w:name w:val="Średnie cieniowanie 1 — akcent 11"/>
    <w:uiPriority w:val="99"/>
    <w:semiHidden/>
    <w:rsid w:val="00347E16"/>
    <w:rPr>
      <w:sz w:val="20"/>
      <w:szCs w:val="20"/>
    </w:rPr>
    <w:tblPr>
      <w:tblStyleRowBandSize w:val="1"/>
      <w:tblStyleColBandSize w:val="1"/>
      <w:tblBorders>
        <w:top w:val="single" w:sz="8" w:space="0" w:color="DD619D"/>
        <w:left w:val="single" w:sz="8" w:space="0" w:color="DD619D"/>
        <w:bottom w:val="single" w:sz="8" w:space="0" w:color="DD619D"/>
        <w:right w:val="single" w:sz="8" w:space="0" w:color="DD619D"/>
        <w:insideH w:val="single" w:sz="8" w:space="0" w:color="DD619D"/>
      </w:tblBorders>
      <w:tblCellMar>
        <w:top w:w="0" w:type="dxa"/>
        <w:left w:w="108" w:type="dxa"/>
        <w:bottom w:w="0" w:type="dxa"/>
        <w:right w:w="108" w:type="dxa"/>
      </w:tblCellMar>
    </w:tblPr>
  </w:style>
  <w:style w:type="table" w:customStyle="1" w:styleId="redniecieniowanie1akcent21">
    <w:name w:val="Średnie cieniowanie 1 — akcent 21"/>
    <w:uiPriority w:val="99"/>
    <w:semiHidden/>
    <w:rsid w:val="00347E16"/>
    <w:rPr>
      <w:sz w:val="20"/>
      <w:szCs w:val="20"/>
    </w:rPr>
    <w:tblPr>
      <w:tblStyleRowBandSize w:val="1"/>
      <w:tblStyleColBandSize w:val="1"/>
      <w:tblBorders>
        <w:top w:val="single" w:sz="8" w:space="0" w:color="5DBFE8"/>
        <w:left w:val="single" w:sz="8" w:space="0" w:color="5DBFE8"/>
        <w:bottom w:val="single" w:sz="8" w:space="0" w:color="5DBFE8"/>
        <w:right w:val="single" w:sz="8" w:space="0" w:color="5DBFE8"/>
        <w:insideH w:val="single" w:sz="8" w:space="0" w:color="5DBFE8"/>
      </w:tblBorders>
      <w:tblCellMar>
        <w:top w:w="0" w:type="dxa"/>
        <w:left w:w="108" w:type="dxa"/>
        <w:bottom w:w="0" w:type="dxa"/>
        <w:right w:w="108" w:type="dxa"/>
      </w:tblCellMar>
    </w:tblPr>
  </w:style>
  <w:style w:type="table" w:customStyle="1" w:styleId="redniecieniowanie1akcent31">
    <w:name w:val="Średnie cieniowanie 1 — akcent 31"/>
    <w:uiPriority w:val="99"/>
    <w:semiHidden/>
    <w:rsid w:val="00347E16"/>
    <w:rPr>
      <w:sz w:val="20"/>
      <w:szCs w:val="20"/>
    </w:rPr>
    <w:tblPr>
      <w:tblStyleRowBandSize w:val="1"/>
      <w:tblStyleColBandSize w:val="1"/>
      <w:tblBorders>
        <w:top w:val="single" w:sz="8" w:space="0" w:color="F37B59"/>
        <w:left w:val="single" w:sz="8" w:space="0" w:color="F37B59"/>
        <w:bottom w:val="single" w:sz="8" w:space="0" w:color="F37B59"/>
        <w:right w:val="single" w:sz="8" w:space="0" w:color="F37B59"/>
        <w:insideH w:val="single" w:sz="8" w:space="0" w:color="F37B59"/>
      </w:tblBorders>
      <w:tblCellMar>
        <w:top w:w="0" w:type="dxa"/>
        <w:left w:w="108" w:type="dxa"/>
        <w:bottom w:w="0" w:type="dxa"/>
        <w:right w:w="108" w:type="dxa"/>
      </w:tblCellMar>
    </w:tblPr>
  </w:style>
  <w:style w:type="table" w:customStyle="1" w:styleId="redniecieniowanie1akcent41">
    <w:name w:val="Średnie cieniowanie 1 — akcent 41"/>
    <w:uiPriority w:val="99"/>
    <w:semiHidden/>
    <w:rsid w:val="00347E16"/>
    <w:rPr>
      <w:sz w:val="20"/>
      <w:szCs w:val="20"/>
    </w:rPr>
    <w:tblPr>
      <w:tblStyleRowBandSize w:val="1"/>
      <w:tblStyleColBandSize w:val="1"/>
      <w:tblBorders>
        <w:top w:val="single" w:sz="8" w:space="0" w:color="8E92C6"/>
        <w:left w:val="single" w:sz="8" w:space="0" w:color="8E92C6"/>
        <w:bottom w:val="single" w:sz="8" w:space="0" w:color="8E92C6"/>
        <w:right w:val="single" w:sz="8" w:space="0" w:color="8E92C6"/>
        <w:insideH w:val="single" w:sz="8" w:space="0" w:color="8E92C6"/>
      </w:tblBorders>
      <w:tblCellMar>
        <w:top w:w="0" w:type="dxa"/>
        <w:left w:w="108" w:type="dxa"/>
        <w:bottom w:w="0" w:type="dxa"/>
        <w:right w:w="108" w:type="dxa"/>
      </w:tblCellMar>
    </w:tblPr>
  </w:style>
  <w:style w:type="table" w:customStyle="1" w:styleId="redniecieniowanie1akcent51">
    <w:name w:val="Średnie cieniowanie 1 — akcent 51"/>
    <w:uiPriority w:val="99"/>
    <w:semiHidden/>
    <w:rsid w:val="00347E16"/>
    <w:rPr>
      <w:sz w:val="20"/>
      <w:szCs w:val="20"/>
    </w:rPr>
    <w:tblPr>
      <w:tblStyleRowBandSize w:val="1"/>
      <w:tblStyleColBandSize w:val="1"/>
      <w:tblBorders>
        <w:top w:val="single" w:sz="8" w:space="0" w:color="FBB356"/>
        <w:left w:val="single" w:sz="8" w:space="0" w:color="FBB356"/>
        <w:bottom w:val="single" w:sz="8" w:space="0" w:color="FBB356"/>
        <w:right w:val="single" w:sz="8" w:space="0" w:color="FBB356"/>
        <w:insideH w:val="single" w:sz="8" w:space="0" w:color="FBB356"/>
      </w:tblBorders>
      <w:tblCellMar>
        <w:top w:w="0" w:type="dxa"/>
        <w:left w:w="108" w:type="dxa"/>
        <w:bottom w:w="0" w:type="dxa"/>
        <w:right w:w="108" w:type="dxa"/>
      </w:tblCellMar>
    </w:tblPr>
  </w:style>
  <w:style w:type="table" w:customStyle="1" w:styleId="redniecieniowanie1akcent61">
    <w:name w:val="Średnie cieniowanie 1 — akcent 61"/>
    <w:uiPriority w:val="99"/>
    <w:semiHidden/>
    <w:rsid w:val="00347E16"/>
    <w:rPr>
      <w:sz w:val="20"/>
      <w:szCs w:val="20"/>
    </w:rPr>
    <w:tblPr>
      <w:tblStyleRowBandSize w:val="1"/>
      <w:tblStyleColBandSize w:val="1"/>
      <w:tblBorders>
        <w:top w:val="single" w:sz="8" w:space="0" w:color="4BD597"/>
        <w:left w:val="single" w:sz="8" w:space="0" w:color="4BD597"/>
        <w:bottom w:val="single" w:sz="8" w:space="0" w:color="4BD597"/>
        <w:right w:val="single" w:sz="8" w:space="0" w:color="4BD597"/>
        <w:insideH w:val="single" w:sz="8" w:space="0" w:color="4BD597"/>
      </w:tblBorders>
      <w:tblCellMar>
        <w:top w:w="0" w:type="dxa"/>
        <w:left w:w="108" w:type="dxa"/>
        <w:bottom w:w="0" w:type="dxa"/>
        <w:right w:w="108" w:type="dxa"/>
      </w:tblCellMar>
    </w:tblPr>
  </w:style>
  <w:style w:type="table" w:customStyle="1" w:styleId="redniecieniowanie2akcent11">
    <w:name w:val="Średnie cieniowanie 2 — akcent 11"/>
    <w:uiPriority w:val="99"/>
    <w:semiHidden/>
    <w:rsid w:val="00347E16"/>
    <w:rPr>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redniecieniowanie2akcent21">
    <w:name w:val="Średnie cieniowanie 2 — akcent 21"/>
    <w:uiPriority w:val="99"/>
    <w:semiHidden/>
    <w:rsid w:val="00347E16"/>
    <w:rPr>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redniecieniowanie2akcent31">
    <w:name w:val="Średnie cieniowanie 2 — akcent 31"/>
    <w:uiPriority w:val="99"/>
    <w:semiHidden/>
    <w:rsid w:val="00347E16"/>
    <w:rPr>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redniecieniowanie2akcent41">
    <w:name w:val="Średnie cieniowanie 2 — akcent 41"/>
    <w:uiPriority w:val="99"/>
    <w:semiHidden/>
    <w:rsid w:val="00347E16"/>
    <w:rPr>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redniecieniowanie2akcent51">
    <w:name w:val="Średnie cieniowanie 2 — akcent 51"/>
    <w:uiPriority w:val="99"/>
    <w:semiHidden/>
    <w:rsid w:val="00347E16"/>
    <w:rPr>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redniecieniowanie2akcent61">
    <w:name w:val="Średnie cieniowanie 2 — akcent 61"/>
    <w:uiPriority w:val="99"/>
    <w:semiHidden/>
    <w:rsid w:val="00347E16"/>
    <w:rPr>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Tabelalisty1jasnaakcent110">
    <w:name w:val="Tabela listy 1 — jasna — akcent 11"/>
    <w:uiPriority w:val="99"/>
    <w:rsid w:val="00347E16"/>
    <w:rPr>
      <w:sz w:val="20"/>
      <w:szCs w:val="20"/>
    </w:rPr>
    <w:tblPr>
      <w:tblStyleRowBandSize w:val="1"/>
      <w:tblStyleColBandSize w:val="1"/>
      <w:tblCellMar>
        <w:top w:w="0" w:type="dxa"/>
        <w:left w:w="108" w:type="dxa"/>
        <w:bottom w:w="0" w:type="dxa"/>
        <w:right w:w="108" w:type="dxa"/>
      </w:tblCellMar>
    </w:tblPr>
  </w:style>
  <w:style w:type="table" w:customStyle="1" w:styleId="Tabelalisty1jasnaakcent210">
    <w:name w:val="Tabela listy 1 — jasna — akcent 21"/>
    <w:uiPriority w:val="99"/>
    <w:rsid w:val="00347E16"/>
    <w:rPr>
      <w:sz w:val="20"/>
      <w:szCs w:val="20"/>
    </w:rPr>
    <w:tblPr>
      <w:tblStyleRowBandSize w:val="1"/>
      <w:tblStyleColBandSize w:val="1"/>
      <w:tblCellMar>
        <w:top w:w="0" w:type="dxa"/>
        <w:left w:w="108" w:type="dxa"/>
        <w:bottom w:w="0" w:type="dxa"/>
        <w:right w:w="108" w:type="dxa"/>
      </w:tblCellMar>
    </w:tblPr>
  </w:style>
  <w:style w:type="table" w:customStyle="1" w:styleId="Tabelalisty1jasnaakcent310">
    <w:name w:val="Tabela listy 1 — jasna — akcent 31"/>
    <w:uiPriority w:val="99"/>
    <w:rsid w:val="00347E16"/>
    <w:rPr>
      <w:sz w:val="20"/>
      <w:szCs w:val="20"/>
    </w:rPr>
    <w:tblPr>
      <w:tblStyleRowBandSize w:val="1"/>
      <w:tblStyleColBandSize w:val="1"/>
      <w:tblCellMar>
        <w:top w:w="0" w:type="dxa"/>
        <w:left w:w="108" w:type="dxa"/>
        <w:bottom w:w="0" w:type="dxa"/>
        <w:right w:w="108" w:type="dxa"/>
      </w:tblCellMar>
    </w:tblPr>
  </w:style>
  <w:style w:type="table" w:customStyle="1" w:styleId="Tabelalisty1jasnaakcent410">
    <w:name w:val="Tabela listy 1 — jasna — akcent 41"/>
    <w:uiPriority w:val="99"/>
    <w:rsid w:val="00347E16"/>
    <w:rPr>
      <w:sz w:val="20"/>
      <w:szCs w:val="20"/>
    </w:rPr>
    <w:tblPr>
      <w:tblStyleRowBandSize w:val="1"/>
      <w:tblStyleColBandSize w:val="1"/>
      <w:tblCellMar>
        <w:top w:w="0" w:type="dxa"/>
        <w:left w:w="108" w:type="dxa"/>
        <w:bottom w:w="0" w:type="dxa"/>
        <w:right w:w="108" w:type="dxa"/>
      </w:tblCellMar>
    </w:tblPr>
  </w:style>
  <w:style w:type="table" w:customStyle="1" w:styleId="Tabelalisty1jasnaakcent510">
    <w:name w:val="Tabela listy 1 — jasna — akcent 51"/>
    <w:uiPriority w:val="99"/>
    <w:rsid w:val="00347E16"/>
    <w:rPr>
      <w:sz w:val="20"/>
      <w:szCs w:val="20"/>
    </w:rPr>
    <w:tblPr>
      <w:tblStyleRowBandSize w:val="1"/>
      <w:tblStyleColBandSize w:val="1"/>
      <w:tblCellMar>
        <w:top w:w="0" w:type="dxa"/>
        <w:left w:w="108" w:type="dxa"/>
        <w:bottom w:w="0" w:type="dxa"/>
        <w:right w:w="108" w:type="dxa"/>
      </w:tblCellMar>
    </w:tblPr>
  </w:style>
  <w:style w:type="table" w:customStyle="1" w:styleId="Tabelalisty1jasnaakcent610">
    <w:name w:val="Tabela listy 1 — jasna — akcent 61"/>
    <w:uiPriority w:val="99"/>
    <w:rsid w:val="00347E16"/>
    <w:rPr>
      <w:sz w:val="20"/>
      <w:szCs w:val="20"/>
    </w:rPr>
    <w:tblPr>
      <w:tblStyleRowBandSize w:val="1"/>
      <w:tblStyleColBandSize w:val="1"/>
      <w:tblCellMar>
        <w:top w:w="0" w:type="dxa"/>
        <w:left w:w="108" w:type="dxa"/>
        <w:bottom w:w="0" w:type="dxa"/>
        <w:right w:w="108" w:type="dxa"/>
      </w:tblCellMar>
    </w:tblPr>
  </w:style>
  <w:style w:type="table" w:customStyle="1" w:styleId="Tabelalisty2akcent110">
    <w:name w:val="Tabela listy 2 — akcent 11"/>
    <w:uiPriority w:val="99"/>
    <w:rsid w:val="00347E16"/>
    <w:rPr>
      <w:sz w:val="20"/>
      <w:szCs w:val="20"/>
    </w:rPr>
    <w:tblPr>
      <w:tblStyleRowBandSize w:val="1"/>
      <w:tblStyleColBandSize w:val="1"/>
      <w:tblBorders>
        <w:top w:val="single" w:sz="4" w:space="0" w:color="E481B0"/>
        <w:bottom w:val="single" w:sz="4" w:space="0" w:color="E481B0"/>
        <w:insideH w:val="single" w:sz="4" w:space="0" w:color="E481B0"/>
      </w:tblBorders>
      <w:tblCellMar>
        <w:top w:w="0" w:type="dxa"/>
        <w:left w:w="108" w:type="dxa"/>
        <w:bottom w:w="0" w:type="dxa"/>
        <w:right w:w="108" w:type="dxa"/>
      </w:tblCellMar>
    </w:tblPr>
  </w:style>
  <w:style w:type="table" w:customStyle="1" w:styleId="Tabelalisty2akcent210">
    <w:name w:val="Tabela listy 2 — akcent 21"/>
    <w:uiPriority w:val="99"/>
    <w:rsid w:val="00347E16"/>
    <w:rPr>
      <w:sz w:val="20"/>
      <w:szCs w:val="20"/>
    </w:rPr>
    <w:tblPr>
      <w:tblStyleRowBandSize w:val="1"/>
      <w:tblStyleColBandSize w:val="1"/>
      <w:tblBorders>
        <w:top w:val="single" w:sz="4" w:space="0" w:color="7ECBED"/>
        <w:bottom w:val="single" w:sz="4" w:space="0" w:color="7ECBED"/>
        <w:insideH w:val="single" w:sz="4" w:space="0" w:color="7ECBED"/>
      </w:tblBorders>
      <w:tblCellMar>
        <w:top w:w="0" w:type="dxa"/>
        <w:left w:w="108" w:type="dxa"/>
        <w:bottom w:w="0" w:type="dxa"/>
        <w:right w:w="108" w:type="dxa"/>
      </w:tblCellMar>
    </w:tblPr>
  </w:style>
  <w:style w:type="table" w:customStyle="1" w:styleId="Tabelalisty2akcent310">
    <w:name w:val="Tabela listy 2 — akcent 31"/>
    <w:uiPriority w:val="99"/>
    <w:rsid w:val="00347E16"/>
    <w:rPr>
      <w:sz w:val="20"/>
      <w:szCs w:val="20"/>
    </w:rPr>
    <w:tblPr>
      <w:tblStyleRowBandSize w:val="1"/>
      <w:tblStyleColBandSize w:val="1"/>
      <w:tblBorders>
        <w:top w:val="single" w:sz="4" w:space="0" w:color="F6957B"/>
        <w:bottom w:val="single" w:sz="4" w:space="0" w:color="F6957B"/>
        <w:insideH w:val="single" w:sz="4" w:space="0" w:color="F6957B"/>
      </w:tblBorders>
      <w:tblCellMar>
        <w:top w:w="0" w:type="dxa"/>
        <w:left w:w="108" w:type="dxa"/>
        <w:bottom w:w="0" w:type="dxa"/>
        <w:right w:w="108" w:type="dxa"/>
      </w:tblCellMar>
    </w:tblPr>
  </w:style>
  <w:style w:type="table" w:customStyle="1" w:styleId="Tabelalisty2akcent410">
    <w:name w:val="Tabela listy 2 — akcent 41"/>
    <w:uiPriority w:val="99"/>
    <w:rsid w:val="00347E16"/>
    <w:rPr>
      <w:sz w:val="20"/>
      <w:szCs w:val="20"/>
    </w:rPr>
    <w:tblPr>
      <w:tblStyleRowBandSize w:val="1"/>
      <w:tblStyleColBandSize w:val="1"/>
      <w:tblBorders>
        <w:top w:val="single" w:sz="4" w:space="0" w:color="A5A8D2"/>
        <w:bottom w:val="single" w:sz="4" w:space="0" w:color="A5A8D2"/>
        <w:insideH w:val="single" w:sz="4" w:space="0" w:color="A5A8D2"/>
      </w:tblBorders>
      <w:tblCellMar>
        <w:top w:w="0" w:type="dxa"/>
        <w:left w:w="108" w:type="dxa"/>
        <w:bottom w:w="0" w:type="dxa"/>
        <w:right w:w="108" w:type="dxa"/>
      </w:tblCellMar>
    </w:tblPr>
  </w:style>
  <w:style w:type="table" w:customStyle="1" w:styleId="Tabelalisty2akcent510">
    <w:name w:val="Tabela listy 2 — akcent 51"/>
    <w:uiPriority w:val="99"/>
    <w:rsid w:val="00347E16"/>
    <w:rPr>
      <w:sz w:val="20"/>
      <w:szCs w:val="20"/>
    </w:rPr>
    <w:tblPr>
      <w:tblStyleRowBandSize w:val="1"/>
      <w:tblStyleColBandSize w:val="1"/>
      <w:tblBorders>
        <w:top w:val="single" w:sz="4" w:space="0" w:color="FCC278"/>
        <w:bottom w:val="single" w:sz="4" w:space="0" w:color="FCC278"/>
        <w:insideH w:val="single" w:sz="4" w:space="0" w:color="FCC278"/>
      </w:tblBorders>
      <w:tblCellMar>
        <w:top w:w="0" w:type="dxa"/>
        <w:left w:w="108" w:type="dxa"/>
        <w:bottom w:w="0" w:type="dxa"/>
        <w:right w:w="108" w:type="dxa"/>
      </w:tblCellMar>
    </w:tblPr>
  </w:style>
  <w:style w:type="table" w:customStyle="1" w:styleId="Tabelalisty2akcent610">
    <w:name w:val="Tabela listy 2 — akcent 61"/>
    <w:uiPriority w:val="99"/>
    <w:rsid w:val="00347E16"/>
    <w:rPr>
      <w:sz w:val="20"/>
      <w:szCs w:val="20"/>
    </w:rPr>
    <w:tblPr>
      <w:tblStyleRowBandSize w:val="1"/>
      <w:tblStyleColBandSize w:val="1"/>
      <w:tblBorders>
        <w:top w:val="single" w:sz="4" w:space="0" w:color="6EDEAC"/>
        <w:bottom w:val="single" w:sz="4" w:space="0" w:color="6EDEAC"/>
        <w:insideH w:val="single" w:sz="4" w:space="0" w:color="6EDEAC"/>
      </w:tblBorders>
      <w:tblCellMar>
        <w:top w:w="0" w:type="dxa"/>
        <w:left w:w="108" w:type="dxa"/>
        <w:bottom w:w="0" w:type="dxa"/>
        <w:right w:w="108" w:type="dxa"/>
      </w:tblCellMar>
    </w:tblPr>
  </w:style>
  <w:style w:type="table" w:customStyle="1" w:styleId="Tabelalisty3akcent110">
    <w:name w:val="Tabela listy 3 — akcent 11"/>
    <w:uiPriority w:val="99"/>
    <w:rsid w:val="00347E16"/>
    <w:rPr>
      <w:sz w:val="20"/>
      <w:szCs w:val="20"/>
    </w:rPr>
    <w:tblPr>
      <w:tblStyleRowBandSize w:val="1"/>
      <w:tblStyleColBandSize w:val="1"/>
      <w:tblBorders>
        <w:top w:val="single" w:sz="4" w:space="0" w:color="D22D7D"/>
        <w:left w:val="single" w:sz="4" w:space="0" w:color="D22D7D"/>
        <w:bottom w:val="single" w:sz="4" w:space="0" w:color="D22D7D"/>
        <w:right w:val="single" w:sz="4" w:space="0" w:color="D22D7D"/>
      </w:tblBorders>
      <w:tblCellMar>
        <w:top w:w="0" w:type="dxa"/>
        <w:left w:w="108" w:type="dxa"/>
        <w:bottom w:w="0" w:type="dxa"/>
        <w:right w:w="108" w:type="dxa"/>
      </w:tblCellMar>
    </w:tblPr>
  </w:style>
  <w:style w:type="table" w:customStyle="1" w:styleId="Tabelalisty3akcent210">
    <w:name w:val="Tabela listy 3 — akcent 21"/>
    <w:uiPriority w:val="99"/>
    <w:rsid w:val="00347E16"/>
    <w:rPr>
      <w:sz w:val="20"/>
      <w:szCs w:val="20"/>
    </w:rPr>
    <w:tblPr>
      <w:tblStyleRowBandSize w:val="1"/>
      <w:tblStyleColBandSize w:val="1"/>
      <w:tblBorders>
        <w:top w:val="single" w:sz="4" w:space="0" w:color="28AAE1"/>
        <w:left w:val="single" w:sz="4" w:space="0" w:color="28AAE1"/>
        <w:bottom w:val="single" w:sz="4" w:space="0" w:color="28AAE1"/>
        <w:right w:val="single" w:sz="4" w:space="0" w:color="28AAE1"/>
      </w:tblBorders>
      <w:tblCellMar>
        <w:top w:w="0" w:type="dxa"/>
        <w:left w:w="108" w:type="dxa"/>
        <w:bottom w:w="0" w:type="dxa"/>
        <w:right w:w="108" w:type="dxa"/>
      </w:tblCellMar>
    </w:tblPr>
  </w:style>
  <w:style w:type="table" w:customStyle="1" w:styleId="Tabelalisty3akcent310">
    <w:name w:val="Tabela listy 3 — akcent 31"/>
    <w:uiPriority w:val="99"/>
    <w:rsid w:val="00347E16"/>
    <w:rPr>
      <w:sz w:val="20"/>
      <w:szCs w:val="20"/>
    </w:rPr>
    <w:tblPr>
      <w:tblStyleRowBandSize w:val="1"/>
      <w:tblStyleColBandSize w:val="1"/>
      <w:tblBorders>
        <w:top w:val="single" w:sz="4" w:space="0" w:color="F05023"/>
        <w:left w:val="single" w:sz="4" w:space="0" w:color="F05023"/>
        <w:bottom w:val="single" w:sz="4" w:space="0" w:color="F05023"/>
        <w:right w:val="single" w:sz="4" w:space="0" w:color="F05023"/>
      </w:tblBorders>
      <w:tblCellMar>
        <w:top w:w="0" w:type="dxa"/>
        <w:left w:w="108" w:type="dxa"/>
        <w:bottom w:w="0" w:type="dxa"/>
        <w:right w:w="108" w:type="dxa"/>
      </w:tblCellMar>
    </w:tblPr>
  </w:style>
  <w:style w:type="table" w:customStyle="1" w:styleId="Tabelalisty3akcent410">
    <w:name w:val="Tabela listy 3 — akcent 41"/>
    <w:uiPriority w:val="99"/>
    <w:rsid w:val="00347E16"/>
    <w:rPr>
      <w:sz w:val="20"/>
      <w:szCs w:val="20"/>
    </w:rPr>
    <w:tblPr>
      <w:tblStyleRowBandSize w:val="1"/>
      <w:tblStyleColBandSize w:val="1"/>
      <w:tblBorders>
        <w:top w:val="single" w:sz="4" w:space="0" w:color="696EB4"/>
        <w:left w:val="single" w:sz="4" w:space="0" w:color="696EB4"/>
        <w:bottom w:val="single" w:sz="4" w:space="0" w:color="696EB4"/>
        <w:right w:val="single" w:sz="4" w:space="0" w:color="696EB4"/>
      </w:tblBorders>
      <w:tblCellMar>
        <w:top w:w="0" w:type="dxa"/>
        <w:left w:w="108" w:type="dxa"/>
        <w:bottom w:w="0" w:type="dxa"/>
        <w:right w:w="108" w:type="dxa"/>
      </w:tblCellMar>
    </w:tblPr>
  </w:style>
  <w:style w:type="table" w:customStyle="1" w:styleId="Tabelalisty3akcent510">
    <w:name w:val="Tabela listy 3 — akcent 51"/>
    <w:uiPriority w:val="99"/>
    <w:rsid w:val="00347E16"/>
    <w:rPr>
      <w:sz w:val="20"/>
      <w:szCs w:val="20"/>
    </w:rPr>
    <w:tblPr>
      <w:tblStyleRowBandSize w:val="1"/>
      <w:tblStyleColBandSize w:val="1"/>
      <w:tblBorders>
        <w:top w:val="single" w:sz="4" w:space="0" w:color="FA9B1E"/>
        <w:left w:val="single" w:sz="4" w:space="0" w:color="FA9B1E"/>
        <w:bottom w:val="single" w:sz="4" w:space="0" w:color="FA9B1E"/>
        <w:right w:val="single" w:sz="4" w:space="0" w:color="FA9B1E"/>
      </w:tblBorders>
      <w:tblCellMar>
        <w:top w:w="0" w:type="dxa"/>
        <w:left w:w="108" w:type="dxa"/>
        <w:bottom w:w="0" w:type="dxa"/>
        <w:right w:w="108" w:type="dxa"/>
      </w:tblCellMar>
    </w:tblPr>
  </w:style>
  <w:style w:type="table" w:customStyle="1" w:styleId="Tabelalisty3akcent610">
    <w:name w:val="Tabela listy 3 — akcent 61"/>
    <w:uiPriority w:val="99"/>
    <w:rsid w:val="00347E16"/>
    <w:rPr>
      <w:sz w:val="20"/>
      <w:szCs w:val="20"/>
    </w:rPr>
    <w:tblPr>
      <w:tblStyleRowBandSize w:val="1"/>
      <w:tblStyleColBandSize w:val="1"/>
      <w:tblBorders>
        <w:top w:val="single" w:sz="4" w:space="0" w:color="28AF73"/>
        <w:left w:val="single" w:sz="4" w:space="0" w:color="28AF73"/>
        <w:bottom w:val="single" w:sz="4" w:space="0" w:color="28AF73"/>
        <w:right w:val="single" w:sz="4" w:space="0" w:color="28AF73"/>
      </w:tblBorders>
      <w:tblCellMar>
        <w:top w:w="0" w:type="dxa"/>
        <w:left w:w="108" w:type="dxa"/>
        <w:bottom w:w="0" w:type="dxa"/>
        <w:right w:w="108" w:type="dxa"/>
      </w:tblCellMar>
    </w:tblPr>
  </w:style>
  <w:style w:type="table" w:customStyle="1" w:styleId="Tabelalisty4akcent110">
    <w:name w:val="Tabela listy 4 — akcent 11"/>
    <w:uiPriority w:val="99"/>
    <w:rsid w:val="00347E16"/>
    <w:rPr>
      <w:sz w:val="20"/>
      <w:szCs w:val="20"/>
    </w:rPr>
    <w:tblPr>
      <w:tblStyleRowBandSize w:val="1"/>
      <w:tblStyleColBandSize w:val="1"/>
      <w:tblBorders>
        <w:top w:val="single" w:sz="4" w:space="0" w:color="E481B0"/>
        <w:left w:val="single" w:sz="4" w:space="0" w:color="E481B0"/>
        <w:bottom w:val="single" w:sz="4" w:space="0" w:color="E481B0"/>
        <w:right w:val="single" w:sz="4" w:space="0" w:color="E481B0"/>
        <w:insideH w:val="single" w:sz="4" w:space="0" w:color="E481B0"/>
      </w:tblBorders>
      <w:tblCellMar>
        <w:top w:w="0" w:type="dxa"/>
        <w:left w:w="108" w:type="dxa"/>
        <w:bottom w:w="0" w:type="dxa"/>
        <w:right w:w="108" w:type="dxa"/>
      </w:tblCellMar>
    </w:tblPr>
  </w:style>
  <w:style w:type="table" w:customStyle="1" w:styleId="Tabelalisty4akcent210">
    <w:name w:val="Tabela listy 4 — akcent 21"/>
    <w:uiPriority w:val="99"/>
    <w:rsid w:val="00347E16"/>
    <w:rPr>
      <w:sz w:val="20"/>
      <w:szCs w:val="20"/>
    </w:rPr>
    <w:tblPr>
      <w:tblStyleRowBandSize w:val="1"/>
      <w:tblStyleColBandSize w:val="1"/>
      <w:tblBorders>
        <w:top w:val="single" w:sz="4" w:space="0" w:color="7ECBED"/>
        <w:left w:val="single" w:sz="4" w:space="0" w:color="7ECBED"/>
        <w:bottom w:val="single" w:sz="4" w:space="0" w:color="7ECBED"/>
        <w:right w:val="single" w:sz="4" w:space="0" w:color="7ECBED"/>
        <w:insideH w:val="single" w:sz="4" w:space="0" w:color="7ECBED"/>
      </w:tblBorders>
      <w:tblCellMar>
        <w:top w:w="0" w:type="dxa"/>
        <w:left w:w="108" w:type="dxa"/>
        <w:bottom w:w="0" w:type="dxa"/>
        <w:right w:w="108" w:type="dxa"/>
      </w:tblCellMar>
    </w:tblPr>
  </w:style>
  <w:style w:type="table" w:customStyle="1" w:styleId="Tabelalisty4akcent310">
    <w:name w:val="Tabela listy 4 — akcent 31"/>
    <w:uiPriority w:val="99"/>
    <w:rsid w:val="00347E16"/>
    <w:rPr>
      <w:sz w:val="20"/>
      <w:szCs w:val="20"/>
    </w:rPr>
    <w:tblPr>
      <w:tblStyleRowBandSize w:val="1"/>
      <w:tblStyleColBandSize w:val="1"/>
      <w:tblBorders>
        <w:top w:val="single" w:sz="4" w:space="0" w:color="F6957B"/>
        <w:left w:val="single" w:sz="4" w:space="0" w:color="F6957B"/>
        <w:bottom w:val="single" w:sz="4" w:space="0" w:color="F6957B"/>
        <w:right w:val="single" w:sz="4" w:space="0" w:color="F6957B"/>
        <w:insideH w:val="single" w:sz="4" w:space="0" w:color="F6957B"/>
      </w:tblBorders>
      <w:tblCellMar>
        <w:top w:w="0" w:type="dxa"/>
        <w:left w:w="108" w:type="dxa"/>
        <w:bottom w:w="0" w:type="dxa"/>
        <w:right w:w="108" w:type="dxa"/>
      </w:tblCellMar>
    </w:tblPr>
  </w:style>
  <w:style w:type="table" w:customStyle="1" w:styleId="Tabelalisty4akcent410">
    <w:name w:val="Tabela listy 4 — akcent 41"/>
    <w:uiPriority w:val="99"/>
    <w:rsid w:val="00347E16"/>
    <w:rPr>
      <w:sz w:val="20"/>
      <w:szCs w:val="20"/>
    </w:rPr>
    <w:tblPr>
      <w:tblStyleRowBandSize w:val="1"/>
      <w:tblStyleColBandSize w:val="1"/>
      <w:tblBorders>
        <w:top w:val="single" w:sz="4" w:space="0" w:color="A5A8D2"/>
        <w:left w:val="single" w:sz="4" w:space="0" w:color="A5A8D2"/>
        <w:bottom w:val="single" w:sz="4" w:space="0" w:color="A5A8D2"/>
        <w:right w:val="single" w:sz="4" w:space="0" w:color="A5A8D2"/>
        <w:insideH w:val="single" w:sz="4" w:space="0" w:color="A5A8D2"/>
      </w:tblBorders>
      <w:tblCellMar>
        <w:top w:w="0" w:type="dxa"/>
        <w:left w:w="108" w:type="dxa"/>
        <w:bottom w:w="0" w:type="dxa"/>
        <w:right w:w="108" w:type="dxa"/>
      </w:tblCellMar>
    </w:tblPr>
  </w:style>
  <w:style w:type="table" w:customStyle="1" w:styleId="Tabelalisty4akcent510">
    <w:name w:val="Tabela listy 4 — akcent 51"/>
    <w:uiPriority w:val="99"/>
    <w:rsid w:val="00347E16"/>
    <w:rPr>
      <w:sz w:val="20"/>
      <w:szCs w:val="20"/>
    </w:rPr>
    <w:tblPr>
      <w:tblStyleRowBandSize w:val="1"/>
      <w:tblStyleColBandSize w:val="1"/>
      <w:tblBorders>
        <w:top w:val="single" w:sz="4" w:space="0" w:color="FCC278"/>
        <w:left w:val="single" w:sz="4" w:space="0" w:color="FCC278"/>
        <w:bottom w:val="single" w:sz="4" w:space="0" w:color="FCC278"/>
        <w:right w:val="single" w:sz="4" w:space="0" w:color="FCC278"/>
        <w:insideH w:val="single" w:sz="4" w:space="0" w:color="FCC278"/>
      </w:tblBorders>
      <w:tblCellMar>
        <w:top w:w="0" w:type="dxa"/>
        <w:left w:w="108" w:type="dxa"/>
        <w:bottom w:w="0" w:type="dxa"/>
        <w:right w:w="108" w:type="dxa"/>
      </w:tblCellMar>
    </w:tblPr>
  </w:style>
  <w:style w:type="table" w:customStyle="1" w:styleId="Tabelalisty4akcent610">
    <w:name w:val="Tabela listy 4 — akcent 61"/>
    <w:uiPriority w:val="99"/>
    <w:rsid w:val="00347E16"/>
    <w:rPr>
      <w:sz w:val="20"/>
      <w:szCs w:val="20"/>
    </w:rPr>
    <w:tblPr>
      <w:tblStyleRowBandSize w:val="1"/>
      <w:tblStyleColBandSize w:val="1"/>
      <w:tblBorders>
        <w:top w:val="single" w:sz="4" w:space="0" w:color="6EDEAC"/>
        <w:left w:val="single" w:sz="4" w:space="0" w:color="6EDEAC"/>
        <w:bottom w:val="single" w:sz="4" w:space="0" w:color="6EDEAC"/>
        <w:right w:val="single" w:sz="4" w:space="0" w:color="6EDEAC"/>
        <w:insideH w:val="single" w:sz="4" w:space="0" w:color="6EDEAC"/>
      </w:tblBorders>
      <w:tblCellMar>
        <w:top w:w="0" w:type="dxa"/>
        <w:left w:w="108" w:type="dxa"/>
        <w:bottom w:w="0" w:type="dxa"/>
        <w:right w:w="108" w:type="dxa"/>
      </w:tblCellMar>
    </w:tblPr>
  </w:style>
  <w:style w:type="table" w:customStyle="1" w:styleId="Tabelalisty5ciemnaakcent110">
    <w:name w:val="Tabela listy 5 — ciemna — akcent 11"/>
    <w:uiPriority w:val="99"/>
    <w:rsid w:val="00347E16"/>
    <w:rPr>
      <w:color w:val="FFFFFF"/>
      <w:sz w:val="20"/>
      <w:szCs w:val="20"/>
    </w:rPr>
    <w:tblPr>
      <w:tblStyleRowBandSize w:val="1"/>
      <w:tblStyleColBandSize w:val="1"/>
      <w:tblBorders>
        <w:top w:val="single" w:sz="24" w:space="0" w:color="D22D7D"/>
        <w:left w:val="single" w:sz="24" w:space="0" w:color="D22D7D"/>
        <w:bottom w:val="single" w:sz="24" w:space="0" w:color="D22D7D"/>
        <w:right w:val="single" w:sz="24" w:space="0" w:color="D22D7D"/>
      </w:tblBorders>
      <w:tblCellMar>
        <w:top w:w="0" w:type="dxa"/>
        <w:left w:w="108" w:type="dxa"/>
        <w:bottom w:w="0" w:type="dxa"/>
        <w:right w:w="108" w:type="dxa"/>
      </w:tblCellMar>
    </w:tblPr>
    <w:tcPr>
      <w:shd w:val="clear" w:color="auto" w:fill="D22D7D"/>
    </w:tcPr>
  </w:style>
  <w:style w:type="table" w:customStyle="1" w:styleId="Tabelalisty5ciemnaakcent210">
    <w:name w:val="Tabela listy 5 — ciemna — akcent 21"/>
    <w:uiPriority w:val="99"/>
    <w:rsid w:val="00347E16"/>
    <w:rPr>
      <w:color w:val="FFFFFF"/>
      <w:sz w:val="20"/>
      <w:szCs w:val="20"/>
    </w:rPr>
    <w:tblPr>
      <w:tblStyleRowBandSize w:val="1"/>
      <w:tblStyleColBandSize w:val="1"/>
      <w:tblBorders>
        <w:top w:val="single" w:sz="24" w:space="0" w:color="28AAE1"/>
        <w:left w:val="single" w:sz="24" w:space="0" w:color="28AAE1"/>
        <w:bottom w:val="single" w:sz="24" w:space="0" w:color="28AAE1"/>
        <w:right w:val="single" w:sz="24" w:space="0" w:color="28AAE1"/>
      </w:tblBorders>
      <w:tblCellMar>
        <w:top w:w="0" w:type="dxa"/>
        <w:left w:w="108" w:type="dxa"/>
        <w:bottom w:w="0" w:type="dxa"/>
        <w:right w:w="108" w:type="dxa"/>
      </w:tblCellMar>
    </w:tblPr>
    <w:tcPr>
      <w:shd w:val="clear" w:color="auto" w:fill="28AAE1"/>
    </w:tcPr>
  </w:style>
  <w:style w:type="table" w:customStyle="1" w:styleId="Tabelalisty5ciemnaakcent310">
    <w:name w:val="Tabela listy 5 — ciemna — akcent 31"/>
    <w:uiPriority w:val="99"/>
    <w:rsid w:val="00347E16"/>
    <w:rPr>
      <w:color w:val="FFFFFF"/>
      <w:sz w:val="20"/>
      <w:szCs w:val="20"/>
    </w:rPr>
    <w:tblPr>
      <w:tblStyleRowBandSize w:val="1"/>
      <w:tblStyleColBandSize w:val="1"/>
      <w:tblBorders>
        <w:top w:val="single" w:sz="24" w:space="0" w:color="F05023"/>
        <w:left w:val="single" w:sz="24" w:space="0" w:color="F05023"/>
        <w:bottom w:val="single" w:sz="24" w:space="0" w:color="F05023"/>
        <w:right w:val="single" w:sz="24" w:space="0" w:color="F05023"/>
      </w:tblBorders>
      <w:tblCellMar>
        <w:top w:w="0" w:type="dxa"/>
        <w:left w:w="108" w:type="dxa"/>
        <w:bottom w:w="0" w:type="dxa"/>
        <w:right w:w="108" w:type="dxa"/>
      </w:tblCellMar>
    </w:tblPr>
    <w:tcPr>
      <w:shd w:val="clear" w:color="auto" w:fill="F05023"/>
    </w:tcPr>
  </w:style>
  <w:style w:type="table" w:customStyle="1" w:styleId="Tabelalisty5ciemnaakcent410">
    <w:name w:val="Tabela listy 5 — ciemna — akcent 41"/>
    <w:uiPriority w:val="99"/>
    <w:rsid w:val="00347E16"/>
    <w:rPr>
      <w:color w:val="FFFFFF"/>
      <w:sz w:val="20"/>
      <w:szCs w:val="20"/>
    </w:rPr>
    <w:tblPr>
      <w:tblStyleRowBandSize w:val="1"/>
      <w:tblStyleColBandSize w:val="1"/>
      <w:tblBorders>
        <w:top w:val="single" w:sz="24" w:space="0" w:color="696EB4"/>
        <w:left w:val="single" w:sz="24" w:space="0" w:color="696EB4"/>
        <w:bottom w:val="single" w:sz="24" w:space="0" w:color="696EB4"/>
        <w:right w:val="single" w:sz="24" w:space="0" w:color="696EB4"/>
      </w:tblBorders>
      <w:tblCellMar>
        <w:top w:w="0" w:type="dxa"/>
        <w:left w:w="108" w:type="dxa"/>
        <w:bottom w:w="0" w:type="dxa"/>
        <w:right w:w="108" w:type="dxa"/>
      </w:tblCellMar>
    </w:tblPr>
    <w:tcPr>
      <w:shd w:val="clear" w:color="auto" w:fill="696EB4"/>
    </w:tcPr>
  </w:style>
  <w:style w:type="table" w:customStyle="1" w:styleId="Tabelalisty5ciemnaakcent510">
    <w:name w:val="Tabela listy 5 — ciemna — akcent 51"/>
    <w:uiPriority w:val="99"/>
    <w:rsid w:val="00347E16"/>
    <w:rPr>
      <w:color w:val="FFFFFF"/>
      <w:sz w:val="20"/>
      <w:szCs w:val="20"/>
    </w:rPr>
    <w:tblPr>
      <w:tblStyleRowBandSize w:val="1"/>
      <w:tblStyleColBandSize w:val="1"/>
      <w:tblBorders>
        <w:top w:val="single" w:sz="24" w:space="0" w:color="FA9B1E"/>
        <w:left w:val="single" w:sz="24" w:space="0" w:color="FA9B1E"/>
        <w:bottom w:val="single" w:sz="24" w:space="0" w:color="FA9B1E"/>
        <w:right w:val="single" w:sz="24" w:space="0" w:color="FA9B1E"/>
      </w:tblBorders>
      <w:tblCellMar>
        <w:top w:w="0" w:type="dxa"/>
        <w:left w:w="108" w:type="dxa"/>
        <w:bottom w:w="0" w:type="dxa"/>
        <w:right w:w="108" w:type="dxa"/>
      </w:tblCellMar>
    </w:tblPr>
    <w:tcPr>
      <w:shd w:val="clear" w:color="auto" w:fill="FA9B1E"/>
    </w:tcPr>
  </w:style>
  <w:style w:type="table" w:customStyle="1" w:styleId="Tabelalisty5ciemnaakcent610">
    <w:name w:val="Tabela listy 5 — ciemna — akcent 61"/>
    <w:uiPriority w:val="99"/>
    <w:rsid w:val="00347E16"/>
    <w:rPr>
      <w:color w:val="FFFFFF"/>
      <w:sz w:val="20"/>
      <w:szCs w:val="20"/>
    </w:rPr>
    <w:tblPr>
      <w:tblStyleRowBandSize w:val="1"/>
      <w:tblStyleColBandSize w:val="1"/>
      <w:tblBorders>
        <w:top w:val="single" w:sz="24" w:space="0" w:color="28AF73"/>
        <w:left w:val="single" w:sz="24" w:space="0" w:color="28AF73"/>
        <w:bottom w:val="single" w:sz="24" w:space="0" w:color="28AF73"/>
        <w:right w:val="single" w:sz="24" w:space="0" w:color="28AF73"/>
      </w:tblBorders>
      <w:tblCellMar>
        <w:top w:w="0" w:type="dxa"/>
        <w:left w:w="108" w:type="dxa"/>
        <w:bottom w:w="0" w:type="dxa"/>
        <w:right w:w="108" w:type="dxa"/>
      </w:tblCellMar>
    </w:tblPr>
    <w:tcPr>
      <w:shd w:val="clear" w:color="auto" w:fill="28AF73"/>
    </w:tcPr>
  </w:style>
  <w:style w:type="table" w:customStyle="1" w:styleId="Tabelalisty6kolorowaakcent110">
    <w:name w:val="Tabela listy 6 — kolorowa — akcent 11"/>
    <w:uiPriority w:val="99"/>
    <w:rsid w:val="00347E16"/>
    <w:rPr>
      <w:color w:val="9D215D"/>
      <w:sz w:val="20"/>
      <w:szCs w:val="20"/>
    </w:rPr>
    <w:tblPr>
      <w:tblStyleRowBandSize w:val="1"/>
      <w:tblStyleColBandSize w:val="1"/>
      <w:tblBorders>
        <w:top w:val="single" w:sz="4" w:space="0" w:color="D22D7D"/>
        <w:bottom w:val="single" w:sz="4" w:space="0" w:color="D22D7D"/>
      </w:tblBorders>
      <w:tblCellMar>
        <w:top w:w="0" w:type="dxa"/>
        <w:left w:w="108" w:type="dxa"/>
        <w:bottom w:w="0" w:type="dxa"/>
        <w:right w:w="108" w:type="dxa"/>
      </w:tblCellMar>
    </w:tblPr>
  </w:style>
  <w:style w:type="table" w:customStyle="1" w:styleId="Tabelalisty6kolorowaakcent210">
    <w:name w:val="Tabela listy 6 — kolorowa — akcent 21"/>
    <w:uiPriority w:val="99"/>
    <w:rsid w:val="00347E16"/>
    <w:rPr>
      <w:color w:val="1881AE"/>
      <w:sz w:val="20"/>
      <w:szCs w:val="20"/>
    </w:rPr>
    <w:tblPr>
      <w:tblStyleRowBandSize w:val="1"/>
      <w:tblStyleColBandSize w:val="1"/>
      <w:tblBorders>
        <w:top w:val="single" w:sz="4" w:space="0" w:color="28AAE1"/>
        <w:bottom w:val="single" w:sz="4" w:space="0" w:color="28AAE1"/>
      </w:tblBorders>
      <w:tblCellMar>
        <w:top w:w="0" w:type="dxa"/>
        <w:left w:w="108" w:type="dxa"/>
        <w:bottom w:w="0" w:type="dxa"/>
        <w:right w:w="108" w:type="dxa"/>
      </w:tblCellMar>
    </w:tblPr>
  </w:style>
  <w:style w:type="table" w:customStyle="1" w:styleId="Tabelalisty6kolorowaakcent310">
    <w:name w:val="Tabela listy 6 — kolorowa — akcent 31"/>
    <w:uiPriority w:val="99"/>
    <w:rsid w:val="00347E16"/>
    <w:rPr>
      <w:color w:val="C0330D"/>
      <w:sz w:val="20"/>
      <w:szCs w:val="20"/>
    </w:rPr>
    <w:tblPr>
      <w:tblStyleRowBandSize w:val="1"/>
      <w:tblStyleColBandSize w:val="1"/>
      <w:tblBorders>
        <w:top w:val="single" w:sz="4" w:space="0" w:color="F05023"/>
        <w:bottom w:val="single" w:sz="4" w:space="0" w:color="F05023"/>
      </w:tblBorders>
      <w:tblCellMar>
        <w:top w:w="0" w:type="dxa"/>
        <w:left w:w="108" w:type="dxa"/>
        <w:bottom w:w="0" w:type="dxa"/>
        <w:right w:w="108" w:type="dxa"/>
      </w:tblCellMar>
    </w:tblPr>
  </w:style>
  <w:style w:type="table" w:customStyle="1" w:styleId="Tabelalisty6kolorowaakcent410">
    <w:name w:val="Tabela listy 6 — kolorowa — akcent 41"/>
    <w:uiPriority w:val="99"/>
    <w:rsid w:val="00347E16"/>
    <w:rPr>
      <w:color w:val="474B8E"/>
      <w:sz w:val="20"/>
      <w:szCs w:val="20"/>
    </w:rPr>
    <w:tblPr>
      <w:tblStyleRowBandSize w:val="1"/>
      <w:tblStyleColBandSize w:val="1"/>
      <w:tblBorders>
        <w:top w:val="single" w:sz="4" w:space="0" w:color="696EB4"/>
        <w:bottom w:val="single" w:sz="4" w:space="0" w:color="696EB4"/>
      </w:tblBorders>
      <w:tblCellMar>
        <w:top w:w="0" w:type="dxa"/>
        <w:left w:w="108" w:type="dxa"/>
        <w:bottom w:w="0" w:type="dxa"/>
        <w:right w:w="108" w:type="dxa"/>
      </w:tblCellMar>
    </w:tblPr>
  </w:style>
  <w:style w:type="table" w:customStyle="1" w:styleId="Tabelalisty6kolorowaakcent510">
    <w:name w:val="Tabela listy 6 — kolorowa — akcent 51"/>
    <w:uiPriority w:val="99"/>
    <w:rsid w:val="00347E16"/>
    <w:rPr>
      <w:color w:val="CD7504"/>
      <w:sz w:val="20"/>
      <w:szCs w:val="20"/>
    </w:rPr>
    <w:tblPr>
      <w:tblStyleRowBandSize w:val="1"/>
      <w:tblStyleColBandSize w:val="1"/>
      <w:tblBorders>
        <w:top w:val="single" w:sz="4" w:space="0" w:color="FA9B1E"/>
        <w:bottom w:val="single" w:sz="4" w:space="0" w:color="FA9B1E"/>
      </w:tblBorders>
      <w:tblCellMar>
        <w:top w:w="0" w:type="dxa"/>
        <w:left w:w="108" w:type="dxa"/>
        <w:bottom w:w="0" w:type="dxa"/>
        <w:right w:w="108" w:type="dxa"/>
      </w:tblCellMar>
    </w:tblPr>
  </w:style>
  <w:style w:type="table" w:customStyle="1" w:styleId="Tabelalisty6kolorowaakcent610">
    <w:name w:val="Tabela listy 6 — kolorowa — akcent 61"/>
    <w:uiPriority w:val="99"/>
    <w:rsid w:val="00347E16"/>
    <w:rPr>
      <w:color w:val="1E8355"/>
      <w:sz w:val="20"/>
      <w:szCs w:val="20"/>
    </w:rPr>
    <w:tblPr>
      <w:tblStyleRowBandSize w:val="1"/>
      <w:tblStyleColBandSize w:val="1"/>
      <w:tblBorders>
        <w:top w:val="single" w:sz="4" w:space="0" w:color="28AF73"/>
        <w:bottom w:val="single" w:sz="4" w:space="0" w:color="28AF73"/>
      </w:tblBorders>
      <w:tblCellMar>
        <w:top w:w="0" w:type="dxa"/>
        <w:left w:w="108" w:type="dxa"/>
        <w:bottom w:w="0" w:type="dxa"/>
        <w:right w:w="108" w:type="dxa"/>
      </w:tblCellMar>
    </w:tblPr>
  </w:style>
  <w:style w:type="table" w:customStyle="1" w:styleId="Tabelalisty7kolorowaakcent110">
    <w:name w:val="Tabela listy 7 — kolorowa — akcent 11"/>
    <w:uiPriority w:val="99"/>
    <w:rsid w:val="00347E16"/>
    <w:rPr>
      <w:color w:val="9D215D"/>
      <w:sz w:val="20"/>
      <w:szCs w:val="20"/>
    </w:rPr>
    <w:tblPr>
      <w:tblStyleRowBandSize w:val="1"/>
      <w:tblStyleColBandSize w:val="1"/>
      <w:tblCellMar>
        <w:top w:w="0" w:type="dxa"/>
        <w:left w:w="108" w:type="dxa"/>
        <w:bottom w:w="0" w:type="dxa"/>
        <w:right w:w="108" w:type="dxa"/>
      </w:tblCellMar>
    </w:tblPr>
  </w:style>
  <w:style w:type="table" w:customStyle="1" w:styleId="Tabelalisty7kolorowaakcent210">
    <w:name w:val="Tabela listy 7 — kolorowa — akcent 21"/>
    <w:uiPriority w:val="99"/>
    <w:rsid w:val="00347E16"/>
    <w:rPr>
      <w:color w:val="1881AE"/>
      <w:sz w:val="20"/>
      <w:szCs w:val="20"/>
    </w:rPr>
    <w:tblPr>
      <w:tblStyleRowBandSize w:val="1"/>
      <w:tblStyleColBandSize w:val="1"/>
      <w:tblCellMar>
        <w:top w:w="0" w:type="dxa"/>
        <w:left w:w="108" w:type="dxa"/>
        <w:bottom w:w="0" w:type="dxa"/>
        <w:right w:w="108" w:type="dxa"/>
      </w:tblCellMar>
    </w:tblPr>
  </w:style>
  <w:style w:type="table" w:customStyle="1" w:styleId="Tabelalisty7kolorowaakcent310">
    <w:name w:val="Tabela listy 7 — kolorowa — akcent 31"/>
    <w:uiPriority w:val="99"/>
    <w:rsid w:val="00347E16"/>
    <w:rPr>
      <w:color w:val="C0330D"/>
      <w:sz w:val="20"/>
      <w:szCs w:val="20"/>
    </w:rPr>
    <w:tblPr>
      <w:tblStyleRowBandSize w:val="1"/>
      <w:tblStyleColBandSize w:val="1"/>
      <w:tblCellMar>
        <w:top w:w="0" w:type="dxa"/>
        <w:left w:w="108" w:type="dxa"/>
        <w:bottom w:w="0" w:type="dxa"/>
        <w:right w:w="108" w:type="dxa"/>
      </w:tblCellMar>
    </w:tblPr>
  </w:style>
  <w:style w:type="table" w:customStyle="1" w:styleId="Tabelalisty7kolorowaakcent410">
    <w:name w:val="Tabela listy 7 — kolorowa — akcent 41"/>
    <w:uiPriority w:val="99"/>
    <w:rsid w:val="00347E16"/>
    <w:rPr>
      <w:color w:val="474B8E"/>
      <w:sz w:val="20"/>
      <w:szCs w:val="20"/>
    </w:rPr>
    <w:tblPr>
      <w:tblStyleRowBandSize w:val="1"/>
      <w:tblStyleColBandSize w:val="1"/>
      <w:tblCellMar>
        <w:top w:w="0" w:type="dxa"/>
        <w:left w:w="108" w:type="dxa"/>
        <w:bottom w:w="0" w:type="dxa"/>
        <w:right w:w="108" w:type="dxa"/>
      </w:tblCellMar>
    </w:tblPr>
  </w:style>
  <w:style w:type="table" w:customStyle="1" w:styleId="Tabelalisty7kolorowaakcent510">
    <w:name w:val="Tabela listy 7 — kolorowa — akcent 51"/>
    <w:uiPriority w:val="99"/>
    <w:rsid w:val="00347E16"/>
    <w:rPr>
      <w:color w:val="CD7504"/>
      <w:sz w:val="20"/>
      <w:szCs w:val="20"/>
    </w:rPr>
    <w:tblPr>
      <w:tblStyleRowBandSize w:val="1"/>
      <w:tblStyleColBandSize w:val="1"/>
      <w:tblCellMar>
        <w:top w:w="0" w:type="dxa"/>
        <w:left w:w="108" w:type="dxa"/>
        <w:bottom w:w="0" w:type="dxa"/>
        <w:right w:w="108" w:type="dxa"/>
      </w:tblCellMar>
    </w:tblPr>
  </w:style>
  <w:style w:type="table" w:customStyle="1" w:styleId="Tabelalisty7kolorowaakcent610">
    <w:name w:val="Tabela listy 7 — kolorowa — akcent 61"/>
    <w:uiPriority w:val="99"/>
    <w:rsid w:val="00347E16"/>
    <w:rPr>
      <w:color w:val="1E8355"/>
      <w:sz w:val="20"/>
      <w:szCs w:val="20"/>
    </w:rPr>
    <w:tblPr>
      <w:tblStyleRowBandSize w:val="1"/>
      <w:tblStyleColBandSize w:val="1"/>
      <w:tblCellMar>
        <w:top w:w="0" w:type="dxa"/>
        <w:left w:w="108" w:type="dxa"/>
        <w:bottom w:w="0" w:type="dxa"/>
        <w:right w:w="108" w:type="dxa"/>
      </w:tblCellMar>
    </w:tblPr>
  </w:style>
  <w:style w:type="table" w:customStyle="1" w:styleId="Tabelasiatki1jasnaakcent110">
    <w:name w:val="Tabela siatki 1 — jasna — akcent 11"/>
    <w:uiPriority w:val="99"/>
    <w:rsid w:val="00347E16"/>
    <w:rPr>
      <w:sz w:val="20"/>
      <w:szCs w:val="20"/>
    </w:rPr>
    <w:tblPr>
      <w:tblStyleRowBandSize w:val="1"/>
      <w:tblStyleColBandSize w:val="1"/>
      <w:tblBorders>
        <w:top w:val="single" w:sz="4" w:space="0" w:color="EDABCA"/>
        <w:left w:val="single" w:sz="4" w:space="0" w:color="EDABCA"/>
        <w:bottom w:val="single" w:sz="4" w:space="0" w:color="EDABCA"/>
        <w:right w:val="single" w:sz="4" w:space="0" w:color="EDABCA"/>
        <w:insideH w:val="single" w:sz="4" w:space="0" w:color="EDABCA"/>
        <w:insideV w:val="single" w:sz="4" w:space="0" w:color="EDABCA"/>
      </w:tblBorders>
      <w:tblCellMar>
        <w:top w:w="0" w:type="dxa"/>
        <w:left w:w="108" w:type="dxa"/>
        <w:bottom w:w="0" w:type="dxa"/>
        <w:right w:w="108" w:type="dxa"/>
      </w:tblCellMar>
    </w:tblPr>
  </w:style>
  <w:style w:type="table" w:customStyle="1" w:styleId="Tabelasiatki1jasnaakcent210">
    <w:name w:val="Tabela siatki 1 — jasna — akcent 21"/>
    <w:uiPriority w:val="99"/>
    <w:rsid w:val="00347E16"/>
    <w:rPr>
      <w:sz w:val="20"/>
      <w:szCs w:val="20"/>
    </w:rPr>
    <w:tblPr>
      <w:tblStyleRowBandSize w:val="1"/>
      <w:tblStyleColBandSize w:val="1"/>
      <w:tblBorders>
        <w:top w:val="single" w:sz="4" w:space="0" w:color="A9DCF3"/>
        <w:left w:val="single" w:sz="4" w:space="0" w:color="A9DCF3"/>
        <w:bottom w:val="single" w:sz="4" w:space="0" w:color="A9DCF3"/>
        <w:right w:val="single" w:sz="4" w:space="0" w:color="A9DCF3"/>
        <w:insideH w:val="single" w:sz="4" w:space="0" w:color="A9DCF3"/>
        <w:insideV w:val="single" w:sz="4" w:space="0" w:color="A9DCF3"/>
      </w:tblBorders>
      <w:tblCellMar>
        <w:top w:w="0" w:type="dxa"/>
        <w:left w:w="108" w:type="dxa"/>
        <w:bottom w:w="0" w:type="dxa"/>
        <w:right w:w="108" w:type="dxa"/>
      </w:tblCellMar>
    </w:tblPr>
  </w:style>
  <w:style w:type="table" w:customStyle="1" w:styleId="Tabelasiatki1jasnaakcent310">
    <w:name w:val="Tabela siatki 1 — jasna — akcent 31"/>
    <w:uiPriority w:val="99"/>
    <w:rsid w:val="00347E16"/>
    <w:rPr>
      <w:sz w:val="20"/>
      <w:szCs w:val="20"/>
    </w:rPr>
    <w:tblPr>
      <w:tblStyleRowBandSize w:val="1"/>
      <w:tblStyleColBandSize w:val="1"/>
      <w:tblBorders>
        <w:top w:val="single" w:sz="4" w:space="0" w:color="F9B8A7"/>
        <w:left w:val="single" w:sz="4" w:space="0" w:color="F9B8A7"/>
        <w:bottom w:val="single" w:sz="4" w:space="0" w:color="F9B8A7"/>
        <w:right w:val="single" w:sz="4" w:space="0" w:color="F9B8A7"/>
        <w:insideH w:val="single" w:sz="4" w:space="0" w:color="F9B8A7"/>
        <w:insideV w:val="single" w:sz="4" w:space="0" w:color="F9B8A7"/>
      </w:tblBorders>
      <w:tblCellMar>
        <w:top w:w="0" w:type="dxa"/>
        <w:left w:w="108" w:type="dxa"/>
        <w:bottom w:w="0" w:type="dxa"/>
        <w:right w:w="108" w:type="dxa"/>
      </w:tblCellMar>
    </w:tblPr>
  </w:style>
  <w:style w:type="table" w:customStyle="1" w:styleId="Tabelasiatki1jasnaakcent410">
    <w:name w:val="Tabela siatki 1 — jasna — akcent 41"/>
    <w:uiPriority w:val="99"/>
    <w:rsid w:val="00347E16"/>
    <w:rPr>
      <w:sz w:val="20"/>
      <w:szCs w:val="20"/>
    </w:rPr>
    <w:tblPr>
      <w:tblStyleRowBandSize w:val="1"/>
      <w:tblStyleColBandSize w:val="1"/>
      <w:tblBorders>
        <w:top w:val="single" w:sz="4" w:space="0" w:color="C3C5E1"/>
        <w:left w:val="single" w:sz="4" w:space="0" w:color="C3C5E1"/>
        <w:bottom w:val="single" w:sz="4" w:space="0" w:color="C3C5E1"/>
        <w:right w:val="single" w:sz="4" w:space="0" w:color="C3C5E1"/>
        <w:insideH w:val="single" w:sz="4" w:space="0" w:color="C3C5E1"/>
        <w:insideV w:val="single" w:sz="4" w:space="0" w:color="C3C5E1"/>
      </w:tblBorders>
      <w:tblCellMar>
        <w:top w:w="0" w:type="dxa"/>
        <w:left w:w="108" w:type="dxa"/>
        <w:bottom w:w="0" w:type="dxa"/>
        <w:right w:w="108" w:type="dxa"/>
      </w:tblCellMar>
    </w:tblPr>
  </w:style>
  <w:style w:type="table" w:customStyle="1" w:styleId="Tabelasiatki1jasnaakcent510">
    <w:name w:val="Tabela siatki 1 — jasna — akcent 51"/>
    <w:uiPriority w:val="99"/>
    <w:rsid w:val="00347E16"/>
    <w:rPr>
      <w:sz w:val="20"/>
      <w:szCs w:val="20"/>
    </w:rPr>
    <w:tblPr>
      <w:tblStyleRowBandSize w:val="1"/>
      <w:tblStyleColBandSize w:val="1"/>
      <w:tblBorders>
        <w:top w:val="single" w:sz="4" w:space="0" w:color="FDD6A5"/>
        <w:left w:val="single" w:sz="4" w:space="0" w:color="FDD6A5"/>
        <w:bottom w:val="single" w:sz="4" w:space="0" w:color="FDD6A5"/>
        <w:right w:val="single" w:sz="4" w:space="0" w:color="FDD6A5"/>
        <w:insideH w:val="single" w:sz="4" w:space="0" w:color="FDD6A5"/>
        <w:insideV w:val="single" w:sz="4" w:space="0" w:color="FDD6A5"/>
      </w:tblBorders>
      <w:tblCellMar>
        <w:top w:w="0" w:type="dxa"/>
        <w:left w:w="108" w:type="dxa"/>
        <w:bottom w:w="0" w:type="dxa"/>
        <w:right w:w="108" w:type="dxa"/>
      </w:tblCellMar>
    </w:tblPr>
  </w:style>
  <w:style w:type="table" w:customStyle="1" w:styleId="Tabelasiatki1jasnaakcent610">
    <w:name w:val="Tabela siatki 1 — jasna — akcent 61"/>
    <w:uiPriority w:val="99"/>
    <w:rsid w:val="00347E16"/>
    <w:rPr>
      <w:sz w:val="20"/>
      <w:szCs w:val="20"/>
    </w:rPr>
    <w:tblPr>
      <w:tblStyleRowBandSize w:val="1"/>
      <w:tblStyleColBandSize w:val="1"/>
      <w:tblBorders>
        <w:top w:val="single" w:sz="4" w:space="0" w:color="9EE9C7"/>
        <w:left w:val="single" w:sz="4" w:space="0" w:color="9EE9C7"/>
        <w:bottom w:val="single" w:sz="4" w:space="0" w:color="9EE9C7"/>
        <w:right w:val="single" w:sz="4" w:space="0" w:color="9EE9C7"/>
        <w:insideH w:val="single" w:sz="4" w:space="0" w:color="9EE9C7"/>
        <w:insideV w:val="single" w:sz="4" w:space="0" w:color="9EE9C7"/>
      </w:tblBorders>
      <w:tblCellMar>
        <w:top w:w="0" w:type="dxa"/>
        <w:left w:w="108" w:type="dxa"/>
        <w:bottom w:w="0" w:type="dxa"/>
        <w:right w:w="108" w:type="dxa"/>
      </w:tblCellMar>
    </w:tblPr>
  </w:style>
  <w:style w:type="table" w:customStyle="1" w:styleId="Tabelasiatki2akcent110">
    <w:name w:val="Tabela siatki 2 — akcent 11"/>
    <w:uiPriority w:val="99"/>
    <w:rsid w:val="00347E16"/>
    <w:rPr>
      <w:sz w:val="20"/>
      <w:szCs w:val="20"/>
    </w:rPr>
    <w:tblPr>
      <w:tblStyleRowBandSize w:val="1"/>
      <w:tblStyleColBandSize w:val="1"/>
      <w:tblBorders>
        <w:top w:val="single" w:sz="2" w:space="0" w:color="E481B0"/>
        <w:bottom w:val="single" w:sz="2" w:space="0" w:color="E481B0"/>
        <w:insideH w:val="single" w:sz="2" w:space="0" w:color="E481B0"/>
        <w:insideV w:val="single" w:sz="2" w:space="0" w:color="E481B0"/>
      </w:tblBorders>
      <w:tblCellMar>
        <w:top w:w="0" w:type="dxa"/>
        <w:left w:w="108" w:type="dxa"/>
        <w:bottom w:w="0" w:type="dxa"/>
        <w:right w:w="108" w:type="dxa"/>
      </w:tblCellMar>
    </w:tblPr>
  </w:style>
  <w:style w:type="table" w:customStyle="1" w:styleId="Tabelasiatki2akcent210">
    <w:name w:val="Tabela siatki 2 — akcent 21"/>
    <w:uiPriority w:val="99"/>
    <w:rsid w:val="00347E16"/>
    <w:rPr>
      <w:sz w:val="20"/>
      <w:szCs w:val="20"/>
    </w:rPr>
    <w:tblPr>
      <w:tblStyleRowBandSize w:val="1"/>
      <w:tblStyleColBandSize w:val="1"/>
      <w:tblBorders>
        <w:top w:val="single" w:sz="2" w:space="0" w:color="7ECBED"/>
        <w:bottom w:val="single" w:sz="2" w:space="0" w:color="7ECBED"/>
        <w:insideH w:val="single" w:sz="2" w:space="0" w:color="7ECBED"/>
        <w:insideV w:val="single" w:sz="2" w:space="0" w:color="7ECBED"/>
      </w:tblBorders>
      <w:tblCellMar>
        <w:top w:w="0" w:type="dxa"/>
        <w:left w:w="108" w:type="dxa"/>
        <w:bottom w:w="0" w:type="dxa"/>
        <w:right w:w="108" w:type="dxa"/>
      </w:tblCellMar>
    </w:tblPr>
  </w:style>
  <w:style w:type="table" w:customStyle="1" w:styleId="Tabelasiatki2akcent310">
    <w:name w:val="Tabela siatki 2 — akcent 31"/>
    <w:uiPriority w:val="99"/>
    <w:rsid w:val="00347E16"/>
    <w:rPr>
      <w:sz w:val="20"/>
      <w:szCs w:val="20"/>
    </w:rPr>
    <w:tblPr>
      <w:tblStyleRowBandSize w:val="1"/>
      <w:tblStyleColBandSize w:val="1"/>
      <w:tblBorders>
        <w:top w:val="single" w:sz="2" w:space="0" w:color="F6957B"/>
        <w:bottom w:val="single" w:sz="2" w:space="0" w:color="F6957B"/>
        <w:insideH w:val="single" w:sz="2" w:space="0" w:color="F6957B"/>
        <w:insideV w:val="single" w:sz="2" w:space="0" w:color="F6957B"/>
      </w:tblBorders>
      <w:tblCellMar>
        <w:top w:w="0" w:type="dxa"/>
        <w:left w:w="108" w:type="dxa"/>
        <w:bottom w:w="0" w:type="dxa"/>
        <w:right w:w="108" w:type="dxa"/>
      </w:tblCellMar>
    </w:tblPr>
  </w:style>
  <w:style w:type="table" w:customStyle="1" w:styleId="Tabelasiatki2akcent410">
    <w:name w:val="Tabela siatki 2 — akcent 41"/>
    <w:uiPriority w:val="99"/>
    <w:rsid w:val="00347E16"/>
    <w:rPr>
      <w:sz w:val="20"/>
      <w:szCs w:val="20"/>
    </w:rPr>
    <w:tblPr>
      <w:tblStyleRowBandSize w:val="1"/>
      <w:tblStyleColBandSize w:val="1"/>
      <w:tblBorders>
        <w:top w:val="single" w:sz="2" w:space="0" w:color="A5A8D2"/>
        <w:bottom w:val="single" w:sz="2" w:space="0" w:color="A5A8D2"/>
        <w:insideH w:val="single" w:sz="2" w:space="0" w:color="A5A8D2"/>
        <w:insideV w:val="single" w:sz="2" w:space="0" w:color="A5A8D2"/>
      </w:tblBorders>
      <w:tblCellMar>
        <w:top w:w="0" w:type="dxa"/>
        <w:left w:w="108" w:type="dxa"/>
        <w:bottom w:w="0" w:type="dxa"/>
        <w:right w:w="108" w:type="dxa"/>
      </w:tblCellMar>
    </w:tblPr>
  </w:style>
  <w:style w:type="table" w:customStyle="1" w:styleId="Tabelasiatki2akcent510">
    <w:name w:val="Tabela siatki 2 — akcent 51"/>
    <w:uiPriority w:val="99"/>
    <w:rsid w:val="00347E16"/>
    <w:rPr>
      <w:sz w:val="20"/>
      <w:szCs w:val="20"/>
    </w:rPr>
    <w:tblPr>
      <w:tblStyleRowBandSize w:val="1"/>
      <w:tblStyleColBandSize w:val="1"/>
      <w:tblBorders>
        <w:top w:val="single" w:sz="2" w:space="0" w:color="FCC278"/>
        <w:bottom w:val="single" w:sz="2" w:space="0" w:color="FCC278"/>
        <w:insideH w:val="single" w:sz="2" w:space="0" w:color="FCC278"/>
        <w:insideV w:val="single" w:sz="2" w:space="0" w:color="FCC278"/>
      </w:tblBorders>
      <w:tblCellMar>
        <w:top w:w="0" w:type="dxa"/>
        <w:left w:w="108" w:type="dxa"/>
        <w:bottom w:w="0" w:type="dxa"/>
        <w:right w:w="108" w:type="dxa"/>
      </w:tblCellMar>
    </w:tblPr>
  </w:style>
  <w:style w:type="table" w:customStyle="1" w:styleId="Tabelasiatki2akcent610">
    <w:name w:val="Tabela siatki 2 — akcent 61"/>
    <w:uiPriority w:val="99"/>
    <w:rsid w:val="00347E16"/>
    <w:rPr>
      <w:sz w:val="20"/>
      <w:szCs w:val="20"/>
    </w:rPr>
    <w:tblPr>
      <w:tblStyleRowBandSize w:val="1"/>
      <w:tblStyleColBandSize w:val="1"/>
      <w:tblBorders>
        <w:top w:val="single" w:sz="2" w:space="0" w:color="6EDEAC"/>
        <w:bottom w:val="single" w:sz="2" w:space="0" w:color="6EDEAC"/>
        <w:insideH w:val="single" w:sz="2" w:space="0" w:color="6EDEAC"/>
        <w:insideV w:val="single" w:sz="2" w:space="0" w:color="6EDEAC"/>
      </w:tblBorders>
      <w:tblCellMar>
        <w:top w:w="0" w:type="dxa"/>
        <w:left w:w="108" w:type="dxa"/>
        <w:bottom w:w="0" w:type="dxa"/>
        <w:right w:w="108" w:type="dxa"/>
      </w:tblCellMar>
    </w:tblPr>
  </w:style>
  <w:style w:type="table" w:customStyle="1" w:styleId="Tabelasiatki3akcent110">
    <w:name w:val="Tabela siatki 3 — akcent 11"/>
    <w:uiPriority w:val="99"/>
    <w:rsid w:val="00347E16"/>
    <w:rPr>
      <w:sz w:val="20"/>
      <w:szCs w:val="20"/>
    </w:rPr>
    <w:tblPr>
      <w:tblStyleRowBandSize w:val="1"/>
      <w:tblStyleColBandSize w:val="1"/>
      <w:tblBorders>
        <w:top w:val="single" w:sz="4" w:space="0" w:color="E481B0"/>
        <w:left w:val="single" w:sz="4" w:space="0" w:color="E481B0"/>
        <w:bottom w:val="single" w:sz="4" w:space="0" w:color="E481B0"/>
        <w:right w:val="single" w:sz="4" w:space="0" w:color="E481B0"/>
        <w:insideH w:val="single" w:sz="4" w:space="0" w:color="E481B0"/>
        <w:insideV w:val="single" w:sz="4" w:space="0" w:color="E481B0"/>
      </w:tblBorders>
      <w:tblCellMar>
        <w:top w:w="0" w:type="dxa"/>
        <w:left w:w="108" w:type="dxa"/>
        <w:bottom w:w="0" w:type="dxa"/>
        <w:right w:w="108" w:type="dxa"/>
      </w:tblCellMar>
    </w:tblPr>
  </w:style>
  <w:style w:type="table" w:customStyle="1" w:styleId="Tabelasiatki3akcent210">
    <w:name w:val="Tabela siatki 3 — akcent 21"/>
    <w:uiPriority w:val="99"/>
    <w:rsid w:val="00347E16"/>
    <w:rPr>
      <w:sz w:val="20"/>
      <w:szCs w:val="20"/>
    </w:rPr>
    <w:tblPr>
      <w:tblStyleRowBandSize w:val="1"/>
      <w:tblStyleColBandSize w:val="1"/>
      <w:tblBorders>
        <w:top w:val="single" w:sz="4" w:space="0" w:color="7ECBED"/>
        <w:left w:val="single" w:sz="4" w:space="0" w:color="7ECBED"/>
        <w:bottom w:val="single" w:sz="4" w:space="0" w:color="7ECBED"/>
        <w:right w:val="single" w:sz="4" w:space="0" w:color="7ECBED"/>
        <w:insideH w:val="single" w:sz="4" w:space="0" w:color="7ECBED"/>
        <w:insideV w:val="single" w:sz="4" w:space="0" w:color="7ECBED"/>
      </w:tblBorders>
      <w:tblCellMar>
        <w:top w:w="0" w:type="dxa"/>
        <w:left w:w="108" w:type="dxa"/>
        <w:bottom w:w="0" w:type="dxa"/>
        <w:right w:w="108" w:type="dxa"/>
      </w:tblCellMar>
    </w:tblPr>
  </w:style>
  <w:style w:type="table" w:customStyle="1" w:styleId="Tabelasiatki3akcent310">
    <w:name w:val="Tabela siatki 3 — akcent 31"/>
    <w:uiPriority w:val="99"/>
    <w:rsid w:val="00347E16"/>
    <w:rPr>
      <w:sz w:val="20"/>
      <w:szCs w:val="20"/>
    </w:rPr>
    <w:tblPr>
      <w:tblStyleRowBandSize w:val="1"/>
      <w:tblStyleColBandSize w:val="1"/>
      <w:tblBorders>
        <w:top w:val="single" w:sz="4" w:space="0" w:color="F6957B"/>
        <w:left w:val="single" w:sz="4" w:space="0" w:color="F6957B"/>
        <w:bottom w:val="single" w:sz="4" w:space="0" w:color="F6957B"/>
        <w:right w:val="single" w:sz="4" w:space="0" w:color="F6957B"/>
        <w:insideH w:val="single" w:sz="4" w:space="0" w:color="F6957B"/>
        <w:insideV w:val="single" w:sz="4" w:space="0" w:color="F6957B"/>
      </w:tblBorders>
      <w:tblCellMar>
        <w:top w:w="0" w:type="dxa"/>
        <w:left w:w="108" w:type="dxa"/>
        <w:bottom w:w="0" w:type="dxa"/>
        <w:right w:w="108" w:type="dxa"/>
      </w:tblCellMar>
    </w:tblPr>
  </w:style>
  <w:style w:type="table" w:customStyle="1" w:styleId="Tabelasiatki3akcent410">
    <w:name w:val="Tabela siatki 3 — akcent 41"/>
    <w:uiPriority w:val="99"/>
    <w:rsid w:val="00347E16"/>
    <w:rPr>
      <w:sz w:val="20"/>
      <w:szCs w:val="20"/>
    </w:rPr>
    <w:tblPr>
      <w:tblStyleRowBandSize w:val="1"/>
      <w:tblStyleColBandSize w:val="1"/>
      <w:tblBorders>
        <w:top w:val="single" w:sz="4" w:space="0" w:color="A5A8D2"/>
        <w:left w:val="single" w:sz="4" w:space="0" w:color="A5A8D2"/>
        <w:bottom w:val="single" w:sz="4" w:space="0" w:color="A5A8D2"/>
        <w:right w:val="single" w:sz="4" w:space="0" w:color="A5A8D2"/>
        <w:insideH w:val="single" w:sz="4" w:space="0" w:color="A5A8D2"/>
        <w:insideV w:val="single" w:sz="4" w:space="0" w:color="A5A8D2"/>
      </w:tblBorders>
      <w:tblCellMar>
        <w:top w:w="0" w:type="dxa"/>
        <w:left w:w="108" w:type="dxa"/>
        <w:bottom w:w="0" w:type="dxa"/>
        <w:right w:w="108" w:type="dxa"/>
      </w:tblCellMar>
    </w:tblPr>
  </w:style>
  <w:style w:type="table" w:customStyle="1" w:styleId="Tabelasiatki3akcent510">
    <w:name w:val="Tabela siatki 3 — akcent 51"/>
    <w:uiPriority w:val="99"/>
    <w:rsid w:val="00347E16"/>
    <w:rPr>
      <w:sz w:val="20"/>
      <w:szCs w:val="20"/>
    </w:rPr>
    <w:tblPr>
      <w:tblStyleRowBandSize w:val="1"/>
      <w:tblStyleColBandSize w:val="1"/>
      <w:tblBorders>
        <w:top w:val="single" w:sz="4" w:space="0" w:color="FCC278"/>
        <w:left w:val="single" w:sz="4" w:space="0" w:color="FCC278"/>
        <w:bottom w:val="single" w:sz="4" w:space="0" w:color="FCC278"/>
        <w:right w:val="single" w:sz="4" w:space="0" w:color="FCC278"/>
        <w:insideH w:val="single" w:sz="4" w:space="0" w:color="FCC278"/>
        <w:insideV w:val="single" w:sz="4" w:space="0" w:color="FCC278"/>
      </w:tblBorders>
      <w:tblCellMar>
        <w:top w:w="0" w:type="dxa"/>
        <w:left w:w="108" w:type="dxa"/>
        <w:bottom w:w="0" w:type="dxa"/>
        <w:right w:w="108" w:type="dxa"/>
      </w:tblCellMar>
    </w:tblPr>
  </w:style>
  <w:style w:type="table" w:customStyle="1" w:styleId="Tabelasiatki3akcent610">
    <w:name w:val="Tabela siatki 3 — akcent 61"/>
    <w:uiPriority w:val="99"/>
    <w:rsid w:val="00347E16"/>
    <w:rPr>
      <w:sz w:val="20"/>
      <w:szCs w:val="20"/>
    </w:rPr>
    <w:tblPr>
      <w:tblStyleRowBandSize w:val="1"/>
      <w:tblStyleColBandSize w:val="1"/>
      <w:tblBorders>
        <w:top w:val="single" w:sz="4" w:space="0" w:color="6EDEAC"/>
        <w:left w:val="single" w:sz="4" w:space="0" w:color="6EDEAC"/>
        <w:bottom w:val="single" w:sz="4" w:space="0" w:color="6EDEAC"/>
        <w:right w:val="single" w:sz="4" w:space="0" w:color="6EDEAC"/>
        <w:insideH w:val="single" w:sz="4" w:space="0" w:color="6EDEAC"/>
        <w:insideV w:val="single" w:sz="4" w:space="0" w:color="6EDEAC"/>
      </w:tblBorders>
      <w:tblCellMar>
        <w:top w:w="0" w:type="dxa"/>
        <w:left w:w="108" w:type="dxa"/>
        <w:bottom w:w="0" w:type="dxa"/>
        <w:right w:w="108" w:type="dxa"/>
      </w:tblCellMar>
    </w:tblPr>
  </w:style>
  <w:style w:type="table" w:customStyle="1" w:styleId="Tabelasiatki4akcent110">
    <w:name w:val="Tabela siatki 4 — akcent 11"/>
    <w:uiPriority w:val="99"/>
    <w:rsid w:val="00347E16"/>
    <w:rPr>
      <w:sz w:val="20"/>
      <w:szCs w:val="20"/>
    </w:rPr>
    <w:tblPr>
      <w:tblStyleRowBandSize w:val="1"/>
      <w:tblStyleColBandSize w:val="1"/>
      <w:tblBorders>
        <w:top w:val="single" w:sz="4" w:space="0" w:color="E481B0"/>
        <w:left w:val="single" w:sz="4" w:space="0" w:color="E481B0"/>
        <w:bottom w:val="single" w:sz="4" w:space="0" w:color="E481B0"/>
        <w:right w:val="single" w:sz="4" w:space="0" w:color="E481B0"/>
        <w:insideH w:val="single" w:sz="4" w:space="0" w:color="E481B0"/>
        <w:insideV w:val="single" w:sz="4" w:space="0" w:color="E481B0"/>
      </w:tblBorders>
      <w:tblCellMar>
        <w:top w:w="0" w:type="dxa"/>
        <w:left w:w="108" w:type="dxa"/>
        <w:bottom w:w="0" w:type="dxa"/>
        <w:right w:w="108" w:type="dxa"/>
      </w:tblCellMar>
    </w:tblPr>
  </w:style>
  <w:style w:type="table" w:customStyle="1" w:styleId="Tabelasiatki4akcent310">
    <w:name w:val="Tabela siatki 4 — akcent 31"/>
    <w:uiPriority w:val="99"/>
    <w:rsid w:val="00347E16"/>
    <w:rPr>
      <w:sz w:val="20"/>
      <w:szCs w:val="20"/>
    </w:rPr>
    <w:tblPr>
      <w:tblStyleRowBandSize w:val="1"/>
      <w:tblStyleColBandSize w:val="1"/>
      <w:tblBorders>
        <w:top w:val="single" w:sz="4" w:space="0" w:color="F6957B"/>
        <w:left w:val="single" w:sz="4" w:space="0" w:color="F6957B"/>
        <w:bottom w:val="single" w:sz="4" w:space="0" w:color="F6957B"/>
        <w:right w:val="single" w:sz="4" w:space="0" w:color="F6957B"/>
        <w:insideH w:val="single" w:sz="4" w:space="0" w:color="F6957B"/>
        <w:insideV w:val="single" w:sz="4" w:space="0" w:color="F6957B"/>
      </w:tblBorders>
      <w:tblCellMar>
        <w:top w:w="0" w:type="dxa"/>
        <w:left w:w="108" w:type="dxa"/>
        <w:bottom w:w="0" w:type="dxa"/>
        <w:right w:w="108" w:type="dxa"/>
      </w:tblCellMar>
    </w:tblPr>
  </w:style>
  <w:style w:type="table" w:customStyle="1" w:styleId="Tabelasiatki4akcent410">
    <w:name w:val="Tabela siatki 4 — akcent 41"/>
    <w:uiPriority w:val="99"/>
    <w:rsid w:val="00347E16"/>
    <w:rPr>
      <w:sz w:val="20"/>
      <w:szCs w:val="20"/>
    </w:rPr>
    <w:tblPr>
      <w:tblStyleRowBandSize w:val="1"/>
      <w:tblStyleColBandSize w:val="1"/>
      <w:tblBorders>
        <w:top w:val="single" w:sz="4" w:space="0" w:color="A5A8D2"/>
        <w:left w:val="single" w:sz="4" w:space="0" w:color="A5A8D2"/>
        <w:bottom w:val="single" w:sz="4" w:space="0" w:color="A5A8D2"/>
        <w:right w:val="single" w:sz="4" w:space="0" w:color="A5A8D2"/>
        <w:insideH w:val="single" w:sz="4" w:space="0" w:color="A5A8D2"/>
        <w:insideV w:val="single" w:sz="4" w:space="0" w:color="A5A8D2"/>
      </w:tblBorders>
      <w:tblCellMar>
        <w:top w:w="0" w:type="dxa"/>
        <w:left w:w="108" w:type="dxa"/>
        <w:bottom w:w="0" w:type="dxa"/>
        <w:right w:w="108" w:type="dxa"/>
      </w:tblCellMar>
    </w:tblPr>
  </w:style>
  <w:style w:type="table" w:customStyle="1" w:styleId="Tabelasiatki4akcent510">
    <w:name w:val="Tabela siatki 4 — akcent 51"/>
    <w:uiPriority w:val="99"/>
    <w:rsid w:val="00347E16"/>
    <w:rPr>
      <w:sz w:val="20"/>
      <w:szCs w:val="20"/>
    </w:rPr>
    <w:tblPr>
      <w:tblStyleRowBandSize w:val="1"/>
      <w:tblStyleColBandSize w:val="1"/>
      <w:tblBorders>
        <w:top w:val="single" w:sz="4" w:space="0" w:color="FCC278"/>
        <w:left w:val="single" w:sz="4" w:space="0" w:color="FCC278"/>
        <w:bottom w:val="single" w:sz="4" w:space="0" w:color="FCC278"/>
        <w:right w:val="single" w:sz="4" w:space="0" w:color="FCC278"/>
        <w:insideH w:val="single" w:sz="4" w:space="0" w:color="FCC278"/>
        <w:insideV w:val="single" w:sz="4" w:space="0" w:color="FCC278"/>
      </w:tblBorders>
      <w:tblCellMar>
        <w:top w:w="0" w:type="dxa"/>
        <w:left w:w="108" w:type="dxa"/>
        <w:bottom w:w="0" w:type="dxa"/>
        <w:right w:w="108" w:type="dxa"/>
      </w:tblCellMar>
    </w:tblPr>
  </w:style>
  <w:style w:type="table" w:customStyle="1" w:styleId="Tabelasiatki4akcent610">
    <w:name w:val="Tabela siatki 4 — akcent 61"/>
    <w:uiPriority w:val="99"/>
    <w:rsid w:val="00347E16"/>
    <w:rPr>
      <w:sz w:val="20"/>
      <w:szCs w:val="20"/>
    </w:rPr>
    <w:tblPr>
      <w:tblStyleRowBandSize w:val="1"/>
      <w:tblStyleColBandSize w:val="1"/>
      <w:tblBorders>
        <w:top w:val="single" w:sz="4" w:space="0" w:color="6EDEAC"/>
        <w:left w:val="single" w:sz="4" w:space="0" w:color="6EDEAC"/>
        <w:bottom w:val="single" w:sz="4" w:space="0" w:color="6EDEAC"/>
        <w:right w:val="single" w:sz="4" w:space="0" w:color="6EDEAC"/>
        <w:insideH w:val="single" w:sz="4" w:space="0" w:color="6EDEAC"/>
        <w:insideV w:val="single" w:sz="4" w:space="0" w:color="6EDEAC"/>
      </w:tblBorders>
      <w:tblCellMar>
        <w:top w:w="0" w:type="dxa"/>
        <w:left w:w="108" w:type="dxa"/>
        <w:bottom w:w="0" w:type="dxa"/>
        <w:right w:w="108" w:type="dxa"/>
      </w:tblCellMar>
    </w:tblPr>
  </w:style>
  <w:style w:type="table" w:customStyle="1" w:styleId="Tabelasiatki5ciemnaakcent110">
    <w:name w:val="Tabela siatki 5 — ciemna — akcent 11"/>
    <w:uiPriority w:val="99"/>
    <w:rsid w:val="00347E16"/>
    <w:rPr>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6D5E4"/>
    </w:tcPr>
  </w:style>
  <w:style w:type="table" w:customStyle="1" w:styleId="Tabelasiatki5ciemnaakcent210">
    <w:name w:val="Tabela siatki 5 — ciemna — akcent 21"/>
    <w:uiPriority w:val="99"/>
    <w:rsid w:val="00347E16"/>
    <w:rPr>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4EDF9"/>
    </w:tcPr>
  </w:style>
  <w:style w:type="table" w:customStyle="1" w:styleId="Tabelasiatki5ciemnaakcent310">
    <w:name w:val="Tabela siatki 5 — ciemna — akcent 31"/>
    <w:uiPriority w:val="99"/>
    <w:rsid w:val="00347E16"/>
    <w:rPr>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CDBD3"/>
    </w:tcPr>
  </w:style>
  <w:style w:type="table" w:customStyle="1" w:styleId="Tabelasiatki5ciemnaakcent410">
    <w:name w:val="Tabela siatki 5 — ciemna — akcent 41"/>
    <w:uiPriority w:val="99"/>
    <w:rsid w:val="00347E16"/>
    <w:rPr>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1E2F0"/>
    </w:tcPr>
  </w:style>
  <w:style w:type="table" w:customStyle="1" w:styleId="Tabelasiatki5ciemnaakcent510">
    <w:name w:val="Tabela siatki 5 — ciemna — akcent 51"/>
    <w:uiPriority w:val="99"/>
    <w:rsid w:val="00347E16"/>
    <w:rPr>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EEAD2"/>
    </w:tcPr>
  </w:style>
  <w:style w:type="table" w:customStyle="1" w:styleId="Tabelasiatki5ciemnaakcent610">
    <w:name w:val="Tabela siatki 5 — ciemna — akcent 61"/>
    <w:uiPriority w:val="99"/>
    <w:rsid w:val="00347E16"/>
    <w:rPr>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EF4E3"/>
    </w:tcPr>
  </w:style>
  <w:style w:type="table" w:customStyle="1" w:styleId="Tabelasiatki6kolorowaakcent110">
    <w:name w:val="Tabela siatki 6 — kolorowa — akcent 11"/>
    <w:uiPriority w:val="99"/>
    <w:rsid w:val="00347E16"/>
    <w:rPr>
      <w:color w:val="9D215D"/>
      <w:sz w:val="20"/>
      <w:szCs w:val="20"/>
    </w:rPr>
    <w:tblPr>
      <w:tblStyleRowBandSize w:val="1"/>
      <w:tblStyleColBandSize w:val="1"/>
      <w:tblBorders>
        <w:top w:val="single" w:sz="4" w:space="0" w:color="E481B0"/>
        <w:left w:val="single" w:sz="4" w:space="0" w:color="E481B0"/>
        <w:bottom w:val="single" w:sz="4" w:space="0" w:color="E481B0"/>
        <w:right w:val="single" w:sz="4" w:space="0" w:color="E481B0"/>
        <w:insideH w:val="single" w:sz="4" w:space="0" w:color="E481B0"/>
        <w:insideV w:val="single" w:sz="4" w:space="0" w:color="E481B0"/>
      </w:tblBorders>
      <w:tblCellMar>
        <w:top w:w="0" w:type="dxa"/>
        <w:left w:w="108" w:type="dxa"/>
        <w:bottom w:w="0" w:type="dxa"/>
        <w:right w:w="108" w:type="dxa"/>
      </w:tblCellMar>
    </w:tblPr>
  </w:style>
  <w:style w:type="table" w:customStyle="1" w:styleId="Tabelasiatki6kolorowaakcent210">
    <w:name w:val="Tabela siatki 6 — kolorowa — akcent 21"/>
    <w:uiPriority w:val="99"/>
    <w:rsid w:val="00347E16"/>
    <w:rPr>
      <w:color w:val="1881AE"/>
      <w:sz w:val="20"/>
      <w:szCs w:val="20"/>
    </w:rPr>
    <w:tblPr>
      <w:tblStyleRowBandSize w:val="1"/>
      <w:tblStyleColBandSize w:val="1"/>
      <w:tblBorders>
        <w:top w:val="single" w:sz="4" w:space="0" w:color="7ECBED"/>
        <w:left w:val="single" w:sz="4" w:space="0" w:color="7ECBED"/>
        <w:bottom w:val="single" w:sz="4" w:space="0" w:color="7ECBED"/>
        <w:right w:val="single" w:sz="4" w:space="0" w:color="7ECBED"/>
        <w:insideH w:val="single" w:sz="4" w:space="0" w:color="7ECBED"/>
        <w:insideV w:val="single" w:sz="4" w:space="0" w:color="7ECBED"/>
      </w:tblBorders>
      <w:tblCellMar>
        <w:top w:w="0" w:type="dxa"/>
        <w:left w:w="108" w:type="dxa"/>
        <w:bottom w:w="0" w:type="dxa"/>
        <w:right w:w="108" w:type="dxa"/>
      </w:tblCellMar>
    </w:tblPr>
  </w:style>
  <w:style w:type="table" w:customStyle="1" w:styleId="Tabelasiatki6kolorowaakcent310">
    <w:name w:val="Tabela siatki 6 — kolorowa — akcent 31"/>
    <w:uiPriority w:val="99"/>
    <w:rsid w:val="00347E16"/>
    <w:rPr>
      <w:color w:val="C0330D"/>
      <w:sz w:val="20"/>
      <w:szCs w:val="20"/>
    </w:rPr>
    <w:tblPr>
      <w:tblStyleRowBandSize w:val="1"/>
      <w:tblStyleColBandSize w:val="1"/>
      <w:tblBorders>
        <w:top w:val="single" w:sz="4" w:space="0" w:color="F6957B"/>
        <w:left w:val="single" w:sz="4" w:space="0" w:color="F6957B"/>
        <w:bottom w:val="single" w:sz="4" w:space="0" w:color="F6957B"/>
        <w:right w:val="single" w:sz="4" w:space="0" w:color="F6957B"/>
        <w:insideH w:val="single" w:sz="4" w:space="0" w:color="F6957B"/>
        <w:insideV w:val="single" w:sz="4" w:space="0" w:color="F6957B"/>
      </w:tblBorders>
      <w:tblCellMar>
        <w:top w:w="0" w:type="dxa"/>
        <w:left w:w="108" w:type="dxa"/>
        <w:bottom w:w="0" w:type="dxa"/>
        <w:right w:w="108" w:type="dxa"/>
      </w:tblCellMar>
    </w:tblPr>
  </w:style>
  <w:style w:type="table" w:customStyle="1" w:styleId="Tabelasiatki6kolorowaakcent410">
    <w:name w:val="Tabela siatki 6 — kolorowa — akcent 41"/>
    <w:uiPriority w:val="99"/>
    <w:rsid w:val="00347E16"/>
    <w:rPr>
      <w:color w:val="474B8E"/>
      <w:sz w:val="20"/>
      <w:szCs w:val="20"/>
    </w:rPr>
    <w:tblPr>
      <w:tblStyleRowBandSize w:val="1"/>
      <w:tblStyleColBandSize w:val="1"/>
      <w:tblBorders>
        <w:top w:val="single" w:sz="4" w:space="0" w:color="A5A8D2"/>
        <w:left w:val="single" w:sz="4" w:space="0" w:color="A5A8D2"/>
        <w:bottom w:val="single" w:sz="4" w:space="0" w:color="A5A8D2"/>
        <w:right w:val="single" w:sz="4" w:space="0" w:color="A5A8D2"/>
        <w:insideH w:val="single" w:sz="4" w:space="0" w:color="A5A8D2"/>
        <w:insideV w:val="single" w:sz="4" w:space="0" w:color="A5A8D2"/>
      </w:tblBorders>
      <w:tblCellMar>
        <w:top w:w="0" w:type="dxa"/>
        <w:left w:w="108" w:type="dxa"/>
        <w:bottom w:w="0" w:type="dxa"/>
        <w:right w:w="108" w:type="dxa"/>
      </w:tblCellMar>
    </w:tblPr>
  </w:style>
  <w:style w:type="table" w:customStyle="1" w:styleId="Tabelasiatki6kolorowaakcent510">
    <w:name w:val="Tabela siatki 6 — kolorowa — akcent 51"/>
    <w:uiPriority w:val="99"/>
    <w:rsid w:val="00347E16"/>
    <w:rPr>
      <w:color w:val="CD7504"/>
      <w:sz w:val="20"/>
      <w:szCs w:val="20"/>
    </w:rPr>
    <w:tblPr>
      <w:tblStyleRowBandSize w:val="1"/>
      <w:tblStyleColBandSize w:val="1"/>
      <w:tblBorders>
        <w:top w:val="single" w:sz="4" w:space="0" w:color="FCC278"/>
        <w:left w:val="single" w:sz="4" w:space="0" w:color="FCC278"/>
        <w:bottom w:val="single" w:sz="4" w:space="0" w:color="FCC278"/>
        <w:right w:val="single" w:sz="4" w:space="0" w:color="FCC278"/>
        <w:insideH w:val="single" w:sz="4" w:space="0" w:color="FCC278"/>
        <w:insideV w:val="single" w:sz="4" w:space="0" w:color="FCC278"/>
      </w:tblBorders>
      <w:tblCellMar>
        <w:top w:w="0" w:type="dxa"/>
        <w:left w:w="108" w:type="dxa"/>
        <w:bottom w:w="0" w:type="dxa"/>
        <w:right w:w="108" w:type="dxa"/>
      </w:tblCellMar>
    </w:tblPr>
  </w:style>
  <w:style w:type="table" w:customStyle="1" w:styleId="Tabelasiatki6kolorowaakcent610">
    <w:name w:val="Tabela siatki 6 — kolorowa — akcent 61"/>
    <w:uiPriority w:val="99"/>
    <w:rsid w:val="00347E16"/>
    <w:rPr>
      <w:color w:val="1E8355"/>
      <w:sz w:val="20"/>
      <w:szCs w:val="20"/>
    </w:rPr>
    <w:tblPr>
      <w:tblStyleRowBandSize w:val="1"/>
      <w:tblStyleColBandSize w:val="1"/>
      <w:tblBorders>
        <w:top w:val="single" w:sz="4" w:space="0" w:color="6EDEAC"/>
        <w:left w:val="single" w:sz="4" w:space="0" w:color="6EDEAC"/>
        <w:bottom w:val="single" w:sz="4" w:space="0" w:color="6EDEAC"/>
        <w:right w:val="single" w:sz="4" w:space="0" w:color="6EDEAC"/>
        <w:insideH w:val="single" w:sz="4" w:space="0" w:color="6EDEAC"/>
        <w:insideV w:val="single" w:sz="4" w:space="0" w:color="6EDEAC"/>
      </w:tblBorders>
      <w:tblCellMar>
        <w:top w:w="0" w:type="dxa"/>
        <w:left w:w="108" w:type="dxa"/>
        <w:bottom w:w="0" w:type="dxa"/>
        <w:right w:w="108" w:type="dxa"/>
      </w:tblCellMar>
    </w:tblPr>
  </w:style>
  <w:style w:type="table" w:customStyle="1" w:styleId="Tabelasiatki7kolorowaakcent110">
    <w:name w:val="Tabela siatki 7 — kolorowa — akcent 11"/>
    <w:uiPriority w:val="99"/>
    <w:rsid w:val="00347E16"/>
    <w:rPr>
      <w:color w:val="9D215D"/>
      <w:sz w:val="20"/>
      <w:szCs w:val="20"/>
    </w:rPr>
    <w:tblPr>
      <w:tblStyleRowBandSize w:val="1"/>
      <w:tblStyleColBandSize w:val="1"/>
      <w:tblBorders>
        <w:top w:val="single" w:sz="4" w:space="0" w:color="E481B0"/>
        <w:left w:val="single" w:sz="4" w:space="0" w:color="E481B0"/>
        <w:bottom w:val="single" w:sz="4" w:space="0" w:color="E481B0"/>
        <w:right w:val="single" w:sz="4" w:space="0" w:color="E481B0"/>
        <w:insideH w:val="single" w:sz="4" w:space="0" w:color="E481B0"/>
        <w:insideV w:val="single" w:sz="4" w:space="0" w:color="E481B0"/>
      </w:tblBorders>
      <w:tblCellMar>
        <w:top w:w="0" w:type="dxa"/>
        <w:left w:w="108" w:type="dxa"/>
        <w:bottom w:w="0" w:type="dxa"/>
        <w:right w:w="108" w:type="dxa"/>
      </w:tblCellMar>
    </w:tblPr>
  </w:style>
  <w:style w:type="table" w:customStyle="1" w:styleId="Tabelasiatki7kolorowaakcent210">
    <w:name w:val="Tabela siatki 7 — kolorowa — akcent 21"/>
    <w:uiPriority w:val="99"/>
    <w:rsid w:val="00347E16"/>
    <w:rPr>
      <w:color w:val="1881AE"/>
      <w:sz w:val="20"/>
      <w:szCs w:val="20"/>
    </w:rPr>
    <w:tblPr>
      <w:tblStyleRowBandSize w:val="1"/>
      <w:tblStyleColBandSize w:val="1"/>
      <w:tblBorders>
        <w:top w:val="single" w:sz="4" w:space="0" w:color="7ECBED"/>
        <w:left w:val="single" w:sz="4" w:space="0" w:color="7ECBED"/>
        <w:bottom w:val="single" w:sz="4" w:space="0" w:color="7ECBED"/>
        <w:right w:val="single" w:sz="4" w:space="0" w:color="7ECBED"/>
        <w:insideH w:val="single" w:sz="4" w:space="0" w:color="7ECBED"/>
        <w:insideV w:val="single" w:sz="4" w:space="0" w:color="7ECBED"/>
      </w:tblBorders>
      <w:tblCellMar>
        <w:top w:w="0" w:type="dxa"/>
        <w:left w:w="108" w:type="dxa"/>
        <w:bottom w:w="0" w:type="dxa"/>
        <w:right w:w="108" w:type="dxa"/>
      </w:tblCellMar>
    </w:tblPr>
  </w:style>
  <w:style w:type="table" w:customStyle="1" w:styleId="Tabelasiatki7kolorowaakcent310">
    <w:name w:val="Tabela siatki 7 — kolorowa — akcent 31"/>
    <w:uiPriority w:val="99"/>
    <w:rsid w:val="00347E16"/>
    <w:rPr>
      <w:color w:val="C0330D"/>
      <w:sz w:val="20"/>
      <w:szCs w:val="20"/>
    </w:rPr>
    <w:tblPr>
      <w:tblStyleRowBandSize w:val="1"/>
      <w:tblStyleColBandSize w:val="1"/>
      <w:tblBorders>
        <w:top w:val="single" w:sz="4" w:space="0" w:color="F6957B"/>
        <w:left w:val="single" w:sz="4" w:space="0" w:color="F6957B"/>
        <w:bottom w:val="single" w:sz="4" w:space="0" w:color="F6957B"/>
        <w:right w:val="single" w:sz="4" w:space="0" w:color="F6957B"/>
        <w:insideH w:val="single" w:sz="4" w:space="0" w:color="F6957B"/>
        <w:insideV w:val="single" w:sz="4" w:space="0" w:color="F6957B"/>
      </w:tblBorders>
      <w:tblCellMar>
        <w:top w:w="0" w:type="dxa"/>
        <w:left w:w="108" w:type="dxa"/>
        <w:bottom w:w="0" w:type="dxa"/>
        <w:right w:w="108" w:type="dxa"/>
      </w:tblCellMar>
    </w:tblPr>
  </w:style>
  <w:style w:type="table" w:customStyle="1" w:styleId="Tabelasiatki7kolorowaakcent410">
    <w:name w:val="Tabela siatki 7 — kolorowa — akcent 41"/>
    <w:uiPriority w:val="99"/>
    <w:rsid w:val="00347E16"/>
    <w:rPr>
      <w:color w:val="474B8E"/>
      <w:sz w:val="20"/>
      <w:szCs w:val="20"/>
    </w:rPr>
    <w:tblPr>
      <w:tblStyleRowBandSize w:val="1"/>
      <w:tblStyleColBandSize w:val="1"/>
      <w:tblBorders>
        <w:top w:val="single" w:sz="4" w:space="0" w:color="A5A8D2"/>
        <w:left w:val="single" w:sz="4" w:space="0" w:color="A5A8D2"/>
        <w:bottom w:val="single" w:sz="4" w:space="0" w:color="A5A8D2"/>
        <w:right w:val="single" w:sz="4" w:space="0" w:color="A5A8D2"/>
        <w:insideH w:val="single" w:sz="4" w:space="0" w:color="A5A8D2"/>
        <w:insideV w:val="single" w:sz="4" w:space="0" w:color="A5A8D2"/>
      </w:tblBorders>
      <w:tblCellMar>
        <w:top w:w="0" w:type="dxa"/>
        <w:left w:w="108" w:type="dxa"/>
        <w:bottom w:w="0" w:type="dxa"/>
        <w:right w:w="108" w:type="dxa"/>
      </w:tblCellMar>
    </w:tblPr>
  </w:style>
  <w:style w:type="table" w:customStyle="1" w:styleId="Tabelasiatki7kolorowaakcent510">
    <w:name w:val="Tabela siatki 7 — kolorowa — akcent 51"/>
    <w:uiPriority w:val="99"/>
    <w:rsid w:val="00347E16"/>
    <w:rPr>
      <w:color w:val="CD7504"/>
      <w:sz w:val="20"/>
      <w:szCs w:val="20"/>
    </w:rPr>
    <w:tblPr>
      <w:tblStyleRowBandSize w:val="1"/>
      <w:tblStyleColBandSize w:val="1"/>
      <w:tblBorders>
        <w:top w:val="single" w:sz="4" w:space="0" w:color="FCC278"/>
        <w:left w:val="single" w:sz="4" w:space="0" w:color="FCC278"/>
        <w:bottom w:val="single" w:sz="4" w:space="0" w:color="FCC278"/>
        <w:right w:val="single" w:sz="4" w:space="0" w:color="FCC278"/>
        <w:insideH w:val="single" w:sz="4" w:space="0" w:color="FCC278"/>
        <w:insideV w:val="single" w:sz="4" w:space="0" w:color="FCC278"/>
      </w:tblBorders>
      <w:tblCellMar>
        <w:top w:w="0" w:type="dxa"/>
        <w:left w:w="108" w:type="dxa"/>
        <w:bottom w:w="0" w:type="dxa"/>
        <w:right w:w="108" w:type="dxa"/>
      </w:tblCellMar>
    </w:tblPr>
  </w:style>
  <w:style w:type="table" w:customStyle="1" w:styleId="Tabelasiatki7kolorowaakcent610">
    <w:name w:val="Tabela siatki 7 — kolorowa — akcent 61"/>
    <w:uiPriority w:val="99"/>
    <w:rsid w:val="00347E16"/>
    <w:rPr>
      <w:color w:val="1E8355"/>
      <w:sz w:val="20"/>
      <w:szCs w:val="20"/>
    </w:rPr>
    <w:tblPr>
      <w:tblStyleRowBandSize w:val="1"/>
      <w:tblStyleColBandSize w:val="1"/>
      <w:tblBorders>
        <w:top w:val="single" w:sz="4" w:space="0" w:color="6EDEAC"/>
        <w:left w:val="single" w:sz="4" w:space="0" w:color="6EDEAC"/>
        <w:bottom w:val="single" w:sz="4" w:space="0" w:color="6EDEAC"/>
        <w:right w:val="single" w:sz="4" w:space="0" w:color="6EDEAC"/>
        <w:insideH w:val="single" w:sz="4" w:space="0" w:color="6EDEAC"/>
        <w:insideV w:val="single" w:sz="4" w:space="0" w:color="6EDEAC"/>
      </w:tblBorders>
      <w:tblCellMar>
        <w:top w:w="0" w:type="dxa"/>
        <w:left w:w="108" w:type="dxa"/>
        <w:bottom w:w="0" w:type="dxa"/>
        <w:right w:w="108" w:type="dxa"/>
      </w:tblCellMar>
    </w:tblPr>
  </w:style>
  <w:style w:type="numbering" w:customStyle="1" w:styleId="ReportBulletListStyle">
    <w:name w:val="Report Bullet List Style"/>
    <w:rsid w:val="00D4647F"/>
    <w:pPr>
      <w:numPr>
        <w:numId w:val="8"/>
      </w:numPr>
    </w:pPr>
  </w:style>
  <w:style w:type="numbering" w:customStyle="1" w:styleId="ReportListNumberStyle">
    <w:name w:val="Report List Number Style"/>
    <w:rsid w:val="00D4647F"/>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2189499">
      <w:marLeft w:val="0"/>
      <w:marRight w:val="0"/>
      <w:marTop w:val="0"/>
      <w:marBottom w:val="0"/>
      <w:divBdr>
        <w:top w:val="none" w:sz="0" w:space="0" w:color="auto"/>
        <w:left w:val="none" w:sz="0" w:space="0" w:color="auto"/>
        <w:bottom w:val="none" w:sz="0" w:space="0" w:color="auto"/>
        <w:right w:val="none" w:sz="0" w:space="0" w:color="auto"/>
      </w:divBdr>
    </w:div>
    <w:div w:id="1802189500">
      <w:marLeft w:val="0"/>
      <w:marRight w:val="0"/>
      <w:marTop w:val="0"/>
      <w:marBottom w:val="0"/>
      <w:divBdr>
        <w:top w:val="none" w:sz="0" w:space="0" w:color="auto"/>
        <w:left w:val="none" w:sz="0" w:space="0" w:color="auto"/>
        <w:bottom w:val="none" w:sz="0" w:space="0" w:color="auto"/>
        <w:right w:val="none" w:sz="0" w:space="0" w:color="auto"/>
      </w:divBdr>
    </w:div>
    <w:div w:id="180218950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image" Target="media/image38.png"/><Relationship Id="rId50" Type="http://schemas.openxmlformats.org/officeDocument/2006/relationships/image" Target="media/image41.emf"/><Relationship Id="rId55" Type="http://schemas.openxmlformats.org/officeDocument/2006/relationships/hyperlink" Target="http://crfop.gdos.gov.pl/CRFOP/widok/viewfop.jsf?fop=PL.ZIPOP.1393.RP.142" TargetMode="External"/><Relationship Id="rId63"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20.jpeg"/><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image" Target="media/image44.emf"/><Relationship Id="rId58" Type="http://schemas.openxmlformats.org/officeDocument/2006/relationships/hyperlink" Target="http://n2k-ws.gdos.gov.pl/wyszukiwarkaN2k/webresources/pdf/PLH280007"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n2k-ws.gdos.gov.pl/wyszukiwarkaN2k/webresources/pdf/PLH280007" TargetMode="External"/><Relationship Id="rId19" Type="http://schemas.openxmlformats.org/officeDocument/2006/relationships/image" Target="media/image10.pn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emf"/><Relationship Id="rId56" Type="http://schemas.openxmlformats.org/officeDocument/2006/relationships/hyperlink" Target="http://crfop.gdos.gov.pl/CRFOP/widok/viewfop.jsf?fop=PL.ZIPOP.1393.PK.73" TargetMode="External"/><Relationship Id="rId64" Type="http://schemas.openxmlformats.org/officeDocument/2006/relationships/footer" Target="footer2.xml"/><Relationship Id="rId8" Type="http://schemas.openxmlformats.org/officeDocument/2006/relationships/header" Target="header1.xml"/><Relationship Id="rId51" Type="http://schemas.openxmlformats.org/officeDocument/2006/relationships/image" Target="media/image42.emf"/><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59" Type="http://schemas.openxmlformats.org/officeDocument/2006/relationships/hyperlink" Target="http://crfop.gdos.gov.pl/CRFOP/widok/viewfop.jsf?fop=PL.ZIPOP.1393.PN.24" TargetMode="External"/><Relationship Id="rId20" Type="http://schemas.openxmlformats.org/officeDocument/2006/relationships/image" Target="media/image11.png"/><Relationship Id="rId41" Type="http://schemas.openxmlformats.org/officeDocument/2006/relationships/image" Target="media/image32.jpeg"/><Relationship Id="rId54" Type="http://schemas.openxmlformats.org/officeDocument/2006/relationships/hyperlink" Target="http://n2k-ws.gdos.gov.pl/wyszukiwarkaN2k/webresources/pdf/PLH220052" TargetMode="External"/><Relationship Id="rId62" Type="http://schemas.openxmlformats.org/officeDocument/2006/relationships/hyperlink" Target="http://n2k-ws.gdos.gov.pl/wyszukiwarkaN2k/webresources/pdf/PLH220052" TargetMode="External"/><Relationship Id="rId1" Type="http://schemas.microsoft.com/office/2006/relationships/keyMapCustomizations" Target="customizations.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emf"/><Relationship Id="rId57" Type="http://schemas.openxmlformats.org/officeDocument/2006/relationships/hyperlink" Target="http://crfop.gdos.gov.pl/CRFOP/widok/viewfop.jsf?fop=PL.ZIPOP.1393.PK.39" TargetMode="External"/><Relationship Id="rId10" Type="http://schemas.openxmlformats.org/officeDocument/2006/relationships/footer" Target="footer1.xml"/><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3.emf"/><Relationship Id="rId60" Type="http://schemas.openxmlformats.org/officeDocument/2006/relationships/hyperlink" Target="http://crfop.gdos.gov.pl/CRFOP/widok/viewfop.jsf?fop=PL.ZIPOP.1393.PK.39"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4.jpeg"/><Relationship Id="rId18" Type="http://schemas.openxmlformats.org/officeDocument/2006/relationships/image" Target="media/image9.jpeg"/><Relationship Id="rId39" Type="http://schemas.openxmlformats.org/officeDocument/2006/relationships/image" Target="media/image30.jpe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Oasys\OvaWord\Reports\Repor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Report</Template>
  <TotalTime>1</TotalTime>
  <Pages>150</Pages>
  <Words>39263</Words>
  <Characters>235584</Characters>
  <Application>Microsoft Office Word</Application>
  <DocSecurity>0</DocSecurity>
  <Lines>1963</Lines>
  <Paragraphs>548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Report</vt:lpstr>
      <vt:lpstr>Report</vt:lpstr>
    </vt:vector>
  </TitlesOfParts>
  <Company/>
  <LinksUpToDate>false</LinksUpToDate>
  <CharactersWithSpaces>274299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dc:title>
  <dc:subject/>
  <dc:creator>Pawel Paluch</dc:creator>
  <cp:keywords/>
  <dc:description/>
  <cp:lastModifiedBy>Seliga-Piórkowska Aleksandra</cp:lastModifiedBy>
  <cp:revision>2</cp:revision>
  <cp:lastPrinted>2021-08-23T07:53:00Z</cp:lastPrinted>
  <dcterms:created xsi:type="dcterms:W3CDTF">2021-08-31T13:23:00Z</dcterms:created>
  <dcterms:modified xsi:type="dcterms:W3CDTF">2021-08-31T13:23:00Z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2fa3fd3-029b-403d-91b4-1dc930cb0e60_Enabled">
    <vt:lpwstr>true</vt:lpwstr>
  </property>
  <property fmtid="{D5CDD505-2E9C-101B-9397-08002B2CF9AE}" pid="3" name="MSIP_Label_82fa3fd3-029b-403d-91b4-1dc930cb0e60_SetDate">
    <vt:lpwstr>2021-08-13T09:02:02Z</vt:lpwstr>
  </property>
  <property fmtid="{D5CDD505-2E9C-101B-9397-08002B2CF9AE}" pid="4" name="MSIP_Label_82fa3fd3-029b-403d-91b4-1dc930cb0e60_Method">
    <vt:lpwstr>Standard</vt:lpwstr>
  </property>
  <property fmtid="{D5CDD505-2E9C-101B-9397-08002B2CF9AE}" pid="5" name="MSIP_Label_82fa3fd3-029b-403d-91b4-1dc930cb0e60_Name">
    <vt:lpwstr>82fa3fd3-029b-403d-91b4-1dc930cb0e60</vt:lpwstr>
  </property>
  <property fmtid="{D5CDD505-2E9C-101B-9397-08002B2CF9AE}" pid="6" name="MSIP_Label_82fa3fd3-029b-403d-91b4-1dc930cb0e60_SiteId">
    <vt:lpwstr>4ae48b41-0137-4599-8661-fc641fe77bea</vt:lpwstr>
  </property>
  <property fmtid="{D5CDD505-2E9C-101B-9397-08002B2CF9AE}" pid="7" name="MSIP_Label_82fa3fd3-029b-403d-91b4-1dc930cb0e60_ActionId">
    <vt:lpwstr>2919e7b4-9686-4275-bcf1-58bde2c99198</vt:lpwstr>
  </property>
  <property fmtid="{D5CDD505-2E9C-101B-9397-08002B2CF9AE}" pid="8" name="MSIP_Label_82fa3fd3-029b-403d-91b4-1dc930cb0e60_ContentBits">
    <vt:lpwstr>0</vt:lpwstr>
  </property>
  <property fmtid="{D5CDD505-2E9C-101B-9397-08002B2CF9AE}" pid="9" name="Client">
    <vt:lpwstr/>
  </property>
  <property fmtid="{D5CDD505-2E9C-101B-9397-08002B2CF9AE}" pid="10" name="Project Title">
    <vt:lpwstr/>
  </property>
  <property fmtid="{D5CDD505-2E9C-101B-9397-08002B2CF9AE}" pid="11" name="Report Title">
    <vt:lpwstr/>
  </property>
  <property fmtid="{D5CDD505-2E9C-101B-9397-08002B2CF9AE}" pid="12" name="Job Number">
    <vt:lpwstr/>
  </property>
  <property fmtid="{D5CDD505-2E9C-101B-9397-08002B2CF9AE}" pid="13" name="Document Ref (e.g. REP/12345/S001)">
    <vt:lpwstr/>
  </property>
  <property fmtid="{D5CDD505-2E9C-101B-9397-08002B2CF9AE}" pid="14" name="Date">
    <vt:lpwstr/>
  </property>
  <property fmtid="{D5CDD505-2E9C-101B-9397-08002B2CF9AE}" pid="15" name="Status">
    <vt:lpwstr/>
  </property>
  <property fmtid="{D5CDD505-2E9C-101B-9397-08002B2CF9AE}" pid="16" name="Prepared By">
    <vt:lpwstr/>
  </property>
  <property fmtid="{D5CDD505-2E9C-101B-9397-08002B2CF9AE}" pid="17" name="To Be Checked By">
    <vt:lpwstr/>
  </property>
  <property fmtid="{D5CDD505-2E9C-101B-9397-08002B2CF9AE}" pid="18" name="To Be Approved By">
    <vt:lpwstr/>
  </property>
</Properties>
</file>