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BD952E" w14:textId="77777777" w:rsidR="00C64B1B" w:rsidRPr="004B4123" w:rsidRDefault="00C64B1B" w:rsidP="00C64B1B">
      <w:pPr>
        <w:jc w:val="center"/>
        <w:rPr>
          <w:rFonts w:asciiTheme="minorHAnsi" w:hAnsiTheme="minorHAnsi" w:cstheme="minorHAnsi"/>
          <w:sz w:val="22"/>
          <w:szCs w:val="22"/>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134"/>
        <w:gridCol w:w="992"/>
        <w:gridCol w:w="3827"/>
        <w:gridCol w:w="4961"/>
        <w:gridCol w:w="4253"/>
      </w:tblGrid>
      <w:tr w:rsidR="00A06425" w:rsidRPr="004B4123" w14:paraId="5CA981BB" w14:textId="77777777" w:rsidTr="003177BC">
        <w:tc>
          <w:tcPr>
            <w:tcW w:w="15588" w:type="dxa"/>
            <w:gridSpan w:val="6"/>
            <w:shd w:val="clear" w:color="auto" w:fill="auto"/>
            <w:vAlign w:val="center"/>
          </w:tcPr>
          <w:p w14:paraId="577FCB5D" w14:textId="5FDA280C" w:rsidR="006C6369" w:rsidRPr="0077406D" w:rsidRDefault="00A06425" w:rsidP="00B871B6">
            <w:pPr>
              <w:spacing w:before="120" w:after="120"/>
              <w:rPr>
                <w:rFonts w:asciiTheme="minorHAnsi" w:hAnsiTheme="minorHAnsi" w:cstheme="minorHAnsi"/>
                <w:bCs/>
                <w:iCs/>
                <w:sz w:val="22"/>
                <w:szCs w:val="22"/>
              </w:rPr>
            </w:pPr>
            <w:r w:rsidRPr="0077406D">
              <w:rPr>
                <w:rFonts w:asciiTheme="minorHAnsi" w:hAnsiTheme="minorHAnsi" w:cstheme="minorHAnsi"/>
                <w:b/>
                <w:i/>
                <w:sz w:val="22"/>
                <w:szCs w:val="22"/>
              </w:rPr>
              <w:t>Nazwa dokumentu:</w:t>
            </w:r>
            <w:r w:rsidR="00756F02" w:rsidRPr="0077406D">
              <w:rPr>
                <w:rFonts w:asciiTheme="minorHAnsi" w:hAnsiTheme="minorHAnsi" w:cstheme="minorHAnsi"/>
                <w:bCs/>
                <w:iCs/>
                <w:sz w:val="22"/>
                <w:szCs w:val="22"/>
              </w:rPr>
              <w:t xml:space="preserve"> </w:t>
            </w:r>
            <w:r w:rsidR="009520C3" w:rsidRPr="009520C3">
              <w:rPr>
                <w:rFonts w:asciiTheme="minorHAnsi" w:hAnsiTheme="minorHAnsi" w:cstheme="minorHAnsi"/>
                <w:bCs/>
                <w:iCs/>
                <w:sz w:val="22"/>
                <w:szCs w:val="22"/>
              </w:rPr>
              <w:t>projekt ustawy o udziale Rzeczypospolitej Polskiej w systemie Eurodac (UC139)</w:t>
            </w:r>
            <w:r w:rsidR="009520C3">
              <w:rPr>
                <w:rFonts w:asciiTheme="minorHAnsi" w:hAnsiTheme="minorHAnsi" w:cstheme="minorHAnsi"/>
                <w:bCs/>
                <w:iCs/>
                <w:sz w:val="22"/>
                <w:szCs w:val="22"/>
              </w:rPr>
              <w:t>.</w:t>
            </w:r>
          </w:p>
        </w:tc>
      </w:tr>
      <w:tr w:rsidR="00A06425" w:rsidRPr="004B4123" w14:paraId="420354D8" w14:textId="77777777" w:rsidTr="003177BC">
        <w:tc>
          <w:tcPr>
            <w:tcW w:w="421" w:type="dxa"/>
            <w:shd w:val="clear" w:color="auto" w:fill="auto"/>
            <w:vAlign w:val="center"/>
          </w:tcPr>
          <w:p w14:paraId="6DE2BFB1"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Lp.</w:t>
            </w:r>
          </w:p>
        </w:tc>
        <w:tc>
          <w:tcPr>
            <w:tcW w:w="1134" w:type="dxa"/>
            <w:shd w:val="clear" w:color="auto" w:fill="auto"/>
            <w:vAlign w:val="center"/>
          </w:tcPr>
          <w:p w14:paraId="2EE0E48F"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Organ wnoszący uwagi</w:t>
            </w:r>
          </w:p>
        </w:tc>
        <w:tc>
          <w:tcPr>
            <w:tcW w:w="992" w:type="dxa"/>
            <w:shd w:val="clear" w:color="auto" w:fill="auto"/>
            <w:vAlign w:val="center"/>
          </w:tcPr>
          <w:p w14:paraId="04AD1426"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Jednostka redakcyjna, do której wnoszone są uwagi</w:t>
            </w:r>
          </w:p>
        </w:tc>
        <w:tc>
          <w:tcPr>
            <w:tcW w:w="3827" w:type="dxa"/>
            <w:shd w:val="clear" w:color="auto" w:fill="auto"/>
            <w:vAlign w:val="center"/>
          </w:tcPr>
          <w:p w14:paraId="7EEAB33E"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Treść uwagi</w:t>
            </w:r>
          </w:p>
        </w:tc>
        <w:tc>
          <w:tcPr>
            <w:tcW w:w="4961" w:type="dxa"/>
            <w:shd w:val="clear" w:color="auto" w:fill="auto"/>
            <w:vAlign w:val="center"/>
          </w:tcPr>
          <w:p w14:paraId="0CEB4FA2"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Propozycja zmian zapisu</w:t>
            </w:r>
          </w:p>
        </w:tc>
        <w:tc>
          <w:tcPr>
            <w:tcW w:w="4253" w:type="dxa"/>
            <w:vAlign w:val="center"/>
          </w:tcPr>
          <w:p w14:paraId="3A5AA1F0" w14:textId="77777777" w:rsidR="00A06425" w:rsidRPr="0077406D" w:rsidRDefault="00A06425" w:rsidP="00A06425">
            <w:pPr>
              <w:jc w:val="center"/>
              <w:rPr>
                <w:rFonts w:asciiTheme="minorHAnsi" w:hAnsiTheme="minorHAnsi" w:cstheme="minorHAnsi"/>
                <w:b/>
                <w:sz w:val="22"/>
                <w:szCs w:val="22"/>
              </w:rPr>
            </w:pPr>
            <w:r w:rsidRPr="0077406D">
              <w:rPr>
                <w:rFonts w:asciiTheme="minorHAnsi" w:hAnsiTheme="minorHAnsi" w:cstheme="minorHAnsi"/>
                <w:b/>
                <w:sz w:val="22"/>
                <w:szCs w:val="22"/>
              </w:rPr>
              <w:t>Odniesienie do uwagi</w:t>
            </w:r>
          </w:p>
        </w:tc>
      </w:tr>
      <w:tr w:rsidR="009357E2" w:rsidRPr="004B4123" w14:paraId="1A5C34FC" w14:textId="77777777" w:rsidTr="003177BC">
        <w:tc>
          <w:tcPr>
            <w:tcW w:w="421" w:type="dxa"/>
            <w:shd w:val="clear" w:color="auto" w:fill="auto"/>
          </w:tcPr>
          <w:p w14:paraId="14DAC873" w14:textId="77777777" w:rsidR="009357E2" w:rsidRPr="0077406D" w:rsidRDefault="009357E2" w:rsidP="009357E2">
            <w:pPr>
              <w:spacing w:before="120" w:after="120"/>
              <w:jc w:val="center"/>
              <w:rPr>
                <w:rFonts w:asciiTheme="minorHAnsi" w:hAnsiTheme="minorHAnsi" w:cstheme="minorHAnsi"/>
                <w:b/>
                <w:sz w:val="22"/>
                <w:szCs w:val="22"/>
              </w:rPr>
            </w:pPr>
            <w:r w:rsidRPr="0077406D">
              <w:rPr>
                <w:rFonts w:asciiTheme="minorHAnsi" w:hAnsiTheme="minorHAnsi" w:cstheme="minorHAnsi"/>
                <w:b/>
                <w:sz w:val="22"/>
                <w:szCs w:val="22"/>
              </w:rPr>
              <w:t>1</w:t>
            </w:r>
          </w:p>
        </w:tc>
        <w:tc>
          <w:tcPr>
            <w:tcW w:w="1134" w:type="dxa"/>
            <w:shd w:val="clear" w:color="auto" w:fill="auto"/>
          </w:tcPr>
          <w:p w14:paraId="28489F6C" w14:textId="096E7FA0" w:rsidR="009357E2" w:rsidRPr="0077406D" w:rsidRDefault="009357E2" w:rsidP="009357E2">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0518BC31" w14:textId="01C05F62" w:rsidR="009357E2" w:rsidRPr="0077406D" w:rsidRDefault="007D55F3"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3827" w:type="dxa"/>
            <w:shd w:val="clear" w:color="auto" w:fill="auto"/>
          </w:tcPr>
          <w:p w14:paraId="2119146A" w14:textId="70991289" w:rsidR="007D55F3" w:rsidRPr="007D55F3" w:rsidRDefault="007D55F3" w:rsidP="007D55F3">
            <w:pPr>
              <w:jc w:val="both"/>
              <w:rPr>
                <w:rFonts w:asciiTheme="minorHAnsi" w:hAnsiTheme="minorHAnsi" w:cstheme="minorHAnsi"/>
                <w:sz w:val="22"/>
                <w:szCs w:val="22"/>
              </w:rPr>
            </w:pPr>
            <w:r>
              <w:rPr>
                <w:rFonts w:asciiTheme="minorHAnsi" w:hAnsiTheme="minorHAnsi" w:cstheme="minorHAnsi"/>
                <w:sz w:val="22"/>
                <w:szCs w:val="22"/>
              </w:rPr>
              <w:t>W</w:t>
            </w:r>
            <w:r w:rsidRPr="007D55F3">
              <w:rPr>
                <w:rFonts w:asciiTheme="minorHAnsi" w:hAnsiTheme="minorHAnsi" w:cstheme="minorHAnsi"/>
                <w:sz w:val="22"/>
                <w:szCs w:val="22"/>
              </w:rPr>
              <w:t xml:space="preserve"> OSR w dziale 6 „Wpływ na sektor finansów publicznych” wykazano dochody jednostek samorządu terytorialnego – nie wskazano jednak tytułu z jakiego zostaną one osiągnięte. W związku z powyższym, pkt 6 OSR powinien być uzupełniony o wyjaśnienia dotyczące  źródła pochodzenia zwiększonych  dochodów jednostek samorządu terytorialnego oraz sposobu ich wyliczenia (należy wskazać jakie konkretnie dane stanowiły podstawę  wyliczeń oraz przedstawić szczegółową kalkulację).  </w:t>
            </w:r>
          </w:p>
          <w:p w14:paraId="5A30F974" w14:textId="77777777" w:rsidR="007D55F3" w:rsidRPr="007D55F3" w:rsidRDefault="007D55F3" w:rsidP="007D55F3">
            <w:pPr>
              <w:jc w:val="both"/>
              <w:rPr>
                <w:rFonts w:asciiTheme="minorHAnsi" w:hAnsiTheme="minorHAnsi" w:cstheme="minorHAnsi"/>
                <w:sz w:val="22"/>
                <w:szCs w:val="22"/>
              </w:rPr>
            </w:pPr>
          </w:p>
          <w:p w14:paraId="20F861FE" w14:textId="33C570E2" w:rsidR="009357E2" w:rsidRPr="007167B1" w:rsidRDefault="007D55F3" w:rsidP="007D55F3">
            <w:pPr>
              <w:jc w:val="both"/>
              <w:rPr>
                <w:rFonts w:asciiTheme="minorHAnsi" w:hAnsiTheme="minorHAnsi" w:cstheme="minorHAnsi"/>
                <w:sz w:val="22"/>
                <w:szCs w:val="22"/>
              </w:rPr>
            </w:pPr>
            <w:r w:rsidRPr="007D55F3">
              <w:rPr>
                <w:rFonts w:asciiTheme="minorHAnsi" w:hAnsiTheme="minorHAnsi" w:cstheme="minorHAnsi"/>
                <w:sz w:val="22"/>
                <w:szCs w:val="22"/>
              </w:rPr>
              <w:t>Należy zauważyć, że w przypadkach kiedy zwiększone dochody JST wynikają z tytułu zwiększonych dochodów z PIT których źródłem są zmiany wysokości świadczeń,  podwyżki minimalnego wynagrodzenia czy też  zwiększenie  zatrudnienia, Koordynator OSR rekomenduje, aby Wnioskodawcy wskazywali w takich przypadkach podział dochodów pomiędzy JST i budżet państwa w proporcjach 85-15, na korzyść JST.</w:t>
            </w:r>
          </w:p>
        </w:tc>
        <w:tc>
          <w:tcPr>
            <w:tcW w:w="4961" w:type="dxa"/>
            <w:shd w:val="clear" w:color="auto" w:fill="auto"/>
          </w:tcPr>
          <w:p w14:paraId="73D41DF8" w14:textId="36C32E62" w:rsidR="009357E2" w:rsidRPr="007167B1" w:rsidRDefault="007D55F3" w:rsidP="009357E2">
            <w:pPr>
              <w:jc w:val="both"/>
              <w:rPr>
                <w:rFonts w:ascii="Calibri" w:hAnsi="Calibri" w:cs="Calibri"/>
                <w:sz w:val="22"/>
                <w:szCs w:val="22"/>
              </w:rPr>
            </w:pPr>
            <w:r>
              <w:rPr>
                <w:rFonts w:ascii="Calibri" w:hAnsi="Calibri" w:cs="Calibri"/>
                <w:sz w:val="22"/>
                <w:szCs w:val="22"/>
              </w:rPr>
              <w:t>Korekta OSR we wskazanym zakresie.</w:t>
            </w:r>
          </w:p>
        </w:tc>
        <w:tc>
          <w:tcPr>
            <w:tcW w:w="4253" w:type="dxa"/>
          </w:tcPr>
          <w:p w14:paraId="3226B92D" w14:textId="2C5F1C71" w:rsidR="003338F1" w:rsidRPr="00916D9C" w:rsidRDefault="003338F1" w:rsidP="002C2149">
            <w:pPr>
              <w:jc w:val="both"/>
              <w:rPr>
                <w:rFonts w:asciiTheme="minorHAnsi" w:hAnsiTheme="minorHAnsi" w:cstheme="minorHAnsi"/>
                <w:b/>
                <w:sz w:val="22"/>
                <w:szCs w:val="22"/>
              </w:rPr>
            </w:pPr>
            <w:r w:rsidRPr="00916D9C">
              <w:rPr>
                <w:rFonts w:asciiTheme="minorHAnsi" w:hAnsiTheme="minorHAnsi" w:cstheme="minorHAnsi"/>
                <w:b/>
                <w:sz w:val="22"/>
                <w:szCs w:val="22"/>
              </w:rPr>
              <w:t>Stanowisko MSWiA</w:t>
            </w:r>
          </w:p>
          <w:p w14:paraId="2B8EA4FC" w14:textId="724AFE8C" w:rsidR="009357E2" w:rsidRPr="0077406D" w:rsidRDefault="00BD5F18" w:rsidP="005E10D4">
            <w:pPr>
              <w:jc w:val="both"/>
              <w:rPr>
                <w:rFonts w:asciiTheme="minorHAnsi" w:hAnsiTheme="minorHAnsi" w:cstheme="minorHAnsi"/>
                <w:sz w:val="22"/>
                <w:szCs w:val="22"/>
              </w:rPr>
            </w:pPr>
            <w:r w:rsidRPr="00916D9C">
              <w:rPr>
                <w:rFonts w:asciiTheme="minorHAnsi" w:hAnsiTheme="minorHAnsi" w:cstheme="minorHAnsi"/>
                <w:sz w:val="22"/>
                <w:szCs w:val="22"/>
              </w:rPr>
              <w:t xml:space="preserve">Uwaga zostanie </w:t>
            </w:r>
            <w:r w:rsidR="005E10D4">
              <w:rPr>
                <w:rFonts w:asciiTheme="minorHAnsi" w:hAnsiTheme="minorHAnsi" w:cstheme="minorHAnsi"/>
                <w:sz w:val="22"/>
                <w:szCs w:val="22"/>
              </w:rPr>
              <w:t xml:space="preserve">uwzględniona, OSR zostanie skorygowany. </w:t>
            </w:r>
          </w:p>
        </w:tc>
      </w:tr>
      <w:tr w:rsidR="009520C3" w:rsidRPr="004B4123" w14:paraId="7639D9E3" w14:textId="77777777" w:rsidTr="003177BC">
        <w:tc>
          <w:tcPr>
            <w:tcW w:w="421" w:type="dxa"/>
            <w:shd w:val="clear" w:color="auto" w:fill="auto"/>
          </w:tcPr>
          <w:p w14:paraId="2CB571F5" w14:textId="1D23E553"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2</w:t>
            </w:r>
          </w:p>
        </w:tc>
        <w:tc>
          <w:tcPr>
            <w:tcW w:w="1134" w:type="dxa"/>
            <w:shd w:val="clear" w:color="auto" w:fill="auto"/>
          </w:tcPr>
          <w:p w14:paraId="47E17C20" w14:textId="02CF399E" w:rsidR="009520C3" w:rsidRPr="0077406D" w:rsidRDefault="009520C3" w:rsidP="009357E2">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3063B357" w14:textId="4AEBC154" w:rsidR="009520C3" w:rsidRPr="0077406D" w:rsidRDefault="00AF549A"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3827" w:type="dxa"/>
            <w:shd w:val="clear" w:color="auto" w:fill="auto"/>
          </w:tcPr>
          <w:p w14:paraId="197184AB" w14:textId="713ACDE9"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Zgodnie z informacjami zawartymi w </w:t>
            </w:r>
            <w:r>
              <w:rPr>
                <w:rFonts w:asciiTheme="minorHAnsi" w:hAnsiTheme="minorHAnsi" w:cstheme="minorHAnsi"/>
                <w:sz w:val="22"/>
                <w:szCs w:val="22"/>
              </w:rPr>
              <w:t>OSR</w:t>
            </w:r>
            <w:r w:rsidRPr="00AF549A">
              <w:rPr>
                <w:rFonts w:asciiTheme="minorHAnsi" w:hAnsiTheme="minorHAnsi" w:cstheme="minorHAnsi"/>
                <w:sz w:val="22"/>
                <w:szCs w:val="22"/>
              </w:rPr>
              <w:t xml:space="preserve"> wejście w życie ustawy wywoła istotne skutki finansowe dla budżetu państwa. Jak wskazano będzie to stanowiło podstawę do ubiegania się o zwiększenie limitu wydatków w części 42 – Sprawy wewnętrzne. Nie wskazano jednak źródła ich sfinansowania.</w:t>
            </w:r>
          </w:p>
          <w:p w14:paraId="6FEA9F3E" w14:textId="4EFC9097"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Należy wskazać, że nie powinno mieć miejsca oczekiwanie dodatkowości środków i podstawy do zwiększenia limitu wydatków właściwych dysponentów, bez wskazania oszczędności w ramach dotychczasowej przestrzeni wydatkowej. Skutki finansowe wynikające z projektowanych rozwiązań nie mogą dodatkowo obciążać budżetu państwa z uwagi na ograniczenie przestrzeni wydatkowej na skutek obowiązywania stabilizującej reguły wydatkowej i limitu wydatków, </w:t>
            </w:r>
            <w:r>
              <w:rPr>
                <w:rFonts w:asciiTheme="minorHAnsi" w:hAnsiTheme="minorHAnsi" w:cstheme="minorHAnsi"/>
                <w:sz w:val="22"/>
                <w:szCs w:val="22"/>
              </w:rPr>
              <w:br/>
            </w:r>
            <w:r w:rsidRPr="00AF549A">
              <w:rPr>
                <w:rFonts w:asciiTheme="minorHAnsi" w:hAnsiTheme="minorHAnsi" w:cstheme="minorHAnsi"/>
                <w:sz w:val="22"/>
                <w:szCs w:val="22"/>
              </w:rPr>
              <w:t xml:space="preserve">o którym mowa w art. 112aa ust. 3 ustawy o finansach publicznych, </w:t>
            </w:r>
            <w:r>
              <w:rPr>
                <w:rFonts w:asciiTheme="minorHAnsi" w:hAnsiTheme="minorHAnsi" w:cstheme="minorHAnsi"/>
                <w:sz w:val="22"/>
                <w:szCs w:val="22"/>
              </w:rPr>
              <w:br/>
            </w:r>
            <w:r w:rsidRPr="00AF549A">
              <w:rPr>
                <w:rFonts w:asciiTheme="minorHAnsi" w:hAnsiTheme="minorHAnsi" w:cstheme="minorHAnsi"/>
                <w:sz w:val="22"/>
                <w:szCs w:val="22"/>
              </w:rPr>
              <w:t>jak również objęcia Polski procedurą nadmiernego deficytu (EDP).</w:t>
            </w:r>
          </w:p>
          <w:p w14:paraId="34ACA1C6" w14:textId="53FC416A"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W konsekwencji powyższego realizacja projektowanych rozwiązań powinna nastąpić w pierwszej kolejności poprzez analizę </w:t>
            </w:r>
            <w:r>
              <w:rPr>
                <w:rFonts w:asciiTheme="minorHAnsi" w:hAnsiTheme="minorHAnsi" w:cstheme="minorHAnsi"/>
                <w:sz w:val="22"/>
                <w:szCs w:val="22"/>
              </w:rPr>
              <w:br/>
            </w:r>
            <w:r w:rsidRPr="00AF549A">
              <w:rPr>
                <w:rFonts w:asciiTheme="minorHAnsi" w:hAnsiTheme="minorHAnsi" w:cstheme="minorHAnsi"/>
                <w:sz w:val="22"/>
                <w:szCs w:val="22"/>
              </w:rPr>
              <w:t>i racjonalizację dotychczas realizowanych zadań, w ramach środków pozostających w dyspozycji dysponenta części, a wnioskowane zwiększenie wydatków powinno zostać  dokonane w ramach oszczędności wygospodarowanych w częściach budżetowych</w:t>
            </w:r>
            <w:r w:rsidR="00A63767">
              <w:rPr>
                <w:rFonts w:asciiTheme="minorHAnsi" w:hAnsiTheme="minorHAnsi" w:cstheme="minorHAnsi"/>
                <w:sz w:val="22"/>
                <w:szCs w:val="22"/>
              </w:rPr>
              <w:t xml:space="preserve"> </w:t>
            </w:r>
            <w:r w:rsidR="00A63767">
              <w:rPr>
                <w:rFonts w:asciiTheme="minorHAnsi" w:hAnsiTheme="minorHAnsi" w:cstheme="minorHAnsi"/>
                <w:sz w:val="22"/>
                <w:szCs w:val="22"/>
              </w:rPr>
              <w:br/>
            </w:r>
            <w:r w:rsidRPr="00AF549A">
              <w:rPr>
                <w:rFonts w:asciiTheme="minorHAnsi" w:hAnsiTheme="minorHAnsi" w:cstheme="minorHAnsi"/>
                <w:sz w:val="22"/>
                <w:szCs w:val="22"/>
              </w:rPr>
              <w:t xml:space="preserve">i jednostkach objętych SRW </w:t>
            </w:r>
            <w:r w:rsidRPr="00AF549A">
              <w:rPr>
                <w:rFonts w:asciiTheme="minorHAnsi" w:hAnsiTheme="minorHAnsi" w:cstheme="minorHAnsi"/>
                <w:sz w:val="22"/>
                <w:szCs w:val="22"/>
              </w:rPr>
              <w:lastRenderedPageBreak/>
              <w:t>zarządzanych przez Ministra Spraw Wewnętrznych i Administracji.  Nie bez znaczenia pozostaje również fakt, że system Eurodac funkcjonuje od 15 stycznia 2003 r., a Polska włączyła się w jego działanie z chwilą przystąpienia do Unii Europejskiej, co także nie powinno pozostać pominięte przy analizie skutków finansowych projektu.</w:t>
            </w:r>
          </w:p>
          <w:p w14:paraId="7BE3D0AA" w14:textId="0F666424" w:rsidR="009520C3" w:rsidRPr="007167B1"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Reasumując, informacje zawarte w projekcie wskazują, że przedmiotowy projekt nie posiada obecnie źródeł sfinansowania, </w:t>
            </w:r>
            <w:r w:rsidR="00A63767">
              <w:rPr>
                <w:rFonts w:asciiTheme="minorHAnsi" w:hAnsiTheme="minorHAnsi" w:cstheme="minorHAnsi"/>
                <w:sz w:val="22"/>
                <w:szCs w:val="22"/>
              </w:rPr>
              <w:br/>
            </w:r>
            <w:r w:rsidRPr="00AF549A">
              <w:rPr>
                <w:rFonts w:asciiTheme="minorHAnsi" w:hAnsiTheme="minorHAnsi" w:cstheme="minorHAnsi"/>
                <w:sz w:val="22"/>
                <w:szCs w:val="22"/>
              </w:rPr>
              <w:t>co skutkuje tym, że nie może zostać przyjęty w zaproponowanym kształcie.</w:t>
            </w:r>
          </w:p>
        </w:tc>
        <w:tc>
          <w:tcPr>
            <w:tcW w:w="4961" w:type="dxa"/>
            <w:shd w:val="clear" w:color="auto" w:fill="auto"/>
          </w:tcPr>
          <w:p w14:paraId="7623FBC2" w14:textId="3DFC7232" w:rsidR="009520C3" w:rsidRDefault="00AF549A" w:rsidP="009357E2">
            <w:pPr>
              <w:jc w:val="both"/>
              <w:rPr>
                <w:rFonts w:ascii="Calibri" w:hAnsi="Calibri" w:cs="Calibri"/>
                <w:sz w:val="22"/>
                <w:szCs w:val="22"/>
              </w:rPr>
            </w:pPr>
            <w:r>
              <w:rPr>
                <w:rFonts w:ascii="Calibri" w:hAnsi="Calibri" w:cs="Calibri"/>
                <w:sz w:val="22"/>
                <w:szCs w:val="22"/>
              </w:rPr>
              <w:lastRenderedPageBreak/>
              <w:t>W</w:t>
            </w:r>
            <w:r w:rsidRPr="00AF549A">
              <w:rPr>
                <w:rFonts w:ascii="Calibri" w:hAnsi="Calibri" w:cs="Calibri"/>
                <w:sz w:val="22"/>
                <w:szCs w:val="22"/>
              </w:rPr>
              <w:t xml:space="preserve"> pkt. 6 OSR należy zawrzeć informację jednoznacznie wskazującą, że wszystkie skutki wynikające z przedmiotowego projektu zostaną sfinansowane w ramach limitu wydatków właściwych dysponentów, w tym w ramach limitu wydatków na wynagrodzenia, i nie będą stanowić podstawy do ubiegania się</w:t>
            </w:r>
            <w:r w:rsidR="00B52D05">
              <w:rPr>
                <w:rFonts w:ascii="Calibri" w:hAnsi="Calibri" w:cs="Calibri"/>
                <w:sz w:val="22"/>
                <w:szCs w:val="22"/>
              </w:rPr>
              <w:t xml:space="preserve"> </w:t>
            </w:r>
            <w:r w:rsidRPr="00AF549A">
              <w:rPr>
                <w:rFonts w:ascii="Calibri" w:hAnsi="Calibri" w:cs="Calibri"/>
                <w:sz w:val="22"/>
                <w:szCs w:val="22"/>
              </w:rPr>
              <w:t>o dodatkowe środki na ten cel z budżetu państwa zarówno w roku wejścia w życie ustawy jak i w latach kolejnych.</w:t>
            </w:r>
          </w:p>
          <w:p w14:paraId="4D79FB1A" w14:textId="77777777" w:rsidR="003177BC" w:rsidRDefault="003177BC" w:rsidP="009357E2">
            <w:pPr>
              <w:jc w:val="both"/>
              <w:rPr>
                <w:rFonts w:ascii="Calibri" w:hAnsi="Calibri" w:cs="Calibri"/>
                <w:sz w:val="22"/>
                <w:szCs w:val="22"/>
              </w:rPr>
            </w:pPr>
          </w:p>
          <w:p w14:paraId="6DC91592" w14:textId="5D7E3311" w:rsidR="003177BC" w:rsidRPr="007167B1" w:rsidRDefault="003177BC" w:rsidP="009357E2">
            <w:pPr>
              <w:jc w:val="both"/>
              <w:rPr>
                <w:rFonts w:ascii="Calibri" w:hAnsi="Calibri" w:cs="Calibri"/>
                <w:sz w:val="22"/>
                <w:szCs w:val="22"/>
              </w:rPr>
            </w:pPr>
          </w:p>
        </w:tc>
        <w:tc>
          <w:tcPr>
            <w:tcW w:w="4253" w:type="dxa"/>
          </w:tcPr>
          <w:p w14:paraId="56B8C713" w14:textId="75D637C6" w:rsidR="00591C58" w:rsidRDefault="00591C58" w:rsidP="00591C58">
            <w:pPr>
              <w:spacing w:line="276" w:lineRule="auto"/>
              <w:contextualSpacing/>
              <w:jc w:val="both"/>
              <w:rPr>
                <w:rFonts w:asciiTheme="minorHAnsi" w:hAnsiTheme="minorHAnsi" w:cstheme="minorHAnsi"/>
                <w:b/>
                <w:color w:val="000000"/>
                <w:sz w:val="22"/>
                <w:szCs w:val="22"/>
              </w:rPr>
            </w:pPr>
            <w:r w:rsidRPr="00591C58">
              <w:rPr>
                <w:rFonts w:asciiTheme="minorHAnsi" w:hAnsiTheme="minorHAnsi" w:cstheme="minorHAnsi"/>
                <w:b/>
                <w:color w:val="000000"/>
                <w:sz w:val="22"/>
                <w:szCs w:val="22"/>
              </w:rPr>
              <w:t>Stanowisko MSWiA</w:t>
            </w:r>
          </w:p>
          <w:p w14:paraId="36268E55" w14:textId="6B3185A9" w:rsidR="006D699C" w:rsidRDefault="006D699C" w:rsidP="00591C58">
            <w:pPr>
              <w:spacing w:line="276" w:lineRule="auto"/>
              <w:contextualSpacing/>
              <w:jc w:val="both"/>
              <w:rPr>
                <w:rFonts w:asciiTheme="minorHAnsi" w:hAnsiTheme="minorHAnsi" w:cstheme="minorHAnsi"/>
                <w:b/>
                <w:color w:val="000000"/>
                <w:sz w:val="22"/>
                <w:szCs w:val="22"/>
              </w:rPr>
            </w:pPr>
            <w:r>
              <w:rPr>
                <w:rFonts w:asciiTheme="minorHAnsi" w:hAnsiTheme="minorHAnsi" w:cstheme="minorHAnsi"/>
                <w:b/>
                <w:color w:val="000000"/>
                <w:sz w:val="22"/>
                <w:szCs w:val="22"/>
              </w:rPr>
              <w:t xml:space="preserve">Uwaga </w:t>
            </w:r>
            <w:r w:rsidR="003338F1">
              <w:rPr>
                <w:rFonts w:asciiTheme="minorHAnsi" w:hAnsiTheme="minorHAnsi" w:cstheme="minorHAnsi"/>
                <w:b/>
                <w:color w:val="000000"/>
                <w:sz w:val="22"/>
                <w:szCs w:val="22"/>
              </w:rPr>
              <w:t>nieuwzględniona</w:t>
            </w:r>
            <w:r w:rsidR="009E5B40">
              <w:rPr>
                <w:rFonts w:asciiTheme="minorHAnsi" w:hAnsiTheme="minorHAnsi" w:cstheme="minorHAnsi"/>
                <w:b/>
                <w:color w:val="000000"/>
                <w:sz w:val="22"/>
                <w:szCs w:val="22"/>
              </w:rPr>
              <w:t>.</w:t>
            </w:r>
          </w:p>
          <w:p w14:paraId="68E0405F" w14:textId="280FBE6F" w:rsidR="0097457E" w:rsidRPr="00D4435C" w:rsidRDefault="009E5B40" w:rsidP="00591C58">
            <w:pPr>
              <w:spacing w:line="276" w:lineRule="auto"/>
              <w:contextualSpacing/>
              <w:jc w:val="both"/>
              <w:rPr>
                <w:rFonts w:asciiTheme="minorHAnsi" w:hAnsiTheme="minorHAnsi" w:cstheme="minorHAnsi"/>
                <w:b/>
                <w:sz w:val="22"/>
                <w:szCs w:val="22"/>
              </w:rPr>
            </w:pPr>
            <w:r>
              <w:rPr>
                <w:rFonts w:asciiTheme="minorHAnsi" w:hAnsiTheme="minorHAnsi" w:cstheme="minorHAnsi"/>
                <w:b/>
                <w:sz w:val="22"/>
                <w:szCs w:val="22"/>
              </w:rPr>
              <w:t>MSWIA p</w:t>
            </w:r>
            <w:r w:rsidR="0097457E" w:rsidRPr="00D4435C">
              <w:rPr>
                <w:rFonts w:asciiTheme="minorHAnsi" w:hAnsiTheme="minorHAnsi" w:cstheme="minorHAnsi"/>
                <w:b/>
                <w:sz w:val="22"/>
                <w:szCs w:val="22"/>
              </w:rPr>
              <w:t>roponuj</w:t>
            </w:r>
            <w:r>
              <w:rPr>
                <w:rFonts w:asciiTheme="minorHAnsi" w:hAnsiTheme="minorHAnsi" w:cstheme="minorHAnsi"/>
                <w:b/>
                <w:sz w:val="22"/>
                <w:szCs w:val="22"/>
              </w:rPr>
              <w:t>e</w:t>
            </w:r>
            <w:r w:rsidR="0097457E" w:rsidRPr="00D4435C">
              <w:rPr>
                <w:rFonts w:asciiTheme="minorHAnsi" w:hAnsiTheme="minorHAnsi" w:cstheme="minorHAnsi"/>
                <w:b/>
                <w:sz w:val="22"/>
                <w:szCs w:val="22"/>
              </w:rPr>
              <w:t xml:space="preserve"> pozostawienie </w:t>
            </w:r>
            <w:r w:rsidR="00EF7DD7" w:rsidRPr="00D4435C">
              <w:rPr>
                <w:rFonts w:asciiTheme="minorHAnsi" w:hAnsiTheme="minorHAnsi" w:cstheme="minorHAnsi"/>
                <w:b/>
                <w:sz w:val="22"/>
                <w:szCs w:val="22"/>
              </w:rPr>
              <w:t>rozstrzygnięcia</w:t>
            </w:r>
            <w:r w:rsidR="0097457E" w:rsidRPr="00D4435C">
              <w:rPr>
                <w:rFonts w:asciiTheme="minorHAnsi" w:hAnsiTheme="minorHAnsi" w:cstheme="minorHAnsi"/>
                <w:b/>
                <w:sz w:val="22"/>
                <w:szCs w:val="22"/>
              </w:rPr>
              <w:t xml:space="preserve"> tej kwestii na etapie SKRM</w:t>
            </w:r>
            <w:r>
              <w:rPr>
                <w:rFonts w:asciiTheme="minorHAnsi" w:hAnsiTheme="minorHAnsi" w:cstheme="minorHAnsi"/>
                <w:b/>
                <w:sz w:val="22"/>
                <w:szCs w:val="22"/>
              </w:rPr>
              <w:t>.</w:t>
            </w:r>
          </w:p>
          <w:p w14:paraId="212A3594" w14:textId="19647D65" w:rsidR="00591C58" w:rsidRPr="00591C58" w:rsidRDefault="00591C58" w:rsidP="00FD4E1C">
            <w:pPr>
              <w:jc w:val="both"/>
              <w:rPr>
                <w:rFonts w:asciiTheme="minorHAnsi" w:hAnsiTheme="minorHAnsi" w:cstheme="minorHAnsi"/>
                <w:color w:val="000000"/>
                <w:sz w:val="22"/>
                <w:szCs w:val="22"/>
              </w:rPr>
            </w:pPr>
            <w:r w:rsidRPr="00591C58">
              <w:rPr>
                <w:rFonts w:asciiTheme="minorHAnsi" w:hAnsiTheme="minorHAnsi" w:cstheme="minorHAnsi"/>
                <w:color w:val="000000"/>
                <w:sz w:val="22"/>
                <w:szCs w:val="22"/>
              </w:rPr>
              <w:t xml:space="preserve">W budżecie Ministra Spraw Wewnętrznych </w:t>
            </w:r>
            <w:r w:rsidR="00A47509">
              <w:rPr>
                <w:rFonts w:asciiTheme="minorHAnsi" w:hAnsiTheme="minorHAnsi" w:cstheme="minorHAnsi"/>
                <w:color w:val="000000"/>
                <w:sz w:val="22"/>
                <w:szCs w:val="22"/>
              </w:rPr>
              <w:t xml:space="preserve">              </w:t>
            </w:r>
            <w:r w:rsidRPr="00591C58">
              <w:rPr>
                <w:rFonts w:asciiTheme="minorHAnsi" w:hAnsiTheme="minorHAnsi" w:cstheme="minorHAnsi"/>
                <w:color w:val="000000"/>
                <w:sz w:val="22"/>
                <w:szCs w:val="22"/>
              </w:rPr>
              <w:t>i Administracji nie ma środków na realizację zadań przewidzianych w projektowanej regulacji, wobec czego koniecznym jest zwiększenie limitu wydatków w części 42 – Sprawy wewnętrzne.</w:t>
            </w:r>
          </w:p>
          <w:p w14:paraId="6FAA3155" w14:textId="77777777" w:rsidR="009520C3" w:rsidRDefault="00591C58" w:rsidP="00FD4E1C">
            <w:pPr>
              <w:jc w:val="both"/>
              <w:rPr>
                <w:rFonts w:asciiTheme="minorHAnsi" w:hAnsiTheme="minorHAnsi" w:cstheme="minorHAnsi"/>
                <w:color w:val="000000"/>
                <w:sz w:val="22"/>
                <w:szCs w:val="22"/>
              </w:rPr>
            </w:pPr>
            <w:r w:rsidRPr="00591C58">
              <w:rPr>
                <w:rFonts w:asciiTheme="minorHAnsi" w:hAnsiTheme="minorHAnsi" w:cstheme="minorHAnsi"/>
                <w:color w:val="000000"/>
                <w:sz w:val="22"/>
                <w:szCs w:val="22"/>
              </w:rPr>
              <w:t>W związku ze zgłaszanymi przez podległych dysponentów dodatkowymi potrzebami finansowymi w ramach budżetu części 42 – Sprawy wewnętrzne na rok 2027 i lata kolejne, brak jest możliwości wskazania oszczędności w ramach dotychczasowej przestrzeni wydatkowej, tj. w ramach limitu wydatków przyznawanego przez Ministra Finansów i Gospodarki.</w:t>
            </w:r>
          </w:p>
          <w:p w14:paraId="22B60DE2" w14:textId="77777777" w:rsidR="002A63AF" w:rsidRDefault="002A63AF" w:rsidP="00FD4E1C">
            <w:pPr>
              <w:jc w:val="both"/>
              <w:rPr>
                <w:rFonts w:asciiTheme="minorHAnsi" w:hAnsiTheme="minorHAnsi" w:cstheme="minorHAnsi"/>
                <w:color w:val="000000"/>
                <w:sz w:val="22"/>
                <w:szCs w:val="22"/>
              </w:rPr>
            </w:pPr>
          </w:p>
          <w:p w14:paraId="44A06D73" w14:textId="46713364"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 xml:space="preserve">W uzupełnieniu tego stanowiska należy wskazać, że w budżecie Policji </w:t>
            </w:r>
            <w:r w:rsidRPr="00B87A64">
              <w:rPr>
                <w:rFonts w:asciiTheme="minorHAnsi" w:hAnsiTheme="minorHAnsi" w:cstheme="minorHAnsi"/>
                <w:sz w:val="22"/>
                <w:szCs w:val="22"/>
              </w:rPr>
              <w:t>nie ma środków na pokrycie wydatków wynikających z projektowanej ustawy</w:t>
            </w:r>
            <w:r>
              <w:rPr>
                <w:rFonts w:asciiTheme="minorHAnsi" w:hAnsiTheme="minorHAnsi" w:cstheme="minorHAnsi"/>
                <w:sz w:val="22"/>
                <w:szCs w:val="22"/>
              </w:rPr>
              <w:t>, w związku z czym konieczne jest zwiększenie limitu wydatków w części 42 – Sprawy wewnętrzne.</w:t>
            </w:r>
          </w:p>
          <w:p w14:paraId="7FCD675B" w14:textId="77777777" w:rsidR="001D3B68" w:rsidRDefault="001D3B68" w:rsidP="002A63AF">
            <w:pPr>
              <w:jc w:val="both"/>
              <w:rPr>
                <w:rFonts w:asciiTheme="minorHAnsi" w:hAnsiTheme="minorHAnsi" w:cstheme="minorHAnsi"/>
                <w:sz w:val="22"/>
                <w:szCs w:val="22"/>
              </w:rPr>
            </w:pPr>
          </w:p>
          <w:p w14:paraId="5993A71F" w14:textId="77777777"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Odnosząc się do przywołanego przez MFiG wpływu funkcjonowania systemu Eurodac od 15 stycznia 2003 r. oraz włączenia się przez RP do tego systemu z chwilą przystąpienia do UE na skutki finansowe projektowanej ustawy warto zwrócić uwagę na kilka kwestii.</w:t>
            </w:r>
          </w:p>
          <w:p w14:paraId="107F4202" w14:textId="3F2B416A"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 xml:space="preserve">Po pierwsze należy wskazać, że obecnie system Eurodac funkcjonuje na podstawie rozporządzenia 603/2013. W rozporządzeniu tym określono stosunkowo wąski cel funkcjonowania systemu Eurodac. Zgodnie z </w:t>
            </w:r>
            <w:r>
              <w:rPr>
                <w:rFonts w:asciiTheme="minorHAnsi" w:hAnsiTheme="minorHAnsi" w:cstheme="minorHAnsi"/>
                <w:sz w:val="22"/>
                <w:szCs w:val="22"/>
              </w:rPr>
              <w:lastRenderedPageBreak/>
              <w:t xml:space="preserve">art. 1 ust. 1 rozporządzenia 603/2013 celem tym jest </w:t>
            </w:r>
            <w:r w:rsidRPr="002749ED">
              <w:rPr>
                <w:rFonts w:asciiTheme="minorHAnsi" w:hAnsiTheme="minorHAnsi" w:cstheme="minorHAnsi"/>
                <w:sz w:val="22"/>
                <w:szCs w:val="22"/>
              </w:rPr>
              <w:t xml:space="preserve">celem jest pomoc w ustalaniu, które państwo członkowskie, zgodnie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z rozporządzeniem 604/2013, odpowiada za rozpatrywanie wniosków o ochronę międzynarodową złożonych w państwie członkowskim przez obywatela państwa trzeciego lub bezpaństwowca, a także ułatwianie w inny sposób stosowania rozporządzenia 604/2013</w:t>
            </w:r>
            <w:r>
              <w:rPr>
                <w:rFonts w:asciiTheme="minorHAnsi" w:hAnsiTheme="minorHAnsi" w:cstheme="minorHAnsi"/>
                <w:sz w:val="22"/>
                <w:szCs w:val="22"/>
              </w:rPr>
              <w:t>.</w:t>
            </w:r>
          </w:p>
          <w:p w14:paraId="7D13EFDC" w14:textId="77777777"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Natomiast od dnia 12 czerwca 2026 r. podstawę funkcjonowania systemu Eurodac będzie stanowiło rozporządzenie 2024/1358, którego stosowanie ma zapewnić projektowana ustawa. Zgodnie z art. 1 ust. 1 tego rozporządzenia celem funkcjonowania systemu Eurodac jest:</w:t>
            </w:r>
          </w:p>
          <w:p w14:paraId="00E5C06A" w14:textId="52C17599"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a)</w:t>
            </w:r>
            <w:r>
              <w:rPr>
                <w:rFonts w:asciiTheme="minorHAnsi" w:hAnsiTheme="minorHAnsi" w:cstheme="minorHAnsi"/>
                <w:sz w:val="22"/>
                <w:szCs w:val="22"/>
              </w:rPr>
              <w:t xml:space="preserve"> </w:t>
            </w:r>
            <w:r w:rsidRPr="002749ED">
              <w:rPr>
                <w:rFonts w:asciiTheme="minorHAnsi" w:hAnsiTheme="minorHAnsi" w:cstheme="minorHAnsi"/>
                <w:sz w:val="22"/>
                <w:szCs w:val="22"/>
              </w:rPr>
              <w:t>wspieranie systemu azylowego, w tym poprzez pomoc w ustalaniu, które państwo członkowskie ma odpowiadać, zgodnie</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 xml:space="preserve"> z rozporządzeniem (UE) 2024/1351, za rozpatrzenie wniosku o udzielenie ochrony międzynarodowej zarejestrowanego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 xml:space="preserve">w jednym z państw członkowskich przez obywatela państwa trzeciego lub bezpaństwowca, oraz poprzez ułatwianie stosowania tego rozporządzenia zgodnie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z warunkami określonymi w niniejszym rozporządzeniu;</w:t>
            </w:r>
          </w:p>
          <w:p w14:paraId="09134ECB" w14:textId="77777777"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b)</w:t>
            </w:r>
            <w:r>
              <w:rPr>
                <w:rFonts w:asciiTheme="minorHAnsi" w:hAnsiTheme="minorHAnsi" w:cstheme="minorHAnsi"/>
                <w:sz w:val="22"/>
                <w:szCs w:val="22"/>
              </w:rPr>
              <w:t xml:space="preserve"> </w:t>
            </w:r>
            <w:r w:rsidRPr="002749ED">
              <w:rPr>
                <w:rFonts w:asciiTheme="minorHAnsi" w:hAnsiTheme="minorHAnsi" w:cstheme="minorHAnsi"/>
                <w:sz w:val="22"/>
                <w:szCs w:val="22"/>
              </w:rPr>
              <w:t>pomoc w stosowaniu rozporządzenia (UE) 2024/1350 zgodnie z warunkami określonymi w niniejszym rozporządzeniu;</w:t>
            </w:r>
          </w:p>
          <w:p w14:paraId="44C282A3" w14:textId="24D0982E"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c)</w:t>
            </w:r>
            <w:r>
              <w:rPr>
                <w:rFonts w:asciiTheme="minorHAnsi" w:hAnsiTheme="minorHAnsi" w:cstheme="minorHAnsi"/>
                <w:sz w:val="22"/>
                <w:szCs w:val="22"/>
              </w:rPr>
              <w:t xml:space="preserve"> </w:t>
            </w:r>
            <w:r w:rsidRPr="002749ED">
              <w:rPr>
                <w:rFonts w:asciiTheme="minorHAnsi" w:hAnsiTheme="minorHAnsi" w:cstheme="minorHAnsi"/>
                <w:sz w:val="22"/>
                <w:szCs w:val="22"/>
              </w:rPr>
              <w:t>pomoc w kontrolowaniu imigracji nieuregulowanej do Unii, w wykrywaniu wtórnego przemieszczania się w obrębie Unii oraz w identyfikowaniu nielegalnie przebywających obywateli państw trzecich</w:t>
            </w:r>
            <w:r w:rsidR="009369BE">
              <w:rPr>
                <w:rFonts w:asciiTheme="minorHAnsi" w:hAnsiTheme="minorHAnsi" w:cstheme="minorHAnsi"/>
                <w:sz w:val="22"/>
                <w:szCs w:val="22"/>
              </w:rPr>
              <w:t xml:space="preserve">               </w:t>
            </w:r>
            <w:r w:rsidRPr="002749ED">
              <w:rPr>
                <w:rFonts w:asciiTheme="minorHAnsi" w:hAnsiTheme="minorHAnsi" w:cstheme="minorHAnsi"/>
                <w:sz w:val="22"/>
                <w:szCs w:val="22"/>
              </w:rPr>
              <w:t xml:space="preserve">i bezpaństwowców – w celu określania </w:t>
            </w:r>
            <w:r w:rsidRPr="002749ED">
              <w:rPr>
                <w:rFonts w:asciiTheme="minorHAnsi" w:hAnsiTheme="minorHAnsi" w:cstheme="minorHAnsi"/>
                <w:sz w:val="22"/>
                <w:szCs w:val="22"/>
              </w:rPr>
              <w:lastRenderedPageBreak/>
              <w:t>odpowiednich środków, które mają podjąć państwa członkowskie;</w:t>
            </w:r>
          </w:p>
          <w:p w14:paraId="751A71BA" w14:textId="62C94ABE"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d)</w:t>
            </w:r>
            <w:r>
              <w:rPr>
                <w:rFonts w:asciiTheme="minorHAnsi" w:hAnsiTheme="minorHAnsi" w:cstheme="minorHAnsi"/>
                <w:sz w:val="22"/>
                <w:szCs w:val="22"/>
              </w:rPr>
              <w:t xml:space="preserve"> </w:t>
            </w:r>
            <w:r w:rsidRPr="002749ED">
              <w:rPr>
                <w:rFonts w:asciiTheme="minorHAnsi" w:hAnsiTheme="minorHAnsi" w:cstheme="minorHAnsi"/>
                <w:sz w:val="22"/>
                <w:szCs w:val="22"/>
              </w:rPr>
              <w:t xml:space="preserve">pomoc w ochronie dzieci, w tym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w kontekście ochrony porządku publicznego;</w:t>
            </w:r>
          </w:p>
          <w:p w14:paraId="1289F23F" w14:textId="5F4544E5"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e)</w:t>
            </w:r>
            <w:r>
              <w:rPr>
                <w:rFonts w:asciiTheme="minorHAnsi" w:hAnsiTheme="minorHAnsi" w:cstheme="minorHAnsi"/>
                <w:sz w:val="22"/>
                <w:szCs w:val="22"/>
              </w:rPr>
              <w:t xml:space="preserve"> </w:t>
            </w:r>
            <w:r w:rsidRPr="002749ED">
              <w:rPr>
                <w:rFonts w:asciiTheme="minorHAnsi" w:hAnsiTheme="minorHAnsi" w:cstheme="minorHAnsi"/>
                <w:sz w:val="22"/>
                <w:szCs w:val="22"/>
              </w:rPr>
              <w:t>określenie warunków, zgodnie z którymi wyznaczone organy państw członkowskich</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 xml:space="preserve"> i wyznaczony organ Europolu mogą występować z wnioskami o porównanie danych biometrycznych lub alfanumerycznych z danymi przechowywanymi w Eurodac na potrzeby ochrony porządku publicznego w celu zapobiegania przestępstwom terrorystycznym lub innym poważnym przestępstwom, ich wykrywania lub prowadzenia postępowań przygotowawczych w ich sprawie;</w:t>
            </w:r>
          </w:p>
          <w:p w14:paraId="511F1029" w14:textId="7F70F847"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f)</w:t>
            </w:r>
            <w:r>
              <w:rPr>
                <w:rFonts w:asciiTheme="minorHAnsi" w:hAnsiTheme="minorHAnsi" w:cstheme="minorHAnsi"/>
                <w:sz w:val="22"/>
                <w:szCs w:val="22"/>
              </w:rPr>
              <w:t xml:space="preserve"> </w:t>
            </w:r>
            <w:r w:rsidRPr="002749ED">
              <w:rPr>
                <w:rFonts w:asciiTheme="minorHAnsi" w:hAnsiTheme="minorHAnsi" w:cstheme="minorHAnsi"/>
                <w:sz w:val="22"/>
                <w:szCs w:val="22"/>
              </w:rPr>
              <w:t xml:space="preserve">pomoc w prawidłowym identyfikowaniu osób zarejestrowanych w Eurodac zgodnie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z art. 20 rozporządzenia (UE) 2019/818, poprzez przechowywanie danych dotyczących tożsamości, danych dotyczących dokumentów podróży i danych biometrycznych we wspólnym repozytorium danych (CIR);</w:t>
            </w:r>
          </w:p>
          <w:p w14:paraId="2FBBD45B" w14:textId="77777777"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g)</w:t>
            </w:r>
            <w:r>
              <w:rPr>
                <w:rFonts w:asciiTheme="minorHAnsi" w:hAnsiTheme="minorHAnsi" w:cstheme="minorHAnsi"/>
                <w:sz w:val="22"/>
                <w:szCs w:val="22"/>
              </w:rPr>
              <w:t xml:space="preserve"> </w:t>
            </w:r>
            <w:r w:rsidRPr="002749ED">
              <w:rPr>
                <w:rFonts w:asciiTheme="minorHAnsi" w:hAnsiTheme="minorHAnsi" w:cstheme="minorHAnsi"/>
                <w:sz w:val="22"/>
                <w:szCs w:val="22"/>
              </w:rPr>
              <w:t>wspieranie celów europejskiego systemu informacji o podróży oraz zezwoleń na podróż (ETIAS) ustanowionego na mocy rozporządzenia (UE) 2018/1240;</w:t>
            </w:r>
          </w:p>
          <w:p w14:paraId="53CE6A45" w14:textId="2BF1BBFF"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h)</w:t>
            </w:r>
            <w:r>
              <w:rPr>
                <w:rFonts w:asciiTheme="minorHAnsi" w:hAnsiTheme="minorHAnsi" w:cstheme="minorHAnsi"/>
                <w:sz w:val="22"/>
                <w:szCs w:val="22"/>
              </w:rPr>
              <w:t xml:space="preserve"> </w:t>
            </w:r>
            <w:r w:rsidRPr="002749ED">
              <w:rPr>
                <w:rFonts w:asciiTheme="minorHAnsi" w:hAnsiTheme="minorHAnsi" w:cstheme="minorHAnsi"/>
                <w:sz w:val="22"/>
                <w:szCs w:val="22"/>
              </w:rPr>
              <w:t xml:space="preserve">wspieranie celów wizowego systemu informacyjnego (VIS), o którym mowa </w:t>
            </w:r>
            <w:r w:rsidR="00A47509">
              <w:rPr>
                <w:rFonts w:asciiTheme="minorHAnsi" w:hAnsiTheme="minorHAnsi" w:cstheme="minorHAnsi"/>
                <w:sz w:val="22"/>
                <w:szCs w:val="22"/>
              </w:rPr>
              <w:t xml:space="preserve">                         </w:t>
            </w:r>
            <w:r w:rsidRPr="002749ED">
              <w:rPr>
                <w:rFonts w:asciiTheme="minorHAnsi" w:hAnsiTheme="minorHAnsi" w:cstheme="minorHAnsi"/>
                <w:sz w:val="22"/>
                <w:szCs w:val="22"/>
              </w:rPr>
              <w:t>w rozporządzeniu (WE) nr 767/2008;</w:t>
            </w:r>
          </w:p>
          <w:p w14:paraId="30CFB049" w14:textId="77777777" w:rsidR="002A63AF" w:rsidRPr="002749ED"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i)</w:t>
            </w:r>
            <w:r>
              <w:rPr>
                <w:rFonts w:asciiTheme="minorHAnsi" w:hAnsiTheme="minorHAnsi" w:cstheme="minorHAnsi"/>
                <w:sz w:val="22"/>
                <w:szCs w:val="22"/>
              </w:rPr>
              <w:t xml:space="preserve"> </w:t>
            </w:r>
            <w:r w:rsidRPr="002749ED">
              <w:rPr>
                <w:rFonts w:asciiTheme="minorHAnsi" w:hAnsiTheme="minorHAnsi" w:cstheme="minorHAnsi"/>
                <w:sz w:val="22"/>
                <w:szCs w:val="22"/>
              </w:rPr>
              <w:t>wspieranie kształtowania polityki opartej na dowodach poprzez sporządzanie statystyk;</w:t>
            </w:r>
          </w:p>
          <w:p w14:paraId="2AAAA47B" w14:textId="77777777" w:rsidR="002A63AF" w:rsidRDefault="002A63AF" w:rsidP="002A63AF">
            <w:pPr>
              <w:jc w:val="both"/>
              <w:rPr>
                <w:rFonts w:asciiTheme="minorHAnsi" w:hAnsiTheme="minorHAnsi" w:cstheme="minorHAnsi"/>
                <w:sz w:val="22"/>
                <w:szCs w:val="22"/>
              </w:rPr>
            </w:pPr>
            <w:r w:rsidRPr="002749ED">
              <w:rPr>
                <w:rFonts w:asciiTheme="minorHAnsi" w:hAnsiTheme="minorHAnsi" w:cstheme="minorHAnsi"/>
                <w:sz w:val="22"/>
                <w:szCs w:val="22"/>
              </w:rPr>
              <w:t>j)</w:t>
            </w:r>
            <w:r>
              <w:rPr>
                <w:rFonts w:asciiTheme="minorHAnsi" w:hAnsiTheme="minorHAnsi" w:cstheme="minorHAnsi"/>
                <w:sz w:val="22"/>
                <w:szCs w:val="22"/>
              </w:rPr>
              <w:t xml:space="preserve"> </w:t>
            </w:r>
            <w:r w:rsidRPr="002749ED">
              <w:rPr>
                <w:rFonts w:asciiTheme="minorHAnsi" w:hAnsiTheme="minorHAnsi" w:cstheme="minorHAnsi"/>
                <w:sz w:val="22"/>
                <w:szCs w:val="22"/>
              </w:rPr>
              <w:t>pomoc we wdrażaniu dyrektywy 2001/55/WE.</w:t>
            </w:r>
          </w:p>
          <w:p w14:paraId="6F74D2DB" w14:textId="77777777"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lastRenderedPageBreak/>
              <w:t>Porównanie celów funkcjonowania systemu Eurodac określonych w przepisach rozporządzenia 603/2013 oraz 2024/1358 jednoznacznie wskazuje, że choć nazwa systemu pozostała niezmieniona, to zakres celów jego funkcjonowania oraz przetwarzanych w nim informacji, w tym danych osobowych, uległ znacznemu rozszerzeniu.</w:t>
            </w:r>
          </w:p>
          <w:p w14:paraId="6FCA0308" w14:textId="77777777"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Biorąc pod uwagę powyższe należy zgodzić się ze stwierdzeniem zawartym w uwadze MFiG, zgodnie z którym przy analizie skutków finansowych projektu nie powinien zostać pominięty fakt dotychczasowego funkcjonowania systemu Eurodac. Nieracjonalne oraz niegospodarne byłoby bowiem domaganie się przeznaczenia dodatkowych środków z budżetu państwa na realizację zadań, które już obecnie są wykonywane przez organy administracji publicznej.</w:t>
            </w:r>
          </w:p>
          <w:p w14:paraId="33E34444" w14:textId="73C5F761"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 xml:space="preserve">Jak jednak wskazano powyżej, z uwagi na znaczące rozszerzenie katalogu celów funkcjonowania systemu Eurodac, od dnia 12 czerwca 2026 r. dojdzie do znacznego zwiększenia zakresu zadań realizowanych przez polskie organy w związku </w:t>
            </w:r>
            <w:r w:rsidR="00A47509">
              <w:rPr>
                <w:rFonts w:asciiTheme="minorHAnsi" w:hAnsiTheme="minorHAnsi" w:cstheme="minorHAnsi"/>
                <w:sz w:val="22"/>
                <w:szCs w:val="22"/>
              </w:rPr>
              <w:t xml:space="preserve">                                          </w:t>
            </w:r>
            <w:r>
              <w:rPr>
                <w:rFonts w:asciiTheme="minorHAnsi" w:hAnsiTheme="minorHAnsi" w:cstheme="minorHAnsi"/>
                <w:sz w:val="22"/>
                <w:szCs w:val="22"/>
              </w:rPr>
              <w:t>z funkcjonowaniem tego systemu. Co za tym idzie, skutki finansowe dla budżetu państwa wskazane w OSR do projektowanej ustawy wynikają z konieczności realizacji nowych zadań w związku z funkcjonowaniem systemu Eurodac.</w:t>
            </w:r>
          </w:p>
          <w:p w14:paraId="30BEB002" w14:textId="2BDB1AED"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 xml:space="preserve">Podkreślenia wymaga również, że projektowana ustawa ma na celu zapewnienie stosowania przepisów prawa UE, a konieczność realizacji zadań wynikających z tych przepisów jest </w:t>
            </w:r>
            <w:r>
              <w:rPr>
                <w:rFonts w:asciiTheme="minorHAnsi" w:hAnsiTheme="minorHAnsi" w:cstheme="minorHAnsi"/>
                <w:sz w:val="22"/>
                <w:szCs w:val="22"/>
              </w:rPr>
              <w:lastRenderedPageBreak/>
              <w:t>traktatowym obowiązkiem państw członkowskich UE. Zgodnie z motywem 20 rozporządzenia 2024/1358 w</w:t>
            </w:r>
            <w:r w:rsidRPr="00F94F8E">
              <w:rPr>
                <w:rFonts w:asciiTheme="minorHAnsi" w:hAnsiTheme="minorHAnsi" w:cstheme="minorHAnsi"/>
                <w:sz w:val="22"/>
                <w:szCs w:val="22"/>
              </w:rPr>
              <w:t xml:space="preserve">ażnym elementem szeroko zakrojonych wysiłków służących zajęciu się kwestią migracji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w sposób sprawiedliwy i skuteczny </w:t>
            </w:r>
            <w:r w:rsidR="009369BE">
              <w:rPr>
                <w:rFonts w:asciiTheme="minorHAnsi" w:hAnsiTheme="minorHAnsi" w:cstheme="minorHAnsi"/>
                <w:sz w:val="22"/>
                <w:szCs w:val="22"/>
              </w:rPr>
              <w:t xml:space="preserve">                                  </w:t>
            </w:r>
            <w:r w:rsidRPr="00F94F8E">
              <w:rPr>
                <w:rFonts w:asciiTheme="minorHAnsi" w:hAnsiTheme="minorHAnsi" w:cstheme="minorHAnsi"/>
                <w:sz w:val="22"/>
                <w:szCs w:val="22"/>
              </w:rPr>
              <w:t xml:space="preserve">i, </w:t>
            </w:r>
            <w:r w:rsidR="00A47509">
              <w:rPr>
                <w:rFonts w:asciiTheme="minorHAnsi" w:hAnsiTheme="minorHAnsi" w:cstheme="minorHAnsi"/>
                <w:sz w:val="22"/>
                <w:szCs w:val="22"/>
              </w:rPr>
              <w:t xml:space="preserve"> </w:t>
            </w:r>
            <w:bookmarkStart w:id="0" w:name="_GoBack"/>
            <w:bookmarkEnd w:id="0"/>
            <w:r w:rsidRPr="00F94F8E">
              <w:rPr>
                <w:rFonts w:asciiTheme="minorHAnsi" w:hAnsiTheme="minorHAnsi" w:cstheme="minorHAnsi"/>
                <w:sz w:val="22"/>
                <w:szCs w:val="22"/>
              </w:rPr>
              <w:t xml:space="preserve">w szczególności, ograniczeniu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i powstrzymaniu imigracji nieuregulowanej, jest przeprowadzanie powrotów obywateli państw trzecich lub bezpaństwowców, którzy nie mają prawa do pobytu w Unii,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z poszanowaniem praw podstawowych jako ogólnej zasady prawa Unii oraz zgodnie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z prawem międzynarodowym, w tym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z obowiązkami w zakresie ochrony uchodźców, zasadą non-refoulement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i prawami człowieka, a także zgodnie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z dyrektywą Parlamentu Europejskiego i Rady 2008/115/WE. Zwiększenie skuteczności unijnego systemu powrotów nielegalnie przebywających obywateli państw trzecich lub bezpaństwowców jest niezbędne dla utrzymania zaufania publicznego do unijnego systemu migracyjnego i systemu azylowego; powinno towarzyszyć mu podejmowanie wysiłków na rzecz zapewnienia ochrony osobom jej potrzebującym.</w:t>
            </w:r>
          </w:p>
          <w:p w14:paraId="1E730542" w14:textId="0B5B74BA" w:rsidR="002A63AF" w:rsidRDefault="002A63AF" w:rsidP="002A63AF">
            <w:pPr>
              <w:jc w:val="both"/>
              <w:rPr>
                <w:rFonts w:asciiTheme="minorHAnsi" w:hAnsiTheme="minorHAnsi" w:cstheme="minorHAnsi"/>
                <w:sz w:val="22"/>
                <w:szCs w:val="22"/>
              </w:rPr>
            </w:pPr>
            <w:r>
              <w:rPr>
                <w:rFonts w:asciiTheme="minorHAnsi" w:hAnsiTheme="minorHAnsi" w:cstheme="minorHAnsi"/>
                <w:sz w:val="22"/>
                <w:szCs w:val="22"/>
              </w:rPr>
              <w:t>W motywie 22 tego rozporządzenia wskazano natomiast, że o</w:t>
            </w:r>
            <w:r w:rsidRPr="00F94F8E">
              <w:rPr>
                <w:rFonts w:asciiTheme="minorHAnsi" w:hAnsiTheme="minorHAnsi" w:cstheme="minorHAnsi"/>
                <w:sz w:val="22"/>
                <w:szCs w:val="22"/>
              </w:rPr>
              <w:t xml:space="preserve">rgany krajowe w państwach członkowskich mają trudności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z identyfikowaniem nielegalnie przebywających obywateli państw trzecich lub bezpaństwowców na potrzeby przeprowadzenia ich powrotu i readmisji. Należy zatem zapewnić, aby dane dotyczące obywateli państw trzecich lub bezpaństwowców nielegalnie przebywających w Unii były gromadzone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lastRenderedPageBreak/>
              <w:t>i przesyłane do Eurodac oraz porównywane</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 z danymi, które są gromadzone i przesyłane na potrzeby ustalania tożsamości osób ubiegających się o ochronę międzynarodową i obywateli państw trzecich lub bezpaństwowców zatrzymanych w związku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 xml:space="preserve">z niedozwolonym przekroczeniem zewnętrznych granic państw członkowskich, co ułatwi ich identyfikację oraz ponowne wydanie dokumentów, a także zapewni przeprowadzenie ich powrotu i readmisji oraz ograniczy liczbę oszustw dotyczących tożsamości. Takie gromadzenie, przesyłanie </w:t>
            </w:r>
            <w:r w:rsidR="00A47509">
              <w:rPr>
                <w:rFonts w:asciiTheme="minorHAnsi" w:hAnsiTheme="minorHAnsi" w:cstheme="minorHAnsi"/>
                <w:sz w:val="22"/>
                <w:szCs w:val="22"/>
              </w:rPr>
              <w:t xml:space="preserve">               </w:t>
            </w:r>
            <w:r w:rsidRPr="00F94F8E">
              <w:rPr>
                <w:rFonts w:asciiTheme="minorHAnsi" w:hAnsiTheme="minorHAnsi" w:cstheme="minorHAnsi"/>
                <w:sz w:val="22"/>
                <w:szCs w:val="22"/>
              </w:rPr>
              <w:t>i porównywanie danych powinno przyczynić się również do ograniczenia czasu trwania procedur administracyjnych niezbędnych do przeprowadzenia powrotów i readmisji nielegalnie przebywających obywateli państw trzecich lub bezpaństwowców, w tym do skrócenia okresu, przez jaki wobec tych osób można stosować detencję administracyjną przed ich wydaleniem. Powinno także pozwolić na identyfikowanie państw trzecich będących państwami tranzytu, do których może być przeprowadzana readmisja nielegalnie przebywającego obywatela państwa trzeciego lub bezpaństwowca.</w:t>
            </w:r>
          </w:p>
          <w:p w14:paraId="564D8024" w14:textId="3D9D8839" w:rsidR="002A63AF" w:rsidRPr="00591C58" w:rsidRDefault="002A63AF" w:rsidP="002A63AF">
            <w:pPr>
              <w:jc w:val="both"/>
              <w:rPr>
                <w:rFonts w:asciiTheme="minorHAnsi" w:hAnsiTheme="minorHAnsi" w:cstheme="minorHAnsi"/>
                <w:sz w:val="22"/>
                <w:szCs w:val="22"/>
              </w:rPr>
            </w:pPr>
            <w:r>
              <w:rPr>
                <w:rFonts w:asciiTheme="minorHAnsi" w:hAnsiTheme="minorHAnsi" w:cstheme="minorHAnsi"/>
                <w:sz w:val="22"/>
                <w:szCs w:val="22"/>
              </w:rPr>
              <w:t>Co za tym idzie, brak przyznania środków wskazanych w OSR do projektowanej ustawy utrudni realizację przez RP jej zadań wynikających z przepisów prawa UE, co może stanowić naruszenie zasady lojalnej współpracy wynikającej z art. 4 ust. 3 Traktatu o Unii Europejskiej.</w:t>
            </w:r>
          </w:p>
        </w:tc>
      </w:tr>
      <w:tr w:rsidR="009520C3" w:rsidRPr="004B4123" w14:paraId="7E393B58" w14:textId="77777777" w:rsidTr="003177BC">
        <w:tc>
          <w:tcPr>
            <w:tcW w:w="421" w:type="dxa"/>
            <w:shd w:val="clear" w:color="auto" w:fill="auto"/>
          </w:tcPr>
          <w:p w14:paraId="15EF0DE4" w14:textId="0521517C"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3</w:t>
            </w:r>
          </w:p>
        </w:tc>
        <w:tc>
          <w:tcPr>
            <w:tcW w:w="1134" w:type="dxa"/>
            <w:shd w:val="clear" w:color="auto" w:fill="auto"/>
          </w:tcPr>
          <w:p w14:paraId="0EF4A59E" w14:textId="62E21A4B" w:rsidR="009520C3" w:rsidRPr="0077406D" w:rsidRDefault="009520C3" w:rsidP="009357E2">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w:t>
            </w:r>
            <w:r w:rsidRPr="0077406D">
              <w:rPr>
                <w:rFonts w:asciiTheme="minorHAnsi" w:hAnsiTheme="minorHAnsi" w:cstheme="minorHAnsi"/>
                <w:b/>
                <w:sz w:val="22"/>
                <w:szCs w:val="22"/>
              </w:rPr>
              <w:lastRenderedPageBreak/>
              <w:t>two Finansów</w:t>
            </w:r>
          </w:p>
        </w:tc>
        <w:tc>
          <w:tcPr>
            <w:tcW w:w="992" w:type="dxa"/>
            <w:shd w:val="clear" w:color="auto" w:fill="auto"/>
          </w:tcPr>
          <w:p w14:paraId="5A82644E" w14:textId="6B27F652" w:rsidR="009520C3" w:rsidRPr="0077406D" w:rsidRDefault="00A63767" w:rsidP="00F62A42">
            <w:pPr>
              <w:jc w:val="center"/>
              <w:rPr>
                <w:rFonts w:asciiTheme="minorHAnsi" w:hAnsiTheme="minorHAnsi" w:cstheme="minorHAnsi"/>
                <w:sz w:val="22"/>
                <w:szCs w:val="22"/>
              </w:rPr>
            </w:pPr>
            <w:r>
              <w:rPr>
                <w:rFonts w:asciiTheme="minorHAnsi" w:hAnsiTheme="minorHAnsi" w:cstheme="minorHAnsi"/>
                <w:sz w:val="22"/>
                <w:szCs w:val="22"/>
              </w:rPr>
              <w:lastRenderedPageBreak/>
              <w:t>OSR</w:t>
            </w:r>
          </w:p>
        </w:tc>
        <w:tc>
          <w:tcPr>
            <w:tcW w:w="3827" w:type="dxa"/>
            <w:shd w:val="clear" w:color="auto" w:fill="auto"/>
          </w:tcPr>
          <w:p w14:paraId="574EF03B" w14:textId="26424AB5" w:rsidR="009520C3" w:rsidRPr="007167B1" w:rsidRDefault="00A63767" w:rsidP="00F62A42">
            <w:pPr>
              <w:jc w:val="both"/>
              <w:rPr>
                <w:rFonts w:asciiTheme="minorHAnsi" w:hAnsiTheme="minorHAnsi" w:cstheme="minorHAnsi"/>
                <w:sz w:val="22"/>
                <w:szCs w:val="22"/>
              </w:rPr>
            </w:pPr>
            <w:r w:rsidRPr="00A63767">
              <w:rPr>
                <w:rFonts w:asciiTheme="minorHAnsi" w:hAnsiTheme="minorHAnsi" w:cstheme="minorHAnsi"/>
                <w:sz w:val="22"/>
                <w:szCs w:val="22"/>
              </w:rPr>
              <w:t xml:space="preserve">Istotne wątpliwości budzą także informacje przedstawione w części opisowej punktu 6 OSR, w których </w:t>
            </w:r>
            <w:r w:rsidRPr="00A63767">
              <w:rPr>
                <w:rFonts w:asciiTheme="minorHAnsi" w:hAnsiTheme="minorHAnsi" w:cstheme="minorHAnsi"/>
                <w:sz w:val="22"/>
                <w:szCs w:val="22"/>
              </w:rPr>
              <w:lastRenderedPageBreak/>
              <w:t xml:space="preserve">wskazuje się zadania, których wydatkowanie zaplanowane jest na rok 2026. Przede wszystkim należy jednoznacznie podkreślić, że w ustawie budżetowej na rok 2026 </w:t>
            </w:r>
            <w:r w:rsidR="00CF6FB3">
              <w:rPr>
                <w:rFonts w:asciiTheme="minorHAnsi" w:hAnsiTheme="minorHAnsi" w:cstheme="minorHAnsi"/>
                <w:sz w:val="22"/>
                <w:szCs w:val="22"/>
              </w:rPr>
              <w:br/>
            </w:r>
            <w:r w:rsidRPr="00A63767">
              <w:rPr>
                <w:rFonts w:asciiTheme="minorHAnsi" w:hAnsiTheme="minorHAnsi" w:cstheme="minorHAnsi"/>
                <w:sz w:val="22"/>
                <w:szCs w:val="22"/>
              </w:rPr>
              <w:t xml:space="preserve">nie zostały zabezpieczone dodatkowe środki z przeznaczeniem </w:t>
            </w:r>
            <w:r w:rsidR="00CF6FB3">
              <w:rPr>
                <w:rFonts w:asciiTheme="minorHAnsi" w:hAnsiTheme="minorHAnsi" w:cstheme="minorHAnsi"/>
                <w:sz w:val="22"/>
                <w:szCs w:val="22"/>
              </w:rPr>
              <w:br/>
            </w:r>
            <w:r w:rsidRPr="00A63767">
              <w:rPr>
                <w:rFonts w:asciiTheme="minorHAnsi" w:hAnsiTheme="minorHAnsi" w:cstheme="minorHAnsi"/>
                <w:sz w:val="22"/>
                <w:szCs w:val="22"/>
              </w:rPr>
              <w:t xml:space="preserve">na sfinansowanie zadań, o których mowa  w przedmiotowym projekcie. Powyższe jednoznacznie wskazuje na dostępną przestrzeń finansową </w:t>
            </w:r>
            <w:r w:rsidR="00CF6FB3">
              <w:rPr>
                <w:rFonts w:asciiTheme="minorHAnsi" w:hAnsiTheme="minorHAnsi" w:cstheme="minorHAnsi"/>
                <w:sz w:val="22"/>
                <w:szCs w:val="22"/>
              </w:rPr>
              <w:br/>
            </w:r>
            <w:r w:rsidRPr="00A63767">
              <w:rPr>
                <w:rFonts w:asciiTheme="minorHAnsi" w:hAnsiTheme="minorHAnsi" w:cstheme="minorHAnsi"/>
                <w:sz w:val="22"/>
                <w:szCs w:val="22"/>
              </w:rPr>
              <w:t>w budżecie dysponenta na realizację ww. zadań. W tym miejscu należy zauważyć, że w materiałach przekazanych do opracowania projektu ustawy budżetowej na 2026 r., dysponent nie zgłaszał konieczności zabezpieczenia dodatkowych środków z tego tytułu.</w:t>
            </w:r>
          </w:p>
        </w:tc>
        <w:tc>
          <w:tcPr>
            <w:tcW w:w="4961" w:type="dxa"/>
            <w:shd w:val="clear" w:color="auto" w:fill="auto"/>
          </w:tcPr>
          <w:p w14:paraId="0A62F6DB" w14:textId="6EE2F5ED" w:rsidR="009520C3" w:rsidRPr="007167B1" w:rsidRDefault="00CF6FB3" w:rsidP="009357E2">
            <w:pPr>
              <w:jc w:val="both"/>
              <w:rPr>
                <w:rFonts w:ascii="Calibri" w:hAnsi="Calibri" w:cs="Calibri"/>
                <w:sz w:val="22"/>
                <w:szCs w:val="22"/>
              </w:rPr>
            </w:pPr>
            <w:r>
              <w:rPr>
                <w:rFonts w:ascii="Calibri" w:hAnsi="Calibri" w:cs="Calibri"/>
                <w:sz w:val="22"/>
                <w:szCs w:val="22"/>
              </w:rPr>
              <w:lastRenderedPageBreak/>
              <w:t>Do wyjaśnienia przez projektodawcę</w:t>
            </w:r>
            <w:r w:rsidR="001538D1">
              <w:rPr>
                <w:rFonts w:ascii="Calibri" w:hAnsi="Calibri" w:cs="Calibri"/>
                <w:sz w:val="22"/>
                <w:szCs w:val="22"/>
              </w:rPr>
              <w:t>.</w:t>
            </w:r>
          </w:p>
        </w:tc>
        <w:tc>
          <w:tcPr>
            <w:tcW w:w="4253" w:type="dxa"/>
          </w:tcPr>
          <w:p w14:paraId="050A5017" w14:textId="618A0521" w:rsidR="009520C3" w:rsidRDefault="00D62BBD" w:rsidP="00D62BBD">
            <w:pPr>
              <w:jc w:val="both"/>
              <w:rPr>
                <w:rFonts w:asciiTheme="minorHAnsi" w:hAnsiTheme="minorHAnsi" w:cstheme="minorHAnsi"/>
                <w:b/>
                <w:sz w:val="22"/>
                <w:szCs w:val="22"/>
              </w:rPr>
            </w:pPr>
            <w:r w:rsidRPr="00D62BBD">
              <w:rPr>
                <w:rFonts w:asciiTheme="minorHAnsi" w:hAnsiTheme="minorHAnsi" w:cstheme="minorHAnsi"/>
                <w:b/>
                <w:sz w:val="22"/>
                <w:szCs w:val="22"/>
              </w:rPr>
              <w:t>Stanowisko MSWiA</w:t>
            </w:r>
          </w:p>
          <w:p w14:paraId="06F39EC7" w14:textId="4E99B625" w:rsidR="006D699C" w:rsidRPr="00D62BBD" w:rsidRDefault="006D699C" w:rsidP="00D62BBD">
            <w:pPr>
              <w:jc w:val="both"/>
              <w:rPr>
                <w:rFonts w:asciiTheme="minorHAnsi" w:hAnsiTheme="minorHAnsi" w:cstheme="minorHAnsi"/>
                <w:b/>
                <w:sz w:val="22"/>
                <w:szCs w:val="22"/>
              </w:rPr>
            </w:pPr>
            <w:r>
              <w:rPr>
                <w:rFonts w:asciiTheme="minorHAnsi" w:hAnsiTheme="minorHAnsi" w:cstheme="minorHAnsi"/>
                <w:b/>
                <w:sz w:val="22"/>
                <w:szCs w:val="22"/>
              </w:rPr>
              <w:t>Uwaga wyjaśniona</w:t>
            </w:r>
            <w:r w:rsidR="00A47509">
              <w:rPr>
                <w:rFonts w:asciiTheme="minorHAnsi" w:hAnsiTheme="minorHAnsi" w:cstheme="minorHAnsi"/>
                <w:b/>
                <w:sz w:val="22"/>
                <w:szCs w:val="22"/>
              </w:rPr>
              <w:t>.</w:t>
            </w:r>
          </w:p>
          <w:p w14:paraId="00079CEA" w14:textId="79ED9A94" w:rsidR="002156E3" w:rsidRPr="002156E3" w:rsidRDefault="002156E3" w:rsidP="002156E3">
            <w:pPr>
              <w:contextualSpacing/>
              <w:jc w:val="both"/>
              <w:rPr>
                <w:rFonts w:asciiTheme="minorHAnsi" w:hAnsiTheme="minorHAnsi" w:cstheme="minorHAnsi"/>
                <w:b/>
                <w:bCs/>
                <w:color w:val="000000"/>
                <w:sz w:val="22"/>
                <w:szCs w:val="22"/>
              </w:rPr>
            </w:pPr>
            <w:r w:rsidRPr="002156E3">
              <w:rPr>
                <w:rFonts w:asciiTheme="minorHAnsi" w:hAnsiTheme="minorHAnsi" w:cstheme="minorHAnsi"/>
                <w:sz w:val="22"/>
                <w:szCs w:val="22"/>
              </w:rPr>
              <w:lastRenderedPageBreak/>
              <w:t xml:space="preserve">Sytuacja związania z finansowaniem wdrożenia systemu wynika z opóźnień </w:t>
            </w:r>
            <w:r w:rsidR="00A47509">
              <w:rPr>
                <w:rFonts w:asciiTheme="minorHAnsi" w:hAnsiTheme="minorHAnsi" w:cstheme="minorHAnsi"/>
                <w:sz w:val="22"/>
                <w:szCs w:val="22"/>
              </w:rPr>
              <w:t xml:space="preserve">                        </w:t>
            </w:r>
            <w:r w:rsidRPr="002156E3">
              <w:rPr>
                <w:rFonts w:asciiTheme="minorHAnsi" w:hAnsiTheme="minorHAnsi" w:cstheme="minorHAnsi"/>
                <w:sz w:val="22"/>
                <w:szCs w:val="22"/>
              </w:rPr>
              <w:t>w przekazaniu środków unijnych dedykowanych na jego wdrożenie. Od czerwca 2025 r. MSWiA czekało na decyzje dotyczące zapewnienia środków finansowych na uruchomienie Eurodac. Dopiero w grudniu 2025 r. MSWiA otrzymało informację, że KE pozytywnie rozpatrzyła przygotowane przez Polskę aneksy do dokumentacji implementującej unijne rozwiązania na rzecz migracji i azylu. Nie było zatem możliwości uwzględnienia kosztów w ustawie budżetowej na 2026 rok.</w:t>
            </w:r>
          </w:p>
          <w:p w14:paraId="1CB8FE7C" w14:textId="2B502A9C" w:rsidR="002156E3" w:rsidRDefault="004F053F" w:rsidP="00176042">
            <w:pPr>
              <w:jc w:val="both"/>
              <w:rPr>
                <w:rFonts w:asciiTheme="minorHAnsi" w:hAnsiTheme="minorHAnsi" w:cstheme="minorHAnsi"/>
                <w:sz w:val="22"/>
                <w:szCs w:val="22"/>
              </w:rPr>
            </w:pPr>
            <w:r w:rsidRPr="004F053F">
              <w:rPr>
                <w:rFonts w:asciiTheme="minorHAnsi" w:hAnsiTheme="minorHAnsi" w:cstheme="minorHAnsi"/>
                <w:sz w:val="22"/>
                <w:szCs w:val="22"/>
              </w:rPr>
              <w:t xml:space="preserve">Należy wskazać, że niezbędne jest zaplanowanie wydatków w OSR na rok 2026. Tak została skonstruowana umowa </w:t>
            </w:r>
            <w:r w:rsidR="00A47509">
              <w:rPr>
                <w:rFonts w:asciiTheme="minorHAnsi" w:hAnsiTheme="minorHAnsi" w:cstheme="minorHAnsi"/>
                <w:sz w:val="22"/>
                <w:szCs w:val="22"/>
              </w:rPr>
              <w:t xml:space="preserve">                                 </w:t>
            </w:r>
            <w:r w:rsidRPr="004F053F">
              <w:rPr>
                <w:rFonts w:asciiTheme="minorHAnsi" w:hAnsiTheme="minorHAnsi" w:cstheme="minorHAnsi"/>
                <w:sz w:val="22"/>
                <w:szCs w:val="22"/>
              </w:rPr>
              <w:t>z Wykonawcą projektu „Implementacja Eurodac Recast” - obejmuje ona dostarczenie przez Wykonawcę dokumentacji projektowej w terminie 3 miesięcy od zawarcia umowy.</w:t>
            </w:r>
          </w:p>
          <w:p w14:paraId="02A210FE" w14:textId="3D7F6C7A" w:rsidR="00916D9C" w:rsidRDefault="00D62BBD" w:rsidP="00916D9C">
            <w:pPr>
              <w:jc w:val="both"/>
              <w:rPr>
                <w:color w:val="1F497D"/>
              </w:rPr>
            </w:pPr>
            <w:r w:rsidRPr="00D62BBD">
              <w:rPr>
                <w:rFonts w:asciiTheme="minorHAnsi" w:hAnsiTheme="minorHAnsi" w:cstheme="minorHAnsi"/>
                <w:sz w:val="22"/>
                <w:szCs w:val="22"/>
              </w:rPr>
              <w:t>Projekt pn. „Implementacja Eurodac Recast” ma być finansowany z unijnych środków finansowych z Instrumentu Wsparcia Finansowego na rzecz Zarządzania Granicami i Polityki Wizowe</w:t>
            </w:r>
            <w:r w:rsidR="00916D9C">
              <w:rPr>
                <w:rFonts w:asciiTheme="minorHAnsi" w:hAnsiTheme="minorHAnsi" w:cstheme="minorHAnsi"/>
                <w:sz w:val="22"/>
                <w:szCs w:val="22"/>
              </w:rPr>
              <w:t xml:space="preserve">j  w ramach programu krajowego. </w:t>
            </w:r>
            <w:r w:rsidR="00916D9C" w:rsidRPr="007E16FD">
              <w:rPr>
                <w:rFonts w:asciiTheme="minorHAnsi" w:hAnsiTheme="minorHAnsi" w:cstheme="minorHAnsi"/>
                <w:sz w:val="22"/>
                <w:szCs w:val="22"/>
              </w:rPr>
              <w:t>Projekt zgłoszony przez KGP</w:t>
            </w:r>
            <w:r w:rsidR="00A47509">
              <w:rPr>
                <w:rFonts w:asciiTheme="minorHAnsi" w:hAnsiTheme="minorHAnsi" w:cstheme="minorHAnsi"/>
                <w:sz w:val="22"/>
                <w:szCs w:val="22"/>
              </w:rPr>
              <w:t xml:space="preserve">                      </w:t>
            </w:r>
            <w:r w:rsidR="00916D9C" w:rsidRPr="007E16FD">
              <w:rPr>
                <w:rFonts w:asciiTheme="minorHAnsi" w:hAnsiTheme="minorHAnsi" w:cstheme="minorHAnsi"/>
                <w:sz w:val="22"/>
                <w:szCs w:val="22"/>
              </w:rPr>
              <w:t xml:space="preserve"> w ramach naboru dodatkowego </w:t>
            </w:r>
            <w:r w:rsidR="00213339" w:rsidRPr="007E16FD">
              <w:rPr>
                <w:rFonts w:asciiTheme="minorHAnsi" w:hAnsiTheme="minorHAnsi" w:cstheme="minorHAnsi"/>
                <w:sz w:val="22"/>
                <w:szCs w:val="22"/>
              </w:rPr>
              <w:t xml:space="preserve">do Instrumentu Wsparcia Finansowego na rzecz Zarządzania Granicami i Polityki Wizowej (IZGW) </w:t>
            </w:r>
            <w:r w:rsidR="00916D9C" w:rsidRPr="007E16FD">
              <w:rPr>
                <w:rFonts w:asciiTheme="minorHAnsi" w:hAnsiTheme="minorHAnsi" w:cstheme="minorHAnsi"/>
                <w:sz w:val="22"/>
                <w:szCs w:val="22"/>
              </w:rPr>
              <w:t>został oceniony. Trwa przygotowanie Porozumienia Finansowego. Finalizowana również kwesti</w:t>
            </w:r>
            <w:r w:rsidR="00093251" w:rsidRPr="007E16FD">
              <w:rPr>
                <w:rFonts w:asciiTheme="minorHAnsi" w:hAnsiTheme="minorHAnsi" w:cstheme="minorHAnsi"/>
                <w:sz w:val="22"/>
                <w:szCs w:val="22"/>
              </w:rPr>
              <w:t>a</w:t>
            </w:r>
            <w:r w:rsidR="00916D9C" w:rsidRPr="007E16FD">
              <w:rPr>
                <w:rFonts w:asciiTheme="minorHAnsi" w:hAnsiTheme="minorHAnsi" w:cstheme="minorHAnsi"/>
                <w:sz w:val="22"/>
                <w:szCs w:val="22"/>
              </w:rPr>
              <w:t xml:space="preserve"> zmiany </w:t>
            </w:r>
            <w:r w:rsidR="00093251" w:rsidRPr="007E16FD">
              <w:rPr>
                <w:rFonts w:asciiTheme="minorHAnsi" w:hAnsiTheme="minorHAnsi" w:cstheme="minorHAnsi"/>
                <w:sz w:val="22"/>
                <w:szCs w:val="22"/>
              </w:rPr>
              <w:t>p</w:t>
            </w:r>
            <w:r w:rsidR="00916D9C" w:rsidRPr="007E16FD">
              <w:rPr>
                <w:rFonts w:asciiTheme="minorHAnsi" w:hAnsiTheme="minorHAnsi" w:cstheme="minorHAnsi"/>
                <w:sz w:val="22"/>
                <w:szCs w:val="22"/>
              </w:rPr>
              <w:t>rogramu</w:t>
            </w:r>
            <w:r w:rsidR="00093251" w:rsidRPr="007E16FD">
              <w:rPr>
                <w:rFonts w:asciiTheme="minorHAnsi" w:hAnsiTheme="minorHAnsi" w:cstheme="minorHAnsi"/>
                <w:sz w:val="22"/>
                <w:szCs w:val="22"/>
              </w:rPr>
              <w:t xml:space="preserve"> krajowego</w:t>
            </w:r>
            <w:r w:rsidR="007A4AA8">
              <w:rPr>
                <w:rFonts w:asciiTheme="minorHAnsi" w:hAnsiTheme="minorHAnsi" w:cstheme="minorHAnsi"/>
                <w:sz w:val="22"/>
                <w:szCs w:val="22"/>
              </w:rPr>
              <w:t>.</w:t>
            </w:r>
            <w:r w:rsidR="00916D9C" w:rsidRPr="00916D9C">
              <w:rPr>
                <w:rFonts w:asciiTheme="minorHAnsi" w:hAnsiTheme="minorHAnsi" w:cstheme="minorHAnsi"/>
                <w:sz w:val="22"/>
                <w:szCs w:val="22"/>
              </w:rPr>
              <w:t xml:space="preserve"> </w:t>
            </w:r>
          </w:p>
          <w:p w14:paraId="60D2098D" w14:textId="654E75F1" w:rsidR="006D699C" w:rsidRDefault="006D699C" w:rsidP="00825874">
            <w:pPr>
              <w:jc w:val="both"/>
              <w:rPr>
                <w:rFonts w:asciiTheme="minorHAnsi" w:hAnsiTheme="minorHAnsi" w:cstheme="minorHAnsi"/>
                <w:sz w:val="22"/>
                <w:szCs w:val="22"/>
              </w:rPr>
            </w:pPr>
          </w:p>
          <w:p w14:paraId="11A4E6DC" w14:textId="03BA8222" w:rsidR="00435457" w:rsidRPr="00D62BBD" w:rsidRDefault="006D699C" w:rsidP="00280EBF">
            <w:pPr>
              <w:jc w:val="both"/>
              <w:rPr>
                <w:rFonts w:asciiTheme="minorHAnsi" w:hAnsiTheme="minorHAnsi" w:cstheme="minorHAnsi"/>
                <w:sz w:val="22"/>
                <w:szCs w:val="22"/>
              </w:rPr>
            </w:pPr>
            <w:r>
              <w:rPr>
                <w:rFonts w:asciiTheme="minorHAnsi" w:hAnsiTheme="minorHAnsi" w:cstheme="minorHAnsi"/>
                <w:sz w:val="22"/>
                <w:szCs w:val="22"/>
              </w:rPr>
              <w:t xml:space="preserve">Należy wskazać, że </w:t>
            </w:r>
            <w:r w:rsidRPr="00B87A64">
              <w:rPr>
                <w:rFonts w:asciiTheme="minorHAnsi" w:hAnsiTheme="minorHAnsi" w:cstheme="minorHAnsi"/>
                <w:sz w:val="22"/>
                <w:szCs w:val="22"/>
              </w:rPr>
              <w:t>na pierwszym etapie prac na</w:t>
            </w:r>
            <w:r>
              <w:rPr>
                <w:rFonts w:asciiTheme="minorHAnsi" w:hAnsiTheme="minorHAnsi" w:cstheme="minorHAnsi"/>
                <w:sz w:val="22"/>
                <w:szCs w:val="22"/>
              </w:rPr>
              <w:t>d</w:t>
            </w:r>
            <w:r w:rsidRPr="00B87A64">
              <w:rPr>
                <w:rFonts w:asciiTheme="minorHAnsi" w:hAnsiTheme="minorHAnsi" w:cstheme="minorHAnsi"/>
                <w:sz w:val="22"/>
                <w:szCs w:val="22"/>
              </w:rPr>
              <w:t xml:space="preserve"> projektem ustawy budżetowej na 2026 rok (styczeń 2025 r.) do MSWiA zgłoszone </w:t>
            </w:r>
            <w:r w:rsidRPr="00B87A64">
              <w:rPr>
                <w:rFonts w:asciiTheme="minorHAnsi" w:hAnsiTheme="minorHAnsi" w:cstheme="minorHAnsi"/>
                <w:sz w:val="22"/>
                <w:szCs w:val="22"/>
              </w:rPr>
              <w:lastRenderedPageBreak/>
              <w:t xml:space="preserve">zostały </w:t>
            </w:r>
            <w:r w:rsidR="004F053F">
              <w:rPr>
                <w:rFonts w:asciiTheme="minorHAnsi" w:hAnsiTheme="minorHAnsi" w:cstheme="minorHAnsi"/>
                <w:sz w:val="22"/>
                <w:szCs w:val="22"/>
              </w:rPr>
              <w:t xml:space="preserve">jedynie </w:t>
            </w:r>
            <w:r w:rsidRPr="00B87A64">
              <w:rPr>
                <w:rFonts w:asciiTheme="minorHAnsi" w:hAnsiTheme="minorHAnsi" w:cstheme="minorHAnsi"/>
                <w:sz w:val="22"/>
                <w:szCs w:val="22"/>
              </w:rPr>
              <w:t>potrzeby Policji wynikające</w:t>
            </w:r>
            <w:r w:rsidR="00A47509">
              <w:rPr>
                <w:rFonts w:asciiTheme="minorHAnsi" w:hAnsiTheme="minorHAnsi" w:cstheme="minorHAnsi"/>
                <w:sz w:val="22"/>
                <w:szCs w:val="22"/>
              </w:rPr>
              <w:t xml:space="preserve">                 </w:t>
            </w:r>
            <w:r w:rsidRPr="00B87A64">
              <w:rPr>
                <w:rFonts w:asciiTheme="minorHAnsi" w:hAnsiTheme="minorHAnsi" w:cstheme="minorHAnsi"/>
                <w:sz w:val="22"/>
                <w:szCs w:val="22"/>
              </w:rPr>
              <w:t xml:space="preserve"> z OSR do ustaw już obowiązujących. </w:t>
            </w:r>
            <w:r>
              <w:rPr>
                <w:rFonts w:asciiTheme="minorHAnsi" w:hAnsiTheme="minorHAnsi" w:cstheme="minorHAnsi"/>
                <w:sz w:val="22"/>
                <w:szCs w:val="22"/>
              </w:rPr>
              <w:t xml:space="preserve">Z uwagi na fakt, że projektowana ustawa nie weszła w życie nie dokonano zgłoszenia wynikających </w:t>
            </w:r>
            <w:r w:rsidR="00A47509">
              <w:rPr>
                <w:rFonts w:asciiTheme="minorHAnsi" w:hAnsiTheme="minorHAnsi" w:cstheme="minorHAnsi"/>
                <w:sz w:val="22"/>
                <w:szCs w:val="22"/>
              </w:rPr>
              <w:t xml:space="preserve">              </w:t>
            </w:r>
            <w:r>
              <w:rPr>
                <w:rFonts w:asciiTheme="minorHAnsi" w:hAnsiTheme="minorHAnsi" w:cstheme="minorHAnsi"/>
                <w:sz w:val="22"/>
                <w:szCs w:val="22"/>
              </w:rPr>
              <w:t>z niej skutków finansowych</w:t>
            </w:r>
            <w:r w:rsidR="00280EBF">
              <w:rPr>
                <w:rFonts w:asciiTheme="minorHAnsi" w:hAnsiTheme="minorHAnsi" w:cstheme="minorHAnsi"/>
                <w:sz w:val="22"/>
                <w:szCs w:val="22"/>
              </w:rPr>
              <w:t>.</w:t>
            </w:r>
          </w:p>
        </w:tc>
      </w:tr>
      <w:tr w:rsidR="003177BC" w:rsidRPr="004B4123" w14:paraId="3AB60C1D" w14:textId="77777777" w:rsidTr="003177BC">
        <w:tc>
          <w:tcPr>
            <w:tcW w:w="421" w:type="dxa"/>
            <w:shd w:val="clear" w:color="auto" w:fill="auto"/>
          </w:tcPr>
          <w:p w14:paraId="691D9812" w14:textId="6A3FBB97" w:rsidR="003177BC" w:rsidRPr="0077406D" w:rsidRDefault="003177BC" w:rsidP="003177BC">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4</w:t>
            </w:r>
          </w:p>
        </w:tc>
        <w:tc>
          <w:tcPr>
            <w:tcW w:w="1134" w:type="dxa"/>
            <w:shd w:val="clear" w:color="auto" w:fill="auto"/>
          </w:tcPr>
          <w:p w14:paraId="2F5FE75F" w14:textId="17179C6C" w:rsidR="003177BC" w:rsidRPr="0077406D" w:rsidRDefault="003177BC" w:rsidP="003177BC">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0D3BF285" w14:textId="29BA8CC6" w:rsidR="003177BC" w:rsidRPr="0077406D" w:rsidRDefault="003177BC" w:rsidP="003177BC">
            <w:pPr>
              <w:jc w:val="center"/>
              <w:rPr>
                <w:rFonts w:asciiTheme="minorHAnsi" w:hAnsiTheme="minorHAnsi" w:cstheme="minorHAnsi"/>
                <w:sz w:val="22"/>
                <w:szCs w:val="22"/>
              </w:rPr>
            </w:pPr>
            <w:r>
              <w:rPr>
                <w:rFonts w:asciiTheme="minorHAnsi" w:hAnsiTheme="minorHAnsi" w:cstheme="minorHAnsi"/>
                <w:sz w:val="22"/>
                <w:szCs w:val="22"/>
              </w:rPr>
              <w:t>OSR</w:t>
            </w:r>
          </w:p>
        </w:tc>
        <w:tc>
          <w:tcPr>
            <w:tcW w:w="3827" w:type="dxa"/>
            <w:shd w:val="clear" w:color="auto" w:fill="auto"/>
          </w:tcPr>
          <w:p w14:paraId="124D2F6D" w14:textId="1460F002" w:rsidR="003177BC" w:rsidRPr="004E3B77" w:rsidRDefault="003177BC" w:rsidP="003177BC">
            <w:pPr>
              <w:jc w:val="both"/>
              <w:rPr>
                <w:rFonts w:asciiTheme="minorHAnsi" w:hAnsiTheme="minorHAnsi" w:cstheme="minorHAnsi"/>
                <w:sz w:val="22"/>
                <w:szCs w:val="22"/>
              </w:rPr>
            </w:pPr>
            <w:r w:rsidRPr="004E3B77">
              <w:rPr>
                <w:rFonts w:asciiTheme="minorHAnsi" w:hAnsiTheme="minorHAnsi" w:cstheme="minorHAnsi"/>
                <w:sz w:val="22"/>
                <w:szCs w:val="22"/>
              </w:rPr>
              <w:t>Projektodawca zakłada zwiększenie etatowe w Ministerstwie Spraw Wewnętrznych i Administracji (2 etaty). Należy zauważyć, że realizacja nowych zadań nie zawsze powinna wiązać się ze wzrostem limitu wydatków oraz automatycznym wzrostem zatrudnienia i wydatków z tym związanych. Brak jest również informacji na temat możliwości realizacji zadań w ramach reorganizacji pracy w jednostce, a także brak jest szczegółowej informacji na temat oszacowania pracochłonności nowych zadań. Zawarcie w OSR takich informacji j</w:t>
            </w:r>
            <w:r w:rsidR="00DF7204">
              <w:rPr>
                <w:rFonts w:asciiTheme="minorHAnsi" w:hAnsiTheme="minorHAnsi" w:cstheme="minorHAnsi"/>
                <w:sz w:val="22"/>
                <w:szCs w:val="22"/>
              </w:rPr>
              <w:t xml:space="preserve">est </w:t>
            </w:r>
            <w:r w:rsidRPr="004E3B77">
              <w:rPr>
                <w:rFonts w:asciiTheme="minorHAnsi" w:hAnsiTheme="minorHAnsi" w:cstheme="minorHAnsi"/>
                <w:sz w:val="22"/>
                <w:szCs w:val="22"/>
              </w:rPr>
              <w:t xml:space="preserve">wymagane </w:t>
            </w:r>
            <w:r>
              <w:rPr>
                <w:rFonts w:asciiTheme="minorHAnsi" w:hAnsiTheme="minorHAnsi" w:cstheme="minorHAnsi"/>
                <w:sz w:val="22"/>
                <w:szCs w:val="22"/>
              </w:rPr>
              <w:br/>
            </w:r>
            <w:r w:rsidRPr="004E3B77">
              <w:rPr>
                <w:rFonts w:asciiTheme="minorHAnsi" w:hAnsiTheme="minorHAnsi" w:cstheme="minorHAnsi"/>
                <w:sz w:val="22"/>
                <w:szCs w:val="22"/>
              </w:rPr>
              <w:t>na podstawie najnowszych wytycznych Koordynatora Oceny</w:t>
            </w:r>
            <w:r>
              <w:rPr>
                <w:rFonts w:asciiTheme="minorHAnsi" w:hAnsiTheme="minorHAnsi" w:cstheme="minorHAnsi"/>
                <w:sz w:val="22"/>
                <w:szCs w:val="22"/>
              </w:rPr>
              <w:t xml:space="preserve"> </w:t>
            </w:r>
            <w:r w:rsidRPr="004E3B77">
              <w:rPr>
                <w:rFonts w:asciiTheme="minorHAnsi" w:hAnsiTheme="minorHAnsi" w:cstheme="minorHAnsi"/>
                <w:sz w:val="22"/>
                <w:szCs w:val="22"/>
              </w:rPr>
              <w:t>Skutków Regulacji.</w:t>
            </w:r>
          </w:p>
          <w:p w14:paraId="0D2A5142" w14:textId="77777777" w:rsidR="003177BC" w:rsidRDefault="003177BC" w:rsidP="003177BC">
            <w:pPr>
              <w:jc w:val="both"/>
              <w:rPr>
                <w:rFonts w:asciiTheme="minorHAnsi" w:hAnsiTheme="minorHAnsi" w:cstheme="minorHAnsi"/>
                <w:sz w:val="22"/>
                <w:szCs w:val="22"/>
              </w:rPr>
            </w:pPr>
          </w:p>
          <w:p w14:paraId="4FD384F9" w14:textId="524DC924" w:rsidR="003177BC" w:rsidRPr="007167B1" w:rsidRDefault="003177BC" w:rsidP="003177BC">
            <w:pPr>
              <w:jc w:val="both"/>
              <w:rPr>
                <w:rFonts w:asciiTheme="minorHAnsi" w:hAnsiTheme="minorHAnsi" w:cstheme="minorHAnsi"/>
                <w:sz w:val="22"/>
                <w:szCs w:val="22"/>
              </w:rPr>
            </w:pPr>
            <w:r w:rsidRPr="004E3B77">
              <w:rPr>
                <w:rFonts w:asciiTheme="minorHAnsi" w:hAnsiTheme="minorHAnsi" w:cstheme="minorHAnsi"/>
                <w:sz w:val="22"/>
                <w:szCs w:val="22"/>
              </w:rPr>
              <w:t xml:space="preserve">Projektodawca zatem powinien wygospodarować środki finansowe </w:t>
            </w:r>
            <w:r>
              <w:rPr>
                <w:rFonts w:asciiTheme="minorHAnsi" w:hAnsiTheme="minorHAnsi" w:cstheme="minorHAnsi"/>
                <w:sz w:val="22"/>
                <w:szCs w:val="22"/>
              </w:rPr>
              <w:br/>
            </w:r>
            <w:r w:rsidRPr="004E3B77">
              <w:rPr>
                <w:rFonts w:asciiTheme="minorHAnsi" w:hAnsiTheme="minorHAnsi" w:cstheme="minorHAnsi"/>
                <w:sz w:val="22"/>
                <w:szCs w:val="22"/>
              </w:rPr>
              <w:t>– w ramach zaplanowanych i posiadanych w limicie wydatków środków na wynagrodzenia i pochodne z przeznaczeniem na nowotworzone stanowiska pracy, albo zrealizować zadania w ramach posiadanych zasobów kadrowych.</w:t>
            </w:r>
          </w:p>
        </w:tc>
        <w:tc>
          <w:tcPr>
            <w:tcW w:w="4961" w:type="dxa"/>
            <w:shd w:val="clear" w:color="auto" w:fill="auto"/>
          </w:tcPr>
          <w:p w14:paraId="0742F14A" w14:textId="77777777" w:rsidR="003177BC" w:rsidRDefault="003177BC" w:rsidP="003177BC">
            <w:pPr>
              <w:jc w:val="both"/>
              <w:rPr>
                <w:rFonts w:ascii="Calibri" w:hAnsi="Calibri" w:cs="Calibri"/>
                <w:sz w:val="22"/>
                <w:szCs w:val="22"/>
              </w:rPr>
            </w:pPr>
            <w:r>
              <w:rPr>
                <w:rFonts w:ascii="Calibri" w:hAnsi="Calibri" w:cs="Calibri"/>
                <w:sz w:val="22"/>
                <w:szCs w:val="22"/>
              </w:rPr>
              <w:t>Korekta OSR we wskazanym zakresie.</w:t>
            </w:r>
          </w:p>
          <w:p w14:paraId="67544BD2" w14:textId="77777777" w:rsidR="003177BC" w:rsidRDefault="003177BC" w:rsidP="003177BC">
            <w:pPr>
              <w:jc w:val="both"/>
              <w:rPr>
                <w:rFonts w:ascii="Calibri" w:hAnsi="Calibri" w:cs="Calibri"/>
                <w:sz w:val="22"/>
                <w:szCs w:val="22"/>
              </w:rPr>
            </w:pPr>
          </w:p>
          <w:p w14:paraId="00A12831" w14:textId="2E2F4AC6" w:rsidR="003177BC" w:rsidRPr="007167B1" w:rsidRDefault="003177BC" w:rsidP="003177BC">
            <w:pPr>
              <w:jc w:val="both"/>
              <w:rPr>
                <w:rFonts w:ascii="Calibri" w:hAnsi="Calibri" w:cs="Calibri"/>
                <w:sz w:val="22"/>
                <w:szCs w:val="22"/>
              </w:rPr>
            </w:pPr>
          </w:p>
        </w:tc>
        <w:tc>
          <w:tcPr>
            <w:tcW w:w="4253" w:type="dxa"/>
          </w:tcPr>
          <w:p w14:paraId="15F011C1" w14:textId="0931D6EB" w:rsidR="008273BE" w:rsidRDefault="008273BE" w:rsidP="003177BC">
            <w:pPr>
              <w:jc w:val="both"/>
              <w:rPr>
                <w:rFonts w:asciiTheme="minorHAnsi" w:hAnsiTheme="minorHAnsi" w:cstheme="minorHAnsi"/>
                <w:b/>
                <w:color w:val="000000"/>
                <w:sz w:val="22"/>
                <w:szCs w:val="22"/>
              </w:rPr>
            </w:pPr>
            <w:r w:rsidRPr="008273BE">
              <w:rPr>
                <w:rFonts w:asciiTheme="minorHAnsi" w:hAnsiTheme="minorHAnsi" w:cstheme="minorHAnsi"/>
                <w:b/>
                <w:color w:val="000000"/>
                <w:sz w:val="22"/>
                <w:szCs w:val="22"/>
              </w:rPr>
              <w:t>Stanowisko MSWiA</w:t>
            </w:r>
          </w:p>
          <w:p w14:paraId="580E98A9" w14:textId="251EF6C5" w:rsidR="006D699C" w:rsidRDefault="006D699C" w:rsidP="003177BC">
            <w:pPr>
              <w:jc w:val="both"/>
              <w:rPr>
                <w:rFonts w:asciiTheme="minorHAnsi" w:hAnsiTheme="minorHAnsi" w:cstheme="minorHAnsi"/>
                <w:b/>
                <w:color w:val="000000"/>
                <w:sz w:val="22"/>
                <w:szCs w:val="22"/>
              </w:rPr>
            </w:pPr>
            <w:r>
              <w:rPr>
                <w:rFonts w:asciiTheme="minorHAnsi" w:hAnsiTheme="minorHAnsi" w:cstheme="minorHAnsi"/>
                <w:b/>
                <w:color w:val="000000"/>
                <w:sz w:val="22"/>
                <w:szCs w:val="22"/>
              </w:rPr>
              <w:t>Uwaga wyjaśniona</w:t>
            </w:r>
            <w:r w:rsidR="00144470">
              <w:rPr>
                <w:rFonts w:asciiTheme="minorHAnsi" w:hAnsiTheme="minorHAnsi" w:cstheme="minorHAnsi"/>
                <w:b/>
                <w:color w:val="000000"/>
                <w:sz w:val="22"/>
                <w:szCs w:val="22"/>
              </w:rPr>
              <w:t xml:space="preserve">. Skorygowano OSR </w:t>
            </w:r>
            <w:r w:rsidR="00A47509">
              <w:rPr>
                <w:rFonts w:asciiTheme="minorHAnsi" w:hAnsiTheme="minorHAnsi" w:cstheme="minorHAnsi"/>
                <w:b/>
                <w:color w:val="000000"/>
                <w:sz w:val="22"/>
                <w:szCs w:val="22"/>
              </w:rPr>
              <w:t xml:space="preserve">                      </w:t>
            </w:r>
            <w:r w:rsidR="00144470">
              <w:rPr>
                <w:rFonts w:asciiTheme="minorHAnsi" w:hAnsiTheme="minorHAnsi" w:cstheme="minorHAnsi"/>
                <w:b/>
                <w:color w:val="000000"/>
                <w:sz w:val="22"/>
                <w:szCs w:val="22"/>
              </w:rPr>
              <w:t>w zakresie pracochłonności</w:t>
            </w:r>
            <w:r w:rsidR="00280EBF">
              <w:rPr>
                <w:rFonts w:asciiTheme="minorHAnsi" w:hAnsiTheme="minorHAnsi" w:cstheme="minorHAnsi"/>
                <w:b/>
                <w:color w:val="000000"/>
                <w:sz w:val="22"/>
                <w:szCs w:val="22"/>
              </w:rPr>
              <w:t>.</w:t>
            </w:r>
          </w:p>
          <w:p w14:paraId="139C3184" w14:textId="7463BD7E" w:rsidR="002B1DFE" w:rsidRDefault="002B1DFE" w:rsidP="003177BC">
            <w:pPr>
              <w:jc w:val="both"/>
              <w:rPr>
                <w:rFonts w:asciiTheme="minorHAnsi" w:hAnsiTheme="minorHAnsi" w:cstheme="minorHAnsi"/>
                <w:sz w:val="22"/>
                <w:szCs w:val="22"/>
              </w:rPr>
            </w:pPr>
            <w:r w:rsidRPr="002B1DFE">
              <w:rPr>
                <w:rFonts w:asciiTheme="minorHAnsi" w:hAnsiTheme="minorHAnsi" w:cstheme="minorHAnsi"/>
                <w:sz w:val="22"/>
                <w:szCs w:val="22"/>
              </w:rPr>
              <w:t>Mając na uwadze fakt, że przekazywane corocznie przez Ministra Finansów wstępne kwoty wydatków dla części budżetowych, których dysponentem jest Minister Spraw Wewnętrznych i Administracji, są niewystarczające i nie zaspokajają w pełni potrzeb służb i jednostek resortu, wydaje się niezbędne, aby środki na realizację zadań wynikających z ww. projektu ustawy stanowiły podstawę do zwiększenia limitu wydatków w części 42 - Sprawy wewnętrzne lub zabezpieczenia środków w rezerwie celowej z przeznaczeniem na realizację ww. zadań.</w:t>
            </w:r>
          </w:p>
          <w:p w14:paraId="646F08B2" w14:textId="75298239" w:rsidR="00984BE4" w:rsidRPr="00984BE4" w:rsidRDefault="00984BE4" w:rsidP="00984BE4">
            <w:pPr>
              <w:spacing w:before="100" w:beforeAutospacing="1" w:after="100" w:afterAutospacing="1"/>
              <w:ind w:left="40"/>
              <w:jc w:val="both"/>
              <w:rPr>
                <w:rFonts w:asciiTheme="minorHAnsi" w:hAnsiTheme="minorHAnsi" w:cstheme="minorHAnsi"/>
                <w:sz w:val="22"/>
                <w:szCs w:val="22"/>
              </w:rPr>
            </w:pPr>
            <w:r w:rsidRPr="00984BE4">
              <w:rPr>
                <w:rFonts w:asciiTheme="minorHAnsi" w:hAnsiTheme="minorHAnsi" w:cstheme="minorHAnsi"/>
                <w:sz w:val="22"/>
                <w:szCs w:val="22"/>
              </w:rPr>
              <w:t xml:space="preserve">Zadanie związane z nadzorem nad funkcjonowaniem systemu Eurodac, który jest de faco nowym systemem jest zadaniem specjalistycznym. Z uwagi na fakt, że wielkoskalowe systemy informatyczne UE zwiększają bezpieczeństwo i sprawiają, że dzięki wymianie informacji między państwami członkowskimi EU zarządzanie migracją i walka z przestępczością są bardziej efektywne, zasadnym jest aby zmodernizowany system funkcjonował efektywnie, co będzie zapewnione także przed właściwy nadzór pracowników do tego dedykowanych. System Eurodac i jego architektura obejmują procesy </w:t>
            </w:r>
            <w:r w:rsidRPr="00984BE4">
              <w:rPr>
                <w:rFonts w:asciiTheme="minorHAnsi" w:hAnsiTheme="minorHAnsi" w:cstheme="minorHAnsi"/>
                <w:sz w:val="22"/>
                <w:szCs w:val="22"/>
              </w:rPr>
              <w:lastRenderedPageBreak/>
              <w:t xml:space="preserve">specjalistyczne, szczególnie techniczne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i operacyjne. Jego funkcjonowanie jest ściśle związane z działaniem innych wielkoskalowych systemów informacyjnych. Zatrudnienie nowych pracowników pozwoli na monitoring bieżącego działania systemu, identyfikowanie zagrożeń i podejmowanie działań korygujących. Realizacja formalnego nadzoru pozwoli na stworzenie mechanizmów raportowania i oceny wykorzystywania systemu Eurodac w Polsce. Takie działania wymagają wiedzy specjalistycznej. Aktualnie w MSWiA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w strukturze Departamentu Teleinformatyki MSWIA funkcjonuje Wydział Wielkoskalowych Systemów Informatycznych UE, prowadzi on jednak sprawy związane z wdrażaniem systemów na poziom krajowy, w szczególności pod względem zapewnienia odpowiednich ustaw, obsługi Pełnomocnika Rządu do spraw Wielkoskalowych Systemów Informacyjnych Unii Europejskiej, koordynacji zmian pozalegislacyjnych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w systemach, koordynacji prac na poziomie międzyresortowym i współpracy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z Agencją Unii Europejskiej ds. Zarządzania Operacyjnego Wielkoskalowymi Systemami Informatycznymi w Przestrzeni Wolności, Bezpieczeństwa i Sprawiedliwości (eu-LISA), która wdraża systemy od strony technicznej w UE. Z uwagi na charakter zadań wykonywanych przez Wydział Wielkoskalowych Systemów Informacyjnych UE jego reorganizacja w kontekście zmian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w systemie Eurodac oraz inny podział zadań nie są możliwe. W związku z powyższym, OSR do projektu wskazanej ustawy zakłada </w:t>
            </w:r>
            <w:r w:rsidRPr="00984BE4">
              <w:rPr>
                <w:rFonts w:asciiTheme="minorHAnsi" w:hAnsiTheme="minorHAnsi" w:cstheme="minorHAnsi"/>
                <w:sz w:val="22"/>
                <w:szCs w:val="22"/>
              </w:rPr>
              <w:lastRenderedPageBreak/>
              <w:t>konieczność wzmocnienia etatowego (zatrudnienie 2 pracowników).</w:t>
            </w:r>
          </w:p>
          <w:p w14:paraId="12AD78D9" w14:textId="5475BAA5" w:rsidR="00984BE4" w:rsidRPr="00984BE4" w:rsidRDefault="00984BE4" w:rsidP="00984BE4">
            <w:pPr>
              <w:spacing w:before="100" w:beforeAutospacing="1" w:after="100" w:afterAutospacing="1"/>
              <w:ind w:left="40"/>
              <w:jc w:val="both"/>
              <w:rPr>
                <w:rFonts w:asciiTheme="minorHAnsi" w:hAnsiTheme="minorHAnsi" w:cstheme="minorHAnsi"/>
                <w:sz w:val="22"/>
                <w:szCs w:val="22"/>
              </w:rPr>
            </w:pPr>
            <w:r w:rsidRPr="00984BE4">
              <w:rPr>
                <w:rFonts w:asciiTheme="minorHAnsi" w:hAnsiTheme="minorHAnsi" w:cstheme="minorHAnsi"/>
                <w:sz w:val="22"/>
                <w:szCs w:val="22"/>
              </w:rPr>
              <w:t xml:space="preserve">Warto także nadmienić, że zwiększenie etatowe wpisuje się w dokument Rady Ministrów przyjęty 27 marca 2025 r., tj. Plan Dostosowania Organów Polskiej Administracji do Współpracy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z Wielkoskalowymi Systemami Informacyjnymi UE MasterPlan 2.0. Zgodnie z tym dokumentem, poza modernizacją systemu SIS i wdrożeniem systemu EES, konieczne będzie uruchomienie w Polsce systemu ETIAS (Europejski system informacji o podróży oraz zezwoleń na podróż), modernizacja i nowe uregulowania w zakresie systemu Eurodac (Europejski Zautomatyzowany System Rozpoznawania Odcisków Palców) i VIS (Wizowy System Informatyczny). Niezbędne będzie także wdrożenie narzędzi Interoperacyjności tych systemów. </w:t>
            </w:r>
          </w:p>
          <w:p w14:paraId="24205997" w14:textId="4F110427" w:rsidR="00984BE4" w:rsidRPr="002B1DFE" w:rsidRDefault="00984BE4" w:rsidP="00125E41">
            <w:pPr>
              <w:spacing w:before="100" w:beforeAutospacing="1" w:after="100" w:afterAutospacing="1"/>
              <w:ind w:left="40"/>
              <w:jc w:val="both"/>
              <w:rPr>
                <w:rFonts w:asciiTheme="minorHAnsi" w:hAnsiTheme="minorHAnsi" w:cstheme="minorHAnsi"/>
                <w:b/>
                <w:color w:val="000000"/>
                <w:sz w:val="22"/>
                <w:szCs w:val="22"/>
              </w:rPr>
            </w:pPr>
            <w:r w:rsidRPr="00984BE4">
              <w:rPr>
                <w:rFonts w:asciiTheme="minorHAnsi" w:hAnsiTheme="minorHAnsi" w:cstheme="minorHAnsi"/>
                <w:sz w:val="22"/>
                <w:szCs w:val="22"/>
              </w:rPr>
              <w:t xml:space="preserve">Zatrudnienie w MSWiA dodatkowych pracowników jest niezbędne dla zapewnienia nadzoru Ministra SWiA nad systemami krajowymi, aby zapewnić usprawnienie procedur ewaluacyjnych z Komisją Europejską. Ponadto nadzór i obsługa systemu Eurodac wymagać będzie działań koordynacyjnych oraz operacyjnych na poziomie krajowym o charakterze ciągłym, przy jednoczesnym zachowaniu interoperacyjności z innymi systemami – elementami architektury Interoperacyjności (SIS, VIS, ETIAS, EES, EURODAC), cyberbezpieczeństwa oraz zgodności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 xml:space="preserve">z przepisami prawa unijnego. Wraz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lastRenderedPageBreak/>
              <w:t xml:space="preserve">z przyjęciem rozporządzeń UE obejmujących modernizację i wdrożenie nowych systemów wielkoskalowych UE, zadanie nadzoru </w:t>
            </w:r>
            <w:r w:rsidR="00A47509">
              <w:rPr>
                <w:rFonts w:asciiTheme="minorHAnsi" w:hAnsiTheme="minorHAnsi" w:cstheme="minorHAnsi"/>
                <w:sz w:val="22"/>
                <w:szCs w:val="22"/>
              </w:rPr>
              <w:t xml:space="preserve">                            </w:t>
            </w:r>
            <w:r w:rsidRPr="00984BE4">
              <w:rPr>
                <w:rFonts w:asciiTheme="minorHAnsi" w:hAnsiTheme="minorHAnsi" w:cstheme="minorHAnsi"/>
                <w:sz w:val="22"/>
                <w:szCs w:val="22"/>
              </w:rPr>
              <w:t>i obsługi współpracy z wielkoskalowymi systemami UE będzie miało coraz szerszy zakres, obejmując każdorazowo nowe systemy.</w:t>
            </w:r>
          </w:p>
          <w:p w14:paraId="6BCA8727" w14:textId="5AD92EC6" w:rsidR="003177BC" w:rsidRPr="00F622E4" w:rsidRDefault="003177BC" w:rsidP="003177BC">
            <w:pPr>
              <w:jc w:val="both"/>
              <w:rPr>
                <w:rFonts w:asciiTheme="minorHAnsi" w:hAnsiTheme="minorHAnsi" w:cstheme="minorHAnsi"/>
                <w:color w:val="000000"/>
                <w:sz w:val="22"/>
                <w:szCs w:val="22"/>
              </w:rPr>
            </w:pPr>
            <w:r w:rsidRPr="00F622E4">
              <w:rPr>
                <w:rFonts w:asciiTheme="minorHAnsi" w:hAnsiTheme="minorHAnsi" w:cstheme="minorHAnsi"/>
                <w:color w:val="000000"/>
                <w:sz w:val="22"/>
                <w:szCs w:val="22"/>
              </w:rPr>
              <w:t xml:space="preserve">W ocenie projektodawcy stanowisko </w:t>
            </w:r>
            <w:r w:rsidR="00A47509">
              <w:rPr>
                <w:rFonts w:asciiTheme="minorHAnsi" w:hAnsiTheme="minorHAnsi" w:cstheme="minorHAnsi"/>
                <w:color w:val="000000"/>
                <w:sz w:val="22"/>
                <w:szCs w:val="22"/>
              </w:rPr>
              <w:t xml:space="preserve">                            </w:t>
            </w:r>
            <w:r w:rsidRPr="00F622E4">
              <w:rPr>
                <w:rFonts w:asciiTheme="minorHAnsi" w:hAnsiTheme="minorHAnsi" w:cstheme="minorHAnsi"/>
                <w:color w:val="000000"/>
                <w:sz w:val="22"/>
                <w:szCs w:val="22"/>
              </w:rPr>
              <w:t>w kwestii możliwości wygospodarowania środków finansowych na 2 nowe etaty można oszacować korzystając ze sporządzonych posiadanych wyliczeń zastosowanych przy innych systemach wielkoskalowych. W związku z tym można zastosować w tym przypadku analogiczne wyliczenia.</w:t>
            </w:r>
          </w:p>
          <w:p w14:paraId="1D80377D" w14:textId="2212004C" w:rsidR="003177BC" w:rsidRPr="00F622E4" w:rsidRDefault="003177BC" w:rsidP="003177BC">
            <w:pPr>
              <w:rPr>
                <w:rFonts w:asciiTheme="minorHAnsi" w:hAnsiTheme="minorHAnsi" w:cstheme="minorHAnsi"/>
                <w:sz w:val="22"/>
                <w:szCs w:val="22"/>
              </w:rPr>
            </w:pPr>
            <w:r w:rsidRPr="00BD5F18">
              <w:rPr>
                <w:rFonts w:asciiTheme="minorHAnsi" w:hAnsiTheme="minorHAnsi" w:cstheme="minorHAnsi"/>
                <w:sz w:val="22"/>
                <w:szCs w:val="22"/>
              </w:rPr>
              <w:t xml:space="preserve">Realizacja zadań wynikających z </w:t>
            </w:r>
            <w:r w:rsidR="00BB1B5D">
              <w:rPr>
                <w:rFonts w:asciiTheme="minorHAnsi" w:hAnsiTheme="minorHAnsi" w:cstheme="minorHAnsi"/>
                <w:sz w:val="22"/>
                <w:szCs w:val="22"/>
              </w:rPr>
              <w:t xml:space="preserve">nadzoru na prawidłowością funkcjonowania </w:t>
            </w:r>
            <w:r w:rsidR="004F053F">
              <w:rPr>
                <w:rFonts w:asciiTheme="minorHAnsi" w:hAnsiTheme="minorHAnsi" w:cstheme="minorHAnsi"/>
                <w:sz w:val="22"/>
                <w:szCs w:val="22"/>
              </w:rPr>
              <w:t xml:space="preserve">systemu </w:t>
            </w:r>
            <w:r w:rsidR="00BB1B5D">
              <w:rPr>
                <w:rFonts w:asciiTheme="minorHAnsi" w:hAnsiTheme="minorHAnsi" w:cstheme="minorHAnsi"/>
                <w:sz w:val="22"/>
                <w:szCs w:val="22"/>
              </w:rPr>
              <w:t>Eurodac</w:t>
            </w:r>
            <w:r w:rsidRPr="00BD5F18">
              <w:rPr>
                <w:rFonts w:asciiTheme="minorHAnsi" w:hAnsiTheme="minorHAnsi" w:cstheme="minorHAnsi"/>
                <w:sz w:val="22"/>
                <w:szCs w:val="22"/>
              </w:rPr>
              <w:t xml:space="preserve"> (2 stanowiska):</w:t>
            </w:r>
          </w:p>
          <w:p w14:paraId="5ADD6850" w14:textId="77777777" w:rsidR="003177BC" w:rsidRPr="00F622E4" w:rsidRDefault="003177BC" w:rsidP="003177BC">
            <w:pPr>
              <w:rPr>
                <w:rFonts w:asciiTheme="minorHAnsi" w:hAnsiTheme="minorHAnsi" w:cstheme="minorHAnsi"/>
                <w:sz w:val="22"/>
                <w:szCs w:val="22"/>
              </w:rPr>
            </w:pPr>
          </w:p>
          <w:tbl>
            <w:tblPr>
              <w:tblW w:w="7540" w:type="dxa"/>
              <w:tblLayout w:type="fixed"/>
              <w:tblCellMar>
                <w:left w:w="0" w:type="dxa"/>
                <w:right w:w="0" w:type="dxa"/>
              </w:tblCellMar>
              <w:tblLook w:val="04A0" w:firstRow="1" w:lastRow="0" w:firstColumn="1" w:lastColumn="0" w:noHBand="0" w:noVBand="1"/>
            </w:tblPr>
            <w:tblGrid>
              <w:gridCol w:w="3137"/>
              <w:gridCol w:w="4403"/>
            </w:tblGrid>
            <w:tr w:rsidR="003177BC" w:rsidRPr="00F622E4" w14:paraId="4F606B46" w14:textId="77777777" w:rsidTr="00BE2122">
              <w:trPr>
                <w:trHeight w:val="1074"/>
              </w:trPr>
              <w:tc>
                <w:tcPr>
                  <w:tcW w:w="3137"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AF79DD9" w14:textId="77777777" w:rsidR="003177BC" w:rsidRPr="00F622E4" w:rsidRDefault="003177BC" w:rsidP="003177BC">
                  <w:pPr>
                    <w:jc w:val="center"/>
                    <w:rPr>
                      <w:rFonts w:asciiTheme="minorHAnsi" w:hAnsiTheme="minorHAnsi" w:cstheme="minorHAnsi"/>
                      <w:smallCaps/>
                      <w:color w:val="000000"/>
                      <w:sz w:val="22"/>
                      <w:szCs w:val="22"/>
                    </w:rPr>
                  </w:pPr>
                  <w:r w:rsidRPr="00F622E4">
                    <w:rPr>
                      <w:rFonts w:asciiTheme="minorHAnsi" w:hAnsiTheme="minorHAnsi" w:cstheme="minorHAnsi"/>
                      <w:smallCaps/>
                      <w:color w:val="000000"/>
                      <w:sz w:val="22"/>
                      <w:szCs w:val="22"/>
                    </w:rPr>
                    <w:t>Czynność</w:t>
                  </w:r>
                </w:p>
              </w:tc>
              <w:tc>
                <w:tcPr>
                  <w:tcW w:w="440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086F9767" w14:textId="77777777" w:rsidR="003177BC" w:rsidRPr="00F622E4" w:rsidRDefault="003177BC" w:rsidP="003177BC">
                  <w:pPr>
                    <w:jc w:val="center"/>
                    <w:rPr>
                      <w:rFonts w:asciiTheme="minorHAnsi" w:hAnsiTheme="minorHAnsi" w:cstheme="minorHAnsi"/>
                      <w:smallCaps/>
                      <w:color w:val="000000"/>
                      <w:sz w:val="22"/>
                      <w:szCs w:val="22"/>
                    </w:rPr>
                  </w:pPr>
                  <w:r w:rsidRPr="00F622E4">
                    <w:rPr>
                      <w:rFonts w:asciiTheme="minorHAnsi" w:hAnsiTheme="minorHAnsi" w:cstheme="minorHAnsi"/>
                      <w:smallCaps/>
                      <w:color w:val="000000"/>
                      <w:sz w:val="22"/>
                      <w:szCs w:val="22"/>
                    </w:rPr>
                    <w:t xml:space="preserve">Pracochłonność </w:t>
                  </w:r>
                </w:p>
                <w:p w14:paraId="3C1010C7" w14:textId="77777777" w:rsidR="003177BC" w:rsidRPr="00F622E4" w:rsidRDefault="003177BC" w:rsidP="003177BC">
                  <w:pPr>
                    <w:jc w:val="center"/>
                    <w:rPr>
                      <w:rFonts w:asciiTheme="minorHAnsi" w:hAnsiTheme="minorHAnsi" w:cstheme="minorHAnsi"/>
                      <w:smallCaps/>
                      <w:color w:val="000000"/>
                      <w:sz w:val="22"/>
                      <w:szCs w:val="22"/>
                    </w:rPr>
                  </w:pPr>
                  <w:r w:rsidRPr="00F622E4">
                    <w:rPr>
                      <w:rFonts w:asciiTheme="minorHAnsi" w:hAnsiTheme="minorHAnsi" w:cstheme="minorHAnsi"/>
                      <w:smallCaps/>
                      <w:color w:val="000000"/>
                      <w:sz w:val="22"/>
                      <w:szCs w:val="22"/>
                    </w:rPr>
                    <w:t>w godzinach (rocznie)</w:t>
                  </w:r>
                </w:p>
              </w:tc>
            </w:tr>
            <w:tr w:rsidR="003177BC" w:rsidRPr="00F622E4" w14:paraId="45FDBAA4"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4100331F"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Koordynacja pracy wielu podmiotów (spotkania, uzgodnienia, raportowanie)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3FB60C2C"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1012</w:t>
                  </w:r>
                </w:p>
              </w:tc>
            </w:tr>
            <w:tr w:rsidR="003177BC" w:rsidRPr="00F622E4" w14:paraId="3987E4D0"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31EE0A6F"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Zapewnienie zgodności z regulacjami i procedurami (audyty, zmiany ustaw, aktualizacje)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14130A89"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844</w:t>
                  </w:r>
                </w:p>
              </w:tc>
            </w:tr>
            <w:tr w:rsidR="003177BC" w:rsidRPr="00F622E4" w14:paraId="36B66A50"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2D61DE80"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Zarządzanie prawidłowością działania (kryzysy, decyzje, analiza i działania naprawcze)</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1EA18D4C"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674</w:t>
                  </w:r>
                </w:p>
              </w:tc>
            </w:tr>
            <w:tr w:rsidR="003177BC" w:rsidRPr="00F622E4" w14:paraId="62C5A2FF"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0F194067"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lastRenderedPageBreak/>
                    <w:t>Wyznaczanie priorytetów działań i planowanie (uwzględnianie ryzyk i skutków)</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56C871E1"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506</w:t>
                  </w:r>
                </w:p>
              </w:tc>
            </w:tr>
            <w:tr w:rsidR="003177BC" w:rsidRPr="00F622E4" w14:paraId="0E7F7075"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14:paraId="530AFDCE"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Nadzór nad komunikacją między jednostkami (przepływ informacji, testy współpracy)</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67B7BAA0"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338</w:t>
                  </w:r>
                </w:p>
              </w:tc>
            </w:tr>
            <w:tr w:rsidR="003177BC" w:rsidRPr="00F622E4" w14:paraId="12A40DD1" w14:textId="77777777" w:rsidTr="00BE2122">
              <w:trPr>
                <w:trHeight w:val="1074"/>
              </w:trPr>
              <w:tc>
                <w:tcPr>
                  <w:tcW w:w="3137"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A09F44C"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SUMA</w:t>
                  </w:r>
                </w:p>
              </w:tc>
              <w:tc>
                <w:tcPr>
                  <w:tcW w:w="4403" w:type="dxa"/>
                  <w:tcBorders>
                    <w:top w:val="nil"/>
                    <w:left w:val="nil"/>
                    <w:bottom w:val="single" w:sz="8" w:space="0" w:color="auto"/>
                    <w:right w:val="single" w:sz="8" w:space="0" w:color="auto"/>
                  </w:tcBorders>
                  <w:noWrap/>
                  <w:tcMar>
                    <w:top w:w="0" w:type="dxa"/>
                    <w:left w:w="108" w:type="dxa"/>
                    <w:bottom w:w="0" w:type="dxa"/>
                    <w:right w:w="108" w:type="dxa"/>
                  </w:tcMar>
                  <w:hideMark/>
                </w:tcPr>
                <w:p w14:paraId="7AEDDF7F" w14:textId="77777777" w:rsidR="003177BC" w:rsidRPr="00F622E4" w:rsidRDefault="003177BC" w:rsidP="003177BC">
                  <w:pPr>
                    <w:rPr>
                      <w:rFonts w:asciiTheme="minorHAnsi" w:hAnsiTheme="minorHAnsi" w:cstheme="minorHAnsi"/>
                      <w:sz w:val="22"/>
                      <w:szCs w:val="22"/>
                    </w:rPr>
                  </w:pPr>
                  <w:r w:rsidRPr="00F622E4">
                    <w:rPr>
                      <w:rFonts w:asciiTheme="minorHAnsi" w:hAnsiTheme="minorHAnsi" w:cstheme="minorHAnsi"/>
                      <w:sz w:val="22"/>
                      <w:szCs w:val="22"/>
                    </w:rPr>
                    <w:t>3372</w:t>
                  </w:r>
                </w:p>
              </w:tc>
            </w:tr>
          </w:tbl>
          <w:p w14:paraId="418F8A36" w14:textId="77777777" w:rsidR="003177BC" w:rsidRPr="0077406D" w:rsidRDefault="003177BC" w:rsidP="003177BC">
            <w:pPr>
              <w:jc w:val="center"/>
              <w:rPr>
                <w:rFonts w:asciiTheme="minorHAnsi" w:hAnsiTheme="minorHAnsi" w:cstheme="minorHAnsi"/>
                <w:sz w:val="22"/>
                <w:szCs w:val="22"/>
              </w:rPr>
            </w:pPr>
          </w:p>
        </w:tc>
      </w:tr>
      <w:tr w:rsidR="003177BC" w:rsidRPr="004B4123" w14:paraId="756BAC80" w14:textId="77777777" w:rsidTr="003177BC">
        <w:tc>
          <w:tcPr>
            <w:tcW w:w="421" w:type="dxa"/>
            <w:shd w:val="clear" w:color="auto" w:fill="auto"/>
          </w:tcPr>
          <w:p w14:paraId="2913D660" w14:textId="5314957B" w:rsidR="003177BC" w:rsidRPr="0077406D" w:rsidRDefault="003177BC" w:rsidP="003177BC">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5</w:t>
            </w:r>
          </w:p>
        </w:tc>
        <w:tc>
          <w:tcPr>
            <w:tcW w:w="1134" w:type="dxa"/>
            <w:shd w:val="clear" w:color="auto" w:fill="auto"/>
          </w:tcPr>
          <w:p w14:paraId="7913F16B" w14:textId="7FD8984C" w:rsidR="003177BC" w:rsidRPr="00E7052D" w:rsidRDefault="003177BC" w:rsidP="003177BC">
            <w:pPr>
              <w:spacing w:before="60" w:after="60"/>
              <w:jc w:val="center"/>
              <w:rPr>
                <w:rFonts w:asciiTheme="minorHAnsi" w:hAnsiTheme="minorHAnsi" w:cstheme="minorHAnsi"/>
                <w:b/>
                <w:sz w:val="22"/>
                <w:szCs w:val="22"/>
              </w:rPr>
            </w:pPr>
            <w:r w:rsidRPr="00E7052D">
              <w:rPr>
                <w:rFonts w:asciiTheme="minorHAnsi" w:hAnsiTheme="minorHAnsi" w:cstheme="minorHAnsi"/>
                <w:b/>
                <w:sz w:val="22"/>
                <w:szCs w:val="22"/>
              </w:rPr>
              <w:t>MFiG/</w:t>
            </w:r>
            <w:r w:rsidRPr="00E7052D">
              <w:rPr>
                <w:rFonts w:asciiTheme="minorHAnsi" w:hAnsiTheme="minorHAnsi" w:cstheme="minorHAnsi"/>
                <w:b/>
                <w:sz w:val="22"/>
                <w:szCs w:val="22"/>
              </w:rPr>
              <w:br/>
              <w:t>Ministerstwo Finansów</w:t>
            </w:r>
          </w:p>
        </w:tc>
        <w:tc>
          <w:tcPr>
            <w:tcW w:w="992" w:type="dxa"/>
            <w:shd w:val="clear" w:color="auto" w:fill="auto"/>
          </w:tcPr>
          <w:p w14:paraId="0D21A031" w14:textId="25389F9F" w:rsidR="003177BC" w:rsidRPr="00E7052D" w:rsidRDefault="003177BC" w:rsidP="003177BC">
            <w:pPr>
              <w:jc w:val="center"/>
              <w:rPr>
                <w:rFonts w:asciiTheme="minorHAnsi" w:hAnsiTheme="minorHAnsi" w:cstheme="minorHAnsi"/>
                <w:sz w:val="22"/>
                <w:szCs w:val="22"/>
              </w:rPr>
            </w:pPr>
            <w:r w:rsidRPr="00E7052D">
              <w:rPr>
                <w:rFonts w:asciiTheme="minorHAnsi" w:hAnsiTheme="minorHAnsi" w:cstheme="minorHAnsi"/>
                <w:sz w:val="22"/>
                <w:szCs w:val="22"/>
              </w:rPr>
              <w:t>OSR</w:t>
            </w:r>
          </w:p>
        </w:tc>
        <w:tc>
          <w:tcPr>
            <w:tcW w:w="3827" w:type="dxa"/>
            <w:shd w:val="clear" w:color="auto" w:fill="auto"/>
          </w:tcPr>
          <w:p w14:paraId="78FD803D" w14:textId="401CAD53" w:rsidR="003177BC" w:rsidRPr="00E7052D" w:rsidRDefault="003177BC" w:rsidP="003177BC">
            <w:pPr>
              <w:jc w:val="both"/>
              <w:rPr>
                <w:rFonts w:asciiTheme="minorHAnsi" w:hAnsiTheme="minorHAnsi" w:cstheme="minorHAnsi"/>
                <w:sz w:val="22"/>
                <w:szCs w:val="22"/>
              </w:rPr>
            </w:pPr>
            <w:r w:rsidRPr="00E7052D">
              <w:rPr>
                <w:rFonts w:asciiTheme="minorHAnsi" w:hAnsiTheme="minorHAnsi" w:cstheme="minorHAnsi"/>
                <w:sz w:val="22"/>
                <w:szCs w:val="22"/>
              </w:rPr>
              <w:t xml:space="preserve">Informacja w zakresie skutków finansowych wymaga uzupełnienia. Przede wszystkim należy klarownie zaprezentować koszty poszczególnych zadań, w podziale na lata, dysponentów i źródła finansowania. Należy także przedstawić szczegółową kalkulację kosztów oraz przyjęte do niej założenia. Podkreślenia przy tym wymaga także, że proponuje się, by projektowana ustawa weszła w życie </w:t>
            </w:r>
            <w:r w:rsidRPr="00E7052D">
              <w:rPr>
                <w:rFonts w:asciiTheme="minorHAnsi" w:hAnsiTheme="minorHAnsi" w:cstheme="minorHAnsi"/>
                <w:sz w:val="22"/>
                <w:szCs w:val="22"/>
              </w:rPr>
              <w:br/>
              <w:t xml:space="preserve">z dniem 12 czerwca 2026 r., a zatem wyliczenia powinny uwzględniać stosowny upływ czasu. </w:t>
            </w:r>
          </w:p>
          <w:p w14:paraId="5E0B3743" w14:textId="493E9E67" w:rsidR="003177BC" w:rsidRPr="00E7052D" w:rsidRDefault="003177BC" w:rsidP="003177BC">
            <w:pPr>
              <w:jc w:val="both"/>
              <w:rPr>
                <w:rFonts w:asciiTheme="minorHAnsi" w:hAnsiTheme="minorHAnsi" w:cstheme="minorHAnsi"/>
                <w:sz w:val="22"/>
                <w:szCs w:val="22"/>
              </w:rPr>
            </w:pPr>
            <w:r w:rsidRPr="00E7052D">
              <w:rPr>
                <w:rFonts w:asciiTheme="minorHAnsi" w:hAnsiTheme="minorHAnsi" w:cstheme="minorHAnsi"/>
                <w:sz w:val="22"/>
                <w:szCs w:val="22"/>
              </w:rPr>
              <w:t xml:space="preserve">Niezależnie od powyższego nadal należy wskazać na rozbieżności </w:t>
            </w:r>
            <w:r w:rsidRPr="00E7052D">
              <w:rPr>
                <w:rFonts w:asciiTheme="minorHAnsi" w:hAnsiTheme="minorHAnsi" w:cstheme="minorHAnsi"/>
                <w:sz w:val="22"/>
                <w:szCs w:val="22"/>
              </w:rPr>
              <w:br/>
              <w:t xml:space="preserve">co do rocznych kosztów projektu – analiza dokonana w oparciu </w:t>
            </w:r>
            <w:r w:rsidRPr="00E7052D">
              <w:rPr>
                <w:rFonts w:asciiTheme="minorHAnsi" w:hAnsiTheme="minorHAnsi" w:cstheme="minorHAnsi"/>
                <w:sz w:val="22"/>
                <w:szCs w:val="22"/>
              </w:rPr>
              <w:br/>
              <w:t xml:space="preserve">o przedstawione dane w treści opisowej pkt. 6 OSR nie pokrywa się </w:t>
            </w:r>
            <w:r w:rsidRPr="00E7052D">
              <w:rPr>
                <w:rFonts w:asciiTheme="minorHAnsi" w:hAnsiTheme="minorHAnsi" w:cstheme="minorHAnsi"/>
                <w:sz w:val="22"/>
                <w:szCs w:val="22"/>
              </w:rPr>
              <w:br/>
              <w:t xml:space="preserve">z liczbami przedstawionymi w części tabelarycznej oraz konsekwentnie z wysokością środków określoną w przepisach regulujących maksymalny limit wydatków.  </w:t>
            </w:r>
          </w:p>
        </w:tc>
        <w:tc>
          <w:tcPr>
            <w:tcW w:w="4961" w:type="dxa"/>
            <w:shd w:val="clear" w:color="auto" w:fill="auto"/>
          </w:tcPr>
          <w:p w14:paraId="6F53FFC5" w14:textId="6703C111" w:rsidR="003177BC" w:rsidRPr="00E7052D" w:rsidRDefault="003177BC" w:rsidP="003177BC">
            <w:pPr>
              <w:jc w:val="both"/>
              <w:rPr>
                <w:rFonts w:ascii="Calibri" w:hAnsi="Calibri" w:cs="Calibri"/>
                <w:sz w:val="22"/>
                <w:szCs w:val="22"/>
              </w:rPr>
            </w:pPr>
            <w:r w:rsidRPr="00E7052D">
              <w:rPr>
                <w:rFonts w:ascii="Calibri" w:hAnsi="Calibri" w:cs="Calibri"/>
                <w:sz w:val="22"/>
                <w:szCs w:val="22"/>
              </w:rPr>
              <w:t xml:space="preserve">Korekta OSR we wskazanym zakresie. </w:t>
            </w:r>
          </w:p>
        </w:tc>
        <w:tc>
          <w:tcPr>
            <w:tcW w:w="4253" w:type="dxa"/>
          </w:tcPr>
          <w:p w14:paraId="7C97D789" w14:textId="1C4A17F8" w:rsidR="00462711" w:rsidRPr="00E7052D" w:rsidRDefault="00462711" w:rsidP="00125E41">
            <w:pPr>
              <w:jc w:val="both"/>
              <w:rPr>
                <w:rFonts w:asciiTheme="minorHAnsi" w:hAnsiTheme="minorHAnsi" w:cstheme="minorHAnsi"/>
                <w:b/>
                <w:sz w:val="22"/>
                <w:szCs w:val="22"/>
              </w:rPr>
            </w:pPr>
            <w:r w:rsidRPr="00E7052D">
              <w:rPr>
                <w:rFonts w:asciiTheme="minorHAnsi" w:hAnsiTheme="minorHAnsi" w:cstheme="minorHAnsi"/>
                <w:b/>
                <w:sz w:val="22"/>
                <w:szCs w:val="22"/>
              </w:rPr>
              <w:t>Stanowisko MSWiA</w:t>
            </w:r>
          </w:p>
          <w:p w14:paraId="08CA2052" w14:textId="2D0208BF" w:rsidR="0072589B" w:rsidRPr="00E7052D" w:rsidRDefault="0072589B" w:rsidP="00125E41">
            <w:pPr>
              <w:jc w:val="both"/>
              <w:rPr>
                <w:rFonts w:asciiTheme="minorHAnsi" w:hAnsiTheme="minorHAnsi" w:cstheme="minorHAnsi"/>
                <w:b/>
                <w:sz w:val="22"/>
                <w:szCs w:val="22"/>
              </w:rPr>
            </w:pPr>
            <w:r w:rsidRPr="00E7052D">
              <w:rPr>
                <w:rFonts w:asciiTheme="minorHAnsi" w:hAnsiTheme="minorHAnsi" w:cstheme="minorHAnsi"/>
                <w:b/>
                <w:sz w:val="22"/>
                <w:szCs w:val="22"/>
              </w:rPr>
              <w:t xml:space="preserve">Uwaga </w:t>
            </w:r>
            <w:r w:rsidR="007A4AA8">
              <w:rPr>
                <w:rFonts w:asciiTheme="minorHAnsi" w:hAnsiTheme="minorHAnsi" w:cstheme="minorHAnsi"/>
                <w:b/>
                <w:sz w:val="22"/>
                <w:szCs w:val="22"/>
              </w:rPr>
              <w:t>uwzględniona</w:t>
            </w:r>
            <w:r w:rsidR="009E5B40">
              <w:rPr>
                <w:rFonts w:asciiTheme="minorHAnsi" w:hAnsiTheme="minorHAnsi" w:cstheme="minorHAnsi"/>
                <w:b/>
                <w:sz w:val="22"/>
                <w:szCs w:val="22"/>
              </w:rPr>
              <w:t>.</w:t>
            </w:r>
          </w:p>
          <w:p w14:paraId="4D469AF1" w14:textId="1236C354" w:rsidR="0072589B" w:rsidRPr="00E7052D" w:rsidRDefault="0072589B" w:rsidP="00125E41">
            <w:pPr>
              <w:jc w:val="both"/>
              <w:rPr>
                <w:rFonts w:asciiTheme="minorHAnsi" w:hAnsiTheme="minorHAnsi" w:cstheme="minorHAnsi"/>
                <w:sz w:val="22"/>
                <w:szCs w:val="22"/>
              </w:rPr>
            </w:pPr>
            <w:r w:rsidRPr="00E7052D">
              <w:rPr>
                <w:rFonts w:asciiTheme="minorHAnsi" w:hAnsiTheme="minorHAnsi" w:cstheme="minorHAnsi"/>
                <w:sz w:val="22"/>
                <w:szCs w:val="22"/>
              </w:rPr>
              <w:t>Po dokonaniu ponownej weryfikacji po stronie KGP wskazane w części tabelarycznej i opisowej pkt 6 OSR pokrywają się ze sobą.</w:t>
            </w:r>
          </w:p>
          <w:p w14:paraId="35063C7D" w14:textId="58E43D44" w:rsidR="0072589B" w:rsidRPr="00E7052D" w:rsidRDefault="0072589B" w:rsidP="00125E41">
            <w:pPr>
              <w:jc w:val="both"/>
              <w:rPr>
                <w:rFonts w:asciiTheme="minorHAnsi" w:hAnsiTheme="minorHAnsi" w:cstheme="minorHAnsi"/>
                <w:sz w:val="22"/>
                <w:szCs w:val="22"/>
              </w:rPr>
            </w:pPr>
            <w:r w:rsidRPr="00E7052D">
              <w:rPr>
                <w:rFonts w:asciiTheme="minorHAnsi" w:hAnsiTheme="minorHAnsi" w:cstheme="minorHAnsi"/>
                <w:sz w:val="22"/>
                <w:szCs w:val="22"/>
              </w:rPr>
              <w:t xml:space="preserve">Jednocześnie </w:t>
            </w:r>
            <w:r w:rsidR="007A4AA8">
              <w:rPr>
                <w:rFonts w:asciiTheme="minorHAnsi" w:hAnsiTheme="minorHAnsi" w:cstheme="minorHAnsi"/>
                <w:sz w:val="22"/>
                <w:szCs w:val="22"/>
              </w:rPr>
              <w:t>dokonano</w:t>
            </w:r>
            <w:r w:rsidRPr="00E7052D">
              <w:rPr>
                <w:rFonts w:asciiTheme="minorHAnsi" w:hAnsiTheme="minorHAnsi" w:cstheme="minorHAnsi"/>
                <w:sz w:val="22"/>
                <w:szCs w:val="22"/>
              </w:rPr>
              <w:t xml:space="preserve"> korekty paragrafu wydatków wskazanego w części opisowej </w:t>
            </w:r>
            <w:r w:rsidR="00A47509">
              <w:rPr>
                <w:rFonts w:asciiTheme="minorHAnsi" w:hAnsiTheme="minorHAnsi" w:cstheme="minorHAnsi"/>
                <w:sz w:val="22"/>
                <w:szCs w:val="22"/>
              </w:rPr>
              <w:t xml:space="preserve">                  </w:t>
            </w:r>
            <w:r w:rsidRPr="00E7052D">
              <w:rPr>
                <w:rFonts w:asciiTheme="minorHAnsi" w:hAnsiTheme="minorHAnsi" w:cstheme="minorHAnsi"/>
                <w:sz w:val="22"/>
                <w:szCs w:val="22"/>
              </w:rPr>
              <w:t>w pkt 6 OSR (Etap III Zadanie nr 3) z § 3030 na § 4300.</w:t>
            </w:r>
          </w:p>
          <w:p w14:paraId="266B7F96" w14:textId="77777777" w:rsidR="00ED4FE9" w:rsidRPr="00E7052D" w:rsidRDefault="00ED4FE9" w:rsidP="00125E41">
            <w:pPr>
              <w:jc w:val="both"/>
              <w:rPr>
                <w:rFonts w:asciiTheme="minorHAnsi" w:hAnsiTheme="minorHAnsi" w:cstheme="minorHAnsi"/>
                <w:sz w:val="22"/>
                <w:szCs w:val="22"/>
              </w:rPr>
            </w:pPr>
          </w:p>
          <w:p w14:paraId="7BFB7BC8" w14:textId="11793065" w:rsidR="00ED4FE9" w:rsidRPr="001D52BA" w:rsidRDefault="00ED4FE9" w:rsidP="00125E41">
            <w:pPr>
              <w:jc w:val="both"/>
              <w:rPr>
                <w:rFonts w:asciiTheme="minorHAnsi" w:hAnsiTheme="minorHAnsi" w:cstheme="minorHAnsi"/>
                <w:sz w:val="22"/>
                <w:szCs w:val="22"/>
              </w:rPr>
            </w:pPr>
            <w:r w:rsidRPr="001D52BA">
              <w:rPr>
                <w:rFonts w:asciiTheme="minorHAnsi" w:hAnsiTheme="minorHAnsi" w:cstheme="minorHAnsi"/>
                <w:sz w:val="22"/>
                <w:szCs w:val="22"/>
              </w:rPr>
              <w:t xml:space="preserve">W pkt. 6 OSR </w:t>
            </w:r>
            <w:r w:rsidR="007A4AA8">
              <w:rPr>
                <w:rFonts w:asciiTheme="minorHAnsi" w:hAnsiTheme="minorHAnsi" w:cstheme="minorHAnsi"/>
                <w:sz w:val="22"/>
                <w:szCs w:val="22"/>
              </w:rPr>
              <w:t>rozpisano</w:t>
            </w:r>
            <w:r w:rsidR="001D52BA">
              <w:rPr>
                <w:rFonts w:asciiTheme="minorHAnsi" w:hAnsiTheme="minorHAnsi" w:cstheme="minorHAnsi"/>
                <w:sz w:val="22"/>
                <w:szCs w:val="22"/>
              </w:rPr>
              <w:t xml:space="preserve"> wydatki po stronie KGP</w:t>
            </w:r>
            <w:r w:rsidR="00A278C4">
              <w:rPr>
                <w:rFonts w:asciiTheme="minorHAnsi" w:hAnsiTheme="minorHAnsi" w:cstheme="minorHAnsi"/>
                <w:sz w:val="22"/>
                <w:szCs w:val="22"/>
              </w:rPr>
              <w:t xml:space="preserve"> jak poniżej</w:t>
            </w:r>
            <w:r w:rsidRPr="001D52BA">
              <w:rPr>
                <w:rFonts w:asciiTheme="minorHAnsi" w:hAnsiTheme="minorHAnsi" w:cstheme="minorHAnsi"/>
                <w:sz w:val="22"/>
                <w:szCs w:val="22"/>
              </w:rPr>
              <w:t>:</w:t>
            </w:r>
          </w:p>
          <w:p w14:paraId="150B75C1" w14:textId="77777777" w:rsidR="00ED4FE9" w:rsidRPr="00093251" w:rsidRDefault="00ED4FE9" w:rsidP="00125E41">
            <w:pPr>
              <w:jc w:val="both"/>
              <w:rPr>
                <w:rFonts w:asciiTheme="minorHAnsi" w:hAnsiTheme="minorHAnsi" w:cstheme="minorHAnsi"/>
                <w:sz w:val="22"/>
                <w:szCs w:val="22"/>
              </w:rPr>
            </w:pPr>
            <w:r w:rsidRPr="00093251">
              <w:rPr>
                <w:rFonts w:asciiTheme="minorHAnsi" w:hAnsiTheme="minorHAnsi" w:cstheme="minorHAnsi"/>
                <w:sz w:val="22"/>
                <w:szCs w:val="22"/>
              </w:rPr>
              <w:t xml:space="preserve">2026 </w:t>
            </w:r>
          </w:p>
          <w:p w14:paraId="73B12395"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b/>
                <w:bCs/>
                <w:sz w:val="22"/>
                <w:szCs w:val="22"/>
              </w:rPr>
              <w:t>2 214 000 zł brutto</w:t>
            </w:r>
            <w:r w:rsidRPr="00A278C4">
              <w:rPr>
                <w:rFonts w:asciiTheme="minorHAnsi" w:hAnsiTheme="minorHAnsi" w:cstheme="minorHAnsi"/>
                <w:sz w:val="22"/>
                <w:szCs w:val="22"/>
              </w:rPr>
              <w:t xml:space="preserve"> (dostarczenie przez Wykonawcę dokumentacji projektowej)</w:t>
            </w:r>
          </w:p>
          <w:p w14:paraId="6DAF0D5A" w14:textId="77777777" w:rsidR="00ED4FE9" w:rsidRPr="00A278C4" w:rsidRDefault="00ED4FE9" w:rsidP="00125E41">
            <w:pPr>
              <w:jc w:val="both"/>
              <w:rPr>
                <w:rFonts w:asciiTheme="minorHAnsi" w:hAnsiTheme="minorHAnsi" w:cstheme="minorHAnsi"/>
                <w:sz w:val="22"/>
                <w:szCs w:val="22"/>
              </w:rPr>
            </w:pPr>
          </w:p>
          <w:p w14:paraId="6FA02A35"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2027</w:t>
            </w:r>
          </w:p>
          <w:p w14:paraId="6E801E79"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17 835 000 zł brutto (wdrożenie funkcjonalności systemu AFIS/ABIS)</w:t>
            </w:r>
          </w:p>
          <w:p w14:paraId="441E0576"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3 075 000 zł brutto (integracja z systemami zewnętrznymi)</w:t>
            </w:r>
          </w:p>
          <w:p w14:paraId="4EC4634C"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1 804 000 zł brutto (zakup 10 000 roboczogodzin do wykorzystania od dnia zawarcia Umowy do końca jej trwania)</w:t>
            </w:r>
          </w:p>
          <w:p w14:paraId="5F2235DF"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 xml:space="preserve">1 620 000 zł brutto (modernizacja/budowa nowej bramy dostępowej, zakup urządzeń, </w:t>
            </w:r>
            <w:r w:rsidRPr="00A278C4">
              <w:rPr>
                <w:rFonts w:asciiTheme="minorHAnsi" w:hAnsiTheme="minorHAnsi" w:cstheme="minorHAnsi"/>
                <w:sz w:val="22"/>
                <w:szCs w:val="22"/>
              </w:rPr>
              <w:lastRenderedPageBreak/>
              <w:t>konfigurację i wdrożenie do infrastruktury Policji oraz pięcioletnie wsparcie serwisowe)</w:t>
            </w:r>
          </w:p>
          <w:p w14:paraId="3E798EFE"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12 400 000 zł brutto (zbudowanie nowego systemu pn. Elektroniczne Repozytorium Danych Biometrycznych, wraz z jedną kabiną sygnalityczną)</w:t>
            </w:r>
          </w:p>
          <w:p w14:paraId="586F7E17"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t>= 36 734 000 zł brutto</w:t>
            </w:r>
          </w:p>
          <w:p w14:paraId="48450DB3" w14:textId="77777777" w:rsidR="00ED4FE9" w:rsidRPr="00A278C4" w:rsidRDefault="00ED4FE9" w:rsidP="00125E41">
            <w:pPr>
              <w:jc w:val="both"/>
              <w:rPr>
                <w:rFonts w:asciiTheme="minorHAnsi" w:hAnsiTheme="minorHAnsi" w:cstheme="minorHAnsi"/>
                <w:sz w:val="22"/>
                <w:szCs w:val="22"/>
              </w:rPr>
            </w:pPr>
          </w:p>
          <w:p w14:paraId="1C2B6199"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 xml:space="preserve">2028 </w:t>
            </w:r>
          </w:p>
          <w:p w14:paraId="474BEEB1"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7 226 250 zł brutto (świadczenie przez Wykonawcę usługi wsparcia technicznego do systemu AFIS/ABIS)</w:t>
            </w:r>
          </w:p>
          <w:p w14:paraId="4710DA69"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1 804 000 zł brutto (zakup 10 000 roboczogodzin do wykorzystania od dnia zawarcia Umowy do końca jej trwania)</w:t>
            </w:r>
          </w:p>
          <w:p w14:paraId="6C97CD60"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1 000 000 zł brutto (koszt utrzymania ERDB)</w:t>
            </w:r>
          </w:p>
          <w:p w14:paraId="16AED6E9"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t>= 10 030 250 zł brutto</w:t>
            </w:r>
          </w:p>
          <w:p w14:paraId="4C776603" w14:textId="77777777" w:rsidR="00ED4FE9" w:rsidRPr="00A278C4" w:rsidRDefault="00ED4FE9" w:rsidP="00125E41">
            <w:pPr>
              <w:jc w:val="both"/>
              <w:rPr>
                <w:rFonts w:asciiTheme="minorHAnsi" w:hAnsiTheme="minorHAnsi" w:cstheme="minorHAnsi"/>
                <w:sz w:val="22"/>
                <w:szCs w:val="22"/>
              </w:rPr>
            </w:pPr>
          </w:p>
          <w:p w14:paraId="1B9151DD"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 xml:space="preserve">2029 </w:t>
            </w:r>
          </w:p>
          <w:p w14:paraId="30FE5DC8"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7 226 250 zł brutto (świadczenie przez Wykonawcę usługi wsparcia technicznego do systemu AFIS/ABIS)</w:t>
            </w:r>
          </w:p>
          <w:p w14:paraId="29609AF9"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1 804 000 zł brutto (zakup 10 000 roboczogodzin do wykorzystania od dnia zawarcia Umowy do końca jej trwania)</w:t>
            </w:r>
          </w:p>
          <w:p w14:paraId="7A2609B6"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1 000 000 zł brutto (koszt utrzymania ERDB)</w:t>
            </w:r>
          </w:p>
          <w:p w14:paraId="204F815B"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t>= 10 030 250 zł brutto</w:t>
            </w:r>
          </w:p>
          <w:p w14:paraId="25224BD0" w14:textId="77777777" w:rsidR="00ED4FE9" w:rsidRPr="00A278C4" w:rsidRDefault="00ED4FE9" w:rsidP="00125E41">
            <w:pPr>
              <w:jc w:val="both"/>
              <w:rPr>
                <w:rFonts w:asciiTheme="minorHAnsi" w:hAnsiTheme="minorHAnsi" w:cstheme="minorHAnsi"/>
                <w:sz w:val="22"/>
                <w:szCs w:val="22"/>
              </w:rPr>
            </w:pPr>
          </w:p>
          <w:p w14:paraId="2FC3368B"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 xml:space="preserve">2030 </w:t>
            </w:r>
          </w:p>
          <w:p w14:paraId="6F102D03"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7 230 000 zł brutto (roczne utrzymania systemu AFIS)</w:t>
            </w:r>
          </w:p>
          <w:p w14:paraId="5A9BC6F9"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1 000 000 zł (koszt utrzymania ERDB)</w:t>
            </w:r>
          </w:p>
          <w:p w14:paraId="252D141A"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t>= 8 230 000 zł brutto</w:t>
            </w:r>
          </w:p>
          <w:p w14:paraId="4D68F486" w14:textId="77777777" w:rsidR="00ED4FE9" w:rsidRPr="00A278C4" w:rsidRDefault="00ED4FE9" w:rsidP="00125E41">
            <w:pPr>
              <w:jc w:val="both"/>
              <w:rPr>
                <w:rFonts w:asciiTheme="minorHAnsi" w:hAnsiTheme="minorHAnsi" w:cstheme="minorHAnsi"/>
                <w:sz w:val="22"/>
                <w:szCs w:val="22"/>
              </w:rPr>
            </w:pPr>
          </w:p>
          <w:p w14:paraId="4E7992AB"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2031</w:t>
            </w:r>
          </w:p>
          <w:p w14:paraId="28FC89BB"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7 230 000 zł brutto (roczne utrzymania systemu AFIS)</w:t>
            </w:r>
          </w:p>
          <w:p w14:paraId="7B3C9C14"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1 000 000 zł (koszt utrzymania ERDB)</w:t>
            </w:r>
          </w:p>
          <w:p w14:paraId="5F3CA09A"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lastRenderedPageBreak/>
              <w:t>= 8 230 000 zł brutto</w:t>
            </w:r>
          </w:p>
          <w:p w14:paraId="33EA1F2B" w14:textId="77777777" w:rsidR="00ED4FE9" w:rsidRPr="00A278C4" w:rsidRDefault="00ED4FE9" w:rsidP="00125E41">
            <w:pPr>
              <w:jc w:val="both"/>
              <w:rPr>
                <w:rFonts w:asciiTheme="minorHAnsi" w:hAnsiTheme="minorHAnsi" w:cstheme="minorHAnsi"/>
                <w:sz w:val="22"/>
                <w:szCs w:val="22"/>
              </w:rPr>
            </w:pPr>
          </w:p>
          <w:p w14:paraId="37BA8BB0" w14:textId="77777777" w:rsidR="00ED4FE9" w:rsidRPr="00A278C4" w:rsidRDefault="00ED4FE9" w:rsidP="00125E41">
            <w:pPr>
              <w:jc w:val="both"/>
              <w:rPr>
                <w:rFonts w:asciiTheme="minorHAnsi" w:hAnsiTheme="minorHAnsi" w:cstheme="minorHAnsi"/>
                <w:sz w:val="22"/>
                <w:szCs w:val="22"/>
              </w:rPr>
            </w:pPr>
          </w:p>
          <w:p w14:paraId="0A8DBB54"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2032/2033/2034/2035/20236</w:t>
            </w:r>
          </w:p>
          <w:p w14:paraId="7A583791"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7 230 000 zł brutto (roczne utrzymania systemu AFIS)</w:t>
            </w:r>
          </w:p>
          <w:p w14:paraId="25589C68"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1 000 000 zł (koszt utrzymania ERDB)</w:t>
            </w:r>
          </w:p>
          <w:p w14:paraId="5374F674" w14:textId="77777777" w:rsidR="00ED4FE9" w:rsidRPr="00A278C4" w:rsidRDefault="00ED4FE9" w:rsidP="00125E41">
            <w:pPr>
              <w:jc w:val="both"/>
              <w:rPr>
                <w:rFonts w:asciiTheme="minorHAnsi" w:hAnsiTheme="minorHAnsi" w:cstheme="minorHAnsi"/>
                <w:sz w:val="22"/>
                <w:szCs w:val="22"/>
              </w:rPr>
            </w:pPr>
            <w:r w:rsidRPr="00A278C4">
              <w:rPr>
                <w:rFonts w:asciiTheme="minorHAnsi" w:hAnsiTheme="minorHAnsi" w:cstheme="minorHAnsi"/>
                <w:sz w:val="22"/>
                <w:szCs w:val="22"/>
              </w:rPr>
              <w:t>500 000 zł brutto (modernizacja/budowa nowej bramy dostępowej - koszt utrzymania po okresie pięcioletniego wsparcia serwisowego)</w:t>
            </w:r>
          </w:p>
          <w:p w14:paraId="491FB494" w14:textId="77777777" w:rsidR="00ED4FE9" w:rsidRPr="00A278C4" w:rsidRDefault="00ED4FE9" w:rsidP="00125E41">
            <w:pPr>
              <w:jc w:val="both"/>
              <w:rPr>
                <w:rFonts w:asciiTheme="minorHAnsi" w:hAnsiTheme="minorHAnsi" w:cstheme="minorHAnsi"/>
                <w:b/>
                <w:bCs/>
                <w:sz w:val="22"/>
                <w:szCs w:val="22"/>
              </w:rPr>
            </w:pPr>
            <w:r w:rsidRPr="00A278C4">
              <w:rPr>
                <w:rFonts w:asciiTheme="minorHAnsi" w:hAnsiTheme="minorHAnsi" w:cstheme="minorHAnsi"/>
                <w:b/>
                <w:bCs/>
                <w:sz w:val="22"/>
                <w:szCs w:val="22"/>
              </w:rPr>
              <w:t>=8 730 000 zł brutto</w:t>
            </w:r>
          </w:p>
          <w:p w14:paraId="04882121" w14:textId="050A6CC5" w:rsidR="00ED4FE9" w:rsidRPr="00A278C4" w:rsidRDefault="00ED4FE9" w:rsidP="00125E41">
            <w:pPr>
              <w:jc w:val="both"/>
              <w:rPr>
                <w:rFonts w:asciiTheme="minorHAnsi" w:hAnsiTheme="minorHAnsi" w:cstheme="minorHAnsi"/>
                <w:sz w:val="22"/>
                <w:szCs w:val="22"/>
              </w:rPr>
            </w:pPr>
          </w:p>
        </w:tc>
      </w:tr>
      <w:tr w:rsidR="003177BC" w:rsidRPr="004B4123" w14:paraId="6DE24953" w14:textId="77777777" w:rsidTr="003177BC">
        <w:tc>
          <w:tcPr>
            <w:tcW w:w="421" w:type="dxa"/>
            <w:shd w:val="clear" w:color="auto" w:fill="auto"/>
          </w:tcPr>
          <w:p w14:paraId="0E7A8010" w14:textId="57B76ED7" w:rsidR="003177BC" w:rsidRPr="0077406D" w:rsidRDefault="003177BC" w:rsidP="003177BC">
            <w:pPr>
              <w:spacing w:before="120" w:after="120"/>
              <w:jc w:val="center"/>
              <w:rPr>
                <w:rFonts w:asciiTheme="minorHAnsi" w:hAnsiTheme="minorHAnsi" w:cstheme="minorHAnsi"/>
                <w:b/>
                <w:sz w:val="22"/>
                <w:szCs w:val="22"/>
              </w:rPr>
            </w:pPr>
            <w:r>
              <w:rPr>
                <w:rFonts w:asciiTheme="minorHAnsi" w:hAnsiTheme="minorHAnsi" w:cstheme="minorHAnsi"/>
                <w:b/>
                <w:sz w:val="22"/>
                <w:szCs w:val="22"/>
              </w:rPr>
              <w:lastRenderedPageBreak/>
              <w:t>6</w:t>
            </w:r>
          </w:p>
        </w:tc>
        <w:tc>
          <w:tcPr>
            <w:tcW w:w="1134" w:type="dxa"/>
            <w:shd w:val="clear" w:color="auto" w:fill="auto"/>
          </w:tcPr>
          <w:p w14:paraId="0C8F93BF" w14:textId="33579D3D" w:rsidR="003177BC" w:rsidRPr="0077406D" w:rsidRDefault="003177BC" w:rsidP="003177BC">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7B23C71F" w14:textId="6BAF38E9" w:rsidR="003177BC" w:rsidRPr="0077406D" w:rsidRDefault="003177BC" w:rsidP="003177BC">
            <w:pPr>
              <w:jc w:val="center"/>
              <w:rPr>
                <w:rFonts w:asciiTheme="minorHAnsi" w:hAnsiTheme="minorHAnsi" w:cstheme="minorHAnsi"/>
                <w:sz w:val="22"/>
                <w:szCs w:val="22"/>
              </w:rPr>
            </w:pPr>
            <w:r>
              <w:rPr>
                <w:rFonts w:asciiTheme="minorHAnsi" w:hAnsiTheme="minorHAnsi" w:cstheme="minorHAnsi"/>
                <w:sz w:val="22"/>
                <w:szCs w:val="22"/>
              </w:rPr>
              <w:t>A</w:t>
            </w:r>
            <w:r w:rsidRPr="00D26D79">
              <w:rPr>
                <w:rFonts w:asciiTheme="minorHAnsi" w:hAnsiTheme="minorHAnsi" w:cstheme="minorHAnsi"/>
                <w:sz w:val="22"/>
                <w:szCs w:val="22"/>
              </w:rPr>
              <w:t>rt. 39 ust. 3</w:t>
            </w:r>
          </w:p>
        </w:tc>
        <w:tc>
          <w:tcPr>
            <w:tcW w:w="3827" w:type="dxa"/>
            <w:shd w:val="clear" w:color="auto" w:fill="auto"/>
          </w:tcPr>
          <w:p w14:paraId="19CEC793" w14:textId="48B6A848" w:rsidR="003177BC" w:rsidRPr="0033458B" w:rsidRDefault="003177BC" w:rsidP="003177BC">
            <w:pPr>
              <w:jc w:val="both"/>
              <w:rPr>
                <w:rFonts w:asciiTheme="minorHAnsi" w:hAnsiTheme="minorHAnsi" w:cstheme="minorHAnsi"/>
                <w:sz w:val="22"/>
                <w:szCs w:val="22"/>
              </w:rPr>
            </w:pPr>
            <w:r w:rsidRPr="0033458B">
              <w:rPr>
                <w:rFonts w:asciiTheme="minorHAnsi" w:hAnsiTheme="minorHAnsi" w:cstheme="minorHAnsi"/>
                <w:sz w:val="22"/>
                <w:szCs w:val="22"/>
              </w:rPr>
              <w:t>Dodatkowego zauważenia wymaga, że w art. 39 ust. 3 projektu określono mechanizm korygujący polegający na zmniejszeniu wydatków budżetu państwa będących skutkiem finansowym niniejszej ustawy. Zaproponowane brzmienie powyższego mechanizmu korygującego pozostaje na dużym stopniu ogólności, a co za tym idzie nie spełnia wymogów określonych w art. 50 ust. 4 ustawy o finansach publicznych. Zauważenia bowiem wymaga, że zgodnie z tym przepisem, mechanizm korygujący konstruowany przez projektodawcę ustawy winien polegać na obniżeniu kosztów realizacji wyznaczonych zadań,</w:t>
            </w:r>
            <w:r>
              <w:rPr>
                <w:rFonts w:asciiTheme="minorHAnsi" w:hAnsiTheme="minorHAnsi" w:cstheme="minorHAnsi"/>
                <w:sz w:val="22"/>
                <w:szCs w:val="22"/>
              </w:rPr>
              <w:br/>
            </w:r>
            <w:r w:rsidRPr="0033458B">
              <w:rPr>
                <w:rFonts w:asciiTheme="minorHAnsi" w:hAnsiTheme="minorHAnsi" w:cstheme="minorHAnsi"/>
                <w:sz w:val="22"/>
                <w:szCs w:val="22"/>
              </w:rPr>
              <w:t xml:space="preserve"> tj. powinien w sposób dokładny i konkretny określać zakres wprowadzanego ograniczenia, tak aby mógł on doprowadzić </w:t>
            </w:r>
            <w:r>
              <w:rPr>
                <w:rFonts w:asciiTheme="minorHAnsi" w:hAnsiTheme="minorHAnsi" w:cstheme="minorHAnsi"/>
                <w:sz w:val="22"/>
                <w:szCs w:val="22"/>
              </w:rPr>
              <w:br/>
            </w:r>
            <w:r w:rsidRPr="0033458B">
              <w:rPr>
                <w:rFonts w:asciiTheme="minorHAnsi" w:hAnsiTheme="minorHAnsi" w:cstheme="minorHAnsi"/>
                <w:sz w:val="22"/>
                <w:szCs w:val="22"/>
              </w:rPr>
              <w:t xml:space="preserve">do redukcji kosztów do maksymalnego limitu wydatków przyjętego </w:t>
            </w:r>
            <w:r>
              <w:rPr>
                <w:rFonts w:asciiTheme="minorHAnsi" w:hAnsiTheme="minorHAnsi" w:cstheme="minorHAnsi"/>
                <w:sz w:val="22"/>
                <w:szCs w:val="22"/>
              </w:rPr>
              <w:br/>
            </w:r>
            <w:r w:rsidRPr="0033458B">
              <w:rPr>
                <w:rFonts w:asciiTheme="minorHAnsi" w:hAnsiTheme="minorHAnsi" w:cstheme="minorHAnsi"/>
                <w:sz w:val="22"/>
                <w:szCs w:val="22"/>
              </w:rPr>
              <w:t xml:space="preserve">na dany rok budżetowy, w przypadku zagrożenia przekroczenia tego limitu. </w:t>
            </w:r>
            <w:r w:rsidRPr="0033458B">
              <w:rPr>
                <w:rFonts w:asciiTheme="minorHAnsi" w:hAnsiTheme="minorHAnsi" w:cstheme="minorHAnsi"/>
                <w:sz w:val="22"/>
                <w:szCs w:val="22"/>
              </w:rPr>
              <w:lastRenderedPageBreak/>
              <w:t>Jednocześnie właściwe określenie przez projektodawcę mechanizmów uzależnione jest głównie od zdolności monitorowania przez wskazany organ wykorzystania limitu wydatków na wykonanie zadania publicznego. Tym samym wskazana wyżej regulacja wymaga doprecyzowania w zakresie jednoznacznego wskazania warunków (m.in. terminów i wysokości wydatków), które będą powodowały konieczność uruchomienia mechanizmu korygującego.</w:t>
            </w:r>
          </w:p>
          <w:p w14:paraId="269AEE11" w14:textId="3C273F07" w:rsidR="003177BC" w:rsidRPr="007167B1" w:rsidRDefault="003177BC" w:rsidP="003177BC">
            <w:pPr>
              <w:jc w:val="both"/>
              <w:rPr>
                <w:rFonts w:asciiTheme="minorHAnsi" w:hAnsiTheme="minorHAnsi" w:cstheme="minorHAnsi"/>
                <w:sz w:val="22"/>
                <w:szCs w:val="22"/>
              </w:rPr>
            </w:pPr>
            <w:r w:rsidRPr="0033458B">
              <w:rPr>
                <w:rFonts w:asciiTheme="minorHAnsi" w:hAnsiTheme="minorHAnsi" w:cstheme="minorHAnsi"/>
                <w:sz w:val="22"/>
                <w:szCs w:val="22"/>
              </w:rPr>
              <w:t xml:space="preserve">Należy również przypomnieć, że określenie w treści ustawy maksymalnego limitu wydatków nie oznacza automatycznego zwiększenia budżetu dysponenta o te kwoty w kolejnych latach, lecz </w:t>
            </w:r>
            <w:r>
              <w:rPr>
                <w:rFonts w:asciiTheme="minorHAnsi" w:hAnsiTheme="minorHAnsi" w:cstheme="minorHAnsi"/>
                <w:sz w:val="22"/>
                <w:szCs w:val="22"/>
              </w:rPr>
              <w:br/>
            </w:r>
            <w:r w:rsidRPr="0033458B">
              <w:rPr>
                <w:rFonts w:asciiTheme="minorHAnsi" w:hAnsiTheme="minorHAnsi" w:cstheme="minorHAnsi"/>
                <w:sz w:val="22"/>
                <w:szCs w:val="22"/>
              </w:rPr>
              <w:t>z założenia ma wspomagać jedynie ograniczenie wzrostu wydatków planowanych w dalszym ciągu zgodnie z przyjętymi przez Radę Ministrów założeniami do projektu budżetu państwa na dany rok budżetowy.</w:t>
            </w:r>
          </w:p>
        </w:tc>
        <w:tc>
          <w:tcPr>
            <w:tcW w:w="4961" w:type="dxa"/>
            <w:shd w:val="clear" w:color="auto" w:fill="auto"/>
          </w:tcPr>
          <w:p w14:paraId="75D21385" w14:textId="77777777" w:rsidR="003177BC" w:rsidRDefault="003177BC" w:rsidP="003177BC">
            <w:pPr>
              <w:jc w:val="both"/>
              <w:rPr>
                <w:rFonts w:ascii="Calibri" w:hAnsi="Calibri" w:cs="Calibri"/>
                <w:sz w:val="22"/>
                <w:szCs w:val="22"/>
              </w:rPr>
            </w:pPr>
            <w:r>
              <w:rPr>
                <w:rFonts w:ascii="Calibri" w:hAnsi="Calibri" w:cs="Calibri"/>
                <w:sz w:val="22"/>
                <w:szCs w:val="22"/>
              </w:rPr>
              <w:lastRenderedPageBreak/>
              <w:t>Korekta przepisu we wskazanym zakresie.</w:t>
            </w:r>
          </w:p>
          <w:p w14:paraId="20ABDB1E" w14:textId="01A01B2F" w:rsidR="003177BC" w:rsidRPr="00F16AE5" w:rsidRDefault="003177BC" w:rsidP="003177BC">
            <w:pPr>
              <w:jc w:val="both"/>
              <w:rPr>
                <w:rFonts w:asciiTheme="minorHAnsi" w:hAnsiTheme="minorHAnsi" w:cstheme="minorHAnsi"/>
                <w:sz w:val="22"/>
                <w:szCs w:val="22"/>
              </w:rPr>
            </w:pPr>
          </w:p>
        </w:tc>
        <w:tc>
          <w:tcPr>
            <w:tcW w:w="4253" w:type="dxa"/>
          </w:tcPr>
          <w:p w14:paraId="763F8D19" w14:textId="530EC835" w:rsidR="008273BE" w:rsidRDefault="008273BE" w:rsidP="008273BE">
            <w:pPr>
              <w:jc w:val="both"/>
              <w:rPr>
                <w:rFonts w:ascii="Calibri" w:hAnsi="Calibri" w:cs="Calibri"/>
                <w:b/>
                <w:sz w:val="22"/>
                <w:szCs w:val="22"/>
              </w:rPr>
            </w:pPr>
            <w:r w:rsidRPr="008273BE">
              <w:rPr>
                <w:rFonts w:ascii="Calibri" w:hAnsi="Calibri" w:cs="Calibri"/>
                <w:b/>
                <w:sz w:val="22"/>
                <w:szCs w:val="22"/>
              </w:rPr>
              <w:t>Stanowisko MSWiA</w:t>
            </w:r>
          </w:p>
          <w:p w14:paraId="79238599" w14:textId="4216431B" w:rsidR="006D699C" w:rsidRPr="008273BE" w:rsidRDefault="006D699C" w:rsidP="008273BE">
            <w:pPr>
              <w:jc w:val="both"/>
              <w:rPr>
                <w:rFonts w:ascii="Calibri" w:hAnsi="Calibri" w:cs="Calibri"/>
                <w:b/>
                <w:sz w:val="22"/>
                <w:szCs w:val="22"/>
              </w:rPr>
            </w:pPr>
            <w:r>
              <w:rPr>
                <w:rFonts w:ascii="Calibri" w:hAnsi="Calibri" w:cs="Calibri"/>
                <w:b/>
                <w:sz w:val="22"/>
                <w:szCs w:val="22"/>
              </w:rPr>
              <w:t>Uwaga uwzględniona</w:t>
            </w:r>
            <w:r w:rsidR="009E5B40">
              <w:rPr>
                <w:rFonts w:ascii="Calibri" w:hAnsi="Calibri" w:cs="Calibri"/>
                <w:b/>
                <w:sz w:val="22"/>
                <w:szCs w:val="22"/>
              </w:rPr>
              <w:t>.</w:t>
            </w:r>
          </w:p>
          <w:p w14:paraId="2A44986B" w14:textId="77777777" w:rsidR="00462711" w:rsidRDefault="00462711" w:rsidP="008273BE">
            <w:pPr>
              <w:jc w:val="both"/>
              <w:rPr>
                <w:rFonts w:asciiTheme="minorHAnsi" w:hAnsiTheme="minorHAnsi" w:cstheme="minorHAnsi"/>
                <w:sz w:val="22"/>
                <w:szCs w:val="22"/>
              </w:rPr>
            </w:pPr>
          </w:p>
          <w:p w14:paraId="768574FB" w14:textId="470F43A7" w:rsidR="00462711" w:rsidRDefault="00280EBF" w:rsidP="00462711">
            <w:pPr>
              <w:jc w:val="both"/>
              <w:rPr>
                <w:rFonts w:asciiTheme="minorHAnsi" w:hAnsiTheme="minorHAnsi" w:cstheme="minorHAnsi"/>
                <w:sz w:val="22"/>
                <w:szCs w:val="22"/>
              </w:rPr>
            </w:pPr>
            <w:r>
              <w:rPr>
                <w:rFonts w:asciiTheme="minorHAnsi" w:hAnsiTheme="minorHAnsi" w:cstheme="minorHAnsi"/>
                <w:sz w:val="22"/>
                <w:szCs w:val="22"/>
              </w:rPr>
              <w:t>Uwzględniono</w:t>
            </w:r>
            <w:r w:rsidR="00462711">
              <w:rPr>
                <w:rFonts w:asciiTheme="minorHAnsi" w:hAnsiTheme="minorHAnsi" w:cstheme="minorHAnsi"/>
                <w:sz w:val="22"/>
                <w:szCs w:val="22"/>
              </w:rPr>
              <w:t xml:space="preserve"> uwag</w:t>
            </w:r>
            <w:r>
              <w:rPr>
                <w:rFonts w:asciiTheme="minorHAnsi" w:hAnsiTheme="minorHAnsi" w:cstheme="minorHAnsi"/>
                <w:sz w:val="22"/>
                <w:szCs w:val="22"/>
              </w:rPr>
              <w:t>ę</w:t>
            </w:r>
            <w:r w:rsidR="00462711">
              <w:rPr>
                <w:rFonts w:asciiTheme="minorHAnsi" w:hAnsiTheme="minorHAnsi" w:cstheme="minorHAnsi"/>
                <w:sz w:val="22"/>
                <w:szCs w:val="22"/>
              </w:rPr>
              <w:t xml:space="preserve"> przez zastosowanie rozwiązań zbliżonych do zawartych w art. 25 ust. 4 i 5 ustawy z dnia 18 października 2024 r. </w:t>
            </w:r>
            <w:r w:rsidR="00462711" w:rsidRPr="00B87A64">
              <w:rPr>
                <w:rFonts w:asciiTheme="minorHAnsi" w:hAnsiTheme="minorHAnsi" w:cstheme="minorHAnsi"/>
                <w:sz w:val="22"/>
                <w:szCs w:val="22"/>
              </w:rPr>
              <w:t xml:space="preserve">o udziale Rzeczypospolitej Polskiej </w:t>
            </w:r>
            <w:r w:rsidR="00A47509">
              <w:rPr>
                <w:rFonts w:asciiTheme="minorHAnsi" w:hAnsiTheme="minorHAnsi" w:cstheme="minorHAnsi"/>
                <w:sz w:val="22"/>
                <w:szCs w:val="22"/>
              </w:rPr>
              <w:t xml:space="preserve">                            </w:t>
            </w:r>
            <w:r w:rsidR="00462711" w:rsidRPr="00B87A64">
              <w:rPr>
                <w:rFonts w:asciiTheme="minorHAnsi" w:hAnsiTheme="minorHAnsi" w:cstheme="minorHAnsi"/>
                <w:sz w:val="22"/>
                <w:szCs w:val="22"/>
              </w:rPr>
              <w:t>w Systemie Wjazdu/Wyjazdu</w:t>
            </w:r>
            <w:r w:rsidR="00462711">
              <w:rPr>
                <w:rFonts w:asciiTheme="minorHAnsi" w:hAnsiTheme="minorHAnsi" w:cstheme="minorHAnsi"/>
                <w:sz w:val="22"/>
                <w:szCs w:val="22"/>
              </w:rPr>
              <w:t>.</w:t>
            </w:r>
          </w:p>
          <w:p w14:paraId="78E5BC4A" w14:textId="34A44264" w:rsidR="00462711" w:rsidRDefault="004F053F" w:rsidP="00462711">
            <w:pPr>
              <w:jc w:val="both"/>
              <w:rPr>
                <w:rFonts w:asciiTheme="minorHAnsi" w:hAnsiTheme="minorHAnsi" w:cstheme="minorHAnsi"/>
                <w:sz w:val="22"/>
                <w:szCs w:val="22"/>
              </w:rPr>
            </w:pPr>
            <w:r>
              <w:rPr>
                <w:rFonts w:asciiTheme="minorHAnsi" w:hAnsiTheme="minorHAnsi" w:cstheme="minorHAnsi"/>
                <w:sz w:val="22"/>
                <w:szCs w:val="22"/>
              </w:rPr>
              <w:t xml:space="preserve">art. 39 </w:t>
            </w:r>
            <w:r w:rsidR="00462711">
              <w:rPr>
                <w:rFonts w:asciiTheme="minorHAnsi" w:hAnsiTheme="minorHAnsi" w:cstheme="minorHAnsi"/>
                <w:sz w:val="22"/>
                <w:szCs w:val="22"/>
              </w:rPr>
              <w:t xml:space="preserve">ust. 2 i 3 w </w:t>
            </w:r>
            <w:r>
              <w:rPr>
                <w:rFonts w:asciiTheme="minorHAnsi" w:hAnsiTheme="minorHAnsi" w:cstheme="minorHAnsi"/>
                <w:sz w:val="22"/>
                <w:szCs w:val="22"/>
              </w:rPr>
              <w:t xml:space="preserve">otrzymuje </w:t>
            </w:r>
            <w:r w:rsidR="00462711">
              <w:rPr>
                <w:rFonts w:asciiTheme="minorHAnsi" w:hAnsiTheme="minorHAnsi" w:cstheme="minorHAnsi"/>
                <w:sz w:val="22"/>
                <w:szCs w:val="22"/>
              </w:rPr>
              <w:t>brzmienie:</w:t>
            </w:r>
          </w:p>
          <w:p w14:paraId="20754D82" w14:textId="22A99281" w:rsidR="00462711" w:rsidRPr="00B87A64" w:rsidRDefault="00462711" w:rsidP="00462711">
            <w:pPr>
              <w:jc w:val="both"/>
              <w:rPr>
                <w:rFonts w:asciiTheme="minorHAnsi" w:hAnsiTheme="minorHAnsi" w:cstheme="minorHAnsi"/>
                <w:sz w:val="22"/>
                <w:szCs w:val="22"/>
              </w:rPr>
            </w:pPr>
            <w:r>
              <w:rPr>
                <w:rFonts w:asciiTheme="minorHAnsi" w:hAnsiTheme="minorHAnsi" w:cstheme="minorHAnsi"/>
                <w:sz w:val="22"/>
                <w:szCs w:val="22"/>
              </w:rPr>
              <w:t>„2</w:t>
            </w:r>
            <w:r w:rsidRPr="00B87A64">
              <w:rPr>
                <w:rFonts w:asciiTheme="minorHAnsi" w:hAnsiTheme="minorHAnsi" w:cstheme="minorHAnsi"/>
                <w:sz w:val="22"/>
                <w:szCs w:val="22"/>
              </w:rPr>
              <w:t xml:space="preserve">. Minister właściwy do spraw wewnętrznych monitoruje wykorzystanie limitu wydatków, o którym mowa w ust. </w:t>
            </w:r>
            <w:r>
              <w:rPr>
                <w:rFonts w:asciiTheme="minorHAnsi" w:hAnsiTheme="minorHAnsi" w:cstheme="minorHAnsi"/>
                <w:sz w:val="22"/>
                <w:szCs w:val="22"/>
              </w:rPr>
              <w:t>1</w:t>
            </w:r>
            <w:r w:rsidRPr="00B87A64">
              <w:rPr>
                <w:rFonts w:asciiTheme="minorHAnsi" w:hAnsiTheme="minorHAnsi" w:cstheme="minorHAnsi"/>
                <w:sz w:val="22"/>
                <w:szCs w:val="22"/>
              </w:rPr>
              <w:t xml:space="preserve">, </w:t>
            </w:r>
            <w:r w:rsidR="00A47509">
              <w:rPr>
                <w:rFonts w:asciiTheme="minorHAnsi" w:hAnsiTheme="minorHAnsi" w:cstheme="minorHAnsi"/>
                <w:sz w:val="22"/>
                <w:szCs w:val="22"/>
              </w:rPr>
              <w:t xml:space="preserve">                  </w:t>
            </w:r>
            <w:r w:rsidRPr="00B87A64">
              <w:rPr>
                <w:rFonts w:asciiTheme="minorHAnsi" w:hAnsiTheme="minorHAnsi" w:cstheme="minorHAnsi"/>
                <w:sz w:val="22"/>
                <w:szCs w:val="22"/>
              </w:rPr>
              <w:t xml:space="preserve">i dokonuje oceny wykorzystania tego limitu według stanu na koniec każdego kwartału, </w:t>
            </w:r>
            <w:r w:rsidR="00A47509">
              <w:rPr>
                <w:rFonts w:asciiTheme="minorHAnsi" w:hAnsiTheme="minorHAnsi" w:cstheme="minorHAnsi"/>
                <w:sz w:val="22"/>
                <w:szCs w:val="22"/>
              </w:rPr>
              <w:t xml:space="preserve">                    </w:t>
            </w:r>
            <w:r w:rsidRPr="00B87A64">
              <w:rPr>
                <w:rFonts w:asciiTheme="minorHAnsi" w:hAnsiTheme="minorHAnsi" w:cstheme="minorHAnsi"/>
                <w:sz w:val="22"/>
                <w:szCs w:val="22"/>
              </w:rPr>
              <w:t xml:space="preserve">a w przypadku IV kwartału </w:t>
            </w:r>
            <w:r>
              <w:rPr>
                <w:rFonts w:asciiTheme="minorHAnsi" w:hAnsiTheme="minorHAnsi" w:cstheme="minorHAnsi"/>
                <w:sz w:val="22"/>
                <w:szCs w:val="22"/>
              </w:rPr>
              <w:t>–</w:t>
            </w:r>
            <w:r w:rsidRPr="00B87A64">
              <w:rPr>
                <w:rFonts w:asciiTheme="minorHAnsi" w:hAnsiTheme="minorHAnsi" w:cstheme="minorHAnsi"/>
                <w:sz w:val="22"/>
                <w:szCs w:val="22"/>
              </w:rPr>
              <w:t xml:space="preserve"> według stanu na dzień 20 listopada danego roku.</w:t>
            </w:r>
          </w:p>
          <w:p w14:paraId="7C01D8AC" w14:textId="5E6630E9" w:rsidR="00462711" w:rsidRPr="0077406D" w:rsidRDefault="00462711" w:rsidP="00462711">
            <w:pPr>
              <w:jc w:val="both"/>
              <w:rPr>
                <w:rFonts w:asciiTheme="minorHAnsi" w:hAnsiTheme="minorHAnsi" w:cstheme="minorHAnsi"/>
                <w:sz w:val="22"/>
                <w:szCs w:val="22"/>
              </w:rPr>
            </w:pPr>
            <w:r>
              <w:rPr>
                <w:rFonts w:asciiTheme="minorHAnsi" w:hAnsiTheme="minorHAnsi" w:cstheme="minorHAnsi"/>
                <w:sz w:val="22"/>
                <w:szCs w:val="22"/>
              </w:rPr>
              <w:t>3</w:t>
            </w:r>
            <w:r w:rsidRPr="00B87A64">
              <w:rPr>
                <w:rFonts w:asciiTheme="minorHAnsi" w:hAnsiTheme="minorHAnsi" w:cstheme="minorHAnsi"/>
                <w:sz w:val="22"/>
                <w:szCs w:val="22"/>
              </w:rPr>
              <w:t xml:space="preserve">. W przypadku gdy wielkość wydatków, </w:t>
            </w:r>
            <w:r w:rsidR="00A47509">
              <w:rPr>
                <w:rFonts w:asciiTheme="minorHAnsi" w:hAnsiTheme="minorHAnsi" w:cstheme="minorHAnsi"/>
                <w:sz w:val="22"/>
                <w:szCs w:val="22"/>
              </w:rPr>
              <w:t xml:space="preserve">                     </w:t>
            </w:r>
            <w:r w:rsidRPr="00B87A64">
              <w:rPr>
                <w:rFonts w:asciiTheme="minorHAnsi" w:hAnsiTheme="minorHAnsi" w:cstheme="minorHAnsi"/>
                <w:sz w:val="22"/>
                <w:szCs w:val="22"/>
              </w:rPr>
              <w:t xml:space="preserve">o których mowa w ust. </w:t>
            </w:r>
            <w:r>
              <w:rPr>
                <w:rFonts w:asciiTheme="minorHAnsi" w:hAnsiTheme="minorHAnsi" w:cstheme="minorHAnsi"/>
                <w:sz w:val="22"/>
                <w:szCs w:val="22"/>
              </w:rPr>
              <w:t>1</w:t>
            </w:r>
            <w:r w:rsidRPr="00B87A64">
              <w:rPr>
                <w:rFonts w:asciiTheme="minorHAnsi" w:hAnsiTheme="minorHAnsi" w:cstheme="minorHAnsi"/>
                <w:sz w:val="22"/>
                <w:szCs w:val="22"/>
              </w:rPr>
              <w:t>, po trzech kwartałach wyniesie łącznie więcej niż 75 % limitu przewidzianego na ten rok, wielkość wydatków w IV kwartale obniża się o kwotę przekroczenia, określając zakres ograniczeń dla poszczególnych zadań realizowanych na podstawie ustawy.</w:t>
            </w:r>
            <w:r>
              <w:rPr>
                <w:rFonts w:asciiTheme="minorHAnsi" w:hAnsiTheme="minorHAnsi" w:cstheme="minorHAnsi"/>
                <w:sz w:val="22"/>
                <w:szCs w:val="22"/>
              </w:rPr>
              <w:t>”</w:t>
            </w:r>
          </w:p>
        </w:tc>
      </w:tr>
      <w:tr w:rsidR="003177BC" w:rsidRPr="004B4123" w14:paraId="7788C9B9" w14:textId="77777777" w:rsidTr="003177BC">
        <w:tc>
          <w:tcPr>
            <w:tcW w:w="421" w:type="dxa"/>
            <w:shd w:val="clear" w:color="auto" w:fill="auto"/>
          </w:tcPr>
          <w:p w14:paraId="757B7627" w14:textId="5B99986C" w:rsidR="003177BC" w:rsidRDefault="003177BC" w:rsidP="003177BC">
            <w:pPr>
              <w:spacing w:before="120" w:after="120"/>
              <w:jc w:val="center"/>
              <w:rPr>
                <w:rFonts w:asciiTheme="minorHAnsi" w:hAnsiTheme="minorHAnsi" w:cstheme="minorHAnsi"/>
                <w:b/>
                <w:sz w:val="22"/>
                <w:szCs w:val="22"/>
              </w:rPr>
            </w:pPr>
            <w:r>
              <w:rPr>
                <w:rFonts w:asciiTheme="minorHAnsi" w:hAnsiTheme="minorHAnsi" w:cstheme="minorHAnsi"/>
                <w:b/>
                <w:sz w:val="22"/>
                <w:szCs w:val="22"/>
              </w:rPr>
              <w:t>7</w:t>
            </w:r>
          </w:p>
        </w:tc>
        <w:tc>
          <w:tcPr>
            <w:tcW w:w="1134" w:type="dxa"/>
            <w:shd w:val="clear" w:color="auto" w:fill="auto"/>
          </w:tcPr>
          <w:p w14:paraId="1C70A870" w14:textId="3FC0580C" w:rsidR="003177BC" w:rsidRPr="0077406D" w:rsidRDefault="003177BC" w:rsidP="003177BC">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28FA8451" w14:textId="64C0FAFC" w:rsidR="003177BC" w:rsidRPr="0077406D" w:rsidRDefault="003177BC" w:rsidP="003177BC">
            <w:pPr>
              <w:jc w:val="center"/>
              <w:rPr>
                <w:rFonts w:asciiTheme="minorHAnsi" w:hAnsiTheme="minorHAnsi" w:cstheme="minorHAnsi"/>
                <w:sz w:val="22"/>
                <w:szCs w:val="22"/>
              </w:rPr>
            </w:pPr>
            <w:r>
              <w:rPr>
                <w:rFonts w:asciiTheme="minorHAnsi" w:hAnsiTheme="minorHAnsi" w:cstheme="minorHAnsi"/>
                <w:sz w:val="22"/>
                <w:szCs w:val="22"/>
              </w:rPr>
              <w:t>OSR</w:t>
            </w:r>
          </w:p>
        </w:tc>
        <w:tc>
          <w:tcPr>
            <w:tcW w:w="3827" w:type="dxa"/>
            <w:shd w:val="clear" w:color="auto" w:fill="auto"/>
          </w:tcPr>
          <w:p w14:paraId="2DB2D0AC" w14:textId="25E95CC7" w:rsidR="003177BC" w:rsidRPr="007167B1" w:rsidRDefault="003177BC" w:rsidP="003177BC">
            <w:pPr>
              <w:jc w:val="both"/>
              <w:rPr>
                <w:rFonts w:asciiTheme="minorHAnsi" w:hAnsiTheme="minorHAnsi" w:cstheme="minorHAnsi"/>
                <w:sz w:val="22"/>
                <w:szCs w:val="22"/>
              </w:rPr>
            </w:pPr>
            <w:r w:rsidRPr="0033458B">
              <w:rPr>
                <w:rFonts w:asciiTheme="minorHAnsi" w:hAnsiTheme="minorHAnsi" w:cstheme="minorHAnsi"/>
                <w:sz w:val="22"/>
                <w:szCs w:val="22"/>
              </w:rPr>
              <w:t xml:space="preserve">W pkt. 6 OSR błędnie wskazano w kosztach miesięcznych pracodawcy wysokość składek na Fundusz Pracy. Zauważenia wymaga, że analogicznie jak w przypadku składek na Fundusz Pracy odprowadzane są składki na Fundusz Solidarnościowy. Stosownie do postanowień ustawy budżetowej na rok 2026, wysokość obowiązującej składki </w:t>
            </w:r>
            <w:r>
              <w:rPr>
                <w:rFonts w:asciiTheme="minorHAnsi" w:hAnsiTheme="minorHAnsi" w:cstheme="minorHAnsi"/>
                <w:sz w:val="22"/>
                <w:szCs w:val="22"/>
              </w:rPr>
              <w:br/>
            </w:r>
            <w:r w:rsidRPr="0033458B">
              <w:rPr>
                <w:rFonts w:asciiTheme="minorHAnsi" w:hAnsiTheme="minorHAnsi" w:cstheme="minorHAnsi"/>
                <w:sz w:val="22"/>
                <w:szCs w:val="22"/>
              </w:rPr>
              <w:t xml:space="preserve">na Fundusz Pracy wynosi 1,0% podstawy wymiaru składek </w:t>
            </w:r>
            <w:r>
              <w:rPr>
                <w:rFonts w:asciiTheme="minorHAnsi" w:hAnsiTheme="minorHAnsi" w:cstheme="minorHAnsi"/>
                <w:sz w:val="22"/>
                <w:szCs w:val="22"/>
              </w:rPr>
              <w:br/>
            </w:r>
            <w:r w:rsidRPr="0033458B">
              <w:rPr>
                <w:rFonts w:asciiTheme="minorHAnsi" w:hAnsiTheme="minorHAnsi" w:cstheme="minorHAnsi"/>
                <w:sz w:val="22"/>
                <w:szCs w:val="22"/>
              </w:rPr>
              <w:t xml:space="preserve">na ubezpieczenia emerytalne i rentowe, z kolei w przypadku Funduszu </w:t>
            </w:r>
            <w:r w:rsidRPr="0033458B">
              <w:rPr>
                <w:rFonts w:asciiTheme="minorHAnsi" w:hAnsiTheme="minorHAnsi" w:cstheme="minorHAnsi"/>
                <w:sz w:val="22"/>
                <w:szCs w:val="22"/>
              </w:rPr>
              <w:lastRenderedPageBreak/>
              <w:t>Solidarnościowego jest to 1,45% podstawy wymiaru składek na ubezpieczenia emerytalne i rentowe.</w:t>
            </w:r>
          </w:p>
        </w:tc>
        <w:tc>
          <w:tcPr>
            <w:tcW w:w="4961" w:type="dxa"/>
            <w:shd w:val="clear" w:color="auto" w:fill="auto"/>
          </w:tcPr>
          <w:p w14:paraId="3FFC27A2" w14:textId="3FB0848F" w:rsidR="003177BC" w:rsidRPr="00ED4FE9" w:rsidRDefault="003177BC" w:rsidP="00ED4FE9">
            <w:pPr>
              <w:jc w:val="both"/>
              <w:rPr>
                <w:rFonts w:asciiTheme="minorHAnsi" w:hAnsiTheme="minorHAnsi" w:cstheme="minorHAnsi"/>
                <w:sz w:val="22"/>
                <w:szCs w:val="22"/>
              </w:rPr>
            </w:pPr>
            <w:r w:rsidRPr="00ED4FE9">
              <w:rPr>
                <w:rFonts w:asciiTheme="minorHAnsi" w:hAnsiTheme="minorHAnsi" w:cstheme="minorHAnsi"/>
                <w:sz w:val="22"/>
                <w:szCs w:val="22"/>
              </w:rPr>
              <w:lastRenderedPageBreak/>
              <w:t>Korekta OSR we wskazanym zakresie.</w:t>
            </w:r>
          </w:p>
        </w:tc>
        <w:tc>
          <w:tcPr>
            <w:tcW w:w="4253" w:type="dxa"/>
          </w:tcPr>
          <w:p w14:paraId="4D73F2A2" w14:textId="00DE3A0E" w:rsidR="003338F1" w:rsidRDefault="003338F1" w:rsidP="00ED4FE9">
            <w:pPr>
              <w:rPr>
                <w:rFonts w:asciiTheme="minorHAnsi" w:hAnsiTheme="minorHAnsi" w:cstheme="minorHAnsi"/>
                <w:b/>
                <w:sz w:val="22"/>
                <w:szCs w:val="22"/>
              </w:rPr>
            </w:pPr>
            <w:r w:rsidRPr="00A278C4">
              <w:rPr>
                <w:rFonts w:asciiTheme="minorHAnsi" w:hAnsiTheme="minorHAnsi" w:cstheme="minorHAnsi"/>
                <w:b/>
                <w:sz w:val="22"/>
                <w:szCs w:val="22"/>
              </w:rPr>
              <w:t>Stanowisko MSWiA</w:t>
            </w:r>
          </w:p>
          <w:p w14:paraId="2CD8D6C7" w14:textId="6B1933BB" w:rsidR="007A4AA8" w:rsidRPr="00A278C4" w:rsidRDefault="007A4AA8" w:rsidP="00ED4FE9">
            <w:pPr>
              <w:rPr>
                <w:rFonts w:asciiTheme="minorHAnsi" w:hAnsiTheme="minorHAnsi" w:cstheme="minorHAnsi"/>
                <w:b/>
                <w:sz w:val="22"/>
                <w:szCs w:val="22"/>
              </w:rPr>
            </w:pPr>
            <w:r>
              <w:rPr>
                <w:rFonts w:asciiTheme="minorHAnsi" w:hAnsiTheme="minorHAnsi" w:cstheme="minorHAnsi"/>
                <w:b/>
                <w:sz w:val="22"/>
                <w:szCs w:val="22"/>
              </w:rPr>
              <w:t>Uwaga uwzględniona</w:t>
            </w:r>
            <w:r w:rsidR="009E5B40">
              <w:rPr>
                <w:rFonts w:asciiTheme="minorHAnsi" w:hAnsiTheme="minorHAnsi" w:cstheme="minorHAnsi"/>
                <w:b/>
                <w:sz w:val="22"/>
                <w:szCs w:val="22"/>
              </w:rPr>
              <w:t>.</w:t>
            </w:r>
          </w:p>
          <w:p w14:paraId="3B080820" w14:textId="60E18477" w:rsidR="00ED4FE9" w:rsidRPr="00ED4FE9" w:rsidRDefault="00DF7204" w:rsidP="00ED4FE9">
            <w:pPr>
              <w:jc w:val="both"/>
              <w:rPr>
                <w:rFonts w:asciiTheme="minorHAnsi" w:hAnsiTheme="minorHAnsi" w:cstheme="minorHAnsi"/>
                <w:sz w:val="22"/>
                <w:szCs w:val="22"/>
              </w:rPr>
            </w:pPr>
            <w:r>
              <w:rPr>
                <w:rFonts w:asciiTheme="minorHAnsi" w:hAnsiTheme="minorHAnsi" w:cstheme="minorHAnsi"/>
                <w:sz w:val="22"/>
                <w:szCs w:val="22"/>
              </w:rPr>
              <w:t>U</w:t>
            </w:r>
            <w:r w:rsidR="00ED4FE9" w:rsidRPr="00A278C4">
              <w:rPr>
                <w:rFonts w:asciiTheme="minorHAnsi" w:hAnsiTheme="minorHAnsi" w:cstheme="minorHAnsi"/>
                <w:sz w:val="22"/>
                <w:szCs w:val="22"/>
              </w:rPr>
              <w:t>waga Ministerstwa Finansów</w:t>
            </w:r>
            <w:r w:rsidR="00213339" w:rsidRPr="00A278C4">
              <w:rPr>
                <w:rFonts w:asciiTheme="minorHAnsi" w:hAnsiTheme="minorHAnsi" w:cstheme="minorHAnsi"/>
                <w:sz w:val="22"/>
                <w:szCs w:val="22"/>
              </w:rPr>
              <w:t xml:space="preserve"> </w:t>
            </w:r>
            <w:r w:rsidR="00ED4FE9" w:rsidRPr="00A278C4">
              <w:rPr>
                <w:rFonts w:asciiTheme="minorHAnsi" w:hAnsiTheme="minorHAnsi" w:cstheme="minorHAnsi"/>
                <w:sz w:val="22"/>
                <w:szCs w:val="22"/>
              </w:rPr>
              <w:t>jest zasadna</w:t>
            </w:r>
            <w:r w:rsidR="007A4AA8">
              <w:rPr>
                <w:rFonts w:asciiTheme="minorHAnsi" w:hAnsiTheme="minorHAnsi" w:cstheme="minorHAnsi"/>
                <w:sz w:val="22"/>
                <w:szCs w:val="22"/>
              </w:rPr>
              <w:t>.</w:t>
            </w:r>
            <w:r w:rsidR="00ED4FE9" w:rsidRPr="00A278C4">
              <w:rPr>
                <w:rFonts w:asciiTheme="minorHAnsi" w:hAnsiTheme="minorHAnsi" w:cstheme="minorHAnsi"/>
                <w:sz w:val="22"/>
                <w:szCs w:val="22"/>
              </w:rPr>
              <w:t xml:space="preserve"> </w:t>
            </w:r>
            <w:r w:rsidR="007A4AA8">
              <w:rPr>
                <w:rFonts w:asciiTheme="minorHAnsi" w:hAnsiTheme="minorHAnsi" w:cstheme="minorHAnsi"/>
                <w:sz w:val="22"/>
                <w:szCs w:val="22"/>
              </w:rPr>
              <w:t xml:space="preserve">Dokonano korekty OSR </w:t>
            </w:r>
            <w:r w:rsidR="00ED4FE9" w:rsidRPr="00A278C4">
              <w:rPr>
                <w:rFonts w:asciiTheme="minorHAnsi" w:hAnsiTheme="minorHAnsi" w:cstheme="minorHAnsi"/>
                <w:sz w:val="22"/>
                <w:szCs w:val="22"/>
              </w:rPr>
              <w:t>w tym zakresie, tj. wysokość składki na Fundusz Pracy wynosi 1% podstawy wymiaru składek na ubezpieczenie emerytalno-rentowe, natomiast składki na Fundusz Solidarnościowy wynoszą 1,45% podstawy wymiaru składek emerytalno-rentowych co łącznie daje wysokość 2,45 %.</w:t>
            </w:r>
            <w:r w:rsidR="00ED4FE9" w:rsidRPr="00ED4FE9">
              <w:rPr>
                <w:rFonts w:asciiTheme="minorHAnsi" w:hAnsiTheme="minorHAnsi" w:cstheme="minorHAnsi"/>
                <w:sz w:val="22"/>
                <w:szCs w:val="22"/>
              </w:rPr>
              <w:t xml:space="preserve"> </w:t>
            </w:r>
          </w:p>
          <w:p w14:paraId="478940D3" w14:textId="2543F483" w:rsidR="003177BC" w:rsidRPr="00ED4FE9" w:rsidRDefault="003177BC" w:rsidP="00ED4FE9">
            <w:pPr>
              <w:rPr>
                <w:rFonts w:asciiTheme="minorHAnsi" w:hAnsiTheme="minorHAnsi" w:cstheme="minorHAnsi"/>
                <w:sz w:val="22"/>
                <w:szCs w:val="22"/>
              </w:rPr>
            </w:pPr>
          </w:p>
        </w:tc>
      </w:tr>
      <w:tr w:rsidR="003177BC" w:rsidRPr="004B4123" w14:paraId="661A40E3" w14:textId="77777777" w:rsidTr="003177BC">
        <w:tc>
          <w:tcPr>
            <w:tcW w:w="421" w:type="dxa"/>
            <w:shd w:val="clear" w:color="auto" w:fill="auto"/>
          </w:tcPr>
          <w:p w14:paraId="383820C9" w14:textId="76E92812" w:rsidR="003177BC" w:rsidRDefault="003177BC" w:rsidP="003177BC">
            <w:pPr>
              <w:spacing w:before="120" w:after="120"/>
              <w:jc w:val="center"/>
              <w:rPr>
                <w:rFonts w:asciiTheme="minorHAnsi" w:hAnsiTheme="minorHAnsi" w:cstheme="minorHAnsi"/>
                <w:b/>
                <w:sz w:val="22"/>
                <w:szCs w:val="22"/>
              </w:rPr>
            </w:pPr>
            <w:r>
              <w:rPr>
                <w:rFonts w:asciiTheme="minorHAnsi" w:hAnsiTheme="minorHAnsi" w:cstheme="minorHAnsi"/>
                <w:b/>
                <w:sz w:val="22"/>
                <w:szCs w:val="22"/>
              </w:rPr>
              <w:t>8</w:t>
            </w:r>
          </w:p>
        </w:tc>
        <w:tc>
          <w:tcPr>
            <w:tcW w:w="1134" w:type="dxa"/>
            <w:shd w:val="clear" w:color="auto" w:fill="auto"/>
          </w:tcPr>
          <w:p w14:paraId="5C4E7E42" w14:textId="189322D6" w:rsidR="003177BC" w:rsidRPr="0077406D" w:rsidRDefault="003177BC" w:rsidP="003177BC">
            <w:pPr>
              <w:spacing w:before="60" w:after="60"/>
              <w:jc w:val="center"/>
              <w:rPr>
                <w:rFonts w:asciiTheme="minorHAnsi" w:hAnsiTheme="minorHAnsi" w:cstheme="minorHAnsi"/>
                <w:b/>
                <w:sz w:val="22"/>
                <w:szCs w:val="22"/>
              </w:rPr>
            </w:pPr>
            <w:r w:rsidRPr="0077406D">
              <w:rPr>
                <w:rFonts w:asciiTheme="minorHAnsi" w:hAnsiTheme="minorHAnsi" w:cstheme="minorHAnsi"/>
                <w:b/>
                <w:sz w:val="22"/>
                <w:szCs w:val="22"/>
              </w:rPr>
              <w:t>MFiG/</w:t>
            </w:r>
            <w:r w:rsidRPr="0077406D">
              <w:rPr>
                <w:rFonts w:asciiTheme="minorHAnsi" w:hAnsiTheme="minorHAnsi" w:cstheme="minorHAnsi"/>
                <w:b/>
                <w:sz w:val="22"/>
                <w:szCs w:val="22"/>
              </w:rPr>
              <w:br/>
              <w:t>Ministerstwo Finansów</w:t>
            </w:r>
          </w:p>
        </w:tc>
        <w:tc>
          <w:tcPr>
            <w:tcW w:w="992" w:type="dxa"/>
            <w:shd w:val="clear" w:color="auto" w:fill="auto"/>
          </w:tcPr>
          <w:p w14:paraId="4A4E8F81" w14:textId="18E826A9" w:rsidR="003177BC" w:rsidRDefault="003177BC" w:rsidP="003177BC">
            <w:pPr>
              <w:jc w:val="center"/>
              <w:rPr>
                <w:rFonts w:asciiTheme="minorHAnsi" w:hAnsiTheme="minorHAnsi" w:cstheme="minorHAnsi"/>
                <w:sz w:val="22"/>
                <w:szCs w:val="22"/>
              </w:rPr>
            </w:pPr>
            <w:r>
              <w:rPr>
                <w:rFonts w:asciiTheme="minorHAnsi" w:hAnsiTheme="minorHAnsi" w:cstheme="minorHAnsi"/>
                <w:sz w:val="22"/>
                <w:szCs w:val="22"/>
              </w:rPr>
              <w:t>OSR</w:t>
            </w:r>
          </w:p>
        </w:tc>
        <w:tc>
          <w:tcPr>
            <w:tcW w:w="3827" w:type="dxa"/>
            <w:shd w:val="clear" w:color="auto" w:fill="auto"/>
          </w:tcPr>
          <w:p w14:paraId="5229674C" w14:textId="74600A01" w:rsidR="003177BC" w:rsidRPr="00352E2E" w:rsidRDefault="003177BC" w:rsidP="003177BC">
            <w:pPr>
              <w:jc w:val="both"/>
              <w:rPr>
                <w:rFonts w:asciiTheme="minorHAnsi" w:hAnsiTheme="minorHAnsi" w:cstheme="minorHAnsi"/>
                <w:sz w:val="22"/>
                <w:szCs w:val="22"/>
              </w:rPr>
            </w:pPr>
            <w:r>
              <w:rPr>
                <w:rFonts w:asciiTheme="minorHAnsi" w:hAnsiTheme="minorHAnsi" w:cstheme="minorHAnsi"/>
                <w:sz w:val="22"/>
                <w:szCs w:val="22"/>
              </w:rPr>
              <w:t>Podtrzymujemy</w:t>
            </w:r>
            <w:r w:rsidRPr="00352E2E">
              <w:rPr>
                <w:rFonts w:asciiTheme="minorHAnsi" w:hAnsiTheme="minorHAnsi" w:cstheme="minorHAnsi"/>
                <w:sz w:val="22"/>
                <w:szCs w:val="22"/>
              </w:rPr>
              <w:t xml:space="preserve"> uwagę, że </w:t>
            </w:r>
            <w:r>
              <w:rPr>
                <w:rFonts w:asciiTheme="minorHAnsi" w:hAnsiTheme="minorHAnsi" w:cstheme="minorHAnsi"/>
                <w:sz w:val="22"/>
                <w:szCs w:val="22"/>
              </w:rPr>
              <w:t>p</w:t>
            </w:r>
            <w:r w:rsidRPr="00352E2E">
              <w:rPr>
                <w:rFonts w:asciiTheme="minorHAnsi" w:hAnsiTheme="minorHAnsi" w:cstheme="minorHAnsi"/>
                <w:sz w:val="22"/>
                <w:szCs w:val="22"/>
              </w:rPr>
              <w:t xml:space="preserve">rojekt „Implementacja Eurodac Recast” </w:t>
            </w:r>
            <w:r>
              <w:rPr>
                <w:rFonts w:asciiTheme="minorHAnsi" w:hAnsiTheme="minorHAnsi" w:cstheme="minorHAnsi"/>
                <w:sz w:val="22"/>
                <w:szCs w:val="22"/>
              </w:rPr>
              <w:br/>
            </w:r>
            <w:r w:rsidRPr="00352E2E">
              <w:rPr>
                <w:rFonts w:asciiTheme="minorHAnsi" w:hAnsiTheme="minorHAnsi" w:cstheme="minorHAnsi"/>
                <w:sz w:val="22"/>
                <w:szCs w:val="22"/>
              </w:rPr>
              <w:t xml:space="preserve">nie został zgłoszony do </w:t>
            </w:r>
            <w:r>
              <w:rPr>
                <w:rFonts w:asciiTheme="minorHAnsi" w:hAnsiTheme="minorHAnsi" w:cstheme="minorHAnsi"/>
                <w:sz w:val="22"/>
                <w:szCs w:val="22"/>
              </w:rPr>
              <w:t>tutejszego D</w:t>
            </w:r>
            <w:r w:rsidRPr="00352E2E">
              <w:rPr>
                <w:rFonts w:asciiTheme="minorHAnsi" w:hAnsiTheme="minorHAnsi" w:cstheme="minorHAnsi"/>
                <w:sz w:val="22"/>
                <w:szCs w:val="22"/>
              </w:rPr>
              <w:t xml:space="preserve">epartamentu </w:t>
            </w:r>
            <w:r>
              <w:rPr>
                <w:rFonts w:asciiTheme="minorHAnsi" w:hAnsiTheme="minorHAnsi" w:cstheme="minorHAnsi"/>
                <w:sz w:val="22"/>
                <w:szCs w:val="22"/>
              </w:rPr>
              <w:t>Instytucji Płatniczej</w:t>
            </w:r>
            <w:r>
              <w:rPr>
                <w:rFonts w:asciiTheme="minorHAnsi" w:hAnsiTheme="minorHAnsi" w:cstheme="minorHAnsi"/>
                <w:sz w:val="22"/>
                <w:szCs w:val="22"/>
              </w:rPr>
              <w:br/>
            </w:r>
            <w:r w:rsidRPr="00352E2E">
              <w:rPr>
                <w:rFonts w:asciiTheme="minorHAnsi" w:hAnsiTheme="minorHAnsi" w:cstheme="minorHAnsi"/>
                <w:sz w:val="22"/>
                <w:szCs w:val="22"/>
              </w:rPr>
              <w:t xml:space="preserve">w ramach innych środków. </w:t>
            </w:r>
          </w:p>
          <w:p w14:paraId="42E4266C" w14:textId="48EF3A08" w:rsidR="003177BC" w:rsidRPr="0033458B" w:rsidRDefault="003177BC" w:rsidP="003177BC">
            <w:pPr>
              <w:jc w:val="both"/>
              <w:rPr>
                <w:rFonts w:asciiTheme="minorHAnsi" w:hAnsiTheme="minorHAnsi" w:cstheme="minorHAnsi"/>
                <w:sz w:val="22"/>
                <w:szCs w:val="22"/>
              </w:rPr>
            </w:pPr>
            <w:r w:rsidRPr="00352E2E">
              <w:rPr>
                <w:rFonts w:asciiTheme="minorHAnsi" w:hAnsiTheme="minorHAnsi" w:cstheme="minorHAnsi"/>
                <w:sz w:val="22"/>
                <w:szCs w:val="22"/>
              </w:rPr>
              <w:t xml:space="preserve">W OSR (str. 15) wskazano, że projekt </w:t>
            </w:r>
            <w:r>
              <w:rPr>
                <w:rFonts w:asciiTheme="minorHAnsi" w:hAnsiTheme="minorHAnsi" w:cstheme="minorHAnsi"/>
                <w:sz w:val="22"/>
                <w:szCs w:val="22"/>
              </w:rPr>
              <w:t xml:space="preserve">ten </w:t>
            </w:r>
            <w:r w:rsidRPr="00352E2E">
              <w:rPr>
                <w:rFonts w:asciiTheme="minorHAnsi" w:hAnsiTheme="minorHAnsi" w:cstheme="minorHAnsi"/>
                <w:sz w:val="22"/>
                <w:szCs w:val="22"/>
              </w:rPr>
              <w:t xml:space="preserve">ma być finansowany </w:t>
            </w:r>
            <w:r>
              <w:rPr>
                <w:rFonts w:asciiTheme="minorHAnsi" w:hAnsiTheme="minorHAnsi" w:cstheme="minorHAnsi"/>
                <w:sz w:val="22"/>
                <w:szCs w:val="22"/>
              </w:rPr>
              <w:br/>
            </w:r>
            <w:r w:rsidRPr="00352E2E">
              <w:rPr>
                <w:rFonts w:asciiTheme="minorHAnsi" w:hAnsiTheme="minorHAnsi" w:cstheme="minorHAnsi"/>
                <w:sz w:val="22"/>
                <w:szCs w:val="22"/>
              </w:rPr>
              <w:t xml:space="preserve">z Instrumentu Wsparcia Finansowego na rzecz Zarządzania Granicami </w:t>
            </w:r>
            <w:r>
              <w:rPr>
                <w:rFonts w:asciiTheme="minorHAnsi" w:hAnsiTheme="minorHAnsi" w:cstheme="minorHAnsi"/>
                <w:sz w:val="22"/>
                <w:szCs w:val="22"/>
              </w:rPr>
              <w:br/>
            </w:r>
            <w:r w:rsidRPr="00352E2E">
              <w:rPr>
                <w:rFonts w:asciiTheme="minorHAnsi" w:hAnsiTheme="minorHAnsi" w:cstheme="minorHAnsi"/>
                <w:sz w:val="22"/>
                <w:szCs w:val="22"/>
              </w:rPr>
              <w:t xml:space="preserve">i Polityki Wizowej oraz FAMI. W przypadku FAMI nie wskazano </w:t>
            </w:r>
            <w:r>
              <w:rPr>
                <w:rFonts w:asciiTheme="minorHAnsi" w:hAnsiTheme="minorHAnsi" w:cstheme="minorHAnsi"/>
                <w:sz w:val="22"/>
                <w:szCs w:val="22"/>
              </w:rPr>
              <w:br/>
            </w:r>
            <w:r w:rsidRPr="00352E2E">
              <w:rPr>
                <w:rFonts w:asciiTheme="minorHAnsi" w:hAnsiTheme="minorHAnsi" w:cstheme="minorHAnsi"/>
                <w:sz w:val="22"/>
                <w:szCs w:val="22"/>
              </w:rPr>
              <w:t>czy chodzi o program krajowy czy też będzie umowa grantowa.</w:t>
            </w:r>
          </w:p>
        </w:tc>
        <w:tc>
          <w:tcPr>
            <w:tcW w:w="4961" w:type="dxa"/>
            <w:shd w:val="clear" w:color="auto" w:fill="auto"/>
          </w:tcPr>
          <w:p w14:paraId="45A2DFEA" w14:textId="0FC10CD1" w:rsidR="003177BC" w:rsidRDefault="003177BC" w:rsidP="003177BC">
            <w:pPr>
              <w:jc w:val="both"/>
              <w:rPr>
                <w:rFonts w:ascii="Calibri" w:hAnsi="Calibri" w:cs="Calibri"/>
                <w:sz w:val="22"/>
                <w:szCs w:val="22"/>
              </w:rPr>
            </w:pPr>
            <w:r>
              <w:rPr>
                <w:rFonts w:ascii="Calibri" w:hAnsi="Calibri" w:cs="Calibri"/>
                <w:sz w:val="22"/>
                <w:szCs w:val="22"/>
              </w:rPr>
              <w:t xml:space="preserve">Przekazanie wyjaśnień i korekta OSR </w:t>
            </w:r>
            <w:r>
              <w:rPr>
                <w:rFonts w:ascii="Calibri" w:hAnsi="Calibri" w:cs="Calibri"/>
                <w:sz w:val="22"/>
                <w:szCs w:val="22"/>
              </w:rPr>
              <w:br/>
              <w:t>we wskazanym zakresie.</w:t>
            </w:r>
          </w:p>
        </w:tc>
        <w:tc>
          <w:tcPr>
            <w:tcW w:w="4253" w:type="dxa"/>
          </w:tcPr>
          <w:p w14:paraId="35E56E28" w14:textId="67231C86" w:rsidR="003177BC" w:rsidRDefault="00BE2122" w:rsidP="005831B9">
            <w:pPr>
              <w:jc w:val="both"/>
              <w:rPr>
                <w:rFonts w:asciiTheme="minorHAnsi" w:hAnsiTheme="minorHAnsi" w:cstheme="minorHAnsi"/>
                <w:b/>
                <w:sz w:val="22"/>
                <w:szCs w:val="22"/>
              </w:rPr>
            </w:pPr>
            <w:r w:rsidRPr="005831B9">
              <w:rPr>
                <w:rFonts w:asciiTheme="minorHAnsi" w:hAnsiTheme="minorHAnsi" w:cstheme="minorHAnsi"/>
                <w:b/>
                <w:sz w:val="22"/>
                <w:szCs w:val="22"/>
              </w:rPr>
              <w:t xml:space="preserve">Stanowisko </w:t>
            </w:r>
            <w:r w:rsidR="005831B9" w:rsidRPr="005831B9">
              <w:rPr>
                <w:rFonts w:asciiTheme="minorHAnsi" w:hAnsiTheme="minorHAnsi" w:cstheme="minorHAnsi"/>
                <w:b/>
                <w:sz w:val="22"/>
                <w:szCs w:val="22"/>
              </w:rPr>
              <w:t>MSWiA</w:t>
            </w:r>
          </w:p>
          <w:p w14:paraId="490A3754" w14:textId="40E26D5E" w:rsidR="006D699C" w:rsidRPr="005831B9" w:rsidRDefault="006D699C" w:rsidP="005831B9">
            <w:pPr>
              <w:jc w:val="both"/>
              <w:rPr>
                <w:rFonts w:asciiTheme="minorHAnsi" w:hAnsiTheme="minorHAnsi" w:cstheme="minorHAnsi"/>
                <w:b/>
                <w:sz w:val="22"/>
                <w:szCs w:val="22"/>
              </w:rPr>
            </w:pPr>
            <w:r>
              <w:rPr>
                <w:rFonts w:asciiTheme="minorHAnsi" w:hAnsiTheme="minorHAnsi" w:cstheme="minorHAnsi"/>
                <w:b/>
                <w:sz w:val="22"/>
                <w:szCs w:val="22"/>
              </w:rPr>
              <w:t>Uwaga wyjaśniona</w:t>
            </w:r>
            <w:r w:rsidR="009E5B40">
              <w:rPr>
                <w:rFonts w:asciiTheme="minorHAnsi" w:hAnsiTheme="minorHAnsi" w:cstheme="minorHAnsi"/>
                <w:b/>
                <w:sz w:val="22"/>
                <w:szCs w:val="22"/>
              </w:rPr>
              <w:t>.</w:t>
            </w:r>
          </w:p>
          <w:p w14:paraId="1361707F" w14:textId="116F3084" w:rsidR="007A4AA8" w:rsidRDefault="005831B9" w:rsidP="00AB78B2">
            <w:pPr>
              <w:jc w:val="both"/>
              <w:rPr>
                <w:rFonts w:asciiTheme="minorHAnsi" w:hAnsiTheme="minorHAnsi" w:cstheme="minorHAnsi"/>
                <w:sz w:val="22"/>
                <w:szCs w:val="22"/>
              </w:rPr>
            </w:pPr>
            <w:r>
              <w:rPr>
                <w:rFonts w:asciiTheme="minorHAnsi" w:hAnsiTheme="minorHAnsi" w:cstheme="minorHAnsi"/>
                <w:sz w:val="22"/>
                <w:szCs w:val="22"/>
              </w:rPr>
              <w:t xml:space="preserve">Należy wskazać, że </w:t>
            </w:r>
            <w:r w:rsidR="008809CB">
              <w:rPr>
                <w:rFonts w:asciiTheme="minorHAnsi" w:hAnsiTheme="minorHAnsi" w:cstheme="minorHAnsi"/>
                <w:sz w:val="22"/>
                <w:szCs w:val="22"/>
              </w:rPr>
              <w:t>p</w:t>
            </w:r>
            <w:r>
              <w:rPr>
                <w:rFonts w:asciiTheme="minorHAnsi" w:hAnsiTheme="minorHAnsi" w:cstheme="minorHAnsi"/>
                <w:sz w:val="22"/>
                <w:szCs w:val="22"/>
              </w:rPr>
              <w:t xml:space="preserve">rogram </w:t>
            </w:r>
            <w:r w:rsidR="008809CB">
              <w:rPr>
                <w:rFonts w:asciiTheme="minorHAnsi" w:hAnsiTheme="minorHAnsi" w:cstheme="minorHAnsi"/>
                <w:sz w:val="22"/>
                <w:szCs w:val="22"/>
              </w:rPr>
              <w:t>k</w:t>
            </w:r>
            <w:r>
              <w:rPr>
                <w:rFonts w:asciiTheme="minorHAnsi" w:hAnsiTheme="minorHAnsi" w:cstheme="minorHAnsi"/>
                <w:sz w:val="22"/>
                <w:szCs w:val="22"/>
              </w:rPr>
              <w:t xml:space="preserve">rajowy na lata </w:t>
            </w:r>
            <w:r w:rsidRPr="00213339">
              <w:rPr>
                <w:rFonts w:asciiTheme="minorHAnsi" w:hAnsiTheme="minorHAnsi" w:cstheme="minorHAnsi"/>
                <w:sz w:val="22"/>
                <w:szCs w:val="22"/>
              </w:rPr>
              <w:t>202</w:t>
            </w:r>
            <w:r w:rsidR="001769D6" w:rsidRPr="00213339">
              <w:rPr>
                <w:rFonts w:asciiTheme="minorHAnsi" w:hAnsiTheme="minorHAnsi" w:cstheme="minorHAnsi"/>
                <w:sz w:val="22"/>
                <w:szCs w:val="22"/>
              </w:rPr>
              <w:t>8-2034</w:t>
            </w:r>
            <w:r>
              <w:rPr>
                <w:rFonts w:asciiTheme="minorHAnsi" w:hAnsiTheme="minorHAnsi" w:cstheme="minorHAnsi"/>
                <w:sz w:val="22"/>
                <w:szCs w:val="22"/>
              </w:rPr>
              <w:t xml:space="preserve"> jest dopiero w przygotowaniu</w:t>
            </w:r>
            <w:r w:rsidR="00AB78B2">
              <w:rPr>
                <w:rFonts w:asciiTheme="minorHAnsi" w:hAnsiTheme="minorHAnsi" w:cstheme="minorHAnsi"/>
                <w:sz w:val="22"/>
                <w:szCs w:val="22"/>
              </w:rPr>
              <w:t>,</w:t>
            </w:r>
            <w:r>
              <w:rPr>
                <w:rFonts w:asciiTheme="minorHAnsi" w:hAnsiTheme="minorHAnsi" w:cstheme="minorHAnsi"/>
                <w:sz w:val="22"/>
                <w:szCs w:val="22"/>
              </w:rPr>
              <w:t xml:space="preserve"> dlatego też wszelkie szczegóły w tym zakresie będą uzgadniane w toku prac i konsultowane z jednostkami finansowymi (wewnętrznie </w:t>
            </w:r>
            <w:r w:rsidR="00A47509">
              <w:rPr>
                <w:rFonts w:asciiTheme="minorHAnsi" w:hAnsiTheme="minorHAnsi" w:cstheme="minorHAnsi"/>
                <w:sz w:val="22"/>
                <w:szCs w:val="22"/>
              </w:rPr>
              <w:t xml:space="preserve">                   </w:t>
            </w:r>
            <w:r>
              <w:rPr>
                <w:rFonts w:asciiTheme="minorHAnsi" w:hAnsiTheme="minorHAnsi" w:cstheme="minorHAnsi"/>
                <w:sz w:val="22"/>
                <w:szCs w:val="22"/>
              </w:rPr>
              <w:t>a także z MFiG).</w:t>
            </w:r>
            <w:r w:rsidR="001769D6">
              <w:rPr>
                <w:rFonts w:asciiTheme="minorHAnsi" w:hAnsiTheme="minorHAnsi" w:cstheme="minorHAnsi"/>
                <w:sz w:val="22"/>
                <w:szCs w:val="22"/>
              </w:rPr>
              <w:t xml:space="preserve"> </w:t>
            </w:r>
          </w:p>
          <w:p w14:paraId="1474F651" w14:textId="06FA21A7" w:rsidR="00792EDF" w:rsidRPr="0077406D" w:rsidRDefault="001769D6" w:rsidP="00280EBF">
            <w:pPr>
              <w:jc w:val="both"/>
              <w:rPr>
                <w:rFonts w:asciiTheme="minorHAnsi" w:hAnsiTheme="minorHAnsi" w:cstheme="minorHAnsi"/>
                <w:sz w:val="22"/>
                <w:szCs w:val="22"/>
              </w:rPr>
            </w:pPr>
            <w:r>
              <w:rPr>
                <w:rFonts w:asciiTheme="minorHAnsi" w:hAnsiTheme="minorHAnsi" w:cstheme="minorHAnsi"/>
                <w:sz w:val="22"/>
                <w:szCs w:val="22"/>
              </w:rPr>
              <w:t xml:space="preserve">Obecnie trwa modyfikacja </w:t>
            </w:r>
            <w:r w:rsidR="00230785">
              <w:rPr>
                <w:rFonts w:asciiTheme="minorHAnsi" w:hAnsiTheme="minorHAnsi" w:cstheme="minorHAnsi"/>
                <w:sz w:val="22"/>
                <w:szCs w:val="22"/>
              </w:rPr>
              <w:t>p</w:t>
            </w:r>
            <w:r>
              <w:rPr>
                <w:rFonts w:asciiTheme="minorHAnsi" w:hAnsiTheme="minorHAnsi" w:cstheme="minorHAnsi"/>
                <w:sz w:val="22"/>
                <w:szCs w:val="22"/>
              </w:rPr>
              <w:t xml:space="preserve">rogramu </w:t>
            </w:r>
            <w:r w:rsidR="00230785">
              <w:rPr>
                <w:rFonts w:asciiTheme="minorHAnsi" w:hAnsiTheme="minorHAnsi" w:cstheme="minorHAnsi"/>
                <w:sz w:val="22"/>
                <w:szCs w:val="22"/>
              </w:rPr>
              <w:t>k</w:t>
            </w:r>
            <w:r>
              <w:rPr>
                <w:rFonts w:asciiTheme="minorHAnsi" w:hAnsiTheme="minorHAnsi" w:cstheme="minorHAnsi"/>
                <w:sz w:val="22"/>
                <w:szCs w:val="22"/>
              </w:rPr>
              <w:t xml:space="preserve">rajowego 2021-2027 w kontekście finansowania działań na rzecz systemu Eurodac w roku </w:t>
            </w:r>
            <w:r w:rsidR="00144470">
              <w:rPr>
                <w:rFonts w:asciiTheme="minorHAnsi" w:hAnsiTheme="minorHAnsi" w:cstheme="minorHAnsi"/>
                <w:sz w:val="22"/>
                <w:szCs w:val="22"/>
              </w:rPr>
              <w:t>2026-</w:t>
            </w:r>
            <w:r>
              <w:rPr>
                <w:rFonts w:asciiTheme="minorHAnsi" w:hAnsiTheme="minorHAnsi" w:cstheme="minorHAnsi"/>
                <w:sz w:val="22"/>
                <w:szCs w:val="22"/>
              </w:rPr>
              <w:t>2027</w:t>
            </w:r>
            <w:r w:rsidR="00280EBF">
              <w:rPr>
                <w:rFonts w:asciiTheme="minorHAnsi" w:hAnsiTheme="minorHAnsi" w:cstheme="minorHAnsi"/>
                <w:sz w:val="22"/>
                <w:szCs w:val="22"/>
              </w:rPr>
              <w:t>.</w:t>
            </w:r>
          </w:p>
        </w:tc>
      </w:tr>
    </w:tbl>
    <w:p w14:paraId="64E9E703" w14:textId="77777777" w:rsidR="00C64B1B" w:rsidRPr="004B4123" w:rsidRDefault="00C64B1B" w:rsidP="0077406D">
      <w:pPr>
        <w:rPr>
          <w:rFonts w:asciiTheme="minorHAnsi" w:hAnsiTheme="minorHAnsi" w:cstheme="minorHAnsi"/>
          <w:sz w:val="22"/>
          <w:szCs w:val="22"/>
        </w:rPr>
      </w:pPr>
    </w:p>
    <w:sectPr w:rsidR="00C64B1B" w:rsidRPr="004B4123"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86FE79" w14:textId="77777777" w:rsidR="002002CB" w:rsidRDefault="002002CB" w:rsidP="00177C39">
      <w:r>
        <w:separator/>
      </w:r>
    </w:p>
  </w:endnote>
  <w:endnote w:type="continuationSeparator" w:id="0">
    <w:p w14:paraId="65510852" w14:textId="77777777" w:rsidR="002002CB" w:rsidRDefault="002002CB" w:rsidP="0017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80CEF5" w14:textId="77777777" w:rsidR="002002CB" w:rsidRDefault="002002CB" w:rsidP="00177C39">
      <w:r>
        <w:separator/>
      </w:r>
    </w:p>
  </w:footnote>
  <w:footnote w:type="continuationSeparator" w:id="0">
    <w:p w14:paraId="6C6F3F79" w14:textId="77777777" w:rsidR="002002CB" w:rsidRDefault="002002CB" w:rsidP="00177C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C5C30"/>
    <w:multiLevelType w:val="hybridMultilevel"/>
    <w:tmpl w:val="72362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AE7DD0"/>
    <w:multiLevelType w:val="hybridMultilevel"/>
    <w:tmpl w:val="B4EA2B62"/>
    <w:lvl w:ilvl="0" w:tplc="4454BC1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B014DF"/>
    <w:multiLevelType w:val="hybridMultilevel"/>
    <w:tmpl w:val="9FC6E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9E001EA"/>
    <w:multiLevelType w:val="hybridMultilevel"/>
    <w:tmpl w:val="8F96D7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D692578"/>
    <w:multiLevelType w:val="hybridMultilevel"/>
    <w:tmpl w:val="AF84C67E"/>
    <w:lvl w:ilvl="0" w:tplc="4454BC1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2D0888"/>
    <w:multiLevelType w:val="hybridMultilevel"/>
    <w:tmpl w:val="72362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2577E64"/>
    <w:multiLevelType w:val="hybridMultilevel"/>
    <w:tmpl w:val="39FAB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485694"/>
    <w:multiLevelType w:val="hybridMultilevel"/>
    <w:tmpl w:val="6B0AE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1"/>
  </w:num>
  <w:num w:numId="5">
    <w:abstractNumId w:val="0"/>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B1B"/>
    <w:rsid w:val="00034258"/>
    <w:rsid w:val="00037EC2"/>
    <w:rsid w:val="00093251"/>
    <w:rsid w:val="000B3A51"/>
    <w:rsid w:val="000D3D53"/>
    <w:rsid w:val="0011061D"/>
    <w:rsid w:val="00125E41"/>
    <w:rsid w:val="00134EDA"/>
    <w:rsid w:val="00140BE8"/>
    <w:rsid w:val="00144470"/>
    <w:rsid w:val="00144CC8"/>
    <w:rsid w:val="001538D1"/>
    <w:rsid w:val="00156004"/>
    <w:rsid w:val="00160299"/>
    <w:rsid w:val="00162101"/>
    <w:rsid w:val="00171CCB"/>
    <w:rsid w:val="00176042"/>
    <w:rsid w:val="001769D6"/>
    <w:rsid w:val="00177C39"/>
    <w:rsid w:val="001916D6"/>
    <w:rsid w:val="0019648E"/>
    <w:rsid w:val="001B46A0"/>
    <w:rsid w:val="001D3B68"/>
    <w:rsid w:val="001D52BA"/>
    <w:rsid w:val="001E0AA1"/>
    <w:rsid w:val="001E6CC9"/>
    <w:rsid w:val="002002CB"/>
    <w:rsid w:val="002116EE"/>
    <w:rsid w:val="00213339"/>
    <w:rsid w:val="002156E3"/>
    <w:rsid w:val="00230785"/>
    <w:rsid w:val="00247D6B"/>
    <w:rsid w:val="002715B2"/>
    <w:rsid w:val="00280EBF"/>
    <w:rsid w:val="00281D0C"/>
    <w:rsid w:val="00291545"/>
    <w:rsid w:val="002A63AF"/>
    <w:rsid w:val="002B1DFE"/>
    <w:rsid w:val="002C2149"/>
    <w:rsid w:val="002D3345"/>
    <w:rsid w:val="0030053F"/>
    <w:rsid w:val="003124D1"/>
    <w:rsid w:val="003177BC"/>
    <w:rsid w:val="003338F1"/>
    <w:rsid w:val="0033458B"/>
    <w:rsid w:val="00342EAE"/>
    <w:rsid w:val="00352E2E"/>
    <w:rsid w:val="00375A04"/>
    <w:rsid w:val="00382D36"/>
    <w:rsid w:val="00383280"/>
    <w:rsid w:val="003B4105"/>
    <w:rsid w:val="003B5FBF"/>
    <w:rsid w:val="003E47C0"/>
    <w:rsid w:val="00407E5D"/>
    <w:rsid w:val="004119F9"/>
    <w:rsid w:val="00435457"/>
    <w:rsid w:val="00462711"/>
    <w:rsid w:val="004966A8"/>
    <w:rsid w:val="004B4123"/>
    <w:rsid w:val="004D086F"/>
    <w:rsid w:val="004E3B77"/>
    <w:rsid w:val="004F053F"/>
    <w:rsid w:val="00531B0D"/>
    <w:rsid w:val="005469C9"/>
    <w:rsid w:val="00554D10"/>
    <w:rsid w:val="00556D2A"/>
    <w:rsid w:val="005741DF"/>
    <w:rsid w:val="005811BB"/>
    <w:rsid w:val="005831B9"/>
    <w:rsid w:val="00591C58"/>
    <w:rsid w:val="0059209A"/>
    <w:rsid w:val="005975C6"/>
    <w:rsid w:val="005C20B1"/>
    <w:rsid w:val="005C520F"/>
    <w:rsid w:val="005E10D4"/>
    <w:rsid w:val="005E3BB5"/>
    <w:rsid w:val="005F2811"/>
    <w:rsid w:val="005F6527"/>
    <w:rsid w:val="00611219"/>
    <w:rsid w:val="00632DD8"/>
    <w:rsid w:val="006656EA"/>
    <w:rsid w:val="006705EC"/>
    <w:rsid w:val="00672869"/>
    <w:rsid w:val="00684A53"/>
    <w:rsid w:val="006C6369"/>
    <w:rsid w:val="006C6E20"/>
    <w:rsid w:val="006C7F09"/>
    <w:rsid w:val="006D699C"/>
    <w:rsid w:val="006E013E"/>
    <w:rsid w:val="006E16E9"/>
    <w:rsid w:val="007167B1"/>
    <w:rsid w:val="00721FAF"/>
    <w:rsid w:val="00722C9D"/>
    <w:rsid w:val="007231AA"/>
    <w:rsid w:val="0072589B"/>
    <w:rsid w:val="00754273"/>
    <w:rsid w:val="00756F02"/>
    <w:rsid w:val="00771AF8"/>
    <w:rsid w:val="0077406D"/>
    <w:rsid w:val="00792EDF"/>
    <w:rsid w:val="0079500D"/>
    <w:rsid w:val="007965BB"/>
    <w:rsid w:val="007A4AA8"/>
    <w:rsid w:val="007B2E69"/>
    <w:rsid w:val="007D55F3"/>
    <w:rsid w:val="007E16FD"/>
    <w:rsid w:val="00807385"/>
    <w:rsid w:val="00825874"/>
    <w:rsid w:val="00825A2F"/>
    <w:rsid w:val="008273BE"/>
    <w:rsid w:val="00860BD3"/>
    <w:rsid w:val="008809CB"/>
    <w:rsid w:val="0088500F"/>
    <w:rsid w:val="00885DE0"/>
    <w:rsid w:val="008D1EA7"/>
    <w:rsid w:val="00906D07"/>
    <w:rsid w:val="00916D9C"/>
    <w:rsid w:val="009357E2"/>
    <w:rsid w:val="009369BE"/>
    <w:rsid w:val="009432A6"/>
    <w:rsid w:val="00944932"/>
    <w:rsid w:val="009520C3"/>
    <w:rsid w:val="009664EC"/>
    <w:rsid w:val="0097457E"/>
    <w:rsid w:val="00984BE4"/>
    <w:rsid w:val="009C22E4"/>
    <w:rsid w:val="009C329B"/>
    <w:rsid w:val="009E5B40"/>
    <w:rsid w:val="009E5FDB"/>
    <w:rsid w:val="00A06425"/>
    <w:rsid w:val="00A278C4"/>
    <w:rsid w:val="00A27BE4"/>
    <w:rsid w:val="00A31A0A"/>
    <w:rsid w:val="00A43245"/>
    <w:rsid w:val="00A47509"/>
    <w:rsid w:val="00A63767"/>
    <w:rsid w:val="00A75845"/>
    <w:rsid w:val="00A81BFD"/>
    <w:rsid w:val="00AB2345"/>
    <w:rsid w:val="00AB78B2"/>
    <w:rsid w:val="00AC7796"/>
    <w:rsid w:val="00AF549A"/>
    <w:rsid w:val="00B21447"/>
    <w:rsid w:val="00B324BD"/>
    <w:rsid w:val="00B52D05"/>
    <w:rsid w:val="00B871B6"/>
    <w:rsid w:val="00BB1B5D"/>
    <w:rsid w:val="00BB2500"/>
    <w:rsid w:val="00BD5F18"/>
    <w:rsid w:val="00BD6856"/>
    <w:rsid w:val="00BE2122"/>
    <w:rsid w:val="00C02CF7"/>
    <w:rsid w:val="00C64B1B"/>
    <w:rsid w:val="00C939D5"/>
    <w:rsid w:val="00CD5EB0"/>
    <w:rsid w:val="00CE2EA1"/>
    <w:rsid w:val="00CF6FB3"/>
    <w:rsid w:val="00D26D79"/>
    <w:rsid w:val="00D315A7"/>
    <w:rsid w:val="00D438DF"/>
    <w:rsid w:val="00D4435C"/>
    <w:rsid w:val="00D62BBD"/>
    <w:rsid w:val="00D63B08"/>
    <w:rsid w:val="00D940EC"/>
    <w:rsid w:val="00DB1F32"/>
    <w:rsid w:val="00DF4CB3"/>
    <w:rsid w:val="00DF7204"/>
    <w:rsid w:val="00E03A30"/>
    <w:rsid w:val="00E14C33"/>
    <w:rsid w:val="00E27FB6"/>
    <w:rsid w:val="00E340EE"/>
    <w:rsid w:val="00E40034"/>
    <w:rsid w:val="00E7052D"/>
    <w:rsid w:val="00E84DC4"/>
    <w:rsid w:val="00ED4FE9"/>
    <w:rsid w:val="00EF7DD7"/>
    <w:rsid w:val="00F16AE5"/>
    <w:rsid w:val="00F176EA"/>
    <w:rsid w:val="00F22CDC"/>
    <w:rsid w:val="00F4586F"/>
    <w:rsid w:val="00F6122D"/>
    <w:rsid w:val="00F622E4"/>
    <w:rsid w:val="00F62A42"/>
    <w:rsid w:val="00F65379"/>
    <w:rsid w:val="00F668E2"/>
    <w:rsid w:val="00F85703"/>
    <w:rsid w:val="00FA3C58"/>
    <w:rsid w:val="00FA7392"/>
    <w:rsid w:val="00FC5F91"/>
    <w:rsid w:val="00FD45C7"/>
    <w:rsid w:val="00FD4E1C"/>
    <w:rsid w:val="00FE4E2E"/>
    <w:rsid w:val="00FF69C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F289"/>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basedOn w:val="Normalny"/>
    <w:uiPriority w:val="34"/>
    <w:qFormat/>
    <w:rsid w:val="0077406D"/>
    <w:pPr>
      <w:ind w:left="720"/>
      <w:contextualSpacing/>
    </w:pPr>
  </w:style>
  <w:style w:type="character" w:styleId="Odwoaniedokomentarza">
    <w:name w:val="annotation reference"/>
    <w:basedOn w:val="Domylnaczcionkaakapitu"/>
    <w:rsid w:val="00771AF8"/>
    <w:rPr>
      <w:sz w:val="16"/>
      <w:szCs w:val="16"/>
    </w:rPr>
  </w:style>
  <w:style w:type="paragraph" w:styleId="Tekstkomentarza">
    <w:name w:val="annotation text"/>
    <w:basedOn w:val="Normalny"/>
    <w:link w:val="TekstkomentarzaZnak"/>
    <w:rsid w:val="00771AF8"/>
    <w:rPr>
      <w:sz w:val="20"/>
      <w:szCs w:val="20"/>
    </w:rPr>
  </w:style>
  <w:style w:type="character" w:customStyle="1" w:styleId="TekstkomentarzaZnak">
    <w:name w:val="Tekst komentarza Znak"/>
    <w:basedOn w:val="Domylnaczcionkaakapitu"/>
    <w:link w:val="Tekstkomentarza"/>
    <w:rsid w:val="00771AF8"/>
  </w:style>
  <w:style w:type="paragraph" w:styleId="Tematkomentarza">
    <w:name w:val="annotation subject"/>
    <w:basedOn w:val="Tekstkomentarza"/>
    <w:next w:val="Tekstkomentarza"/>
    <w:link w:val="TematkomentarzaZnak"/>
    <w:semiHidden/>
    <w:unhideWhenUsed/>
    <w:rsid w:val="00771AF8"/>
    <w:rPr>
      <w:b/>
      <w:bCs/>
    </w:rPr>
  </w:style>
  <w:style w:type="character" w:customStyle="1" w:styleId="TematkomentarzaZnak">
    <w:name w:val="Temat komentarza Znak"/>
    <w:basedOn w:val="TekstkomentarzaZnak"/>
    <w:link w:val="Tematkomentarza"/>
    <w:semiHidden/>
    <w:rsid w:val="00771A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808431">
      <w:bodyDiv w:val="1"/>
      <w:marLeft w:val="0"/>
      <w:marRight w:val="0"/>
      <w:marTop w:val="0"/>
      <w:marBottom w:val="0"/>
      <w:divBdr>
        <w:top w:val="none" w:sz="0" w:space="0" w:color="auto"/>
        <w:left w:val="none" w:sz="0" w:space="0" w:color="auto"/>
        <w:bottom w:val="none" w:sz="0" w:space="0" w:color="auto"/>
        <w:right w:val="none" w:sz="0" w:space="0" w:color="auto"/>
      </w:divBdr>
    </w:div>
    <w:div w:id="1516963877">
      <w:bodyDiv w:val="1"/>
      <w:marLeft w:val="0"/>
      <w:marRight w:val="0"/>
      <w:marTop w:val="0"/>
      <w:marBottom w:val="0"/>
      <w:divBdr>
        <w:top w:val="none" w:sz="0" w:space="0" w:color="auto"/>
        <w:left w:val="none" w:sz="0" w:space="0" w:color="auto"/>
        <w:bottom w:val="none" w:sz="0" w:space="0" w:color="auto"/>
        <w:right w:val="none" w:sz="0" w:space="0" w:color="auto"/>
      </w:divBdr>
    </w:div>
    <w:div w:id="177131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4068</Words>
  <Characters>24409</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Departament Teleinformatyki</cp:lastModifiedBy>
  <cp:revision>6</cp:revision>
  <dcterms:created xsi:type="dcterms:W3CDTF">2026-03-17T13:18:00Z</dcterms:created>
  <dcterms:modified xsi:type="dcterms:W3CDTF">2026-03-17T13:24:00Z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UxC4dwLulzfINJ8nQH+xvX5LNGipWa4BRSZhPgxsCvlO4Zlj1xyjtIavmrQ/Tj39eyxekpFMXlXdHn0EleA0OA==</vt:lpwstr>
  </property>
  <property fmtid="{D5CDD505-2E9C-101B-9397-08002B2CF9AE}" pid="4" name="MFClassificationDate">
    <vt:lpwstr>2025-11-07T11:52:55.5787382+01:00</vt:lpwstr>
  </property>
  <property fmtid="{D5CDD505-2E9C-101B-9397-08002B2CF9AE}" pid="5" name="MFClassifiedBySID">
    <vt:lpwstr>UxC4dwLulzfINJ8nQH+xvX5LNGipWa4BRSZhPgxsCvm42mrIC/DSDv0ggS+FjUN/2v1BBotkLlY5aAiEhoi6uYJx73nYVR9Zh8v6LVs5+C3/ecAQlrB2nFX2/l5jLghv</vt:lpwstr>
  </property>
  <property fmtid="{D5CDD505-2E9C-101B-9397-08002B2CF9AE}" pid="6" name="MFGRNItemId">
    <vt:lpwstr>GRN-214a2645-4d86-4b20-81b8-9b32e3b62618</vt:lpwstr>
  </property>
  <property fmtid="{D5CDD505-2E9C-101B-9397-08002B2CF9AE}" pid="7" name="MFHash">
    <vt:lpwstr>wtO5QnT5mGyQILKUPZsWlE8utvXVBHqsa5p697Nal20=</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