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7974F8" w14:textId="77777777" w:rsidR="004D3ED0" w:rsidRDefault="004D3ED0">
      <w:pPr>
        <w:rPr>
          <w:rFonts w:ascii="Arial" w:hAnsi="Arial" w:cs="Arial"/>
          <w:b/>
          <w:bCs/>
          <w:sz w:val="40"/>
          <w:szCs w:val="40"/>
        </w:rPr>
      </w:pPr>
    </w:p>
    <w:p w14:paraId="3C7974F9" w14:textId="77777777" w:rsidR="004D3ED0" w:rsidRDefault="004D3ED0">
      <w:pPr>
        <w:rPr>
          <w:rFonts w:ascii="Arial" w:hAnsi="Arial" w:cs="Arial"/>
          <w:b/>
          <w:bCs/>
          <w:sz w:val="40"/>
          <w:szCs w:val="40"/>
        </w:rPr>
      </w:pPr>
    </w:p>
    <w:p w14:paraId="3C7974FA" w14:textId="77777777" w:rsidR="004D3ED0" w:rsidRDefault="004D3ED0">
      <w:pPr>
        <w:rPr>
          <w:rFonts w:ascii="Arial" w:hAnsi="Arial" w:cs="Arial"/>
          <w:b/>
          <w:bCs/>
          <w:sz w:val="40"/>
          <w:szCs w:val="40"/>
        </w:rPr>
      </w:pPr>
    </w:p>
    <w:p w14:paraId="3C7974FB" w14:textId="77777777" w:rsidR="004D3ED0" w:rsidRPr="004124F9" w:rsidRDefault="004124F9" w:rsidP="004124F9">
      <w:pPr>
        <w:rPr>
          <w:rFonts w:ascii="Arial" w:hAnsi="Arial" w:cs="Arial"/>
          <w:b/>
          <w:bCs/>
          <w:sz w:val="96"/>
          <w:szCs w:val="96"/>
        </w:rPr>
      </w:pPr>
      <w:r w:rsidRPr="004124F9">
        <w:rPr>
          <w:rFonts w:ascii="Arial" w:hAnsi="Arial" w:cs="Arial"/>
          <w:b/>
          <w:bCs/>
          <w:sz w:val="96"/>
          <w:szCs w:val="96"/>
        </w:rPr>
        <w:t>Opis infrastruktury systemu biznes.gov.pl</w:t>
      </w:r>
    </w:p>
    <w:p w14:paraId="3C7974FC" w14:textId="77777777" w:rsidR="004D3ED0" w:rsidRDefault="004D3ED0">
      <w:bookmarkStart w:id="0" w:name="_Toc53743860"/>
      <w:bookmarkEnd w:id="0"/>
    </w:p>
    <w:sdt>
      <w:sdtPr>
        <w:rPr>
          <w:rFonts w:asciiTheme="minorHAnsi" w:eastAsiaTheme="minorHAnsi" w:hAnsiTheme="minorHAnsi" w:cstheme="minorBidi"/>
          <w:color w:val="auto"/>
          <w:sz w:val="22"/>
          <w:szCs w:val="22"/>
          <w:lang w:eastAsia="en-US"/>
        </w:rPr>
        <w:id w:val="-427653612"/>
        <w:docPartObj>
          <w:docPartGallery w:val="Table of Contents"/>
          <w:docPartUnique/>
        </w:docPartObj>
      </w:sdtPr>
      <w:sdtEndPr/>
      <w:sdtContent>
        <w:p w14:paraId="3C7974FD" w14:textId="77777777" w:rsidR="004D3ED0" w:rsidRDefault="004124F9">
          <w:pPr>
            <w:pStyle w:val="Nagwekspisutreci"/>
            <w:numPr>
              <w:ilvl w:val="0"/>
              <w:numId w:val="0"/>
            </w:numPr>
            <w:spacing w:before="0"/>
            <w:ind w:left="432" w:hanging="432"/>
            <w:rPr>
              <w:rFonts w:ascii="Times New Roman" w:hAnsi="Times New Roman" w:cs="Times New Roman"/>
            </w:rPr>
          </w:pPr>
          <w:r>
            <w:br w:type="page"/>
          </w:r>
          <w:r>
            <w:rPr>
              <w:rFonts w:ascii="Times New Roman" w:hAnsi="Times New Roman" w:cs="Times New Roman"/>
            </w:rPr>
            <w:lastRenderedPageBreak/>
            <w:t>Spis treści</w:t>
          </w:r>
        </w:p>
        <w:p w14:paraId="3C7974FE" w14:textId="77777777" w:rsidR="004D3ED0" w:rsidRPr="004124F9" w:rsidRDefault="004124F9">
          <w:pPr>
            <w:pStyle w:val="Spistreci1"/>
            <w:rPr>
              <w:rFonts w:eastAsiaTheme="minorEastAsia"/>
              <w:kern w:val="2"/>
              <w:lang w:eastAsia="pl-PL"/>
            </w:rPr>
          </w:pPr>
          <w:r>
            <w:fldChar w:fldCharType="begin"/>
          </w:r>
          <w:r>
            <w:rPr>
              <w:rStyle w:val="czeindeksu"/>
              <w:webHidden/>
            </w:rPr>
            <w:instrText xml:space="preserve"> TOC \z \o "1-3" \u \h</w:instrText>
          </w:r>
          <w:r>
            <w:rPr>
              <w:rStyle w:val="czeindeksu"/>
            </w:rPr>
            <w:fldChar w:fldCharType="separate"/>
          </w:r>
          <w:hyperlink w:anchor="_Toc153975840">
            <w:r>
              <w:rPr>
                <w:rStyle w:val="czeindeksu"/>
                <w:webHidden/>
              </w:rPr>
              <w:t>1.</w:t>
            </w:r>
            <w:r w:rsidRPr="004124F9">
              <w:rPr>
                <w:rStyle w:val="czeindeksu"/>
                <w:rFonts w:eastAsiaTheme="minorEastAsia"/>
                <w:kern w:val="2"/>
                <w:lang w:eastAsia="pl-PL"/>
              </w:rPr>
              <w:tab/>
            </w:r>
            <w:r>
              <w:rPr>
                <w:rStyle w:val="czeindeksu"/>
              </w:rPr>
              <w:t>Kluczowe funkcjonalności Systemu *.biznes.gov.pl</w:t>
            </w:r>
            <w:r>
              <w:rPr>
                <w:webHidden/>
              </w:rPr>
              <w:fldChar w:fldCharType="begin"/>
            </w:r>
            <w:r>
              <w:rPr>
                <w:webHidden/>
              </w:rPr>
              <w:instrText>PAGEREF _Toc153975840 \h</w:instrText>
            </w:r>
            <w:r>
              <w:rPr>
                <w:webHidden/>
              </w:rPr>
            </w:r>
            <w:r>
              <w:rPr>
                <w:webHidden/>
              </w:rPr>
              <w:fldChar w:fldCharType="separate"/>
            </w:r>
            <w:r>
              <w:rPr>
                <w:rStyle w:val="czeindeksu"/>
              </w:rPr>
              <w:tab/>
              <w:t>0</w:t>
            </w:r>
            <w:r>
              <w:rPr>
                <w:webHidden/>
              </w:rPr>
              <w:fldChar w:fldCharType="end"/>
            </w:r>
          </w:hyperlink>
        </w:p>
        <w:p w14:paraId="3C7974FF" w14:textId="77777777" w:rsidR="004D3ED0" w:rsidRPr="004124F9" w:rsidRDefault="004124F9">
          <w:pPr>
            <w:pStyle w:val="Spistreci1"/>
            <w:rPr>
              <w:rFonts w:eastAsiaTheme="minorEastAsia"/>
              <w:kern w:val="2"/>
              <w:lang w:eastAsia="pl-PL"/>
            </w:rPr>
          </w:pPr>
          <w:hyperlink w:anchor="_Toc153975841">
            <w:r>
              <w:rPr>
                <w:rStyle w:val="czeindeksu"/>
                <w:webHidden/>
              </w:rPr>
              <w:t>2</w:t>
            </w:r>
            <w:r w:rsidRPr="004124F9">
              <w:rPr>
                <w:rStyle w:val="czeindeksu"/>
                <w:rFonts w:eastAsiaTheme="minorEastAsia"/>
                <w:kern w:val="2"/>
                <w:lang w:eastAsia="pl-PL"/>
              </w:rPr>
              <w:tab/>
            </w:r>
            <w:r>
              <w:rPr>
                <w:rStyle w:val="czeindeksu"/>
              </w:rPr>
              <w:t>Opis infrastruktury utrzymującej system</w:t>
            </w:r>
            <w:r>
              <w:rPr>
                <w:webHidden/>
              </w:rPr>
              <w:fldChar w:fldCharType="begin"/>
            </w:r>
            <w:r>
              <w:rPr>
                <w:webHidden/>
              </w:rPr>
              <w:instrText>PAGEREF _Toc153975841 \h</w:instrText>
            </w:r>
            <w:r>
              <w:rPr>
                <w:webHidden/>
              </w:rPr>
            </w:r>
            <w:r>
              <w:rPr>
                <w:webHidden/>
              </w:rPr>
              <w:fldChar w:fldCharType="separate"/>
            </w:r>
            <w:r>
              <w:rPr>
                <w:rStyle w:val="czeindeksu"/>
              </w:rPr>
              <w:tab/>
              <w:t>1</w:t>
            </w:r>
            <w:r>
              <w:rPr>
                <w:webHidden/>
              </w:rPr>
              <w:fldChar w:fldCharType="end"/>
            </w:r>
          </w:hyperlink>
        </w:p>
        <w:p w14:paraId="3C797500" w14:textId="77777777" w:rsidR="004D3ED0" w:rsidRPr="004124F9" w:rsidRDefault="004124F9">
          <w:pPr>
            <w:pStyle w:val="Spistreci2"/>
            <w:tabs>
              <w:tab w:val="left" w:pos="880"/>
              <w:tab w:val="right" w:leader="dot" w:pos="9060"/>
            </w:tabs>
            <w:rPr>
              <w:rFonts w:eastAsiaTheme="minorEastAsia"/>
              <w:kern w:val="2"/>
              <w:lang w:eastAsia="pl-PL"/>
            </w:rPr>
          </w:pPr>
          <w:hyperlink w:anchor="_Toc153975842">
            <w:r>
              <w:rPr>
                <w:rStyle w:val="czeindeksu"/>
                <w:webHidden/>
              </w:rPr>
              <w:t>2.1</w:t>
            </w:r>
            <w:r w:rsidRPr="004124F9">
              <w:rPr>
                <w:rStyle w:val="czeindeksu"/>
                <w:rFonts w:eastAsiaTheme="minorEastAsia"/>
                <w:kern w:val="2"/>
                <w:lang w:eastAsia="pl-PL"/>
              </w:rPr>
              <w:tab/>
            </w:r>
            <w:r>
              <w:rPr>
                <w:rStyle w:val="czeindeksu"/>
              </w:rPr>
              <w:t>Opis środowiska wirtualizacyjnego</w:t>
            </w:r>
            <w:r>
              <w:rPr>
                <w:webHidden/>
              </w:rPr>
              <w:fldChar w:fldCharType="begin"/>
            </w:r>
            <w:r>
              <w:rPr>
                <w:webHidden/>
              </w:rPr>
              <w:instrText>PAGEREF _Toc153975842 \h</w:instrText>
            </w:r>
            <w:r>
              <w:rPr>
                <w:webHidden/>
              </w:rPr>
            </w:r>
            <w:r>
              <w:rPr>
                <w:webHidden/>
              </w:rPr>
              <w:fldChar w:fldCharType="separate"/>
            </w:r>
            <w:r>
              <w:rPr>
                <w:rStyle w:val="czeindeksu"/>
              </w:rPr>
              <w:tab/>
              <w:t>3</w:t>
            </w:r>
            <w:r>
              <w:rPr>
                <w:webHidden/>
              </w:rPr>
              <w:fldChar w:fldCharType="end"/>
            </w:r>
          </w:hyperlink>
        </w:p>
        <w:p w14:paraId="3C797501" w14:textId="77777777" w:rsidR="004D3ED0" w:rsidRPr="004124F9" w:rsidRDefault="004124F9">
          <w:pPr>
            <w:pStyle w:val="Spistreci2"/>
            <w:tabs>
              <w:tab w:val="left" w:pos="880"/>
              <w:tab w:val="right" w:leader="dot" w:pos="9060"/>
            </w:tabs>
            <w:rPr>
              <w:rFonts w:eastAsiaTheme="minorEastAsia"/>
              <w:kern w:val="2"/>
              <w:lang w:eastAsia="pl-PL"/>
            </w:rPr>
          </w:pPr>
          <w:hyperlink w:anchor="_Toc153975843">
            <w:r>
              <w:rPr>
                <w:rStyle w:val="czeindeksu"/>
                <w:webHidden/>
              </w:rPr>
              <w:t>2.2</w:t>
            </w:r>
            <w:r w:rsidRPr="004124F9">
              <w:rPr>
                <w:rStyle w:val="czeindeksu"/>
                <w:rFonts w:eastAsiaTheme="minorEastAsia"/>
                <w:kern w:val="2"/>
                <w:lang w:eastAsia="pl-PL"/>
              </w:rPr>
              <w:tab/>
            </w:r>
            <w:r>
              <w:rPr>
                <w:rStyle w:val="czeindeksu"/>
              </w:rPr>
              <w:t>Opis modułów Systemu</w:t>
            </w:r>
            <w:r>
              <w:rPr>
                <w:webHidden/>
              </w:rPr>
              <w:fldChar w:fldCharType="begin"/>
            </w:r>
            <w:r>
              <w:rPr>
                <w:webHidden/>
              </w:rPr>
              <w:instrText>PAGEREF _Toc153975843 \h</w:instrText>
            </w:r>
            <w:r>
              <w:rPr>
                <w:webHidden/>
              </w:rPr>
            </w:r>
            <w:r>
              <w:rPr>
                <w:webHidden/>
              </w:rPr>
              <w:fldChar w:fldCharType="separate"/>
            </w:r>
            <w:r>
              <w:rPr>
                <w:rStyle w:val="czeindeksu"/>
              </w:rPr>
              <w:tab/>
              <w:t>5</w:t>
            </w:r>
            <w:r>
              <w:rPr>
                <w:webHidden/>
              </w:rPr>
              <w:fldChar w:fldCharType="end"/>
            </w:r>
          </w:hyperlink>
        </w:p>
        <w:p w14:paraId="3C797502" w14:textId="77777777" w:rsidR="004D3ED0" w:rsidRPr="004124F9" w:rsidRDefault="004124F9">
          <w:pPr>
            <w:pStyle w:val="Spistreci3"/>
            <w:tabs>
              <w:tab w:val="left" w:pos="1320"/>
              <w:tab w:val="right" w:leader="dot" w:pos="9060"/>
            </w:tabs>
            <w:rPr>
              <w:rFonts w:eastAsiaTheme="minorEastAsia"/>
              <w:kern w:val="2"/>
              <w:lang w:eastAsia="pl-PL"/>
            </w:rPr>
          </w:pPr>
          <w:hyperlink w:anchor="_Toc153975844">
            <w:r>
              <w:rPr>
                <w:rStyle w:val="czeindeksu"/>
                <w:webHidden/>
              </w:rPr>
              <w:t>2.2.1</w:t>
            </w:r>
            <w:r w:rsidRPr="004124F9">
              <w:rPr>
                <w:rStyle w:val="czeindeksu"/>
                <w:rFonts w:eastAsiaTheme="minorEastAsia"/>
                <w:kern w:val="2"/>
                <w:lang w:eastAsia="pl-PL"/>
              </w:rPr>
              <w:tab/>
            </w:r>
            <w:r>
              <w:rPr>
                <w:rStyle w:val="czeindeksu"/>
              </w:rPr>
              <w:t>Opis ELF</w:t>
            </w:r>
            <w:r>
              <w:rPr>
                <w:webHidden/>
              </w:rPr>
              <w:fldChar w:fldCharType="begin"/>
            </w:r>
            <w:r>
              <w:rPr>
                <w:webHidden/>
              </w:rPr>
              <w:instrText>PAGEREF _Toc153975844 \h</w:instrText>
            </w:r>
            <w:r>
              <w:rPr>
                <w:webHidden/>
              </w:rPr>
            </w:r>
            <w:r>
              <w:rPr>
                <w:webHidden/>
              </w:rPr>
              <w:fldChar w:fldCharType="separate"/>
            </w:r>
            <w:r>
              <w:rPr>
                <w:rStyle w:val="czeindeksu"/>
              </w:rPr>
              <w:tab/>
              <w:t>5</w:t>
            </w:r>
            <w:r>
              <w:rPr>
                <w:webHidden/>
              </w:rPr>
              <w:fldChar w:fldCharType="end"/>
            </w:r>
          </w:hyperlink>
        </w:p>
        <w:p w14:paraId="3C797503" w14:textId="77777777" w:rsidR="004D3ED0" w:rsidRPr="004124F9" w:rsidRDefault="004124F9">
          <w:pPr>
            <w:pStyle w:val="Spistreci3"/>
            <w:tabs>
              <w:tab w:val="left" w:pos="1320"/>
              <w:tab w:val="right" w:leader="dot" w:pos="9060"/>
            </w:tabs>
            <w:rPr>
              <w:rFonts w:eastAsiaTheme="minorEastAsia"/>
              <w:kern w:val="2"/>
              <w:lang w:eastAsia="pl-PL"/>
            </w:rPr>
          </w:pPr>
          <w:hyperlink w:anchor="_Toc153975845">
            <w:r>
              <w:rPr>
                <w:rStyle w:val="czeindeksu"/>
                <w:webHidden/>
              </w:rPr>
              <w:t>2.2.2</w:t>
            </w:r>
            <w:r w:rsidRPr="004124F9">
              <w:rPr>
                <w:rStyle w:val="czeindeksu"/>
                <w:rFonts w:eastAsiaTheme="minorEastAsia"/>
                <w:kern w:val="2"/>
                <w:lang w:eastAsia="pl-PL"/>
              </w:rPr>
              <w:tab/>
            </w:r>
            <w:r>
              <w:rPr>
                <w:rStyle w:val="czeindeksu"/>
              </w:rPr>
              <w:t>Opis Baza Wiedzy</w:t>
            </w:r>
            <w:r>
              <w:rPr>
                <w:webHidden/>
              </w:rPr>
              <w:fldChar w:fldCharType="begin"/>
            </w:r>
            <w:r>
              <w:rPr>
                <w:webHidden/>
              </w:rPr>
              <w:instrText>PAGEREF _Toc153975845 \h</w:instrText>
            </w:r>
            <w:r>
              <w:rPr>
                <w:webHidden/>
              </w:rPr>
            </w:r>
            <w:r>
              <w:rPr>
                <w:webHidden/>
              </w:rPr>
              <w:fldChar w:fldCharType="separate"/>
            </w:r>
            <w:r>
              <w:rPr>
                <w:rStyle w:val="czeindeksu"/>
              </w:rPr>
              <w:tab/>
              <w:t>8</w:t>
            </w:r>
            <w:r>
              <w:rPr>
                <w:webHidden/>
              </w:rPr>
              <w:fldChar w:fldCharType="end"/>
            </w:r>
          </w:hyperlink>
        </w:p>
        <w:p w14:paraId="3C797504" w14:textId="77777777" w:rsidR="004D3ED0" w:rsidRPr="004124F9" w:rsidRDefault="004124F9">
          <w:pPr>
            <w:pStyle w:val="Spistreci3"/>
            <w:tabs>
              <w:tab w:val="left" w:pos="1320"/>
              <w:tab w:val="right" w:leader="dot" w:pos="9060"/>
            </w:tabs>
            <w:rPr>
              <w:rFonts w:eastAsiaTheme="minorEastAsia"/>
              <w:kern w:val="2"/>
              <w:lang w:eastAsia="pl-PL"/>
            </w:rPr>
          </w:pPr>
          <w:hyperlink w:anchor="_Toc153975846">
            <w:r>
              <w:rPr>
                <w:rStyle w:val="czeindeksu"/>
                <w:webHidden/>
              </w:rPr>
              <w:t>2.2.3</w:t>
            </w:r>
            <w:r w:rsidRPr="004124F9">
              <w:rPr>
                <w:rStyle w:val="czeindeksu"/>
                <w:rFonts w:eastAsiaTheme="minorEastAsia"/>
                <w:kern w:val="2"/>
                <w:lang w:eastAsia="pl-PL"/>
              </w:rPr>
              <w:tab/>
            </w:r>
            <w:r>
              <w:rPr>
                <w:rStyle w:val="czeindeksu"/>
              </w:rPr>
              <w:t xml:space="preserve">Opis CMS/ </w:t>
            </w:r>
            <w:r>
              <w:rPr>
                <w:rStyle w:val="czeindeksu"/>
                <w:rFonts w:ascii="Times New Roman" w:hAnsi="Times New Roman" w:cs="Times New Roman"/>
              </w:rPr>
              <w:t>Polska Strefa Inwestycji (dalej PSI)</w:t>
            </w:r>
            <w:r>
              <w:rPr>
                <w:webHidden/>
              </w:rPr>
              <w:fldChar w:fldCharType="begin"/>
            </w:r>
            <w:r>
              <w:rPr>
                <w:webHidden/>
              </w:rPr>
              <w:instrText>PAGEREF _Toc153975846 \h</w:instrText>
            </w:r>
            <w:r>
              <w:rPr>
                <w:webHidden/>
              </w:rPr>
            </w:r>
            <w:r>
              <w:rPr>
                <w:webHidden/>
              </w:rPr>
              <w:fldChar w:fldCharType="separate"/>
            </w:r>
            <w:r>
              <w:rPr>
                <w:rStyle w:val="czeindeksu"/>
              </w:rPr>
              <w:tab/>
              <w:t>12</w:t>
            </w:r>
            <w:r>
              <w:rPr>
                <w:webHidden/>
              </w:rPr>
              <w:fldChar w:fldCharType="end"/>
            </w:r>
          </w:hyperlink>
        </w:p>
        <w:p w14:paraId="3C797505" w14:textId="77777777" w:rsidR="004D3ED0" w:rsidRPr="004124F9" w:rsidRDefault="004124F9">
          <w:pPr>
            <w:pStyle w:val="Spistreci3"/>
            <w:tabs>
              <w:tab w:val="left" w:pos="1320"/>
              <w:tab w:val="right" w:leader="dot" w:pos="9060"/>
            </w:tabs>
            <w:rPr>
              <w:rFonts w:eastAsiaTheme="minorEastAsia"/>
              <w:kern w:val="2"/>
              <w:lang w:eastAsia="pl-PL"/>
            </w:rPr>
          </w:pPr>
          <w:hyperlink w:anchor="_Toc153975847">
            <w:r>
              <w:rPr>
                <w:rStyle w:val="czeindeksu"/>
                <w:webHidden/>
              </w:rPr>
              <w:t>2.2.4</w:t>
            </w:r>
            <w:r w:rsidRPr="004124F9">
              <w:rPr>
                <w:rStyle w:val="czeindeksu"/>
                <w:rFonts w:eastAsiaTheme="minorEastAsia"/>
                <w:kern w:val="2"/>
                <w:lang w:eastAsia="pl-PL"/>
              </w:rPr>
              <w:tab/>
            </w:r>
            <w:r>
              <w:rPr>
                <w:rStyle w:val="czeindeksu"/>
              </w:rPr>
              <w:t>Opis SOZ</w:t>
            </w:r>
            <w:r>
              <w:rPr>
                <w:webHidden/>
              </w:rPr>
              <w:fldChar w:fldCharType="begin"/>
            </w:r>
            <w:r>
              <w:rPr>
                <w:webHidden/>
              </w:rPr>
              <w:instrText>PAGEREF _Toc153975847 \h</w:instrText>
            </w:r>
            <w:r>
              <w:rPr>
                <w:webHidden/>
              </w:rPr>
            </w:r>
            <w:r>
              <w:rPr>
                <w:webHidden/>
              </w:rPr>
              <w:fldChar w:fldCharType="separate"/>
            </w:r>
            <w:r>
              <w:rPr>
                <w:rStyle w:val="czeindeksu"/>
              </w:rPr>
              <w:tab/>
              <w:t>13</w:t>
            </w:r>
            <w:r>
              <w:rPr>
                <w:webHidden/>
              </w:rPr>
              <w:fldChar w:fldCharType="end"/>
            </w:r>
          </w:hyperlink>
        </w:p>
        <w:p w14:paraId="3C797506" w14:textId="77777777" w:rsidR="004D3ED0" w:rsidRPr="004124F9" w:rsidRDefault="004124F9">
          <w:pPr>
            <w:pStyle w:val="Spistreci3"/>
            <w:tabs>
              <w:tab w:val="left" w:pos="1320"/>
              <w:tab w:val="right" w:leader="dot" w:pos="9060"/>
            </w:tabs>
            <w:rPr>
              <w:rFonts w:eastAsiaTheme="minorEastAsia"/>
              <w:kern w:val="2"/>
              <w:lang w:eastAsia="pl-PL"/>
            </w:rPr>
          </w:pPr>
          <w:hyperlink w:anchor="_Toc153975848">
            <w:r>
              <w:rPr>
                <w:rStyle w:val="czeindeksu"/>
                <w:webHidden/>
              </w:rPr>
              <w:t>2.2.5</w:t>
            </w:r>
            <w:r w:rsidRPr="004124F9">
              <w:rPr>
                <w:rStyle w:val="czeindeksu"/>
                <w:rFonts w:eastAsiaTheme="minorEastAsia"/>
                <w:kern w:val="2"/>
                <w:lang w:eastAsia="pl-PL"/>
              </w:rPr>
              <w:tab/>
            </w:r>
            <w:r>
              <w:rPr>
                <w:rStyle w:val="czeindeksu"/>
              </w:rPr>
              <w:t>Opis portal/serwis</w:t>
            </w:r>
            <w:r>
              <w:rPr>
                <w:webHidden/>
              </w:rPr>
              <w:fldChar w:fldCharType="begin"/>
            </w:r>
            <w:r>
              <w:rPr>
                <w:webHidden/>
              </w:rPr>
              <w:instrText>PAGEREF _Toc153975848 \h</w:instrText>
            </w:r>
            <w:r>
              <w:rPr>
                <w:webHidden/>
              </w:rPr>
            </w:r>
            <w:r>
              <w:rPr>
                <w:webHidden/>
              </w:rPr>
              <w:fldChar w:fldCharType="separate"/>
            </w:r>
            <w:r>
              <w:rPr>
                <w:rStyle w:val="czeindeksu"/>
              </w:rPr>
              <w:tab/>
              <w:t>14</w:t>
            </w:r>
            <w:r>
              <w:rPr>
                <w:webHidden/>
              </w:rPr>
              <w:fldChar w:fldCharType="end"/>
            </w:r>
          </w:hyperlink>
        </w:p>
        <w:p w14:paraId="3C797507" w14:textId="77777777" w:rsidR="004D3ED0" w:rsidRPr="004124F9" w:rsidRDefault="004124F9">
          <w:pPr>
            <w:pStyle w:val="Spistreci3"/>
            <w:tabs>
              <w:tab w:val="left" w:pos="1320"/>
              <w:tab w:val="right" w:leader="dot" w:pos="9060"/>
            </w:tabs>
            <w:rPr>
              <w:rFonts w:eastAsiaTheme="minorEastAsia"/>
              <w:kern w:val="2"/>
              <w:lang w:eastAsia="pl-PL"/>
            </w:rPr>
          </w:pPr>
          <w:hyperlink w:anchor="_Toc153975849">
            <w:r>
              <w:rPr>
                <w:rStyle w:val="czeindeksu"/>
                <w:webHidden/>
              </w:rPr>
              <w:t>2.2.6</w:t>
            </w:r>
            <w:r w:rsidRPr="004124F9">
              <w:rPr>
                <w:rStyle w:val="czeindeksu"/>
                <w:rFonts w:eastAsiaTheme="minorEastAsia"/>
                <w:kern w:val="2"/>
                <w:lang w:eastAsia="pl-PL"/>
              </w:rPr>
              <w:tab/>
            </w:r>
            <w:r>
              <w:rPr>
                <w:rStyle w:val="czeindeksu"/>
              </w:rPr>
              <w:t>Opis Głos przedsiębiorcy</w:t>
            </w:r>
            <w:r>
              <w:rPr>
                <w:webHidden/>
              </w:rPr>
              <w:fldChar w:fldCharType="begin"/>
            </w:r>
            <w:r>
              <w:rPr>
                <w:webHidden/>
              </w:rPr>
              <w:instrText>PAGEREF _Toc153975849 \h</w:instrText>
            </w:r>
            <w:r>
              <w:rPr>
                <w:webHidden/>
              </w:rPr>
            </w:r>
            <w:r>
              <w:rPr>
                <w:webHidden/>
              </w:rPr>
              <w:fldChar w:fldCharType="separate"/>
            </w:r>
            <w:r>
              <w:rPr>
                <w:rStyle w:val="czeindeksu"/>
              </w:rPr>
              <w:tab/>
              <w:t>14</w:t>
            </w:r>
            <w:r>
              <w:rPr>
                <w:webHidden/>
              </w:rPr>
              <w:fldChar w:fldCharType="end"/>
            </w:r>
          </w:hyperlink>
        </w:p>
        <w:p w14:paraId="3C797508" w14:textId="77777777" w:rsidR="004D3ED0" w:rsidRPr="004124F9" w:rsidRDefault="004124F9">
          <w:pPr>
            <w:pStyle w:val="Spistreci3"/>
            <w:tabs>
              <w:tab w:val="left" w:pos="1320"/>
              <w:tab w:val="right" w:leader="dot" w:pos="9060"/>
            </w:tabs>
            <w:rPr>
              <w:rFonts w:eastAsiaTheme="minorEastAsia"/>
              <w:kern w:val="2"/>
              <w:lang w:eastAsia="pl-PL"/>
            </w:rPr>
          </w:pPr>
          <w:hyperlink w:anchor="_Toc153975850">
            <w:r>
              <w:rPr>
                <w:rStyle w:val="czeindeksu"/>
                <w:webHidden/>
              </w:rPr>
              <w:t>2.2.7</w:t>
            </w:r>
            <w:r w:rsidRPr="004124F9">
              <w:rPr>
                <w:rStyle w:val="czeindeksu"/>
                <w:rFonts w:eastAsiaTheme="minorEastAsia"/>
                <w:kern w:val="2"/>
                <w:lang w:eastAsia="pl-PL"/>
              </w:rPr>
              <w:tab/>
            </w:r>
            <w:r>
              <w:rPr>
                <w:rStyle w:val="czeindeksu"/>
              </w:rPr>
              <w:t>Opis Akademia</w:t>
            </w:r>
            <w:r>
              <w:rPr>
                <w:webHidden/>
              </w:rPr>
              <w:fldChar w:fldCharType="begin"/>
            </w:r>
            <w:r>
              <w:rPr>
                <w:webHidden/>
              </w:rPr>
              <w:instrText>PAGEREF _Toc153975850 \h</w:instrText>
            </w:r>
            <w:r>
              <w:rPr>
                <w:webHidden/>
              </w:rPr>
            </w:r>
            <w:r>
              <w:rPr>
                <w:webHidden/>
              </w:rPr>
              <w:fldChar w:fldCharType="separate"/>
            </w:r>
            <w:r>
              <w:rPr>
                <w:rStyle w:val="czeindeksu"/>
              </w:rPr>
              <w:tab/>
              <w:t>15</w:t>
            </w:r>
            <w:r>
              <w:rPr>
                <w:webHidden/>
              </w:rPr>
              <w:fldChar w:fldCharType="end"/>
            </w:r>
          </w:hyperlink>
        </w:p>
        <w:p w14:paraId="3C797509" w14:textId="77777777" w:rsidR="004D3ED0" w:rsidRPr="004124F9" w:rsidRDefault="004124F9">
          <w:pPr>
            <w:pStyle w:val="Spistreci3"/>
            <w:tabs>
              <w:tab w:val="left" w:pos="1320"/>
              <w:tab w:val="right" w:leader="dot" w:pos="9060"/>
            </w:tabs>
            <w:rPr>
              <w:rFonts w:eastAsiaTheme="minorEastAsia"/>
              <w:kern w:val="2"/>
              <w:lang w:eastAsia="pl-PL"/>
            </w:rPr>
          </w:pPr>
          <w:hyperlink w:anchor="_Toc153975851">
            <w:r>
              <w:rPr>
                <w:rStyle w:val="czeindeksu"/>
                <w:webHidden/>
              </w:rPr>
              <w:t>2.2.8</w:t>
            </w:r>
            <w:r w:rsidRPr="004124F9">
              <w:rPr>
                <w:rStyle w:val="czeindeksu"/>
                <w:rFonts w:eastAsiaTheme="minorEastAsia"/>
                <w:kern w:val="2"/>
                <w:lang w:eastAsia="pl-PL"/>
              </w:rPr>
              <w:tab/>
            </w:r>
            <w:r>
              <w:rPr>
                <w:rStyle w:val="czeindeksu"/>
              </w:rPr>
              <w:t>Moduł eDoręczenia</w:t>
            </w:r>
            <w:r>
              <w:rPr>
                <w:webHidden/>
              </w:rPr>
              <w:fldChar w:fldCharType="begin"/>
            </w:r>
            <w:r>
              <w:rPr>
                <w:webHidden/>
              </w:rPr>
              <w:instrText>PAGEREF _Toc153975851 \h</w:instrText>
            </w:r>
            <w:r>
              <w:rPr>
                <w:webHidden/>
              </w:rPr>
            </w:r>
            <w:r>
              <w:rPr>
                <w:webHidden/>
              </w:rPr>
              <w:fldChar w:fldCharType="separate"/>
            </w:r>
            <w:r>
              <w:rPr>
                <w:rStyle w:val="czeindeksu"/>
              </w:rPr>
              <w:tab/>
              <w:t>15</w:t>
            </w:r>
            <w:r>
              <w:rPr>
                <w:webHidden/>
              </w:rPr>
              <w:fldChar w:fldCharType="end"/>
            </w:r>
          </w:hyperlink>
        </w:p>
        <w:p w14:paraId="3C79750A" w14:textId="77777777" w:rsidR="004D3ED0" w:rsidRPr="004124F9" w:rsidRDefault="004124F9">
          <w:pPr>
            <w:pStyle w:val="Spistreci3"/>
            <w:tabs>
              <w:tab w:val="left" w:pos="1320"/>
              <w:tab w:val="right" w:leader="dot" w:pos="9060"/>
            </w:tabs>
            <w:rPr>
              <w:rFonts w:eastAsiaTheme="minorEastAsia"/>
              <w:kern w:val="2"/>
              <w:lang w:eastAsia="pl-PL"/>
            </w:rPr>
          </w:pPr>
          <w:hyperlink w:anchor="_Toc153975852">
            <w:r>
              <w:rPr>
                <w:rStyle w:val="czeindeksu"/>
                <w:webHidden/>
              </w:rPr>
              <w:t>2.2.9</w:t>
            </w:r>
            <w:r w:rsidRPr="004124F9">
              <w:rPr>
                <w:rStyle w:val="czeindeksu"/>
                <w:rFonts w:eastAsiaTheme="minorEastAsia"/>
                <w:kern w:val="2"/>
                <w:lang w:eastAsia="pl-PL"/>
              </w:rPr>
              <w:tab/>
            </w:r>
            <w:r>
              <w:rPr>
                <w:rStyle w:val="czeindeksu"/>
              </w:rPr>
              <w:t>Wyszukiwarka firm</w:t>
            </w:r>
            <w:r>
              <w:rPr>
                <w:webHidden/>
              </w:rPr>
              <w:fldChar w:fldCharType="begin"/>
            </w:r>
            <w:r>
              <w:rPr>
                <w:webHidden/>
              </w:rPr>
              <w:instrText>PAGEREF _Toc153975852 \h</w:instrText>
            </w:r>
            <w:r>
              <w:rPr>
                <w:webHidden/>
              </w:rPr>
            </w:r>
            <w:r>
              <w:rPr>
                <w:webHidden/>
              </w:rPr>
              <w:fldChar w:fldCharType="separate"/>
            </w:r>
            <w:r>
              <w:rPr>
                <w:rStyle w:val="czeindeksu"/>
              </w:rPr>
              <w:tab/>
              <w:t>16</w:t>
            </w:r>
            <w:r>
              <w:rPr>
                <w:webHidden/>
              </w:rPr>
              <w:fldChar w:fldCharType="end"/>
            </w:r>
          </w:hyperlink>
        </w:p>
        <w:p w14:paraId="3C79750B" w14:textId="77777777" w:rsidR="004D3ED0" w:rsidRPr="004124F9" w:rsidRDefault="004124F9">
          <w:pPr>
            <w:pStyle w:val="Spistreci3"/>
            <w:tabs>
              <w:tab w:val="left" w:pos="1320"/>
              <w:tab w:val="right" w:leader="dot" w:pos="9060"/>
            </w:tabs>
            <w:rPr>
              <w:rFonts w:eastAsiaTheme="minorEastAsia"/>
              <w:kern w:val="2"/>
              <w:lang w:eastAsia="pl-PL"/>
            </w:rPr>
          </w:pPr>
          <w:hyperlink w:anchor="_Toc153975853">
            <w:r>
              <w:rPr>
                <w:rStyle w:val="czeindeksu"/>
                <w:webHidden/>
              </w:rPr>
              <w:t>2.2.10</w:t>
            </w:r>
            <w:r w:rsidRPr="004124F9">
              <w:rPr>
                <w:rStyle w:val="czeindeksu"/>
                <w:rFonts w:eastAsiaTheme="minorEastAsia"/>
                <w:kern w:val="2"/>
                <w:lang w:eastAsia="pl-PL"/>
              </w:rPr>
              <w:tab/>
            </w:r>
            <w:r>
              <w:rPr>
                <w:rStyle w:val="czeindeksu"/>
              </w:rPr>
              <w:t>Tracker</w:t>
            </w:r>
            <w:r>
              <w:rPr>
                <w:webHidden/>
              </w:rPr>
              <w:fldChar w:fldCharType="begin"/>
            </w:r>
            <w:r>
              <w:rPr>
                <w:webHidden/>
              </w:rPr>
              <w:instrText>PAGEREF _Toc153975853 \h</w:instrText>
            </w:r>
            <w:r>
              <w:rPr>
                <w:webHidden/>
              </w:rPr>
            </w:r>
            <w:r>
              <w:rPr>
                <w:webHidden/>
              </w:rPr>
              <w:fldChar w:fldCharType="separate"/>
            </w:r>
            <w:r>
              <w:rPr>
                <w:rStyle w:val="czeindeksu"/>
              </w:rPr>
              <w:tab/>
              <w:t>17</w:t>
            </w:r>
            <w:r>
              <w:rPr>
                <w:webHidden/>
              </w:rPr>
              <w:fldChar w:fldCharType="end"/>
            </w:r>
          </w:hyperlink>
        </w:p>
        <w:p w14:paraId="3C79750C" w14:textId="77777777" w:rsidR="004D3ED0" w:rsidRPr="004124F9" w:rsidRDefault="004124F9">
          <w:pPr>
            <w:pStyle w:val="Spistreci1"/>
            <w:rPr>
              <w:rFonts w:eastAsiaTheme="minorEastAsia"/>
              <w:kern w:val="2"/>
              <w:lang w:eastAsia="pl-PL"/>
            </w:rPr>
          </w:pPr>
          <w:hyperlink w:anchor="_Toc153975854">
            <w:r>
              <w:rPr>
                <w:rStyle w:val="czeindeksu"/>
                <w:webHidden/>
              </w:rPr>
              <w:t>3</w:t>
            </w:r>
            <w:r w:rsidRPr="004124F9">
              <w:rPr>
                <w:rStyle w:val="czeindeksu"/>
                <w:rFonts w:eastAsiaTheme="minorEastAsia"/>
                <w:kern w:val="2"/>
                <w:lang w:eastAsia="pl-PL"/>
              </w:rPr>
              <w:tab/>
            </w:r>
            <w:r>
              <w:rPr>
                <w:rStyle w:val="czeindeksu"/>
              </w:rPr>
              <w:t>Spis tabel i rysunków</w:t>
            </w:r>
            <w:r>
              <w:rPr>
                <w:webHidden/>
              </w:rPr>
              <w:fldChar w:fldCharType="begin"/>
            </w:r>
            <w:r>
              <w:rPr>
                <w:webHidden/>
              </w:rPr>
              <w:instrText>PAGEREF _Toc153975854 \h</w:instrText>
            </w:r>
            <w:r>
              <w:rPr>
                <w:webHidden/>
              </w:rPr>
            </w:r>
            <w:r>
              <w:rPr>
                <w:webHidden/>
              </w:rPr>
              <w:fldChar w:fldCharType="separate"/>
            </w:r>
            <w:r>
              <w:rPr>
                <w:rStyle w:val="czeindeksu"/>
              </w:rPr>
              <w:tab/>
              <w:t>17</w:t>
            </w:r>
            <w:r>
              <w:rPr>
                <w:webHidden/>
              </w:rPr>
              <w:fldChar w:fldCharType="end"/>
            </w:r>
          </w:hyperlink>
        </w:p>
        <w:p w14:paraId="3C79750D" w14:textId="77777777" w:rsidR="004D3ED0" w:rsidRPr="004124F9" w:rsidRDefault="004124F9">
          <w:pPr>
            <w:pStyle w:val="Spistreci2"/>
            <w:tabs>
              <w:tab w:val="left" w:pos="880"/>
              <w:tab w:val="right" w:leader="dot" w:pos="9060"/>
            </w:tabs>
            <w:rPr>
              <w:rFonts w:eastAsiaTheme="minorEastAsia"/>
              <w:kern w:val="2"/>
              <w:lang w:eastAsia="pl-PL"/>
            </w:rPr>
          </w:pPr>
          <w:hyperlink w:anchor="_Toc153975855">
            <w:r>
              <w:rPr>
                <w:rStyle w:val="czeindeksu"/>
                <w:webHidden/>
              </w:rPr>
              <w:t>3.1</w:t>
            </w:r>
            <w:r w:rsidRPr="004124F9">
              <w:rPr>
                <w:rStyle w:val="czeindeksu"/>
                <w:rFonts w:eastAsiaTheme="minorEastAsia"/>
                <w:kern w:val="2"/>
                <w:lang w:eastAsia="pl-PL"/>
              </w:rPr>
              <w:tab/>
            </w:r>
            <w:r>
              <w:rPr>
                <w:rStyle w:val="czeindeksu"/>
              </w:rPr>
              <w:t>Spis rysunków</w:t>
            </w:r>
            <w:r>
              <w:rPr>
                <w:webHidden/>
              </w:rPr>
              <w:fldChar w:fldCharType="begin"/>
            </w:r>
            <w:r>
              <w:rPr>
                <w:webHidden/>
              </w:rPr>
              <w:instrText>PAGEREF _Toc153975855 \h</w:instrText>
            </w:r>
            <w:r>
              <w:rPr>
                <w:webHidden/>
              </w:rPr>
            </w:r>
            <w:r>
              <w:rPr>
                <w:webHidden/>
              </w:rPr>
              <w:fldChar w:fldCharType="separate"/>
            </w:r>
            <w:r>
              <w:rPr>
                <w:rStyle w:val="czeindeksu"/>
              </w:rPr>
              <w:tab/>
              <w:t>17</w:t>
            </w:r>
            <w:r>
              <w:rPr>
                <w:webHidden/>
              </w:rPr>
              <w:fldChar w:fldCharType="end"/>
            </w:r>
          </w:hyperlink>
        </w:p>
        <w:p w14:paraId="3C79750E" w14:textId="77777777" w:rsidR="004D3ED0" w:rsidRDefault="004124F9">
          <w:pPr>
            <w:rPr>
              <w:b/>
              <w:bCs/>
            </w:rPr>
          </w:pPr>
          <w:r>
            <w:rPr>
              <w:b/>
              <w:bCs/>
            </w:rPr>
            <w:fldChar w:fldCharType="end"/>
          </w:r>
        </w:p>
      </w:sdtContent>
    </w:sdt>
    <w:p w14:paraId="3C79750F" w14:textId="77777777" w:rsidR="004D3ED0" w:rsidRDefault="004124F9">
      <w:r>
        <w:br w:type="page"/>
      </w:r>
    </w:p>
    <w:p w14:paraId="3C797510" w14:textId="77777777" w:rsidR="004D3ED0" w:rsidRDefault="004124F9">
      <w:pPr>
        <w:pStyle w:val="Nagwek1"/>
        <w:numPr>
          <w:ilvl w:val="0"/>
          <w:numId w:val="9"/>
        </w:numPr>
        <w:spacing w:before="0" w:after="240"/>
        <w:ind w:left="426"/>
      </w:pPr>
      <w:bookmarkStart w:id="1" w:name="_Toc53743861"/>
      <w:bookmarkStart w:id="2" w:name="_Toc53743863"/>
      <w:bookmarkStart w:id="3" w:name="_Toc153975840"/>
      <w:bookmarkStart w:id="4" w:name="_Toc153975244"/>
      <w:bookmarkEnd w:id="1"/>
      <w:r>
        <w:lastRenderedPageBreak/>
        <w:t>Kluczowe funkcjonalności Systemu</w:t>
      </w:r>
      <w:bookmarkEnd w:id="2"/>
      <w:r>
        <w:t xml:space="preserve"> Biznes.gov.pl</w:t>
      </w:r>
      <w:bookmarkEnd w:id="3"/>
      <w:bookmarkEnd w:id="4"/>
    </w:p>
    <w:p w14:paraId="3C797511" w14:textId="77777777" w:rsidR="004D3ED0" w:rsidRDefault="004124F9">
      <w:pPr>
        <w:rPr>
          <w:rFonts w:cstheme="minorHAnsi"/>
          <w:sz w:val="24"/>
        </w:rPr>
      </w:pPr>
      <w:r>
        <w:rPr>
          <w:rFonts w:cstheme="minorHAnsi"/>
          <w:sz w:val="24"/>
        </w:rPr>
        <w:t xml:space="preserve">Biznes.gov.pl to serwis internetowy realizujący zadania Punktu Informacji dla </w:t>
      </w:r>
      <w:r>
        <w:rPr>
          <w:rFonts w:cstheme="minorHAnsi"/>
          <w:sz w:val="24"/>
        </w:rPr>
        <w:t>Przedsiębiorcy (PIP), oraz Centralnej Ewidencji i Informacji o Działalności Gospodarczej (CEIDG), który udostępnia informację oraz usługi e-administracji związane z rozpoczęciem, wykonywaniem (w tym uzyskiwaniem koncesji, zezwoleń, licencji) i kończeniem działalności gospodarczej w Polsce. Biznes.gov.pl ma dwie wersje językowe – polską oraz angielską. Treści każdej wersji dopasowane są do potrzeb użytkowników odpowiednio polsko- i angielskojęzycznych. Przygotowane narzędzie - serwis https://www.Biznes.gov.p</w:t>
      </w:r>
      <w:r>
        <w:rPr>
          <w:rFonts w:cstheme="minorHAnsi"/>
          <w:sz w:val="24"/>
        </w:rPr>
        <w:t>l ma charakter intuicyjny i jest łatwy w użyciu.</w:t>
      </w:r>
    </w:p>
    <w:p w14:paraId="3C797512" w14:textId="77777777" w:rsidR="004D3ED0" w:rsidRDefault="004124F9">
      <w:pPr>
        <w:rPr>
          <w:rFonts w:cstheme="minorHAnsi"/>
          <w:sz w:val="24"/>
        </w:rPr>
      </w:pPr>
      <w:r>
        <w:rPr>
          <w:rFonts w:cstheme="minorHAnsi"/>
          <w:sz w:val="24"/>
        </w:rPr>
        <w:t xml:space="preserve">Planowany dalszy kierunek rozwoju serwisu Biznes.gov.pl to optymalizacja zasobów portalu pod kątem potrzeb użytkowników oraz wymagań prawnych  oraz rozwój części usługowej tak, aby portal stawał się usługowo-informacyjnym centrum informacji o zakładaniu i prowadzeniu działalności gospodarczej w Polsce dla przedsiębiorców polskich oraz zagranicznych.  </w:t>
      </w:r>
    </w:p>
    <w:p w14:paraId="3C797513" w14:textId="77777777" w:rsidR="004D3ED0" w:rsidRDefault="004124F9">
      <w:pPr>
        <w:rPr>
          <w:rFonts w:cstheme="minorHAnsi"/>
          <w:sz w:val="24"/>
        </w:rPr>
      </w:pPr>
      <w:r>
        <w:rPr>
          <w:rFonts w:cstheme="minorHAnsi"/>
          <w:sz w:val="24"/>
        </w:rPr>
        <w:t>W ramach powyższego podziału w portalu Biznes.gov.pl funkcjonują następujące treści:</w:t>
      </w:r>
    </w:p>
    <w:p w14:paraId="3C797514" w14:textId="77777777" w:rsidR="004D3ED0" w:rsidRDefault="004124F9">
      <w:pPr>
        <w:pStyle w:val="Akapitzlist"/>
        <w:numPr>
          <w:ilvl w:val="0"/>
          <w:numId w:val="7"/>
        </w:numPr>
        <w:pBdr>
          <w:top w:val="nil"/>
          <w:left w:val="nil"/>
          <w:bottom w:val="nil"/>
          <w:right w:val="nil"/>
        </w:pBdr>
        <w:spacing w:after="0"/>
        <w:ind w:left="426"/>
        <w:rPr>
          <w:rFonts w:asciiTheme="minorHAnsi" w:hAnsiTheme="minorHAnsi" w:cstheme="minorHAnsi"/>
          <w:w w:val="105"/>
          <w:sz w:val="24"/>
        </w:rPr>
      </w:pPr>
      <w:r>
        <w:rPr>
          <w:rFonts w:cstheme="minorHAnsi"/>
          <w:w w:val="105"/>
          <w:sz w:val="24"/>
        </w:rPr>
        <w:t xml:space="preserve">Opisy usług – usługą jest każda sprawa urzędowa, wynikająca z obowiązków nałożonych przez państwo i inicjowana przez obywatela. Opis usługi to przebieg postępowania administracyjnego, podatkowego lub sądowego. Ustandaryzowany opis usługi zawiera m.in. takie informacje jak: nazwę organu realizującego, opis kogo dotyczy procedura, wykaz potrzebnych dokumentów, termin załatwienia sprawy, wysokość należnej opłaty oraz sposób wnoszenia odwołań. Serwis obecnie udostępnia ok. 1,1 tys. opisów usług o zróżnicowanej </w:t>
      </w:r>
      <w:r>
        <w:rPr>
          <w:rFonts w:cstheme="minorHAnsi"/>
          <w:w w:val="105"/>
          <w:sz w:val="24"/>
        </w:rPr>
        <w:t xml:space="preserve">objętości </w:t>
      </w:r>
    </w:p>
    <w:p w14:paraId="3C797515" w14:textId="77777777" w:rsidR="004D3ED0" w:rsidRDefault="004124F9">
      <w:pPr>
        <w:pStyle w:val="Akapitzlist"/>
        <w:numPr>
          <w:ilvl w:val="0"/>
          <w:numId w:val="7"/>
        </w:numPr>
        <w:pBdr>
          <w:top w:val="nil"/>
          <w:left w:val="nil"/>
          <w:bottom w:val="nil"/>
          <w:right w:val="nil"/>
        </w:pBdr>
        <w:spacing w:after="0"/>
        <w:ind w:left="426"/>
        <w:rPr>
          <w:rFonts w:asciiTheme="minorHAnsi" w:hAnsiTheme="minorHAnsi" w:cstheme="minorHAnsi"/>
          <w:w w:val="105"/>
          <w:sz w:val="24"/>
        </w:rPr>
      </w:pPr>
      <w:r>
        <w:rPr>
          <w:rFonts w:cstheme="minorHAnsi"/>
          <w:w w:val="105"/>
          <w:sz w:val="24"/>
        </w:rPr>
        <w:t>Artykuły – teksty publicystyczne dotyczące aktualnych zagadnień z zakresu tematyki interesującej dla przedsiębiorców m.in. wprowadzanych zmian w obszarze istotnym dla prowadzących działalności gospodarczą. Serwis obecnie udostępnia ok. 500 artykułów</w:t>
      </w:r>
    </w:p>
    <w:p w14:paraId="3C797516" w14:textId="77777777" w:rsidR="004D3ED0" w:rsidRDefault="004124F9">
      <w:pPr>
        <w:pStyle w:val="Akapitzlist"/>
        <w:numPr>
          <w:ilvl w:val="0"/>
          <w:numId w:val="7"/>
        </w:numPr>
        <w:pBdr>
          <w:top w:val="nil"/>
          <w:left w:val="nil"/>
          <w:bottom w:val="nil"/>
          <w:right w:val="nil"/>
        </w:pBdr>
        <w:spacing w:after="0"/>
        <w:ind w:left="426"/>
        <w:rPr>
          <w:rFonts w:asciiTheme="minorHAnsi" w:hAnsiTheme="minorHAnsi" w:cstheme="minorHAnsi"/>
          <w:w w:val="105"/>
          <w:sz w:val="24"/>
        </w:rPr>
      </w:pPr>
      <w:r>
        <w:rPr>
          <w:rFonts w:cstheme="minorHAnsi"/>
          <w:w w:val="105"/>
          <w:sz w:val="24"/>
        </w:rPr>
        <w:t xml:space="preserve">E-usługi – sprawy urzędowe, które są możliwe do zrealizowania elektronicznie, poprzez portal Biznes.gov.pl. </w:t>
      </w:r>
    </w:p>
    <w:p w14:paraId="3C797517" w14:textId="77777777" w:rsidR="004D3ED0" w:rsidRDefault="004124F9">
      <w:pPr>
        <w:pStyle w:val="Akapitzlist"/>
        <w:numPr>
          <w:ilvl w:val="0"/>
          <w:numId w:val="7"/>
        </w:numPr>
        <w:pBdr>
          <w:top w:val="nil"/>
          <w:left w:val="nil"/>
          <w:bottom w:val="nil"/>
          <w:right w:val="nil"/>
        </w:pBdr>
        <w:spacing w:after="0"/>
        <w:ind w:left="426"/>
        <w:rPr>
          <w:rFonts w:asciiTheme="minorHAnsi" w:hAnsiTheme="minorHAnsi" w:cstheme="minorHAnsi"/>
          <w:sz w:val="24"/>
        </w:rPr>
      </w:pPr>
      <w:r>
        <w:rPr>
          <w:rFonts w:cstheme="minorHAnsi"/>
          <w:w w:val="105"/>
          <w:sz w:val="24"/>
        </w:rPr>
        <w:t>FAQ - krótkie i precyzyjne odpowiedzi na najczęściej zadawane przez użytkowników portalu pytania. Odpowiedzi zawierają również przekierowania do treści portalu Biznes.gov.pl, które pogłębiają interesujący czytającego temat. Serwis obecnie udostępnia ok. 96 takich odpowiedzi</w:t>
      </w:r>
    </w:p>
    <w:p w14:paraId="3C797518" w14:textId="77777777" w:rsidR="004D3ED0" w:rsidRDefault="004124F9">
      <w:pPr>
        <w:pStyle w:val="Akapitzlist"/>
        <w:numPr>
          <w:ilvl w:val="0"/>
          <w:numId w:val="7"/>
        </w:numPr>
        <w:pBdr>
          <w:top w:val="nil"/>
          <w:left w:val="nil"/>
          <w:bottom w:val="nil"/>
          <w:right w:val="nil"/>
        </w:pBdr>
        <w:spacing w:after="0"/>
        <w:ind w:left="426"/>
        <w:rPr>
          <w:rFonts w:asciiTheme="minorHAnsi" w:hAnsiTheme="minorHAnsi" w:cstheme="minorHAnsi"/>
          <w:sz w:val="24"/>
        </w:rPr>
      </w:pPr>
      <w:r>
        <w:rPr>
          <w:rFonts w:cstheme="minorHAnsi"/>
          <w:w w:val="105"/>
          <w:sz w:val="24"/>
        </w:rPr>
        <w:t>Wzory dokumentów, np. wnioski, formularze do pobrania opracowane przez właściwy dla danej usługi organ. Stanowią uzupełnienie opisów usług oraz e-usług. Serwis obecnie udostępnia ok. 3,5 tys. wzorów dokumentów</w:t>
      </w:r>
    </w:p>
    <w:p w14:paraId="3C797519" w14:textId="77777777" w:rsidR="004D3ED0" w:rsidRDefault="004124F9">
      <w:pPr>
        <w:pStyle w:val="Nagwek1"/>
        <w:spacing w:after="240"/>
      </w:pPr>
      <w:bookmarkStart w:id="5" w:name="_Toc153975841"/>
      <w:r>
        <w:t>Opis infrastruktury utrzymującej system</w:t>
      </w:r>
      <w:bookmarkEnd w:id="5"/>
    </w:p>
    <w:p w14:paraId="3C79751A" w14:textId="77777777" w:rsidR="004D3ED0" w:rsidRDefault="004124F9">
      <w:pPr>
        <w:rPr>
          <w:rFonts w:cstheme="minorHAnsi"/>
          <w:sz w:val="24"/>
        </w:rPr>
      </w:pPr>
      <w:r>
        <w:rPr>
          <w:rFonts w:cstheme="minorHAnsi"/>
          <w:sz w:val="24"/>
        </w:rPr>
        <w:t xml:space="preserve">W celu realizacji zadań Systemu został on zbudowany w oparciu o sprzęt serwerowy, sprzęt sieciowy zapewniający komunikację w ramach sieci LAN i WAN oraz realizujący ochronę </w:t>
      </w:r>
      <w:r>
        <w:rPr>
          <w:rFonts w:cstheme="minorHAnsi"/>
          <w:sz w:val="24"/>
        </w:rPr>
        <w:lastRenderedPageBreak/>
        <w:t xml:space="preserve">przed nieuprawnionym dostępem i atakami sieciowymi. Dostarczone zostały również systemy pomocnicze: </w:t>
      </w:r>
    </w:p>
    <w:p w14:paraId="3C79751B" w14:textId="77777777" w:rsidR="004D3ED0" w:rsidRDefault="004124F9">
      <w:pPr>
        <w:pStyle w:val="Akapitzlist"/>
        <w:numPr>
          <w:ilvl w:val="0"/>
          <w:numId w:val="3"/>
        </w:numPr>
        <w:pBdr>
          <w:top w:val="nil"/>
          <w:left w:val="nil"/>
          <w:bottom w:val="nil"/>
          <w:right w:val="nil"/>
        </w:pBdr>
        <w:suppressAutoHyphens w:val="0"/>
        <w:spacing w:before="60" w:after="0" w:line="276" w:lineRule="auto"/>
        <w:jc w:val="both"/>
        <w:textAlignment w:val="auto"/>
        <w:rPr>
          <w:rFonts w:asciiTheme="minorHAnsi" w:hAnsiTheme="minorHAnsi" w:cstheme="minorHAnsi"/>
          <w:sz w:val="24"/>
        </w:rPr>
      </w:pPr>
      <w:r>
        <w:rPr>
          <w:rFonts w:cstheme="minorHAnsi"/>
          <w:sz w:val="24"/>
        </w:rPr>
        <w:t>Zarządzanie wirtualizacją</w:t>
      </w:r>
    </w:p>
    <w:p w14:paraId="3C79751C" w14:textId="77777777" w:rsidR="004D3ED0" w:rsidRDefault="004124F9">
      <w:pPr>
        <w:pStyle w:val="Akapitzlist"/>
        <w:numPr>
          <w:ilvl w:val="0"/>
          <w:numId w:val="3"/>
        </w:numPr>
        <w:pBdr>
          <w:top w:val="nil"/>
          <w:left w:val="nil"/>
          <w:bottom w:val="nil"/>
          <w:right w:val="nil"/>
        </w:pBdr>
        <w:suppressAutoHyphens w:val="0"/>
        <w:spacing w:before="60" w:after="0" w:line="276" w:lineRule="auto"/>
        <w:jc w:val="both"/>
        <w:textAlignment w:val="auto"/>
        <w:rPr>
          <w:rFonts w:asciiTheme="minorHAnsi" w:hAnsiTheme="minorHAnsi" w:cstheme="minorHAnsi"/>
          <w:sz w:val="24"/>
        </w:rPr>
      </w:pPr>
      <w:r>
        <w:rPr>
          <w:rFonts w:cstheme="minorHAnsi"/>
          <w:sz w:val="24"/>
        </w:rPr>
        <w:t>Kopii bezpieczeństwa</w:t>
      </w:r>
    </w:p>
    <w:p w14:paraId="3C79751D" w14:textId="77777777" w:rsidR="004D3ED0" w:rsidRDefault="004124F9">
      <w:pPr>
        <w:pStyle w:val="Akapitzlist"/>
        <w:numPr>
          <w:ilvl w:val="0"/>
          <w:numId w:val="3"/>
        </w:numPr>
        <w:pBdr>
          <w:top w:val="nil"/>
          <w:left w:val="nil"/>
          <w:bottom w:val="nil"/>
          <w:right w:val="nil"/>
        </w:pBdr>
        <w:suppressAutoHyphens w:val="0"/>
        <w:spacing w:before="60" w:line="276" w:lineRule="auto"/>
        <w:jc w:val="both"/>
        <w:textAlignment w:val="auto"/>
        <w:rPr>
          <w:rFonts w:asciiTheme="minorHAnsi" w:hAnsiTheme="minorHAnsi" w:cstheme="minorHAnsi"/>
          <w:sz w:val="24"/>
        </w:rPr>
      </w:pPr>
      <w:r>
        <w:rPr>
          <w:rFonts w:cstheme="minorHAnsi"/>
          <w:sz w:val="24"/>
        </w:rPr>
        <w:t>Monitorowania i administracji</w:t>
      </w:r>
    </w:p>
    <w:p w14:paraId="3C79751E" w14:textId="77777777" w:rsidR="004D3ED0" w:rsidRDefault="004124F9">
      <w:pPr>
        <w:rPr>
          <w:sz w:val="24"/>
          <w:szCs w:val="24"/>
        </w:rPr>
      </w:pPr>
      <w:r>
        <w:rPr>
          <w:sz w:val="24"/>
          <w:szCs w:val="24"/>
        </w:rPr>
        <w:t xml:space="preserve">Sprzęt został zainstalowany w serwerowni Departamentu Gospodarki Cyfrowej. Rysunek poniżej przedstawia schemat blokowy topologii Systemu. </w:t>
      </w:r>
    </w:p>
    <w:p w14:paraId="3C79751F" w14:textId="77777777" w:rsidR="004D3ED0" w:rsidRDefault="004124F9">
      <w:pPr>
        <w:rPr>
          <w:rFonts w:cstheme="minorHAnsi"/>
          <w:sz w:val="24"/>
        </w:rPr>
      </w:pPr>
      <w:r>
        <w:rPr>
          <w:rFonts w:cstheme="minorHAnsi"/>
          <w:sz w:val="24"/>
        </w:rPr>
        <w:t>Diagram poniżej przedstawia schemat ideowy sprzętu sieciowego oraz instancji fizycznych serwerów. Konfiguracja urządzeń dostępowych Firewall, UTM i WAF pracujących w klastrach HA oparto na rozwiązaniu VDOM zapewniającemu odseparowanie usług.</w:t>
      </w:r>
    </w:p>
    <w:p w14:paraId="3C797520" w14:textId="77777777" w:rsidR="004D3ED0" w:rsidRDefault="004124F9">
      <w:pPr>
        <w:pStyle w:val="docdata"/>
        <w:keepNext/>
        <w:spacing w:beforeAutospacing="0" w:after="0" w:afterAutospacing="0"/>
      </w:pPr>
      <w:r>
        <w:rPr>
          <w:noProof/>
        </w:rPr>
        <w:lastRenderedPageBreak/>
        <w:drawing>
          <wp:inline distT="0" distB="0" distL="0" distR="0" wp14:anchorId="3C79761A" wp14:editId="3C79761B">
            <wp:extent cx="4909820" cy="6524625"/>
            <wp:effectExtent l="0" t="0" r="0" b="0"/>
            <wp:docPr id="1" name="Obraz 10" descr="C:\Users\k.laskowski\AppData\Local\Microsoft\Windows\INetCache\Content.MSO\26EFA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0" descr="C:\Users\k.laskowski\AppData\Local\Microsoft\Windows\INetCache\Content.MSO\26EFAB0.tmp"/>
                    <pic:cNvPicPr>
                      <a:picLocks noChangeAspect="1" noChangeArrowheads="1"/>
                    </pic:cNvPicPr>
                  </pic:nvPicPr>
                  <pic:blipFill>
                    <a:blip r:embed="rId12"/>
                    <a:stretch>
                      <a:fillRect/>
                    </a:stretch>
                  </pic:blipFill>
                  <pic:spPr bwMode="auto">
                    <a:xfrm>
                      <a:off x="0" y="0"/>
                      <a:ext cx="4909820" cy="6524625"/>
                    </a:xfrm>
                    <a:prstGeom prst="rect">
                      <a:avLst/>
                    </a:prstGeom>
                  </pic:spPr>
                </pic:pic>
              </a:graphicData>
            </a:graphic>
          </wp:inline>
        </w:drawing>
      </w:r>
    </w:p>
    <w:p w14:paraId="3C797521" w14:textId="77777777" w:rsidR="004D3ED0" w:rsidRDefault="004124F9">
      <w:pPr>
        <w:pStyle w:val="Legenda"/>
      </w:pPr>
      <w:bookmarkStart w:id="6" w:name="_Toc156553655"/>
      <w:r>
        <w:t xml:space="preserve">Rysunek </w:t>
      </w:r>
      <w:r>
        <w:fldChar w:fldCharType="begin"/>
      </w:r>
      <w:r>
        <w:instrText xml:space="preserve"> SEQ Rysunek \* ARABIC </w:instrText>
      </w:r>
      <w:r>
        <w:fldChar w:fldCharType="separate"/>
      </w:r>
      <w:r>
        <w:t>1</w:t>
      </w:r>
      <w:r>
        <w:fldChar w:fldCharType="end"/>
      </w:r>
      <w:r>
        <w:t xml:space="preserve">  Schemat Infrastruktury sprzętowej w ośrodku podstawowym</w:t>
      </w:r>
      <w:bookmarkEnd w:id="6"/>
    </w:p>
    <w:p w14:paraId="3C797522" w14:textId="77777777" w:rsidR="004D3ED0" w:rsidRDefault="004D3ED0">
      <w:pPr>
        <w:rPr>
          <w:rFonts w:ascii="Times New Roman" w:hAnsi="Times New Roman" w:cs="Times New Roman"/>
        </w:rPr>
      </w:pPr>
    </w:p>
    <w:p w14:paraId="3C797523" w14:textId="77777777" w:rsidR="004D3ED0" w:rsidRDefault="004124F9">
      <w:pPr>
        <w:rPr>
          <w:rFonts w:cstheme="minorHAnsi"/>
          <w:sz w:val="24"/>
        </w:rPr>
      </w:pPr>
      <w:r>
        <w:rPr>
          <w:rFonts w:cstheme="minorHAnsi"/>
          <w:sz w:val="24"/>
        </w:rPr>
        <w:t xml:space="preserve">Poniżej został zaprezentowany schemat poglądowy topologii infrastruktury sprzętowej Systemu w ośrodku podstawowym Ministerstwa.  </w:t>
      </w:r>
    </w:p>
    <w:p w14:paraId="3C797524" w14:textId="77777777" w:rsidR="004D3ED0" w:rsidRDefault="004D3ED0">
      <w:pPr>
        <w:rPr>
          <w:rFonts w:ascii="Times New Roman" w:hAnsi="Times New Roman" w:cs="Times New Roman"/>
        </w:rPr>
      </w:pPr>
    </w:p>
    <w:p w14:paraId="3C797525" w14:textId="1B4F5ABF" w:rsidR="004D3ED0" w:rsidRDefault="004124F9">
      <w:pPr>
        <w:keepNext/>
      </w:pPr>
      <w:r>
        <w:lastRenderedPageBreak/>
        <w:pict w14:anchorId="3C79761C">
          <v:shapetype id="_x0000_tole_rId3" o:spid="_x0000_m102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noProof/>
        </w:rPr>
        <w:drawing>
          <wp:inline distT="0" distB="0" distL="0" distR="0" wp14:anchorId="3C79761D" wp14:editId="47F4F45C">
            <wp:extent cx="5780405" cy="6017260"/>
            <wp:effectExtent l="0" t="0" r="0" b="0"/>
            <wp:docPr id="1333982150" name="ole_rI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e_rId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0405" cy="6017260"/>
                    </a:xfrm>
                    <a:prstGeom prst="rect">
                      <a:avLst/>
                    </a:prstGeom>
                    <a:noFill/>
                    <a:ln>
                      <a:noFill/>
                    </a:ln>
                  </pic:spPr>
                </pic:pic>
              </a:graphicData>
            </a:graphic>
          </wp:inline>
        </w:drawing>
      </w:r>
    </w:p>
    <w:p w14:paraId="3C797526" w14:textId="77777777" w:rsidR="004D3ED0" w:rsidRDefault="004124F9">
      <w:pPr>
        <w:pStyle w:val="Legenda"/>
      </w:pPr>
      <w:bookmarkStart w:id="7" w:name="_Toc156553656"/>
      <w:r>
        <w:t xml:space="preserve">Rysunek </w:t>
      </w:r>
      <w:r>
        <w:fldChar w:fldCharType="begin"/>
      </w:r>
      <w:r>
        <w:instrText xml:space="preserve"> SEQ Rysunek \* ARABIC </w:instrText>
      </w:r>
      <w:r>
        <w:fldChar w:fldCharType="separate"/>
      </w:r>
      <w:r>
        <w:t>2</w:t>
      </w:r>
      <w:r>
        <w:fldChar w:fldCharType="end"/>
      </w:r>
      <w:r>
        <w:t xml:space="preserve"> Schemat poglądowy topologii infrastruktury sprzętowej Systemu</w:t>
      </w:r>
      <w:bookmarkEnd w:id="7"/>
    </w:p>
    <w:p w14:paraId="3C797527" w14:textId="77777777" w:rsidR="004D3ED0" w:rsidRDefault="004124F9">
      <w:pPr>
        <w:pStyle w:val="Nagwek2"/>
      </w:pPr>
      <w:bookmarkStart w:id="8" w:name="_Toc153975842"/>
      <w:r>
        <w:t>Opis środowiska wirtualizacyjnego</w:t>
      </w:r>
      <w:bookmarkEnd w:id="8"/>
    </w:p>
    <w:p w14:paraId="3C797528" w14:textId="77777777" w:rsidR="004D3ED0" w:rsidRDefault="004124F9">
      <w:pPr>
        <w:rPr>
          <w:b/>
          <w:bCs/>
          <w:sz w:val="24"/>
          <w:szCs w:val="24"/>
        </w:rPr>
      </w:pPr>
      <w:r>
        <w:rPr>
          <w:sz w:val="24"/>
          <w:szCs w:val="24"/>
        </w:rPr>
        <w:t xml:space="preserve">W celu zapewnienia bezpieczeństwa oraz w celu przeprowadzania testów przedwdrożeniowych środowisko procesowe zostało podzielone na część produkcyjną i część testową. Obie części zawierają takie same serwery świadczące identyczne usługi. </w:t>
      </w:r>
    </w:p>
    <w:p w14:paraId="3C797529" w14:textId="77777777" w:rsidR="004D3ED0" w:rsidRDefault="004124F9">
      <w:pPr>
        <w:rPr>
          <w:sz w:val="24"/>
          <w:szCs w:val="24"/>
        </w:rPr>
      </w:pPr>
      <w:r>
        <w:rPr>
          <w:sz w:val="24"/>
          <w:szCs w:val="24"/>
        </w:rPr>
        <w:t>W każdej części wydzielone zostały dodatkowe grupy serwerów realizujące określone usługi:</w:t>
      </w:r>
    </w:p>
    <w:p w14:paraId="3C79752A" w14:textId="77777777" w:rsidR="004D3ED0" w:rsidRDefault="004124F9">
      <w:pPr>
        <w:pStyle w:val="Akapitzlist"/>
        <w:numPr>
          <w:ilvl w:val="0"/>
          <w:numId w:val="2"/>
        </w:numPr>
        <w:pBdr>
          <w:top w:val="nil"/>
          <w:left w:val="nil"/>
          <w:bottom w:val="nil"/>
          <w:right w:val="nil"/>
        </w:pBdr>
        <w:spacing w:after="0"/>
        <w:rPr>
          <w:rFonts w:asciiTheme="minorHAnsi" w:hAnsiTheme="minorHAnsi" w:cstheme="minorHAnsi"/>
          <w:b/>
          <w:bCs/>
          <w:sz w:val="24"/>
        </w:rPr>
      </w:pPr>
      <w:r>
        <w:rPr>
          <w:rFonts w:cstheme="minorHAnsi"/>
          <w:sz w:val="24"/>
        </w:rPr>
        <w:t>Serwery świadczące usługi www</w:t>
      </w:r>
    </w:p>
    <w:p w14:paraId="3C79752B" w14:textId="77777777" w:rsidR="004D3ED0" w:rsidRDefault="004124F9">
      <w:pPr>
        <w:pStyle w:val="Akapitzlist"/>
        <w:numPr>
          <w:ilvl w:val="0"/>
          <w:numId w:val="2"/>
        </w:numPr>
        <w:pBdr>
          <w:top w:val="nil"/>
          <w:left w:val="nil"/>
          <w:bottom w:val="nil"/>
          <w:right w:val="nil"/>
        </w:pBdr>
        <w:spacing w:after="0"/>
        <w:rPr>
          <w:rFonts w:asciiTheme="minorHAnsi" w:hAnsiTheme="minorHAnsi" w:cstheme="minorHAnsi"/>
          <w:b/>
          <w:bCs/>
          <w:sz w:val="24"/>
        </w:rPr>
      </w:pPr>
      <w:r>
        <w:rPr>
          <w:rFonts w:cstheme="minorHAnsi"/>
          <w:sz w:val="24"/>
        </w:rPr>
        <w:t xml:space="preserve">Serwery udostępniające bazy danych </w:t>
      </w:r>
    </w:p>
    <w:p w14:paraId="3C79752C" w14:textId="77777777" w:rsidR="004D3ED0" w:rsidRDefault="004124F9">
      <w:pPr>
        <w:pStyle w:val="Akapitzlist"/>
        <w:numPr>
          <w:ilvl w:val="0"/>
          <w:numId w:val="2"/>
        </w:numPr>
        <w:pBdr>
          <w:top w:val="nil"/>
          <w:left w:val="nil"/>
          <w:bottom w:val="nil"/>
          <w:right w:val="nil"/>
        </w:pBdr>
        <w:spacing w:after="0"/>
        <w:rPr>
          <w:rFonts w:asciiTheme="minorHAnsi" w:hAnsiTheme="minorHAnsi" w:cstheme="minorHAnsi"/>
          <w:b/>
          <w:bCs/>
          <w:sz w:val="24"/>
        </w:rPr>
      </w:pPr>
      <w:r>
        <w:rPr>
          <w:rFonts w:cstheme="minorHAnsi"/>
          <w:sz w:val="24"/>
        </w:rPr>
        <w:t>Serwery usług wewnętrznych i integracyjnych</w:t>
      </w:r>
    </w:p>
    <w:p w14:paraId="3C79752D" w14:textId="77777777" w:rsidR="004D3ED0" w:rsidRDefault="004124F9">
      <w:pPr>
        <w:pStyle w:val="Akapitzlist"/>
        <w:numPr>
          <w:ilvl w:val="0"/>
          <w:numId w:val="2"/>
        </w:numPr>
        <w:pBdr>
          <w:top w:val="nil"/>
          <w:left w:val="nil"/>
          <w:bottom w:val="nil"/>
          <w:right w:val="nil"/>
        </w:pBdr>
        <w:rPr>
          <w:rFonts w:asciiTheme="minorHAnsi" w:hAnsiTheme="minorHAnsi" w:cstheme="minorHAnsi"/>
          <w:b/>
          <w:bCs/>
          <w:sz w:val="24"/>
        </w:rPr>
      </w:pPr>
      <w:r>
        <w:rPr>
          <w:rFonts w:cstheme="minorHAnsi"/>
          <w:sz w:val="24"/>
        </w:rPr>
        <w:t>Serwery środowiska PaaS (Kubernetes)</w:t>
      </w:r>
    </w:p>
    <w:p w14:paraId="3C79752E" w14:textId="77777777" w:rsidR="004D3ED0" w:rsidRDefault="004124F9">
      <w:pPr>
        <w:rPr>
          <w:b/>
          <w:bCs/>
          <w:sz w:val="24"/>
          <w:szCs w:val="24"/>
        </w:rPr>
      </w:pPr>
      <w:r>
        <w:rPr>
          <w:sz w:val="24"/>
          <w:szCs w:val="24"/>
        </w:rPr>
        <w:lastRenderedPageBreak/>
        <w:t xml:space="preserve">Dodatkowo wydzielone zostały serwery realizujące usługi wsparcia dla Systemu: serwer poczty elektronicznej, serwer monitoringu i serwer kopii. </w:t>
      </w:r>
    </w:p>
    <w:p w14:paraId="3C79752F" w14:textId="77777777" w:rsidR="004D3ED0" w:rsidRDefault="004124F9">
      <w:pPr>
        <w:rPr>
          <w:rFonts w:cstheme="minorHAnsi"/>
          <w:b/>
          <w:bCs/>
          <w:sz w:val="24"/>
        </w:rPr>
      </w:pPr>
      <w:r>
        <w:rPr>
          <w:rFonts w:cstheme="minorHAnsi"/>
          <w:sz w:val="24"/>
        </w:rPr>
        <w:t>Infrastruktura sieci LAN została oparta na zaimplementowanej przez podwykonawcę infrastrukturze fizycznej. Serwery części produkcyjnej i testowej oraz serwery usług wsparcia została odpowiednio odseparowane logicznie przez zastosowanie technologii VLAN (wirtualnych sieci lokalnych).</w:t>
      </w:r>
    </w:p>
    <w:p w14:paraId="3C797530" w14:textId="77777777" w:rsidR="004D3ED0" w:rsidRDefault="004124F9">
      <w:pPr>
        <w:rPr>
          <w:rFonts w:cstheme="minorHAnsi"/>
          <w:sz w:val="24"/>
        </w:rPr>
      </w:pPr>
      <w:r>
        <w:rPr>
          <w:rFonts w:cstheme="minorHAnsi"/>
          <w:sz w:val="24"/>
        </w:rPr>
        <w:t xml:space="preserve">Środowisko systemu biznes.gov.pl w wersji testowej i produkcyjnej jest heterogeniczne. W chwili obecnej Zamawiający wdraża nowe środowisko PaaS – Kubernetes. Nowe środowisko jest wdrożone na środowisko testowe i w chwili obecnej trwa jego stabilizacja.  Środowiska produkcyjne i testowe nie mogą się komunikować poprzez adresy wewnętrzne. Środowisko testowe jest blokowane z sieci Internet. </w:t>
      </w:r>
    </w:p>
    <w:p w14:paraId="3C797531" w14:textId="77777777" w:rsidR="004D3ED0" w:rsidRDefault="004124F9">
      <w:pPr>
        <w:rPr>
          <w:rFonts w:ascii="Times New Roman" w:hAnsi="Times New Roman" w:cs="Times New Roman"/>
        </w:rPr>
      </w:pPr>
      <w:r>
        <w:br w:type="page"/>
      </w:r>
    </w:p>
    <w:p w14:paraId="3C797532" w14:textId="77777777" w:rsidR="004D3ED0" w:rsidRDefault="004124F9">
      <w:pPr>
        <w:pStyle w:val="Nagwek2"/>
        <w:spacing w:before="0"/>
      </w:pPr>
      <w:bookmarkStart w:id="9" w:name="_Toc153975843"/>
      <w:r>
        <w:lastRenderedPageBreak/>
        <w:t>Opis modułów Systemu</w:t>
      </w:r>
      <w:bookmarkEnd w:id="9"/>
    </w:p>
    <w:p w14:paraId="3C797533" w14:textId="77777777" w:rsidR="004D3ED0" w:rsidRDefault="004124F9">
      <w:r>
        <w:t>System Biznes.gov.pl jest zbiorem kilku mniejszych modułów zintegrowanych z różnymi systemami na zewnątrz. Poniżej zestawienie modułów systemu Biznes.gov.pl:</w:t>
      </w:r>
    </w:p>
    <w:tbl>
      <w:tblPr>
        <w:tblW w:w="9639" w:type="dxa"/>
        <w:jc w:val="center"/>
        <w:tblLayout w:type="fixed"/>
        <w:tblLook w:val="04A0" w:firstRow="1" w:lastRow="0" w:firstColumn="1" w:lastColumn="0" w:noHBand="0" w:noVBand="1"/>
      </w:tblPr>
      <w:tblGrid>
        <w:gridCol w:w="2121"/>
        <w:gridCol w:w="7518"/>
      </w:tblGrid>
      <w:tr w:rsidR="004D3ED0" w14:paraId="3C797536" w14:textId="77777777">
        <w:trPr>
          <w:jc w:val="center"/>
        </w:trPr>
        <w:tc>
          <w:tcPr>
            <w:tcW w:w="2121" w:type="dxa"/>
            <w:tcBorders>
              <w:top w:val="single" w:sz="4" w:space="0" w:color="000000"/>
              <w:left w:val="single" w:sz="4" w:space="0" w:color="000000"/>
              <w:bottom w:val="single" w:sz="4" w:space="0" w:color="000000"/>
              <w:right w:val="single" w:sz="4" w:space="0" w:color="000000"/>
            </w:tcBorders>
            <w:shd w:val="clear" w:color="auto" w:fill="E7E6E6"/>
          </w:tcPr>
          <w:p w14:paraId="3C797534" w14:textId="77777777" w:rsidR="004D3ED0" w:rsidRDefault="004124F9">
            <w:pPr>
              <w:spacing w:line="254" w:lineRule="auto"/>
              <w:jc w:val="center"/>
              <w:rPr>
                <w:b/>
                <w:bCs/>
              </w:rPr>
            </w:pPr>
            <w:r>
              <w:rPr>
                <w:b/>
                <w:bCs/>
              </w:rPr>
              <w:t>Moduł</w:t>
            </w:r>
          </w:p>
        </w:tc>
        <w:tc>
          <w:tcPr>
            <w:tcW w:w="7517" w:type="dxa"/>
            <w:tcBorders>
              <w:top w:val="single" w:sz="4" w:space="0" w:color="000000"/>
              <w:left w:val="single" w:sz="4" w:space="0" w:color="000000"/>
              <w:bottom w:val="single" w:sz="4" w:space="0" w:color="000000"/>
              <w:right w:val="single" w:sz="4" w:space="0" w:color="000000"/>
            </w:tcBorders>
            <w:shd w:val="clear" w:color="auto" w:fill="E7E6E6"/>
          </w:tcPr>
          <w:p w14:paraId="3C797535" w14:textId="77777777" w:rsidR="004D3ED0" w:rsidRDefault="004124F9">
            <w:pPr>
              <w:spacing w:line="254" w:lineRule="auto"/>
              <w:jc w:val="center"/>
              <w:rPr>
                <w:b/>
                <w:bCs/>
              </w:rPr>
            </w:pPr>
            <w:r>
              <w:rPr>
                <w:b/>
                <w:bCs/>
              </w:rPr>
              <w:t>Przeznaczenie i integracje</w:t>
            </w:r>
          </w:p>
        </w:tc>
      </w:tr>
      <w:tr w:rsidR="004D3ED0" w14:paraId="3C79753A" w14:textId="77777777">
        <w:trPr>
          <w:jc w:val="center"/>
        </w:trPr>
        <w:tc>
          <w:tcPr>
            <w:tcW w:w="2121" w:type="dxa"/>
            <w:tcBorders>
              <w:top w:val="single" w:sz="4" w:space="0" w:color="000000"/>
              <w:left w:val="single" w:sz="4" w:space="0" w:color="000000"/>
              <w:bottom w:val="single" w:sz="4" w:space="0" w:color="000000"/>
              <w:right w:val="single" w:sz="4" w:space="0" w:color="000000"/>
            </w:tcBorders>
            <w:shd w:val="clear" w:color="auto" w:fill="auto"/>
          </w:tcPr>
          <w:p w14:paraId="3C797537" w14:textId="77777777" w:rsidR="004D3ED0" w:rsidRDefault="004124F9">
            <w:pPr>
              <w:spacing w:line="254" w:lineRule="auto"/>
              <w:rPr>
                <w:bCs/>
              </w:rPr>
            </w:pPr>
            <w:hyperlink r:id="rId14">
              <w:r>
                <w:rPr>
                  <w:rStyle w:val="Hipercze"/>
                </w:rPr>
                <w:t>Logowanie i rejestracja (SSO)</w:t>
              </w:r>
            </w:hyperlink>
          </w:p>
        </w:tc>
        <w:tc>
          <w:tcPr>
            <w:tcW w:w="7517" w:type="dxa"/>
            <w:tcBorders>
              <w:top w:val="single" w:sz="4" w:space="0" w:color="000000"/>
              <w:left w:val="single" w:sz="4" w:space="0" w:color="000000"/>
              <w:bottom w:val="single" w:sz="4" w:space="0" w:color="000000"/>
              <w:right w:val="single" w:sz="4" w:space="0" w:color="000000"/>
            </w:tcBorders>
            <w:shd w:val="clear" w:color="auto" w:fill="auto"/>
          </w:tcPr>
          <w:p w14:paraId="3C797538" w14:textId="77777777" w:rsidR="004D3ED0" w:rsidRDefault="004124F9">
            <w:pPr>
              <w:rPr>
                <w:rFonts w:eastAsia="Arial" w:cs="Arial"/>
              </w:rPr>
            </w:pPr>
            <w:r>
              <w:rPr>
                <w:rFonts w:eastAsia="Arial" w:cs="Arial"/>
                <w:u w:val="single"/>
              </w:rPr>
              <w:t>Przeznaczenie:</w:t>
            </w:r>
            <w:r>
              <w:rPr>
                <w:rFonts w:eastAsia="Arial" w:cs="Arial"/>
              </w:rPr>
              <w:t xml:space="preserve"> autentykacja użytkowników na potrzeby wszystkich podsystemów Biznes.gov.pl. Służy do potwierdzania tożsamości z zewnętrznego IdP (Węzeł Krajowy) oraz użytkowników bezpośrednio zarejestrowanych w systemie Biznes.gov.pl. Wykorzystuje mechanizmy uwierzytelniania SSO i kontroli dostępu użytkowników systemu w oparciu o serwer uwierzytelniania i autoryzacji Keycloak (z obsługą protokołów SAML i OpenID). Jest dostawcą tożsamości dla modułów: Portal Informacyjny (z CMS), Zaplecze BW, Konto, eLF-Runtime, eLF-Konfig</w:t>
            </w:r>
            <w:r>
              <w:rPr>
                <w:rFonts w:eastAsia="Arial" w:cs="Arial"/>
              </w:rPr>
              <w:t>urator, Aplikacja e-Doręczenia, Aplikacja Formularz CEIDG-1, Akademia.</w:t>
            </w:r>
          </w:p>
          <w:p w14:paraId="3C797539" w14:textId="77777777" w:rsidR="004D3ED0" w:rsidRDefault="004124F9">
            <w:pPr>
              <w:rPr>
                <w:rFonts w:eastAsia="Arial" w:cs="Arial"/>
              </w:rPr>
            </w:pPr>
            <w:r>
              <w:rPr>
                <w:rFonts w:eastAsia="Arial" w:cs="Arial"/>
                <w:u w:val="single"/>
              </w:rPr>
              <w:t>Integracje:</w:t>
            </w:r>
            <w:r>
              <w:rPr>
                <w:rFonts w:eastAsia="Arial" w:cs="Arial"/>
              </w:rPr>
              <w:t xml:space="preserve"> wszystkie podsystemy Biznes.gov.pl i CEIDG wymagające autoryzacji użytkowników, system Węzeł Krajowy.</w:t>
            </w:r>
          </w:p>
        </w:tc>
      </w:tr>
      <w:tr w:rsidR="004D3ED0" w14:paraId="3C79753E" w14:textId="77777777">
        <w:trPr>
          <w:jc w:val="center"/>
        </w:trPr>
        <w:tc>
          <w:tcPr>
            <w:tcW w:w="2121" w:type="dxa"/>
            <w:tcBorders>
              <w:top w:val="single" w:sz="4" w:space="0" w:color="000000"/>
              <w:left w:val="single" w:sz="4" w:space="0" w:color="000000"/>
              <w:bottom w:val="single" w:sz="4" w:space="0" w:color="000000"/>
              <w:right w:val="single" w:sz="4" w:space="0" w:color="000000"/>
            </w:tcBorders>
          </w:tcPr>
          <w:p w14:paraId="3C79753B" w14:textId="77777777" w:rsidR="004D3ED0" w:rsidRDefault="004124F9">
            <w:pPr>
              <w:rPr>
                <w:rFonts w:eastAsia="Arial" w:cs="Arial"/>
              </w:rPr>
            </w:pPr>
            <w:hyperlink r:id="rId15">
              <w:r>
                <w:rPr>
                  <w:rStyle w:val="Hipercze"/>
                </w:rPr>
                <w:t>Portal informacyjny (z SMC)</w:t>
              </w:r>
            </w:hyperlink>
          </w:p>
        </w:tc>
        <w:tc>
          <w:tcPr>
            <w:tcW w:w="7517" w:type="dxa"/>
            <w:tcBorders>
              <w:top w:val="single" w:sz="4" w:space="0" w:color="000000"/>
              <w:left w:val="single" w:sz="4" w:space="0" w:color="000000"/>
              <w:bottom w:val="single" w:sz="4" w:space="0" w:color="000000"/>
              <w:right w:val="single" w:sz="4" w:space="0" w:color="000000"/>
            </w:tcBorders>
          </w:tcPr>
          <w:p w14:paraId="3C79753C" w14:textId="77777777" w:rsidR="004D3ED0" w:rsidRDefault="004124F9">
            <w:pPr>
              <w:jc w:val="both"/>
              <w:rPr>
                <w:rFonts w:eastAsia="Arial" w:cs="Arial"/>
              </w:rPr>
            </w:pPr>
            <w:r>
              <w:rPr>
                <w:rFonts w:eastAsia="Arial" w:cs="Arial"/>
                <w:u w:val="single"/>
              </w:rPr>
              <w:t>Przeznaczenie</w:t>
            </w:r>
            <w:r>
              <w:rPr>
                <w:u w:val="single"/>
              </w:rPr>
              <w:t>:</w:t>
            </w:r>
            <w:r>
              <w:t xml:space="preserve"> </w:t>
            </w:r>
            <w:r>
              <w:rPr>
                <w:rFonts w:eastAsia="Arial" w:cs="Arial"/>
              </w:rPr>
              <w:t>podstawowy interfejs udostępniania treści dla użytkowników Biznesgov.pl i CEIDG oraz umożliwia zarządzanie treściami. Pozwala na prezentację i zarządzanie treściami dotyczących opisów procedur administracyjnych, danych instytucji i artykułów dotyczących różnorodnych aspektów prowadzenia działalności gospodarczej (z tym usług CEIDG). Portal informacyjny zawiera katalog e-usług udostępnianych w serwisie i jest punktem wejścia do ich wykonania. W ramach portalu informacyjnego zostało zaimplementowanych szere</w:t>
            </w:r>
            <w:r>
              <w:rPr>
                <w:rFonts w:eastAsia="Arial" w:cs="Arial"/>
              </w:rPr>
              <w:t>g funkcjonalności: wielojęzyczność, workflow/SMC wspierający proces tworzenia treści, mechanizmy archiwizacji oraz mechanizmy: zbierania opinii użytkowników, społecznościowe zapewniające współpracę użytkowników portalu.</w:t>
            </w:r>
          </w:p>
          <w:p w14:paraId="3C79753D" w14:textId="77777777" w:rsidR="004D3ED0" w:rsidRDefault="004124F9">
            <w:pPr>
              <w:jc w:val="both"/>
              <w:rPr>
                <w:rFonts w:eastAsia="Arial" w:cs="Arial"/>
              </w:rPr>
            </w:pPr>
            <w:r>
              <w:rPr>
                <w:rFonts w:eastAsia="Arial" w:cs="Arial"/>
                <w:u w:val="single"/>
              </w:rPr>
              <w:t>Integracje:</w:t>
            </w:r>
            <w:r>
              <w:rPr>
                <w:rFonts w:eastAsia="Arial" w:cs="Arial"/>
              </w:rPr>
              <w:t xml:space="preserve"> Baza Wiedzy, Logowanie, Centrum Pomocy</w:t>
            </w:r>
          </w:p>
        </w:tc>
      </w:tr>
      <w:tr w:rsidR="004D3ED0" w14:paraId="3C797542" w14:textId="77777777">
        <w:trPr>
          <w:jc w:val="center"/>
        </w:trPr>
        <w:tc>
          <w:tcPr>
            <w:tcW w:w="2121" w:type="dxa"/>
            <w:tcBorders>
              <w:top w:val="single" w:sz="4" w:space="0" w:color="000000"/>
              <w:left w:val="single" w:sz="4" w:space="0" w:color="000000"/>
              <w:bottom w:val="single" w:sz="4" w:space="0" w:color="000000"/>
              <w:right w:val="single" w:sz="4" w:space="0" w:color="000000"/>
            </w:tcBorders>
          </w:tcPr>
          <w:p w14:paraId="3C79753F" w14:textId="77777777" w:rsidR="004D3ED0" w:rsidRDefault="004124F9">
            <w:hyperlink r:id="rId16">
              <w:r>
                <w:rPr>
                  <w:rStyle w:val="Hipercze"/>
                </w:rPr>
                <w:t>Zaplecze Bazy Wiedzy</w:t>
              </w:r>
            </w:hyperlink>
          </w:p>
        </w:tc>
        <w:tc>
          <w:tcPr>
            <w:tcW w:w="7517" w:type="dxa"/>
            <w:tcBorders>
              <w:top w:val="single" w:sz="4" w:space="0" w:color="000000"/>
              <w:left w:val="single" w:sz="4" w:space="0" w:color="000000"/>
              <w:bottom w:val="single" w:sz="4" w:space="0" w:color="000000"/>
              <w:right w:val="single" w:sz="4" w:space="0" w:color="000000"/>
            </w:tcBorders>
          </w:tcPr>
          <w:p w14:paraId="3C797540" w14:textId="77777777" w:rsidR="004D3ED0" w:rsidRDefault="004124F9">
            <w:pPr>
              <w:jc w:val="both"/>
              <w:rPr>
                <w:rFonts w:eastAsia="Arial" w:cs="Arial"/>
              </w:rPr>
            </w:pPr>
            <w:r>
              <w:rPr>
                <w:rFonts w:eastAsia="Arial" w:cs="Arial"/>
                <w:u w:val="single"/>
              </w:rPr>
              <w:t>Przeznaczenie:</w:t>
            </w:r>
            <w:r>
              <w:rPr>
                <w:rFonts w:eastAsia="Arial" w:cs="Arial"/>
              </w:rPr>
              <w:t xml:space="preserve"> Udostępnianie zasobów informacyjnych (opisy usług, poradniki, dane instytucji, wzory dokumentów) dla wszystkich podstystemów oraz zewnętrznych systemów administracji. Zaplecze Bazy Wiedzy jest aplikacją webową do zarządzania treściami (implementuje procesy związane z tworzeniem, edycją, tłumaczeniem, zatwierdzaniem </w:t>
            </w:r>
            <w:r>
              <w:rPr>
                <w:rFonts w:eastAsia="Arial" w:cs="Arial"/>
              </w:rPr>
              <w:br/>
              <w:t>i publikacją treści oraz dostosowywaniem ich w ramach lokalnych regulacji urzędów. Urzędy administracji publicznej mogą samodzielnie dostarczać treści do Bazy Wiedzy wprowadzając i aktualizując</w:t>
            </w:r>
            <w:r>
              <w:rPr>
                <w:rFonts w:eastAsia="Arial" w:cs="Arial"/>
              </w:rPr>
              <w:t xml:space="preserve"> opisy usług i dane instytucji. Zaplecze pełni również rolę narzędzia administracyjnego dla systemu Biznes.gov.pl.</w:t>
            </w:r>
          </w:p>
          <w:p w14:paraId="3C797541" w14:textId="77777777" w:rsidR="004D3ED0" w:rsidRDefault="004124F9">
            <w:pPr>
              <w:jc w:val="both"/>
              <w:rPr>
                <w:rFonts w:eastAsia="Arial" w:cs="Arial"/>
              </w:rPr>
            </w:pPr>
            <w:r>
              <w:rPr>
                <w:rFonts w:eastAsia="Arial" w:cs="Arial"/>
                <w:u w:val="single"/>
              </w:rPr>
              <w:t>Integracje</w:t>
            </w:r>
            <w:r>
              <w:rPr>
                <w:rFonts w:eastAsia="Arial" w:cs="Arial"/>
              </w:rPr>
              <w:t>: (poprzez API Bazy Wiedzy): Portal Informacyjny, eLF – platforma udostępniania i konfiguracji usług transakcyjnych, Akademia, systemy zewnętrzne.</w:t>
            </w:r>
          </w:p>
        </w:tc>
      </w:tr>
      <w:tr w:rsidR="004D3ED0" w14:paraId="3C797545" w14:textId="77777777">
        <w:trPr>
          <w:jc w:val="center"/>
        </w:trPr>
        <w:tc>
          <w:tcPr>
            <w:tcW w:w="2121" w:type="dxa"/>
            <w:tcBorders>
              <w:top w:val="single" w:sz="4" w:space="0" w:color="000000"/>
              <w:left w:val="single" w:sz="4" w:space="0" w:color="000000"/>
              <w:bottom w:val="single" w:sz="4" w:space="0" w:color="000000"/>
              <w:right w:val="single" w:sz="4" w:space="0" w:color="000000"/>
            </w:tcBorders>
          </w:tcPr>
          <w:p w14:paraId="3C797543" w14:textId="77777777" w:rsidR="004D3ED0" w:rsidRDefault="004124F9">
            <w:r>
              <w:rPr>
                <w:rStyle w:val="InternetLink"/>
              </w:rPr>
              <w:t xml:space="preserve">Zaplecze Bazy </w:t>
            </w:r>
            <w:r>
              <w:rPr>
                <w:rStyle w:val="InternetLink"/>
              </w:rPr>
              <w:lastRenderedPageBreak/>
              <w:t>Wiedzy – Interfejs API BW</w:t>
            </w:r>
          </w:p>
        </w:tc>
        <w:tc>
          <w:tcPr>
            <w:tcW w:w="7517" w:type="dxa"/>
            <w:tcBorders>
              <w:top w:val="single" w:sz="4" w:space="0" w:color="000000"/>
              <w:left w:val="single" w:sz="4" w:space="0" w:color="000000"/>
              <w:bottom w:val="single" w:sz="4" w:space="0" w:color="000000"/>
              <w:right w:val="single" w:sz="4" w:space="0" w:color="000000"/>
            </w:tcBorders>
          </w:tcPr>
          <w:p w14:paraId="3C797544" w14:textId="77777777" w:rsidR="004D3ED0" w:rsidRDefault="004124F9">
            <w:pPr>
              <w:jc w:val="both"/>
              <w:rPr>
                <w:rFonts w:eastAsia="Arial" w:cs="Arial"/>
              </w:rPr>
            </w:pPr>
            <w:r>
              <w:rPr>
                <w:rFonts w:eastAsia="Arial" w:cs="Arial"/>
                <w:u w:val="single"/>
              </w:rPr>
              <w:lastRenderedPageBreak/>
              <w:t>Przeznaczenie:</w:t>
            </w:r>
            <w:r>
              <w:rPr>
                <w:rFonts w:eastAsia="Arial" w:cs="Arial"/>
              </w:rPr>
              <w:t xml:space="preserve"> wielofunkcyjny interfejs programistyczny zapewniający </w:t>
            </w:r>
            <w:r>
              <w:rPr>
                <w:rFonts w:eastAsia="Arial" w:cs="Arial"/>
              </w:rPr>
              <w:lastRenderedPageBreak/>
              <w:t>różnorodny i wydajny dostęp do danych przechowywanych w Bazie Wiedzy. Ze względu na konieczność zapewnienia kompatybilności wstecznej umożliwia użycie w wybranej wersji oprogramowania.</w:t>
            </w:r>
          </w:p>
        </w:tc>
      </w:tr>
      <w:tr w:rsidR="004D3ED0" w14:paraId="3C797549" w14:textId="77777777">
        <w:trPr>
          <w:jc w:val="center"/>
        </w:trPr>
        <w:tc>
          <w:tcPr>
            <w:tcW w:w="2121" w:type="dxa"/>
            <w:tcBorders>
              <w:top w:val="single" w:sz="4" w:space="0" w:color="000000"/>
              <w:left w:val="single" w:sz="4" w:space="0" w:color="000000"/>
              <w:bottom w:val="single" w:sz="4" w:space="0" w:color="000000"/>
              <w:right w:val="single" w:sz="4" w:space="0" w:color="000000"/>
            </w:tcBorders>
          </w:tcPr>
          <w:p w14:paraId="3C797546" w14:textId="77777777" w:rsidR="004D3ED0" w:rsidRDefault="004124F9">
            <w:pPr>
              <w:rPr>
                <w:rFonts w:eastAsia="Arial" w:cs="Arial"/>
              </w:rPr>
            </w:pPr>
            <w:hyperlink r:id="rId17">
              <w:r>
                <w:rPr>
                  <w:rStyle w:val="Hipercze"/>
                </w:rPr>
                <w:t>Konto użytkownika</w:t>
              </w:r>
            </w:hyperlink>
          </w:p>
        </w:tc>
        <w:tc>
          <w:tcPr>
            <w:tcW w:w="7517" w:type="dxa"/>
            <w:tcBorders>
              <w:top w:val="single" w:sz="4" w:space="0" w:color="000000"/>
              <w:left w:val="single" w:sz="4" w:space="0" w:color="000000"/>
              <w:bottom w:val="single" w:sz="4" w:space="0" w:color="000000"/>
              <w:right w:val="single" w:sz="4" w:space="0" w:color="000000"/>
            </w:tcBorders>
          </w:tcPr>
          <w:p w14:paraId="3C797547" w14:textId="77777777" w:rsidR="004D3ED0" w:rsidRDefault="004124F9">
            <w:pPr>
              <w:jc w:val="both"/>
              <w:rPr>
                <w:rFonts w:eastAsia="Arial" w:cs="Arial"/>
              </w:rPr>
            </w:pPr>
            <w:r>
              <w:rPr>
                <w:rFonts w:eastAsia="Arial" w:cs="Arial"/>
                <w:u w:val="single"/>
              </w:rPr>
              <w:t>Przeznaczenie:</w:t>
            </w:r>
            <w:r>
              <w:rPr>
                <w:rFonts w:eastAsia="Arial" w:cs="Arial"/>
              </w:rPr>
              <w:t xml:space="preserve"> prezentacja i zarządzanie danymi profilowymi użytkownika, prezentacja realizowanych przez użytkownika spraw administracyjnych, dostęp do powiązanych ze sprawą dokumentami (m.in. wnioski, załączniki, potwierdzenia UPO). W wyniku realizacji Projektu będzie pełnić rolę „Konta firmy”.</w:t>
            </w:r>
          </w:p>
          <w:p w14:paraId="3C797548" w14:textId="77777777" w:rsidR="004D3ED0" w:rsidRDefault="004124F9">
            <w:pPr>
              <w:jc w:val="both"/>
              <w:rPr>
                <w:rFonts w:eastAsia="Arial" w:cs="Arial"/>
              </w:rPr>
            </w:pPr>
            <w:r>
              <w:rPr>
                <w:rFonts w:eastAsia="Arial" w:cs="Arial"/>
                <w:u w:val="single"/>
              </w:rPr>
              <w:t>Integracje:</w:t>
            </w:r>
            <w:r>
              <w:rPr>
                <w:rFonts w:eastAsia="Arial" w:cs="Arial"/>
              </w:rPr>
              <w:t xml:space="preserve"> Logowanie, eLF – platforma udostępniania usług.</w:t>
            </w:r>
          </w:p>
        </w:tc>
      </w:tr>
      <w:tr w:rsidR="004D3ED0" w14:paraId="3C797552" w14:textId="77777777">
        <w:trPr>
          <w:jc w:val="center"/>
        </w:trPr>
        <w:tc>
          <w:tcPr>
            <w:tcW w:w="2121" w:type="dxa"/>
            <w:tcBorders>
              <w:top w:val="single" w:sz="4" w:space="0" w:color="000000"/>
              <w:left w:val="single" w:sz="4" w:space="0" w:color="000000"/>
              <w:bottom w:val="single" w:sz="4" w:space="0" w:color="000000"/>
              <w:right w:val="single" w:sz="4" w:space="0" w:color="000000"/>
            </w:tcBorders>
          </w:tcPr>
          <w:p w14:paraId="3C79754A" w14:textId="77777777" w:rsidR="004D3ED0" w:rsidRDefault="004124F9">
            <w:pPr>
              <w:rPr>
                <w:color w:val="0070C0"/>
              </w:rPr>
            </w:pPr>
            <w:hyperlink r:id="rId18">
              <w:r>
                <w:rPr>
                  <w:rStyle w:val="Hipercze"/>
                </w:rPr>
                <w:t>Aplikacja e-Doręczenia</w:t>
              </w:r>
            </w:hyperlink>
          </w:p>
        </w:tc>
        <w:tc>
          <w:tcPr>
            <w:tcW w:w="7517" w:type="dxa"/>
            <w:tcBorders>
              <w:top w:val="single" w:sz="4" w:space="0" w:color="000000"/>
              <w:left w:val="single" w:sz="4" w:space="0" w:color="000000"/>
              <w:bottom w:val="single" w:sz="4" w:space="0" w:color="000000"/>
              <w:right w:val="single" w:sz="4" w:space="0" w:color="000000"/>
            </w:tcBorders>
          </w:tcPr>
          <w:p w14:paraId="3C79754B" w14:textId="77777777" w:rsidR="004D3ED0" w:rsidRDefault="004124F9">
            <w:pPr>
              <w:jc w:val="both"/>
              <w:rPr>
                <w:rFonts w:eastAsia="Arial" w:cs="Arial"/>
              </w:rPr>
            </w:pPr>
            <w:r>
              <w:rPr>
                <w:rFonts w:eastAsia="Arial" w:cs="Arial"/>
              </w:rPr>
              <w:t>Usługa świadczona przez operatora krajowego (Pocztę Polską) i będzie równoważna z wysyłką tradycyjną przesyłką poleconą.</w:t>
            </w:r>
          </w:p>
          <w:p w14:paraId="3C79754C" w14:textId="77777777" w:rsidR="004D3ED0" w:rsidRDefault="004124F9">
            <w:pPr>
              <w:jc w:val="both"/>
              <w:rPr>
                <w:rFonts w:eastAsia="Arial" w:cs="Arial"/>
              </w:rPr>
            </w:pPr>
            <w:r>
              <w:rPr>
                <w:rFonts w:eastAsia="Arial" w:cs="Arial"/>
              </w:rPr>
              <w:t>W ramach pierwszej wersji aplikacji e-Doręczeń użytkownik, czyli przedsiębiorca prowadzący jednoosobową działalność gospodarczą lub osoba reprezentująca podmiot wpisany do rejestru przedsiębiorców Krajowego Rejestru Sądowego, będzie mógł komunikować się z podmiotami publicznymi.</w:t>
            </w:r>
          </w:p>
          <w:p w14:paraId="3C79754D" w14:textId="77777777" w:rsidR="004D3ED0" w:rsidRDefault="004124F9">
            <w:pPr>
              <w:jc w:val="both"/>
              <w:rPr>
                <w:rFonts w:eastAsia="Arial" w:cs="Arial"/>
              </w:rPr>
            </w:pPr>
            <w:r>
              <w:rPr>
                <w:rFonts w:eastAsia="Arial" w:cs="Arial"/>
              </w:rPr>
              <w:t>Punktem startowym dal użytkownika będzie Dashboard – lista adresów do e-doręczeń dostępnych dla danej osoby. Użytkownik, po kliknięciu w wybrany adres zostanie przekierowany do wybranej skrzynki dostępnej w serwisie biznes.gov.pl lub gov.pl.</w:t>
            </w:r>
          </w:p>
          <w:p w14:paraId="3C79754E" w14:textId="77777777" w:rsidR="004D3ED0" w:rsidRDefault="004124F9">
            <w:pPr>
              <w:jc w:val="both"/>
              <w:rPr>
                <w:rFonts w:eastAsia="Arial" w:cs="Arial"/>
              </w:rPr>
            </w:pPr>
            <w:r>
              <w:rPr>
                <w:rFonts w:eastAsia="Arial" w:cs="Arial"/>
              </w:rPr>
              <w:t>Aplikacja e-Doręczeń, w zależności od uprawnień posiadanych przez jej użytkownika, będzie umożliwiała odbieranie, wysyłkę, tworzenie oraz edycję wiadomości. Do wiadomości użytkownik będzie mógł dołączyć załączniki. W szczegółach wiadomości wysyłanej znajdować się będzie dokument potwierdzający wysłanie wiadomości oraz jej odebranie przez adresata – dowód wysłania i odebrania wiadomości.</w:t>
            </w:r>
          </w:p>
          <w:p w14:paraId="3C79754F" w14:textId="77777777" w:rsidR="004D3ED0" w:rsidRDefault="004124F9">
            <w:pPr>
              <w:jc w:val="both"/>
              <w:rPr>
                <w:rFonts w:eastAsia="Arial" w:cs="Arial"/>
              </w:rPr>
            </w:pPr>
            <w:r>
              <w:rPr>
                <w:rFonts w:eastAsia="Arial" w:cs="Arial"/>
              </w:rPr>
              <w:t xml:space="preserve">Za pomocą aplikacji, osoby o uprawnieniach administratora będą mogły aktywować adres do </w:t>
            </w:r>
            <w:r>
              <w:rPr>
                <w:rFonts w:eastAsia="Arial" w:cs="Arial"/>
              </w:rPr>
              <w:t>e-doręczeń, przejść do modułu uprawnień, w celu utworzenia zaproszeń do skrzynek dla użytkowników o niższych uprawnieniach oraz zmienić podany podczas aktywacji adres e-mail, na który przychodzą powiadomienia w kontekście danej skrzynki. Osoby o niższych uprawnieniach, będą w pierwszym kroku potwierdzać swoje uprawnienia do aplikacji.</w:t>
            </w:r>
          </w:p>
          <w:p w14:paraId="3C797550" w14:textId="77777777" w:rsidR="004D3ED0" w:rsidRDefault="004124F9">
            <w:pPr>
              <w:jc w:val="both"/>
              <w:rPr>
                <w:rFonts w:eastAsia="Arial" w:cs="Arial"/>
              </w:rPr>
            </w:pPr>
            <w:r>
              <w:rPr>
                <w:rFonts w:eastAsia="Arial" w:cs="Arial"/>
                <w:u w:val="single"/>
              </w:rPr>
              <w:t>Integracje:</w:t>
            </w:r>
            <w:r>
              <w:rPr>
                <w:rFonts w:eastAsia="Arial" w:cs="Arial"/>
              </w:rPr>
              <w:t xml:space="preserve"> Rozwiązanie będzie oparte o integrację z User Agent API (wiadomości, ustawienia), Search Engine API (wyszukiwarka adresów), Permission Management API (obsługa zaproszenia), BAE API (aktywacja adresu), Discovery API (dashboard) oraz GUI Modułu Uprawnień.</w:t>
            </w:r>
          </w:p>
          <w:p w14:paraId="3C797551" w14:textId="77777777" w:rsidR="004D3ED0" w:rsidRDefault="004D3ED0">
            <w:pPr>
              <w:jc w:val="both"/>
              <w:rPr>
                <w:rFonts w:eastAsia="Arial" w:cs="Arial"/>
              </w:rPr>
            </w:pPr>
          </w:p>
        </w:tc>
      </w:tr>
      <w:tr w:rsidR="004D3ED0" w14:paraId="3C797556" w14:textId="77777777">
        <w:trPr>
          <w:jc w:val="center"/>
        </w:trPr>
        <w:tc>
          <w:tcPr>
            <w:tcW w:w="2121" w:type="dxa"/>
            <w:tcBorders>
              <w:top w:val="single" w:sz="4" w:space="0" w:color="000000"/>
              <w:left w:val="single" w:sz="4" w:space="0" w:color="000000"/>
              <w:bottom w:val="single" w:sz="4" w:space="0" w:color="000000"/>
              <w:right w:val="single" w:sz="4" w:space="0" w:color="000000"/>
            </w:tcBorders>
          </w:tcPr>
          <w:p w14:paraId="3C797553" w14:textId="77777777" w:rsidR="004D3ED0" w:rsidRDefault="004124F9">
            <w:pPr>
              <w:rPr>
                <w:rFonts w:eastAsia="Arial" w:cs="Arial"/>
              </w:rPr>
            </w:pPr>
            <w:hyperlink r:id="rId19">
              <w:r>
                <w:rPr>
                  <w:rStyle w:val="Hipercze"/>
                </w:rPr>
                <w:t>eLF - Runtime</w:t>
              </w:r>
            </w:hyperlink>
          </w:p>
        </w:tc>
        <w:tc>
          <w:tcPr>
            <w:tcW w:w="7517" w:type="dxa"/>
            <w:tcBorders>
              <w:top w:val="single" w:sz="4" w:space="0" w:color="000000"/>
              <w:left w:val="single" w:sz="4" w:space="0" w:color="000000"/>
              <w:bottom w:val="single" w:sz="4" w:space="0" w:color="000000"/>
              <w:right w:val="single" w:sz="4" w:space="0" w:color="000000"/>
            </w:tcBorders>
          </w:tcPr>
          <w:p w14:paraId="3C797554" w14:textId="77777777" w:rsidR="004D3ED0" w:rsidRDefault="004124F9">
            <w:pPr>
              <w:jc w:val="both"/>
              <w:rPr>
                <w:rFonts w:eastAsia="Arial" w:cs="Arial"/>
              </w:rPr>
            </w:pPr>
            <w:r>
              <w:rPr>
                <w:rFonts w:eastAsia="Arial" w:cs="Arial"/>
                <w:u w:val="single"/>
              </w:rPr>
              <w:t>Przeznaczenie:</w:t>
            </w:r>
            <w:r>
              <w:rPr>
                <w:rFonts w:eastAsia="Arial" w:cs="Arial"/>
              </w:rPr>
              <w:t xml:space="preserve"> udostępnianie usług transakcyjnych do kontaktu przedsiębiorca -  administracja w trakcie cyklu funkcjonowania przedsiębiorstwa. Platforma </w:t>
            </w:r>
            <w:r>
              <w:rPr>
                <w:rFonts w:eastAsia="Arial" w:cs="Arial"/>
              </w:rPr>
              <w:lastRenderedPageBreak/>
              <w:t>udostępnia usługi na podstawie ich konfiguracji zdefiniowanych w odrębnym module (eLF – platforma konfiguracji). Przekazana konfiguracja decyduje o prezentacji i warstwie biznesowej e-usługi. Proces zbierania danych od użytkownika wykorzystuje kreatory prowadzące użytkownika krok po kroku (wraz z podpowiedziami i poradami). Kreatory walidują kompletność, spójność  i wiel</w:t>
            </w:r>
            <w:r>
              <w:rPr>
                <w:rFonts w:eastAsia="Arial" w:cs="Arial"/>
              </w:rPr>
              <w:t>kość danych. Na ich podstawie budowane są dokumenty elektroniczne (zgodne ze wzorami CRWDE ePUAP). Dalej są one podpisywane (PZ lub kwalifikowany podpis elektroniczny) i wysyłane do urzędu (na skrytkę ePUAP urzędu, lub do systemu CEIDG). Usługi realizowane przez użytkowników zarządzane są przez silnik procesów biznesowych przy wykorzystaniu zaawansowanych mechanizmów walidacyjnych i obsługi błędów.</w:t>
            </w:r>
          </w:p>
          <w:p w14:paraId="3C797555" w14:textId="77777777" w:rsidR="004D3ED0" w:rsidRDefault="004124F9">
            <w:pPr>
              <w:jc w:val="both"/>
              <w:rPr>
                <w:rFonts w:eastAsia="Arial" w:cs="Arial"/>
              </w:rPr>
            </w:pPr>
            <w:r>
              <w:rPr>
                <w:rFonts w:eastAsia="Arial" w:cs="Arial"/>
                <w:u w:val="single"/>
              </w:rPr>
              <w:t>Integracje:</w:t>
            </w:r>
            <w:r>
              <w:rPr>
                <w:rFonts w:eastAsia="Arial" w:cs="Arial"/>
              </w:rPr>
              <w:t xml:space="preserve"> Baza Wiedzy, Logowanie, eLF - platforma konfiguracji, ePUAP, CEIDG (API), PZ</w:t>
            </w:r>
          </w:p>
        </w:tc>
      </w:tr>
      <w:tr w:rsidR="004D3ED0" w14:paraId="3C79755A" w14:textId="77777777">
        <w:trPr>
          <w:jc w:val="center"/>
        </w:trPr>
        <w:tc>
          <w:tcPr>
            <w:tcW w:w="2121" w:type="dxa"/>
            <w:tcBorders>
              <w:top w:val="single" w:sz="4" w:space="0" w:color="000000"/>
              <w:left w:val="single" w:sz="4" w:space="0" w:color="000000"/>
              <w:bottom w:val="single" w:sz="4" w:space="0" w:color="000000"/>
              <w:right w:val="single" w:sz="4" w:space="0" w:color="000000"/>
            </w:tcBorders>
          </w:tcPr>
          <w:p w14:paraId="3C797557" w14:textId="77777777" w:rsidR="004D3ED0" w:rsidRDefault="004124F9">
            <w:pPr>
              <w:rPr>
                <w:rFonts w:eastAsia="Arial" w:cs="Arial"/>
              </w:rPr>
            </w:pPr>
            <w:hyperlink r:id="rId20">
              <w:r>
                <w:rPr>
                  <w:rStyle w:val="Hipercze"/>
                </w:rPr>
                <w:t>eLF – Konfigurator</w:t>
              </w:r>
            </w:hyperlink>
          </w:p>
        </w:tc>
        <w:tc>
          <w:tcPr>
            <w:tcW w:w="7517" w:type="dxa"/>
            <w:tcBorders>
              <w:top w:val="single" w:sz="4" w:space="0" w:color="000000"/>
              <w:left w:val="single" w:sz="4" w:space="0" w:color="000000"/>
              <w:bottom w:val="single" w:sz="4" w:space="0" w:color="000000"/>
              <w:right w:val="single" w:sz="4" w:space="0" w:color="000000"/>
            </w:tcBorders>
          </w:tcPr>
          <w:p w14:paraId="3C797558" w14:textId="77777777" w:rsidR="004D3ED0" w:rsidRDefault="004124F9">
            <w:pPr>
              <w:jc w:val="both"/>
              <w:rPr>
                <w:rFonts w:eastAsia="Arial" w:cs="Arial"/>
              </w:rPr>
            </w:pPr>
            <w:r>
              <w:rPr>
                <w:rFonts w:eastAsia="Arial" w:cs="Arial"/>
                <w:u w:val="single"/>
              </w:rPr>
              <w:t>Przeznaczenie:</w:t>
            </w:r>
            <w:r>
              <w:rPr>
                <w:rFonts w:eastAsia="Arial" w:cs="Arial"/>
              </w:rPr>
              <w:t xml:space="preserve"> budowanie i konfiguracja parametrów usług transakcyjnych (e-usług) interpretowanych i udostępnianych na w systemie Biznes.gov.pl. Projektant usług za pomocą gotowych komponentów tworzy kreatory, definiuje zakres informacyjny, określa wymagane walidacje. Definiuje również typ wzoru elektronicznego i jego powiązania z danym zbieranymi w kreatorze. Projektant decyduje o dostępnych dla użytkownika sposobach podpisania dokumentu oraz o dostępności alternatywnej ścieżki generowania dokumentu papierowego . Moduł </w:t>
            </w:r>
            <w:r>
              <w:rPr>
                <w:rFonts w:eastAsia="Arial" w:cs="Arial"/>
              </w:rPr>
              <w:t>służy również do  zarządzania modelem danych, słownikami i cyklem życia e-usługi.</w:t>
            </w:r>
          </w:p>
          <w:p w14:paraId="3C797559" w14:textId="77777777" w:rsidR="004D3ED0" w:rsidRDefault="004124F9">
            <w:pPr>
              <w:jc w:val="both"/>
              <w:rPr>
                <w:rFonts w:eastAsia="Arial" w:cs="Arial"/>
              </w:rPr>
            </w:pPr>
            <w:r>
              <w:rPr>
                <w:rFonts w:eastAsia="Arial" w:cs="Arial"/>
              </w:rPr>
              <w:t>Integracje: Baza Wiedzy, Logowanie, eLF – platforma udostępniania e-usług</w:t>
            </w:r>
          </w:p>
        </w:tc>
      </w:tr>
      <w:tr w:rsidR="004D3ED0" w14:paraId="3C79755E" w14:textId="77777777">
        <w:trPr>
          <w:jc w:val="center"/>
        </w:trPr>
        <w:tc>
          <w:tcPr>
            <w:tcW w:w="2121" w:type="dxa"/>
            <w:tcBorders>
              <w:top w:val="single" w:sz="4" w:space="0" w:color="000000"/>
              <w:left w:val="single" w:sz="4" w:space="0" w:color="000000"/>
              <w:bottom w:val="single" w:sz="4" w:space="0" w:color="000000"/>
              <w:right w:val="single" w:sz="4" w:space="0" w:color="000000"/>
            </w:tcBorders>
          </w:tcPr>
          <w:p w14:paraId="3C79755B" w14:textId="77777777" w:rsidR="004D3ED0" w:rsidRDefault="004124F9">
            <w:hyperlink r:id="rId21">
              <w:r>
                <w:rPr>
                  <w:rStyle w:val="Hipercze"/>
                </w:rPr>
                <w:t>Aplikacja Formularz CEIDG-1</w:t>
              </w:r>
            </w:hyperlink>
          </w:p>
        </w:tc>
        <w:tc>
          <w:tcPr>
            <w:tcW w:w="7517" w:type="dxa"/>
            <w:tcBorders>
              <w:top w:val="single" w:sz="4" w:space="0" w:color="000000"/>
              <w:left w:val="single" w:sz="4" w:space="0" w:color="000000"/>
              <w:bottom w:val="single" w:sz="4" w:space="0" w:color="000000"/>
              <w:right w:val="single" w:sz="4" w:space="0" w:color="000000"/>
            </w:tcBorders>
          </w:tcPr>
          <w:p w14:paraId="3C79755C" w14:textId="77777777" w:rsidR="004D3ED0" w:rsidRDefault="004124F9">
            <w:pPr>
              <w:rPr>
                <w:rFonts w:eastAsia="Arial" w:cs="Arial"/>
                <w:u w:val="single"/>
              </w:rPr>
            </w:pPr>
            <w:r>
              <w:rPr>
                <w:rFonts w:eastAsia="Arial" w:cs="Arial"/>
                <w:u w:val="single"/>
              </w:rPr>
              <w:t xml:space="preserve">Przeznaczenie: </w:t>
            </w:r>
            <w:r>
              <w:rPr>
                <w:rFonts w:eastAsia="Arial" w:cs="Arial"/>
              </w:rPr>
              <w:t xml:space="preserve"> pozwala wprowadzenie danych w formularzu odwzorowującym wniosek CEIDG-1 oraz wygenerowanie i przesłanie do systemu CEIDG wypełnionego (zweryfikowanego pod kątem poprawności danych) wniosku wraz z wymaganymi załącznikami. Aplikacja umożliwia złożenie wniosków o wpis do CEIDG, zmiana wpisu w CEIDG, zawieszenie działalności, wznowienie działalności oraz wykreślenie działalności. Aplikacja jest alternatywną (do kreatorów wykorzystywanych przez e-usługi platformy eLF) formą składania e-wniosków przeznaczoną dla</w:t>
            </w:r>
            <w:r>
              <w:rPr>
                <w:rFonts w:eastAsia="Arial" w:cs="Arial"/>
              </w:rPr>
              <w:t xml:space="preserve"> profesjonalnych użytkowników systemu.</w:t>
            </w:r>
          </w:p>
          <w:p w14:paraId="3C79755D" w14:textId="77777777" w:rsidR="004D3ED0" w:rsidRDefault="004124F9">
            <w:pPr>
              <w:jc w:val="both"/>
              <w:rPr>
                <w:rFonts w:eastAsia="Arial" w:cs="Arial"/>
              </w:rPr>
            </w:pPr>
            <w:r>
              <w:rPr>
                <w:rFonts w:eastAsia="Arial" w:cs="Arial"/>
                <w:u w:val="single"/>
              </w:rPr>
              <w:t>Integracje:</w:t>
            </w:r>
            <w:r>
              <w:rPr>
                <w:rFonts w:eastAsia="Arial" w:cs="Arial"/>
              </w:rPr>
              <w:t xml:space="preserve"> system CEIDG, Zaplecze BW</w:t>
            </w:r>
          </w:p>
        </w:tc>
      </w:tr>
      <w:tr w:rsidR="004D3ED0" w14:paraId="3C797561" w14:textId="77777777">
        <w:trPr>
          <w:jc w:val="center"/>
        </w:trPr>
        <w:tc>
          <w:tcPr>
            <w:tcW w:w="2121" w:type="dxa"/>
            <w:tcBorders>
              <w:top w:val="single" w:sz="4" w:space="0" w:color="000000"/>
              <w:left w:val="single" w:sz="4" w:space="0" w:color="000000"/>
              <w:bottom w:val="single" w:sz="4" w:space="0" w:color="000000"/>
              <w:right w:val="single" w:sz="4" w:space="0" w:color="000000"/>
            </w:tcBorders>
          </w:tcPr>
          <w:p w14:paraId="3C79755F" w14:textId="77777777" w:rsidR="004D3ED0" w:rsidRDefault="004124F9">
            <w:hyperlink r:id="rId22">
              <w:r>
                <w:rPr>
                  <w:rStyle w:val="Hipercze"/>
                </w:rPr>
                <w:t>System Obsługi Zgłoszeń</w:t>
              </w:r>
            </w:hyperlink>
          </w:p>
        </w:tc>
        <w:tc>
          <w:tcPr>
            <w:tcW w:w="7517" w:type="dxa"/>
            <w:tcBorders>
              <w:top w:val="single" w:sz="4" w:space="0" w:color="000000"/>
              <w:left w:val="single" w:sz="4" w:space="0" w:color="000000"/>
              <w:bottom w:val="single" w:sz="4" w:space="0" w:color="000000"/>
              <w:right w:val="single" w:sz="4" w:space="0" w:color="000000"/>
            </w:tcBorders>
          </w:tcPr>
          <w:p w14:paraId="3C797560" w14:textId="77777777" w:rsidR="004D3ED0" w:rsidRDefault="004124F9">
            <w:pPr>
              <w:jc w:val="both"/>
              <w:rPr>
                <w:rFonts w:eastAsia="Arial" w:cs="Arial"/>
              </w:rPr>
            </w:pPr>
            <w:r>
              <w:rPr>
                <w:rFonts w:eastAsia="Arial" w:cs="Arial"/>
                <w:u w:val="single"/>
              </w:rPr>
              <w:t>Przeznaczenie:</w:t>
            </w:r>
            <w:r>
              <w:rPr>
                <w:rFonts w:eastAsia="Arial" w:cs="Arial"/>
              </w:rPr>
              <w:t xml:space="preserve">  wielopoziomowe, kompleksowe wsparcie użytkowników w dla wszystkich podsystemów w zakresie pomocy technicznej lub pomoc w zakresie użytkowania produktów i usług (ze szczególnym uwzględnieniem e-usług). Funkcjonowanie Centrum Pomocy wspierane jest przez dedukowane narzędzie informatyczne System Obsługi Zgłoszeń. Powala ono na zarządzanie procesem obsługi zgłoszenia na wszystkich liniach wsparcia.</w:t>
            </w:r>
          </w:p>
        </w:tc>
      </w:tr>
      <w:tr w:rsidR="004D3ED0" w14:paraId="3C797564" w14:textId="77777777">
        <w:trPr>
          <w:trHeight w:val="1974"/>
          <w:jc w:val="center"/>
        </w:trPr>
        <w:tc>
          <w:tcPr>
            <w:tcW w:w="2121" w:type="dxa"/>
            <w:tcBorders>
              <w:top w:val="single" w:sz="4" w:space="0" w:color="000000"/>
              <w:left w:val="single" w:sz="4" w:space="0" w:color="000000"/>
              <w:bottom w:val="single" w:sz="4" w:space="0" w:color="000000"/>
              <w:right w:val="single" w:sz="4" w:space="0" w:color="000000"/>
            </w:tcBorders>
          </w:tcPr>
          <w:p w14:paraId="3C797562" w14:textId="77777777" w:rsidR="004D3ED0" w:rsidRDefault="004124F9">
            <w:pPr>
              <w:rPr>
                <w:rStyle w:val="InternetLink"/>
              </w:rPr>
            </w:pPr>
            <w:r>
              <w:rPr>
                <w:rStyle w:val="InternetLink"/>
              </w:rPr>
              <w:lastRenderedPageBreak/>
              <w:t>Wyszukiwarka Firm</w:t>
            </w:r>
          </w:p>
        </w:tc>
        <w:tc>
          <w:tcPr>
            <w:tcW w:w="7517" w:type="dxa"/>
            <w:tcBorders>
              <w:top w:val="single" w:sz="4" w:space="0" w:color="000000"/>
              <w:left w:val="single" w:sz="4" w:space="0" w:color="000000"/>
              <w:bottom w:val="single" w:sz="4" w:space="0" w:color="000000"/>
              <w:right w:val="single" w:sz="4" w:space="0" w:color="000000"/>
            </w:tcBorders>
          </w:tcPr>
          <w:p w14:paraId="3C797563" w14:textId="77777777" w:rsidR="004D3ED0" w:rsidRDefault="004124F9">
            <w:pPr>
              <w:jc w:val="both"/>
              <w:rPr>
                <w:rFonts w:eastAsia="Arial" w:cs="Arial"/>
                <w:u w:val="single"/>
              </w:rPr>
            </w:pPr>
            <w:r>
              <w:rPr>
                <w:rFonts w:eastAsia="Arial" w:cs="Arial"/>
                <w:u w:val="single"/>
              </w:rPr>
              <w:t xml:space="preserve">Przeznaczenie: </w:t>
            </w:r>
            <w:r>
              <w:t>Wyszukiwarka firm jest integralną częścią Portalu informacyjnego (z CMS) w Systemie Biznes.gov.pl dostępną dla wszystkich użytkowników odwiedzających portal Biznes.gov.pl, zintegrowaną wewnętrznie z API Zaplecza Bazy Wiedzy. Zaplecze Bazy Wiedzy umożliwia Wyszukiwarce firm pobieranie opisów kodów PKD. Moduł Wyszukiwarka firm został zintegrowany z systemem zewnętrznym  w celu pobierania danych o firmach zarejestrowanych w CEIDG lub KRS</w:t>
            </w:r>
          </w:p>
        </w:tc>
      </w:tr>
      <w:tr w:rsidR="004D3ED0" w14:paraId="3C797567" w14:textId="77777777">
        <w:trPr>
          <w:trHeight w:val="633"/>
          <w:jc w:val="center"/>
        </w:trPr>
        <w:tc>
          <w:tcPr>
            <w:tcW w:w="2121" w:type="dxa"/>
            <w:tcBorders>
              <w:top w:val="single" w:sz="4" w:space="0" w:color="000000"/>
              <w:left w:val="single" w:sz="4" w:space="0" w:color="000000"/>
              <w:bottom w:val="single" w:sz="4" w:space="0" w:color="000000"/>
              <w:right w:val="single" w:sz="4" w:space="0" w:color="000000"/>
            </w:tcBorders>
          </w:tcPr>
          <w:p w14:paraId="3C797565" w14:textId="77777777" w:rsidR="004D3ED0" w:rsidRDefault="004124F9">
            <w:pPr>
              <w:rPr>
                <w:rStyle w:val="InternetLink"/>
              </w:rPr>
            </w:pPr>
            <w:r>
              <w:rPr>
                <w:rStyle w:val="InternetLink"/>
              </w:rPr>
              <w:t>Tracker</w:t>
            </w:r>
          </w:p>
        </w:tc>
        <w:tc>
          <w:tcPr>
            <w:tcW w:w="7517" w:type="dxa"/>
            <w:tcBorders>
              <w:top w:val="single" w:sz="4" w:space="0" w:color="000000"/>
              <w:left w:val="single" w:sz="4" w:space="0" w:color="000000"/>
              <w:bottom w:val="single" w:sz="4" w:space="0" w:color="000000"/>
              <w:right w:val="single" w:sz="4" w:space="0" w:color="000000"/>
            </w:tcBorders>
          </w:tcPr>
          <w:p w14:paraId="3C797566" w14:textId="77777777" w:rsidR="004D3ED0" w:rsidRDefault="004124F9">
            <w:pPr>
              <w:jc w:val="both"/>
              <w:rPr>
                <w:rFonts w:eastAsia="Arial" w:cs="Arial"/>
                <w:u w:val="single"/>
              </w:rPr>
            </w:pPr>
            <w:r>
              <w:rPr>
                <w:rFonts w:eastAsia="Arial" w:cs="Arial"/>
                <w:u w:val="single"/>
              </w:rPr>
              <w:t xml:space="preserve">Przeznaczenie: </w:t>
            </w:r>
            <w:r>
              <w:rPr>
                <w:rFonts w:ascii="Segoe UI" w:hAnsi="Segoe UI" w:cs="Segoe UI"/>
                <w:color w:val="242424"/>
                <w:sz w:val="21"/>
                <w:szCs w:val="21"/>
                <w:shd w:val="clear" w:color="auto" w:fill="FFFFFF"/>
              </w:rPr>
              <w:t>System przetwarzający wnioski  o  zezwolenia  i  licencje  na  obrót  towarami  wrażliwymi.</w:t>
            </w:r>
          </w:p>
        </w:tc>
      </w:tr>
    </w:tbl>
    <w:p w14:paraId="3C797568" w14:textId="77777777" w:rsidR="004D3ED0" w:rsidRDefault="004124F9">
      <w:pPr>
        <w:spacing w:before="240"/>
      </w:pPr>
      <w:r>
        <w:t>Poniżej architektura kooperacji systemu *biznes.gov.pl:</w:t>
      </w:r>
    </w:p>
    <w:p w14:paraId="3C797569" w14:textId="77777777" w:rsidR="004D3ED0" w:rsidRDefault="004124F9">
      <w:r>
        <w:rPr>
          <w:noProof/>
        </w:rPr>
        <w:drawing>
          <wp:inline distT="0" distB="0" distL="0" distR="0" wp14:anchorId="3C79761E" wp14:editId="3C79761F">
            <wp:extent cx="5759450" cy="5802630"/>
            <wp:effectExtent l="0" t="0" r="0" b="0"/>
            <wp:docPr id="2" name="Obraz 1" descr="Obraz zawierający tekst, zrzut ekranu,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Obraz zawierający tekst, zrzut ekranu, diagram&#10;&#10;Opis wygenerowany automatycznie"/>
                    <pic:cNvPicPr>
                      <a:picLocks noChangeAspect="1" noChangeArrowheads="1"/>
                    </pic:cNvPicPr>
                  </pic:nvPicPr>
                  <pic:blipFill>
                    <a:blip r:embed="rId23"/>
                    <a:stretch>
                      <a:fillRect/>
                    </a:stretch>
                  </pic:blipFill>
                  <pic:spPr bwMode="auto">
                    <a:xfrm>
                      <a:off x="0" y="0"/>
                      <a:ext cx="5759450" cy="5802630"/>
                    </a:xfrm>
                    <a:prstGeom prst="rect">
                      <a:avLst/>
                    </a:prstGeom>
                  </pic:spPr>
                </pic:pic>
              </a:graphicData>
            </a:graphic>
          </wp:inline>
        </w:drawing>
      </w:r>
    </w:p>
    <w:p w14:paraId="3C79756A" w14:textId="77777777" w:rsidR="004D3ED0" w:rsidRDefault="004124F9">
      <w:r>
        <w:t>Integracja *.biznes.gov.pl</w:t>
      </w:r>
    </w:p>
    <w:tbl>
      <w:tblPr>
        <w:tblW w:w="9213" w:type="dxa"/>
        <w:jc w:val="center"/>
        <w:tblLayout w:type="fixed"/>
        <w:tblLook w:val="04A0" w:firstRow="1" w:lastRow="0" w:firstColumn="1" w:lastColumn="0" w:noHBand="0" w:noVBand="1"/>
      </w:tblPr>
      <w:tblGrid>
        <w:gridCol w:w="640"/>
        <w:gridCol w:w="2126"/>
        <w:gridCol w:w="3261"/>
        <w:gridCol w:w="3186"/>
      </w:tblGrid>
      <w:tr w:rsidR="004D3ED0" w14:paraId="3C79756F" w14:textId="77777777">
        <w:trPr>
          <w:jc w:val="center"/>
        </w:trPr>
        <w:tc>
          <w:tcPr>
            <w:tcW w:w="639" w:type="dxa"/>
            <w:tcBorders>
              <w:top w:val="single" w:sz="4" w:space="0" w:color="000000"/>
              <w:left w:val="single" w:sz="4" w:space="0" w:color="000000"/>
              <w:bottom w:val="single" w:sz="4" w:space="0" w:color="000000"/>
              <w:right w:val="single" w:sz="4" w:space="0" w:color="000000"/>
            </w:tcBorders>
            <w:shd w:val="clear" w:color="auto" w:fill="E7E6E6"/>
          </w:tcPr>
          <w:p w14:paraId="3C79756B" w14:textId="77777777" w:rsidR="004D3ED0" w:rsidRDefault="004124F9">
            <w:pPr>
              <w:spacing w:line="254" w:lineRule="auto"/>
              <w:jc w:val="center"/>
              <w:rPr>
                <w:b/>
                <w:bCs/>
                <w:sz w:val="18"/>
                <w:szCs w:val="18"/>
              </w:rPr>
            </w:pPr>
            <w:r>
              <w:rPr>
                <w:b/>
                <w:bCs/>
                <w:sz w:val="18"/>
                <w:szCs w:val="18"/>
              </w:rPr>
              <w:lastRenderedPageBreak/>
              <w:t>Lp.</w:t>
            </w:r>
          </w:p>
        </w:tc>
        <w:tc>
          <w:tcPr>
            <w:tcW w:w="2126" w:type="dxa"/>
            <w:tcBorders>
              <w:top w:val="single" w:sz="4" w:space="0" w:color="000000"/>
              <w:left w:val="single" w:sz="4" w:space="0" w:color="000000"/>
              <w:bottom w:val="single" w:sz="4" w:space="0" w:color="000000"/>
              <w:right w:val="single" w:sz="4" w:space="0" w:color="000000"/>
            </w:tcBorders>
            <w:shd w:val="clear" w:color="auto" w:fill="E7E6E6"/>
          </w:tcPr>
          <w:p w14:paraId="3C79756C" w14:textId="77777777" w:rsidR="004D3ED0" w:rsidRDefault="004124F9">
            <w:pPr>
              <w:spacing w:line="254" w:lineRule="auto"/>
              <w:jc w:val="center"/>
              <w:rPr>
                <w:b/>
                <w:bCs/>
              </w:rPr>
            </w:pPr>
            <w:r>
              <w:rPr>
                <w:b/>
                <w:bCs/>
              </w:rPr>
              <w:t>System źródłowy</w:t>
            </w:r>
          </w:p>
        </w:tc>
        <w:tc>
          <w:tcPr>
            <w:tcW w:w="3261" w:type="dxa"/>
            <w:tcBorders>
              <w:top w:val="single" w:sz="4" w:space="0" w:color="000000"/>
              <w:left w:val="single" w:sz="4" w:space="0" w:color="000000"/>
              <w:bottom w:val="single" w:sz="4" w:space="0" w:color="000000"/>
              <w:right w:val="single" w:sz="4" w:space="0" w:color="000000"/>
            </w:tcBorders>
            <w:shd w:val="clear" w:color="auto" w:fill="E7E6E6"/>
          </w:tcPr>
          <w:p w14:paraId="3C79756D" w14:textId="77777777" w:rsidR="004D3ED0" w:rsidRDefault="004124F9">
            <w:pPr>
              <w:spacing w:line="254" w:lineRule="auto"/>
              <w:jc w:val="center"/>
              <w:rPr>
                <w:b/>
                <w:bCs/>
              </w:rPr>
            </w:pPr>
            <w:r>
              <w:rPr>
                <w:b/>
                <w:bCs/>
              </w:rPr>
              <w:t xml:space="preserve">Zakres  </w:t>
            </w:r>
            <w:r>
              <w:rPr>
                <w:b/>
                <w:bCs/>
              </w:rPr>
              <w:t>wymienianych danych</w:t>
            </w:r>
          </w:p>
        </w:tc>
        <w:tc>
          <w:tcPr>
            <w:tcW w:w="3186" w:type="dxa"/>
            <w:tcBorders>
              <w:top w:val="single" w:sz="4" w:space="0" w:color="000000"/>
              <w:left w:val="single" w:sz="4" w:space="0" w:color="000000"/>
              <w:bottom w:val="single" w:sz="4" w:space="0" w:color="000000"/>
              <w:right w:val="single" w:sz="4" w:space="0" w:color="000000"/>
            </w:tcBorders>
            <w:shd w:val="clear" w:color="auto" w:fill="E7E6E6"/>
          </w:tcPr>
          <w:p w14:paraId="3C79756E" w14:textId="77777777" w:rsidR="004D3ED0" w:rsidRDefault="004124F9">
            <w:pPr>
              <w:spacing w:line="254" w:lineRule="auto"/>
              <w:jc w:val="center"/>
              <w:rPr>
                <w:b/>
                <w:bCs/>
              </w:rPr>
            </w:pPr>
            <w:r>
              <w:rPr>
                <w:b/>
                <w:bCs/>
              </w:rPr>
              <w:t>Typ Interfejsu</w:t>
            </w:r>
          </w:p>
        </w:tc>
      </w:tr>
      <w:tr w:rsidR="004D3ED0" w14:paraId="3C797574" w14:textId="77777777">
        <w:trPr>
          <w:trHeight w:val="784"/>
          <w:jc w:val="center"/>
        </w:trPr>
        <w:tc>
          <w:tcPr>
            <w:tcW w:w="639" w:type="dxa"/>
            <w:tcBorders>
              <w:top w:val="single" w:sz="4" w:space="0" w:color="000000"/>
              <w:left w:val="single" w:sz="4" w:space="0" w:color="000000"/>
              <w:bottom w:val="single" w:sz="4" w:space="0" w:color="000000"/>
              <w:right w:val="single" w:sz="4" w:space="0" w:color="000000"/>
            </w:tcBorders>
          </w:tcPr>
          <w:p w14:paraId="3C797570" w14:textId="77777777" w:rsidR="004D3ED0" w:rsidRDefault="004124F9">
            <w:pPr>
              <w:rPr>
                <w:sz w:val="18"/>
                <w:szCs w:val="18"/>
              </w:rPr>
            </w:pPr>
            <w:r>
              <w:rPr>
                <w:sz w:val="18"/>
                <w:szCs w:val="18"/>
              </w:rPr>
              <w:t>1</w:t>
            </w:r>
          </w:p>
        </w:tc>
        <w:tc>
          <w:tcPr>
            <w:tcW w:w="2126" w:type="dxa"/>
            <w:tcBorders>
              <w:top w:val="single" w:sz="4" w:space="0" w:color="000000"/>
              <w:left w:val="single" w:sz="4" w:space="0" w:color="000000"/>
              <w:bottom w:val="single" w:sz="4" w:space="0" w:color="000000"/>
              <w:right w:val="single" w:sz="4" w:space="0" w:color="000000"/>
            </w:tcBorders>
          </w:tcPr>
          <w:p w14:paraId="3C797571" w14:textId="77777777" w:rsidR="004D3ED0" w:rsidRDefault="004124F9">
            <w:r>
              <w:t>Systemy e-Płatności</w:t>
            </w:r>
          </w:p>
        </w:tc>
        <w:tc>
          <w:tcPr>
            <w:tcW w:w="3261" w:type="dxa"/>
            <w:tcBorders>
              <w:top w:val="single" w:sz="4" w:space="0" w:color="000000"/>
              <w:left w:val="single" w:sz="4" w:space="0" w:color="000000"/>
              <w:bottom w:val="single" w:sz="4" w:space="0" w:color="000000"/>
              <w:right w:val="single" w:sz="4" w:space="0" w:color="000000"/>
            </w:tcBorders>
          </w:tcPr>
          <w:p w14:paraId="3C797572" w14:textId="77777777" w:rsidR="004D3ED0" w:rsidRDefault="004124F9">
            <w:r>
              <w:t>Dane transakcyjne e-płatności</w:t>
            </w:r>
          </w:p>
        </w:tc>
        <w:tc>
          <w:tcPr>
            <w:tcW w:w="3186" w:type="dxa"/>
            <w:tcBorders>
              <w:top w:val="single" w:sz="4" w:space="0" w:color="000000"/>
              <w:left w:val="single" w:sz="4" w:space="0" w:color="000000"/>
              <w:bottom w:val="single" w:sz="4" w:space="0" w:color="000000"/>
              <w:right w:val="single" w:sz="4" w:space="0" w:color="000000"/>
            </w:tcBorders>
          </w:tcPr>
          <w:p w14:paraId="3C797573" w14:textId="77777777" w:rsidR="004D3ED0" w:rsidRDefault="004124F9">
            <w:r>
              <w:t>zgodnie z WSDL dostawcy usługi e-Płatności</w:t>
            </w:r>
          </w:p>
        </w:tc>
      </w:tr>
      <w:tr w:rsidR="004D3ED0" w14:paraId="3C797579" w14:textId="77777777">
        <w:trPr>
          <w:jc w:val="center"/>
        </w:trPr>
        <w:tc>
          <w:tcPr>
            <w:tcW w:w="639" w:type="dxa"/>
            <w:tcBorders>
              <w:top w:val="single" w:sz="4" w:space="0" w:color="000000"/>
              <w:left w:val="single" w:sz="4" w:space="0" w:color="000000"/>
              <w:bottom w:val="single" w:sz="4" w:space="0" w:color="000000"/>
              <w:right w:val="single" w:sz="4" w:space="0" w:color="000000"/>
            </w:tcBorders>
          </w:tcPr>
          <w:p w14:paraId="3C797575" w14:textId="77777777" w:rsidR="004D3ED0" w:rsidRDefault="004124F9">
            <w:pPr>
              <w:spacing w:line="254" w:lineRule="auto"/>
              <w:jc w:val="both"/>
              <w:rPr>
                <w:sz w:val="18"/>
                <w:szCs w:val="18"/>
              </w:rPr>
            </w:pPr>
            <w:r>
              <w:rPr>
                <w:sz w:val="18"/>
                <w:szCs w:val="18"/>
              </w:rPr>
              <w:t>2</w:t>
            </w:r>
          </w:p>
        </w:tc>
        <w:tc>
          <w:tcPr>
            <w:tcW w:w="2126" w:type="dxa"/>
            <w:tcBorders>
              <w:top w:val="single" w:sz="4" w:space="0" w:color="000000"/>
              <w:left w:val="single" w:sz="4" w:space="0" w:color="000000"/>
              <w:bottom w:val="single" w:sz="4" w:space="0" w:color="000000"/>
              <w:right w:val="single" w:sz="4" w:space="0" w:color="000000"/>
            </w:tcBorders>
          </w:tcPr>
          <w:p w14:paraId="3C797576" w14:textId="77777777" w:rsidR="004D3ED0" w:rsidRDefault="004124F9">
            <w:r>
              <w:t>Profil Zaufany</w:t>
            </w:r>
          </w:p>
        </w:tc>
        <w:tc>
          <w:tcPr>
            <w:tcW w:w="3261" w:type="dxa"/>
            <w:tcBorders>
              <w:top w:val="single" w:sz="4" w:space="0" w:color="000000"/>
              <w:left w:val="single" w:sz="4" w:space="0" w:color="000000"/>
              <w:bottom w:val="single" w:sz="4" w:space="0" w:color="000000"/>
              <w:right w:val="single" w:sz="4" w:space="0" w:color="000000"/>
            </w:tcBorders>
          </w:tcPr>
          <w:p w14:paraId="3C797577" w14:textId="77777777" w:rsidR="004D3ED0" w:rsidRDefault="004124F9">
            <w:r>
              <w:t>Uwierzytelnianie, podpisywanie</w:t>
            </w:r>
          </w:p>
        </w:tc>
        <w:tc>
          <w:tcPr>
            <w:tcW w:w="3186" w:type="dxa"/>
            <w:tcBorders>
              <w:top w:val="single" w:sz="4" w:space="0" w:color="000000"/>
              <w:left w:val="single" w:sz="4" w:space="0" w:color="000000"/>
              <w:bottom w:val="single" w:sz="4" w:space="0" w:color="000000"/>
              <w:right w:val="single" w:sz="4" w:space="0" w:color="000000"/>
            </w:tcBorders>
          </w:tcPr>
          <w:p w14:paraId="3C797578" w14:textId="77777777" w:rsidR="004D3ED0" w:rsidRDefault="004124F9">
            <w:r>
              <w:t>Web service</w:t>
            </w:r>
          </w:p>
        </w:tc>
      </w:tr>
      <w:tr w:rsidR="004D3ED0" w14:paraId="3C79757E" w14:textId="77777777">
        <w:trPr>
          <w:jc w:val="center"/>
        </w:trPr>
        <w:tc>
          <w:tcPr>
            <w:tcW w:w="639" w:type="dxa"/>
            <w:tcBorders>
              <w:top w:val="single" w:sz="4" w:space="0" w:color="000000"/>
              <w:left w:val="single" w:sz="4" w:space="0" w:color="000000"/>
              <w:bottom w:val="single" w:sz="4" w:space="0" w:color="000000"/>
              <w:right w:val="single" w:sz="4" w:space="0" w:color="000000"/>
            </w:tcBorders>
          </w:tcPr>
          <w:p w14:paraId="3C79757A" w14:textId="77777777" w:rsidR="004D3ED0" w:rsidRDefault="004124F9">
            <w:pPr>
              <w:spacing w:line="254" w:lineRule="auto"/>
              <w:jc w:val="both"/>
              <w:rPr>
                <w:sz w:val="18"/>
                <w:szCs w:val="18"/>
              </w:rPr>
            </w:pPr>
            <w:r>
              <w:rPr>
                <w:sz w:val="18"/>
                <w:szCs w:val="18"/>
              </w:rPr>
              <w:t>3</w:t>
            </w:r>
          </w:p>
        </w:tc>
        <w:tc>
          <w:tcPr>
            <w:tcW w:w="2126" w:type="dxa"/>
            <w:tcBorders>
              <w:top w:val="single" w:sz="4" w:space="0" w:color="000000"/>
              <w:left w:val="single" w:sz="4" w:space="0" w:color="000000"/>
              <w:bottom w:val="single" w:sz="4" w:space="0" w:color="000000"/>
              <w:right w:val="single" w:sz="4" w:space="0" w:color="000000"/>
            </w:tcBorders>
          </w:tcPr>
          <w:p w14:paraId="3C79757B" w14:textId="77777777" w:rsidR="004D3ED0" w:rsidRDefault="004124F9">
            <w:r>
              <w:t>Węzeł Krajowy</w:t>
            </w:r>
          </w:p>
        </w:tc>
        <w:tc>
          <w:tcPr>
            <w:tcW w:w="3261" w:type="dxa"/>
            <w:tcBorders>
              <w:top w:val="single" w:sz="4" w:space="0" w:color="000000"/>
              <w:left w:val="single" w:sz="4" w:space="0" w:color="000000"/>
              <w:bottom w:val="single" w:sz="4" w:space="0" w:color="000000"/>
              <w:right w:val="single" w:sz="4" w:space="0" w:color="000000"/>
            </w:tcBorders>
          </w:tcPr>
          <w:p w14:paraId="3C79757C" w14:textId="77777777" w:rsidR="004D3ED0" w:rsidRDefault="004124F9">
            <w:r>
              <w:t>Uwierzytelnianie</w:t>
            </w:r>
          </w:p>
        </w:tc>
        <w:tc>
          <w:tcPr>
            <w:tcW w:w="3186" w:type="dxa"/>
            <w:tcBorders>
              <w:top w:val="single" w:sz="4" w:space="0" w:color="000000"/>
              <w:left w:val="single" w:sz="4" w:space="0" w:color="000000"/>
              <w:bottom w:val="single" w:sz="4" w:space="0" w:color="000000"/>
              <w:right w:val="single" w:sz="4" w:space="0" w:color="000000"/>
            </w:tcBorders>
          </w:tcPr>
          <w:p w14:paraId="3C79757D" w14:textId="77777777" w:rsidR="004D3ED0" w:rsidRDefault="004124F9">
            <w:r>
              <w:t>Web service</w:t>
            </w:r>
          </w:p>
        </w:tc>
      </w:tr>
      <w:tr w:rsidR="004D3ED0" w14:paraId="3C797583" w14:textId="77777777">
        <w:trPr>
          <w:jc w:val="center"/>
        </w:trPr>
        <w:tc>
          <w:tcPr>
            <w:tcW w:w="639" w:type="dxa"/>
            <w:tcBorders>
              <w:top w:val="single" w:sz="4" w:space="0" w:color="000000"/>
              <w:left w:val="single" w:sz="4" w:space="0" w:color="000000"/>
              <w:bottom w:val="single" w:sz="4" w:space="0" w:color="000000"/>
              <w:right w:val="single" w:sz="4" w:space="0" w:color="000000"/>
            </w:tcBorders>
          </w:tcPr>
          <w:p w14:paraId="3C79757F" w14:textId="77777777" w:rsidR="004D3ED0" w:rsidRDefault="004124F9">
            <w:pPr>
              <w:spacing w:line="254" w:lineRule="auto"/>
              <w:jc w:val="both"/>
              <w:rPr>
                <w:sz w:val="18"/>
                <w:szCs w:val="18"/>
              </w:rPr>
            </w:pPr>
            <w:r>
              <w:rPr>
                <w:sz w:val="18"/>
                <w:szCs w:val="18"/>
              </w:rPr>
              <w:t>4</w:t>
            </w:r>
          </w:p>
        </w:tc>
        <w:tc>
          <w:tcPr>
            <w:tcW w:w="2126" w:type="dxa"/>
            <w:tcBorders>
              <w:top w:val="single" w:sz="4" w:space="0" w:color="000000"/>
              <w:left w:val="single" w:sz="4" w:space="0" w:color="000000"/>
              <w:bottom w:val="single" w:sz="4" w:space="0" w:color="000000"/>
              <w:right w:val="single" w:sz="4" w:space="0" w:color="000000"/>
            </w:tcBorders>
          </w:tcPr>
          <w:p w14:paraId="3C797580" w14:textId="77777777" w:rsidR="004D3ED0" w:rsidRDefault="004124F9">
            <w:r>
              <w:t>BAE</w:t>
            </w:r>
          </w:p>
        </w:tc>
        <w:tc>
          <w:tcPr>
            <w:tcW w:w="3261" w:type="dxa"/>
            <w:tcBorders>
              <w:top w:val="single" w:sz="4" w:space="0" w:color="000000"/>
              <w:left w:val="single" w:sz="4" w:space="0" w:color="000000"/>
              <w:bottom w:val="single" w:sz="4" w:space="0" w:color="000000"/>
              <w:right w:val="single" w:sz="4" w:space="0" w:color="000000"/>
            </w:tcBorders>
          </w:tcPr>
          <w:p w14:paraId="3C797581" w14:textId="77777777" w:rsidR="004D3ED0" w:rsidRDefault="004124F9">
            <w:r>
              <w:t>Adresy elektroniczne przedsiębiorców</w:t>
            </w:r>
          </w:p>
        </w:tc>
        <w:tc>
          <w:tcPr>
            <w:tcW w:w="3186" w:type="dxa"/>
            <w:tcBorders>
              <w:top w:val="single" w:sz="4" w:space="0" w:color="000000"/>
              <w:left w:val="single" w:sz="4" w:space="0" w:color="000000"/>
              <w:bottom w:val="single" w:sz="4" w:space="0" w:color="000000"/>
              <w:right w:val="single" w:sz="4" w:space="0" w:color="000000"/>
            </w:tcBorders>
          </w:tcPr>
          <w:p w14:paraId="3C797582" w14:textId="77777777" w:rsidR="004D3ED0" w:rsidRDefault="004124F9">
            <w:r>
              <w:t>Web service</w:t>
            </w:r>
          </w:p>
        </w:tc>
      </w:tr>
      <w:tr w:rsidR="004D3ED0" w14:paraId="3C797588" w14:textId="77777777">
        <w:trPr>
          <w:jc w:val="center"/>
        </w:trPr>
        <w:tc>
          <w:tcPr>
            <w:tcW w:w="639" w:type="dxa"/>
            <w:tcBorders>
              <w:top w:val="single" w:sz="4" w:space="0" w:color="000000"/>
              <w:left w:val="single" w:sz="4" w:space="0" w:color="000000"/>
              <w:bottom w:val="single" w:sz="4" w:space="0" w:color="000000"/>
              <w:right w:val="single" w:sz="4" w:space="0" w:color="000000"/>
            </w:tcBorders>
          </w:tcPr>
          <w:p w14:paraId="3C797584" w14:textId="77777777" w:rsidR="004D3ED0" w:rsidRDefault="004124F9">
            <w:pPr>
              <w:spacing w:line="254" w:lineRule="auto"/>
              <w:jc w:val="both"/>
              <w:rPr>
                <w:sz w:val="18"/>
                <w:szCs w:val="18"/>
              </w:rPr>
            </w:pPr>
            <w:r>
              <w:rPr>
                <w:sz w:val="18"/>
                <w:szCs w:val="18"/>
              </w:rPr>
              <w:t>5</w:t>
            </w:r>
          </w:p>
        </w:tc>
        <w:tc>
          <w:tcPr>
            <w:tcW w:w="2126" w:type="dxa"/>
            <w:tcBorders>
              <w:top w:val="single" w:sz="4" w:space="0" w:color="000000"/>
              <w:left w:val="single" w:sz="4" w:space="0" w:color="000000"/>
              <w:bottom w:val="single" w:sz="4" w:space="0" w:color="000000"/>
              <w:right w:val="single" w:sz="4" w:space="0" w:color="000000"/>
            </w:tcBorders>
          </w:tcPr>
          <w:p w14:paraId="3C797585" w14:textId="77777777" w:rsidR="004D3ED0" w:rsidRDefault="004124F9">
            <w:r>
              <w:t>e-Doręczenia</w:t>
            </w:r>
          </w:p>
        </w:tc>
        <w:tc>
          <w:tcPr>
            <w:tcW w:w="3261" w:type="dxa"/>
            <w:tcBorders>
              <w:top w:val="single" w:sz="4" w:space="0" w:color="000000"/>
              <w:left w:val="single" w:sz="4" w:space="0" w:color="000000"/>
              <w:bottom w:val="single" w:sz="4" w:space="0" w:color="000000"/>
              <w:right w:val="single" w:sz="4" w:space="0" w:color="000000"/>
            </w:tcBorders>
          </w:tcPr>
          <w:p w14:paraId="3C797586" w14:textId="77777777" w:rsidR="004D3ED0" w:rsidRDefault="004124F9">
            <w:r>
              <w:t>Dokumenty użytkownika</w:t>
            </w:r>
          </w:p>
        </w:tc>
        <w:tc>
          <w:tcPr>
            <w:tcW w:w="3186" w:type="dxa"/>
            <w:tcBorders>
              <w:top w:val="single" w:sz="4" w:space="0" w:color="000000"/>
              <w:left w:val="single" w:sz="4" w:space="0" w:color="000000"/>
              <w:bottom w:val="single" w:sz="4" w:space="0" w:color="000000"/>
              <w:right w:val="single" w:sz="4" w:space="0" w:color="000000"/>
            </w:tcBorders>
          </w:tcPr>
          <w:p w14:paraId="3C797587" w14:textId="77777777" w:rsidR="004D3ED0" w:rsidRDefault="004124F9">
            <w:r>
              <w:t>Web service</w:t>
            </w:r>
          </w:p>
        </w:tc>
      </w:tr>
      <w:tr w:rsidR="004D3ED0" w14:paraId="3C79758D" w14:textId="77777777">
        <w:trPr>
          <w:jc w:val="center"/>
        </w:trPr>
        <w:tc>
          <w:tcPr>
            <w:tcW w:w="639" w:type="dxa"/>
            <w:tcBorders>
              <w:top w:val="single" w:sz="4" w:space="0" w:color="000000"/>
              <w:left w:val="single" w:sz="4" w:space="0" w:color="000000"/>
              <w:bottom w:val="single" w:sz="4" w:space="0" w:color="000000"/>
              <w:right w:val="single" w:sz="4" w:space="0" w:color="000000"/>
            </w:tcBorders>
          </w:tcPr>
          <w:p w14:paraId="3C797589" w14:textId="77777777" w:rsidR="004D3ED0" w:rsidRDefault="004124F9">
            <w:pPr>
              <w:spacing w:line="254" w:lineRule="auto"/>
              <w:jc w:val="both"/>
              <w:rPr>
                <w:sz w:val="18"/>
                <w:szCs w:val="18"/>
              </w:rPr>
            </w:pPr>
            <w:r>
              <w:rPr>
                <w:sz w:val="18"/>
                <w:szCs w:val="18"/>
              </w:rPr>
              <w:t>6</w:t>
            </w:r>
          </w:p>
        </w:tc>
        <w:tc>
          <w:tcPr>
            <w:tcW w:w="2126" w:type="dxa"/>
            <w:tcBorders>
              <w:top w:val="single" w:sz="4" w:space="0" w:color="000000"/>
              <w:left w:val="single" w:sz="4" w:space="0" w:color="000000"/>
              <w:bottom w:val="single" w:sz="4" w:space="0" w:color="000000"/>
              <w:right w:val="single" w:sz="4" w:space="0" w:color="000000"/>
            </w:tcBorders>
          </w:tcPr>
          <w:p w14:paraId="3C79758A" w14:textId="77777777" w:rsidR="004D3ED0" w:rsidRDefault="004124F9">
            <w:r>
              <w:t>KAP</w:t>
            </w:r>
          </w:p>
        </w:tc>
        <w:tc>
          <w:tcPr>
            <w:tcW w:w="3261" w:type="dxa"/>
            <w:tcBorders>
              <w:top w:val="single" w:sz="4" w:space="0" w:color="000000"/>
              <w:left w:val="single" w:sz="4" w:space="0" w:color="000000"/>
              <w:bottom w:val="single" w:sz="4" w:space="0" w:color="000000"/>
              <w:right w:val="single" w:sz="4" w:space="0" w:color="000000"/>
            </w:tcBorders>
          </w:tcPr>
          <w:p w14:paraId="3C79758B" w14:textId="77777777" w:rsidR="004D3ED0" w:rsidRDefault="004124F9">
            <w:r>
              <w:t>Dane podmiotów,  opisy usług, adresu e-usług, wzory dokumentów, poradniki</w:t>
            </w:r>
          </w:p>
        </w:tc>
        <w:tc>
          <w:tcPr>
            <w:tcW w:w="3186" w:type="dxa"/>
            <w:tcBorders>
              <w:top w:val="single" w:sz="4" w:space="0" w:color="000000"/>
              <w:left w:val="single" w:sz="4" w:space="0" w:color="000000"/>
              <w:bottom w:val="single" w:sz="4" w:space="0" w:color="000000"/>
              <w:right w:val="single" w:sz="4" w:space="0" w:color="000000"/>
            </w:tcBorders>
          </w:tcPr>
          <w:p w14:paraId="3C79758C" w14:textId="77777777" w:rsidR="004D3ED0" w:rsidRDefault="004124F9">
            <w:r>
              <w:t>Web service</w:t>
            </w:r>
          </w:p>
        </w:tc>
      </w:tr>
      <w:tr w:rsidR="004D3ED0" w14:paraId="3C797592" w14:textId="77777777">
        <w:trPr>
          <w:jc w:val="center"/>
        </w:trPr>
        <w:tc>
          <w:tcPr>
            <w:tcW w:w="639" w:type="dxa"/>
            <w:tcBorders>
              <w:top w:val="single" w:sz="4" w:space="0" w:color="000000"/>
              <w:left w:val="single" w:sz="4" w:space="0" w:color="000000"/>
              <w:bottom w:val="single" w:sz="4" w:space="0" w:color="000000"/>
              <w:right w:val="single" w:sz="4" w:space="0" w:color="000000"/>
            </w:tcBorders>
          </w:tcPr>
          <w:p w14:paraId="3C79758E" w14:textId="77777777" w:rsidR="004D3ED0" w:rsidRDefault="004124F9">
            <w:pPr>
              <w:spacing w:line="254" w:lineRule="auto"/>
              <w:jc w:val="both"/>
              <w:rPr>
                <w:sz w:val="18"/>
                <w:szCs w:val="18"/>
              </w:rPr>
            </w:pPr>
            <w:r>
              <w:rPr>
                <w:sz w:val="18"/>
                <w:szCs w:val="18"/>
              </w:rPr>
              <w:t>7</w:t>
            </w:r>
          </w:p>
        </w:tc>
        <w:tc>
          <w:tcPr>
            <w:tcW w:w="2126" w:type="dxa"/>
            <w:tcBorders>
              <w:top w:val="single" w:sz="4" w:space="0" w:color="000000"/>
              <w:left w:val="single" w:sz="4" w:space="0" w:color="000000"/>
              <w:bottom w:val="single" w:sz="4" w:space="0" w:color="000000"/>
              <w:right w:val="single" w:sz="4" w:space="0" w:color="000000"/>
            </w:tcBorders>
          </w:tcPr>
          <w:p w14:paraId="3C79758F" w14:textId="77777777" w:rsidR="004D3ED0" w:rsidRDefault="004124F9">
            <w:r>
              <w:t>Hurtownia Danych</w:t>
            </w:r>
          </w:p>
        </w:tc>
        <w:tc>
          <w:tcPr>
            <w:tcW w:w="3261" w:type="dxa"/>
            <w:tcBorders>
              <w:top w:val="single" w:sz="4" w:space="0" w:color="000000"/>
              <w:left w:val="single" w:sz="4" w:space="0" w:color="000000"/>
              <w:bottom w:val="single" w:sz="4" w:space="0" w:color="000000"/>
              <w:right w:val="single" w:sz="4" w:space="0" w:color="000000"/>
            </w:tcBorders>
          </w:tcPr>
          <w:p w14:paraId="3C797590" w14:textId="77777777" w:rsidR="004D3ED0" w:rsidRDefault="004124F9">
            <w:r>
              <w:rPr>
                <w:rFonts w:ascii="Segoe UI" w:hAnsi="Segoe UI" w:cs="Segoe UI"/>
                <w:color w:val="242424"/>
                <w:shd w:val="clear" w:color="auto" w:fill="FFFFFF"/>
              </w:rPr>
              <w:t>Zbiór ról UID</w:t>
            </w:r>
          </w:p>
        </w:tc>
        <w:tc>
          <w:tcPr>
            <w:tcW w:w="3186" w:type="dxa"/>
            <w:tcBorders>
              <w:top w:val="single" w:sz="4" w:space="0" w:color="000000"/>
              <w:left w:val="single" w:sz="4" w:space="0" w:color="000000"/>
              <w:bottom w:val="single" w:sz="4" w:space="0" w:color="000000"/>
              <w:right w:val="single" w:sz="4" w:space="0" w:color="000000"/>
            </w:tcBorders>
          </w:tcPr>
          <w:p w14:paraId="3C797591" w14:textId="77777777" w:rsidR="004D3ED0" w:rsidRDefault="004124F9">
            <w:r>
              <w:t>Web service</w:t>
            </w:r>
          </w:p>
        </w:tc>
      </w:tr>
      <w:tr w:rsidR="004D3ED0" w14:paraId="3C797597" w14:textId="77777777">
        <w:trPr>
          <w:jc w:val="center"/>
        </w:trPr>
        <w:tc>
          <w:tcPr>
            <w:tcW w:w="639" w:type="dxa"/>
            <w:tcBorders>
              <w:top w:val="single" w:sz="4" w:space="0" w:color="000000"/>
              <w:left w:val="single" w:sz="4" w:space="0" w:color="000000"/>
              <w:bottom w:val="single" w:sz="4" w:space="0" w:color="000000"/>
              <w:right w:val="single" w:sz="4" w:space="0" w:color="000000"/>
            </w:tcBorders>
          </w:tcPr>
          <w:p w14:paraId="3C797593" w14:textId="77777777" w:rsidR="004D3ED0" w:rsidRDefault="004124F9">
            <w:pPr>
              <w:spacing w:line="254" w:lineRule="auto"/>
              <w:jc w:val="both"/>
              <w:rPr>
                <w:sz w:val="18"/>
                <w:szCs w:val="18"/>
              </w:rPr>
            </w:pPr>
            <w:r>
              <w:rPr>
                <w:sz w:val="18"/>
                <w:szCs w:val="18"/>
              </w:rPr>
              <w:t>8</w:t>
            </w:r>
          </w:p>
        </w:tc>
        <w:tc>
          <w:tcPr>
            <w:tcW w:w="2126" w:type="dxa"/>
            <w:tcBorders>
              <w:top w:val="single" w:sz="4" w:space="0" w:color="000000"/>
              <w:left w:val="single" w:sz="4" w:space="0" w:color="000000"/>
              <w:bottom w:val="single" w:sz="4" w:space="0" w:color="000000"/>
              <w:right w:val="single" w:sz="4" w:space="0" w:color="000000"/>
            </w:tcBorders>
          </w:tcPr>
          <w:p w14:paraId="3C797594" w14:textId="77777777" w:rsidR="004D3ED0" w:rsidRDefault="004124F9">
            <w:r>
              <w:t>ZUS</w:t>
            </w:r>
          </w:p>
        </w:tc>
        <w:tc>
          <w:tcPr>
            <w:tcW w:w="3261" w:type="dxa"/>
            <w:tcBorders>
              <w:top w:val="single" w:sz="4" w:space="0" w:color="000000"/>
              <w:left w:val="single" w:sz="4" w:space="0" w:color="000000"/>
              <w:bottom w:val="single" w:sz="4" w:space="0" w:color="000000"/>
              <w:right w:val="single" w:sz="4" w:space="0" w:color="000000"/>
            </w:tcBorders>
          </w:tcPr>
          <w:p w14:paraId="3C797595" w14:textId="77777777" w:rsidR="004D3ED0" w:rsidRDefault="004124F9">
            <w:r>
              <w:t xml:space="preserve">Dane </w:t>
            </w:r>
            <w:r>
              <w:t>użytkownika, ID skrzynki ZUS</w:t>
            </w:r>
          </w:p>
        </w:tc>
        <w:tc>
          <w:tcPr>
            <w:tcW w:w="3186" w:type="dxa"/>
            <w:tcBorders>
              <w:top w:val="single" w:sz="4" w:space="0" w:color="000000"/>
              <w:left w:val="single" w:sz="4" w:space="0" w:color="000000"/>
              <w:bottom w:val="single" w:sz="4" w:space="0" w:color="000000"/>
              <w:right w:val="single" w:sz="4" w:space="0" w:color="000000"/>
            </w:tcBorders>
          </w:tcPr>
          <w:p w14:paraId="3C797596" w14:textId="77777777" w:rsidR="004D3ED0" w:rsidRDefault="004124F9">
            <w:r>
              <w:t>zgodnie z WSDL dostawcy ZUS</w:t>
            </w:r>
          </w:p>
        </w:tc>
      </w:tr>
      <w:tr w:rsidR="004D3ED0" w14:paraId="3C79759C" w14:textId="77777777">
        <w:trPr>
          <w:jc w:val="center"/>
        </w:trPr>
        <w:tc>
          <w:tcPr>
            <w:tcW w:w="639" w:type="dxa"/>
            <w:tcBorders>
              <w:top w:val="single" w:sz="4" w:space="0" w:color="000000"/>
              <w:left w:val="single" w:sz="4" w:space="0" w:color="000000"/>
              <w:bottom w:val="single" w:sz="4" w:space="0" w:color="000000"/>
              <w:right w:val="single" w:sz="4" w:space="0" w:color="000000"/>
            </w:tcBorders>
          </w:tcPr>
          <w:p w14:paraId="3C797598" w14:textId="77777777" w:rsidR="004D3ED0" w:rsidRDefault="004124F9">
            <w:pPr>
              <w:spacing w:line="254" w:lineRule="auto"/>
              <w:jc w:val="both"/>
              <w:rPr>
                <w:sz w:val="18"/>
                <w:szCs w:val="18"/>
              </w:rPr>
            </w:pPr>
            <w:r>
              <w:rPr>
                <w:sz w:val="18"/>
                <w:szCs w:val="18"/>
              </w:rPr>
              <w:t>9</w:t>
            </w:r>
          </w:p>
        </w:tc>
        <w:tc>
          <w:tcPr>
            <w:tcW w:w="2126" w:type="dxa"/>
            <w:tcBorders>
              <w:top w:val="single" w:sz="4" w:space="0" w:color="000000"/>
              <w:left w:val="single" w:sz="4" w:space="0" w:color="000000"/>
              <w:bottom w:val="single" w:sz="4" w:space="0" w:color="000000"/>
              <w:right w:val="single" w:sz="4" w:space="0" w:color="000000"/>
            </w:tcBorders>
          </w:tcPr>
          <w:p w14:paraId="3C797599" w14:textId="77777777" w:rsidR="004D3ED0" w:rsidRDefault="004124F9">
            <w:r>
              <w:t>Tracker</w:t>
            </w:r>
          </w:p>
        </w:tc>
        <w:tc>
          <w:tcPr>
            <w:tcW w:w="3261" w:type="dxa"/>
            <w:tcBorders>
              <w:top w:val="single" w:sz="4" w:space="0" w:color="000000"/>
              <w:left w:val="single" w:sz="4" w:space="0" w:color="000000"/>
              <w:bottom w:val="single" w:sz="4" w:space="0" w:color="000000"/>
              <w:right w:val="single" w:sz="4" w:space="0" w:color="000000"/>
            </w:tcBorders>
          </w:tcPr>
          <w:p w14:paraId="3C79759A" w14:textId="77777777" w:rsidR="004D3ED0" w:rsidRDefault="004124F9">
            <w:r>
              <w:t xml:space="preserve">Token JWT,  statusy spraw, </w:t>
            </w:r>
            <w:r>
              <w:rPr>
                <w:rStyle w:val="ui-provider"/>
              </w:rPr>
              <w:t>dane rejestru zezwoleń</w:t>
            </w:r>
          </w:p>
        </w:tc>
        <w:tc>
          <w:tcPr>
            <w:tcW w:w="3186" w:type="dxa"/>
            <w:tcBorders>
              <w:top w:val="single" w:sz="4" w:space="0" w:color="000000"/>
              <w:left w:val="single" w:sz="4" w:space="0" w:color="000000"/>
              <w:bottom w:val="single" w:sz="4" w:space="0" w:color="000000"/>
              <w:right w:val="single" w:sz="4" w:space="0" w:color="000000"/>
            </w:tcBorders>
          </w:tcPr>
          <w:p w14:paraId="3C79759B" w14:textId="77777777" w:rsidR="004D3ED0" w:rsidRDefault="004124F9">
            <w:r>
              <w:t>Web service</w:t>
            </w:r>
          </w:p>
        </w:tc>
      </w:tr>
    </w:tbl>
    <w:p w14:paraId="3C79759D" w14:textId="77777777" w:rsidR="004D3ED0" w:rsidRDefault="004D3ED0"/>
    <w:p w14:paraId="3C79759E" w14:textId="77777777" w:rsidR="004D3ED0" w:rsidRDefault="004124F9">
      <w:pPr>
        <w:pStyle w:val="Nagwek3"/>
        <w:spacing w:after="240"/>
      </w:pPr>
      <w:bookmarkStart w:id="10" w:name="_Toc53743875"/>
      <w:bookmarkStart w:id="11" w:name="_Toc153975844"/>
      <w:r>
        <w:t>Moduł ELF</w:t>
      </w:r>
      <w:bookmarkEnd w:id="10"/>
      <w:bookmarkEnd w:id="11"/>
    </w:p>
    <w:p w14:paraId="3C79759F" w14:textId="77777777" w:rsidR="004D3ED0" w:rsidRDefault="004124F9">
      <w:pPr>
        <w:rPr>
          <w:rFonts w:cstheme="minorHAnsi"/>
          <w:sz w:val="24"/>
        </w:rPr>
      </w:pPr>
      <w:r>
        <w:rPr>
          <w:rFonts w:cstheme="minorHAnsi"/>
          <w:sz w:val="24"/>
        </w:rPr>
        <w:t>Usługi modułu eLF zostały udostępnione poprzez domenę biznes.gov.pl co wiąże się z uruchomieniem na serwerach portalu www.biznes.gov.pl obsługi serwera proxy. Serwer strony www.biznes.gov.pl przekazuje żądania dla wybranych kontekstów do dalszego serwera proxy który po dokonaniu dodatkowych modyfikacji nagłówków, przekazuje połączenie do środowiska Kubernets.</w:t>
      </w:r>
    </w:p>
    <w:p w14:paraId="3C7975A0" w14:textId="77777777" w:rsidR="004D3ED0" w:rsidRDefault="004124F9">
      <w:pPr>
        <w:rPr>
          <w:rFonts w:cstheme="minorHAnsi"/>
          <w:sz w:val="24"/>
        </w:rPr>
      </w:pPr>
      <w:r>
        <w:rPr>
          <w:rFonts w:cstheme="minorHAnsi"/>
          <w:sz w:val="24"/>
        </w:rPr>
        <w:t xml:space="preserve">Moduł eLF składa się z dwóch głównych modułów pełniących różne funkcjonalności. Te komponenty jednak współpracują ze sobą i korzystają z tego samego środowiska Kubernetes, sieci i domen. </w:t>
      </w:r>
    </w:p>
    <w:p w14:paraId="3C7975A1" w14:textId="77777777" w:rsidR="004D3ED0" w:rsidRDefault="004124F9">
      <w:pPr>
        <w:spacing w:before="240"/>
        <w:rPr>
          <w:rFonts w:cstheme="minorHAnsi"/>
          <w:sz w:val="24"/>
        </w:rPr>
      </w:pPr>
      <w:r>
        <w:rPr>
          <w:rFonts w:cstheme="minorHAnsi"/>
          <w:sz w:val="24"/>
        </w:rPr>
        <w:t xml:space="preserve">Ponieważ w infrastrukturze wykorzystana została technologia serwerów kasetowych, ich działanie jest nierozerwalnie związane z kasetowymi przełącznikami sieciowymi, przełącznikami SAN oraz macierzą dyskową. Wszystkie serwery blade nie posiadają dysków twardych. Wszystkie dane związane z maszynami wirtualnymi przechowywane są na jednym z woluminów macierzy dyskowej.  </w:t>
      </w:r>
    </w:p>
    <w:p w14:paraId="3C7975A2" w14:textId="77777777" w:rsidR="004D3ED0" w:rsidRDefault="004124F9">
      <w:pPr>
        <w:spacing w:before="240"/>
        <w:rPr>
          <w:rFonts w:cstheme="minorHAnsi"/>
          <w:sz w:val="24"/>
        </w:rPr>
      </w:pPr>
      <w:r>
        <w:rPr>
          <w:rFonts w:cstheme="minorHAnsi"/>
          <w:sz w:val="24"/>
        </w:rPr>
        <w:t xml:space="preserve">Moduł „Runtime” korzysta z 4 serwerów baz danych. Moduł „Konfigurator” korzysta z trzech serwerów baz danych. Na poszczególnych serwerach są zainstalowane i uruchomione różne </w:t>
      </w:r>
      <w:r>
        <w:rPr>
          <w:rFonts w:cstheme="minorHAnsi"/>
          <w:sz w:val="24"/>
        </w:rPr>
        <w:lastRenderedPageBreak/>
        <w:t xml:space="preserve">systemy baz danych lub podobne </w:t>
      </w:r>
      <w:r>
        <w:rPr>
          <w:rFonts w:cstheme="minorHAnsi"/>
          <w:sz w:val="24"/>
        </w:rPr>
        <w:t>usługi. Ich rozmieszczenie na serwerach oraz wykorzystanie przez poszczególne komponentu prezentuje poniższa tabela.</w:t>
      </w:r>
    </w:p>
    <w:p w14:paraId="3C7975A3" w14:textId="77777777" w:rsidR="004D3ED0" w:rsidRDefault="004124F9">
      <w:pPr>
        <w:pStyle w:val="Nagwek4"/>
        <w:spacing w:after="240"/>
      </w:pPr>
      <w:bookmarkStart w:id="12" w:name="_Toc53743876"/>
      <w:r>
        <w:t>Konfigurator</w:t>
      </w:r>
      <w:bookmarkEnd w:id="12"/>
    </w:p>
    <w:p w14:paraId="3C7975A4" w14:textId="77777777" w:rsidR="004D3ED0" w:rsidRDefault="004124F9">
      <w:pPr>
        <w:rPr>
          <w:rFonts w:cstheme="minorHAnsi"/>
          <w:sz w:val="24"/>
        </w:rPr>
      </w:pPr>
      <w:r>
        <w:rPr>
          <w:rFonts w:cstheme="minorHAnsi"/>
          <w:sz w:val="24"/>
        </w:rPr>
        <w:t>Usługa Konfigurator.biznes.gov.pl części modułu eLF, która jest również uruchomiona w środowisku Kubernetes. Udostępnienie następuje na serwerze proxy, na odrębnym adresie IP, na którym są udostępnione protokołu HTTP i HTTPS Oba protokoły na standardowych portach 80/TCP i 443/TCP są udostępniona na zewnątrz poprzez urządzenia infrastruktury sieciowe.</w:t>
      </w:r>
    </w:p>
    <w:p w14:paraId="3C7975A5" w14:textId="77777777" w:rsidR="004D3ED0" w:rsidRDefault="004124F9">
      <w:pPr>
        <w:pStyle w:val="Nagwek4"/>
        <w:spacing w:after="240"/>
      </w:pPr>
      <w:bookmarkStart w:id="13" w:name="_Toc53743877"/>
      <w:r>
        <w:t>Runtime</w:t>
      </w:r>
      <w:bookmarkEnd w:id="13"/>
      <w:r>
        <w:t xml:space="preserve"> </w:t>
      </w:r>
    </w:p>
    <w:p w14:paraId="3C7975A6" w14:textId="77777777" w:rsidR="004D3ED0" w:rsidRDefault="004124F9">
      <w:pPr>
        <w:rPr>
          <w:rFonts w:cstheme="minorHAnsi"/>
          <w:sz w:val="24"/>
        </w:rPr>
      </w:pPr>
      <w:r>
        <w:rPr>
          <w:rFonts w:cstheme="minorHAnsi"/>
          <w:sz w:val="24"/>
        </w:rPr>
        <w:t>Komponent Runtime jest umownym elementem modułu platformy eLF. Cały komponent jest zbiorem mikro serwisów do realizacji usług online w systemie. Schemat procesu realizacji suług online w module ELF został zaprezentowany na obrazku poniżej.</w:t>
      </w:r>
    </w:p>
    <w:p w14:paraId="3C7975A7" w14:textId="77777777" w:rsidR="004D3ED0" w:rsidRDefault="004124F9">
      <w:pPr>
        <w:keepNext/>
      </w:pPr>
      <w:r>
        <w:rPr>
          <w:noProof/>
        </w:rPr>
        <w:drawing>
          <wp:inline distT="0" distB="0" distL="0" distR="0" wp14:anchorId="3C797620" wp14:editId="3C797621">
            <wp:extent cx="5760720" cy="4326890"/>
            <wp:effectExtent l="0" t="0" r="0" b="0"/>
            <wp:docPr id="3"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4"/>
                    <pic:cNvPicPr>
                      <a:picLocks noChangeAspect="1" noChangeArrowheads="1"/>
                    </pic:cNvPicPr>
                  </pic:nvPicPr>
                  <pic:blipFill>
                    <a:blip r:embed="rId24"/>
                    <a:stretch>
                      <a:fillRect/>
                    </a:stretch>
                  </pic:blipFill>
                  <pic:spPr bwMode="auto">
                    <a:xfrm>
                      <a:off x="0" y="0"/>
                      <a:ext cx="5760720" cy="4326890"/>
                    </a:xfrm>
                    <a:prstGeom prst="rect">
                      <a:avLst/>
                    </a:prstGeom>
                  </pic:spPr>
                </pic:pic>
              </a:graphicData>
            </a:graphic>
          </wp:inline>
        </w:drawing>
      </w:r>
    </w:p>
    <w:p w14:paraId="3C7975A8" w14:textId="77777777" w:rsidR="004D3ED0" w:rsidRDefault="004124F9">
      <w:pPr>
        <w:pStyle w:val="Legenda"/>
        <w:rPr>
          <w:rFonts w:ascii="Times New Roman" w:hAnsi="Times New Roman" w:cs="Times New Roman"/>
          <w:color w:val="auto"/>
          <w:sz w:val="24"/>
        </w:rPr>
      </w:pPr>
      <w:bookmarkStart w:id="14" w:name="_Toc156553657"/>
      <w:r>
        <w:t xml:space="preserve">Rysunek </w:t>
      </w:r>
      <w:r>
        <w:fldChar w:fldCharType="begin"/>
      </w:r>
      <w:r>
        <w:instrText xml:space="preserve"> SEQ Rysunek \* ARABIC </w:instrText>
      </w:r>
      <w:r>
        <w:fldChar w:fldCharType="separate"/>
      </w:r>
      <w:r>
        <w:t>3</w:t>
      </w:r>
      <w:r>
        <w:fldChar w:fldCharType="end"/>
      </w:r>
      <w:r>
        <w:t xml:space="preserve"> Proces realizacji usług online na platformie eLF</w:t>
      </w:r>
      <w:bookmarkEnd w:id="14"/>
    </w:p>
    <w:p w14:paraId="3C7975A9" w14:textId="77777777" w:rsidR="004D3ED0" w:rsidRDefault="004124F9">
      <w:pPr>
        <w:rPr>
          <w:rFonts w:cstheme="minorHAnsi"/>
          <w:sz w:val="24"/>
          <w:szCs w:val="24"/>
        </w:rPr>
      </w:pPr>
      <w:r>
        <w:rPr>
          <w:rFonts w:cstheme="minorHAnsi"/>
          <w:sz w:val="24"/>
          <w:szCs w:val="24"/>
        </w:rPr>
        <w:t>Natomiast na rysunku poniżej przedstawiono diagram architektury logicznej podsystemu runtime wchodzącego w skład modułu ELF.</w:t>
      </w:r>
    </w:p>
    <w:p w14:paraId="3C7975AA" w14:textId="77777777" w:rsidR="004D3ED0" w:rsidRDefault="004124F9">
      <w:pPr>
        <w:keepNext/>
      </w:pPr>
      <w:r>
        <w:rPr>
          <w:noProof/>
        </w:rPr>
        <w:lastRenderedPageBreak/>
        <w:drawing>
          <wp:inline distT="0" distB="0" distL="0" distR="0" wp14:anchorId="3C797622" wp14:editId="3C797623">
            <wp:extent cx="5657850" cy="4283075"/>
            <wp:effectExtent l="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6"/>
                    <pic:cNvPicPr>
                      <a:picLocks noChangeAspect="1" noChangeArrowheads="1"/>
                    </pic:cNvPicPr>
                  </pic:nvPicPr>
                  <pic:blipFill>
                    <a:blip r:embed="rId25"/>
                    <a:stretch>
                      <a:fillRect/>
                    </a:stretch>
                  </pic:blipFill>
                  <pic:spPr bwMode="auto">
                    <a:xfrm>
                      <a:off x="0" y="0"/>
                      <a:ext cx="5657850" cy="4283075"/>
                    </a:xfrm>
                    <a:prstGeom prst="rect">
                      <a:avLst/>
                    </a:prstGeom>
                  </pic:spPr>
                </pic:pic>
              </a:graphicData>
            </a:graphic>
          </wp:inline>
        </w:drawing>
      </w:r>
    </w:p>
    <w:p w14:paraId="3C7975AB" w14:textId="77777777" w:rsidR="004D3ED0" w:rsidRDefault="004124F9">
      <w:pPr>
        <w:pStyle w:val="Legenda"/>
      </w:pPr>
      <w:bookmarkStart w:id="15" w:name="_Toc156553658"/>
      <w:r>
        <w:t xml:space="preserve">Rysunek </w:t>
      </w:r>
      <w:r>
        <w:fldChar w:fldCharType="begin"/>
      </w:r>
      <w:r>
        <w:instrText xml:space="preserve"> SEQ Rysunek \* ARABIC </w:instrText>
      </w:r>
      <w:r>
        <w:fldChar w:fldCharType="separate"/>
      </w:r>
      <w:r>
        <w:t>4</w:t>
      </w:r>
      <w:r>
        <w:fldChar w:fldCharType="end"/>
      </w:r>
      <w:r>
        <w:t xml:space="preserve"> Architektura logiczna ELF</w:t>
      </w:r>
      <w:bookmarkEnd w:id="15"/>
    </w:p>
    <w:p w14:paraId="3C7975AC" w14:textId="77777777" w:rsidR="004D3ED0" w:rsidRDefault="004124F9">
      <w:pPr>
        <w:pStyle w:val="Nagwek3"/>
        <w:spacing w:after="240"/>
      </w:pPr>
      <w:bookmarkStart w:id="16" w:name="_Toc153975845"/>
      <w:bookmarkStart w:id="17" w:name="_Toc53743878"/>
      <w:r>
        <w:t>Moduł Baza Wiedzy</w:t>
      </w:r>
      <w:bookmarkEnd w:id="16"/>
      <w:bookmarkEnd w:id="17"/>
    </w:p>
    <w:p w14:paraId="3C7975AD" w14:textId="77777777" w:rsidR="004D3ED0" w:rsidRDefault="004124F9">
      <w:pPr>
        <w:rPr>
          <w:rFonts w:cstheme="minorHAnsi"/>
          <w:sz w:val="24"/>
        </w:rPr>
      </w:pPr>
      <w:r>
        <w:rPr>
          <w:rFonts w:cstheme="minorHAnsi"/>
          <w:sz w:val="24"/>
        </w:rPr>
        <w:t>Baza Wiedzy jest podzielona na następujące moduły: Zaplecze, API, Konto oraz Logowanie. Na rysunku 9 przedstawiono diagram architektury fizycznej podsystemu Baza Wiedzy.</w:t>
      </w:r>
    </w:p>
    <w:p w14:paraId="3C7975AE" w14:textId="77777777" w:rsidR="004D3ED0" w:rsidRDefault="004124F9">
      <w:pPr>
        <w:keepNext/>
      </w:pPr>
      <w:r>
        <w:rPr>
          <w:noProof/>
        </w:rPr>
        <w:lastRenderedPageBreak/>
        <w:drawing>
          <wp:inline distT="0" distB="0" distL="0" distR="0" wp14:anchorId="3C797624" wp14:editId="3C797625">
            <wp:extent cx="5105400" cy="3986530"/>
            <wp:effectExtent l="0" t="0" r="0" b="0"/>
            <wp:docPr id="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7"/>
                    <pic:cNvPicPr>
                      <a:picLocks noChangeAspect="1" noChangeArrowheads="1"/>
                    </pic:cNvPicPr>
                  </pic:nvPicPr>
                  <pic:blipFill>
                    <a:blip r:embed="rId26"/>
                    <a:stretch>
                      <a:fillRect/>
                    </a:stretch>
                  </pic:blipFill>
                  <pic:spPr bwMode="auto">
                    <a:xfrm>
                      <a:off x="0" y="0"/>
                      <a:ext cx="5105400" cy="3986530"/>
                    </a:xfrm>
                    <a:prstGeom prst="rect">
                      <a:avLst/>
                    </a:prstGeom>
                  </pic:spPr>
                </pic:pic>
              </a:graphicData>
            </a:graphic>
          </wp:inline>
        </w:drawing>
      </w:r>
    </w:p>
    <w:p w14:paraId="3C7975AF" w14:textId="77777777" w:rsidR="004D3ED0" w:rsidRDefault="004124F9">
      <w:pPr>
        <w:pStyle w:val="Legenda"/>
      </w:pPr>
      <w:bookmarkStart w:id="18" w:name="_Toc156553659"/>
      <w:r>
        <w:t xml:space="preserve">Rysunek </w:t>
      </w:r>
      <w:r>
        <w:fldChar w:fldCharType="begin"/>
      </w:r>
      <w:r>
        <w:instrText xml:space="preserve"> SEQ Rysunek \* ARABIC </w:instrText>
      </w:r>
      <w:r>
        <w:fldChar w:fldCharType="separate"/>
      </w:r>
      <w:r>
        <w:t>5</w:t>
      </w:r>
      <w:r>
        <w:fldChar w:fldCharType="end"/>
      </w:r>
      <w:r>
        <w:t xml:space="preserve"> Architektura fizyczna podsystemu Baza Wiedzy</w:t>
      </w:r>
      <w:bookmarkEnd w:id="18"/>
    </w:p>
    <w:p w14:paraId="3C7975B0" w14:textId="77777777" w:rsidR="004D3ED0" w:rsidRDefault="004124F9">
      <w:pPr>
        <w:jc w:val="both"/>
        <w:rPr>
          <w:rFonts w:cstheme="minorHAnsi"/>
          <w:sz w:val="24"/>
          <w:szCs w:val="24"/>
        </w:rPr>
      </w:pPr>
      <w:r>
        <w:rPr>
          <w:rFonts w:cstheme="minorHAnsi"/>
          <w:sz w:val="24"/>
          <w:szCs w:val="24"/>
        </w:rPr>
        <w:t xml:space="preserve">Na rysunku 6 przedstawiono diagram architektury logicznej podsystemu Baza Wiedzy. </w:t>
      </w:r>
    </w:p>
    <w:p w14:paraId="3C7975B1" w14:textId="77777777" w:rsidR="004D3ED0" w:rsidRDefault="004D3ED0"/>
    <w:p w14:paraId="3C7975B2" w14:textId="77777777" w:rsidR="004D3ED0" w:rsidRDefault="004124F9">
      <w:pPr>
        <w:keepNext/>
      </w:pPr>
      <w:r>
        <w:rPr>
          <w:noProof/>
        </w:rPr>
        <w:lastRenderedPageBreak/>
        <w:drawing>
          <wp:inline distT="0" distB="0" distL="0" distR="0" wp14:anchorId="3C797626" wp14:editId="3C797627">
            <wp:extent cx="5304155" cy="4724400"/>
            <wp:effectExtent l="0" t="0" r="0" b="0"/>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11"/>
                    <pic:cNvPicPr>
                      <a:picLocks noChangeAspect="1" noChangeArrowheads="1"/>
                    </pic:cNvPicPr>
                  </pic:nvPicPr>
                  <pic:blipFill>
                    <a:blip r:embed="rId27"/>
                    <a:stretch>
                      <a:fillRect/>
                    </a:stretch>
                  </pic:blipFill>
                  <pic:spPr bwMode="auto">
                    <a:xfrm>
                      <a:off x="0" y="0"/>
                      <a:ext cx="5304155" cy="4724400"/>
                    </a:xfrm>
                    <a:prstGeom prst="rect">
                      <a:avLst/>
                    </a:prstGeom>
                  </pic:spPr>
                </pic:pic>
              </a:graphicData>
            </a:graphic>
          </wp:inline>
        </w:drawing>
      </w:r>
    </w:p>
    <w:p w14:paraId="3C7975B3" w14:textId="77777777" w:rsidR="004D3ED0" w:rsidRDefault="004124F9">
      <w:pPr>
        <w:pStyle w:val="Legenda"/>
      </w:pPr>
      <w:bookmarkStart w:id="19" w:name="_Toc156553660"/>
      <w:r>
        <w:t xml:space="preserve">Rysunek </w:t>
      </w:r>
      <w:r>
        <w:fldChar w:fldCharType="begin"/>
      </w:r>
      <w:r>
        <w:instrText xml:space="preserve"> SEQ Rysunek \* ARABIC </w:instrText>
      </w:r>
      <w:r>
        <w:fldChar w:fldCharType="separate"/>
      </w:r>
      <w:r>
        <w:t>6</w:t>
      </w:r>
      <w:r>
        <w:fldChar w:fldCharType="end"/>
      </w:r>
      <w:r>
        <w:t xml:space="preserve"> Architektura logiczna Bazy Wiedzy</w:t>
      </w:r>
      <w:bookmarkEnd w:id="19"/>
    </w:p>
    <w:p w14:paraId="3C7975B4" w14:textId="77777777" w:rsidR="004D3ED0" w:rsidRDefault="004124F9">
      <w:pPr>
        <w:rPr>
          <w:rFonts w:cstheme="minorHAnsi"/>
          <w:sz w:val="24"/>
        </w:rPr>
      </w:pPr>
      <w:r>
        <w:rPr>
          <w:rFonts w:cstheme="minorHAnsi"/>
          <w:sz w:val="24"/>
        </w:rPr>
        <w:t>Baza danych w Bazie Wiedzy zapewnia przechowywanie danych dla poszczególnych modułów tego modułu. Można w niej wyróżnić wydzielone obszary dla przechowywania danych  dotyczących:</w:t>
      </w:r>
    </w:p>
    <w:p w14:paraId="3C7975B5" w14:textId="77777777" w:rsidR="004D3ED0" w:rsidRDefault="004124F9">
      <w:pPr>
        <w:spacing w:after="0"/>
        <w:rPr>
          <w:rFonts w:cstheme="minorHAnsi"/>
          <w:sz w:val="24"/>
        </w:rPr>
      </w:pPr>
      <w:r>
        <w:rPr>
          <w:rFonts w:cstheme="minorHAnsi"/>
          <w:sz w:val="24"/>
        </w:rPr>
        <w:t>•</w:t>
      </w:r>
      <w:r>
        <w:rPr>
          <w:rFonts w:cstheme="minorHAnsi"/>
          <w:sz w:val="24"/>
        </w:rPr>
        <w:tab/>
        <w:t>Użytkowników i ich uprawnień</w:t>
      </w:r>
    </w:p>
    <w:p w14:paraId="3C7975B6" w14:textId="77777777" w:rsidR="004D3ED0" w:rsidRDefault="004124F9">
      <w:pPr>
        <w:spacing w:after="0"/>
        <w:rPr>
          <w:rFonts w:cstheme="minorHAnsi"/>
          <w:sz w:val="24"/>
        </w:rPr>
      </w:pPr>
      <w:r>
        <w:rPr>
          <w:rFonts w:cstheme="minorHAnsi"/>
          <w:sz w:val="24"/>
        </w:rPr>
        <w:t>•</w:t>
      </w:r>
      <w:r>
        <w:rPr>
          <w:rFonts w:cstheme="minorHAnsi"/>
          <w:sz w:val="24"/>
        </w:rPr>
        <w:tab/>
        <w:t xml:space="preserve">Raportów </w:t>
      </w:r>
    </w:p>
    <w:p w14:paraId="3C7975B7" w14:textId="77777777" w:rsidR="004D3ED0" w:rsidRDefault="004124F9">
      <w:pPr>
        <w:spacing w:after="0"/>
        <w:rPr>
          <w:rFonts w:cstheme="minorHAnsi"/>
          <w:sz w:val="24"/>
        </w:rPr>
      </w:pPr>
      <w:r>
        <w:rPr>
          <w:rFonts w:cstheme="minorHAnsi"/>
          <w:sz w:val="24"/>
        </w:rPr>
        <w:t>•</w:t>
      </w:r>
      <w:r>
        <w:rPr>
          <w:rFonts w:cstheme="minorHAnsi"/>
          <w:sz w:val="24"/>
        </w:rPr>
        <w:tab/>
        <w:t>Wiadomości pocztowych</w:t>
      </w:r>
    </w:p>
    <w:p w14:paraId="3C7975B8" w14:textId="77777777" w:rsidR="004D3ED0" w:rsidRDefault="004124F9">
      <w:pPr>
        <w:spacing w:after="0"/>
        <w:rPr>
          <w:rFonts w:cstheme="minorHAnsi"/>
          <w:sz w:val="24"/>
        </w:rPr>
      </w:pPr>
      <w:r>
        <w:rPr>
          <w:rFonts w:cstheme="minorHAnsi"/>
          <w:sz w:val="24"/>
        </w:rPr>
        <w:t>•</w:t>
      </w:r>
      <w:r>
        <w:rPr>
          <w:rFonts w:cstheme="minorHAnsi"/>
          <w:sz w:val="24"/>
        </w:rPr>
        <w:tab/>
        <w:t>Szablonów e-mail</w:t>
      </w:r>
    </w:p>
    <w:p w14:paraId="3C7975B9" w14:textId="77777777" w:rsidR="004D3ED0" w:rsidRDefault="004124F9">
      <w:pPr>
        <w:spacing w:after="0"/>
        <w:rPr>
          <w:rFonts w:cstheme="minorHAnsi"/>
          <w:sz w:val="24"/>
        </w:rPr>
      </w:pPr>
      <w:r>
        <w:rPr>
          <w:rFonts w:cstheme="minorHAnsi"/>
          <w:sz w:val="24"/>
        </w:rPr>
        <w:t>•</w:t>
      </w:r>
      <w:r>
        <w:rPr>
          <w:rFonts w:cstheme="minorHAnsi"/>
          <w:sz w:val="24"/>
        </w:rPr>
        <w:tab/>
        <w:t xml:space="preserve">Procesów </w:t>
      </w:r>
    </w:p>
    <w:p w14:paraId="3C7975BA" w14:textId="77777777" w:rsidR="004D3ED0" w:rsidRDefault="004124F9">
      <w:pPr>
        <w:spacing w:after="0"/>
        <w:rPr>
          <w:rFonts w:cstheme="minorHAnsi"/>
          <w:sz w:val="24"/>
        </w:rPr>
      </w:pPr>
      <w:r>
        <w:rPr>
          <w:rFonts w:cstheme="minorHAnsi"/>
          <w:sz w:val="24"/>
        </w:rPr>
        <w:t>•</w:t>
      </w:r>
      <w:r>
        <w:rPr>
          <w:rFonts w:cstheme="minorHAnsi"/>
          <w:sz w:val="24"/>
        </w:rPr>
        <w:tab/>
        <w:t>Poradników</w:t>
      </w:r>
    </w:p>
    <w:p w14:paraId="3C7975BB" w14:textId="77777777" w:rsidR="004D3ED0" w:rsidRDefault="004124F9">
      <w:pPr>
        <w:spacing w:after="0"/>
        <w:rPr>
          <w:rFonts w:cstheme="minorHAnsi"/>
          <w:sz w:val="24"/>
        </w:rPr>
      </w:pPr>
      <w:r>
        <w:rPr>
          <w:rFonts w:cstheme="minorHAnsi"/>
          <w:sz w:val="24"/>
        </w:rPr>
        <w:t>•</w:t>
      </w:r>
      <w:r>
        <w:rPr>
          <w:rFonts w:cstheme="minorHAnsi"/>
          <w:sz w:val="24"/>
        </w:rPr>
        <w:tab/>
        <w:t>Publikacji</w:t>
      </w:r>
    </w:p>
    <w:p w14:paraId="3C7975BC" w14:textId="77777777" w:rsidR="004D3ED0" w:rsidRDefault="004124F9">
      <w:pPr>
        <w:spacing w:after="0"/>
        <w:rPr>
          <w:rFonts w:cstheme="minorHAnsi"/>
          <w:sz w:val="24"/>
        </w:rPr>
      </w:pPr>
      <w:r>
        <w:rPr>
          <w:rFonts w:cstheme="minorHAnsi"/>
          <w:sz w:val="24"/>
        </w:rPr>
        <w:t>•</w:t>
      </w:r>
      <w:r>
        <w:rPr>
          <w:rFonts w:cstheme="minorHAnsi"/>
          <w:sz w:val="24"/>
        </w:rPr>
        <w:tab/>
      </w:r>
      <w:r>
        <w:rPr>
          <w:rFonts w:cstheme="minorHAnsi"/>
          <w:sz w:val="24"/>
        </w:rPr>
        <w:t>Instytucji</w:t>
      </w:r>
    </w:p>
    <w:p w14:paraId="3C7975BD" w14:textId="77777777" w:rsidR="004D3ED0" w:rsidRDefault="004124F9">
      <w:pPr>
        <w:spacing w:after="0"/>
        <w:rPr>
          <w:rFonts w:cstheme="minorHAnsi"/>
          <w:sz w:val="24"/>
        </w:rPr>
      </w:pPr>
      <w:r>
        <w:rPr>
          <w:rFonts w:cstheme="minorHAnsi"/>
          <w:sz w:val="24"/>
        </w:rPr>
        <w:t>•</w:t>
      </w:r>
      <w:r>
        <w:rPr>
          <w:rFonts w:cstheme="minorHAnsi"/>
          <w:sz w:val="24"/>
        </w:rPr>
        <w:tab/>
        <w:t>Opinii użytkowników</w:t>
      </w:r>
    </w:p>
    <w:p w14:paraId="3C7975BE" w14:textId="77777777" w:rsidR="004D3ED0" w:rsidRDefault="004124F9">
      <w:pPr>
        <w:spacing w:after="0"/>
        <w:rPr>
          <w:rFonts w:cstheme="minorHAnsi"/>
          <w:sz w:val="24"/>
        </w:rPr>
      </w:pPr>
      <w:r>
        <w:rPr>
          <w:rFonts w:cstheme="minorHAnsi"/>
          <w:sz w:val="24"/>
        </w:rPr>
        <w:t>•</w:t>
      </w:r>
      <w:r>
        <w:rPr>
          <w:rFonts w:cstheme="minorHAnsi"/>
          <w:sz w:val="24"/>
        </w:rPr>
        <w:tab/>
        <w:t>Wzorów dokumentów</w:t>
      </w:r>
    </w:p>
    <w:p w14:paraId="3C7975BF" w14:textId="77777777" w:rsidR="004D3ED0" w:rsidRDefault="004124F9">
      <w:pPr>
        <w:spacing w:after="0"/>
        <w:rPr>
          <w:rFonts w:cstheme="minorHAnsi"/>
          <w:sz w:val="24"/>
        </w:rPr>
      </w:pPr>
      <w:r>
        <w:rPr>
          <w:rFonts w:cstheme="minorHAnsi"/>
          <w:sz w:val="24"/>
        </w:rPr>
        <w:t>•</w:t>
      </w:r>
      <w:r>
        <w:rPr>
          <w:rFonts w:cstheme="minorHAnsi"/>
          <w:sz w:val="24"/>
        </w:rPr>
        <w:tab/>
        <w:t>Słowników</w:t>
      </w:r>
    </w:p>
    <w:p w14:paraId="3C7975C0" w14:textId="77777777" w:rsidR="004D3ED0" w:rsidRDefault="004124F9">
      <w:pPr>
        <w:spacing w:after="0"/>
        <w:rPr>
          <w:rFonts w:cstheme="minorHAnsi"/>
          <w:sz w:val="24"/>
        </w:rPr>
      </w:pPr>
      <w:r>
        <w:rPr>
          <w:rFonts w:cstheme="minorHAnsi"/>
          <w:sz w:val="24"/>
        </w:rPr>
        <w:t>•</w:t>
      </w:r>
      <w:r>
        <w:rPr>
          <w:rFonts w:cstheme="minorHAnsi"/>
          <w:sz w:val="24"/>
        </w:rPr>
        <w:tab/>
        <w:t>Aktów prawnych</w:t>
      </w:r>
    </w:p>
    <w:p w14:paraId="3C7975C1" w14:textId="77777777" w:rsidR="004D3ED0" w:rsidRDefault="004124F9">
      <w:pPr>
        <w:rPr>
          <w:rFonts w:cstheme="minorHAnsi"/>
          <w:sz w:val="24"/>
        </w:rPr>
      </w:pPr>
      <w:r>
        <w:rPr>
          <w:rFonts w:cstheme="minorHAnsi"/>
          <w:sz w:val="24"/>
        </w:rPr>
        <w:t>•</w:t>
      </w:r>
      <w:r>
        <w:rPr>
          <w:rFonts w:cstheme="minorHAnsi"/>
          <w:sz w:val="24"/>
        </w:rPr>
        <w:tab/>
        <w:t>Tłumaczeń</w:t>
      </w:r>
    </w:p>
    <w:p w14:paraId="3C7975C2" w14:textId="77777777" w:rsidR="004D3ED0" w:rsidRDefault="004124F9">
      <w:pPr>
        <w:pStyle w:val="Nagwek4"/>
        <w:spacing w:after="240"/>
      </w:pPr>
      <w:bookmarkStart w:id="20" w:name="_Toc53743880"/>
      <w:r>
        <w:lastRenderedPageBreak/>
        <w:t>Api.biznes.gov.pl</w:t>
      </w:r>
      <w:bookmarkEnd w:id="20"/>
    </w:p>
    <w:p w14:paraId="3C7975C3" w14:textId="77777777" w:rsidR="004D3ED0" w:rsidRDefault="004124F9">
      <w:pPr>
        <w:rPr>
          <w:rFonts w:cstheme="minorHAnsi"/>
          <w:sz w:val="24"/>
        </w:rPr>
      </w:pPr>
      <w:r>
        <w:rPr>
          <w:rFonts w:cstheme="minorHAnsi"/>
          <w:sz w:val="24"/>
        </w:rPr>
        <w:t xml:space="preserve">Interfejs komunikacji do udostępnienia danych zgromadzonych w Bazie Wiedzy zarówno wewnętrznym modułom serwisu biznes.gov.pl (np. portal, platforma e-usług) jak i zewnętrznym serwisom. </w:t>
      </w:r>
    </w:p>
    <w:p w14:paraId="3C7975C4" w14:textId="77777777" w:rsidR="004D3ED0" w:rsidRDefault="004124F9">
      <w:pPr>
        <w:rPr>
          <w:rFonts w:cstheme="minorHAnsi"/>
          <w:sz w:val="24"/>
        </w:rPr>
      </w:pPr>
      <w:r>
        <w:rPr>
          <w:rFonts w:cstheme="minorHAnsi"/>
          <w:sz w:val="24"/>
        </w:rPr>
        <w:t xml:space="preserve">Metody API pozwalają między innymi na: pobranie danych o usługach oraz pobranie szczegółów usługi w kontekście wybranego podmiotu realizującego, wyszukanie usług, wyszukanie PKD, pobranie publikacji, wyszukanie i uruchomienie poradników, wysyłkę wiadomości e-mail, wyszukanie instytucji oraz pobranie informacji na jej temat itd. Wybrane funkcje API pozwalają na wskazanie języka, w jakim oczekują informację zwrotną z API. </w:t>
      </w:r>
    </w:p>
    <w:p w14:paraId="3C7975C5" w14:textId="77777777" w:rsidR="004D3ED0" w:rsidRDefault="004124F9">
      <w:pPr>
        <w:rPr>
          <w:rFonts w:cstheme="minorHAnsi"/>
          <w:sz w:val="24"/>
        </w:rPr>
      </w:pPr>
      <w:r>
        <w:rPr>
          <w:rFonts w:cstheme="minorHAnsi"/>
          <w:sz w:val="24"/>
        </w:rPr>
        <w:t>API wykorzystuje cache w celu przyspieszenia odpowiedzi na powtarzające się zapytania.</w:t>
      </w:r>
    </w:p>
    <w:p w14:paraId="3C7975C6" w14:textId="77777777" w:rsidR="004D3ED0" w:rsidRDefault="004124F9">
      <w:pPr>
        <w:pStyle w:val="Nagwek4"/>
        <w:spacing w:after="240"/>
      </w:pPr>
      <w:bookmarkStart w:id="21" w:name="_Toc53743881"/>
      <w:r>
        <w:t>Zaplecze.biznes.gov.pl</w:t>
      </w:r>
      <w:bookmarkEnd w:id="21"/>
    </w:p>
    <w:p w14:paraId="3C7975C7" w14:textId="77777777" w:rsidR="004D3ED0" w:rsidRDefault="004124F9">
      <w:pPr>
        <w:rPr>
          <w:rFonts w:cstheme="minorHAnsi"/>
          <w:sz w:val="24"/>
        </w:rPr>
      </w:pPr>
      <w:r>
        <w:rPr>
          <w:rFonts w:cstheme="minorHAnsi"/>
          <w:sz w:val="24"/>
        </w:rPr>
        <w:t xml:space="preserve">Stanowi główny element architektury Bazy Wiedzy. Zaplecze jest aplikacją webową umożliwiającą wyznaczonym pracownikom instytucji publicznych tworzenie i zarządzanie, w sposób procesowy, opisami usług i innymi danymi będącymi w zakresie odpowiedzialności danego organu właściwego. </w:t>
      </w:r>
    </w:p>
    <w:p w14:paraId="3C7975C8" w14:textId="77777777" w:rsidR="004D3ED0" w:rsidRDefault="004124F9">
      <w:pPr>
        <w:rPr>
          <w:rFonts w:cstheme="minorHAnsi"/>
          <w:sz w:val="24"/>
        </w:rPr>
      </w:pPr>
      <w:r>
        <w:rPr>
          <w:rFonts w:cstheme="minorHAnsi"/>
          <w:sz w:val="24"/>
        </w:rPr>
        <w:t xml:space="preserve">W architekturze Zaplecza można wyróżnić następujące wydzielone moduły: </w:t>
      </w:r>
    </w:p>
    <w:p w14:paraId="3C7975C9" w14:textId="77777777" w:rsidR="004D3ED0" w:rsidRDefault="004124F9">
      <w:pPr>
        <w:pStyle w:val="Akapitzlist"/>
        <w:numPr>
          <w:ilvl w:val="0"/>
          <w:numId w:val="5"/>
        </w:numPr>
        <w:pBdr>
          <w:top w:val="nil"/>
          <w:left w:val="nil"/>
          <w:bottom w:val="nil"/>
          <w:right w:val="nil"/>
        </w:pBdr>
        <w:spacing w:after="0"/>
        <w:rPr>
          <w:rFonts w:asciiTheme="minorHAnsi" w:hAnsiTheme="minorHAnsi" w:cstheme="minorHAnsi"/>
          <w:sz w:val="24"/>
        </w:rPr>
      </w:pPr>
      <w:r>
        <w:rPr>
          <w:rFonts w:cstheme="minorHAnsi"/>
          <w:sz w:val="24"/>
        </w:rPr>
        <w:t xml:space="preserve">Panel administracyjny – pozwala na administrację aplikacją Zaplecza oraz zarządzanie między innymi Rolami, Użytkownikami, Słownikami, Wiadomościami e-mail. </w:t>
      </w:r>
    </w:p>
    <w:p w14:paraId="3C7975CA" w14:textId="77777777" w:rsidR="004D3ED0" w:rsidRDefault="004124F9">
      <w:pPr>
        <w:pStyle w:val="Akapitzlist"/>
        <w:numPr>
          <w:ilvl w:val="0"/>
          <w:numId w:val="5"/>
        </w:numPr>
        <w:pBdr>
          <w:top w:val="nil"/>
          <w:left w:val="nil"/>
          <w:bottom w:val="nil"/>
          <w:right w:val="nil"/>
        </w:pBdr>
        <w:spacing w:after="0"/>
        <w:rPr>
          <w:rFonts w:asciiTheme="minorHAnsi" w:hAnsiTheme="minorHAnsi" w:cstheme="minorHAnsi"/>
          <w:sz w:val="24"/>
        </w:rPr>
      </w:pPr>
      <w:r>
        <w:rPr>
          <w:rFonts w:cstheme="minorHAnsi"/>
          <w:sz w:val="24"/>
        </w:rPr>
        <w:t>Dashboard - główna strona, na której pracuje Użytkownik wyświetlająca dedykowane informacje dotyczące usług.</w:t>
      </w:r>
    </w:p>
    <w:p w14:paraId="3C7975CB" w14:textId="77777777" w:rsidR="004D3ED0" w:rsidRDefault="004124F9">
      <w:pPr>
        <w:pStyle w:val="Akapitzlist"/>
        <w:numPr>
          <w:ilvl w:val="0"/>
          <w:numId w:val="5"/>
        </w:numPr>
        <w:pBdr>
          <w:top w:val="nil"/>
          <w:left w:val="nil"/>
          <w:bottom w:val="nil"/>
          <w:right w:val="nil"/>
        </w:pBdr>
        <w:spacing w:after="0"/>
        <w:rPr>
          <w:rFonts w:asciiTheme="minorHAnsi" w:hAnsiTheme="minorHAnsi" w:cstheme="minorHAnsi"/>
          <w:sz w:val="24"/>
        </w:rPr>
      </w:pPr>
      <w:r>
        <w:rPr>
          <w:rFonts w:cstheme="minorHAnsi"/>
          <w:sz w:val="24"/>
        </w:rPr>
        <w:t>Poradniki – pozwala na zarządzanie Publikacjami, Poradnikami oraz Propozycjami Poradników.</w:t>
      </w:r>
    </w:p>
    <w:p w14:paraId="3C7975CC" w14:textId="77777777" w:rsidR="004D3ED0" w:rsidRDefault="004124F9">
      <w:pPr>
        <w:pStyle w:val="Akapitzlist"/>
        <w:numPr>
          <w:ilvl w:val="0"/>
          <w:numId w:val="5"/>
        </w:numPr>
        <w:pBdr>
          <w:top w:val="nil"/>
          <w:left w:val="nil"/>
          <w:bottom w:val="nil"/>
          <w:right w:val="nil"/>
        </w:pBdr>
        <w:spacing w:after="0"/>
        <w:rPr>
          <w:rFonts w:asciiTheme="minorHAnsi" w:hAnsiTheme="minorHAnsi" w:cstheme="minorHAnsi"/>
          <w:sz w:val="24"/>
        </w:rPr>
      </w:pPr>
      <w:r>
        <w:rPr>
          <w:rFonts w:cstheme="minorHAnsi"/>
          <w:sz w:val="24"/>
        </w:rPr>
        <w:t>Tłumaczenia – umożliwia zarządzanie Tłumaczeniami poradników, Tłumaczeniami publikacji, Tłumaczeniami usług oraz Tłumaczeniami PKD.</w:t>
      </w:r>
    </w:p>
    <w:p w14:paraId="3C7975CD" w14:textId="77777777" w:rsidR="004D3ED0" w:rsidRDefault="004124F9">
      <w:pPr>
        <w:pStyle w:val="Akapitzlist"/>
        <w:numPr>
          <w:ilvl w:val="0"/>
          <w:numId w:val="5"/>
        </w:numPr>
        <w:pBdr>
          <w:top w:val="nil"/>
          <w:left w:val="nil"/>
          <w:bottom w:val="nil"/>
          <w:right w:val="nil"/>
        </w:pBdr>
        <w:spacing w:after="0"/>
        <w:rPr>
          <w:rFonts w:asciiTheme="minorHAnsi" w:hAnsiTheme="minorHAnsi" w:cstheme="minorHAnsi"/>
          <w:sz w:val="24"/>
        </w:rPr>
      </w:pPr>
      <w:r>
        <w:rPr>
          <w:rFonts w:cstheme="minorHAnsi"/>
          <w:sz w:val="24"/>
        </w:rPr>
        <w:t>Opinie - w skład którego wchodzi zarządzanie Opiniami oraz Rankingiem treści.</w:t>
      </w:r>
    </w:p>
    <w:p w14:paraId="3C7975CE" w14:textId="77777777" w:rsidR="004D3ED0" w:rsidRDefault="004124F9">
      <w:pPr>
        <w:pStyle w:val="Akapitzlist"/>
        <w:numPr>
          <w:ilvl w:val="0"/>
          <w:numId w:val="5"/>
        </w:numPr>
        <w:pBdr>
          <w:top w:val="nil"/>
          <w:left w:val="nil"/>
          <w:bottom w:val="nil"/>
          <w:right w:val="nil"/>
        </w:pBdr>
        <w:spacing w:after="0"/>
        <w:rPr>
          <w:rFonts w:asciiTheme="minorHAnsi" w:hAnsiTheme="minorHAnsi" w:cstheme="minorHAnsi"/>
          <w:sz w:val="24"/>
        </w:rPr>
      </w:pPr>
      <w:r>
        <w:rPr>
          <w:rFonts w:cstheme="minorHAnsi"/>
          <w:sz w:val="24"/>
        </w:rPr>
        <w:t xml:space="preserve">Instytucje – pozwala na zarządzanie Instytucjami. </w:t>
      </w:r>
    </w:p>
    <w:p w14:paraId="3C7975CF" w14:textId="77777777" w:rsidR="004D3ED0" w:rsidRDefault="004124F9">
      <w:pPr>
        <w:pStyle w:val="Akapitzlist"/>
        <w:numPr>
          <w:ilvl w:val="0"/>
          <w:numId w:val="5"/>
        </w:numPr>
        <w:pBdr>
          <w:top w:val="nil"/>
          <w:left w:val="nil"/>
          <w:bottom w:val="nil"/>
          <w:right w:val="nil"/>
        </w:pBdr>
        <w:spacing w:after="0"/>
        <w:rPr>
          <w:rFonts w:asciiTheme="minorHAnsi" w:hAnsiTheme="minorHAnsi" w:cstheme="minorHAnsi"/>
          <w:sz w:val="24"/>
        </w:rPr>
      </w:pPr>
      <w:r>
        <w:rPr>
          <w:rFonts w:cstheme="minorHAnsi"/>
          <w:sz w:val="24"/>
        </w:rPr>
        <w:t>Usługi – umożliwia zarządzanie Opisami usług, Usługami realizowanymi, Aktami prawnymi, Dokumentami i Szablonami opisów.</w:t>
      </w:r>
    </w:p>
    <w:p w14:paraId="3C7975D0" w14:textId="77777777" w:rsidR="004D3ED0" w:rsidRDefault="004124F9">
      <w:pPr>
        <w:pStyle w:val="Akapitzlist"/>
        <w:numPr>
          <w:ilvl w:val="0"/>
          <w:numId w:val="5"/>
        </w:numPr>
        <w:pBdr>
          <w:top w:val="nil"/>
          <w:left w:val="nil"/>
          <w:bottom w:val="nil"/>
          <w:right w:val="nil"/>
        </w:pBdr>
        <w:rPr>
          <w:rFonts w:asciiTheme="minorHAnsi" w:hAnsiTheme="minorHAnsi" w:cstheme="minorHAnsi"/>
          <w:sz w:val="24"/>
        </w:rPr>
      </w:pPr>
      <w:r>
        <w:rPr>
          <w:rFonts w:cstheme="minorHAnsi"/>
          <w:sz w:val="24"/>
        </w:rPr>
        <w:t>Raporty – pozwalana na zarządzanie Raportami.</w:t>
      </w:r>
    </w:p>
    <w:p w14:paraId="3C7975D1" w14:textId="77777777" w:rsidR="004D3ED0" w:rsidRDefault="004124F9">
      <w:pPr>
        <w:pStyle w:val="Nagwek4"/>
        <w:spacing w:after="240"/>
      </w:pPr>
      <w:bookmarkStart w:id="22" w:name="_Toc53743882"/>
      <w:r>
        <w:t>Konto.biznes.gov.pl</w:t>
      </w:r>
      <w:bookmarkEnd w:id="22"/>
    </w:p>
    <w:p w14:paraId="3C7975D2" w14:textId="77777777" w:rsidR="004D3ED0" w:rsidRDefault="004124F9">
      <w:pPr>
        <w:rPr>
          <w:rFonts w:ascii="Times New Roman" w:hAnsi="Times New Roman" w:cs="Times New Roman"/>
          <w:sz w:val="24"/>
        </w:rPr>
      </w:pPr>
      <w:r>
        <w:rPr>
          <w:rFonts w:ascii="Times New Roman" w:hAnsi="Times New Roman" w:cs="Times New Roman"/>
          <w:sz w:val="24"/>
        </w:rPr>
        <w:t xml:space="preserve">Moduł Konto pozwala zarządzać sprawami i danymi powiązanymi z kontem zalogowanego użytkownika. </w:t>
      </w:r>
    </w:p>
    <w:p w14:paraId="3C7975D3" w14:textId="77777777" w:rsidR="004D3ED0" w:rsidRDefault="004124F9">
      <w:pPr>
        <w:rPr>
          <w:rFonts w:ascii="Times New Roman" w:hAnsi="Times New Roman" w:cs="Times New Roman"/>
          <w:sz w:val="24"/>
        </w:rPr>
      </w:pPr>
      <w:r>
        <w:rPr>
          <w:rFonts w:ascii="Times New Roman" w:hAnsi="Times New Roman" w:cs="Times New Roman"/>
          <w:sz w:val="24"/>
        </w:rPr>
        <w:t xml:space="preserve">Najważniejsze funkcje modułu: </w:t>
      </w:r>
    </w:p>
    <w:p w14:paraId="3C7975D4" w14:textId="77777777" w:rsidR="004D3ED0" w:rsidRDefault="004124F9">
      <w:pPr>
        <w:pStyle w:val="Akapitzlist"/>
        <w:numPr>
          <w:ilvl w:val="0"/>
          <w:numId w:val="5"/>
        </w:numPr>
        <w:pBdr>
          <w:top w:val="nil"/>
          <w:left w:val="nil"/>
          <w:bottom w:val="nil"/>
          <w:right w:val="nil"/>
        </w:pBdr>
        <w:spacing w:after="0"/>
        <w:rPr>
          <w:rFonts w:asciiTheme="minorHAnsi" w:hAnsiTheme="minorHAnsi" w:cstheme="minorHAnsi"/>
          <w:sz w:val="24"/>
        </w:rPr>
      </w:pPr>
      <w:r>
        <w:rPr>
          <w:rFonts w:cstheme="minorHAnsi"/>
          <w:sz w:val="24"/>
        </w:rPr>
        <w:t xml:space="preserve">prezentacja i zarządzanie danymi profilowymi użytkownika w zakresie: </w:t>
      </w:r>
    </w:p>
    <w:p w14:paraId="3C7975D5" w14:textId="77777777" w:rsidR="004D3ED0" w:rsidRDefault="004124F9">
      <w:pPr>
        <w:pStyle w:val="Akapitzlist"/>
        <w:numPr>
          <w:ilvl w:val="1"/>
          <w:numId w:val="5"/>
        </w:numPr>
        <w:pBdr>
          <w:top w:val="nil"/>
          <w:left w:val="nil"/>
          <w:bottom w:val="nil"/>
          <w:right w:val="nil"/>
        </w:pBdr>
        <w:spacing w:after="0"/>
        <w:rPr>
          <w:rFonts w:asciiTheme="minorHAnsi" w:hAnsiTheme="minorHAnsi" w:cstheme="minorHAnsi"/>
          <w:sz w:val="24"/>
        </w:rPr>
      </w:pPr>
      <w:r>
        <w:rPr>
          <w:rFonts w:cstheme="minorHAnsi"/>
          <w:sz w:val="24"/>
        </w:rPr>
        <w:t xml:space="preserve">imię i nazwisko </w:t>
      </w:r>
    </w:p>
    <w:p w14:paraId="3C7975D6" w14:textId="77777777" w:rsidR="004D3ED0" w:rsidRDefault="004124F9">
      <w:pPr>
        <w:pStyle w:val="Akapitzlist"/>
        <w:numPr>
          <w:ilvl w:val="1"/>
          <w:numId w:val="5"/>
        </w:numPr>
        <w:pBdr>
          <w:top w:val="nil"/>
          <w:left w:val="nil"/>
          <w:bottom w:val="nil"/>
          <w:right w:val="nil"/>
        </w:pBdr>
        <w:spacing w:after="0"/>
        <w:rPr>
          <w:rFonts w:asciiTheme="minorHAnsi" w:hAnsiTheme="minorHAnsi" w:cstheme="minorHAnsi"/>
          <w:sz w:val="24"/>
        </w:rPr>
      </w:pPr>
      <w:r>
        <w:rPr>
          <w:rFonts w:cstheme="minorHAnsi"/>
          <w:sz w:val="24"/>
        </w:rPr>
        <w:t>hasło</w:t>
      </w:r>
    </w:p>
    <w:p w14:paraId="3C7975D7" w14:textId="77777777" w:rsidR="004D3ED0" w:rsidRDefault="004124F9">
      <w:pPr>
        <w:pStyle w:val="Akapitzlist"/>
        <w:numPr>
          <w:ilvl w:val="1"/>
          <w:numId w:val="5"/>
        </w:numPr>
        <w:pBdr>
          <w:top w:val="nil"/>
          <w:left w:val="nil"/>
          <w:bottom w:val="nil"/>
          <w:right w:val="nil"/>
        </w:pBdr>
        <w:spacing w:after="0"/>
        <w:rPr>
          <w:rFonts w:asciiTheme="minorHAnsi" w:hAnsiTheme="minorHAnsi" w:cstheme="minorHAnsi"/>
          <w:sz w:val="24"/>
        </w:rPr>
      </w:pPr>
      <w:r>
        <w:rPr>
          <w:rFonts w:cstheme="minorHAnsi"/>
          <w:sz w:val="24"/>
        </w:rPr>
        <w:lastRenderedPageBreak/>
        <w:t>powiadomienia SMS (nr telefonu dla powiadomień SMS)</w:t>
      </w:r>
    </w:p>
    <w:p w14:paraId="3C7975D8" w14:textId="77777777" w:rsidR="004D3ED0" w:rsidRDefault="004124F9">
      <w:pPr>
        <w:pStyle w:val="Akapitzlist"/>
        <w:numPr>
          <w:ilvl w:val="1"/>
          <w:numId w:val="5"/>
        </w:numPr>
        <w:pBdr>
          <w:top w:val="nil"/>
          <w:left w:val="nil"/>
          <w:bottom w:val="nil"/>
          <w:right w:val="nil"/>
        </w:pBdr>
        <w:spacing w:after="0"/>
        <w:rPr>
          <w:rFonts w:asciiTheme="minorHAnsi" w:hAnsiTheme="minorHAnsi" w:cstheme="minorHAnsi"/>
          <w:sz w:val="24"/>
        </w:rPr>
      </w:pPr>
      <w:r>
        <w:rPr>
          <w:rFonts w:cstheme="minorHAnsi"/>
          <w:sz w:val="24"/>
        </w:rPr>
        <w:t>powiązanie konta z login.gov.pl</w:t>
      </w:r>
    </w:p>
    <w:p w14:paraId="3C7975D9" w14:textId="77777777" w:rsidR="004D3ED0" w:rsidRDefault="004124F9">
      <w:pPr>
        <w:pStyle w:val="Akapitzlist"/>
        <w:numPr>
          <w:ilvl w:val="1"/>
          <w:numId w:val="5"/>
        </w:numPr>
        <w:pBdr>
          <w:top w:val="nil"/>
          <w:left w:val="nil"/>
          <w:bottom w:val="nil"/>
          <w:right w:val="nil"/>
        </w:pBdr>
        <w:spacing w:after="0"/>
        <w:rPr>
          <w:rFonts w:asciiTheme="minorHAnsi" w:hAnsiTheme="minorHAnsi" w:cstheme="minorHAnsi"/>
          <w:sz w:val="24"/>
        </w:rPr>
      </w:pPr>
      <w:r>
        <w:rPr>
          <w:rFonts w:cstheme="minorHAnsi"/>
          <w:sz w:val="24"/>
        </w:rPr>
        <w:t xml:space="preserve">usunięcie konta </w:t>
      </w:r>
    </w:p>
    <w:p w14:paraId="3C7975DA" w14:textId="77777777" w:rsidR="004D3ED0" w:rsidRDefault="004124F9">
      <w:pPr>
        <w:pStyle w:val="Akapitzlist"/>
        <w:numPr>
          <w:ilvl w:val="0"/>
          <w:numId w:val="5"/>
        </w:numPr>
        <w:pBdr>
          <w:top w:val="nil"/>
          <w:left w:val="nil"/>
          <w:bottom w:val="nil"/>
          <w:right w:val="nil"/>
        </w:pBdr>
        <w:spacing w:after="0"/>
        <w:rPr>
          <w:rFonts w:asciiTheme="minorHAnsi" w:hAnsiTheme="minorHAnsi" w:cstheme="minorHAnsi"/>
          <w:sz w:val="24"/>
        </w:rPr>
      </w:pPr>
      <w:r>
        <w:rPr>
          <w:rFonts w:cstheme="minorHAnsi"/>
          <w:sz w:val="24"/>
        </w:rPr>
        <w:t xml:space="preserve">prezentacja spraw użytkownika w podziale na: </w:t>
      </w:r>
    </w:p>
    <w:p w14:paraId="3C7975DB" w14:textId="77777777" w:rsidR="004D3ED0" w:rsidRDefault="004124F9">
      <w:pPr>
        <w:pStyle w:val="Akapitzlist"/>
        <w:numPr>
          <w:ilvl w:val="1"/>
          <w:numId w:val="5"/>
        </w:numPr>
        <w:pBdr>
          <w:top w:val="nil"/>
          <w:left w:val="nil"/>
          <w:bottom w:val="nil"/>
          <w:right w:val="nil"/>
        </w:pBdr>
        <w:spacing w:after="0"/>
        <w:rPr>
          <w:rFonts w:asciiTheme="minorHAnsi" w:hAnsiTheme="minorHAnsi" w:cstheme="minorHAnsi"/>
          <w:sz w:val="24"/>
        </w:rPr>
      </w:pPr>
      <w:r>
        <w:rPr>
          <w:rFonts w:cstheme="minorHAnsi"/>
          <w:sz w:val="24"/>
        </w:rPr>
        <w:t>w widoku „Moje konto” (w sekcji „Powiadomienia”) – sprawy dla których dalszego oczekiwane jest działanie użytkownika</w:t>
      </w:r>
    </w:p>
    <w:p w14:paraId="3C7975DC" w14:textId="77777777" w:rsidR="004D3ED0" w:rsidRDefault="004124F9">
      <w:pPr>
        <w:pStyle w:val="Akapitzlist"/>
        <w:numPr>
          <w:ilvl w:val="1"/>
          <w:numId w:val="5"/>
        </w:numPr>
        <w:pBdr>
          <w:top w:val="nil"/>
          <w:left w:val="nil"/>
          <w:bottom w:val="nil"/>
          <w:right w:val="nil"/>
        </w:pBdr>
        <w:spacing w:after="0"/>
        <w:rPr>
          <w:rFonts w:asciiTheme="minorHAnsi" w:hAnsiTheme="minorHAnsi" w:cstheme="minorHAnsi"/>
          <w:sz w:val="24"/>
        </w:rPr>
      </w:pPr>
      <w:r>
        <w:rPr>
          <w:rFonts w:cstheme="minorHAnsi"/>
          <w:sz w:val="24"/>
        </w:rPr>
        <w:t xml:space="preserve">w widoku „Moje konto” (w sekcji „Moje sprawy”) – sprawy, których realizacja trwa oraz sprawy zakończone. </w:t>
      </w:r>
    </w:p>
    <w:p w14:paraId="3C7975DD" w14:textId="77777777" w:rsidR="004D3ED0" w:rsidRDefault="004124F9">
      <w:pPr>
        <w:pStyle w:val="Akapitzlist"/>
        <w:numPr>
          <w:ilvl w:val="1"/>
          <w:numId w:val="5"/>
        </w:numPr>
        <w:pBdr>
          <w:top w:val="nil"/>
          <w:left w:val="nil"/>
          <w:bottom w:val="nil"/>
          <w:right w:val="nil"/>
        </w:pBdr>
        <w:spacing w:after="0"/>
        <w:rPr>
          <w:rFonts w:asciiTheme="minorHAnsi" w:hAnsiTheme="minorHAnsi" w:cstheme="minorHAnsi"/>
          <w:sz w:val="24"/>
        </w:rPr>
      </w:pPr>
      <w:r>
        <w:rPr>
          <w:rFonts w:cstheme="minorHAnsi"/>
          <w:sz w:val="24"/>
        </w:rPr>
        <w:t>w widoku „Sprawy archiwalne” – sprawy których realizacja zakończyła się przed 15.08.2018. Funkcjonalność dostępna wyłącznie dla użytkowników, którzy przed tą datą zrealizowali przynajmniej jedną sprawę</w:t>
      </w:r>
    </w:p>
    <w:p w14:paraId="3C7975DE" w14:textId="77777777" w:rsidR="004D3ED0" w:rsidRDefault="004124F9">
      <w:pPr>
        <w:pStyle w:val="Akapitzlist"/>
        <w:numPr>
          <w:ilvl w:val="0"/>
          <w:numId w:val="5"/>
        </w:numPr>
        <w:pBdr>
          <w:top w:val="nil"/>
          <w:left w:val="nil"/>
          <w:bottom w:val="nil"/>
          <w:right w:val="nil"/>
        </w:pBdr>
        <w:spacing w:after="0"/>
        <w:rPr>
          <w:rFonts w:asciiTheme="minorHAnsi" w:hAnsiTheme="minorHAnsi" w:cstheme="minorHAnsi"/>
          <w:sz w:val="24"/>
        </w:rPr>
      </w:pPr>
      <w:r>
        <w:rPr>
          <w:rFonts w:cstheme="minorHAnsi"/>
          <w:sz w:val="24"/>
        </w:rPr>
        <w:t>zapewnienie przejścia do procesu odbierania dokumentów wysłanych z urzędu (przyjętych przez serwis a kierowanych do zalogowanego użytkownika)</w:t>
      </w:r>
    </w:p>
    <w:p w14:paraId="3C7975DF" w14:textId="77777777" w:rsidR="004D3ED0" w:rsidRDefault="004124F9">
      <w:pPr>
        <w:pStyle w:val="Akapitzlist"/>
        <w:numPr>
          <w:ilvl w:val="0"/>
          <w:numId w:val="5"/>
        </w:numPr>
        <w:pBdr>
          <w:top w:val="nil"/>
          <w:left w:val="nil"/>
          <w:bottom w:val="nil"/>
          <w:right w:val="nil"/>
        </w:pBdr>
        <w:spacing w:after="0"/>
        <w:rPr>
          <w:rFonts w:asciiTheme="minorHAnsi" w:hAnsiTheme="minorHAnsi" w:cstheme="minorHAnsi"/>
          <w:sz w:val="24"/>
        </w:rPr>
      </w:pPr>
      <w:r>
        <w:rPr>
          <w:rFonts w:cstheme="minorHAnsi"/>
          <w:sz w:val="24"/>
        </w:rPr>
        <w:t xml:space="preserve">zapewnienie dostępu (prezentacja i pobranie na dysk lokalny) do dokumentów </w:t>
      </w:r>
      <w:r>
        <w:rPr>
          <w:rFonts w:cstheme="minorHAnsi"/>
          <w:sz w:val="24"/>
        </w:rPr>
        <w:t>powiązanych ze sprawami użytkownika (m.in. wnioski, załączniki do wniosków, odpowiedzi z urzędów, załączniki do odpowiedzi, potwierdzenia UPO)</w:t>
      </w:r>
    </w:p>
    <w:p w14:paraId="3C7975E0" w14:textId="77777777" w:rsidR="004D3ED0" w:rsidRDefault="004124F9">
      <w:pPr>
        <w:spacing w:before="240"/>
        <w:rPr>
          <w:rFonts w:cstheme="minorHAnsi"/>
          <w:sz w:val="24"/>
        </w:rPr>
      </w:pPr>
      <w:r>
        <w:rPr>
          <w:rFonts w:cstheme="minorHAnsi"/>
          <w:sz w:val="24"/>
        </w:rPr>
        <w:t>Integracje: tylko wewnętrzne z modułami serwisu Biznes.gov.pl</w:t>
      </w:r>
    </w:p>
    <w:p w14:paraId="3C7975E1" w14:textId="77777777" w:rsidR="004D3ED0" w:rsidRDefault="004124F9">
      <w:pPr>
        <w:pStyle w:val="Akapitzlist"/>
        <w:numPr>
          <w:ilvl w:val="0"/>
          <w:numId w:val="6"/>
        </w:numPr>
        <w:pBdr>
          <w:top w:val="nil"/>
          <w:left w:val="nil"/>
          <w:bottom w:val="nil"/>
          <w:right w:val="nil"/>
        </w:pBdr>
        <w:spacing w:after="0"/>
        <w:rPr>
          <w:rFonts w:asciiTheme="minorHAnsi" w:hAnsiTheme="minorHAnsi" w:cstheme="minorHAnsi"/>
          <w:sz w:val="24"/>
        </w:rPr>
      </w:pPr>
      <w:r>
        <w:rPr>
          <w:rFonts w:cstheme="minorHAnsi"/>
          <w:sz w:val="24"/>
        </w:rPr>
        <w:t xml:space="preserve">moduł Logowanie (autentykacja użytkowników w obrębie serwisu), </w:t>
      </w:r>
    </w:p>
    <w:p w14:paraId="3C7975E2" w14:textId="77777777" w:rsidR="004D3ED0" w:rsidRDefault="004124F9">
      <w:pPr>
        <w:pStyle w:val="Akapitzlist"/>
        <w:numPr>
          <w:ilvl w:val="0"/>
          <w:numId w:val="6"/>
        </w:numPr>
        <w:pBdr>
          <w:top w:val="nil"/>
          <w:left w:val="nil"/>
          <w:bottom w:val="nil"/>
          <w:right w:val="nil"/>
        </w:pBdr>
        <w:spacing w:after="0"/>
        <w:rPr>
          <w:rFonts w:asciiTheme="minorHAnsi" w:hAnsiTheme="minorHAnsi" w:cstheme="minorHAnsi"/>
          <w:sz w:val="24"/>
        </w:rPr>
      </w:pPr>
      <w:r>
        <w:rPr>
          <w:rFonts w:cstheme="minorHAnsi"/>
          <w:sz w:val="24"/>
        </w:rPr>
        <w:t xml:space="preserve">moduł eLF (platforma udostępniania usług transakcyjnych), </w:t>
      </w:r>
    </w:p>
    <w:p w14:paraId="3C7975E3" w14:textId="77777777" w:rsidR="004D3ED0" w:rsidRDefault="004124F9">
      <w:pPr>
        <w:pStyle w:val="Nagwek4"/>
        <w:spacing w:before="240" w:after="240"/>
        <w:ind w:left="862" w:hanging="862"/>
      </w:pPr>
      <w:bookmarkStart w:id="23" w:name="_Toc53743883"/>
      <w:r>
        <w:t>Logowanie.biznes.gov.pl</w:t>
      </w:r>
      <w:bookmarkEnd w:id="23"/>
    </w:p>
    <w:p w14:paraId="3C7975E4" w14:textId="77777777" w:rsidR="004D3ED0" w:rsidRDefault="004124F9">
      <w:pPr>
        <w:rPr>
          <w:rFonts w:cstheme="minorHAnsi"/>
          <w:b/>
          <w:bCs/>
          <w:sz w:val="24"/>
        </w:rPr>
      </w:pPr>
      <w:r>
        <w:rPr>
          <w:rFonts w:cstheme="minorHAnsi"/>
          <w:sz w:val="24"/>
        </w:rPr>
        <w:t xml:space="preserve">Logowanie jest modułem odpowiedzialnym za autentykację użytkowników serwisu. Mogą to być użytkownicy pochodzący z Węzła Krajowego(login.gov.pl), który jest  dostawcą tożsamości lub mogą  zostać utworzeni w module Logowanie (za pomocą aplikacji Konto). Logowanie stanowi dostawcę tożsamości dla wszystkich modułów  serwisu Biznes.gov.pl w tym również do SOZ. </w:t>
      </w:r>
    </w:p>
    <w:p w14:paraId="3C7975E5" w14:textId="77777777" w:rsidR="004D3ED0" w:rsidRDefault="004124F9">
      <w:pPr>
        <w:rPr>
          <w:rFonts w:cstheme="minorHAnsi"/>
          <w:b/>
          <w:bCs/>
          <w:sz w:val="24"/>
        </w:rPr>
      </w:pPr>
      <w:r>
        <w:rPr>
          <w:rFonts w:cstheme="minorHAnsi"/>
          <w:sz w:val="24"/>
        </w:rPr>
        <w:t xml:space="preserve">Dostawca usługi (Service Provider - SP) modułu Logowania komunikuje się z dostawcą tożsamości (id Provider - idP) Węzła Krajowego przy wykorzystaniu standardu SAML 2.0 i  usługi sieciowej opartego na WS-Security. </w:t>
      </w:r>
    </w:p>
    <w:p w14:paraId="3C7975E6" w14:textId="77777777" w:rsidR="004D3ED0" w:rsidRDefault="004124F9">
      <w:pPr>
        <w:rPr>
          <w:rFonts w:cstheme="minorHAnsi"/>
          <w:b/>
          <w:bCs/>
          <w:sz w:val="24"/>
        </w:rPr>
      </w:pPr>
      <w:r>
        <w:rPr>
          <w:rFonts w:cstheme="minorHAnsi"/>
          <w:sz w:val="24"/>
        </w:rPr>
        <w:t>Protokół standardu SAML 2.0 jest wykorzystywany również dla połączenia IdP – SP komponentów składowych architektury Bazy Wiedzy.</w:t>
      </w:r>
    </w:p>
    <w:p w14:paraId="3C7975E7" w14:textId="77777777" w:rsidR="004D3ED0" w:rsidRDefault="004124F9">
      <w:pPr>
        <w:rPr>
          <w:rFonts w:cstheme="minorHAnsi"/>
          <w:sz w:val="24"/>
        </w:rPr>
      </w:pPr>
      <w:r>
        <w:rPr>
          <w:rFonts w:cstheme="minorHAnsi"/>
          <w:sz w:val="24"/>
        </w:rPr>
        <w:t>Modułem potwierdzającym tożsamość jest narzędzie Keycloack, wspierające standardy: SAML, OAuth oraz Two Factory Auth. Na potrzebę integracji z Węzłem Krajowym rozszerzono obsługę SAML o elementy wymagane przez WK, między innymi obsługę algorytmu podpisu komunikatów XML SAML: ECDSA with SHA256.</w:t>
      </w:r>
    </w:p>
    <w:p w14:paraId="3C7975E8" w14:textId="77777777" w:rsidR="004D3ED0" w:rsidRDefault="004124F9">
      <w:pPr>
        <w:pStyle w:val="Nagwek3"/>
        <w:spacing w:after="240"/>
      </w:pPr>
      <w:bookmarkStart w:id="24" w:name="_Toc153975846"/>
      <w:r>
        <w:t xml:space="preserve">Moduł CMS/ </w:t>
      </w:r>
      <w:r>
        <w:rPr>
          <w:rFonts w:ascii="Times New Roman" w:hAnsi="Times New Roman" w:cs="Times New Roman"/>
        </w:rPr>
        <w:t>Polska Strefa Inwestycji (dalej PSI)</w:t>
      </w:r>
      <w:bookmarkEnd w:id="24"/>
    </w:p>
    <w:p w14:paraId="3C7975E9" w14:textId="1F86906A" w:rsidR="004D3ED0" w:rsidRDefault="004124F9">
      <w:pPr>
        <w:rPr>
          <w:rFonts w:ascii="Times New Roman" w:hAnsi="Times New Roman" w:cs="Times New Roman"/>
          <w:sz w:val="24"/>
        </w:rPr>
      </w:pPr>
      <w:r>
        <w:rPr>
          <w:noProof/>
        </w:rPr>
        <w:lastRenderedPageBreak/>
        <w:drawing>
          <wp:anchor distT="0" distB="0" distL="0" distR="0" simplePos="0" relativeHeight="251656704" behindDoc="0" locked="0" layoutInCell="0" allowOverlap="1" wp14:anchorId="3C797628" wp14:editId="3C797629">
            <wp:simplePos x="0" y="0"/>
            <wp:positionH relativeFrom="margin">
              <wp:align>left</wp:align>
            </wp:positionH>
            <wp:positionV relativeFrom="paragraph">
              <wp:posOffset>1795780</wp:posOffset>
            </wp:positionV>
            <wp:extent cx="5734050" cy="3594100"/>
            <wp:effectExtent l="0" t="0" r="0" b="0"/>
            <wp:wrapSquare wrapText="largest"/>
            <wp:docPr id="7"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3"/>
                    <pic:cNvPicPr>
                      <a:picLocks noChangeAspect="1" noChangeArrowheads="1"/>
                    </pic:cNvPicPr>
                  </pic:nvPicPr>
                  <pic:blipFill>
                    <a:blip r:embed="rId28"/>
                    <a:stretch>
                      <a:fillRect/>
                    </a:stretch>
                  </pic:blipFill>
                  <pic:spPr bwMode="auto">
                    <a:xfrm>
                      <a:off x="0" y="0"/>
                      <a:ext cx="5734050" cy="3594100"/>
                    </a:xfrm>
                    <a:prstGeom prst="rect">
                      <a:avLst/>
                    </a:prstGeom>
                  </pic:spPr>
                </pic:pic>
              </a:graphicData>
            </a:graphic>
          </wp:anchor>
        </w:drawing>
      </w:r>
      <w:r>
        <w:rPr>
          <w:noProof/>
        </w:rPr>
        <w:pict w14:anchorId="3DCE2D41">
          <v:rect id="Pole tekstowe 1" o:spid="_x0000_s1028" style="position:absolute;margin-left:0;margin-top:428.9pt;width:451.5pt;height:10.9pt;z-index:251657728;visibility:visible;mso-wrap-style:square;mso-wrap-distance-left:9pt;mso-wrap-distance-top:0;mso-wrap-distance-right:9pt;mso-wrap-distance-bottom:.0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TT8wEAAF8EAAAOAAAAZHJzL2Uyb0RvYy54bWysVE1r3DAQvRf6H4TvXXuTNl3MekNp2FIo&#10;aWhScpZlaS2QJTFS1t5/39H4Y9P0lFAf5JE1bz7eG3l7PXSGHSUE7WyVrVdFxqQVrtH2UGW/H/Yf&#10;NhkLkduGG2dllZ1kyK53799te1/KC9c600hgGMSGsvdV1sboyzwPopUdDyvnpcVD5aDjEbdwyBvg&#10;PUbvTH5RFFd576Dx4IQMAb/ejIfZjuIrJUX8qVSQkZkqw9oirUBrndZ8t+XlAbhvtZjK4G+oouPa&#10;YtIl1A2PnD2B/idUpwW44FRcCdflTiktJPWA3ayLF93ct9xL6gXJCX6hKfy/sOL2eO/vAGnofSgD&#10;mqmLQUGX3lgfG4is00KWHCIT+PHT58uPxQY5FXi2vtxcFcRmfkZ7CPGbdB1LRpUBikEc8eOPEDEj&#10;us4uKVlwRjd7bQxt4FB/NcCOHIXb05O0QshfbsayPlWWINYl8OhkLPqeOyIrnoxMfsb+korphhqj&#10;XGJKNs4FDi52NU8HZiRAclQY/5XYCZLQksbxlfgFRPmdjQu+09YBcfKsu2TGoR4mPWvXnO6Ame8W&#10;RyaN/2zAbNSzwa1oHRIwSpR0eRgeOfhJvIiy37p5IHn5QsPRl8j0X54iKkECp3LGGiY5cIpJxOnG&#10;pWvyfE9e5//C7g8AAAD//wMAUEsDBBQABgAIAAAAIQClqeFM3QAAAAgBAAAPAAAAZHJzL2Rvd25y&#10;ZXYueG1sTI/NTsMwEITvSLyDtUjcqMNf2oY4FaqI4MKB0AfYJtskwl5HsdsEnp7lRI87M5qdL9/M&#10;zqoTjaH3bOB2kYAirn3Tc2tg91nerECFiNyg9UwGvinApri8yDFr/MQfdKpiq6SEQ4YGuhiHTOtQ&#10;d+QwLPxALN7Bjw6jnGOrmxEnKXdW3yVJqh32LB86HGjbUf1VHZ2BgOUD2nn3/jb92LQ9vG7L8FIZ&#10;c301Pz+BijTH/zD8zZfpUMimvT9yE5Q1ICDRwOpxKQBir5N7UfaiLNcp6CLX5wDFLwAAAP//AwBQ&#10;SwECLQAUAAYACAAAACEAtoM4kv4AAADhAQAAEwAAAAAAAAAAAAAAAAAAAAAAW0NvbnRlbnRfVHlw&#10;ZXNdLnhtbFBLAQItABQABgAIAAAAIQA4/SH/1gAAAJQBAAALAAAAAAAAAAAAAAAAAC8BAABfcmVs&#10;cy8ucmVsc1BLAQItABQABgAIAAAAIQCcYrTT8wEAAF8EAAAOAAAAAAAAAAAAAAAAAC4CAABkcnMv&#10;ZTJvRG9jLnhtbFBLAQItABQABgAIAAAAIQClqeFM3QAAAAgBAAAPAAAAAAAAAAAAAAAAAE0EAABk&#10;cnMvZG93bnJldi54bWxQSwUGAAAAAAQABADzAAAAVwUAAAAA&#10;" o:allowincell="f" stroked="f" strokeweight="0">
            <v:textbox style="mso-fit-shape-to-text:t" inset="0,0,0,0">
              <w:txbxContent>
                <w:p w14:paraId="3C79763A" w14:textId="77777777" w:rsidR="004D3ED0" w:rsidRDefault="004124F9">
                  <w:pPr>
                    <w:pStyle w:val="Legenda"/>
                    <w:rPr>
                      <w:rFonts w:cstheme="minorHAnsi"/>
                      <w:sz w:val="24"/>
                      <w:szCs w:val="24"/>
                    </w:rPr>
                  </w:pPr>
                  <w:bookmarkStart w:id="25" w:name="_Toc156553661"/>
                  <w:r>
                    <w:t xml:space="preserve">Rysunek </w:t>
                  </w:r>
                  <w:r>
                    <w:fldChar w:fldCharType="begin"/>
                  </w:r>
                  <w:r>
                    <w:instrText xml:space="preserve"> SEQ Rysunek \* ARABIC </w:instrText>
                  </w:r>
                  <w:r>
                    <w:fldChar w:fldCharType="separate"/>
                  </w:r>
                  <w:r>
                    <w:t>7</w:t>
                  </w:r>
                  <w:r>
                    <w:fldChar w:fldCharType="end"/>
                  </w:r>
                  <w:r>
                    <w:t xml:space="preserve"> Architektura CMS (PSI)</w:t>
                  </w:r>
                  <w:bookmarkEnd w:id="25"/>
                </w:p>
              </w:txbxContent>
            </v:textbox>
            <w10:wrap type="square" side="largest"/>
          </v:rect>
        </w:pict>
      </w:r>
      <w:r>
        <w:rPr>
          <w:rFonts w:cstheme="minorHAnsi"/>
          <w:sz w:val="24"/>
          <w:szCs w:val="24"/>
        </w:rPr>
        <w:t xml:space="preserve">Strona </w:t>
      </w:r>
      <w:hyperlink r:id="rId29">
        <w:r>
          <w:rPr>
            <w:rStyle w:val="Hipercze"/>
            <w:rFonts w:cstheme="minorHAnsi"/>
            <w:sz w:val="24"/>
            <w:szCs w:val="24"/>
          </w:rPr>
          <w:t>www.biznes.gov.pl/en</w:t>
        </w:r>
      </w:hyperlink>
      <w:r>
        <w:rPr>
          <w:rFonts w:cstheme="minorHAnsi"/>
          <w:sz w:val="24"/>
          <w:szCs w:val="24"/>
        </w:rPr>
        <w:t xml:space="preserve"> oraz PSI to zasadniczo portal www utrzymywany na oddzielnych serwerach zlokalizowanych w tym samym środowisku. Do zadań Systemu należy integracja i prezentacja treści redagowanych przez Redaktorów Systemu oraz prezentacji treści z Bazy Wiedzy. Portal został podzielony na komponenty oraz bloki modułowe. Zastosowanie takiego układu ułatwi analizę Systemu oraz pomoże ustalić odpowiedzialności i ograniczenia dla każdego z niżej przedstawionych modułów. Niebieskim kolorem zostały oznaczone moduły nadrzędne / zb</w:t>
      </w:r>
      <w:r>
        <w:rPr>
          <w:rFonts w:cstheme="minorHAnsi"/>
          <w:sz w:val="24"/>
          <w:szCs w:val="24"/>
        </w:rPr>
        <w:t>iorcze. Szarym kolorem zostały oznaczone elementy stałe Systemu jak np. silnik bazy danych PostgreSQL, serwer kolejkowy Redis</w:t>
      </w:r>
      <w:r>
        <w:rPr>
          <w:rFonts w:ascii="Times New Roman" w:hAnsi="Times New Roman" w:cs="Times New Roman"/>
          <w:sz w:val="24"/>
        </w:rPr>
        <w:t>.</w:t>
      </w:r>
    </w:p>
    <w:p w14:paraId="3C7975EA" w14:textId="77777777" w:rsidR="004D3ED0" w:rsidRDefault="004124F9">
      <w:pPr>
        <w:rPr>
          <w:rFonts w:cstheme="minorHAnsi"/>
          <w:sz w:val="24"/>
        </w:rPr>
      </w:pPr>
      <w:r>
        <w:rPr>
          <w:rFonts w:cstheme="minorHAnsi"/>
          <w:sz w:val="24"/>
        </w:rPr>
        <w:t>Serwis dla Polskiej Strefy Inwestycji (PSI), który jest integralną częścią modułu CMS. Z poziomu jednego miejsca możliwe jest zarządzanie stroną Polskiej Strefy Inwestycji oraz biznes.gov.pl/en. Serwis PSI jest wyposażony w dwie główne funkcjonalności:</w:t>
      </w:r>
    </w:p>
    <w:p w14:paraId="3C7975EB" w14:textId="77777777" w:rsidR="004D3ED0" w:rsidRDefault="004124F9">
      <w:pPr>
        <w:pStyle w:val="Akapitzlist"/>
        <w:numPr>
          <w:ilvl w:val="0"/>
          <w:numId w:val="4"/>
        </w:numPr>
        <w:pBdr>
          <w:top w:val="nil"/>
          <w:left w:val="nil"/>
          <w:bottom w:val="nil"/>
          <w:right w:val="nil"/>
        </w:pBdr>
        <w:rPr>
          <w:rFonts w:asciiTheme="minorHAnsi" w:hAnsiTheme="minorHAnsi" w:cstheme="minorHAnsi"/>
          <w:sz w:val="24"/>
        </w:rPr>
      </w:pPr>
      <w:r>
        <w:rPr>
          <w:rFonts w:cstheme="minorHAnsi"/>
          <w:sz w:val="24"/>
        </w:rPr>
        <w:t>Kalkulator pomocy publicznej;</w:t>
      </w:r>
    </w:p>
    <w:p w14:paraId="3C7975EC" w14:textId="77777777" w:rsidR="004D3ED0" w:rsidRDefault="004124F9">
      <w:pPr>
        <w:pStyle w:val="Akapitzlist"/>
        <w:numPr>
          <w:ilvl w:val="0"/>
          <w:numId w:val="4"/>
        </w:numPr>
        <w:pBdr>
          <w:top w:val="nil"/>
          <w:left w:val="nil"/>
          <w:bottom w:val="nil"/>
          <w:right w:val="nil"/>
        </w:pBdr>
        <w:rPr>
          <w:rFonts w:asciiTheme="minorHAnsi" w:hAnsiTheme="minorHAnsi" w:cstheme="minorHAnsi"/>
          <w:sz w:val="24"/>
        </w:rPr>
      </w:pPr>
      <w:r>
        <w:rPr>
          <w:rFonts w:cstheme="minorHAnsi"/>
          <w:sz w:val="24"/>
        </w:rPr>
        <w:t>Mapę stref inwestycyjnych.</w:t>
      </w:r>
    </w:p>
    <w:p w14:paraId="3C7975ED" w14:textId="77777777" w:rsidR="004D3ED0" w:rsidRDefault="004124F9">
      <w:pPr>
        <w:rPr>
          <w:rFonts w:cstheme="minorHAnsi"/>
          <w:sz w:val="24"/>
        </w:rPr>
      </w:pPr>
      <w:r>
        <w:rPr>
          <w:rFonts w:cstheme="minorHAnsi"/>
          <w:sz w:val="24"/>
        </w:rPr>
        <w:t xml:space="preserve">Obie funkcjonalności posiadają importer do importowania bazy danych na podstawie której generowane są wyniki internautom. </w:t>
      </w:r>
    </w:p>
    <w:p w14:paraId="3C7975EE" w14:textId="77777777" w:rsidR="004D3ED0" w:rsidRDefault="004124F9">
      <w:pPr>
        <w:pStyle w:val="Nagwek3"/>
        <w:spacing w:after="240"/>
      </w:pPr>
      <w:bookmarkStart w:id="26" w:name="_Toc153975847"/>
      <w:bookmarkStart w:id="27" w:name="_Toc53743885"/>
      <w:r>
        <w:t>Moduł SOZ</w:t>
      </w:r>
      <w:bookmarkEnd w:id="26"/>
      <w:bookmarkEnd w:id="27"/>
    </w:p>
    <w:p w14:paraId="3C7975EF" w14:textId="77777777" w:rsidR="004D3ED0" w:rsidRDefault="004124F9">
      <w:pPr>
        <w:jc w:val="both"/>
        <w:rPr>
          <w:rFonts w:cstheme="minorHAnsi"/>
          <w:sz w:val="24"/>
        </w:rPr>
      </w:pPr>
      <w:r>
        <w:rPr>
          <w:rFonts w:cstheme="minorHAnsi"/>
          <w:sz w:val="24"/>
        </w:rPr>
        <w:t xml:space="preserve">System Obsługi Zgłoszeń realizuje zbieranie zapytań od użytkowników wskazanych portali informacyjnych i następnie procesowanie tych zapytań. Jest implementacją formularza </w:t>
      </w:r>
      <w:r>
        <w:rPr>
          <w:rFonts w:cstheme="minorHAnsi"/>
          <w:sz w:val="24"/>
        </w:rPr>
        <w:lastRenderedPageBreak/>
        <w:t xml:space="preserve">zapytania urzędowego, elementu Pojedynczego Punktu Kontaktowego (system - *.www.biznes.gov.pl) prowadzonego przez Ministra Rozwoju na podstawie przepisów rozdziału 2A ustawy z dnia 2 lipca 2004 r. o swobodzie działalności gospodarczej. SOZ jest systemem typu workflow, gdzie trafiające do niego zapytania są przetwarzane przez zalogowanych użytkowników. Przetwarzane zapytanie na każdym etapie przetwarzania otrzymuje określony status. W systemie przechowywana jest kompletna historia przetwarzania zapytania od </w:t>
      </w:r>
      <w:r>
        <w:rPr>
          <w:rFonts w:cstheme="minorHAnsi"/>
          <w:sz w:val="24"/>
        </w:rPr>
        <w:t>chwili jego wprowadzenia. SOZ wyposażony jest w podstawowe mechanizmy raportujące umożliwiające zarówno bieżącą kontrolę stanu przetwarzania zapytań jak i ocenę pracy Użytkowników</w:t>
      </w:r>
      <w:r>
        <w:rPr>
          <w:rFonts w:ascii="Times New Roman" w:hAnsi="Times New Roman" w:cs="Times New Roman"/>
          <w:sz w:val="24"/>
        </w:rPr>
        <w:t xml:space="preserve">. </w:t>
      </w:r>
      <w:r>
        <w:rPr>
          <w:rFonts w:cstheme="minorHAnsi"/>
          <w:sz w:val="24"/>
        </w:rPr>
        <w:t xml:space="preserve">Logowanie do modułu odbywa się poprzez IDP logowanie.biznes.gov.pl. </w:t>
      </w:r>
    </w:p>
    <w:p w14:paraId="3C7975F0" w14:textId="77777777" w:rsidR="004D3ED0" w:rsidRDefault="004124F9">
      <w:pPr>
        <w:pStyle w:val="Nagwek3"/>
        <w:spacing w:after="240"/>
      </w:pPr>
      <w:bookmarkStart w:id="28" w:name="_Toc153975848"/>
      <w:r>
        <w:t>Moduł portal/serwis</w:t>
      </w:r>
      <w:bookmarkEnd w:id="28"/>
      <w:r>
        <w:t xml:space="preserve"> (SMC)</w:t>
      </w:r>
    </w:p>
    <w:p w14:paraId="3C7975F1" w14:textId="77777777" w:rsidR="004D3ED0" w:rsidRDefault="004124F9">
      <w:pPr>
        <w:rPr>
          <w:rFonts w:cstheme="minorHAnsi"/>
          <w:sz w:val="24"/>
        </w:rPr>
      </w:pPr>
      <w:r>
        <w:rPr>
          <w:rFonts w:cstheme="minorHAnsi"/>
          <w:sz w:val="24"/>
        </w:rPr>
        <w:t>Jeden z najnowszych modułów systemu *.biznes.gov.pl służący do prezentowania treści informacyjnych. Nowy portal jest oparty o architekturę mikroserwisową. Realizuje on wszystkie wymagania biznesowe zamawiającego. Rdzeniem systemu SMC odpowiadająceym w szczególności za zarządzanie portalami i treścią oraz zapewniający audytowalność / wersjonowanie dokumentów i zdarzeń są odpowiednio:  w warstwie backendowej: mongoDB; „silnik”/CMS; API prywatne (dla Backoffice). Dla frontendu: Backoffice; Komponent Portalowy;</w:t>
      </w:r>
      <w:r>
        <w:rPr>
          <w:rFonts w:cstheme="minorHAnsi"/>
          <w:sz w:val="24"/>
        </w:rPr>
        <w:t xml:space="preserve"> API publiczne (dla Portali). Nowy portal integruje się z systemami zewnętrznymi: </w:t>
      </w:r>
    </w:p>
    <w:p w14:paraId="3C7975F2" w14:textId="77777777" w:rsidR="004D3ED0" w:rsidRDefault="004124F9">
      <w:pPr>
        <w:pStyle w:val="Akapitzlist"/>
        <w:numPr>
          <w:ilvl w:val="0"/>
          <w:numId w:val="8"/>
        </w:numPr>
        <w:pBdr>
          <w:top w:val="nil"/>
          <w:left w:val="nil"/>
          <w:bottom w:val="nil"/>
          <w:right w:val="nil"/>
        </w:pBdr>
        <w:rPr>
          <w:rFonts w:asciiTheme="minorHAnsi" w:hAnsiTheme="minorHAnsi" w:cstheme="minorHAnsi"/>
          <w:sz w:val="24"/>
        </w:rPr>
      </w:pPr>
      <w:r>
        <w:rPr>
          <w:rFonts w:cstheme="minorHAnsi"/>
          <w:sz w:val="24"/>
        </w:rPr>
        <w:t>Konto Przedsiębiorcy (moduł systemu *.biznes.gov.pl)</w:t>
      </w:r>
    </w:p>
    <w:p w14:paraId="3C7975F3" w14:textId="77777777" w:rsidR="004D3ED0" w:rsidRDefault="004124F9">
      <w:pPr>
        <w:pStyle w:val="Akapitzlist"/>
        <w:numPr>
          <w:ilvl w:val="0"/>
          <w:numId w:val="8"/>
        </w:numPr>
        <w:pBdr>
          <w:top w:val="nil"/>
          <w:left w:val="nil"/>
          <w:bottom w:val="nil"/>
          <w:right w:val="nil"/>
        </w:pBdr>
        <w:rPr>
          <w:rFonts w:asciiTheme="minorHAnsi" w:hAnsiTheme="minorHAnsi" w:cstheme="minorHAnsi"/>
          <w:sz w:val="24"/>
        </w:rPr>
      </w:pPr>
      <w:r>
        <w:rPr>
          <w:rFonts w:cstheme="minorHAnsi"/>
          <w:sz w:val="24"/>
        </w:rPr>
        <w:t>Logowanie (moduł systemu *.biznes.gov.pl)</w:t>
      </w:r>
    </w:p>
    <w:p w14:paraId="3C7975F4" w14:textId="77777777" w:rsidR="004D3ED0" w:rsidRDefault="004124F9">
      <w:pPr>
        <w:pStyle w:val="Akapitzlist"/>
        <w:numPr>
          <w:ilvl w:val="0"/>
          <w:numId w:val="8"/>
        </w:numPr>
        <w:pBdr>
          <w:top w:val="nil"/>
          <w:left w:val="nil"/>
          <w:bottom w:val="nil"/>
          <w:right w:val="nil"/>
        </w:pBdr>
        <w:rPr>
          <w:rFonts w:asciiTheme="minorHAnsi" w:hAnsiTheme="minorHAnsi" w:cstheme="minorHAnsi"/>
          <w:sz w:val="24"/>
        </w:rPr>
      </w:pPr>
      <w:r>
        <w:rPr>
          <w:rFonts w:cstheme="minorHAnsi"/>
          <w:sz w:val="24"/>
        </w:rPr>
        <w:t>Zaplecze (moduł systemu *.biznes.gov.pl)</w:t>
      </w:r>
    </w:p>
    <w:p w14:paraId="3C7975F5" w14:textId="77777777" w:rsidR="004D3ED0" w:rsidRDefault="004124F9">
      <w:pPr>
        <w:pStyle w:val="Akapitzlist"/>
        <w:numPr>
          <w:ilvl w:val="0"/>
          <w:numId w:val="8"/>
        </w:numPr>
        <w:pBdr>
          <w:top w:val="nil"/>
          <w:left w:val="nil"/>
          <w:bottom w:val="nil"/>
          <w:right w:val="nil"/>
        </w:pBdr>
        <w:rPr>
          <w:rFonts w:asciiTheme="minorHAnsi" w:hAnsiTheme="minorHAnsi" w:cstheme="minorHAnsi"/>
          <w:sz w:val="24"/>
        </w:rPr>
      </w:pPr>
      <w:r>
        <w:rPr>
          <w:rFonts w:cstheme="minorHAnsi"/>
          <w:sz w:val="24"/>
        </w:rPr>
        <w:t>Opisy usług</w:t>
      </w:r>
    </w:p>
    <w:p w14:paraId="3C7975F6" w14:textId="77777777" w:rsidR="004D3ED0" w:rsidRDefault="004124F9">
      <w:pPr>
        <w:pStyle w:val="Akapitzlist"/>
        <w:numPr>
          <w:ilvl w:val="0"/>
          <w:numId w:val="8"/>
        </w:numPr>
        <w:pBdr>
          <w:top w:val="nil"/>
          <w:left w:val="nil"/>
          <w:bottom w:val="nil"/>
          <w:right w:val="nil"/>
        </w:pBdr>
        <w:rPr>
          <w:rFonts w:asciiTheme="minorHAnsi" w:hAnsiTheme="minorHAnsi" w:cstheme="minorHAnsi"/>
          <w:sz w:val="24"/>
        </w:rPr>
      </w:pPr>
      <w:r>
        <w:rPr>
          <w:rFonts w:cstheme="minorHAnsi"/>
          <w:sz w:val="24"/>
        </w:rPr>
        <w:t>Role w systemie</w:t>
      </w:r>
    </w:p>
    <w:p w14:paraId="3C7975F7" w14:textId="77777777" w:rsidR="004D3ED0" w:rsidRDefault="004124F9">
      <w:pPr>
        <w:pStyle w:val="Akapitzlist"/>
        <w:numPr>
          <w:ilvl w:val="0"/>
          <w:numId w:val="8"/>
        </w:numPr>
        <w:pBdr>
          <w:top w:val="nil"/>
          <w:left w:val="nil"/>
          <w:bottom w:val="nil"/>
          <w:right w:val="nil"/>
        </w:pBdr>
        <w:rPr>
          <w:rFonts w:asciiTheme="minorHAnsi" w:hAnsiTheme="minorHAnsi" w:cstheme="minorHAnsi"/>
          <w:sz w:val="24"/>
        </w:rPr>
      </w:pPr>
      <w:r>
        <w:rPr>
          <w:rFonts w:cstheme="minorHAnsi"/>
          <w:sz w:val="24"/>
        </w:rPr>
        <w:t>Opinie</w:t>
      </w:r>
    </w:p>
    <w:p w14:paraId="3C7975F8" w14:textId="77777777" w:rsidR="004D3ED0" w:rsidRDefault="004124F9">
      <w:pPr>
        <w:pStyle w:val="Akapitzlist"/>
        <w:numPr>
          <w:ilvl w:val="0"/>
          <w:numId w:val="8"/>
        </w:numPr>
        <w:pBdr>
          <w:top w:val="nil"/>
          <w:left w:val="nil"/>
          <w:bottom w:val="nil"/>
          <w:right w:val="nil"/>
        </w:pBdr>
        <w:rPr>
          <w:rFonts w:asciiTheme="minorHAnsi" w:hAnsiTheme="minorHAnsi" w:cstheme="minorHAnsi"/>
          <w:sz w:val="24"/>
        </w:rPr>
      </w:pPr>
      <w:r>
        <w:rPr>
          <w:rFonts w:cstheme="minorHAnsi"/>
          <w:sz w:val="24"/>
        </w:rPr>
        <w:t>Konfigurator (moduł systemu *.biznes.gov.pl)</w:t>
      </w:r>
    </w:p>
    <w:p w14:paraId="3C7975F9" w14:textId="77777777" w:rsidR="004D3ED0" w:rsidRDefault="004124F9">
      <w:pPr>
        <w:pStyle w:val="Akapitzlist"/>
        <w:numPr>
          <w:ilvl w:val="0"/>
          <w:numId w:val="8"/>
        </w:numPr>
        <w:pBdr>
          <w:top w:val="nil"/>
          <w:left w:val="nil"/>
          <w:bottom w:val="nil"/>
          <w:right w:val="nil"/>
        </w:pBdr>
        <w:rPr>
          <w:rFonts w:asciiTheme="minorHAnsi" w:hAnsiTheme="minorHAnsi" w:cstheme="minorHAnsi"/>
          <w:sz w:val="24"/>
        </w:rPr>
      </w:pPr>
      <w:r>
        <w:rPr>
          <w:rFonts w:cstheme="minorHAnsi"/>
          <w:sz w:val="24"/>
        </w:rPr>
        <w:t>Wyszukiwarka Firm</w:t>
      </w:r>
    </w:p>
    <w:p w14:paraId="3C7975FA" w14:textId="77777777" w:rsidR="004D3ED0" w:rsidRDefault="004124F9">
      <w:pPr>
        <w:pStyle w:val="Akapitzlist"/>
        <w:numPr>
          <w:ilvl w:val="0"/>
          <w:numId w:val="8"/>
        </w:numPr>
        <w:pBdr>
          <w:top w:val="nil"/>
          <w:left w:val="nil"/>
          <w:bottom w:val="nil"/>
          <w:right w:val="nil"/>
        </w:pBdr>
        <w:rPr>
          <w:rFonts w:asciiTheme="minorHAnsi" w:hAnsiTheme="minorHAnsi" w:cstheme="minorHAnsi"/>
          <w:sz w:val="24"/>
        </w:rPr>
      </w:pPr>
      <w:r>
        <w:rPr>
          <w:rFonts w:cstheme="minorHAnsi"/>
          <w:sz w:val="24"/>
        </w:rPr>
        <w:t xml:space="preserve">SOZ + Chatbot </w:t>
      </w:r>
    </w:p>
    <w:p w14:paraId="3C7975FB" w14:textId="77777777" w:rsidR="004D3ED0" w:rsidRDefault="004124F9">
      <w:pPr>
        <w:rPr>
          <w:rFonts w:cstheme="minorHAnsi"/>
          <w:sz w:val="24"/>
        </w:rPr>
      </w:pPr>
      <w:r>
        <w:rPr>
          <w:rFonts w:cstheme="minorHAnsi"/>
          <w:sz w:val="24"/>
        </w:rPr>
        <w:t xml:space="preserve">SMC udostepnia na obecną chwile trzy portale: biznes.gov.pl/pl ; biznes.gov.pl/en oraz akademia.biznes.gov.pl. Moduł ma funkcjonalnośc tworzenia nowych portali. </w:t>
      </w:r>
    </w:p>
    <w:p w14:paraId="3C7975FC" w14:textId="77777777" w:rsidR="004D3ED0" w:rsidRDefault="004124F9">
      <w:pPr>
        <w:pStyle w:val="Nagwek3"/>
        <w:spacing w:after="240"/>
      </w:pPr>
      <w:bookmarkStart w:id="29" w:name="_Toc53743886"/>
      <w:bookmarkStart w:id="30" w:name="_Toc153975849"/>
      <w:r>
        <w:t>Moduł Głos przedsiębiorcy</w:t>
      </w:r>
      <w:bookmarkEnd w:id="29"/>
      <w:bookmarkEnd w:id="30"/>
    </w:p>
    <w:p w14:paraId="3C7975FD" w14:textId="77777777" w:rsidR="004D3ED0" w:rsidRDefault="004124F9">
      <w:pPr>
        <w:pStyle w:val="Standard"/>
        <w:spacing w:after="240"/>
        <w:jc w:val="both"/>
        <w:rPr>
          <w:rFonts w:asciiTheme="minorHAnsi" w:hAnsiTheme="minorHAnsi" w:cstheme="minorHAnsi"/>
        </w:rPr>
      </w:pPr>
      <w:r>
        <w:rPr>
          <w:rFonts w:asciiTheme="minorHAnsi" w:hAnsiTheme="minorHAnsi" w:cstheme="minorHAnsi"/>
        </w:rPr>
        <w:t xml:space="preserve">Moduł Systemu biznes.gov.pl w którym przedsiębiorcy mogą zgłaszać swoje pomysły na poprawę warunków do rozwoju i prowadzenia biznesu w kraju. Można też oceniać i </w:t>
      </w:r>
      <w:r>
        <w:rPr>
          <w:rFonts w:asciiTheme="minorHAnsi" w:hAnsiTheme="minorHAnsi" w:cstheme="minorHAnsi"/>
        </w:rPr>
        <w:t>komentować już zgłoszone pomysły. Zgłaszanie, komentowanie i ocena wymagają zalogowania w serwisie biznes.gov.pl.</w:t>
      </w:r>
    </w:p>
    <w:p w14:paraId="3C7975FE" w14:textId="77777777" w:rsidR="004D3ED0" w:rsidRDefault="004124F9">
      <w:pPr>
        <w:pStyle w:val="Nagwek3"/>
        <w:spacing w:after="240"/>
      </w:pPr>
      <w:bookmarkStart w:id="31" w:name="_Toc153975851"/>
      <w:r>
        <w:lastRenderedPageBreak/>
        <w:t>Moduł eDoręczenia</w:t>
      </w:r>
      <w:bookmarkEnd w:id="31"/>
    </w:p>
    <w:p w14:paraId="3C7975FF" w14:textId="77777777" w:rsidR="004D3ED0" w:rsidRDefault="004124F9">
      <w:pPr>
        <w:rPr>
          <w:rFonts w:cstheme="minorHAnsi"/>
          <w:sz w:val="24"/>
        </w:rPr>
      </w:pPr>
      <w:r>
        <w:rPr>
          <w:rFonts w:cstheme="minorHAnsi"/>
          <w:sz w:val="24"/>
        </w:rPr>
        <w:t>Zgodnie z ustawą o elektronicznych doręczeniach z 18 listopada 2020 roku, w systemie biznes.gov.pl została uruchomiona dla firm i przedsiębiorców  eUsługa do wnioskowania o utworzenie adresu do doręczeń elektronicznych oraz aplikacja do tworzenia i przesyłania wiadomości w ramach systemu eDoręczeń.  Aplikacja i eUsługa jest zintegrowana z Węzłem Krajowym, systemem uwierzytelniania eDoręczeń, Bazą Adresów Elektronicznych (BAE), systemem Rejestrowanego Doręczenia Elektronicznego (RDE) obsługiwanego przez Oper</w:t>
      </w:r>
      <w:r>
        <w:rPr>
          <w:rFonts w:cstheme="minorHAnsi"/>
          <w:sz w:val="24"/>
        </w:rPr>
        <w:t>atora Wyznaczonego (Poczta Polska), CEIDG, KRS.</w:t>
      </w:r>
    </w:p>
    <w:p w14:paraId="3C797600" w14:textId="77777777" w:rsidR="004D3ED0" w:rsidRDefault="004124F9">
      <w:pPr>
        <w:rPr>
          <w:rFonts w:cstheme="minorHAnsi"/>
          <w:sz w:val="24"/>
        </w:rPr>
      </w:pPr>
      <w:r>
        <w:rPr>
          <w:rFonts w:cstheme="minorHAnsi"/>
          <w:sz w:val="24"/>
        </w:rPr>
        <w:t xml:space="preserve">Integracje w ramach aplikacji z systemami zewnętrznymi poprzez VPN: Centralny Ośrodek Informatyki oraz Poczta Polska. </w:t>
      </w:r>
    </w:p>
    <w:p w14:paraId="3C797601" w14:textId="77777777" w:rsidR="004D3ED0" w:rsidRDefault="004D3ED0">
      <w:pPr>
        <w:rPr>
          <w:rFonts w:cstheme="minorHAnsi"/>
          <w:sz w:val="24"/>
        </w:rPr>
      </w:pPr>
    </w:p>
    <w:p w14:paraId="3C797602" w14:textId="77777777" w:rsidR="004D3ED0" w:rsidRDefault="004124F9">
      <w:pPr>
        <w:keepNext/>
      </w:pPr>
      <w:r>
        <w:rPr>
          <w:noProof/>
        </w:rPr>
        <w:drawing>
          <wp:inline distT="0" distB="0" distL="0" distR="0" wp14:anchorId="3C79762C" wp14:editId="3C79762D">
            <wp:extent cx="5496560" cy="5353685"/>
            <wp:effectExtent l="0" t="0" r="0" b="0"/>
            <wp:docPr id="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13"/>
                    <pic:cNvPicPr>
                      <a:picLocks noChangeAspect="1" noChangeArrowheads="1"/>
                    </pic:cNvPicPr>
                  </pic:nvPicPr>
                  <pic:blipFill>
                    <a:blip r:embed="rId30"/>
                    <a:stretch>
                      <a:fillRect/>
                    </a:stretch>
                  </pic:blipFill>
                  <pic:spPr bwMode="auto">
                    <a:xfrm>
                      <a:off x="0" y="0"/>
                      <a:ext cx="5496560" cy="5353685"/>
                    </a:xfrm>
                    <a:prstGeom prst="rect">
                      <a:avLst/>
                    </a:prstGeom>
                  </pic:spPr>
                </pic:pic>
              </a:graphicData>
            </a:graphic>
          </wp:inline>
        </w:drawing>
      </w:r>
    </w:p>
    <w:p w14:paraId="3C797603" w14:textId="77777777" w:rsidR="004D3ED0" w:rsidRDefault="004124F9">
      <w:pPr>
        <w:pStyle w:val="Legenda"/>
        <w:rPr>
          <w:rFonts w:ascii="Times New Roman" w:hAnsi="Times New Roman" w:cs="Times New Roman"/>
          <w:sz w:val="24"/>
        </w:rPr>
      </w:pPr>
      <w:bookmarkStart w:id="32" w:name="_Toc156553662"/>
      <w:r>
        <w:t xml:space="preserve">Rysunek </w:t>
      </w:r>
      <w:r>
        <w:fldChar w:fldCharType="begin"/>
      </w:r>
      <w:r>
        <w:instrText xml:space="preserve"> SEQ Rysunek \* ARABIC </w:instrText>
      </w:r>
      <w:r>
        <w:fldChar w:fldCharType="separate"/>
      </w:r>
      <w:r>
        <w:t>8</w:t>
      </w:r>
      <w:r>
        <w:fldChar w:fldCharType="end"/>
      </w:r>
      <w:r>
        <w:t xml:space="preserve"> Architektura eDoręczeń</w:t>
      </w:r>
      <w:bookmarkEnd w:id="32"/>
    </w:p>
    <w:p w14:paraId="3C797604" w14:textId="77777777" w:rsidR="004D3ED0" w:rsidRDefault="004124F9">
      <w:pPr>
        <w:pStyle w:val="Nagwek3"/>
        <w:spacing w:after="240"/>
      </w:pPr>
      <w:bookmarkStart w:id="33" w:name="_Toc53743889"/>
      <w:bookmarkStart w:id="34" w:name="_Toc153975852"/>
      <w:bookmarkEnd w:id="33"/>
      <w:r>
        <w:lastRenderedPageBreak/>
        <w:t>Moduł Wyszukiwarka firm</w:t>
      </w:r>
      <w:bookmarkEnd w:id="34"/>
      <w:r>
        <w:t xml:space="preserve"> </w:t>
      </w:r>
    </w:p>
    <w:p w14:paraId="3C797605" w14:textId="77777777" w:rsidR="004D3ED0" w:rsidRDefault="004124F9">
      <w:pPr>
        <w:rPr>
          <w:rFonts w:cstheme="minorHAnsi"/>
          <w:sz w:val="24"/>
        </w:rPr>
      </w:pPr>
      <w:r>
        <w:rPr>
          <w:rFonts w:cstheme="minorHAnsi"/>
          <w:sz w:val="24"/>
        </w:rPr>
        <w:t xml:space="preserve">Wyszukiwarka firm to front aplikacji do wyszukiwania firm, które składa się z Wyszukiwarki prostej i Wyszukiwarki Zaawansowanej. Wyszukiwarka prosta – pełnotekstowa umożliwia zadawanie zapytań w postaci pojedynczej frazy składającej się z kilku wyrazów, wyszukuje tylko firmy pochodzące z rejestru CEIDG. Wyszukiwarka zaawansowana umożliwia wyszukiwanie poprzez wypełnienie formularza z wyszczególnionymi polami, wyszukuje firmy pochodzące zarówno z rejestru CEIDG jak i KRS. </w:t>
      </w:r>
    </w:p>
    <w:p w14:paraId="3C797606" w14:textId="77777777" w:rsidR="004D3ED0" w:rsidRDefault="004124F9">
      <w:pPr>
        <w:rPr>
          <w:rFonts w:cstheme="minorHAnsi"/>
          <w:sz w:val="24"/>
        </w:rPr>
      </w:pPr>
      <w:r>
        <w:rPr>
          <w:rFonts w:cstheme="minorHAnsi"/>
          <w:sz w:val="24"/>
        </w:rPr>
        <w:t xml:space="preserve">Aplikacja kliencka Wyszukiwarki Firm inaczej nazywana fornt, jest aplikacją o architekturze Full-Stack application. Front-end jest zrealizowany na otwartej platformie programistycznej Angular i tylko ta część wchodzi w zakres utrzymania Systemu. </w:t>
      </w:r>
    </w:p>
    <w:p w14:paraId="3C797607" w14:textId="77777777" w:rsidR="004D3ED0" w:rsidRDefault="004124F9">
      <w:pPr>
        <w:rPr>
          <w:rFonts w:cstheme="minorHAnsi"/>
          <w:sz w:val="24"/>
        </w:rPr>
      </w:pPr>
      <w:r>
        <w:rPr>
          <w:rFonts w:cstheme="minorHAnsi"/>
          <w:sz w:val="24"/>
        </w:rPr>
        <w:t>Moduł Silnika Wyszukiwarki Firm - API zostało zaimplementowane w oparciu o architekturę RESTfull oraz o technologię Microsoft .NET Core.</w:t>
      </w:r>
    </w:p>
    <w:p w14:paraId="3C797608" w14:textId="77777777" w:rsidR="004D3ED0" w:rsidRDefault="004124F9">
      <w:pPr>
        <w:keepNext/>
      </w:pPr>
      <w:r>
        <w:rPr>
          <w:noProof/>
        </w:rPr>
        <w:drawing>
          <wp:inline distT="0" distB="0" distL="0" distR="0" wp14:anchorId="3C79762E" wp14:editId="3C79762F">
            <wp:extent cx="5759450" cy="2183130"/>
            <wp:effectExtent l="0" t="0" r="0" b="0"/>
            <wp:docPr id="1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2"/>
                    <pic:cNvPicPr>
                      <a:picLocks noChangeAspect="1" noChangeArrowheads="1"/>
                    </pic:cNvPicPr>
                  </pic:nvPicPr>
                  <pic:blipFill>
                    <a:blip r:embed="rId31"/>
                    <a:stretch>
                      <a:fillRect/>
                    </a:stretch>
                  </pic:blipFill>
                  <pic:spPr bwMode="auto">
                    <a:xfrm>
                      <a:off x="0" y="0"/>
                      <a:ext cx="5759450" cy="2183130"/>
                    </a:xfrm>
                    <a:prstGeom prst="rect">
                      <a:avLst/>
                    </a:prstGeom>
                  </pic:spPr>
                </pic:pic>
              </a:graphicData>
            </a:graphic>
          </wp:inline>
        </w:drawing>
      </w:r>
    </w:p>
    <w:p w14:paraId="3C797609" w14:textId="77777777" w:rsidR="004D3ED0" w:rsidRDefault="004124F9">
      <w:pPr>
        <w:pStyle w:val="Legenda"/>
      </w:pPr>
      <w:bookmarkStart w:id="35" w:name="_Toc156553663"/>
      <w:r>
        <w:t xml:space="preserve">Rysunek </w:t>
      </w:r>
      <w:r>
        <w:fldChar w:fldCharType="begin"/>
      </w:r>
      <w:r>
        <w:instrText xml:space="preserve"> SEQ Rysunek \* ARABIC </w:instrText>
      </w:r>
      <w:r>
        <w:fldChar w:fldCharType="separate"/>
      </w:r>
      <w:r>
        <w:t>9</w:t>
      </w:r>
      <w:r>
        <w:fldChar w:fldCharType="end"/>
      </w:r>
      <w:r>
        <w:t xml:space="preserve"> Rozkład komponentów realizujących  Moduł Silnika Wyszukiwarki Firm</w:t>
      </w:r>
      <w:bookmarkEnd w:id="35"/>
    </w:p>
    <w:p w14:paraId="3C79760A" w14:textId="77777777" w:rsidR="004D3ED0" w:rsidRDefault="004124F9">
      <w:pPr>
        <w:pStyle w:val="Nagwek3"/>
        <w:spacing w:after="240"/>
      </w:pPr>
      <w:bookmarkStart w:id="36" w:name="_Toc153975853"/>
      <w:r>
        <w:t>Moduł Tracker</w:t>
      </w:r>
      <w:bookmarkEnd w:id="36"/>
    </w:p>
    <w:p w14:paraId="3C79760B" w14:textId="77777777" w:rsidR="004D3ED0" w:rsidRDefault="004124F9">
      <w:pPr>
        <w:spacing w:before="240" w:after="60"/>
        <w:jc w:val="both"/>
        <w:rPr>
          <w:rFonts w:cstheme="minorHAnsi"/>
          <w:sz w:val="24"/>
          <w:szCs w:val="24"/>
        </w:rPr>
      </w:pPr>
      <w:r>
        <w:rPr>
          <w:rFonts w:cstheme="minorHAnsi"/>
          <w:sz w:val="24"/>
          <w:szCs w:val="24"/>
        </w:rPr>
        <w:t>Tracker kompleksowy  system,  który  będzie pomagał  w  łatwym  przetwarzaniu wniosków  o  zezwolenia  i  licencje  na  obrót  towarami  wrażliwymi.  W ramach systemu *.Biznes.gov.pl udostępnione są e-usługi,   dzięki    którym   przedsiębiorcy,    za   pośrednictwem udostępnionych kreatorów, będą mogli m.in. załatwić rożnego rodzaju sprawy (wysłać wnioski, raporty) związane z obrotem  towarami,  technologiami  i  usługami  o  znaczeniu  strategicznym,  oraz  uzyskają dostęp  do  rejestru prowadzonego w sys</w:t>
      </w:r>
      <w:r>
        <w:rPr>
          <w:rFonts w:cstheme="minorHAnsi"/>
          <w:sz w:val="24"/>
          <w:szCs w:val="24"/>
        </w:rPr>
        <w:t xml:space="preserve">temie Tracker w tym z możliwością prowadzenia ewidencji obrotu towarami. Poniżej przedstawiona architektura systemu Tracker. </w:t>
      </w:r>
    </w:p>
    <w:p w14:paraId="3C79760C" w14:textId="77777777" w:rsidR="004D3ED0" w:rsidRDefault="004124F9">
      <w:pPr>
        <w:keepNext/>
        <w:spacing w:before="240" w:after="60"/>
        <w:jc w:val="both"/>
      </w:pPr>
      <w:r>
        <w:rPr>
          <w:noProof/>
        </w:rPr>
        <w:lastRenderedPageBreak/>
        <w:drawing>
          <wp:inline distT="0" distB="0" distL="0" distR="0" wp14:anchorId="3C797630" wp14:editId="3C797631">
            <wp:extent cx="5759450" cy="4224020"/>
            <wp:effectExtent l="0" t="0" r="0" b="0"/>
            <wp:docPr id="11" name="Obraz5" descr="Obraz zawierający tekst, zrzut ekranu, diagram, Pla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5" descr="Obraz zawierający tekst, zrzut ekranu, diagram, Plan&#10;&#10;Opis wygenerowany automatycznie"/>
                    <pic:cNvPicPr>
                      <a:picLocks noChangeAspect="1" noChangeArrowheads="1"/>
                    </pic:cNvPicPr>
                  </pic:nvPicPr>
                  <pic:blipFill>
                    <a:blip r:embed="rId32"/>
                    <a:stretch>
                      <a:fillRect/>
                    </a:stretch>
                  </pic:blipFill>
                  <pic:spPr bwMode="auto">
                    <a:xfrm>
                      <a:off x="0" y="0"/>
                      <a:ext cx="5759450" cy="4224020"/>
                    </a:xfrm>
                    <a:prstGeom prst="rect">
                      <a:avLst/>
                    </a:prstGeom>
                  </pic:spPr>
                </pic:pic>
              </a:graphicData>
            </a:graphic>
          </wp:inline>
        </w:drawing>
      </w:r>
    </w:p>
    <w:p w14:paraId="3C79760D" w14:textId="77777777" w:rsidR="004D3ED0" w:rsidRDefault="004124F9">
      <w:pPr>
        <w:pStyle w:val="Legenda"/>
        <w:jc w:val="both"/>
        <w:rPr>
          <w:rFonts w:cstheme="minorHAnsi"/>
        </w:rPr>
      </w:pPr>
      <w:bookmarkStart w:id="37" w:name="_Toc156553664"/>
      <w:r>
        <w:t xml:space="preserve">Rysunek </w:t>
      </w:r>
      <w:r>
        <w:fldChar w:fldCharType="begin"/>
      </w:r>
      <w:r>
        <w:instrText xml:space="preserve"> SEQ Rysunek \* ARABIC </w:instrText>
      </w:r>
      <w:r>
        <w:fldChar w:fldCharType="separate"/>
      </w:r>
      <w:r>
        <w:t>10</w:t>
      </w:r>
      <w:r>
        <w:fldChar w:fldCharType="end"/>
      </w:r>
      <w:r>
        <w:t xml:space="preserve"> Architektura Trackera</w:t>
      </w:r>
      <w:bookmarkEnd w:id="37"/>
    </w:p>
    <w:p w14:paraId="3C79760E" w14:textId="77777777" w:rsidR="004D3ED0" w:rsidRDefault="004124F9">
      <w:pPr>
        <w:pStyle w:val="Nagwek1"/>
      </w:pPr>
      <w:bookmarkStart w:id="38" w:name="_Toc153975854"/>
      <w:bookmarkStart w:id="39" w:name="_Toc53743898"/>
      <w:r>
        <w:t>Spis tabel i rysunków</w:t>
      </w:r>
      <w:bookmarkEnd w:id="38"/>
      <w:bookmarkEnd w:id="39"/>
    </w:p>
    <w:p w14:paraId="3C79760F" w14:textId="77777777" w:rsidR="004D3ED0" w:rsidRPr="004124F9" w:rsidRDefault="004124F9">
      <w:pPr>
        <w:pStyle w:val="Spisilustracji"/>
        <w:tabs>
          <w:tab w:val="right" w:leader="dot" w:pos="9060"/>
        </w:tabs>
        <w:rPr>
          <w:rFonts w:eastAsiaTheme="minorEastAsia"/>
          <w:kern w:val="2"/>
          <w:lang w:eastAsia="pl-PL"/>
        </w:rPr>
      </w:pPr>
      <w:r>
        <w:fldChar w:fldCharType="begin"/>
      </w:r>
      <w:r>
        <w:rPr>
          <w:rStyle w:val="czeindeksu"/>
        </w:rPr>
        <w:instrText xml:space="preserve"> TOC \c "Rysunek" \h </w:instrText>
      </w:r>
      <w:r>
        <w:rPr>
          <w:rStyle w:val="czeindeksu"/>
        </w:rPr>
        <w:fldChar w:fldCharType="separate"/>
      </w:r>
      <w:hyperlink w:anchor="_Toc156553655">
        <w:r>
          <w:rPr>
            <w:rStyle w:val="czeindeksu"/>
          </w:rPr>
          <w:t>Rysunek 1  Schemat Infrastruktury sprzętowej w ośrodku podstawowym</w:t>
        </w:r>
        <w:r>
          <w:rPr>
            <w:webHidden/>
          </w:rPr>
          <w:fldChar w:fldCharType="begin"/>
        </w:r>
        <w:r>
          <w:rPr>
            <w:webHidden/>
          </w:rPr>
          <w:instrText>PAGEREF _Toc156553655 \h</w:instrText>
        </w:r>
        <w:r>
          <w:rPr>
            <w:webHidden/>
          </w:rPr>
        </w:r>
        <w:r>
          <w:rPr>
            <w:webHidden/>
          </w:rPr>
          <w:fldChar w:fldCharType="separate"/>
        </w:r>
        <w:r>
          <w:rPr>
            <w:rStyle w:val="czeindeksu"/>
          </w:rPr>
          <w:tab/>
          <w:t>3</w:t>
        </w:r>
        <w:r>
          <w:rPr>
            <w:webHidden/>
          </w:rPr>
          <w:fldChar w:fldCharType="end"/>
        </w:r>
      </w:hyperlink>
    </w:p>
    <w:p w14:paraId="3C797610" w14:textId="77777777" w:rsidR="004D3ED0" w:rsidRPr="004124F9" w:rsidRDefault="004124F9">
      <w:pPr>
        <w:pStyle w:val="Spisilustracji"/>
        <w:tabs>
          <w:tab w:val="right" w:leader="dot" w:pos="9060"/>
        </w:tabs>
        <w:rPr>
          <w:rFonts w:eastAsiaTheme="minorEastAsia"/>
          <w:kern w:val="2"/>
          <w:lang w:eastAsia="pl-PL"/>
        </w:rPr>
      </w:pPr>
      <w:hyperlink w:anchor="_Toc156553656">
        <w:r>
          <w:rPr>
            <w:rStyle w:val="czeindeksu"/>
          </w:rPr>
          <w:t>Rysunek 2 Schemat poglądowy topologii infrastruktury sprzętowej Systemu</w:t>
        </w:r>
        <w:r>
          <w:rPr>
            <w:webHidden/>
          </w:rPr>
          <w:fldChar w:fldCharType="begin"/>
        </w:r>
        <w:r>
          <w:rPr>
            <w:webHidden/>
          </w:rPr>
          <w:instrText>PAGEREF _Toc156553656 \h</w:instrText>
        </w:r>
        <w:r>
          <w:rPr>
            <w:webHidden/>
          </w:rPr>
        </w:r>
        <w:r>
          <w:rPr>
            <w:webHidden/>
          </w:rPr>
          <w:fldChar w:fldCharType="separate"/>
        </w:r>
        <w:r>
          <w:rPr>
            <w:rStyle w:val="czeindeksu"/>
          </w:rPr>
          <w:tab/>
          <w:t>4</w:t>
        </w:r>
        <w:r>
          <w:rPr>
            <w:webHidden/>
          </w:rPr>
          <w:fldChar w:fldCharType="end"/>
        </w:r>
      </w:hyperlink>
    </w:p>
    <w:p w14:paraId="3C797611" w14:textId="77777777" w:rsidR="004D3ED0" w:rsidRPr="004124F9" w:rsidRDefault="004124F9">
      <w:pPr>
        <w:pStyle w:val="Spisilustracji"/>
        <w:tabs>
          <w:tab w:val="right" w:leader="dot" w:pos="9060"/>
        </w:tabs>
        <w:rPr>
          <w:rFonts w:eastAsiaTheme="minorEastAsia"/>
          <w:kern w:val="2"/>
          <w:lang w:eastAsia="pl-PL"/>
        </w:rPr>
      </w:pPr>
      <w:hyperlink w:anchor="_Toc156553657">
        <w:r>
          <w:rPr>
            <w:rStyle w:val="czeindeksu"/>
          </w:rPr>
          <w:t>Rysunek 3 Proces realizacji usług online na platformie eLF</w:t>
        </w:r>
        <w:r>
          <w:rPr>
            <w:webHidden/>
          </w:rPr>
          <w:fldChar w:fldCharType="begin"/>
        </w:r>
        <w:r>
          <w:rPr>
            <w:webHidden/>
          </w:rPr>
          <w:instrText>PAGEREF _Toc156553657 \h</w:instrText>
        </w:r>
        <w:r>
          <w:rPr>
            <w:webHidden/>
          </w:rPr>
        </w:r>
        <w:r>
          <w:rPr>
            <w:webHidden/>
          </w:rPr>
          <w:fldChar w:fldCharType="separate"/>
        </w:r>
        <w:r>
          <w:rPr>
            <w:rStyle w:val="czeindeksu"/>
          </w:rPr>
          <w:tab/>
        </w:r>
        <w:r>
          <w:rPr>
            <w:rStyle w:val="czeindeksu"/>
          </w:rPr>
          <w:t>12</w:t>
        </w:r>
        <w:r>
          <w:rPr>
            <w:webHidden/>
          </w:rPr>
          <w:fldChar w:fldCharType="end"/>
        </w:r>
      </w:hyperlink>
    </w:p>
    <w:p w14:paraId="3C797612" w14:textId="77777777" w:rsidR="004D3ED0" w:rsidRPr="004124F9" w:rsidRDefault="004124F9">
      <w:pPr>
        <w:pStyle w:val="Spisilustracji"/>
        <w:tabs>
          <w:tab w:val="right" w:leader="dot" w:pos="9060"/>
        </w:tabs>
        <w:rPr>
          <w:rFonts w:eastAsiaTheme="minorEastAsia"/>
          <w:kern w:val="2"/>
          <w:lang w:eastAsia="pl-PL"/>
        </w:rPr>
      </w:pPr>
      <w:hyperlink w:anchor="_Toc156553658">
        <w:r>
          <w:rPr>
            <w:rStyle w:val="czeindeksu"/>
          </w:rPr>
          <w:t>Rysunek 4 Architektura logiczna ELF</w:t>
        </w:r>
        <w:r>
          <w:rPr>
            <w:webHidden/>
          </w:rPr>
          <w:fldChar w:fldCharType="begin"/>
        </w:r>
        <w:r>
          <w:rPr>
            <w:webHidden/>
          </w:rPr>
          <w:instrText>PAGEREF _Toc156553658 \h</w:instrText>
        </w:r>
        <w:r>
          <w:rPr>
            <w:webHidden/>
          </w:rPr>
        </w:r>
        <w:r>
          <w:rPr>
            <w:webHidden/>
          </w:rPr>
          <w:fldChar w:fldCharType="separate"/>
        </w:r>
        <w:r>
          <w:rPr>
            <w:rStyle w:val="czeindeksu"/>
          </w:rPr>
          <w:tab/>
          <w:t>13</w:t>
        </w:r>
        <w:r>
          <w:rPr>
            <w:webHidden/>
          </w:rPr>
          <w:fldChar w:fldCharType="end"/>
        </w:r>
      </w:hyperlink>
    </w:p>
    <w:p w14:paraId="3C797613" w14:textId="77777777" w:rsidR="004D3ED0" w:rsidRPr="004124F9" w:rsidRDefault="004124F9">
      <w:pPr>
        <w:pStyle w:val="Spisilustracji"/>
        <w:tabs>
          <w:tab w:val="right" w:leader="dot" w:pos="9060"/>
        </w:tabs>
        <w:rPr>
          <w:rFonts w:eastAsiaTheme="minorEastAsia"/>
          <w:kern w:val="2"/>
          <w:lang w:eastAsia="pl-PL"/>
        </w:rPr>
      </w:pPr>
      <w:hyperlink w:anchor="_Toc156553659">
        <w:r>
          <w:rPr>
            <w:rStyle w:val="czeindeksu"/>
          </w:rPr>
          <w:t>Rysunek 5 Architektura fizyczna podsystemu Baza Wiedzy</w:t>
        </w:r>
        <w:r>
          <w:rPr>
            <w:webHidden/>
          </w:rPr>
          <w:fldChar w:fldCharType="begin"/>
        </w:r>
        <w:r>
          <w:rPr>
            <w:webHidden/>
          </w:rPr>
          <w:instrText>PAGEREF _Toc156553659 \h</w:instrText>
        </w:r>
        <w:r>
          <w:rPr>
            <w:webHidden/>
          </w:rPr>
        </w:r>
        <w:r>
          <w:rPr>
            <w:webHidden/>
          </w:rPr>
          <w:fldChar w:fldCharType="separate"/>
        </w:r>
        <w:r>
          <w:rPr>
            <w:rStyle w:val="czeindeksu"/>
          </w:rPr>
          <w:tab/>
          <w:t>14</w:t>
        </w:r>
        <w:r>
          <w:rPr>
            <w:webHidden/>
          </w:rPr>
          <w:fldChar w:fldCharType="end"/>
        </w:r>
      </w:hyperlink>
    </w:p>
    <w:p w14:paraId="3C797614" w14:textId="77777777" w:rsidR="004D3ED0" w:rsidRPr="004124F9" w:rsidRDefault="004124F9">
      <w:pPr>
        <w:pStyle w:val="Spisilustracji"/>
        <w:tabs>
          <w:tab w:val="right" w:leader="dot" w:pos="9060"/>
        </w:tabs>
        <w:rPr>
          <w:rFonts w:eastAsiaTheme="minorEastAsia"/>
          <w:kern w:val="2"/>
          <w:lang w:eastAsia="pl-PL"/>
        </w:rPr>
      </w:pPr>
      <w:hyperlink w:anchor="_Toc156553660">
        <w:r>
          <w:rPr>
            <w:rStyle w:val="czeindeksu"/>
          </w:rPr>
          <w:t>Rysunek 6 Architektura logiczna Bazy Wiedzy</w:t>
        </w:r>
        <w:r>
          <w:rPr>
            <w:webHidden/>
          </w:rPr>
          <w:fldChar w:fldCharType="begin"/>
        </w:r>
        <w:r>
          <w:rPr>
            <w:webHidden/>
          </w:rPr>
          <w:instrText>PAGEREF _Toc156553660 \h</w:instrText>
        </w:r>
        <w:r>
          <w:rPr>
            <w:webHidden/>
          </w:rPr>
        </w:r>
        <w:r>
          <w:rPr>
            <w:webHidden/>
          </w:rPr>
          <w:fldChar w:fldCharType="separate"/>
        </w:r>
        <w:r>
          <w:rPr>
            <w:rStyle w:val="czeindeksu"/>
          </w:rPr>
          <w:tab/>
          <w:t>15</w:t>
        </w:r>
        <w:r>
          <w:rPr>
            <w:webHidden/>
          </w:rPr>
          <w:fldChar w:fldCharType="end"/>
        </w:r>
      </w:hyperlink>
    </w:p>
    <w:p w14:paraId="3C797615" w14:textId="77777777" w:rsidR="004D3ED0" w:rsidRPr="004124F9" w:rsidRDefault="004124F9">
      <w:pPr>
        <w:pStyle w:val="Spisilustracji"/>
        <w:tabs>
          <w:tab w:val="right" w:leader="dot" w:pos="9060"/>
        </w:tabs>
        <w:rPr>
          <w:rFonts w:eastAsiaTheme="minorEastAsia"/>
          <w:kern w:val="2"/>
          <w:lang w:eastAsia="pl-PL"/>
        </w:rPr>
      </w:pPr>
      <w:hyperlink r:id="rId33" w:anchor="_Toc156553661" w:history="1">
        <w:r>
          <w:rPr>
            <w:rStyle w:val="czeindeksu"/>
          </w:rPr>
          <w:t>Rysunek 7 Architektura CMS (PSI)</w:t>
        </w:r>
      </w:hyperlink>
      <w:r>
        <w:rPr>
          <w:rStyle w:val="czeindeksu"/>
        </w:rPr>
        <w:tab/>
        <w:t>18</w:t>
      </w:r>
    </w:p>
    <w:p w14:paraId="3C797616" w14:textId="77777777" w:rsidR="004D3ED0" w:rsidRPr="004124F9" w:rsidRDefault="004124F9">
      <w:pPr>
        <w:pStyle w:val="Spisilustracji"/>
        <w:tabs>
          <w:tab w:val="right" w:leader="dot" w:pos="9060"/>
        </w:tabs>
        <w:rPr>
          <w:rFonts w:eastAsiaTheme="minorEastAsia"/>
          <w:kern w:val="2"/>
          <w:lang w:eastAsia="pl-PL"/>
        </w:rPr>
      </w:pPr>
      <w:hyperlink w:anchor="_Toc156553662">
        <w:r>
          <w:rPr>
            <w:rStyle w:val="czeindeksu"/>
          </w:rPr>
          <w:t>Rysunek 8 Architektura eDoręczeń</w:t>
        </w:r>
        <w:r>
          <w:rPr>
            <w:webHidden/>
          </w:rPr>
          <w:fldChar w:fldCharType="begin"/>
        </w:r>
        <w:r>
          <w:rPr>
            <w:webHidden/>
          </w:rPr>
          <w:instrText>PAGEREF _Toc156553662 \h</w:instrText>
        </w:r>
        <w:r>
          <w:rPr>
            <w:webHidden/>
          </w:rPr>
        </w:r>
        <w:r>
          <w:rPr>
            <w:webHidden/>
          </w:rPr>
          <w:fldChar w:fldCharType="separate"/>
        </w:r>
        <w:r>
          <w:rPr>
            <w:rStyle w:val="czeindeksu"/>
          </w:rPr>
          <w:tab/>
          <w:t>20</w:t>
        </w:r>
        <w:r>
          <w:rPr>
            <w:webHidden/>
          </w:rPr>
          <w:fldChar w:fldCharType="end"/>
        </w:r>
      </w:hyperlink>
    </w:p>
    <w:p w14:paraId="3C797617" w14:textId="77777777" w:rsidR="004D3ED0" w:rsidRPr="004124F9" w:rsidRDefault="004124F9">
      <w:pPr>
        <w:pStyle w:val="Spisilustracji"/>
        <w:tabs>
          <w:tab w:val="right" w:leader="dot" w:pos="9060"/>
        </w:tabs>
        <w:rPr>
          <w:rFonts w:eastAsiaTheme="minorEastAsia"/>
          <w:kern w:val="2"/>
          <w:lang w:eastAsia="pl-PL"/>
        </w:rPr>
      </w:pPr>
      <w:hyperlink w:anchor="_Toc156553663">
        <w:r>
          <w:rPr>
            <w:rStyle w:val="czeindeksu"/>
          </w:rPr>
          <w:t>Rysunek 9 Rozkład komponentów realizujących  Moduł Silnika Wyszukiwarki Firm</w:t>
        </w:r>
        <w:r>
          <w:rPr>
            <w:webHidden/>
          </w:rPr>
          <w:fldChar w:fldCharType="begin"/>
        </w:r>
        <w:r>
          <w:rPr>
            <w:webHidden/>
          </w:rPr>
          <w:instrText>PAGEREF _Toc156553663 \h</w:instrText>
        </w:r>
        <w:r>
          <w:rPr>
            <w:webHidden/>
          </w:rPr>
        </w:r>
        <w:r>
          <w:rPr>
            <w:webHidden/>
          </w:rPr>
          <w:fldChar w:fldCharType="separate"/>
        </w:r>
        <w:r>
          <w:rPr>
            <w:rStyle w:val="czeindeksu"/>
          </w:rPr>
          <w:tab/>
          <w:t>21</w:t>
        </w:r>
        <w:r>
          <w:rPr>
            <w:webHidden/>
          </w:rPr>
          <w:fldChar w:fldCharType="end"/>
        </w:r>
      </w:hyperlink>
    </w:p>
    <w:p w14:paraId="3C797618" w14:textId="77777777" w:rsidR="004D3ED0" w:rsidRPr="004124F9" w:rsidRDefault="004124F9">
      <w:pPr>
        <w:pStyle w:val="Spisilustracji"/>
        <w:tabs>
          <w:tab w:val="right" w:leader="dot" w:pos="9060"/>
        </w:tabs>
        <w:rPr>
          <w:rFonts w:eastAsiaTheme="minorEastAsia"/>
          <w:kern w:val="2"/>
          <w:lang w:eastAsia="pl-PL"/>
        </w:rPr>
      </w:pPr>
      <w:hyperlink w:anchor="_Toc156553664">
        <w:r>
          <w:rPr>
            <w:rStyle w:val="czeindeksu"/>
          </w:rPr>
          <w:t>Rysunek 10 Architektura Trackera</w:t>
        </w:r>
        <w:r>
          <w:rPr>
            <w:webHidden/>
          </w:rPr>
          <w:fldChar w:fldCharType="begin"/>
        </w:r>
        <w:r>
          <w:rPr>
            <w:webHidden/>
          </w:rPr>
          <w:instrText>PAGEREF _Toc156553664 \h</w:instrText>
        </w:r>
        <w:r>
          <w:rPr>
            <w:webHidden/>
          </w:rPr>
        </w:r>
        <w:r>
          <w:rPr>
            <w:webHidden/>
          </w:rPr>
          <w:fldChar w:fldCharType="separate"/>
        </w:r>
        <w:r>
          <w:rPr>
            <w:rStyle w:val="czeindeksu"/>
          </w:rPr>
          <w:tab/>
          <w:t>22</w:t>
        </w:r>
        <w:r>
          <w:rPr>
            <w:webHidden/>
          </w:rPr>
          <w:fldChar w:fldCharType="end"/>
        </w:r>
      </w:hyperlink>
      <w:r>
        <w:rPr>
          <w:rStyle w:val="czeindeksu"/>
        </w:rPr>
        <w:fldChar w:fldCharType="end"/>
      </w:r>
    </w:p>
    <w:p w14:paraId="3C797619" w14:textId="77777777" w:rsidR="004D3ED0" w:rsidRDefault="004D3ED0"/>
    <w:sectPr w:rsidR="004D3ED0">
      <w:footerReference w:type="default" r:id="rId34"/>
      <w:headerReference w:type="first" r:id="rId35"/>
      <w:footerReference w:type="first" r:id="rId36"/>
      <w:pgSz w:w="11906" w:h="16838"/>
      <w:pgMar w:top="1418" w:right="1418" w:bottom="1418" w:left="1418" w:header="709" w:footer="709" w:gutter="0"/>
      <w:pgNumType w:start="0"/>
      <w:cols w:space="708"/>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79763E" w14:textId="77777777" w:rsidR="004124F9" w:rsidRDefault="004124F9">
      <w:pPr>
        <w:spacing w:after="0" w:line="240" w:lineRule="auto"/>
      </w:pPr>
      <w:r>
        <w:separator/>
      </w:r>
    </w:p>
  </w:endnote>
  <w:endnote w:type="continuationSeparator" w:id="0">
    <w:p w14:paraId="3C797640" w14:textId="77777777" w:rsidR="004124F9" w:rsidRDefault="00412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Noto Sans">
    <w:charset w:val="00"/>
    <w:family w:val="swiss"/>
    <w:pitch w:val="variable"/>
    <w:sig w:usb0="E00002FF" w:usb1="4000001F" w:usb2="08000029" w:usb3="00000000" w:csb0="00000001" w:csb1="00000000"/>
  </w:font>
  <w:font w:name="___wrd_embed_sub_40">
    <w:altName w:val="Cambria"/>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1606932"/>
      <w:docPartObj>
        <w:docPartGallery w:val="Page Numbers (Bottom of Page)"/>
        <w:docPartUnique/>
      </w:docPartObj>
    </w:sdtPr>
    <w:sdtEndPr/>
    <w:sdtContent>
      <w:p w14:paraId="3C797635" w14:textId="77777777" w:rsidR="004D3ED0" w:rsidRDefault="004124F9">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ajorHAnsi" w:eastAsiaTheme="majorEastAsia" w:hAnsiTheme="majorHAnsi" w:cstheme="majorBidi"/>
            <w:sz w:val="28"/>
            <w:szCs w:val="28"/>
          </w:rPr>
          <w:fldChar w:fldCharType="begin"/>
        </w:r>
        <w:r>
          <w:rPr>
            <w:rFonts w:ascii="Cambria" w:hAnsi="Cambria"/>
            <w:sz w:val="28"/>
            <w:szCs w:val="28"/>
          </w:rPr>
          <w:instrText xml:space="preserve"> PAGE </w:instrText>
        </w:r>
        <w:r>
          <w:rPr>
            <w:rFonts w:ascii="Cambria" w:hAnsi="Cambria"/>
            <w:sz w:val="28"/>
            <w:szCs w:val="28"/>
          </w:rPr>
          <w:fldChar w:fldCharType="separate"/>
        </w:r>
        <w:r>
          <w:rPr>
            <w:rFonts w:ascii="Cambria" w:hAnsi="Cambria"/>
            <w:sz w:val="28"/>
            <w:szCs w:val="28"/>
          </w:rPr>
          <w:t>22</w:t>
        </w:r>
        <w:r>
          <w:rPr>
            <w:rFonts w:ascii="Cambria" w:hAnsi="Cambria"/>
            <w:sz w:val="28"/>
            <w:szCs w:val="28"/>
          </w:rPr>
          <w:fldChar w:fldCharType="end"/>
        </w:r>
      </w:p>
    </w:sdtContent>
  </w:sdt>
  <w:p w14:paraId="3C797636" w14:textId="77777777" w:rsidR="004D3ED0" w:rsidRDefault="004D3ED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97638" w14:textId="77777777" w:rsidR="004D3ED0" w:rsidRDefault="004D3ED0">
    <w:pPr>
      <w:pStyle w:val="Stopka"/>
    </w:pPr>
  </w:p>
  <w:p w14:paraId="3C797639" w14:textId="77777777" w:rsidR="004D3ED0" w:rsidRDefault="004D3ED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79763A" w14:textId="77777777" w:rsidR="004124F9" w:rsidRDefault="004124F9">
      <w:pPr>
        <w:spacing w:after="0" w:line="240" w:lineRule="auto"/>
      </w:pPr>
      <w:r>
        <w:separator/>
      </w:r>
    </w:p>
  </w:footnote>
  <w:footnote w:type="continuationSeparator" w:id="0">
    <w:p w14:paraId="3C79763C" w14:textId="77777777" w:rsidR="004124F9" w:rsidRDefault="00412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97637" w14:textId="6D006CEB" w:rsidR="004D3ED0" w:rsidRDefault="004124F9">
    <w:pPr>
      <w:pStyle w:val="Nagwek"/>
    </w:pPr>
    <w:r>
      <w:t>Załącznik numer 3 do SOPZ – Opis infrastruktury systemu biznes.gov.pl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933C9"/>
    <w:multiLevelType w:val="multilevel"/>
    <w:tmpl w:val="D5E436D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DDE2224"/>
    <w:multiLevelType w:val="multilevel"/>
    <w:tmpl w:val="FFC276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A891CC7"/>
    <w:multiLevelType w:val="multilevel"/>
    <w:tmpl w:val="6972C902"/>
    <w:lvl w:ilvl="0">
      <w:start w:val="1"/>
      <w:numFmt w:val="decimal"/>
      <w:pStyle w:val="Nagwek1"/>
      <w:lvlText w:val="%1"/>
      <w:lvlJc w:val="left"/>
      <w:pPr>
        <w:tabs>
          <w:tab w:val="num" w:pos="0"/>
        </w:tabs>
        <w:ind w:left="432" w:hanging="432"/>
      </w:pPr>
    </w:lvl>
    <w:lvl w:ilvl="1">
      <w:start w:val="1"/>
      <w:numFmt w:val="decimal"/>
      <w:pStyle w:val="Nagwek2"/>
      <w:lvlText w:val="%1.%2"/>
      <w:lvlJc w:val="left"/>
      <w:pPr>
        <w:tabs>
          <w:tab w:val="num" w:pos="0"/>
        </w:tabs>
        <w:ind w:left="576" w:hanging="576"/>
      </w:pPr>
    </w:lvl>
    <w:lvl w:ilvl="2">
      <w:start w:val="1"/>
      <w:numFmt w:val="decimal"/>
      <w:pStyle w:val="Nagwek3"/>
      <w:lvlText w:val="%1.%2.%3"/>
      <w:lvlJc w:val="left"/>
      <w:pPr>
        <w:tabs>
          <w:tab w:val="num" w:pos="0"/>
        </w:tabs>
        <w:ind w:left="720" w:hanging="720"/>
      </w:pPr>
    </w:lvl>
    <w:lvl w:ilvl="3">
      <w:start w:val="1"/>
      <w:numFmt w:val="decimal"/>
      <w:pStyle w:val="Nagwek4"/>
      <w:lvlText w:val="%1.%2.%3.%4"/>
      <w:lvlJc w:val="left"/>
      <w:pPr>
        <w:tabs>
          <w:tab w:val="num" w:pos="0"/>
        </w:tabs>
        <w:ind w:left="864" w:hanging="864"/>
      </w:pPr>
    </w:lvl>
    <w:lvl w:ilvl="4">
      <w:start w:val="1"/>
      <w:numFmt w:val="decimal"/>
      <w:pStyle w:val="Nagwek5"/>
      <w:lvlText w:val="%1.%2.%3.%4.%5"/>
      <w:lvlJc w:val="left"/>
      <w:pPr>
        <w:tabs>
          <w:tab w:val="num" w:pos="0"/>
        </w:tabs>
        <w:ind w:left="1008" w:hanging="1008"/>
      </w:pPr>
    </w:lvl>
    <w:lvl w:ilvl="5">
      <w:start w:val="1"/>
      <w:numFmt w:val="decimal"/>
      <w:pStyle w:val="Nagwek6"/>
      <w:lvlText w:val="%1.%2.%3.%4.%5.%6"/>
      <w:lvlJc w:val="left"/>
      <w:pPr>
        <w:tabs>
          <w:tab w:val="num" w:pos="0"/>
        </w:tabs>
        <w:ind w:left="1152" w:hanging="1152"/>
      </w:pPr>
    </w:lvl>
    <w:lvl w:ilvl="6">
      <w:start w:val="1"/>
      <w:numFmt w:val="decimal"/>
      <w:pStyle w:val="Nagwek7"/>
      <w:lvlText w:val="%1.%2.%3.%4.%5.%6.%7"/>
      <w:lvlJc w:val="left"/>
      <w:pPr>
        <w:tabs>
          <w:tab w:val="num" w:pos="0"/>
        </w:tabs>
        <w:ind w:left="1296" w:hanging="1296"/>
      </w:pPr>
    </w:lvl>
    <w:lvl w:ilvl="7">
      <w:start w:val="1"/>
      <w:numFmt w:val="decimal"/>
      <w:pStyle w:val="Nagwek8"/>
      <w:lvlText w:val="%1.%2.%3.%4.%5.%6.%7.%8"/>
      <w:lvlJc w:val="left"/>
      <w:pPr>
        <w:tabs>
          <w:tab w:val="num" w:pos="0"/>
        </w:tabs>
        <w:ind w:left="1440" w:hanging="1440"/>
      </w:pPr>
    </w:lvl>
    <w:lvl w:ilvl="8">
      <w:start w:val="1"/>
      <w:numFmt w:val="decimal"/>
      <w:pStyle w:val="Nagwek9"/>
      <w:lvlText w:val="%1.%2.%3.%4.%5.%6.%7.%8.%9"/>
      <w:lvlJc w:val="left"/>
      <w:pPr>
        <w:tabs>
          <w:tab w:val="num" w:pos="0"/>
        </w:tabs>
        <w:ind w:left="1584" w:hanging="1584"/>
      </w:pPr>
    </w:lvl>
  </w:abstractNum>
  <w:abstractNum w:abstractNumId="3" w15:restartNumberingAfterBreak="0">
    <w:nsid w:val="22D86B19"/>
    <w:multiLevelType w:val="multilevel"/>
    <w:tmpl w:val="E320CC7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258C24AA"/>
    <w:multiLevelType w:val="multilevel"/>
    <w:tmpl w:val="9CDC1E36"/>
    <w:lvl w:ilvl="0">
      <w:numFmt w:val="bullet"/>
      <w:lvlText w:val="•"/>
      <w:lvlJc w:val="left"/>
      <w:pPr>
        <w:tabs>
          <w:tab w:val="num" w:pos="0"/>
        </w:tabs>
        <w:ind w:left="1065" w:hanging="705"/>
      </w:pPr>
      <w:rPr>
        <w:rFonts w:ascii="Times New Roman" w:eastAsiaTheme="minorHAnsi"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9920FC8"/>
    <w:multiLevelType w:val="multilevel"/>
    <w:tmpl w:val="45E829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4B815E84"/>
    <w:multiLevelType w:val="multilevel"/>
    <w:tmpl w:val="4B72AE52"/>
    <w:lvl w:ilvl="0">
      <w:numFmt w:val="bullet"/>
      <w:lvlText w:val="•"/>
      <w:lvlJc w:val="left"/>
      <w:pPr>
        <w:tabs>
          <w:tab w:val="num" w:pos="0"/>
        </w:tabs>
        <w:ind w:left="1065" w:hanging="705"/>
      </w:pPr>
      <w:rPr>
        <w:rFonts w:ascii="Times New Roman" w:eastAsiaTheme="minorHAnsi"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50040108"/>
    <w:multiLevelType w:val="multilevel"/>
    <w:tmpl w:val="6D223778"/>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8" w15:restartNumberingAfterBreak="0">
    <w:nsid w:val="7209221C"/>
    <w:multiLevelType w:val="multilevel"/>
    <w:tmpl w:val="82405F98"/>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num w:numId="1" w16cid:durableId="571474962">
    <w:abstractNumId w:val="2"/>
  </w:num>
  <w:num w:numId="2" w16cid:durableId="2089962715">
    <w:abstractNumId w:val="0"/>
  </w:num>
  <w:num w:numId="3" w16cid:durableId="989869321">
    <w:abstractNumId w:val="8"/>
  </w:num>
  <w:num w:numId="4" w16cid:durableId="1477646605">
    <w:abstractNumId w:val="1"/>
  </w:num>
  <w:num w:numId="5" w16cid:durableId="2094352294">
    <w:abstractNumId w:val="4"/>
  </w:num>
  <w:num w:numId="6" w16cid:durableId="1828089126">
    <w:abstractNumId w:val="6"/>
  </w:num>
  <w:num w:numId="7" w16cid:durableId="995376190">
    <w:abstractNumId w:val="7"/>
  </w:num>
  <w:num w:numId="8" w16cid:durableId="349307473">
    <w:abstractNumId w:val="5"/>
  </w:num>
  <w:num w:numId="9" w16cid:durableId="1110201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2"/>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D3ED0"/>
    <w:rsid w:val="004124F9"/>
    <w:rsid w:val="004D3ED0"/>
    <w:rsid w:val="00984AAC"/>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C7974F8"/>
  <w15:docId w15:val="{F232D247-D82E-44F4-A4CA-8C9385F20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96ECF"/>
    <w:pPr>
      <w:spacing w:after="200" w:line="276" w:lineRule="auto"/>
    </w:pPr>
  </w:style>
  <w:style w:type="paragraph" w:styleId="Nagwek1">
    <w:name w:val="heading 1"/>
    <w:basedOn w:val="Normalny"/>
    <w:next w:val="Normalny"/>
    <w:link w:val="Nagwek1Znak"/>
    <w:uiPriority w:val="9"/>
    <w:qFormat/>
    <w:rsid w:val="008064A5"/>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493B6A"/>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1674EE"/>
    <w:pPr>
      <w:keepNext/>
      <w:keepLines/>
      <w:numPr>
        <w:ilvl w:val="2"/>
        <w:numId w:val="1"/>
      </w:numPr>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iPriority w:val="9"/>
    <w:unhideWhenUsed/>
    <w:qFormat/>
    <w:rsid w:val="001F4E7A"/>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iPriority w:val="9"/>
    <w:unhideWhenUsed/>
    <w:qFormat/>
    <w:rsid w:val="001F4E7A"/>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1F4E7A"/>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semiHidden/>
    <w:unhideWhenUsed/>
    <w:qFormat/>
    <w:rsid w:val="001F4E7A"/>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iPriority w:val="9"/>
    <w:semiHidden/>
    <w:unhideWhenUsed/>
    <w:qFormat/>
    <w:rsid w:val="001F4E7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1F4E7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podstawowyZnak">
    <w:name w:val="Tekst podstawowy Znak"/>
    <w:basedOn w:val="Domylnaczcionkaakapitu"/>
    <w:link w:val="Tekstpodstawowy"/>
    <w:uiPriority w:val="99"/>
    <w:semiHidden/>
    <w:qFormat/>
    <w:rsid w:val="00446DB9"/>
  </w:style>
  <w:style w:type="character" w:customStyle="1" w:styleId="Nagwek1Znak">
    <w:name w:val="Nagłówek 1 Znak"/>
    <w:basedOn w:val="Domylnaczcionkaakapitu"/>
    <w:link w:val="Nagwek1"/>
    <w:uiPriority w:val="9"/>
    <w:qFormat/>
    <w:rsid w:val="008064A5"/>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qFormat/>
    <w:rsid w:val="00493B6A"/>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qFormat/>
    <w:rsid w:val="001674EE"/>
    <w:rPr>
      <w:rFonts w:asciiTheme="majorHAnsi" w:eastAsiaTheme="majorEastAsia" w:hAnsiTheme="majorHAnsi" w:cstheme="majorBidi"/>
      <w:color w:val="243F60" w:themeColor="accent1" w:themeShade="7F"/>
      <w:sz w:val="24"/>
      <w:szCs w:val="24"/>
    </w:rPr>
  </w:style>
  <w:style w:type="character" w:customStyle="1" w:styleId="InternetLink">
    <w:name w:val="Internet Link"/>
    <w:basedOn w:val="Domylnaczcionkaakapitu"/>
    <w:uiPriority w:val="99"/>
    <w:unhideWhenUsed/>
    <w:qFormat/>
    <w:rsid w:val="005F7AE4"/>
    <w:rPr>
      <w:color w:val="0000FF" w:themeColor="hyperlink"/>
      <w:u w:val="single"/>
    </w:rPr>
  </w:style>
  <w:style w:type="character" w:customStyle="1" w:styleId="AkapitzlistZnak">
    <w:name w:val="Akapit z listą Znak"/>
    <w:basedOn w:val="Domylnaczcionkaakapitu"/>
    <w:link w:val="Akapitzlist"/>
    <w:uiPriority w:val="34"/>
    <w:qFormat/>
    <w:rsid w:val="00934837"/>
    <w:rPr>
      <w:rFonts w:ascii="Calibri" w:eastAsia="Calibri" w:hAnsi="Calibri" w:cs="Calibri"/>
      <w:color w:val="000000"/>
      <w:lang w:eastAsia="pl-PL"/>
    </w:rPr>
  </w:style>
  <w:style w:type="character" w:customStyle="1" w:styleId="BezodstpwZnak">
    <w:name w:val="Bez odstępów Znak"/>
    <w:link w:val="Bezodstpw"/>
    <w:uiPriority w:val="1"/>
    <w:qFormat/>
    <w:locked/>
    <w:rsid w:val="0019588C"/>
    <w:rPr>
      <w:rFonts w:ascii="Calibri" w:eastAsia="Times New Roman" w:hAnsi="Calibri" w:cs="Times New Roman"/>
    </w:rPr>
  </w:style>
  <w:style w:type="character" w:styleId="Uwydatnienie">
    <w:name w:val="Emphasis"/>
    <w:uiPriority w:val="20"/>
    <w:qFormat/>
    <w:rsid w:val="00B4350D"/>
    <w:rPr>
      <w:b/>
      <w:bCs/>
    </w:rPr>
  </w:style>
  <w:style w:type="character" w:customStyle="1" w:styleId="st">
    <w:name w:val="st"/>
    <w:basedOn w:val="Domylnaczcionkaakapitu"/>
    <w:qFormat/>
    <w:rsid w:val="00B4350D"/>
  </w:style>
  <w:style w:type="character" w:customStyle="1" w:styleId="Nagwek4Znak">
    <w:name w:val="Nagłówek 4 Znak"/>
    <w:basedOn w:val="Domylnaczcionkaakapitu"/>
    <w:link w:val="Nagwek4"/>
    <w:uiPriority w:val="9"/>
    <w:qFormat/>
    <w:rsid w:val="001F4E7A"/>
    <w:rPr>
      <w:rFonts w:asciiTheme="majorHAnsi" w:eastAsiaTheme="majorEastAsia" w:hAnsiTheme="majorHAnsi" w:cstheme="majorBidi"/>
      <w:i/>
      <w:iCs/>
      <w:color w:val="365F91" w:themeColor="accent1" w:themeShade="BF"/>
    </w:rPr>
  </w:style>
  <w:style w:type="character" w:customStyle="1" w:styleId="Nagwek5Znak">
    <w:name w:val="Nagłówek 5 Znak"/>
    <w:basedOn w:val="Domylnaczcionkaakapitu"/>
    <w:link w:val="Nagwek5"/>
    <w:uiPriority w:val="9"/>
    <w:qFormat/>
    <w:rsid w:val="001F4E7A"/>
    <w:rPr>
      <w:rFonts w:asciiTheme="majorHAnsi" w:eastAsiaTheme="majorEastAsia" w:hAnsiTheme="majorHAnsi" w:cstheme="majorBidi"/>
      <w:color w:val="365F91" w:themeColor="accent1" w:themeShade="BF"/>
    </w:rPr>
  </w:style>
  <w:style w:type="character" w:customStyle="1" w:styleId="Nagwek6Znak">
    <w:name w:val="Nagłówek 6 Znak"/>
    <w:basedOn w:val="Domylnaczcionkaakapitu"/>
    <w:link w:val="Nagwek6"/>
    <w:uiPriority w:val="9"/>
    <w:semiHidden/>
    <w:qFormat/>
    <w:rsid w:val="001F4E7A"/>
    <w:rPr>
      <w:rFonts w:asciiTheme="majorHAnsi" w:eastAsiaTheme="majorEastAsia" w:hAnsiTheme="majorHAnsi" w:cstheme="majorBidi"/>
      <w:color w:val="243F60" w:themeColor="accent1" w:themeShade="7F"/>
    </w:rPr>
  </w:style>
  <w:style w:type="character" w:customStyle="1" w:styleId="Nagwek7Znak">
    <w:name w:val="Nagłówek 7 Znak"/>
    <w:basedOn w:val="Domylnaczcionkaakapitu"/>
    <w:link w:val="Nagwek7"/>
    <w:uiPriority w:val="9"/>
    <w:semiHidden/>
    <w:qFormat/>
    <w:rsid w:val="001F4E7A"/>
    <w:rPr>
      <w:rFonts w:asciiTheme="majorHAnsi" w:eastAsiaTheme="majorEastAsia" w:hAnsiTheme="majorHAnsi" w:cstheme="majorBidi"/>
      <w:i/>
      <w:iCs/>
      <w:color w:val="243F60" w:themeColor="accent1" w:themeShade="7F"/>
    </w:rPr>
  </w:style>
  <w:style w:type="character" w:customStyle="1" w:styleId="Nagwek8Znak">
    <w:name w:val="Nagłówek 8 Znak"/>
    <w:basedOn w:val="Domylnaczcionkaakapitu"/>
    <w:link w:val="Nagwek8"/>
    <w:uiPriority w:val="9"/>
    <w:semiHidden/>
    <w:qFormat/>
    <w:rsid w:val="001F4E7A"/>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qFormat/>
    <w:rsid w:val="001F4E7A"/>
    <w:rPr>
      <w:rFonts w:asciiTheme="majorHAnsi" w:eastAsiaTheme="majorEastAsia" w:hAnsiTheme="majorHAnsi" w:cstheme="majorBidi"/>
      <w:i/>
      <w:iCs/>
      <w:color w:val="272727" w:themeColor="text1" w:themeTint="D8"/>
      <w:sz w:val="21"/>
      <w:szCs w:val="21"/>
    </w:rPr>
  </w:style>
  <w:style w:type="character" w:customStyle="1" w:styleId="TekstdymkaZnak">
    <w:name w:val="Tekst dymka Znak"/>
    <w:basedOn w:val="Domylnaczcionkaakapitu"/>
    <w:link w:val="Tekstdymka"/>
    <w:uiPriority w:val="99"/>
    <w:semiHidden/>
    <w:qFormat/>
    <w:rsid w:val="00F03E6E"/>
    <w:rPr>
      <w:rFonts w:ascii="Tahoma" w:hAnsi="Tahoma" w:cs="Tahoma"/>
      <w:sz w:val="16"/>
      <w:szCs w:val="16"/>
    </w:rPr>
  </w:style>
  <w:style w:type="character" w:styleId="Odwoaniedokomentarza">
    <w:name w:val="annotation reference"/>
    <w:basedOn w:val="Domylnaczcionkaakapitu"/>
    <w:uiPriority w:val="99"/>
    <w:semiHidden/>
    <w:unhideWhenUsed/>
    <w:qFormat/>
    <w:rsid w:val="00F03E6E"/>
    <w:rPr>
      <w:sz w:val="16"/>
      <w:szCs w:val="16"/>
    </w:rPr>
  </w:style>
  <w:style w:type="character" w:customStyle="1" w:styleId="TekstkomentarzaZnak">
    <w:name w:val="Tekst komentarza Znak"/>
    <w:basedOn w:val="Domylnaczcionkaakapitu"/>
    <w:link w:val="Tekstkomentarza"/>
    <w:uiPriority w:val="99"/>
    <w:qFormat/>
    <w:rsid w:val="00F03E6E"/>
    <w:rPr>
      <w:sz w:val="20"/>
      <w:szCs w:val="20"/>
    </w:rPr>
  </w:style>
  <w:style w:type="character" w:customStyle="1" w:styleId="TematkomentarzaZnak">
    <w:name w:val="Temat komentarza Znak"/>
    <w:basedOn w:val="TekstkomentarzaZnak"/>
    <w:link w:val="Tematkomentarza"/>
    <w:uiPriority w:val="99"/>
    <w:semiHidden/>
    <w:qFormat/>
    <w:rsid w:val="00F03E6E"/>
    <w:rPr>
      <w:b/>
      <w:bCs/>
      <w:sz w:val="20"/>
      <w:szCs w:val="20"/>
    </w:rPr>
  </w:style>
  <w:style w:type="character" w:customStyle="1" w:styleId="label">
    <w:name w:val="label"/>
    <w:basedOn w:val="Domylnaczcionkaakapitu"/>
    <w:qFormat/>
    <w:rsid w:val="00835E22"/>
  </w:style>
  <w:style w:type="character" w:customStyle="1" w:styleId="NagwekZnak">
    <w:name w:val="Nagłówek Znak"/>
    <w:basedOn w:val="Domylnaczcionkaakapitu"/>
    <w:link w:val="Nagwek"/>
    <w:uiPriority w:val="99"/>
    <w:qFormat/>
    <w:rsid w:val="00C6228D"/>
  </w:style>
  <w:style w:type="character" w:customStyle="1" w:styleId="StopkaZnak">
    <w:name w:val="Stopka Znak"/>
    <w:basedOn w:val="Domylnaczcionkaakapitu"/>
    <w:link w:val="Stopka"/>
    <w:uiPriority w:val="99"/>
    <w:qFormat/>
    <w:rsid w:val="00C6228D"/>
  </w:style>
  <w:style w:type="character" w:customStyle="1" w:styleId="ui-provider">
    <w:name w:val="ui-provider"/>
    <w:basedOn w:val="Domylnaczcionkaakapitu"/>
    <w:qFormat/>
    <w:rsid w:val="006F0FF1"/>
  </w:style>
  <w:style w:type="character" w:customStyle="1" w:styleId="LegendaZnak">
    <w:name w:val="Legenda Znak"/>
    <w:basedOn w:val="Domylnaczcionkaakapitu"/>
    <w:link w:val="Legenda"/>
    <w:uiPriority w:val="35"/>
    <w:qFormat/>
    <w:rsid w:val="003A3236"/>
    <w:rPr>
      <w:i/>
      <w:iCs/>
      <w:color w:val="1F497D" w:themeColor="text2"/>
      <w:sz w:val="18"/>
      <w:szCs w:val="18"/>
    </w:rPr>
  </w:style>
  <w:style w:type="character" w:styleId="Hipercze">
    <w:name w:val="Hyperlink"/>
    <w:rPr>
      <w:color w:val="000080"/>
      <w:u w:val="single"/>
    </w:rPr>
  </w:style>
  <w:style w:type="character" w:customStyle="1" w:styleId="czeindeksu">
    <w:name w:val="Łącze indeksu"/>
    <w:qFormat/>
  </w:style>
  <w:style w:type="paragraph" w:styleId="Nagwek">
    <w:name w:val="header"/>
    <w:basedOn w:val="Normalny"/>
    <w:next w:val="Tekstpodstawowy"/>
    <w:link w:val="NagwekZnak"/>
    <w:uiPriority w:val="99"/>
    <w:unhideWhenUsed/>
    <w:rsid w:val="00C6228D"/>
    <w:pPr>
      <w:tabs>
        <w:tab w:val="center" w:pos="4536"/>
        <w:tab w:val="right" w:pos="9072"/>
      </w:tabs>
      <w:spacing w:after="0" w:line="240" w:lineRule="auto"/>
    </w:pPr>
  </w:style>
  <w:style w:type="paragraph" w:styleId="Tekstpodstawowy">
    <w:name w:val="Body Text"/>
    <w:basedOn w:val="Normalny"/>
    <w:link w:val="TekstpodstawowyZnak"/>
    <w:uiPriority w:val="99"/>
    <w:semiHidden/>
    <w:unhideWhenUsed/>
    <w:rsid w:val="00446DB9"/>
    <w:pPr>
      <w:spacing w:after="120"/>
    </w:pPr>
  </w:style>
  <w:style w:type="paragraph" w:styleId="Lista">
    <w:name w:val="List"/>
    <w:basedOn w:val="Tekstpodstawowy"/>
    <w:rPr>
      <w:rFonts w:cs="Noto Sans"/>
    </w:rPr>
  </w:style>
  <w:style w:type="paragraph" w:styleId="Legenda">
    <w:name w:val="caption"/>
    <w:basedOn w:val="Normalny"/>
    <w:next w:val="Normalny"/>
    <w:link w:val="LegendaZnak"/>
    <w:uiPriority w:val="35"/>
    <w:unhideWhenUsed/>
    <w:qFormat/>
    <w:rsid w:val="00743FCB"/>
    <w:pPr>
      <w:spacing w:line="240" w:lineRule="auto"/>
    </w:pPr>
    <w:rPr>
      <w:i/>
      <w:iCs/>
      <w:color w:val="1F497D" w:themeColor="text2"/>
      <w:sz w:val="18"/>
      <w:szCs w:val="18"/>
    </w:rPr>
  </w:style>
  <w:style w:type="paragraph" w:customStyle="1" w:styleId="Indeks">
    <w:name w:val="Indeks"/>
    <w:basedOn w:val="Normalny"/>
    <w:qFormat/>
    <w:pPr>
      <w:suppressLineNumbers/>
    </w:pPr>
    <w:rPr>
      <w:rFonts w:cs="Noto Sans"/>
    </w:rPr>
  </w:style>
  <w:style w:type="paragraph" w:customStyle="1" w:styleId="Punkt">
    <w:name w:val="Punkt"/>
    <w:basedOn w:val="Tekstpodstawowy"/>
    <w:qFormat/>
    <w:rsid w:val="00446DB9"/>
    <w:pPr>
      <w:spacing w:after="160" w:line="240" w:lineRule="auto"/>
      <w:jc w:val="both"/>
      <w:textAlignment w:val="baseline"/>
    </w:pPr>
    <w:rPr>
      <w:rFonts w:ascii="Tahoma" w:eastAsia="Times New Roman" w:hAnsi="Tahoma" w:cs="Times New Roman"/>
      <w:sz w:val="20"/>
      <w:szCs w:val="24"/>
      <w:lang w:eastAsia="pl-PL"/>
    </w:rPr>
  </w:style>
  <w:style w:type="paragraph" w:styleId="Akapitzlist">
    <w:name w:val="List Paragraph"/>
    <w:link w:val="AkapitzlistZnak"/>
    <w:uiPriority w:val="34"/>
    <w:qFormat/>
    <w:rsid w:val="00446DB9"/>
    <w:pPr>
      <w:pBdr>
        <w:top w:val="single" w:sz="2" w:space="31" w:color="FFFFFF" w:shadow="1"/>
        <w:left w:val="single" w:sz="2" w:space="31" w:color="FFFFFF" w:shadow="1"/>
        <w:bottom w:val="single" w:sz="2" w:space="31" w:color="FFFFFF" w:shadow="1"/>
        <w:right w:val="single" w:sz="2" w:space="31" w:color="FFFFFF" w:shadow="1"/>
      </w:pBdr>
      <w:spacing w:after="160"/>
      <w:ind w:left="720"/>
      <w:textAlignment w:val="baseline"/>
    </w:pPr>
    <w:rPr>
      <w:rFonts w:ascii="Calibri" w:eastAsia="Calibri" w:hAnsi="Calibri" w:cs="Calibri"/>
      <w:color w:val="000000"/>
      <w:lang w:eastAsia="pl-PL"/>
    </w:rPr>
  </w:style>
  <w:style w:type="paragraph" w:styleId="Nagwekindeksu">
    <w:name w:val="index heading"/>
    <w:basedOn w:val="Nagwek"/>
  </w:style>
  <w:style w:type="paragraph" w:styleId="Nagwekspisutreci">
    <w:name w:val="TOC Heading"/>
    <w:basedOn w:val="Nagwek1"/>
    <w:next w:val="Normalny"/>
    <w:uiPriority w:val="39"/>
    <w:unhideWhenUsed/>
    <w:qFormat/>
    <w:rsid w:val="00915E90"/>
    <w:pPr>
      <w:spacing w:before="240" w:line="259" w:lineRule="auto"/>
      <w:outlineLvl w:val="9"/>
    </w:pPr>
    <w:rPr>
      <w:b w:val="0"/>
      <w:bCs w:val="0"/>
      <w:sz w:val="32"/>
      <w:szCs w:val="32"/>
      <w:lang w:eastAsia="pl-PL"/>
    </w:rPr>
  </w:style>
  <w:style w:type="paragraph" w:styleId="Spistreci1">
    <w:name w:val="toc 1"/>
    <w:basedOn w:val="Normalny"/>
    <w:next w:val="Normalny"/>
    <w:autoRedefine/>
    <w:uiPriority w:val="39"/>
    <w:unhideWhenUsed/>
    <w:rsid w:val="006F0FF1"/>
    <w:pPr>
      <w:tabs>
        <w:tab w:val="left" w:pos="440"/>
        <w:tab w:val="right" w:leader="dot" w:pos="9062"/>
      </w:tabs>
      <w:spacing w:after="100"/>
    </w:pPr>
  </w:style>
  <w:style w:type="paragraph" w:styleId="Spistreci2">
    <w:name w:val="toc 2"/>
    <w:basedOn w:val="Normalny"/>
    <w:next w:val="Normalny"/>
    <w:autoRedefine/>
    <w:uiPriority w:val="39"/>
    <w:unhideWhenUsed/>
    <w:rsid w:val="00915E90"/>
    <w:pPr>
      <w:spacing w:after="100"/>
      <w:ind w:left="220"/>
    </w:pPr>
  </w:style>
  <w:style w:type="paragraph" w:styleId="Spistreci3">
    <w:name w:val="toc 3"/>
    <w:basedOn w:val="Normalny"/>
    <w:next w:val="Normalny"/>
    <w:autoRedefine/>
    <w:uiPriority w:val="39"/>
    <w:unhideWhenUsed/>
    <w:rsid w:val="00915E90"/>
    <w:pPr>
      <w:spacing w:after="100"/>
      <w:ind w:left="440"/>
    </w:pPr>
  </w:style>
  <w:style w:type="paragraph" w:styleId="Bezodstpw">
    <w:name w:val="No Spacing"/>
    <w:link w:val="BezodstpwZnak"/>
    <w:uiPriority w:val="1"/>
    <w:qFormat/>
    <w:rsid w:val="0019588C"/>
    <w:rPr>
      <w:rFonts w:eastAsia="Times New Roman" w:cs="Times New Roman"/>
    </w:rPr>
  </w:style>
  <w:style w:type="paragraph" w:styleId="Spisilustracji">
    <w:name w:val="table of figures"/>
    <w:basedOn w:val="Normalny"/>
    <w:next w:val="Normalny"/>
    <w:uiPriority w:val="99"/>
    <w:unhideWhenUsed/>
    <w:rsid w:val="00A024C2"/>
    <w:pPr>
      <w:spacing w:after="0"/>
    </w:pPr>
  </w:style>
  <w:style w:type="paragraph" w:customStyle="1" w:styleId="Default">
    <w:name w:val="Default"/>
    <w:qFormat/>
    <w:rsid w:val="004A28CB"/>
    <w:rPr>
      <w:rFonts w:ascii="Calibri" w:eastAsia="Calibri" w:hAnsi="Calibri" w:cs="___wrd_embed_sub_40"/>
      <w:color w:val="000000"/>
      <w:szCs w:val="24"/>
    </w:rPr>
  </w:style>
  <w:style w:type="paragraph" w:customStyle="1" w:styleId="docdata">
    <w:name w:val="docdata"/>
    <w:basedOn w:val="Normalny"/>
    <w:qFormat/>
    <w:rsid w:val="00561188"/>
    <w:pPr>
      <w:spacing w:beforeAutospacing="1" w:afterAutospacing="1" w:line="240" w:lineRule="auto"/>
    </w:pPr>
    <w:rPr>
      <w:rFonts w:ascii="Times New Roman" w:eastAsia="Times New Roman" w:hAnsi="Times New Roman" w:cs="Times New Roman"/>
      <w:sz w:val="24"/>
      <w:szCs w:val="24"/>
      <w:lang w:eastAsia="pl-PL"/>
    </w:rPr>
  </w:style>
  <w:style w:type="paragraph" w:customStyle="1" w:styleId="Standard">
    <w:name w:val="Standard"/>
    <w:qFormat/>
    <w:rsid w:val="00D52D07"/>
    <w:pPr>
      <w:widowControl w:val="0"/>
      <w:textAlignment w:val="baseline"/>
    </w:pPr>
    <w:rPr>
      <w:rFonts w:ascii="Tahoma" w:eastAsia="Lucida Sans Unicode" w:hAnsi="Tahoma" w:cs="Tahoma"/>
      <w:kern w:val="2"/>
      <w:sz w:val="24"/>
      <w:szCs w:val="24"/>
      <w:lang w:eastAsia="pl-PL"/>
    </w:rPr>
  </w:style>
  <w:style w:type="paragraph" w:styleId="Tekstdymka">
    <w:name w:val="Balloon Text"/>
    <w:basedOn w:val="Normalny"/>
    <w:link w:val="TekstdymkaZnak"/>
    <w:uiPriority w:val="99"/>
    <w:semiHidden/>
    <w:unhideWhenUsed/>
    <w:qFormat/>
    <w:rsid w:val="00F03E6E"/>
    <w:pPr>
      <w:spacing w:after="0" w:line="240" w:lineRule="auto"/>
    </w:pPr>
    <w:rPr>
      <w:rFonts w:ascii="Tahoma" w:hAnsi="Tahoma" w:cs="Tahoma"/>
      <w:sz w:val="16"/>
      <w:szCs w:val="16"/>
    </w:rPr>
  </w:style>
  <w:style w:type="paragraph" w:styleId="Tekstkomentarza">
    <w:name w:val="annotation text"/>
    <w:basedOn w:val="Normalny"/>
    <w:link w:val="TekstkomentarzaZnak"/>
    <w:uiPriority w:val="99"/>
    <w:unhideWhenUsed/>
    <w:rsid w:val="00F03E6E"/>
    <w:pPr>
      <w:spacing w:line="240" w:lineRule="auto"/>
    </w:pPr>
    <w:rPr>
      <w:sz w:val="20"/>
      <w:szCs w:val="20"/>
    </w:rPr>
  </w:style>
  <w:style w:type="paragraph" w:styleId="Tematkomentarza">
    <w:name w:val="annotation subject"/>
    <w:basedOn w:val="Tekstkomentarza"/>
    <w:next w:val="Tekstkomentarza"/>
    <w:link w:val="TematkomentarzaZnak"/>
    <w:uiPriority w:val="99"/>
    <w:semiHidden/>
    <w:unhideWhenUsed/>
    <w:qFormat/>
    <w:rsid w:val="00F03E6E"/>
    <w:rPr>
      <w:b/>
      <w:bCs/>
    </w:rPr>
  </w:style>
  <w:style w:type="paragraph" w:customStyle="1" w:styleId="Gwkaistopka">
    <w:name w:val="Główka i stopka"/>
    <w:basedOn w:val="Normalny"/>
    <w:qFormat/>
  </w:style>
  <w:style w:type="paragraph" w:styleId="Stopka">
    <w:name w:val="footer"/>
    <w:basedOn w:val="Normalny"/>
    <w:link w:val="StopkaZnak"/>
    <w:uiPriority w:val="99"/>
    <w:unhideWhenUsed/>
    <w:rsid w:val="00C6228D"/>
    <w:pPr>
      <w:tabs>
        <w:tab w:val="center" w:pos="4536"/>
        <w:tab w:val="right" w:pos="9072"/>
      </w:tabs>
      <w:spacing w:after="0" w:line="240" w:lineRule="auto"/>
    </w:pPr>
  </w:style>
  <w:style w:type="paragraph" w:styleId="Poprawka">
    <w:name w:val="Revision"/>
    <w:uiPriority w:val="99"/>
    <w:semiHidden/>
    <w:qFormat/>
    <w:rsid w:val="00B96ECF"/>
  </w:style>
  <w:style w:type="paragraph" w:styleId="Spistreci4">
    <w:name w:val="toc 4"/>
    <w:basedOn w:val="Indeks"/>
  </w:style>
  <w:style w:type="paragraph" w:styleId="Spistreci5">
    <w:name w:val="toc 5"/>
    <w:basedOn w:val="Indeks"/>
  </w:style>
  <w:style w:type="paragraph" w:styleId="Spistreci6">
    <w:name w:val="toc 6"/>
    <w:basedOn w:val="Indeks"/>
  </w:style>
  <w:style w:type="paragraph" w:styleId="Spistreci7">
    <w:name w:val="toc 7"/>
    <w:basedOn w:val="Indeks"/>
  </w:style>
  <w:style w:type="paragraph" w:styleId="Spistreci8">
    <w:name w:val="toc 8"/>
    <w:basedOn w:val="Indeks"/>
  </w:style>
  <w:style w:type="paragraph" w:styleId="Spistreci9">
    <w:name w:val="toc 9"/>
    <w:basedOn w:val="Indeks"/>
  </w:style>
  <w:style w:type="paragraph" w:customStyle="1" w:styleId="Zawartoramki">
    <w:name w:val="Zawartość ramki"/>
    <w:basedOn w:val="Normalny"/>
    <w:qFormat/>
  </w:style>
  <w:style w:type="numbering" w:customStyle="1" w:styleId="Styl1">
    <w:name w:val="Styl1"/>
    <w:uiPriority w:val="99"/>
    <w:qFormat/>
    <w:rsid w:val="001605E9"/>
  </w:style>
  <w:style w:type="table" w:styleId="Tabela-Siatka">
    <w:name w:val="Table Grid"/>
    <w:basedOn w:val="Standardowy"/>
    <w:uiPriority w:val="59"/>
    <w:rsid w:val="001674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Users/user/Desktop/Zlecenia/zlecenie%2082/18.Modul_e-Doreczenia" TargetMode="External"/><Relationship Id="rId26" Type="http://schemas.openxmlformats.org/officeDocument/2006/relationships/image" Target="media/image6.wmf"/><Relationship Id="rId21" Type="http://schemas.openxmlformats.org/officeDocument/2006/relationships/hyperlink" Target="../../../../Users/user/Desktop/Zlecenia/zlecenie%2082/17.Modul_Formularz_CEIDG-1"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Users/user/Desktop/Zlecenia/zlecenie%2082/12.Modul_Konto" TargetMode="External"/><Relationship Id="rId25" Type="http://schemas.openxmlformats.org/officeDocument/2006/relationships/image" Target="media/image5.png"/><Relationship Id="rId33" Type="http://schemas.openxmlformats.org/officeDocument/2006/relationships/hyperlink" Target="../../../../Z:/DGE_Wydzial_III/POST%C4%98POWANIA%20PRZETARGOWE/POST%C4%98POWANIA_2023/8_P_ochrona_SOC/OPZ/v2/Za%C5%82%C4%85cznik%20nr%202%20do%20OPZ%20-%20opis%20systemu%20BIZNESGOVPL.docx"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Users/user/Desktop/Zlecenia/zlecenie%2082/16.Modul_Baza_Wiedzy-Zaplecze" TargetMode="External"/><Relationship Id="rId20" Type="http://schemas.openxmlformats.org/officeDocument/2006/relationships/hyperlink" Target="../../../../Users/user/Desktop/Zlecenia/zlecenie%2082/13.Modul_Platforma_e-uslug-eLF/02.Konfigurator_eLF" TargetMode="External"/><Relationship Id="rId29" Type="http://schemas.openxmlformats.org/officeDocument/2006/relationships/hyperlink" Target="http://www.biznes.gov.pl/e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Users/user/Desktop/Zlecenia/zlecenie%2082/14.Modul_Portal_informacyjny-SMC"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Users/user/Desktop/Zlecenia/zlecenie%2082/13.Modul_Platforma_e-uslug-eLF/01.Runtime_eLF"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Users/user/Desktop/Zlecenia/zlecenie%2082/14.Modul_Portal_informacyjny-SMC" TargetMode="External"/><Relationship Id="rId22" Type="http://schemas.openxmlformats.org/officeDocument/2006/relationships/hyperlink" Target="../../../../Users/user/Desktop/Zlecenia/zlecenie%2082/23.System_Obslugi_Zgloszen" TargetMode="External"/><Relationship Id="rId27" Type="http://schemas.openxmlformats.org/officeDocument/2006/relationships/image" Target="media/image7.wmf"/><Relationship Id="rId30" Type="http://schemas.openxmlformats.org/officeDocument/2006/relationships/image" Target="media/image9.png"/><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Motyw pakietu Office">
  <a:themeElements>
    <a:clrScheme name="Pakiet 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Kamil.laskowski@mrit.gov.pl</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kument" ma:contentTypeID="0x01010024FC3163E27D444EAB1A814B9985FE4F" ma:contentTypeVersion="2" ma:contentTypeDescription="Utwórz nowy dokument." ma:contentTypeScope="" ma:versionID="9b1dc1d2d7a62230eb7cefc8c17451a0">
  <xsd:schema xmlns:xsd="http://www.w3.org/2001/XMLSchema" xmlns:xs="http://www.w3.org/2001/XMLSchema" xmlns:p="http://schemas.microsoft.com/office/2006/metadata/properties" xmlns:ns2="706c2018-b3a2-4bff-9bfa-f1fcb9901ede" targetNamespace="http://schemas.microsoft.com/office/2006/metadata/properties" ma:root="true" ma:fieldsID="da7082e9143604b6a6a9f815c4ec1ffe" ns2:_="">
    <xsd:import namespace="706c2018-b3a2-4bff-9bfa-f1fcb9901ede"/>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6c2018-b3a2-4bff-9bfa-f1fcb9901ede"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E7400F-2312-442B-B388-524FD6BF3D72}">
  <ds:schemaRefs>
    <ds:schemaRef ds:uri="http://schemas.microsoft.com/sharepoint/v3/contenttype/forms"/>
  </ds:schemaRefs>
</ds:datastoreItem>
</file>

<file path=customXml/itemProps3.xml><?xml version="1.0" encoding="utf-8"?>
<ds:datastoreItem xmlns:ds="http://schemas.openxmlformats.org/officeDocument/2006/customXml" ds:itemID="{E9A4DC1F-7F29-4B0A-A11D-34B689DC2890}">
  <ds:schemaRefs>
    <ds:schemaRef ds:uri="http://purl.org/dc/terms/"/>
    <ds:schemaRef ds:uri="http://schemas.openxmlformats.org/package/2006/metadata/core-properties"/>
    <ds:schemaRef ds:uri="http://schemas.microsoft.com/office/2006/documentManagement/types"/>
    <ds:schemaRef ds:uri="http://purl.org/dc/elements/1.1/"/>
    <ds:schemaRef ds:uri="http://www.w3.org/XML/1998/namespace"/>
    <ds:schemaRef ds:uri="http://schemas.microsoft.com/office/infopath/2007/PartnerControls"/>
    <ds:schemaRef ds:uri="706c2018-b3a2-4bff-9bfa-f1fcb9901ede"/>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894D84CC-6976-4DB2-9F8B-D65067049A60}">
  <ds:schemaRefs>
    <ds:schemaRef ds:uri="http://schemas.openxmlformats.org/officeDocument/2006/bibliography"/>
  </ds:schemaRefs>
</ds:datastoreItem>
</file>

<file path=customXml/itemProps5.xml><?xml version="1.0" encoding="utf-8"?>
<ds:datastoreItem xmlns:ds="http://schemas.openxmlformats.org/officeDocument/2006/customXml" ds:itemID="{DAEDEE27-C99F-4CAF-BD25-4D47EE311B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6c2018-b3a2-4bff-9bfa-f1fcb9901e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23</Pages>
  <Words>4446</Words>
  <Characters>26680</Characters>
  <Application>Microsoft Office Word</Application>
  <DocSecurity>0</DocSecurity>
  <Lines>222</Lines>
  <Paragraphs>62</Paragraphs>
  <ScaleCrop>false</ScaleCrop>
  <Company>MRR</Company>
  <LinksUpToDate>false</LinksUpToDate>
  <CharactersWithSpaces>31064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 Laskowski</dc:creator>
  <dc:description/>
  <cp:lastModifiedBy>Wyrąbkiewicz Dawid</cp:lastModifiedBy>
  <cp:revision>36</cp:revision>
  <dcterms:created xsi:type="dcterms:W3CDTF">2022-04-26T16:03:00Z</dcterms:created>
  <dcterms:modified xsi:type="dcterms:W3CDTF">2024-07-12T09:01:00Z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0x01010024FC3163E27D444EAB1A814B9985FE4F</vt:lpwstr>
  </property>
</Properties>
</file>