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B7CE" w14:textId="77777777" w:rsidR="00FC41E0" w:rsidRPr="00FC41E0" w:rsidRDefault="00FC41E0" w:rsidP="00FC41E0">
      <w:pPr>
        <w:jc w:val="center"/>
      </w:pPr>
      <w:bookmarkStart w:id="0" w:name="_GoBack"/>
      <w:bookmarkEnd w:id="0"/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14:paraId="15ED2AE9" w14:textId="77777777"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14:paraId="4693F4A7" w14:textId="77777777"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14:paraId="51C1441C" w14:textId="77777777" w:rsidTr="00A91D66">
        <w:trPr>
          <w:trHeight w:val="610"/>
        </w:trPr>
        <w:tc>
          <w:tcPr>
            <w:tcW w:w="2991" w:type="dxa"/>
            <w:noWrap/>
            <w:hideMark/>
          </w:tcPr>
          <w:p w14:paraId="351D7380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14:paraId="45E4BE41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14:paraId="7363ABC3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7E5ED224" w14:textId="77777777"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A578" w14:textId="77777777"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14:paraId="25CB2B24" w14:textId="77777777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14:paraId="11C89FC6" w14:textId="77777777"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14:paraId="58A624BA" w14:textId="77777777"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14:paraId="78DBDD71" w14:textId="77777777"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14:paraId="7F804988" w14:textId="77777777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42DDEA" w14:textId="77777777"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14:paraId="6648520A" w14:textId="77777777"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14:paraId="63945BC8" w14:textId="77777777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91E8EE" w14:textId="77777777"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14:paraId="33A1DC7C" w14:textId="77777777"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14:paraId="50105A45" w14:textId="77777777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D920696" w14:textId="77777777"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14:paraId="761376CA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C11C77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DEF74" w14:textId="77777777"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E87F009" w14:textId="77777777"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14:paraId="6D450FA7" w14:textId="77777777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14:paraId="1E63E11C" w14:textId="77777777"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14:paraId="78BFB30E" w14:textId="77777777"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14:paraId="20DA69CB" w14:textId="77777777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14:paraId="0D766558" w14:textId="77777777"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21A9532" w14:textId="0ADFF158" w:rsidR="00180D56" w:rsidRPr="00FC41E0" w:rsidRDefault="00D432E2" w:rsidP="003116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peracji jest zgodny ze stanem faktycznym, prawnym</w:t>
            </w:r>
            <w:r w:rsidR="0031166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="00311662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zawiera elementy wzajemnie ze sobą zgodne oraz istnieje praktyczna możliwość realizacji przyjętych założeń. </w:t>
            </w:r>
          </w:p>
        </w:tc>
      </w:tr>
      <w:tr w:rsidR="00180D56" w:rsidRPr="00FC41E0" w14:paraId="479C53DB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76196749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507B7759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5349C79B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7A22EA64" w14:textId="77777777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2B9E7CB5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14:paraId="35610EBD" w14:textId="77777777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6F8D6" w14:textId="77777777"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14:paraId="5D0502FB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4503DD6" w14:textId="77777777"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14:paraId="56770C3E" w14:textId="77777777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14:paraId="677F33E3" w14:textId="77777777"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14:paraId="15F67365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AB59AB2" w14:textId="77777777"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FC7090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14:paraId="74EC8C6B" w14:textId="77777777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14:paraId="301D8EC0" w14:textId="77777777"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14:paraId="78FA28A0" w14:textId="77777777"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14:paraId="2FF569E7" w14:textId="77777777"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D3EC58" w14:textId="77777777" w:rsidR="0026784A" w:rsidRDefault="0026784A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1EAF08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762D8F2F" w14:textId="77777777" w:rsidR="0026784A" w:rsidRDefault="0026784A" w:rsidP="0026784A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CDAF0A4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064E9315" w14:textId="77777777" w:rsidR="00FC41E0" w:rsidRPr="0026784A" w:rsidRDefault="00FC41E0" w:rsidP="0026784A">
      <w:pPr>
        <w:rPr>
          <w:rFonts w:ascii="Times New Roman" w:hAnsi="Times New Roman" w:cs="Times New Roman"/>
          <w:sz w:val="20"/>
          <w:szCs w:val="20"/>
        </w:rPr>
        <w:sectPr w:rsidR="00FC41E0" w:rsidRPr="0026784A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D3565" w14:textId="77777777"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14:paraId="6BA60FF9" w14:textId="77777777"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CBFAAB5" w14:textId="77777777"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14:paraId="4004C748" w14:textId="77777777"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14:paraId="125DF3B8" w14:textId="77777777"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Pr="00FC41E0">
        <w:rPr>
          <w:rFonts w:ascii="Times New Roman" w:hAnsi="Times New Roman" w:cs="Times New Roman"/>
          <w:i/>
          <w:sz w:val="20"/>
          <w:szCs w:val="20"/>
        </w:rPr>
        <w:t>Dz. U. z 2015 r. poz. 1371, z późn. zm.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95B9629" w14:textId="77777777"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14:paraId="099C8534" w14:textId="77777777"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14:paraId="54AEDB5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14:paraId="53220621" w14:textId="77777777"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14:paraId="5B51F22F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14:paraId="71C4D8E0" w14:textId="77777777"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14:paraId="27C1077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14:paraId="3348C822" w14:textId="77777777"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14:paraId="0A32A103" w14:textId="77777777"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14:paraId="5357AFB4" w14:textId="77777777"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14:paraId="65FC6E65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14:paraId="20240903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14:paraId="217A7648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14:paraId="721878DA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14:paraId="2FE13516" w14:textId="77777777"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14:paraId="6DBE6A6D" w14:textId="77777777"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14:paraId="3D05C4D8" w14:textId="77777777"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14:paraId="215D6604" w14:textId="77777777"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14:paraId="171F6F3D" w14:textId="77777777"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14:paraId="2BFB2B16" w14:textId="77777777"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14:paraId="5DB0C01C" w14:textId="77777777"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14:paraId="60C6D932" w14:textId="77777777"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874A00" w14:textId="77777777"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14:paraId="2C2EBEFD" w14:textId="77777777" w:rsidR="00A65F4C" w:rsidRPr="00BF679F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  <w:r w:rsidRPr="00BF679F">
        <w:rPr>
          <w:rFonts w:ascii="Times New Roman" w:hAnsi="Times New Roman" w:cs="Times New Roman"/>
          <w:b/>
          <w:i/>
        </w:rPr>
        <w:t>K</w:t>
      </w:r>
      <w:r w:rsidR="00A06A32" w:rsidRPr="00BF679F">
        <w:rPr>
          <w:rFonts w:ascii="Times New Roman" w:hAnsi="Times New Roman" w:cs="Times New Roman"/>
          <w:b/>
          <w:i/>
        </w:rPr>
        <w:t>ażda inwestycja w nawadnianie powinna już mieć lub ma mieć zainstalowany system pomiaru wody umożliwiający mierzenie zużycia wody w odnies</w:t>
      </w:r>
      <w:bookmarkStart w:id="1" w:name="_Toc16158527"/>
      <w:r w:rsidR="00A65F4C" w:rsidRPr="00BF679F">
        <w:rPr>
          <w:rFonts w:ascii="Times New Roman" w:hAnsi="Times New Roman" w:cs="Times New Roman"/>
          <w:b/>
          <w:i/>
        </w:rPr>
        <w:t>ieniu do wspieranej inwestycji</w:t>
      </w:r>
      <w:r w:rsidR="00FE54C6" w:rsidRPr="00BF679F">
        <w:rPr>
          <w:rFonts w:ascii="Times New Roman" w:hAnsi="Times New Roman" w:cs="Times New Roman"/>
          <w:b/>
          <w:i/>
        </w:rPr>
        <w:t>.</w:t>
      </w:r>
    </w:p>
    <w:p w14:paraId="1861B359" w14:textId="77777777" w:rsidR="001D1560" w:rsidRPr="00BF679F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</w:p>
    <w:p w14:paraId="772A2316" w14:textId="77777777"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14:paraId="26910751" w14:textId="77777777"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27FE0" w14:textId="77777777"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8078DC" w14:textId="77777777"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1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14:paraId="092AB0E4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DA96A82" w14:textId="77777777"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2"/>
          </w:p>
        </w:tc>
        <w:tc>
          <w:tcPr>
            <w:tcW w:w="1842" w:type="dxa"/>
          </w:tcPr>
          <w:p w14:paraId="1767EE39" w14:textId="77777777"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666AF9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0C670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14:paraId="75598596" w14:textId="77777777"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2C3ECA0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4DD6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(bez uwzględniania Wnioskodawcy)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2B95C8A2" w14:textId="77777777"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317212C8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BDA4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14:paraId="5F4D3EE0" w14:textId="77777777"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BBB4483" w14:textId="77777777" w:rsidTr="00E730BF">
        <w:trPr>
          <w:trHeight w:val="255"/>
        </w:trPr>
        <w:tc>
          <w:tcPr>
            <w:tcW w:w="9067" w:type="dxa"/>
            <w:gridSpan w:val="2"/>
          </w:tcPr>
          <w:p w14:paraId="004762B8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14:paraId="4DA2DB13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14:paraId="52A5D6B1" w14:textId="77777777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A40514C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707BA640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01C72B3" w14:textId="77777777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2A1E71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4DDE9C3B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78D57F6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9331E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(zgodnie z kolumną 9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74DAC390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457A840A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43A87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(zgodnie z kolumną 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09F635CC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71E5EE9C" w14:textId="77777777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08283E91" w14:textId="77777777"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AF4E65E" w14:textId="77777777"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03665A2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2B0A2DBB" w14:textId="77777777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1CFFD321" w14:textId="77777777"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36797" w14:textId="77777777"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B9D417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14:paraId="5040E7C8" w14:textId="77777777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40891B53" w14:textId="77777777"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6EA286D" w14:textId="77777777"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01DBF4E" w14:textId="77777777"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14:paraId="5BA678DE" w14:textId="77777777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6508B254" w14:textId="77777777"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3615" w14:textId="77777777"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5D76E1" w14:textId="77777777"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</w:tbl>
    <w:p w14:paraId="1C77C267" w14:textId="77777777" w:rsid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  <w:sectPr w:rsidR="00495B4B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9B685" w14:textId="77777777"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14:paraId="3C824448" w14:textId="77777777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E2A3" w14:textId="77777777"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14:paraId="1E045E32" w14:textId="77777777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C82596B" w14:textId="77777777"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FAD40DA" w14:textId="77777777"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DC317" w14:textId="77777777"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351FF4F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BBC24C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14:paraId="7BDBF781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B3018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4E870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  <w:r w:rsidR="00E24A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59E584E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AE767C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14:paraId="4DCC23A0" w14:textId="77777777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89E746A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1E4CE96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1D646A8" w14:textId="77777777"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615FAB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69FE54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F2BE3E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1D3129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C5C55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EEF4EE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73650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2B6B9C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14:paraId="1D1D3E56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B7F96C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922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5E8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EA6A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30F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C4AF8" w14:textId="77777777"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54C2A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13BBF0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02B6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0DE1C3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AF10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2B4EBC02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5ED23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4A43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9D3CF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384E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26B50D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FC5F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20EC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45DCC6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7324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D1BE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9820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379BFA3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68F74A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87B7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ED22A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7861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0BC69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08D29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850CB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5F463C2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E4BF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34BA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EA77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FA316C3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5DA01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57F5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38F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51A8A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6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81E7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64E4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94665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B4439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141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193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1C79F3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EACF7B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87FF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415DF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BF0B5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32C5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F767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4FED2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04A913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B0E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A77C3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56795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E487D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D7F106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EA4FAE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3A9F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395F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CD67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12C32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4F60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DEE212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7A0B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29CAC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D5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68A801BB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E033A4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CDF2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4BF8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5254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537F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4FAE5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DF183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28B0D81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5DAEB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054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DDD10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7F4C0AD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1057522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684B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4F552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3654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06602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E65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7D20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497168A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C8B02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1A87B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D505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C532DEA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347FE78" w14:textId="77777777"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1BFA15E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268C9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EB6E1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C4D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01C0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EF87B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E355A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E3B23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8403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0386B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1515FD" w14:textId="77777777"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39F97CA7" w14:textId="77777777" w:rsidR="00101328" w:rsidRDefault="00AC1D77" w:rsidP="00DD26DA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 o JCW można pobrać ze strony projektu </w:t>
      </w:r>
      <w:hyperlink r:id="rId10" w:history="1">
        <w:r w:rsidRPr="0012202E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II aktualizacji Planów Gospodarowania Wodami</w:t>
        </w:r>
      </w:hyperlink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</w:p>
    <w:p w14:paraId="332FE251" w14:textId="77777777" w:rsidR="0026784A" w:rsidRPr="0026784A" w:rsidRDefault="0026784A" w:rsidP="0026784A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26784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Informacje dotyczące JCWP i JCWPd dostępne są również: w serwisie </w:t>
      </w:r>
      <w:hyperlink r:id="rId11" w:history="1">
        <w:r w:rsidRPr="0026784A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geoportal.gov.pl</w:t>
        </w:r>
      </w:hyperlink>
      <w:r w:rsidRPr="0026784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w zakładce Dane innych instytucji (Państwowe Gospodarstwo Wodne Wody Polskie) bezpośrednie linki: </w:t>
      </w:r>
      <w:hyperlink r:id="rId12" w:history="1">
        <w:r w:rsidRPr="0026784A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JCW powierzchniowe</w:t>
        </w:r>
      </w:hyperlink>
      <w:r w:rsidRPr="0026784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hyperlink r:id="rId13" w:history="1">
        <w:r w:rsidRPr="0026784A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JCW podziemne</w:t>
        </w:r>
      </w:hyperlink>
      <w:r w:rsidR="000E574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lub na portalu HYDROPORTAL </w:t>
      </w:r>
      <w:r w:rsidR="000E5744" w:rsidRPr="000E5744">
        <w:rPr>
          <w:rFonts w:ascii="Times New Roman" w:hAnsi="Times New Roman" w:cs="Times New Roman"/>
          <w:bCs/>
          <w:i/>
          <w:color w:val="000000"/>
          <w:sz w:val="20"/>
          <w:szCs w:val="20"/>
        </w:rPr>
        <w:t>isok.gov.pl</w:t>
      </w:r>
    </w:p>
    <w:p w14:paraId="4F0A1A7C" w14:textId="77777777" w:rsidR="00435B5C" w:rsidRDefault="00435B5C" w:rsidP="00435B5C">
      <w:pPr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ostatnich dwóch kolumnach.</w:t>
      </w:r>
    </w:p>
    <w:p w14:paraId="51A6F7D0" w14:textId="77777777" w:rsidR="002526D2" w:rsidRDefault="00792EF7" w:rsidP="00BF679F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14:paraId="0D7DCE91" w14:textId="77777777" w:rsidR="002526D2" w:rsidRPr="00BF679F" w:rsidRDefault="00E24AC7" w:rsidP="00B72E36">
      <w:pPr>
        <w:rPr>
          <w:rFonts w:ascii="Times New Roman" w:hAnsi="Times New Roman" w:cs="Times New Roman"/>
          <w:bCs/>
          <w:i/>
          <w:color w:val="000000"/>
          <w:sz w:val="18"/>
          <w:szCs w:val="18"/>
        </w:rPr>
        <w:sectPr w:rsidR="002526D2" w:rsidRPr="00BF679F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* „Tak”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należy zaznaczyć w przypadku inwestycji</w:t>
      </w: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trwale związanych z gruntem/nieruchomością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. UWAGA!</w:t>
      </w:r>
      <w:r w:rsidR="00B72E36" w:rsidRPr="00B72E3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W </w:t>
      </w:r>
      <w:r w:rsid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ramach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operacji typu „Modernizacja gospodarstw rolnych” </w:t>
      </w:r>
      <w:r w:rsidR="00B72E36" w:rsidRPr="00BF679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kosztu kwalifikowalnego nie stanowią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m.in. koszty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  <w:u w:val="single"/>
        </w:rPr>
        <w:t>inwestycji trwale związanych z gruntem lub 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, </w:t>
      </w:r>
      <w:r w:rsidR="00231C59">
        <w:rPr>
          <w:rFonts w:ascii="Times New Roman" w:hAnsi="Times New Roman" w:cs="Times New Roman"/>
          <w:bCs/>
          <w:i/>
          <w:color w:val="000000"/>
          <w:sz w:val="18"/>
          <w:szCs w:val="18"/>
        </w:rPr>
        <w:t>i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nnych niż położone na gruntach stanowiących własność lub współwłasność podmiotu ubiegającego się o przyznanie pomocy lub przedmiot użytkowania wieczystego lub dzierżawy z Zasobu Własności Rolnej Skarbu Państwa lub od jednostek samorządu terytorialnego zawartej na czas nieoznaczony albo na okres co najmniej 7 lat liczony od dnia złożenia wniosku o przyznanie pomocy</w:t>
      </w:r>
    </w:p>
    <w:p w14:paraId="2E6A48A6" w14:textId="77777777"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14:paraId="302EABF0" w14:textId="77777777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14:paraId="3E71D615" w14:textId="77777777"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14:paraId="14941DAE" w14:textId="77777777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14:paraId="0986D488" w14:textId="77777777"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14:paraId="60B36952" w14:textId="77777777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14:paraId="11435F80" w14:textId="77777777"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14:paraId="68B564D2" w14:textId="77777777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5DDC54FD" w14:textId="77777777"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(opis powinien zawierać również dane dotyczące m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model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stan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techniczn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ego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rok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produkcji, wyposażeni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posiadanych obecnie maszyn i urządzeń służących do nawadniania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4D1B2033" w14:textId="77777777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11E9B03F" w14:textId="77777777"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14:paraId="6FF88D9E" w14:textId="77777777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4AF3107" w14:textId="77777777"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02064614" w14:textId="77777777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D5DC975" w14:textId="77777777"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14:paraId="37B00184" w14:textId="77777777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5BB2610" w14:textId="77777777"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14:paraId="5FAF4940" w14:textId="77777777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636FD4A" w14:textId="77777777"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14:paraId="36A00601" w14:textId="77777777"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34133399" w14:textId="77777777"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2126BC69" w14:textId="77777777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14:paraId="6299FFD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F85137" w14:textId="77777777"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5085B7" w14:textId="77777777"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14:paraId="5290E6B3" w14:textId="77777777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14:paraId="6616D698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153365E1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FD8285A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123ECEC5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1BEF5159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4710818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F45C260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6B19288C" w14:textId="77777777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0E8F12A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21CAE47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FAB5642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7B07A4A8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3F356564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7E7F81C5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CA2579A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02726908" w14:textId="77777777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14:paraId="6F44A8A8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380716F7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308C4CC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B29EB52" w14:textId="77777777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14:paraId="7A33FDBF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379A6ECF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3A99D916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297A449" w14:textId="77777777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589D2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1FBE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8CFAFC9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14:paraId="01E8F914" w14:textId="77777777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65E6E" w14:textId="77777777"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A0F8" w14:textId="77777777"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14:paraId="0A659D13" w14:textId="77777777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1A82378" w14:textId="77777777"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14:paraId="5A21503A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8A49" w14:textId="77777777"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E910F0E" w14:textId="77777777"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6DFB3B5D" w14:textId="77777777"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14:paraId="2463DA61" w14:textId="77777777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F9B35" w14:textId="77777777"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14:paraId="30C22DCD" w14:textId="77777777"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14:paraId="7388E365" w14:textId="77777777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25BD8AF7" w14:textId="77777777"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14:paraId="419679C4" w14:textId="77777777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14:paraId="65888656" w14:textId="77777777"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14:paraId="1D9133EF" w14:textId="77777777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44CA3CF4" w14:textId="77777777"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A22273" w14:paraId="297C122B" w14:textId="77777777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68222C0" w14:textId="77777777"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14:paraId="6450AB91" w14:textId="77777777" w:rsidTr="00340964">
        <w:trPr>
          <w:trHeight w:val="457"/>
        </w:trPr>
        <w:tc>
          <w:tcPr>
            <w:tcW w:w="9062" w:type="dxa"/>
            <w:gridSpan w:val="3"/>
          </w:tcPr>
          <w:p w14:paraId="17D1BD1C" w14:textId="77777777"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14:paraId="0733D758" w14:textId="77777777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5D2D610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6AC50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14A31D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C24AA8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6CE9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1F9213" w14:textId="77777777"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14:paraId="2332DB3E" w14:textId="77777777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D908C8" w14:textId="77777777"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14:paraId="0DBD0D61" w14:textId="77777777" w:rsidTr="00FD29B5">
        <w:trPr>
          <w:trHeight w:val="927"/>
        </w:trPr>
        <w:tc>
          <w:tcPr>
            <w:tcW w:w="9062" w:type="dxa"/>
            <w:gridSpan w:val="3"/>
          </w:tcPr>
          <w:p w14:paraId="7111934A" w14:textId="77777777"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14:paraId="4A4C7FCF" w14:textId="77777777"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73D000D6" w14:textId="77777777"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436DA22A" w14:textId="77777777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28B6EAA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14:paraId="0C53D24C" w14:textId="77777777"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6B75CBE" w14:textId="77777777"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14:paraId="6C35D5CC" w14:textId="77777777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14:paraId="5FF3077D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09732546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169A042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839E2BD" w14:textId="77777777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857DA6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0D63C0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6E632DB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27FD50A7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FBC24B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5FD9087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427DAB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6185D196" w14:textId="77777777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14:paraId="3C0BF1C8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31475AB3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96F6517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52D81C5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65C6441A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022F86C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451E79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76A4F0C8" w14:textId="77777777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14:paraId="3DD80F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24E10089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6DE3BB1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31190DA9" w14:textId="77777777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60FA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47D1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CC0F238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14:paraId="2FFF3572" w14:textId="77777777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DD287" w14:textId="77777777"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DF25F7B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5D4BD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14:paraId="09A76E29" w14:textId="77777777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227A2" w14:textId="77777777"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14:paraId="24525EE3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DB8E" w14:textId="77777777"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A8CD6D" w14:textId="77777777"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3DD855F" w14:textId="77777777"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14:paraId="030CC381" w14:textId="77777777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F373" w14:textId="77777777"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39E331B" w14:textId="77777777"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471B72B7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14:paraId="4713081D" w14:textId="77777777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4EA5B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F6B46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4331360B" w14:textId="77777777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B1667" w14:textId="77777777"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74D67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BA14201" w14:textId="77777777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F324BA" w14:textId="77777777"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14:paraId="77D4E083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3CB605D7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14:paraId="2E0AD383" w14:textId="77777777"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14:paraId="70610A39" w14:textId="77777777"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55D23167" w14:textId="77777777"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14:paraId="7BBE30A1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14:paraId="4A5C8620" w14:textId="77777777"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925A5B" w14:textId="77777777" w:rsidR="000D572B" w:rsidRPr="00A637D5" w:rsidRDefault="00AC1D77" w:rsidP="00BF679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14:paraId="7ABFA793" w14:textId="77777777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6DFE40" w14:textId="77777777"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438CCF2" w14:textId="77777777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8CB9CD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A9A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611B10E3" w14:textId="77777777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4D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C8B8FDF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D02B96C" w14:textId="77777777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3BB1D" w14:textId="77777777"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B0E41E5" w14:textId="77777777"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4B601932" w14:textId="77777777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14:paraId="3C9025CC" w14:textId="77777777"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14:paraId="0106DA7B" w14:textId="77777777"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14:paraId="7EF84C37" w14:textId="77777777"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14:paraId="1690C847" w14:textId="77777777"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14:paraId="657E861A" w14:textId="77777777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0B35EFE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500938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7C7FBB6C" w14:textId="77777777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B8EB4" w14:textId="77777777"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04CE618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14:paraId="5C581D04" w14:textId="77777777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462076" w14:textId="77777777"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4FE2" w:rsidRPr="00007B33" w14:paraId="223C9D0C" w14:textId="77777777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5E0D9A" w14:textId="77777777"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BCB1FE7" w14:textId="77777777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A618F82" w14:textId="77777777"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3BADFF40" w14:textId="77777777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93CB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E5F9D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169D8F1F" w14:textId="77777777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60DCC" w14:textId="77777777"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7EC12E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14:paraId="48194B7B" w14:textId="77777777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84705" w14:textId="77777777"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14:paraId="5601A184" w14:textId="77777777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D717E29" w14:textId="77777777"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7467E0" w14:textId="77777777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9E2EC1" w14:textId="77777777"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782228C0" w14:textId="77777777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B3F9" w14:textId="77777777"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4FE2" w:rsidRPr="00BA3A62" w14:paraId="0F6B3603" w14:textId="77777777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5106" w14:textId="77777777"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14:paraId="71F439AD" w14:textId="77777777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F03DAF9" w14:textId="77777777"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C760710" w14:textId="77777777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41559D08" w14:textId="77777777"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14:paraId="53319045" w14:textId="77777777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6F9AB69" w14:textId="77777777"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14:paraId="772D212A" w14:textId="77777777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F787897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BB7044F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ED58238" w14:textId="77777777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95E39A1" w14:textId="77777777"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14:paraId="021AAE4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6FF1890A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14:paraId="202337A6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849F1A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BAA03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609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F6A52C" w14:textId="77777777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67C92754" w14:textId="77777777"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4013E600" w14:textId="77777777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14:paraId="532B52CA" w14:textId="77777777"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14:paraId="23A45DBF" w14:textId="77777777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14:paraId="566B66F0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14:paraId="7158F65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14:paraId="7CEED8FE" w14:textId="77777777"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72077870" w14:textId="77777777"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53FE745A" w14:textId="77777777" w:rsidTr="00BF679F">
        <w:trPr>
          <w:trHeight w:hRule="exact" w:val="786"/>
        </w:trPr>
        <w:tc>
          <w:tcPr>
            <w:tcW w:w="9062" w:type="dxa"/>
            <w:gridSpan w:val="3"/>
            <w:shd w:val="clear" w:color="auto" w:fill="FFFFFF" w:themeFill="background1"/>
          </w:tcPr>
          <w:p w14:paraId="73AD2201" w14:textId="77777777"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007B33" w14:paraId="37EC1F8B" w14:textId="77777777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14:paraId="63C2816D" w14:textId="77777777"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1420D3B" w14:textId="77777777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82F561" w14:textId="77777777"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potencjalnej oszczędności wody,  związanej z realizacją tej inwestycji:</w:t>
            </w:r>
          </w:p>
          <w:p w14:paraId="530C7AEE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D4DD7F" w14:textId="77777777"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14:paraId="3BD6A692" w14:textId="77777777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025DD5" w14:textId="77777777"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14:paraId="6B75FD4E" w14:textId="77777777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101FC" w14:textId="77777777"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14:paraId="5AE85D6A" w14:textId="77777777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8839498" w14:textId="77777777"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14:paraId="4602094E" w14:textId="77777777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1F548F5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14:paraId="0A0AC7CF" w14:textId="77777777"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A9FF836" w14:textId="77777777"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14:paraId="6DAA6B7A" w14:textId="77777777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14:paraId="572BDF6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492786F5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C71327C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7140A368" w14:textId="77777777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14:paraId="3DEA1C82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5954845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A66B529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F5779DA" w14:textId="77777777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14:paraId="57C9D1DA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748488C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B816DA1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9FC58D1" w14:textId="77777777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9EA7B28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63839B0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ADE374D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142F8DD" w14:textId="77777777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70E82D9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162976F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FC48584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37705852" w14:textId="77777777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4151FCF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01618E69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6A0F1FE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1A637F88" w14:textId="77777777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05D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2B6C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50A6222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14:paraId="0F734C58" w14:textId="77777777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03B53" w14:textId="77777777"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E4D3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74E4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235AEE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8F2E" w14:textId="77777777"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14:paraId="13B7E443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084A46C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1BA49369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9BEA99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BC8BE6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FBAD1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14:paraId="57EFFB2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7D9CA9" w14:textId="77777777"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14:paraId="221145A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C83C9E3" w14:textId="77777777"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6E4C974" w14:textId="77777777"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AA40514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0BA8E6D7" w14:textId="77777777"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69AC86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16BA594" w14:textId="77777777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163817F" w14:textId="77777777"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14:paraId="2A1DD8E6" w14:textId="77777777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DA56" w14:textId="77777777"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6B3D83A" w14:textId="77777777"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C7B1D3F" w14:textId="77777777"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14:paraId="10780C03" w14:textId="77777777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F51" w14:textId="77777777"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14:paraId="3F50A65E" w14:textId="77777777"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40B4C3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64F28D5B" w14:textId="77777777" w:rsidTr="00F748BC">
        <w:trPr>
          <w:trHeight w:hRule="exact" w:val="805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51EA" w14:textId="77777777" w:rsidR="00F748BC" w:rsidRDefault="000D572B" w:rsidP="00F748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748BC"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9DD761" w14:textId="5D6875BE" w:rsidR="00F748BC" w:rsidRPr="00F748BC" w:rsidRDefault="00F748BC" w:rsidP="00F748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(Szacowana potencjalna oszczędność wody będzie zależała nie tylko od planowanej inwestycji w istniejącą instalację nawadniającą lub element infrastruktury nawadniającej  ale także od zakresu o jaki procent powierzchni netto instalacja ta będzie powiększona.)</w:t>
            </w:r>
          </w:p>
          <w:p w14:paraId="79A75CE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39BD4" w14:textId="77777777" w:rsidR="00F748B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7198BE" w14:textId="77777777" w:rsidR="00F748BC" w:rsidRPr="00FA005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DA011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01FAD8D" w14:textId="77777777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25CC73" w14:textId="77777777"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1434C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5EF7C18E" w14:textId="77777777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23276D" w14:textId="528D0FE9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Rolnik, który redukuje zużycie wody na poziomie inwestycji nie może zniweczyć  tego poprzez zwiększenie zużycia wody o tę samą ilość w innej części gospodarstwa.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Ś</w:t>
            </w: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rodowisko musi odnieść korzyść. </w:t>
            </w:r>
          </w:p>
          <w:p w14:paraId="79AC6765" w14:textId="77777777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  <w:p w14:paraId="3E305348" w14:textId="77777777" w:rsidR="007925AA" w:rsidRPr="008F3152" w:rsidRDefault="00A637D5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14:paraId="61C93A9A" w14:textId="77777777"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DA13DD" w14:textId="77777777"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38F108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F83A189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D8F8AF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C92B5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90734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A47B36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E17947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9A78ED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20BB3B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EBBA571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FC6C62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AD9C4A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1AAF5" w14:textId="77777777"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85E4E" w14:textId="77777777"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14:paraId="5EA543A8" w14:textId="77777777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14:paraId="43E6C65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75459B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14:paraId="4A0388D8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14:paraId="04A59080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14:paraId="6FDDFA5B" w14:textId="77777777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14:paraId="052176FA" w14:textId="77777777"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14:paraId="515CD6D7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31DA7556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24D43C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7D307F5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932E1C" w14:textId="77777777"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14:paraId="7D12D7A9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71AADAC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429915D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05E7761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BAAA89A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14:paraId="6AC0A475" w14:textId="77777777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14:paraId="56E865AE" w14:textId="77777777"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2C91A4A5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A661F03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14:paraId="61379AC8" w14:textId="77777777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14:paraId="7B720BB2" w14:textId="77777777"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14:paraId="7A8E5A3A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2D39D2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14:paraId="1E5BF4FB" w14:textId="77777777"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8D20299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BA7103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14:paraId="1325AA60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4228509E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14:paraId="1FA9867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597EDCD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08AAD42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14:paraId="2705DFD8" w14:textId="77777777"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14:paraId="27693970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14:paraId="0ACD3A9C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4E19A2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153A4714" w14:textId="77777777"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417"/>
        <w:gridCol w:w="2693"/>
      </w:tblGrid>
      <w:tr w:rsidR="00552692" w:rsidRPr="007B581B" w14:paraId="32D8D32F" w14:textId="77777777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14:paraId="77C57B0A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E0E3859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A924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C2998D5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14:paraId="5FEF9A3A" w14:textId="77777777" w:rsidTr="00BF679F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14:paraId="432A879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19FA92E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A2BF0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DE49B68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2AE37B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665EBE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6FCDD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14:paraId="2FE6E2C0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5FC8B4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8AF7C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10FD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8DB1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F98EC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396B2A38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795A8C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79C47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7417E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6A621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E0215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1BD11BBE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F3F819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5BFA4A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DC0B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6685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0EDA1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77F55CF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021FFD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60E7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4820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1D50F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B6CD7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2BE67F0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1AFC70E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8453D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0431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6B35E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FFC99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1B71EC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4A4E8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7EC4E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3E6F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196C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916D5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C9FE9F9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CEE5F1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C31F4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4589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17524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BB4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F23F4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DDFE147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D2495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3912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F542A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A588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0205427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D726EA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0B8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75FA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2C44A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C53B2F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D474F4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5797695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66B02D8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0FCE88FB" w14:textId="77777777"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14:paraId="0169B3DE" w14:textId="77777777"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14:paraId="0620121B" w14:textId="77777777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60558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7D591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B8DD63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120444" w14:textId="77777777" w:rsidR="00FF2921" w:rsidRPr="005F3956" w:rsidRDefault="00FF2921" w:rsidP="00E2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AA030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14:paraId="6CC7BE47" w14:textId="77777777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3FE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75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F947D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688AF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6592D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D42513E" w14:textId="77777777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D11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4802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63E9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AC9DE4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22F03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5802A83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987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2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27A382" w14:textId="77777777"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DA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52AF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14:paraId="2E18940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C18F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F8BA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EEC9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833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48253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E2B3016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9D57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C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1B4D8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F39C3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D7480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951947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090D0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6B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45BB71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932C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EF6DE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96FC7" w14:textId="77777777"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A01D0E7" w14:textId="77777777"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14:paraId="22B7FCD2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14:paraId="076AC20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14:paraId="25A27A2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w kolumnie "ogółem" dla danej pozycji zestawienia rzeczowo-finansowego.</w:t>
      </w:r>
    </w:p>
    <w:p w14:paraId="653534C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14:paraId="4536DE3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14:paraId="64F77344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14:paraId="040DD3A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Ujęte w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Opisie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wielkości charakteryzujące przedmiot operacji, będą następnie wykorzystywane przez Podmiot ubiegający się o przyznanie pomocy w postępowaniu ofertowym. Obowiązki wynikające z zachowania konkurencyjnego trybu wyboru wykonawców poszczególnych zadań ujętych w zestawieniu rzeczowo-finansowym operacji (w przypadku gdy wartość danego zadania ujętego w zestawieniu rzeczowo-finansowym operacji przekracza równowartość kwoty w złotych 30 tys. euro) określone zostały we wzorze umowy o przyznaniu pomocy. Dodatkowo, na stronie www</w:t>
      </w:r>
      <w:r w:rsidR="004262A1" w:rsidRPr="005F3956">
        <w:rPr>
          <w:rFonts w:ascii="Times New Roman" w:hAnsi="Times New Roman" w:cs="Times New Roman"/>
          <w:i/>
          <w:sz w:val="16"/>
          <w:szCs w:val="16"/>
        </w:rPr>
        <w:t>.arimr.gov.pl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upublicznione są wytyczne dotyczące stosowania zasad konkurencyjności, określające między innymi tryb składania dokumentów z postępowań ofertowych, m.in. zapytań ofertowych i wybranych ofert.  </w:t>
      </w:r>
    </w:p>
    <w:sectPr w:rsidR="005E4C76" w:rsidRPr="005F3956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CD12" w14:textId="77777777" w:rsidR="00903E0D" w:rsidRDefault="00903E0D" w:rsidP="0076158D">
      <w:pPr>
        <w:spacing w:after="0" w:line="240" w:lineRule="auto"/>
      </w:pPr>
      <w:r>
        <w:separator/>
      </w:r>
    </w:p>
  </w:endnote>
  <w:endnote w:type="continuationSeparator" w:id="0">
    <w:p w14:paraId="46B7A62A" w14:textId="77777777" w:rsidR="00903E0D" w:rsidRDefault="00903E0D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48555" w14:textId="77777777" w:rsidR="003E19FC" w:rsidRDefault="006D015B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E19FC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E19FC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E19FC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E19FC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6D015B">
          <w:rPr>
            <w:rFonts w:ascii="Times New Roman" w:eastAsiaTheme="majorEastAsia" w:hAnsi="Times New Roman" w:cs="Times New Roman"/>
            <w:noProof/>
            <w:sz w:val="20"/>
            <w:szCs w:val="20"/>
          </w:rPr>
          <w:t>13</w:t>
        </w:r>
        <w:r w:rsidR="003E19FC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14:paraId="574BF1FB" w14:textId="77777777" w:rsidR="003E19FC" w:rsidRPr="00B2680E" w:rsidRDefault="003E19FC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/20/2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E19FC" w14:paraId="62966887" w14:textId="77777777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76FF5C" w14:textId="77777777" w:rsidR="003E19FC" w:rsidRDefault="003E19FC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2F6DF9" w14:textId="77777777" w:rsidR="003E19FC" w:rsidRDefault="003E19FC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AC579" w14:textId="77777777" w:rsidR="003E19FC" w:rsidRDefault="003E19FC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34FE60" w14:textId="77777777" w:rsidR="003E19FC" w:rsidRPr="009E1A8A" w:rsidRDefault="003E19FC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2154" w14:textId="77777777" w:rsidR="00903E0D" w:rsidRDefault="00903E0D" w:rsidP="0076158D">
      <w:pPr>
        <w:spacing w:after="0" w:line="240" w:lineRule="auto"/>
      </w:pPr>
      <w:r>
        <w:separator/>
      </w:r>
    </w:p>
  </w:footnote>
  <w:footnote w:type="continuationSeparator" w:id="0">
    <w:p w14:paraId="2D3DE977" w14:textId="77777777" w:rsidR="00903E0D" w:rsidRDefault="00903E0D" w:rsidP="0076158D">
      <w:pPr>
        <w:spacing w:after="0" w:line="240" w:lineRule="auto"/>
      </w:pPr>
      <w:r>
        <w:continuationSeparator/>
      </w:r>
    </w:p>
  </w:footnote>
  <w:footnote w:id="1">
    <w:p w14:paraId="474C26A7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14:paraId="4F739F25" w14:textId="77777777" w:rsidR="003E19FC" w:rsidRPr="001D4952" w:rsidRDefault="003E19FC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14:paraId="21AD3D6A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14:paraId="0E19BF5D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14:paraId="0CCEFA93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14:paraId="7B6F9E2F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14:paraId="0414678A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14:paraId="1DD4D35B" w14:textId="77777777" w:rsidR="003E19FC" w:rsidRDefault="003E1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70F"/>
    <w:multiLevelType w:val="hybridMultilevel"/>
    <w:tmpl w:val="A8902FBE"/>
    <w:lvl w:ilvl="0" w:tplc="3112F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8D"/>
    <w:rsid w:val="000005B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0DA5"/>
    <w:rsid w:val="000512A6"/>
    <w:rsid w:val="00052895"/>
    <w:rsid w:val="00053352"/>
    <w:rsid w:val="000629C6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A03EB"/>
    <w:rsid w:val="000B3661"/>
    <w:rsid w:val="000C0A9C"/>
    <w:rsid w:val="000C54F3"/>
    <w:rsid w:val="000C57A4"/>
    <w:rsid w:val="000C7799"/>
    <w:rsid w:val="000D25DA"/>
    <w:rsid w:val="000D35F2"/>
    <w:rsid w:val="000D572B"/>
    <w:rsid w:val="000E5744"/>
    <w:rsid w:val="00101328"/>
    <w:rsid w:val="00110C5B"/>
    <w:rsid w:val="001117CC"/>
    <w:rsid w:val="001125B2"/>
    <w:rsid w:val="00116C78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3DA8"/>
    <w:rsid w:val="001A7B35"/>
    <w:rsid w:val="001B799C"/>
    <w:rsid w:val="001C5A7E"/>
    <w:rsid w:val="001D1560"/>
    <w:rsid w:val="001D4952"/>
    <w:rsid w:val="001D57F5"/>
    <w:rsid w:val="001D7EBD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1581"/>
    <w:rsid w:val="002244E8"/>
    <w:rsid w:val="00227A72"/>
    <w:rsid w:val="00231C59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6784A"/>
    <w:rsid w:val="0027102B"/>
    <w:rsid w:val="00280437"/>
    <w:rsid w:val="00286B45"/>
    <w:rsid w:val="0028772C"/>
    <w:rsid w:val="00290789"/>
    <w:rsid w:val="0029108F"/>
    <w:rsid w:val="00294EEF"/>
    <w:rsid w:val="002A0C95"/>
    <w:rsid w:val="002A3B46"/>
    <w:rsid w:val="002B06C1"/>
    <w:rsid w:val="002C6617"/>
    <w:rsid w:val="002D4FCD"/>
    <w:rsid w:val="002E0834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1662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2C69"/>
    <w:rsid w:val="003D381C"/>
    <w:rsid w:val="003E19FC"/>
    <w:rsid w:val="003E64B1"/>
    <w:rsid w:val="003E6E4E"/>
    <w:rsid w:val="003F04DF"/>
    <w:rsid w:val="003F1B4F"/>
    <w:rsid w:val="003F1D98"/>
    <w:rsid w:val="003F75B5"/>
    <w:rsid w:val="00402705"/>
    <w:rsid w:val="00402D5A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3424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015B"/>
    <w:rsid w:val="006D2845"/>
    <w:rsid w:val="006D48AB"/>
    <w:rsid w:val="006D6C9C"/>
    <w:rsid w:val="006D6F89"/>
    <w:rsid w:val="006E3D45"/>
    <w:rsid w:val="006E7BEB"/>
    <w:rsid w:val="006F0B01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41C91"/>
    <w:rsid w:val="00843C02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3152"/>
    <w:rsid w:val="008F3353"/>
    <w:rsid w:val="0090262B"/>
    <w:rsid w:val="009029D2"/>
    <w:rsid w:val="00903E0D"/>
    <w:rsid w:val="009056E5"/>
    <w:rsid w:val="00912334"/>
    <w:rsid w:val="009131F3"/>
    <w:rsid w:val="00914582"/>
    <w:rsid w:val="00914589"/>
    <w:rsid w:val="009237ED"/>
    <w:rsid w:val="0093353A"/>
    <w:rsid w:val="00934529"/>
    <w:rsid w:val="009412A4"/>
    <w:rsid w:val="0094650C"/>
    <w:rsid w:val="00947BBD"/>
    <w:rsid w:val="009500B9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42EB"/>
    <w:rsid w:val="00A846F3"/>
    <w:rsid w:val="00A87BC1"/>
    <w:rsid w:val="00A91D66"/>
    <w:rsid w:val="00A921A7"/>
    <w:rsid w:val="00A92C31"/>
    <w:rsid w:val="00A974CC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72E36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111A"/>
    <w:rsid w:val="00BF6116"/>
    <w:rsid w:val="00BF679F"/>
    <w:rsid w:val="00C02EBB"/>
    <w:rsid w:val="00C040BF"/>
    <w:rsid w:val="00C064AF"/>
    <w:rsid w:val="00C0762F"/>
    <w:rsid w:val="00C077A2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37099"/>
    <w:rsid w:val="00C44616"/>
    <w:rsid w:val="00C51CD3"/>
    <w:rsid w:val="00C51CE6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5848"/>
    <w:rsid w:val="00CD7A54"/>
    <w:rsid w:val="00CE319D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70FF1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4AC7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66AC8"/>
    <w:rsid w:val="00F73883"/>
    <w:rsid w:val="00F73EE2"/>
    <w:rsid w:val="00F748BC"/>
    <w:rsid w:val="00F7607B"/>
    <w:rsid w:val="00F81950"/>
    <w:rsid w:val="00F8637C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CB2034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apy.geoportal.gov.pl/imap/?locale=pl&amp;gui=new&amp;sessionID=4055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py.geoportal.gov.pl/imap/?locale=pl&amp;gui=new&amp;sessionID=40267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y.geoportal.gov.pl/imap/?locale=pl&amp;gui=new&amp;sessionID=40267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gw.gov.pl/pl/II-cykl-informacje-ogoln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CD1C-2F56-4D63-AF46-17E48AF6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3876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2</cp:revision>
  <cp:lastPrinted>2019-09-11T08:54:00Z</cp:lastPrinted>
  <dcterms:created xsi:type="dcterms:W3CDTF">2020-02-04T10:48:00Z</dcterms:created>
  <dcterms:modified xsi:type="dcterms:W3CDTF">2020-02-04T10:48:00Z</dcterms:modified>
</cp:coreProperties>
</file>