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0553A0FC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Część </w:t>
      </w:r>
      <w:r w:rsidR="00CB6F96">
        <w:rPr>
          <w:rFonts w:cstheme="minorHAnsi"/>
          <w:b/>
          <w:bCs/>
          <w:color w:val="0070C0"/>
          <w:sz w:val="28"/>
          <w:szCs w:val="28"/>
        </w:rPr>
        <w:t>6</w:t>
      </w:r>
    </w:p>
    <w:p w14:paraId="4DD24467" w14:textId="538CE063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 xml:space="preserve">Pytania i odpowiedzi </w:t>
      </w:r>
      <w:proofErr w:type="spellStart"/>
      <w:r w:rsidRPr="00B07DA8">
        <w:rPr>
          <w:rFonts w:cstheme="minorHAnsi"/>
          <w:b/>
          <w:bCs/>
          <w:color w:val="0070C0"/>
          <w:sz w:val="28"/>
          <w:szCs w:val="28"/>
        </w:rPr>
        <w:t>ws</w:t>
      </w:r>
      <w:proofErr w:type="spellEnd"/>
      <w:r w:rsidRPr="00B07DA8">
        <w:rPr>
          <w:rFonts w:cstheme="minorHAnsi"/>
          <w:b/>
          <w:bCs/>
          <w:color w:val="0070C0"/>
          <w:sz w:val="28"/>
          <w:szCs w:val="28"/>
        </w:rPr>
        <w:t>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</w:t>
      </w:r>
      <w:r w:rsidR="00B53155">
        <w:rPr>
          <w:rFonts w:cstheme="minorHAnsi"/>
          <w:b/>
          <w:bCs/>
          <w:color w:val="0070C0"/>
          <w:sz w:val="28"/>
          <w:szCs w:val="28"/>
        </w:rPr>
        <w:t>9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>G</w:t>
      </w:r>
    </w:p>
    <w:p w14:paraId="6444B355" w14:textId="3E72ACCB" w:rsidR="00E86189" w:rsidRPr="00B53155" w:rsidRDefault="00784AD0" w:rsidP="00B53155">
      <w:pPr>
        <w:jc w:val="center"/>
        <w:rPr>
          <w:b/>
          <w:bCs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B53155" w:rsidRPr="00E10922">
        <w:rPr>
          <w:b/>
          <w:bCs/>
        </w:rPr>
        <w:t>Przeprowadzenie działań edukacyjnych, badawczo-rozwojowych oraz szkoleniowo-doradczych w obszarze zielonej i energetycznej transformacji”</w:t>
      </w:r>
    </w:p>
    <w:p w14:paraId="7BEAF3BA" w14:textId="378D9484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proofErr w:type="spellStart"/>
      <w:r w:rsidRPr="007B2C2A">
        <w:rPr>
          <w:rFonts w:cstheme="minorHAnsi"/>
          <w:color w:val="0070C0"/>
        </w:rPr>
        <w:t>MFiPR</w:t>
      </w:r>
      <w:proofErr w:type="spellEnd"/>
      <w:r w:rsidRPr="007B2C2A">
        <w:rPr>
          <w:rFonts w:cstheme="minorHAnsi"/>
          <w:color w:val="0070C0"/>
        </w:rPr>
        <w:t>: dnia</w:t>
      </w:r>
      <w:r w:rsidR="003D0F7C" w:rsidRPr="007B2C2A">
        <w:rPr>
          <w:rFonts w:cstheme="minorHAnsi"/>
          <w:color w:val="0070C0"/>
        </w:rPr>
        <w:t xml:space="preserve"> </w:t>
      </w:r>
      <w:r w:rsidR="00CB6F96">
        <w:rPr>
          <w:rFonts w:cstheme="minorHAnsi"/>
          <w:color w:val="0070C0"/>
        </w:rPr>
        <w:t>16</w:t>
      </w:r>
      <w:r w:rsidRPr="007B2C2A">
        <w:rPr>
          <w:rFonts w:cstheme="minorHAnsi"/>
          <w:color w:val="0070C0"/>
        </w:rPr>
        <w:t>.0</w:t>
      </w:r>
      <w:r w:rsidR="007B2C2A" w:rsidRPr="007B2C2A">
        <w:rPr>
          <w:rFonts w:cstheme="minorHAnsi"/>
          <w:color w:val="0070C0"/>
        </w:rPr>
        <w:t>9</w:t>
      </w:r>
      <w:r w:rsidRPr="007B2C2A">
        <w:rPr>
          <w:rFonts w:cstheme="minorHAnsi"/>
          <w:color w:val="0070C0"/>
        </w:rPr>
        <w:t>.2024 r.</w:t>
      </w:r>
    </w:p>
    <w:p w14:paraId="6692080C" w14:textId="77777777" w:rsidR="002D1134" w:rsidRDefault="002D1134" w:rsidP="00B07DA8">
      <w:pPr>
        <w:pStyle w:val="Akapitzlist"/>
        <w:ind w:left="426"/>
        <w:jc w:val="right"/>
        <w:rPr>
          <w:rFonts w:cstheme="minorHAnsi"/>
          <w:color w:val="0070C0"/>
        </w:rPr>
      </w:pPr>
    </w:p>
    <w:p w14:paraId="0B4DCDF2" w14:textId="77777777" w:rsidR="00B94EE4" w:rsidRPr="00CB6F96" w:rsidRDefault="00B94EE4" w:rsidP="00CB6F96">
      <w:pPr>
        <w:spacing w:after="0" w:line="240" w:lineRule="auto"/>
        <w:jc w:val="both"/>
        <w:rPr>
          <w:color w:val="0070C0"/>
        </w:rPr>
      </w:pPr>
    </w:p>
    <w:p w14:paraId="391F231A" w14:textId="52D6F05C" w:rsidR="00CB6F96" w:rsidRDefault="00CB6F96" w:rsidP="00CB6F96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0" w:name="_Hlk173753864"/>
      <w:r w:rsidRPr="00CB6F96">
        <w:rPr>
          <w:rFonts w:eastAsia="Times New Roman" w:cstheme="minorHAnsi"/>
        </w:rPr>
        <w:t xml:space="preserve">Zwracam się z uprzejmą prośbą o doprecyzowanie zakresu tematyki zadań przewidzianych w konkursie na realizację zadania publicznego pn.: „Przeprowadzenie działań edukacyjnych, badawczo-rozwojowych oraz szkoleniowo-doradczych w obszarze zielonej i energetycznej transformacji”. Chodzi nam o klaryfikację dwóch następujących punktów Tematyki zadań: </w:t>
      </w:r>
    </w:p>
    <w:p w14:paraId="1D35476D" w14:textId="77777777" w:rsidR="00DD415E" w:rsidRPr="00CB6F96" w:rsidRDefault="00DD415E" w:rsidP="00DD415E">
      <w:pPr>
        <w:pStyle w:val="Akapitzlist"/>
        <w:jc w:val="both"/>
        <w:rPr>
          <w:rFonts w:eastAsia="Times New Roman" w:cstheme="minorHAnsi"/>
        </w:rPr>
      </w:pPr>
    </w:p>
    <w:p w14:paraId="7A926619" w14:textId="2B3224A7" w:rsidR="00CB6F96" w:rsidRPr="00A469C2" w:rsidRDefault="00CB6F96" w:rsidP="00CB6F96">
      <w:pPr>
        <w:pStyle w:val="Akapitzlist"/>
        <w:jc w:val="both"/>
        <w:rPr>
          <w:rFonts w:eastAsia="Times New Roman" w:cstheme="minorHAnsi"/>
          <w:i/>
          <w:iCs/>
        </w:rPr>
      </w:pPr>
      <w:r w:rsidRPr="00A469C2">
        <w:rPr>
          <w:rFonts w:eastAsia="Times New Roman" w:cstheme="minorHAnsi"/>
          <w:i/>
          <w:iCs/>
        </w:rPr>
        <w:t xml:space="preserve">3. poprawa efektywności energetycznej i przyspieszone wycofywanie paliw kopalnych </w:t>
      </w:r>
      <w:r w:rsidRPr="00A469C2">
        <w:rPr>
          <w:rFonts w:eastAsia="Times New Roman" w:cstheme="minorHAnsi"/>
          <w:i/>
          <w:iCs/>
        </w:rPr>
        <w:br/>
        <w:t xml:space="preserve">z ogrzewania domów; </w:t>
      </w:r>
    </w:p>
    <w:p w14:paraId="5D63BC20" w14:textId="77777777" w:rsidR="00CB6F96" w:rsidRPr="00CB6F96" w:rsidRDefault="00CB6F96" w:rsidP="00CB6F96">
      <w:pPr>
        <w:pStyle w:val="Akapitzlist"/>
        <w:jc w:val="both"/>
        <w:rPr>
          <w:rFonts w:eastAsia="Times New Roman" w:cstheme="minorHAnsi"/>
        </w:rPr>
      </w:pPr>
      <w:r w:rsidRPr="00CB6F96">
        <w:rPr>
          <w:rFonts w:eastAsia="Times New Roman" w:cstheme="minorHAnsi"/>
        </w:rPr>
        <w:t xml:space="preserve">Czy zagadnienie obejmuje podstawowy zakres, czyli tematykę termomodernizacji budynków, czy projekt powinien obejmować zakres szerszy, czyli efektywność energetyczną w ujęciu przemysłowym? </w:t>
      </w:r>
    </w:p>
    <w:p w14:paraId="1105EBC2" w14:textId="77777777" w:rsidR="00CB6F96" w:rsidRDefault="00CB6F96" w:rsidP="00CB6F96">
      <w:pPr>
        <w:ind w:firstLine="708"/>
        <w:jc w:val="both"/>
        <w:rPr>
          <w:color w:val="0070C0"/>
          <w:u w:val="single"/>
        </w:rPr>
      </w:pPr>
      <w:r w:rsidRPr="001604FA">
        <w:rPr>
          <w:color w:val="0070C0"/>
          <w:u w:val="single"/>
        </w:rPr>
        <w:t>Odpowiedź:</w:t>
      </w:r>
      <w:r>
        <w:rPr>
          <w:color w:val="0070C0"/>
          <w:u w:val="single"/>
        </w:rPr>
        <w:t xml:space="preserve"> </w:t>
      </w:r>
    </w:p>
    <w:p w14:paraId="29F55B60" w14:textId="74B2F8F6" w:rsidR="00CB6F96" w:rsidRDefault="00CB6F96" w:rsidP="00CB6F96">
      <w:pPr>
        <w:ind w:left="708"/>
        <w:jc w:val="both"/>
        <w:rPr>
          <w:color w:val="0070C0"/>
          <w:u w:val="single"/>
        </w:rPr>
      </w:pPr>
      <w:r w:rsidRPr="003A46C1">
        <w:rPr>
          <w:color w:val="0070C0"/>
        </w:rPr>
        <w:t xml:space="preserve">Decyzja co do poziomu szczegółowości ujęcia danego tematu należy do Oferenta. Ustalając go należy mieć na względzie </w:t>
      </w:r>
      <w:r w:rsidRPr="003A46C1">
        <w:rPr>
          <w:rFonts w:eastAsia="Times New Roman"/>
          <w:color w:val="0070C0"/>
        </w:rPr>
        <w:t xml:space="preserve">cel zadania publicznego opisany w pkt I Ogłoszenia (zatem </w:t>
      </w:r>
      <w:r w:rsidRPr="003A46C1">
        <w:rPr>
          <w:color w:val="0070C0"/>
        </w:rPr>
        <w:t>prowadzone działania</w:t>
      </w:r>
      <w:r w:rsidRPr="00F71C45">
        <w:rPr>
          <w:color w:val="0070C0"/>
        </w:rPr>
        <w:t xml:space="preserve"> powinny</w:t>
      </w:r>
      <w:r>
        <w:rPr>
          <w:color w:val="0070C0"/>
        </w:rPr>
        <w:t xml:space="preserve"> m. in.</w:t>
      </w:r>
      <w:r w:rsidRPr="00F71C45">
        <w:rPr>
          <w:color w:val="0070C0"/>
        </w:rPr>
        <w:t xml:space="preserve"> promować i pośrednio wspierać reformę, mającą na celu utworzenie obszarów przyśpieszonego rozwoju OZE, realizowaną na podstawie Dyrektywy RED III</w:t>
      </w:r>
      <w:r>
        <w:rPr>
          <w:color w:val="0070C0"/>
        </w:rPr>
        <w:t>).</w:t>
      </w:r>
    </w:p>
    <w:p w14:paraId="44BF3F33" w14:textId="77777777" w:rsidR="00CB6F96" w:rsidRPr="003A46C1" w:rsidRDefault="00CB6F96" w:rsidP="00CB6F96">
      <w:pPr>
        <w:ind w:left="708"/>
        <w:jc w:val="both"/>
        <w:rPr>
          <w:color w:val="0070C0"/>
        </w:rPr>
      </w:pPr>
      <w:r w:rsidRPr="003A46C1">
        <w:rPr>
          <w:i/>
          <w:iCs/>
          <w:color w:val="0070C0"/>
        </w:rPr>
        <w:t>Uzasadnienie tematów i zakresu działań proponowanych w celu realizacji zadania</w:t>
      </w:r>
      <w:r w:rsidRPr="003A46C1">
        <w:rPr>
          <w:color w:val="0070C0"/>
        </w:rPr>
        <w:t>… będzie przedmiotem oceny w ramach kryterium 2 przewidzianego dla oceny merytorycznej.</w:t>
      </w:r>
    </w:p>
    <w:p w14:paraId="2B8706D1" w14:textId="77777777" w:rsidR="00CB6F96" w:rsidRPr="00A469C2" w:rsidRDefault="00CB6F96" w:rsidP="00CB6F96">
      <w:pPr>
        <w:ind w:firstLine="708"/>
        <w:jc w:val="both"/>
        <w:rPr>
          <w:rFonts w:eastAsia="Times New Roman"/>
          <w:i/>
          <w:iCs/>
        </w:rPr>
      </w:pPr>
      <w:r w:rsidRPr="00A469C2">
        <w:rPr>
          <w:rFonts w:eastAsia="Times New Roman"/>
          <w:i/>
          <w:iCs/>
        </w:rPr>
        <w:t xml:space="preserve">7. stosowanie zasady DNSH w inwestycjach. </w:t>
      </w:r>
    </w:p>
    <w:p w14:paraId="761D5C76" w14:textId="77777777" w:rsidR="00CB6F96" w:rsidRPr="00DD415E" w:rsidRDefault="00CB6F96" w:rsidP="00CB6F96">
      <w:pPr>
        <w:ind w:left="708"/>
        <w:jc w:val="both"/>
        <w:rPr>
          <w:rFonts w:eastAsia="Times New Roman"/>
        </w:rPr>
      </w:pPr>
      <w:r w:rsidRPr="00DD415E">
        <w:rPr>
          <w:rFonts w:eastAsia="Times New Roman"/>
        </w:rPr>
        <w:t xml:space="preserve">Czy zagadnienie obejmuje podstawowy zakres zgodnie z wymaganiami programów dotacyjnych z Unii Europejskiej: realizacje inwestycji w trendach europejskich i tematyki DNSH na poziomie decyzji środowiskowych czy raczej przeniesienie wskaźników taksonomii na środowisko? </w:t>
      </w:r>
    </w:p>
    <w:p w14:paraId="1E2A4F46" w14:textId="77777777" w:rsidR="00CB6F96" w:rsidRDefault="00CB6F96" w:rsidP="00CB6F96">
      <w:pPr>
        <w:rPr>
          <w:rFonts w:eastAsia="Times New Roman"/>
        </w:rPr>
      </w:pPr>
      <w:r>
        <w:rPr>
          <w:rFonts w:eastAsia="Times New Roman"/>
        </w:rPr>
        <w:t xml:space="preserve">  </w:t>
      </w:r>
      <w:r>
        <w:rPr>
          <w:rFonts w:eastAsia="Times New Roman"/>
        </w:rPr>
        <w:tab/>
      </w:r>
      <w:r w:rsidRPr="00441545">
        <w:rPr>
          <w:color w:val="0070C0"/>
          <w:u w:val="single"/>
        </w:rPr>
        <w:t>Odpowiedź:</w:t>
      </w:r>
    </w:p>
    <w:p w14:paraId="362E2378" w14:textId="6F1F486C" w:rsidR="00CB6F96" w:rsidRPr="00CB6F96" w:rsidRDefault="00CB6F96" w:rsidP="00CB6F96">
      <w:pPr>
        <w:ind w:left="708"/>
        <w:jc w:val="both"/>
        <w:rPr>
          <w:rFonts w:eastAsia="Times New Roman"/>
        </w:rPr>
      </w:pPr>
      <w:r w:rsidRPr="003A46C1">
        <w:rPr>
          <w:color w:val="0070C0"/>
        </w:rPr>
        <w:t xml:space="preserve">Ministerstwo Funduszy i Polityki Regionalnej, jako Instytucja Koordynująca Krajowy Plan Odbudowy i Zwiększania Odporności, dostrzega potrzebę budowania kompetencji beneficjentów oraz instytucji zaangażowanych w realizację inwestycji i reform w ramach KPO w celu wzmacniania ich zdolności do skutecznego wdrażania zasady „nie czyń poważnych szkód” (DSNH) w rozumieniu Rozporządzenia Parlamentu Europejskiego i Rady (UE) 2020/852 z dnia 18 czerwca 2020 r. </w:t>
      </w:r>
    </w:p>
    <w:p w14:paraId="231390C8" w14:textId="77777777" w:rsidR="00CB6F96" w:rsidRPr="003D2A6A" w:rsidRDefault="00CB6F96" w:rsidP="00CB6F96">
      <w:pPr>
        <w:ind w:left="708"/>
        <w:jc w:val="both"/>
        <w:rPr>
          <w:color w:val="0070C0"/>
        </w:rPr>
      </w:pPr>
      <w:r w:rsidRPr="003D2A6A">
        <w:rPr>
          <w:color w:val="0070C0"/>
        </w:rPr>
        <w:t xml:space="preserve">Jak wskazano jednak wyżej, decyzja co do poziomu szczegółowości ujęcia danego tematu należy do Oferenta, a </w:t>
      </w:r>
      <w:r w:rsidRPr="003D2A6A">
        <w:rPr>
          <w:i/>
          <w:iCs/>
          <w:color w:val="0070C0"/>
        </w:rPr>
        <w:t>uzasadnienie tematów i zakresu działań proponowanych w celu realizacji zadania…</w:t>
      </w:r>
      <w:r w:rsidRPr="003D2A6A">
        <w:rPr>
          <w:color w:val="0070C0"/>
        </w:rPr>
        <w:t xml:space="preserve"> będzie przedmiotem oceny w ramach kryterium 2 przewidzianego dla oceny merytorycznej.</w:t>
      </w:r>
    </w:p>
    <w:p w14:paraId="21648055" w14:textId="39209457" w:rsidR="00DD415E" w:rsidRPr="00DD415E" w:rsidRDefault="00DD415E" w:rsidP="00DD415E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1" w:name="_Hlk175909090"/>
      <w:r w:rsidRPr="00DD415E">
        <w:rPr>
          <w:rFonts w:eastAsia="Times New Roman" w:cstheme="minorHAnsi"/>
        </w:rPr>
        <w:t xml:space="preserve">Poproszę o informację w jaki sposób w tabeli: "Formularz kalkulacji kosztów i harmonogram realizacji" w zakładce kalkulacja kosztów powinny być potraktowane kwoty wynagrodzeń wypłacanych w oparciu o umowę o pracę? Nie są one objęte podatkiem VAT, pytanie </w:t>
      </w:r>
      <w:r>
        <w:rPr>
          <w:rFonts w:eastAsia="Times New Roman" w:cstheme="minorHAnsi"/>
        </w:rPr>
        <w:br/>
      </w:r>
      <w:r w:rsidRPr="00DD415E">
        <w:rPr>
          <w:rFonts w:eastAsia="Times New Roman" w:cstheme="minorHAnsi"/>
        </w:rPr>
        <w:t>w związku z tym czy powinniśmy w tej sytuacji podawać w tej tabeli jedynie kwoty brutto? Jako, że VAT tutaj nie dotyczy? </w:t>
      </w:r>
    </w:p>
    <w:p w14:paraId="3D9BDF3B" w14:textId="77777777" w:rsidR="00DD415E" w:rsidRDefault="00DD415E" w:rsidP="00DD415E">
      <w:pPr>
        <w:ind w:firstLine="708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1E9D897E" w14:textId="6480D5ED" w:rsidR="00DD415E" w:rsidRPr="00DD415E" w:rsidRDefault="00DD415E" w:rsidP="00DD415E">
      <w:pPr>
        <w:ind w:left="708"/>
        <w:jc w:val="both"/>
        <w:rPr>
          <w:color w:val="0070C0"/>
          <w:u w:val="single"/>
        </w:rPr>
      </w:pPr>
      <w:r>
        <w:rPr>
          <w:color w:val="0070C0"/>
        </w:rPr>
        <w:t>Należy w ofercie określić kwoty brutto i netto oraz kwotę VAT zgodnie z właściwymi stawkami VAT wynikającymi z przepisów ustawy z dnia 11 marca 2004 r. o podatku od towarów i usług.</w:t>
      </w:r>
    </w:p>
    <w:p w14:paraId="1FB999BD" w14:textId="2001EF6D" w:rsidR="00275E16" w:rsidRDefault="00DD415E" w:rsidP="00DD415E">
      <w:pPr>
        <w:ind w:left="708"/>
        <w:jc w:val="both"/>
        <w:rPr>
          <w:color w:val="0070C0"/>
        </w:rPr>
      </w:pPr>
      <w:r>
        <w:rPr>
          <w:color w:val="0070C0"/>
        </w:rPr>
        <w:t xml:space="preserve">W przypadku gdy kwota netto równa się kwocie brutto należy wpisać obie kwoty w tabeli oraz wpisać „0” w kolumnie dotyczącej wysokości VAT. </w:t>
      </w:r>
    </w:p>
    <w:bookmarkEnd w:id="0"/>
    <w:bookmarkEnd w:id="1"/>
    <w:p w14:paraId="3C4C93AC" w14:textId="77777777" w:rsidR="00DD415E" w:rsidRPr="00DD415E" w:rsidRDefault="00DD415E" w:rsidP="00DD415E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DD415E">
        <w:rPr>
          <w:rFonts w:eastAsia="Times New Roman" w:cstheme="minorHAnsi"/>
        </w:rPr>
        <w:t>W jaki sposób wykonawca ma udokumentować rozliczanie wynagrodzeń na umowę o pracę? W par. 9, pkt. 5 wydatki muszą być rozliczane na podstawie faktycznych dowodów księgowych potwierdzających ich poniesienie. Jakie dowody księgowe są wymagane w przypadku wynagrodzeń w oparciu o umowę o pracę. </w:t>
      </w:r>
    </w:p>
    <w:p w14:paraId="413190B4" w14:textId="77777777" w:rsidR="00DD415E" w:rsidRDefault="00DD415E" w:rsidP="00DD415E">
      <w:pPr>
        <w:ind w:firstLine="708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25892B53" w14:textId="77777777" w:rsidR="00DD415E" w:rsidRDefault="00DD415E" w:rsidP="00DD415E">
      <w:pPr>
        <w:ind w:left="708"/>
        <w:jc w:val="both"/>
        <w:rPr>
          <w:color w:val="0070C0"/>
        </w:rPr>
      </w:pPr>
      <w:r>
        <w:rPr>
          <w:color w:val="0070C0"/>
        </w:rPr>
        <w:t>Na potwierdzenie rozliczenia środków dotacji na wynagrodzenia w oparciu o umowę o pracę wymagane są listy płac oraz potwierdzenia wypłaty środków na podstawie tych list płac (na rzecz pracownika/US/ZUS).</w:t>
      </w:r>
    </w:p>
    <w:p w14:paraId="00CEBF05" w14:textId="77777777" w:rsidR="00CB6F96" w:rsidRPr="008B6609" w:rsidRDefault="00CB6F96">
      <w:pPr>
        <w:spacing w:after="0" w:line="240" w:lineRule="auto"/>
        <w:jc w:val="both"/>
        <w:rPr>
          <w:color w:val="0070C0"/>
        </w:rPr>
      </w:pPr>
    </w:p>
    <w:sectPr w:rsidR="00CB6F96" w:rsidRPr="008B66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4832" w14:textId="77777777" w:rsidR="008B6FB8" w:rsidRDefault="008B6FB8" w:rsidP="00A66CBD">
      <w:pPr>
        <w:spacing w:after="0" w:line="240" w:lineRule="auto"/>
      </w:pPr>
      <w:r>
        <w:separator/>
      </w:r>
    </w:p>
  </w:endnote>
  <w:endnote w:type="continuationSeparator" w:id="0">
    <w:p w14:paraId="172FE5EF" w14:textId="77777777" w:rsidR="008B6FB8" w:rsidRDefault="008B6FB8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8B59" w14:textId="77777777" w:rsidR="008B6FB8" w:rsidRDefault="008B6FB8" w:rsidP="00A66CBD">
      <w:pPr>
        <w:spacing w:after="0" w:line="240" w:lineRule="auto"/>
      </w:pPr>
      <w:r>
        <w:separator/>
      </w:r>
    </w:p>
  </w:footnote>
  <w:footnote w:type="continuationSeparator" w:id="0">
    <w:p w14:paraId="1F632502" w14:textId="77777777" w:rsidR="008B6FB8" w:rsidRDefault="008B6FB8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706"/>
    <w:multiLevelType w:val="hybridMultilevel"/>
    <w:tmpl w:val="A9A25E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2098"/>
    <w:multiLevelType w:val="hybridMultilevel"/>
    <w:tmpl w:val="DA38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13DB9"/>
    <w:multiLevelType w:val="hybridMultilevel"/>
    <w:tmpl w:val="F748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0F36"/>
    <w:multiLevelType w:val="hybridMultilevel"/>
    <w:tmpl w:val="905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86E32"/>
    <w:multiLevelType w:val="hybridMultilevel"/>
    <w:tmpl w:val="3892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0C7921"/>
    <w:multiLevelType w:val="hybridMultilevel"/>
    <w:tmpl w:val="82CC60B6"/>
    <w:lvl w:ilvl="0" w:tplc="0038D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2619F"/>
    <w:multiLevelType w:val="hybridMultilevel"/>
    <w:tmpl w:val="43043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35"/>
  </w:num>
  <w:num w:numId="7">
    <w:abstractNumId w:val="22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4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25"/>
  </w:num>
  <w:num w:numId="16">
    <w:abstractNumId w:val="34"/>
  </w:num>
  <w:num w:numId="17">
    <w:abstractNumId w:val="39"/>
  </w:num>
  <w:num w:numId="18">
    <w:abstractNumId w:val="19"/>
  </w:num>
  <w:num w:numId="19">
    <w:abstractNumId w:val="28"/>
  </w:num>
  <w:num w:numId="20">
    <w:abstractNumId w:val="8"/>
  </w:num>
  <w:num w:numId="21">
    <w:abstractNumId w:val="33"/>
  </w:num>
  <w:num w:numId="22">
    <w:abstractNumId w:val="0"/>
  </w:num>
  <w:num w:numId="23">
    <w:abstractNumId w:val="30"/>
  </w:num>
  <w:num w:numId="24">
    <w:abstractNumId w:val="3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8"/>
  </w:num>
  <w:num w:numId="30">
    <w:abstractNumId w:val="4"/>
  </w:num>
  <w:num w:numId="31">
    <w:abstractNumId w:val="2"/>
  </w:num>
  <w:num w:numId="32">
    <w:abstractNumId w:val="27"/>
  </w:num>
  <w:num w:numId="33">
    <w:abstractNumId w:val="9"/>
  </w:num>
  <w:num w:numId="34">
    <w:abstractNumId w:val="20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25EA3"/>
    <w:rsid w:val="000263B2"/>
    <w:rsid w:val="00050D01"/>
    <w:rsid w:val="0005235F"/>
    <w:rsid w:val="00073FD3"/>
    <w:rsid w:val="00074444"/>
    <w:rsid w:val="00085023"/>
    <w:rsid w:val="000E0A56"/>
    <w:rsid w:val="00135806"/>
    <w:rsid w:val="001635AA"/>
    <w:rsid w:val="00177EC5"/>
    <w:rsid w:val="0018032F"/>
    <w:rsid w:val="00186982"/>
    <w:rsid w:val="00192182"/>
    <w:rsid w:val="00195C7A"/>
    <w:rsid w:val="001C7267"/>
    <w:rsid w:val="001D21D4"/>
    <w:rsid w:val="001E3CA9"/>
    <w:rsid w:val="00210026"/>
    <w:rsid w:val="00231372"/>
    <w:rsid w:val="0024062F"/>
    <w:rsid w:val="00260A3D"/>
    <w:rsid w:val="00275E16"/>
    <w:rsid w:val="0028497C"/>
    <w:rsid w:val="002A40E4"/>
    <w:rsid w:val="002D1134"/>
    <w:rsid w:val="002D16F7"/>
    <w:rsid w:val="002F7F1F"/>
    <w:rsid w:val="00356FE9"/>
    <w:rsid w:val="00357761"/>
    <w:rsid w:val="003B27E2"/>
    <w:rsid w:val="003D0F7C"/>
    <w:rsid w:val="00486E9F"/>
    <w:rsid w:val="004B4064"/>
    <w:rsid w:val="004D7387"/>
    <w:rsid w:val="004F3AFC"/>
    <w:rsid w:val="00533562"/>
    <w:rsid w:val="00550F1A"/>
    <w:rsid w:val="005B7C7A"/>
    <w:rsid w:val="005C0DAC"/>
    <w:rsid w:val="005F7B6F"/>
    <w:rsid w:val="00601E2E"/>
    <w:rsid w:val="00675992"/>
    <w:rsid w:val="006A7CF1"/>
    <w:rsid w:val="006B0411"/>
    <w:rsid w:val="006B22F4"/>
    <w:rsid w:val="006B3B45"/>
    <w:rsid w:val="006B74DB"/>
    <w:rsid w:val="006D55E6"/>
    <w:rsid w:val="006E7FC7"/>
    <w:rsid w:val="00707D2F"/>
    <w:rsid w:val="00715DFA"/>
    <w:rsid w:val="007232FA"/>
    <w:rsid w:val="00725263"/>
    <w:rsid w:val="007324A4"/>
    <w:rsid w:val="00745527"/>
    <w:rsid w:val="0075506C"/>
    <w:rsid w:val="007602D0"/>
    <w:rsid w:val="00784AD0"/>
    <w:rsid w:val="00797A43"/>
    <w:rsid w:val="007B2C2A"/>
    <w:rsid w:val="007E1D57"/>
    <w:rsid w:val="0080602A"/>
    <w:rsid w:val="00856FDB"/>
    <w:rsid w:val="008643C3"/>
    <w:rsid w:val="008B6FB8"/>
    <w:rsid w:val="008C503D"/>
    <w:rsid w:val="00915BB4"/>
    <w:rsid w:val="00927679"/>
    <w:rsid w:val="00940416"/>
    <w:rsid w:val="00947783"/>
    <w:rsid w:val="00971390"/>
    <w:rsid w:val="009928E7"/>
    <w:rsid w:val="00993AD1"/>
    <w:rsid w:val="009C508D"/>
    <w:rsid w:val="009D52F6"/>
    <w:rsid w:val="00A07416"/>
    <w:rsid w:val="00A22FD2"/>
    <w:rsid w:val="00A2603A"/>
    <w:rsid w:val="00A27663"/>
    <w:rsid w:val="00A45397"/>
    <w:rsid w:val="00A45D6A"/>
    <w:rsid w:val="00A469C2"/>
    <w:rsid w:val="00A53AE3"/>
    <w:rsid w:val="00A66CBD"/>
    <w:rsid w:val="00A7533A"/>
    <w:rsid w:val="00AA5B8D"/>
    <w:rsid w:val="00AB1DFD"/>
    <w:rsid w:val="00AB78B2"/>
    <w:rsid w:val="00AC6B37"/>
    <w:rsid w:val="00AD0F14"/>
    <w:rsid w:val="00AD44DE"/>
    <w:rsid w:val="00B07A77"/>
    <w:rsid w:val="00B07DA8"/>
    <w:rsid w:val="00B14C0A"/>
    <w:rsid w:val="00B510B6"/>
    <w:rsid w:val="00B53155"/>
    <w:rsid w:val="00B72C00"/>
    <w:rsid w:val="00B94EE4"/>
    <w:rsid w:val="00BC2ECF"/>
    <w:rsid w:val="00C22EBC"/>
    <w:rsid w:val="00C23760"/>
    <w:rsid w:val="00C528AB"/>
    <w:rsid w:val="00C546B7"/>
    <w:rsid w:val="00C80C15"/>
    <w:rsid w:val="00C9170E"/>
    <w:rsid w:val="00CB349B"/>
    <w:rsid w:val="00CB3967"/>
    <w:rsid w:val="00CB6F96"/>
    <w:rsid w:val="00CC3398"/>
    <w:rsid w:val="00CC6FAB"/>
    <w:rsid w:val="00CE66C1"/>
    <w:rsid w:val="00D01DC9"/>
    <w:rsid w:val="00D21C90"/>
    <w:rsid w:val="00DD415E"/>
    <w:rsid w:val="00DF3868"/>
    <w:rsid w:val="00E642E7"/>
    <w:rsid w:val="00E86189"/>
    <w:rsid w:val="00EA5DA3"/>
    <w:rsid w:val="00EA7533"/>
    <w:rsid w:val="00EE5A35"/>
    <w:rsid w:val="00EE79A6"/>
    <w:rsid w:val="00F062EF"/>
    <w:rsid w:val="00F1085E"/>
    <w:rsid w:val="00F42AFB"/>
    <w:rsid w:val="00F61B5C"/>
    <w:rsid w:val="00FB7E33"/>
    <w:rsid w:val="00FC1310"/>
    <w:rsid w:val="00FD4568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0263B2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86E9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E9F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1"/>
    <w:semiHidden/>
    <w:unhideWhenUsed/>
    <w:rsid w:val="00F42AFB"/>
    <w:pPr>
      <w:spacing w:before="98" w:after="0" w:line="240" w:lineRule="auto"/>
      <w:ind w:left="918" w:right="45" w:hanging="266"/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42AFB"/>
    <w:rPr>
      <w:rFonts w:ascii="Times New Roman" w:hAnsi="Times New Roman" w:cs="Times New Roman"/>
    </w:rPr>
  </w:style>
  <w:style w:type="paragraph" w:customStyle="1" w:styleId="m-7540426817754241351msolistparagraph">
    <w:name w:val="m_-7540426817754241351msolistparagraph"/>
    <w:basedOn w:val="Normalny"/>
    <w:uiPriority w:val="99"/>
    <w:semiHidden/>
    <w:rsid w:val="0019218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7AF-47C3-4282-8240-4659A169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Anna Ciesla</cp:lastModifiedBy>
  <cp:revision>2</cp:revision>
  <cp:lastPrinted>2024-08-07T10:21:00Z</cp:lastPrinted>
  <dcterms:created xsi:type="dcterms:W3CDTF">2024-09-16T08:59:00Z</dcterms:created>
  <dcterms:modified xsi:type="dcterms:W3CDTF">2024-09-16T08:59:00Z</dcterms:modified>
</cp:coreProperties>
</file>