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48" w:rsidRPr="00B06EF4" w:rsidRDefault="006305FF">
      <w:pPr>
        <w:pStyle w:val="Nagwek1"/>
        <w:rPr>
          <w:rFonts w:ascii="Times New Roman" w:eastAsia="Times New Roman" w:hAnsi="Times New Roman" w:cs="Times New Roman"/>
          <w:szCs w:val="24"/>
          <w:lang w:eastAsia="pl-PL"/>
        </w:rPr>
      </w:pPr>
      <w:r w:rsidRPr="00B06EF4">
        <w:rPr>
          <w:rFonts w:ascii="Times New Roman" w:eastAsia="Times New Roman" w:hAnsi="Times New Roman" w:cs="Times New Roman"/>
          <w:szCs w:val="24"/>
          <w:lang w:eastAsia="pl-PL"/>
        </w:rPr>
        <w:t>Załącznik B.70.</w:t>
      </w:r>
    </w:p>
    <w:p w:rsidR="00944B48" w:rsidRPr="00B06EF4" w:rsidRDefault="00944B48">
      <w:pPr>
        <w:widowControl w:val="0"/>
        <w:tabs>
          <w:tab w:val="left" w:pos="1305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44B48" w:rsidRPr="00B06EF4" w:rsidRDefault="006305F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6E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LECZENIE NEOWASKULARNEJ (WYSIĘKOWEJ) POSTACI ZWYRODNIENIA PLAMKI ZWIĄZANEGO Z WIEKIEM (AMD) (ICD-10 H35.3)</w:t>
      </w:r>
    </w:p>
    <w:tbl>
      <w:tblPr>
        <w:tblpPr w:leftFromText="141" w:rightFromText="141" w:vertAnchor="text" w:horzAnchor="margin" w:tblpX="40" w:tblpY="39"/>
        <w:tblW w:w="153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374"/>
        <w:gridCol w:w="4678"/>
        <w:gridCol w:w="4346"/>
      </w:tblGrid>
      <w:tr w:rsidR="00B06EF4" w:rsidRPr="00B06EF4" w:rsidTr="00A742BE">
        <w:trPr>
          <w:trHeight w:val="567"/>
        </w:trPr>
        <w:tc>
          <w:tcPr>
            <w:tcW w:w="15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44B48" w:rsidRPr="00B06EF4" w:rsidRDefault="006305FF" w:rsidP="00A74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ZAKRES ŚWIADCZENIA GWARANTOWANEGO</w:t>
            </w:r>
          </w:p>
        </w:tc>
      </w:tr>
      <w:tr w:rsidR="00B06EF4" w:rsidRPr="00B06EF4" w:rsidTr="008C07C8">
        <w:trPr>
          <w:trHeight w:val="567"/>
        </w:trPr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44B48" w:rsidRPr="00B06EF4" w:rsidRDefault="006305FF" w:rsidP="00A74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ŚWIADCZENIOBIORCY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44B48" w:rsidRPr="00B06EF4" w:rsidRDefault="006305FF" w:rsidP="00A74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SCHEMAT DAWKOWANIA LEKÓW</w:t>
            </w:r>
          </w:p>
          <w:p w:rsidR="00944B48" w:rsidRPr="00B06EF4" w:rsidRDefault="006305FF" w:rsidP="00A74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PROGRAMIE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44B48" w:rsidRPr="00B06EF4" w:rsidRDefault="006305FF" w:rsidP="00A74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BADANIA DIAGNOSTYCZNE WYKONYWANE W RAMACH PROGRAMU</w:t>
            </w:r>
          </w:p>
        </w:tc>
      </w:tr>
      <w:tr w:rsidR="00B06EF4" w:rsidRPr="00B06EF4" w:rsidTr="008C07C8">
        <w:trPr>
          <w:trHeight w:val="841"/>
        </w:trPr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4B48" w:rsidRPr="00B06EF4" w:rsidRDefault="006305FF" w:rsidP="004C026C">
            <w:pPr>
              <w:numPr>
                <w:ilvl w:val="0"/>
                <w:numId w:val="3"/>
              </w:numPr>
              <w:spacing w:before="120" w:after="60" w:line="240" w:lineRule="auto"/>
              <w:ind w:left="312" w:hanging="312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Leczenie  neowaskularnej (wysiękowej) postaci zwyrodnienia plamki związanego z wiekiem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afliberceptem</w:t>
            </w:r>
            <w:proofErr w:type="spellEnd"/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 jest kwalifikowany do programu przez Zespół Koordynacyjny do Spraw Leczenia Neowaskularnej (Wysiękowej) Postaci Zwyrodnienia Plamki Związanego z Wiekiem, powoływany przez Prezesa Narodowego Funduszu Zdrowia.</w:t>
            </w:r>
          </w:p>
          <w:p w:rsidR="00944B48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Każdorazowo  pacjenta do podania kolejnej dawki leku kwalifikuje lekarz prowadzący.</w:t>
            </w:r>
          </w:p>
          <w:p w:rsidR="008C07C8" w:rsidRPr="00B06EF4" w:rsidRDefault="008C07C8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944B48" w:rsidRPr="00B06EF4" w:rsidRDefault="006305FF" w:rsidP="004C026C">
            <w:pPr>
              <w:numPr>
                <w:ilvl w:val="1"/>
                <w:numId w:val="2"/>
              </w:numPr>
              <w:spacing w:after="60" w:line="240" w:lineRule="auto"/>
              <w:ind w:left="3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Kryteria</w:t>
            </w:r>
            <w:proofErr w:type="spellEnd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kwalifikacji</w:t>
            </w:r>
            <w:proofErr w:type="spellEnd"/>
          </w:p>
          <w:p w:rsidR="00944B48" w:rsidRPr="00B06EF4" w:rsidRDefault="006305FF" w:rsidP="004C026C">
            <w:pPr>
              <w:numPr>
                <w:ilvl w:val="0"/>
                <w:numId w:val="8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obecność aktywnej (pierwotnej lub wtórnej), klasycznej, ukrytej lub mieszanej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neowaskularyzacji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podsiatkówkowej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(CNV) zajmującej ponad 50% zmiany w przebiegu AMD potwierdzona w OCT (optycznej koherentnej tomografii) i angiografii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fluoresceinowej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lub badaniu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angio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-OCT;</w:t>
            </w:r>
          </w:p>
          <w:p w:rsidR="00944B48" w:rsidRPr="00B06EF4" w:rsidRDefault="006305FF" w:rsidP="004C026C">
            <w:pPr>
              <w:numPr>
                <w:ilvl w:val="0"/>
                <w:numId w:val="8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wiek powyżej 45. roku życia;</w:t>
            </w:r>
          </w:p>
          <w:p w:rsidR="00944B48" w:rsidRPr="00B06EF4" w:rsidRDefault="006305FF" w:rsidP="004C026C">
            <w:pPr>
              <w:numPr>
                <w:ilvl w:val="0"/>
                <w:numId w:val="8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wielkość zmiany mniejsza niż 12 DA (12 powierzchni tarczy nerwu wzrokowego);</w:t>
            </w:r>
          </w:p>
          <w:p w:rsidR="00944B48" w:rsidRPr="00B06EF4" w:rsidRDefault="006305FF" w:rsidP="004C026C">
            <w:pPr>
              <w:numPr>
                <w:ilvl w:val="0"/>
                <w:numId w:val="8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najlepsza skorygowana ostrość wzroku (BCVA) w leczonym oku 0,</w:t>
            </w:r>
            <w:r w:rsidR="00F11714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-0,8 określona według tablicy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(lub odpowiednio ekwiwalent ETDRS);</w:t>
            </w:r>
          </w:p>
          <w:p w:rsidR="00944B48" w:rsidRPr="00B06EF4" w:rsidRDefault="006305FF" w:rsidP="004C026C">
            <w:pPr>
              <w:numPr>
                <w:ilvl w:val="0"/>
                <w:numId w:val="8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zgoda pacjenta na wykonanie iniekcji doszklistkowych;</w:t>
            </w:r>
          </w:p>
          <w:p w:rsidR="00944B48" w:rsidRPr="00B06EF4" w:rsidRDefault="006305FF" w:rsidP="004C026C">
            <w:pPr>
              <w:numPr>
                <w:ilvl w:val="0"/>
                <w:numId w:val="8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brak dominującego zaniku geograficznego;</w:t>
            </w:r>
          </w:p>
          <w:p w:rsidR="00944B48" w:rsidRPr="00B06EF4" w:rsidRDefault="001E44A3" w:rsidP="004C026C">
            <w:pPr>
              <w:numPr>
                <w:ilvl w:val="0"/>
                <w:numId w:val="8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brak dominującego wylewu krwi;</w:t>
            </w:r>
          </w:p>
          <w:p w:rsidR="00944B48" w:rsidRPr="00B06EF4" w:rsidRDefault="006305FF" w:rsidP="004C026C">
            <w:pPr>
              <w:numPr>
                <w:ilvl w:val="0"/>
                <w:numId w:val="8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przed rozpoczęciem leczenia brak istotnego, trwałeg</w:t>
            </w:r>
            <w:r w:rsidR="003C006F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o uszkodzenia struktury dołka (i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stotne uszkodzenie struktury jest zdefiniowane jako obecne zwłóknienie lub atrofia w dołku albo istot</w:t>
            </w:r>
            <w:r w:rsidR="003C006F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na przewlekła tarczowata blizna).</w:t>
            </w:r>
          </w:p>
          <w:p w:rsidR="00944B48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Kryteria kwalifikacji muszą być spełnione łącznie.</w:t>
            </w:r>
          </w:p>
          <w:p w:rsidR="008C07C8" w:rsidRPr="00B06EF4" w:rsidRDefault="008C07C8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4B48" w:rsidRPr="00B06EF4" w:rsidRDefault="006305FF" w:rsidP="004C026C">
            <w:pPr>
              <w:numPr>
                <w:ilvl w:val="1"/>
                <w:numId w:val="2"/>
              </w:numPr>
              <w:spacing w:after="6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Kryteria włączenia do programu pacjentów leczonych uprzednio w ramach je</w:t>
            </w:r>
            <w:r w:rsidR="003B558E"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dnorodnych grup pacjentów lub u </w:t>
            </w: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świadczeniodawców, którzy nie posiadali umowy na udzielanie świadczeń opieki zdrowotnej finansowanych ze środków publicznych</w:t>
            </w:r>
          </w:p>
          <w:p w:rsidR="00944B48" w:rsidRPr="00B06EF4" w:rsidRDefault="006305FF" w:rsidP="004C026C">
            <w:pPr>
              <w:spacing w:after="60" w:line="240" w:lineRule="auto"/>
              <w:ind w:left="34" w:firstLine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 programu kwalifikowani są również pacjenci, którzy przed wprowadzeniem programu rozpoczęli leczenie wysiękowej postaci AMD iniekcjami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doszklistkowymi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przeciwciała monoklonalnego anty-VEGF lub rekombinowanego białka fuzyjnego:</w:t>
            </w:r>
          </w:p>
          <w:p w:rsidR="00944B48" w:rsidRPr="00B06EF4" w:rsidRDefault="006305FF" w:rsidP="004C026C">
            <w:pPr>
              <w:numPr>
                <w:ilvl w:val="0"/>
                <w:numId w:val="25"/>
              </w:numPr>
              <w:spacing w:after="60" w:line="240" w:lineRule="auto"/>
              <w:ind w:left="567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ramach świadczeń gwarantowanych rozliczanych w ramach grupy B02 - Leczenie wysiękowej postaci AMD z zastosowaniem iniekcji doszklistkowych przeciwciała monoklonalnego anty-VEGF/rekombinowanego białka fuzyjnego </w:t>
            </w:r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Pr="00B06E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44B48" w:rsidRPr="00B06EF4" w:rsidRDefault="006305FF" w:rsidP="004C026C">
            <w:pPr>
              <w:numPr>
                <w:ilvl w:val="0"/>
                <w:numId w:val="25"/>
              </w:numPr>
              <w:spacing w:after="60" w:line="240" w:lineRule="auto"/>
              <w:ind w:left="567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 świadczeniodawców, którzy nie posiadali umowy na udzielanie świadczeń opieki zdrowotnej finansowanych ze środków publicznych </w:t>
            </w:r>
          </w:p>
          <w:p w:rsidR="00944B48" w:rsidRDefault="006305FF" w:rsidP="004C026C">
            <w:pPr>
              <w:spacing w:after="60" w:line="240" w:lineRule="auto"/>
              <w:ind w:left="34" w:firstLine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- pod warunkiem, że w chwili rozpoczęcia terapii spełniali kryteria włączenia do programu. Jeżeli wykazano w tym czasie skuteczność leczenia, wtedy terapia powinna być kontynuowana zgodnie z zapisami programu.</w:t>
            </w:r>
          </w:p>
          <w:p w:rsidR="008C07C8" w:rsidRPr="00B06EF4" w:rsidRDefault="008C07C8" w:rsidP="004C026C">
            <w:pPr>
              <w:spacing w:after="60" w:line="240" w:lineRule="auto"/>
              <w:ind w:left="34" w:firstLine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4B48" w:rsidRPr="00B06EF4" w:rsidRDefault="006305FF" w:rsidP="004C026C">
            <w:pPr>
              <w:numPr>
                <w:ilvl w:val="1"/>
                <w:numId w:val="2"/>
              </w:numPr>
              <w:spacing w:after="6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Określenie</w:t>
            </w:r>
            <w:proofErr w:type="spellEnd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czasu</w:t>
            </w:r>
            <w:proofErr w:type="spellEnd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leczenia</w:t>
            </w:r>
            <w:proofErr w:type="spellEnd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 w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programie</w:t>
            </w:r>
            <w:proofErr w:type="spellEnd"/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Leczenie trwa do czasu podjęcia przez lekarza prowadzącego decyzji 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 wyłączeniu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pacjenta z programu zgodnie z kryteriami wyłączenia. </w:t>
            </w:r>
          </w:p>
          <w:p w:rsidR="006576A6" w:rsidRPr="00B06EF4" w:rsidRDefault="006576A6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944B48" w:rsidRPr="00B06EF4" w:rsidRDefault="006305FF" w:rsidP="004C026C">
            <w:pPr>
              <w:numPr>
                <w:ilvl w:val="1"/>
                <w:numId w:val="2"/>
              </w:numPr>
              <w:spacing w:after="6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Kryteria</w:t>
            </w:r>
            <w:proofErr w:type="spellEnd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wyłączenia</w:t>
            </w:r>
            <w:proofErr w:type="spellEnd"/>
          </w:p>
          <w:p w:rsidR="00944B48" w:rsidRPr="00B06EF4" w:rsidRDefault="006305FF" w:rsidP="004C026C">
            <w:pPr>
              <w:numPr>
                <w:ilvl w:val="0"/>
                <w:numId w:val="1"/>
              </w:numPr>
              <w:spacing w:after="60" w:line="240" w:lineRule="auto"/>
              <w:ind w:left="284" w:hanging="142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nadwrażliwość na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aflibercept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lub na którąkolwiek substancję pomocniczą;</w:t>
            </w:r>
          </w:p>
          <w:p w:rsidR="00944B48" w:rsidRPr="00B06EF4" w:rsidRDefault="006305FF" w:rsidP="004C026C">
            <w:pPr>
              <w:numPr>
                <w:ilvl w:val="0"/>
                <w:numId w:val="1"/>
              </w:numPr>
              <w:spacing w:after="60" w:line="240" w:lineRule="auto"/>
              <w:ind w:left="284" w:hanging="142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czynne zakażenie oka lub jego okolic;</w:t>
            </w:r>
          </w:p>
          <w:p w:rsidR="00944B48" w:rsidRPr="00B06EF4" w:rsidRDefault="006305FF" w:rsidP="004C026C">
            <w:pPr>
              <w:numPr>
                <w:ilvl w:val="0"/>
                <w:numId w:val="1"/>
              </w:numPr>
              <w:spacing w:after="60" w:line="240" w:lineRule="auto"/>
              <w:ind w:left="284" w:hanging="142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lastRenderedPageBreak/>
              <w:t>czynne ciężkie zapalenie wnętrza gałki;</w:t>
            </w:r>
          </w:p>
          <w:p w:rsidR="00944B48" w:rsidRPr="00B06EF4" w:rsidRDefault="006305FF" w:rsidP="004C026C">
            <w:pPr>
              <w:numPr>
                <w:ilvl w:val="0"/>
                <w:numId w:val="1"/>
              </w:numPr>
              <w:spacing w:after="60" w:line="240" w:lineRule="auto"/>
              <w:ind w:left="284" w:hanging="142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okres ciąży lub karmienia piersią;</w:t>
            </w:r>
          </w:p>
          <w:p w:rsidR="00944B48" w:rsidRPr="00B06EF4" w:rsidRDefault="006305FF" w:rsidP="004C026C">
            <w:pPr>
              <w:numPr>
                <w:ilvl w:val="0"/>
                <w:numId w:val="1"/>
              </w:numPr>
              <w:spacing w:after="60" w:line="240" w:lineRule="auto"/>
              <w:ind w:left="284" w:hanging="142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wystąpienie działań niepożądanych związanych z lekiem uniemożliwiających jego dalsze stosowanie;</w:t>
            </w:r>
          </w:p>
          <w:p w:rsidR="00944B48" w:rsidRPr="00B06EF4" w:rsidRDefault="006305FF" w:rsidP="004C026C">
            <w:pPr>
              <w:numPr>
                <w:ilvl w:val="0"/>
                <w:numId w:val="1"/>
              </w:numPr>
              <w:spacing w:after="60" w:line="240" w:lineRule="auto"/>
              <w:ind w:left="284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przedarciowe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odwarstwienie siatkówki lub otwór w plamce 3. lub 4. stopnia;</w:t>
            </w:r>
          </w:p>
          <w:p w:rsidR="00944B48" w:rsidRPr="00B06EF4" w:rsidRDefault="006305FF" w:rsidP="004C026C">
            <w:pPr>
              <w:numPr>
                <w:ilvl w:val="0"/>
                <w:numId w:val="1"/>
              </w:numPr>
              <w:spacing w:after="60" w:line="240" w:lineRule="auto"/>
              <w:ind w:left="284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brak współpracy pacjenta z lekarzem prowadzącym (niezgłaszanie się z powodów nieuzasadnionych na określone przez program minim</w:t>
            </w:r>
            <w:r w:rsidR="00147250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um 2 kolejne punkty kontrolne)</w:t>
            </w:r>
            <w:r w:rsidR="00AE310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B06EF4">
              <w:t xml:space="preserve"> </w:t>
            </w:r>
          </w:p>
          <w:p w:rsidR="00944B48" w:rsidRPr="00B06EF4" w:rsidRDefault="006305FF" w:rsidP="004C026C">
            <w:pPr>
              <w:numPr>
                <w:ilvl w:val="0"/>
                <w:numId w:val="1"/>
              </w:numPr>
              <w:spacing w:after="60" w:line="240" w:lineRule="auto"/>
              <w:ind w:left="284" w:hanging="142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</w:pP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progresja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choroby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definiowana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jako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:</w:t>
            </w:r>
          </w:p>
          <w:p w:rsidR="00944B48" w:rsidRPr="00B06EF4" w:rsidRDefault="006305FF" w:rsidP="004C026C">
            <w:pPr>
              <w:numPr>
                <w:ilvl w:val="0"/>
                <w:numId w:val="10"/>
              </w:numPr>
              <w:spacing w:after="60" w:line="240" w:lineRule="auto"/>
              <w:ind w:left="596"/>
              <w:jc w:val="both"/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pogorszenie </w:t>
            </w:r>
            <w:r w:rsidR="00B377E2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najlepszej skorygowanej ostrości wzroku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(BCVA) do wartości </w:t>
            </w:r>
            <w:r w:rsidR="00B63B8A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&lt;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 0,</w:t>
            </w:r>
            <w:r w:rsidR="00F11714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określonej według tablicy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(lub odpowiednio ekwiwalent ETDRS) utrzymujące się dłużej niż 2 miesiące</w:t>
            </w:r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</w:p>
          <w:p w:rsidR="00944B48" w:rsidRPr="008C07C8" w:rsidRDefault="00147250" w:rsidP="004C026C">
            <w:pPr>
              <w:numPr>
                <w:ilvl w:val="0"/>
                <w:numId w:val="10"/>
              </w:numPr>
              <w:spacing w:after="60" w:line="240" w:lineRule="auto"/>
              <w:ind w:left="596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obecność</w:t>
            </w:r>
            <w:r w:rsidR="006305FF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trwałego uszkodzenia struktury dołka, która uniemożliwia uzyskanie u pacjenta stabilizac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ji lub poprawy czynnościowej (i</w:t>
            </w:r>
            <w:r w:rsidR="006305FF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stotne uszkodzenie struktury jest zdefiniowane jako obecne zwłóknienie lub atrofia w dołku albo istotna przewlekła tarczowata blizna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6305FF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C07C8" w:rsidRPr="00B06EF4" w:rsidRDefault="008C07C8" w:rsidP="008C07C8">
            <w:pPr>
              <w:spacing w:after="60" w:line="240" w:lineRule="auto"/>
              <w:ind w:left="596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2. Leczenie neowaskularnej (wysiękowej) postaci zwyrodnienia plamki związanego z wiekiem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ranibizumabem</w:t>
            </w:r>
            <w:proofErr w:type="spellEnd"/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 jest kwalifikowany do programu przez Zespół Koordynacyjny do Spraw Leczenia Neowaskularnej (Wysiękowej) Postaci Zwyrodnienia Plamki Związanego z Wiekiem, powoływany przez Prezesa Narodowego Funduszu Zdrowia.</w:t>
            </w:r>
          </w:p>
          <w:p w:rsidR="00944B48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Każdorazowo  pacjenta do podania kolejnej dawki leku kwalifikuje lekarz prowadzący.</w:t>
            </w:r>
          </w:p>
          <w:p w:rsidR="008C07C8" w:rsidRPr="00B06EF4" w:rsidRDefault="008C07C8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2.1. Kryteria kwalifikacji</w:t>
            </w:r>
          </w:p>
          <w:p w:rsidR="00944B48" w:rsidRPr="00B06EF4" w:rsidRDefault="006305FF" w:rsidP="004C026C">
            <w:pPr>
              <w:numPr>
                <w:ilvl w:val="0"/>
                <w:numId w:val="7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obecność aktywnej (pierwotnej lub wtórnej), klasycznej, ukrytej lub mieszanej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neowaskularyzacji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podsiatkówkowej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(CNV) zajmującej ponad 50% zmiany w przebiegu AMD potwierdzona w OCT (optycznej koherentnej tomografii) i angiografii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fluoresceinowej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lub badaniu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angio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-OCT;</w:t>
            </w:r>
          </w:p>
          <w:p w:rsidR="00944B48" w:rsidRPr="00B06EF4" w:rsidRDefault="006305FF" w:rsidP="004C026C">
            <w:pPr>
              <w:numPr>
                <w:ilvl w:val="0"/>
                <w:numId w:val="7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wiek powyżej 45. roku życia;</w:t>
            </w:r>
          </w:p>
          <w:p w:rsidR="00944B48" w:rsidRPr="00B06EF4" w:rsidRDefault="006305FF" w:rsidP="004C026C">
            <w:pPr>
              <w:numPr>
                <w:ilvl w:val="0"/>
                <w:numId w:val="7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wielkość zmiany mniejsza niż 12 DA (12 powierzchni tarczy nerwu wzrokowego);</w:t>
            </w:r>
          </w:p>
          <w:p w:rsidR="00944B48" w:rsidRPr="00B06EF4" w:rsidRDefault="006305FF" w:rsidP="004C026C">
            <w:pPr>
              <w:numPr>
                <w:ilvl w:val="0"/>
                <w:numId w:val="7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najlepsza skorygowana ostrość wzroku (BCVA) w leczonym oku 0,</w:t>
            </w:r>
            <w:r w:rsidR="00F11714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-0,8 określona według tablicy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(lub odpowiednio ekwiwalent ETDRS);</w:t>
            </w:r>
          </w:p>
          <w:p w:rsidR="00944B48" w:rsidRPr="00B06EF4" w:rsidRDefault="006305FF" w:rsidP="004C026C">
            <w:pPr>
              <w:numPr>
                <w:ilvl w:val="0"/>
                <w:numId w:val="7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zgoda pacjenta na wykonanie iniekcji doszklistkowych;</w:t>
            </w:r>
          </w:p>
          <w:p w:rsidR="00944B48" w:rsidRPr="00B06EF4" w:rsidRDefault="006305FF" w:rsidP="004C026C">
            <w:pPr>
              <w:numPr>
                <w:ilvl w:val="0"/>
                <w:numId w:val="7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brak dominującego zaniku geograficznego;</w:t>
            </w:r>
          </w:p>
          <w:p w:rsidR="00944B48" w:rsidRPr="00B06EF4" w:rsidRDefault="006305FF" w:rsidP="004C026C">
            <w:pPr>
              <w:numPr>
                <w:ilvl w:val="0"/>
                <w:numId w:val="7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brak dominującego wylewu krwi.</w:t>
            </w:r>
          </w:p>
          <w:p w:rsidR="00944B48" w:rsidRPr="00B06EF4" w:rsidRDefault="006305FF" w:rsidP="004C026C">
            <w:pPr>
              <w:numPr>
                <w:ilvl w:val="0"/>
                <w:numId w:val="7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brak  trwałego uszkodzenia struktury dołka, która uniemożliwia uzyskanie u pacjenta stabiliza</w:t>
            </w:r>
            <w:r w:rsidR="00F62A13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cji lub poprawy czynnościowej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62A13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(i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stotne uszkodzenie struktury jest zdefiniowane jako obecne zwłóknienie lub atrofia w dołku albo istotna przewlekła tarczowata blizna</w:t>
            </w:r>
            <w:r w:rsidR="00F62A13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44B48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Kryteria kwalifikacji muszą być spełnione łącznie.</w:t>
            </w:r>
          </w:p>
          <w:p w:rsidR="008C07C8" w:rsidRPr="00B06EF4" w:rsidRDefault="008C07C8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2.2. Kryteria włączenia do programu pacjentów leczonych uprzednio w ramach je</w:t>
            </w:r>
            <w:r w:rsidR="00EA525E"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dnorodnych grup pacjentów lub u </w:t>
            </w: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świadczeniodawców, którzy nie posiadali umowy na udzielanie świadczeń opieki zdrowotnej finansowanych ze środków publicznych</w:t>
            </w:r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 programu kwalifikowani są również pacjenci, którzy przed wprowadzeniem programu rozpoczęli leczenie wysiękowej postaci AMD iniekcjami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doszklistkowymi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przeciwciała monoklonalnego anty-VEGF lub rekombinowanego białka fuzyjnego:</w:t>
            </w:r>
          </w:p>
          <w:p w:rsidR="00944B48" w:rsidRPr="00B06EF4" w:rsidRDefault="006305FF" w:rsidP="004C026C">
            <w:pPr>
              <w:numPr>
                <w:ilvl w:val="0"/>
                <w:numId w:val="26"/>
              </w:numPr>
              <w:spacing w:after="60" w:line="240" w:lineRule="auto"/>
              <w:ind w:left="567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ramach świadczeń gwarantowanych rozliczanych w ramach grupy B02 - Leczenie wysiękowej postaci AMD z zastosowaniem iniekcji doszklistkowych przeciwciała monoklonalnego anty-VEGF/rekombinowanego białka fuzyjnego </w:t>
            </w:r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lub </w:t>
            </w:r>
          </w:p>
          <w:p w:rsidR="00944B48" w:rsidRPr="00B06EF4" w:rsidRDefault="006305FF" w:rsidP="004C026C">
            <w:pPr>
              <w:numPr>
                <w:ilvl w:val="0"/>
                <w:numId w:val="26"/>
              </w:numPr>
              <w:spacing w:after="60" w:line="240" w:lineRule="auto"/>
              <w:ind w:left="567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 świadczeniodawców, którzy nie posiadali umowy na udzielanie świadczeń opieki zdrowotnej finansowanych ze środków publicznych </w:t>
            </w:r>
          </w:p>
          <w:p w:rsidR="00944B48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- pod warunkiem, że w chwili rozpoczęcia terapii spełniali kryteria włączenia do programu. Jeżeli wykazano w tym czasie skuteczność leczenia, wtedy terapia powinna być kontynuowana zgodnie z zapisami programu.</w:t>
            </w:r>
          </w:p>
          <w:p w:rsidR="008C07C8" w:rsidRPr="00B06EF4" w:rsidRDefault="008C07C8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2.3. Określenie czasu leczenia w programie</w:t>
            </w:r>
          </w:p>
          <w:p w:rsidR="00944B48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Leczenie trwa do czasu podjęcia przez lekarza prowadzącego decyzji 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 wyłączeniu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pacjenta z programu zgodnie z kryteriami wyłączenia. </w:t>
            </w:r>
          </w:p>
          <w:p w:rsidR="008C07C8" w:rsidRPr="00B06EF4" w:rsidRDefault="008C07C8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2.4. Kryteria wyłączenia</w:t>
            </w:r>
          </w:p>
          <w:p w:rsidR="00944B48" w:rsidRPr="00B06EF4" w:rsidRDefault="006305FF" w:rsidP="004C026C">
            <w:pPr>
              <w:numPr>
                <w:ilvl w:val="0"/>
                <w:numId w:val="9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nadwrażliwość na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ranibizumab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lub na którąkolwiek substancję pomocniczą;</w:t>
            </w:r>
          </w:p>
          <w:p w:rsidR="00944B48" w:rsidRPr="00B06EF4" w:rsidRDefault="006305FF" w:rsidP="004C026C">
            <w:pPr>
              <w:numPr>
                <w:ilvl w:val="0"/>
                <w:numId w:val="9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czynne zakażenie oka lub jego okolic;</w:t>
            </w:r>
          </w:p>
          <w:p w:rsidR="00944B48" w:rsidRPr="00B06EF4" w:rsidRDefault="006305FF" w:rsidP="004C026C">
            <w:pPr>
              <w:numPr>
                <w:ilvl w:val="0"/>
                <w:numId w:val="9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czynne ciężkie zapalenie wnętrza gałki;</w:t>
            </w:r>
          </w:p>
          <w:p w:rsidR="00944B48" w:rsidRPr="00B06EF4" w:rsidRDefault="006305FF" w:rsidP="004C026C">
            <w:pPr>
              <w:numPr>
                <w:ilvl w:val="0"/>
                <w:numId w:val="9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okres ciąży lub karmienia piersią;</w:t>
            </w:r>
          </w:p>
          <w:p w:rsidR="00944B48" w:rsidRPr="00B06EF4" w:rsidRDefault="006305FF" w:rsidP="004C026C">
            <w:pPr>
              <w:numPr>
                <w:ilvl w:val="0"/>
                <w:numId w:val="9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wystąpienie działań niepożądanych związanych z lekiem uniemożliwiających jego dalsze stosowanie;</w:t>
            </w:r>
          </w:p>
          <w:p w:rsidR="00944B48" w:rsidRPr="00B06EF4" w:rsidRDefault="006305FF" w:rsidP="004C026C">
            <w:pPr>
              <w:numPr>
                <w:ilvl w:val="0"/>
                <w:numId w:val="9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przedarciowe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odwarstwienie siatkówki lub otwór w plamce 3. lub 4. stopnia;</w:t>
            </w:r>
          </w:p>
          <w:p w:rsidR="00944B48" w:rsidRPr="00B06EF4" w:rsidRDefault="006305FF" w:rsidP="004C026C">
            <w:pPr>
              <w:numPr>
                <w:ilvl w:val="0"/>
                <w:numId w:val="9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brak współpracy pacjenta z lekarzem prowadzącym (niezgłaszanie się z powodów nieuzasadnionych na określone przez program minimum 2 kolejne punkty kontrolne)</w:t>
            </w:r>
            <w:r w:rsidR="00AE310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B06EF4">
              <w:t xml:space="preserve"> </w:t>
            </w:r>
          </w:p>
          <w:p w:rsidR="00944B48" w:rsidRPr="00B06EF4" w:rsidRDefault="006305FF" w:rsidP="004C026C">
            <w:pPr>
              <w:numPr>
                <w:ilvl w:val="0"/>
                <w:numId w:val="9"/>
              </w:numPr>
              <w:spacing w:after="60" w:line="240" w:lineRule="auto"/>
              <w:ind w:left="313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progresja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choroby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definiowana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jako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:</w:t>
            </w:r>
          </w:p>
          <w:p w:rsidR="006305FF" w:rsidRPr="00B06EF4" w:rsidRDefault="006305FF" w:rsidP="004C026C">
            <w:pPr>
              <w:numPr>
                <w:ilvl w:val="0"/>
                <w:numId w:val="29"/>
              </w:numPr>
              <w:spacing w:after="60" w:line="240" w:lineRule="auto"/>
              <w:ind w:left="567"/>
              <w:jc w:val="both"/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pogorszenie najlepszej skorygowanej ostrości wzroku (BCVA) do wartości &lt; 0,</w:t>
            </w:r>
            <w:r w:rsidR="00853842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określonej według tablicy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(lub odpowiednio ekwiwalent ETDRS) utrzymujące się dłużej niż 2 miesiące</w:t>
            </w:r>
          </w:p>
          <w:p w:rsidR="006305FF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</w:p>
          <w:p w:rsidR="00A742BE" w:rsidRPr="004C026C" w:rsidRDefault="006305FF" w:rsidP="004C026C">
            <w:pPr>
              <w:numPr>
                <w:ilvl w:val="0"/>
                <w:numId w:val="29"/>
              </w:numPr>
              <w:spacing w:after="60" w:line="240" w:lineRule="auto"/>
              <w:ind w:left="596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obecność  trwałego uszkodzenia struktury dołka, która uniemożliwia uzyskanie u pacjenta stabilizacji lub poprawy czynn</w:t>
            </w:r>
            <w:r w:rsidR="00EA525E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ościowej (i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stotne uszkodzenie struktury jest zdefiniowane jako obecne zwłóknienie lub atrofia w dołku albo istotna przewlekła tarczowata blizna</w:t>
            </w:r>
            <w:r w:rsidR="00EA525E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4C026C" w:rsidRPr="004C026C" w:rsidRDefault="004C026C" w:rsidP="004C026C">
            <w:pPr>
              <w:spacing w:after="60" w:line="240" w:lineRule="auto"/>
              <w:ind w:left="596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4B48" w:rsidRPr="00B06EF4" w:rsidRDefault="006305FF" w:rsidP="004C026C">
            <w:pPr>
              <w:numPr>
                <w:ilvl w:val="0"/>
                <w:numId w:val="11"/>
              </w:numPr>
              <w:spacing w:before="120" w:after="60" w:line="240" w:lineRule="auto"/>
              <w:ind w:left="346" w:hanging="284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Leczenie  neowaskularnej (wysiękowej) postaci zwyrodnienia plamki związanego z wiekiem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afliberceptem</w:t>
            </w:r>
            <w:proofErr w:type="spellEnd"/>
          </w:p>
          <w:p w:rsidR="00944B48" w:rsidRPr="00B06EF4" w:rsidRDefault="006305FF" w:rsidP="004C026C">
            <w:pPr>
              <w:numPr>
                <w:ilvl w:val="1"/>
                <w:numId w:val="11"/>
              </w:numPr>
              <w:spacing w:after="60" w:line="240" w:lineRule="auto"/>
              <w:ind w:left="487" w:hanging="425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Dawkowanie afliberceptu</w:t>
            </w:r>
          </w:p>
          <w:p w:rsidR="00944B48" w:rsidRPr="00B06EF4" w:rsidRDefault="006305FF" w:rsidP="004C026C">
            <w:pPr>
              <w:numPr>
                <w:ilvl w:val="0"/>
                <w:numId w:val="12"/>
              </w:numPr>
              <w:spacing w:after="60" w:line="240" w:lineRule="auto"/>
              <w:ind w:left="391" w:hanging="142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zalecana dawka afliberceptu wynosi 2 mg, co odpowiada 50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mikrolitrom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roztworu (0,05ml) na jedno wstrzyknięcie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doszklistkowe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;</w:t>
            </w:r>
          </w:p>
          <w:p w:rsidR="00944B48" w:rsidRPr="00B06EF4" w:rsidRDefault="006305FF" w:rsidP="004C026C">
            <w:pPr>
              <w:numPr>
                <w:ilvl w:val="0"/>
                <w:numId w:val="12"/>
              </w:numPr>
              <w:spacing w:after="60" w:line="240" w:lineRule="auto"/>
              <w:ind w:left="391" w:hanging="142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leczenie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afliberceptem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rozpoczyna się od jednego wstrzyknięcia na miesiąc (tj. w odstępach co najmniej 28 dni, ale nie później niż </w:t>
            </w:r>
            <w:r w:rsidR="00A62511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7 dni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po upływie tego terminu)</w:t>
            </w:r>
            <w:r w:rsidR="00DD0114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przez trzy kolejne miesiące, a 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następnie lek podaje się w postaci jednego wstrzyknięcia co 2 miesiące;</w:t>
            </w:r>
          </w:p>
          <w:p w:rsidR="00944B48" w:rsidRPr="00B06EF4" w:rsidRDefault="006305FF" w:rsidP="004C026C">
            <w:pPr>
              <w:numPr>
                <w:ilvl w:val="0"/>
                <w:numId w:val="12"/>
              </w:numPr>
              <w:spacing w:after="60" w:line="240" w:lineRule="auto"/>
              <w:ind w:left="391" w:hanging="142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po pierwszych 12 miesiącach leczenia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afliberceptem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odstęp pomiędzy dawkami można wydłużyć </w:t>
            </w:r>
            <w:r w:rsidR="006B362A" w:rsidRPr="00DC5AD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 skrócić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– kolejne dawki podaje się </w:t>
            </w:r>
            <w:r w:rsidR="00BB6B12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 przypadku pogorszenia się parametrów wzrokowych lub anatomicznych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; </w:t>
            </w:r>
          </w:p>
          <w:p w:rsidR="00944B48" w:rsidRPr="00B06EF4" w:rsidRDefault="006305FF" w:rsidP="004C026C">
            <w:pPr>
              <w:numPr>
                <w:ilvl w:val="0"/>
                <w:numId w:val="12"/>
              </w:numPr>
              <w:spacing w:after="60" w:line="240" w:lineRule="auto"/>
              <w:ind w:left="391" w:hanging="142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 pie</w:t>
            </w:r>
            <w:r w:rsidR="00FE6596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rwszych 12 miesiącach leczenia 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badania kontrolne pacjenta muszą być wykonywane nie rzadziej niż co 2 miesiące (tj. nie rzadziej niż co 62 dni);</w:t>
            </w:r>
          </w:p>
          <w:p w:rsidR="00944B48" w:rsidRPr="00B06EF4" w:rsidRDefault="006305FF" w:rsidP="004C026C">
            <w:pPr>
              <w:numPr>
                <w:ilvl w:val="0"/>
                <w:numId w:val="12"/>
              </w:numPr>
              <w:spacing w:after="60" w:line="240" w:lineRule="auto"/>
              <w:ind w:left="391" w:hanging="142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w przypadku pacjentów zakwalifikowanych do programu, którzy rozpoczęli wcześniej leczenie wysiękowej postaci AMD iniekcjami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lastRenderedPageBreak/>
              <w:t>doszklistkowymi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przeciwciała monoklonalnego anty-VEGF lub rekombinowanego </w:t>
            </w:r>
            <w:r w:rsidR="00FE6596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białka fuzyjnego:</w:t>
            </w:r>
          </w:p>
          <w:p w:rsidR="00944B48" w:rsidRPr="00B06EF4" w:rsidRDefault="00FE6596" w:rsidP="004C026C">
            <w:pPr>
              <w:numPr>
                <w:ilvl w:val="0"/>
                <w:numId w:val="24"/>
              </w:numPr>
              <w:spacing w:after="60" w:line="240" w:lineRule="auto"/>
              <w:ind w:left="674" w:hanging="3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w </w:t>
            </w:r>
            <w:r w:rsidR="006305FF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ramach świadczeń gwarantowanych rozliczanych w ramach grupy B02 - Le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czenie wysiękowej postaci AMD z </w:t>
            </w:r>
            <w:r w:rsidR="006305FF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zastosowaniem iniekcji doszklistkowych przeciwciała monoklonalnego anty-VEGF/rekombinowanego białka fuzyjnego</w:t>
            </w:r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44B48" w:rsidRPr="00B06EF4" w:rsidRDefault="006305FF" w:rsidP="004C026C">
            <w:pPr>
              <w:numPr>
                <w:ilvl w:val="0"/>
                <w:numId w:val="24"/>
              </w:numPr>
              <w:spacing w:after="60" w:line="240" w:lineRule="auto"/>
              <w:ind w:left="674" w:hanging="31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u świadczeniodawców, którzy nie posiadali umowy na udzielanie świadczeń opieki zdrowotnej finansowanych ze środków publicznych </w:t>
            </w:r>
          </w:p>
          <w:p w:rsidR="00944B48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- schemat dawkowania należy dostosować do etapu leczenia, </w:t>
            </w:r>
            <w:r w:rsidR="007A3F64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 jakim znajduje się pacjent.</w:t>
            </w:r>
          </w:p>
          <w:p w:rsidR="008C07C8" w:rsidRPr="00B06EF4" w:rsidRDefault="008C07C8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944B48" w:rsidRPr="00B06EF4" w:rsidRDefault="006305FF" w:rsidP="004C026C">
            <w:pPr>
              <w:numPr>
                <w:ilvl w:val="0"/>
                <w:numId w:val="11"/>
              </w:numPr>
              <w:spacing w:after="60" w:line="240" w:lineRule="auto"/>
              <w:ind w:left="346" w:hanging="346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Leczenie  neowaskularnej (wysiękowej) postaci zwyrodnienia plamki związanego z wiekiem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ranibizumabem</w:t>
            </w:r>
            <w:proofErr w:type="spellEnd"/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2.1. Dawkowanie ranibizumabu</w:t>
            </w:r>
          </w:p>
          <w:p w:rsidR="00944B48" w:rsidRPr="00B06EF4" w:rsidRDefault="006305FF" w:rsidP="004C026C">
            <w:pPr>
              <w:numPr>
                <w:ilvl w:val="0"/>
                <w:numId w:val="13"/>
              </w:numPr>
              <w:spacing w:after="60" w:line="240" w:lineRule="auto"/>
              <w:ind w:left="391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zalecana dawka ranibizumabu wynosi 0,5 mg, co odpowiada 50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mikrolitrom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roztworu (0,05 ml) na jedno wstrzyknięcie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doszklistkowe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:rsidR="00944B48" w:rsidRPr="00B06EF4" w:rsidRDefault="006305FF" w:rsidP="004C026C">
            <w:pPr>
              <w:numPr>
                <w:ilvl w:val="0"/>
                <w:numId w:val="13"/>
              </w:numPr>
              <w:spacing w:after="60" w:line="240" w:lineRule="auto"/>
              <w:ind w:left="391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leczenie rozpoczyna się od jednej iniekcji na miesiąc 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(tj. w odstępach co najmniej 28 dni, ale nie później niż </w:t>
            </w:r>
            <w:r w:rsidR="00A62511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dni po upływie tego terminu)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czasu uzyskania maksymalnej ostrości wzroku lub braku cech aktywności choroby tj. braku zmian w ostrości wzroku oraz innych objawów przedmiotowych choroby podczas kontynuowania leczenia; </w:t>
            </w:r>
          </w:p>
          <w:p w:rsidR="00944B48" w:rsidRPr="00B06EF4" w:rsidRDefault="006305FF" w:rsidP="004C026C">
            <w:pPr>
              <w:numPr>
                <w:ilvl w:val="0"/>
                <w:numId w:val="13"/>
              </w:numPr>
              <w:spacing w:after="60" w:line="240" w:lineRule="auto"/>
              <w:ind w:left="391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następnie odstępy pomiędzy podaniem kolejnych dawek oraz częstotliwość wykonywania badań kontrolnych są ustalane przez lekarza prowadzącego i powinny być uzależnione od 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aktywności choroby, ocenianej na podstawie ostrości wzroku lub parametrów anatomicznych;</w:t>
            </w:r>
          </w:p>
          <w:p w:rsidR="00944B48" w:rsidRPr="00B06EF4" w:rsidRDefault="006305FF" w:rsidP="004C026C">
            <w:pPr>
              <w:numPr>
                <w:ilvl w:val="0"/>
                <w:numId w:val="13"/>
              </w:numPr>
              <w:spacing w:after="60" w:line="240" w:lineRule="auto"/>
              <w:ind w:left="391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odstęp pomiędzy wstrzyknięciem dwóch dawek do tego samego oka powinien wynosić co najmniej 4 tygodnie;</w:t>
            </w:r>
          </w:p>
          <w:p w:rsidR="00944B48" w:rsidRPr="00B06EF4" w:rsidRDefault="006305FF" w:rsidP="004C026C">
            <w:pPr>
              <w:numPr>
                <w:ilvl w:val="0"/>
                <w:numId w:val="13"/>
              </w:numPr>
              <w:spacing w:after="60" w:line="240" w:lineRule="auto"/>
              <w:ind w:left="391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przypadku, gdy odstęp między podaniem kolejnych dawek został ustalony na więcej niż 2 miesiące, badania kontrolne pacjenta muszą być wykonywane nie rzadziej niż co 2 miesiące 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(tj. nie rzadziej niż co 62 dni);</w:t>
            </w:r>
          </w:p>
          <w:p w:rsidR="00944B48" w:rsidRPr="00B06EF4" w:rsidRDefault="006305FF" w:rsidP="004C026C">
            <w:pPr>
              <w:numPr>
                <w:ilvl w:val="0"/>
                <w:numId w:val="12"/>
              </w:numPr>
              <w:spacing w:after="60" w:line="240" w:lineRule="auto"/>
              <w:ind w:left="391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w przypadku pacjentów zakwalifikowanych do programu, którzy rozpoczęli wcześniej leczenie wysiękowej postaci AMD iniekcjami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doszklistkowymi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przeciwciała monoklonalnego anty-VEGF lub rekombinowanego białka fuzyjnego: </w:t>
            </w:r>
          </w:p>
          <w:p w:rsidR="00944B48" w:rsidRPr="00B06EF4" w:rsidRDefault="006305FF" w:rsidP="004C026C">
            <w:pPr>
              <w:numPr>
                <w:ilvl w:val="1"/>
                <w:numId w:val="23"/>
              </w:numPr>
              <w:spacing w:after="60" w:line="240" w:lineRule="auto"/>
              <w:ind w:left="67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w ramach świadczeń gwarantowanych rozliczanych w ramach grupy B02 - Leczenie wysiękowej postaci AMD z zastosowaniem iniekcji doszklistkowych przeciwciała monoklonalnego anty-VEGF/rekombinowanego białka fuzyjnego </w:t>
            </w:r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</w:p>
          <w:p w:rsidR="00944B48" w:rsidRPr="00B06EF4" w:rsidRDefault="006305FF" w:rsidP="004C026C">
            <w:pPr>
              <w:numPr>
                <w:ilvl w:val="1"/>
                <w:numId w:val="23"/>
              </w:numPr>
              <w:spacing w:after="60" w:line="240" w:lineRule="auto"/>
              <w:ind w:left="67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u świadczeniodawców, którzy nie posiadali umowy na udzielanie świadczeń opieki zdrowotnej finansowanych ze środków publicznych </w:t>
            </w:r>
          </w:p>
          <w:p w:rsidR="00944B48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- schemat dawkowania należy dostosować do etapu leczenia, na jakim znajduje się pacjent.  </w:t>
            </w:r>
          </w:p>
          <w:p w:rsidR="008C07C8" w:rsidRPr="00B06EF4" w:rsidRDefault="008C07C8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4B48" w:rsidRPr="00B06EF4" w:rsidRDefault="006305FF" w:rsidP="004C026C">
            <w:pPr>
              <w:numPr>
                <w:ilvl w:val="0"/>
                <w:numId w:val="18"/>
              </w:numPr>
              <w:spacing w:after="60" w:line="240" w:lineRule="auto"/>
              <w:ind w:left="391" w:hanging="39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Wstrzymanie podawania leku</w:t>
            </w:r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Podawanie leku należy odroczyć, jeżeli wystąpi:</w:t>
            </w:r>
          </w:p>
          <w:p w:rsidR="00B377E2" w:rsidRPr="00B06EF4" w:rsidRDefault="006305FF" w:rsidP="004C026C">
            <w:pPr>
              <w:numPr>
                <w:ilvl w:val="0"/>
                <w:numId w:val="14"/>
              </w:numPr>
              <w:spacing w:after="60" w:line="240" w:lineRule="auto"/>
              <w:ind w:left="34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pogorszenie ostrości wzroku w najlepszej </w:t>
            </w:r>
            <w:r w:rsidR="00B377E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skorygowanej ostrości wzroku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(BCVA):</w:t>
            </w:r>
          </w:p>
          <w:p w:rsidR="00944B48" w:rsidRPr="00B06EF4" w:rsidRDefault="006305FF" w:rsidP="004C026C">
            <w:pPr>
              <w:numPr>
                <w:ilvl w:val="0"/>
                <w:numId w:val="15"/>
              </w:numPr>
              <w:spacing w:after="60" w:line="240" w:lineRule="auto"/>
              <w:ind w:left="629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do wartości </w:t>
            </w:r>
            <w:r w:rsidR="00B377E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0,</w:t>
            </w:r>
            <w:r w:rsidR="00A43DD7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określonej według tablicy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(lub odpowiednio ekwiwalent ETDRS) </w:t>
            </w:r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w porównaniu z ostatnią oceną ostrości wzroku. </w:t>
            </w:r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Utrzymywanie się pogorszenia </w:t>
            </w:r>
            <w:r w:rsidR="00B377E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najlepszej skorygowanej ostrości wzroku (BCVA)</w:t>
            </w:r>
            <w:r w:rsidR="004B140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 poziomie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377E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&lt;0,</w:t>
            </w:r>
            <w:r w:rsidR="00A43DD7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7A3F64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</w:t>
            </w:r>
            <w:r w:rsidR="00C00E3A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edłu</w:t>
            </w:r>
            <w:r w:rsidR="007A3F64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g tablicy</w:t>
            </w:r>
            <w:r w:rsidR="00B377E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77E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(lub odpowiednio ekwiwalent </w:t>
            </w:r>
            <w:r w:rsidR="007A3F64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="00B377E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 w:rsidR="007A3F64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  <w:r w:rsidR="00B377E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RS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) w ciągu 2 następnych comiesięcznych badań jest równoznaczne z wyłączeniem z programu.</w:t>
            </w:r>
          </w:p>
          <w:p w:rsidR="00944B48" w:rsidRPr="00B06EF4" w:rsidRDefault="006305FF" w:rsidP="004C026C">
            <w:pPr>
              <w:numPr>
                <w:ilvl w:val="0"/>
                <w:numId w:val="14"/>
              </w:numPr>
              <w:spacing w:after="60" w:line="240" w:lineRule="auto"/>
              <w:ind w:left="391" w:hanging="18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ciśnienie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śródgałkowe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≥ 30 mmHg (utrzymujące się pomimo leczenia); </w:t>
            </w:r>
          </w:p>
          <w:p w:rsidR="00944B48" w:rsidRPr="00B06EF4" w:rsidRDefault="006305FF" w:rsidP="004C026C">
            <w:pPr>
              <w:numPr>
                <w:ilvl w:val="0"/>
                <w:numId w:val="14"/>
              </w:numPr>
              <w:spacing w:after="60" w:line="240" w:lineRule="auto"/>
              <w:ind w:left="391" w:hanging="18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rozerwanie siatkówki;</w:t>
            </w:r>
          </w:p>
          <w:p w:rsidR="00944B48" w:rsidRPr="00B06EF4" w:rsidRDefault="006305FF" w:rsidP="004C026C">
            <w:pPr>
              <w:numPr>
                <w:ilvl w:val="0"/>
                <w:numId w:val="14"/>
              </w:numPr>
              <w:spacing w:after="60" w:line="240" w:lineRule="auto"/>
              <w:ind w:left="391" w:hanging="18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wylew podsiatkówkowy obejmujący centrum dołka siatkówki lub jeśli wielkość wylewu wynosi ≥ 50% całkowitej powierzchni zmiany;</w:t>
            </w:r>
          </w:p>
          <w:p w:rsidR="00944B48" w:rsidRPr="00B06EF4" w:rsidRDefault="006305FF" w:rsidP="004C026C">
            <w:pPr>
              <w:numPr>
                <w:ilvl w:val="0"/>
                <w:numId w:val="14"/>
              </w:numPr>
              <w:spacing w:after="60" w:line="240" w:lineRule="auto"/>
              <w:ind w:left="391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przeprowadzenie lub planowanie operacji wewnątrzgałkowej (o długości okresu wstrzymania podawania leku przed lub po operacją decyduje lekarz prowadzący);</w:t>
            </w:r>
          </w:p>
          <w:p w:rsidR="00944B48" w:rsidRPr="00B06EF4" w:rsidRDefault="006305FF" w:rsidP="004C026C">
            <w:pPr>
              <w:numPr>
                <w:ilvl w:val="0"/>
                <w:numId w:val="14"/>
              </w:numPr>
              <w:spacing w:after="60" w:line="240" w:lineRule="auto"/>
              <w:ind w:left="391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brak aktywności choroby, tj. gdy nie stwierdza się wzrostu wielkości zmiany, nowych krwotoków lub wysięków, nawet jeżeli stale istnieją torbiele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śródsiatkówkowe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lub kanaliki oznaczające zmiany przewlekłe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(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3A1D33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odawanie leku można odroczyć w 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przypadku afliberceptu – 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 drugiego roku leczenia, a w przypadku ranibizumabu – od pierwszego roku leczenia).</w:t>
            </w:r>
          </w:p>
          <w:p w:rsidR="00944B48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O terminie podania kolejnej dawki leku po odroczeniu decyduje lekarz prowadzący – z zastrzeżeniem kryteriów wyłączenia z programu.</w:t>
            </w:r>
          </w:p>
          <w:p w:rsidR="008C07C8" w:rsidRPr="00B06EF4" w:rsidRDefault="008C07C8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4B48" w:rsidRPr="00B06EF4" w:rsidRDefault="006305FF" w:rsidP="004C026C">
            <w:pPr>
              <w:numPr>
                <w:ilvl w:val="0"/>
                <w:numId w:val="19"/>
              </w:numPr>
              <w:spacing w:after="60" w:line="240" w:lineRule="auto"/>
              <w:ind w:left="391" w:hanging="39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Zmiana leku podczas leczenia neowaskularnej (wysiękowej) postaci zwyrodnienia plamki związanego z wiekiem</w:t>
            </w:r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 przypadku braku </w:t>
            </w:r>
            <w:r w:rsidR="00A535CD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skuteczności dotychczasowej terapii  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lekarz </w:t>
            </w:r>
            <w:r w:rsidR="00F326E9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prowadzący może zmienić dotychczas </w:t>
            </w:r>
            <w:r w:rsidR="00F326E9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podawany lek 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(pod warunkiem niespełnienia kryteriów wyłączenia z programu) na lek z inną substancją czynną finansowaną w ramach programu</w:t>
            </w:r>
            <w:r w:rsidR="000249CA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jednak nie wcześniej niż</w:t>
            </w:r>
            <w:r w:rsidR="00B72DE4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 7 iniekcjach</w:t>
            </w:r>
            <w:r w:rsidR="00181FD5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tego samego leku</w:t>
            </w:r>
            <w:r w:rsidR="00F04E88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BB6B12" w:rsidRPr="00B06EF4" w:rsidRDefault="00F04E88" w:rsidP="004C026C">
            <w:pPr>
              <w:pStyle w:val="Akapitzlist"/>
              <w:numPr>
                <w:ilvl w:val="0"/>
                <w:numId w:val="31"/>
              </w:numPr>
              <w:spacing w:after="60" w:line="240" w:lineRule="auto"/>
              <w:ind w:left="714" w:hanging="357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poda</w:t>
            </w:r>
            <w:r w:rsidR="005951AD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nych w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ramach programu lekowego </w:t>
            </w:r>
            <w:r w:rsidR="00181FD5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–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81FD5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przypadku</w:t>
            </w:r>
            <w:r w:rsidR="00BB6B12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pacjentów n</w:t>
            </w:r>
            <w:r w:rsidR="002A38B1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owych</w:t>
            </w:r>
            <w:r w:rsidR="007D10A6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BB6B12" w:rsidRPr="00B06EF4" w:rsidRDefault="00F04E88" w:rsidP="004C026C">
            <w:pPr>
              <w:pStyle w:val="Akapitzlist"/>
              <w:numPr>
                <w:ilvl w:val="0"/>
                <w:numId w:val="31"/>
              </w:numPr>
              <w:spacing w:after="60"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łącznie </w:t>
            </w:r>
            <w:r w:rsidR="00940404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– w przypadku </w:t>
            </w:r>
            <w:r w:rsidR="00BB6B12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pacjentów </w:t>
            </w:r>
            <w:r w:rsidR="00A73F67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zakwalifikowanych do programu</w:t>
            </w:r>
            <w:r w:rsidR="00CC2779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zgodnie z </w:t>
            </w:r>
            <w:r w:rsidR="00191078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kryteriami </w:t>
            </w:r>
            <w:r w:rsidR="009D7C0B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włą</w:t>
            </w:r>
            <w:r w:rsidR="00191078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czenia do programu pacjentów</w:t>
            </w:r>
            <w:r w:rsidR="00A73F67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1078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leczonych uprzednio</w:t>
            </w:r>
            <w:r w:rsidR="00A73F67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w ramach jednorodnych grup pacjentów lub u świadczeniodawców, którzy nie posiadali umowy na udzielanie świadczeń opieki zdrowotnej finansowanych ze środków publicznych</w:t>
            </w:r>
            <w:r w:rsidR="00940404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:rsidR="00F326E9" w:rsidRPr="00B06EF4" w:rsidRDefault="00F326E9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Za </w:t>
            </w:r>
            <w:r w:rsidR="00A535CD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brak 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skutecznoś</w:t>
            </w:r>
            <w:r w:rsidR="00A535CD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ci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terapii należy uznać:</w:t>
            </w:r>
          </w:p>
          <w:p w:rsidR="00F326E9" w:rsidRPr="00B06EF4" w:rsidRDefault="00F326E9" w:rsidP="004C026C">
            <w:pPr>
              <w:pStyle w:val="Akapitzlist"/>
              <w:numPr>
                <w:ilvl w:val="0"/>
                <w:numId w:val="30"/>
              </w:numPr>
              <w:spacing w:after="60"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pogorszenie ostrości wzroku w stosunku do wartości przy kwalifikacji do leczenia, przy braku spełnienia kryterium wyłączenia z</w:t>
            </w:r>
            <w:r w:rsidR="00A535CD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programu;</w:t>
            </w:r>
          </w:p>
          <w:p w:rsidR="00F326E9" w:rsidRPr="00B06EF4" w:rsidRDefault="00F326E9" w:rsidP="004C026C">
            <w:pPr>
              <w:spacing w:after="6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lub</w:t>
            </w:r>
          </w:p>
          <w:p w:rsidR="00F326E9" w:rsidRPr="00B06EF4" w:rsidRDefault="000249CA" w:rsidP="004C026C">
            <w:pPr>
              <w:pStyle w:val="Akapitzlist"/>
              <w:numPr>
                <w:ilvl w:val="0"/>
                <w:numId w:val="30"/>
              </w:numPr>
              <w:spacing w:after="60"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utrzymującą się lub cyklicznie nawracającą</w:t>
            </w:r>
            <w:r w:rsidR="000944E8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aktywność choroby, tj. płyn podsiatkówkowy lub obrzęk siatkówki, przy braku spełnienia kryterium wyłączenia z programu i gdy nie doszło do nieodwracalnych zmian w plamce w</w:t>
            </w:r>
            <w:r w:rsidR="00A535CD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 </w:t>
            </w:r>
            <w:r w:rsidR="000944E8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postaci dominującego bliznowacenia lub zaniku.</w:t>
            </w:r>
          </w:p>
          <w:p w:rsidR="00F326E9" w:rsidRDefault="00C254EC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Schemat dawkowania leku po zmianie ustala </w:t>
            </w:r>
            <w:r w:rsidR="001208C9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lekarz prowadzący.</w:t>
            </w:r>
          </w:p>
          <w:p w:rsidR="008C07C8" w:rsidRPr="00B06EF4" w:rsidRDefault="008C07C8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4B48" w:rsidRPr="00B06EF4" w:rsidRDefault="006305FF" w:rsidP="004C026C">
            <w:pPr>
              <w:widowControl w:val="0"/>
              <w:numPr>
                <w:ilvl w:val="0"/>
                <w:numId w:val="4"/>
              </w:numPr>
              <w:spacing w:before="120" w:after="60" w:line="240" w:lineRule="auto"/>
              <w:ind w:left="346" w:hanging="284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Leczenie  neowaskularnej (wysiękowej) postaci zwyrodnienia plamki związanego z wiekiem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afliberceptem</w:t>
            </w:r>
            <w:proofErr w:type="spellEnd"/>
          </w:p>
          <w:p w:rsidR="00944B48" w:rsidRPr="00B06EF4" w:rsidRDefault="006305FF" w:rsidP="004C026C">
            <w:pPr>
              <w:widowControl w:val="0"/>
              <w:numPr>
                <w:ilvl w:val="1"/>
                <w:numId w:val="4"/>
              </w:numPr>
              <w:tabs>
                <w:tab w:val="left" w:pos="294"/>
              </w:tabs>
              <w:spacing w:after="6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Ba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dania</w:t>
            </w:r>
            <w:proofErr w:type="spellEnd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przy</w:t>
            </w:r>
            <w:proofErr w:type="spellEnd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kwalifikacji</w:t>
            </w:r>
            <w:proofErr w:type="spellEnd"/>
          </w:p>
          <w:p w:rsidR="00944B48" w:rsidRPr="00B06EF4" w:rsidRDefault="006305FF" w:rsidP="004C026C">
            <w:pPr>
              <w:widowControl w:val="0"/>
              <w:numPr>
                <w:ilvl w:val="0"/>
                <w:numId w:val="5"/>
              </w:numPr>
              <w:spacing w:after="60" w:line="240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badanie okulistyczne z oceną ostrości wzroku na tablicach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ETDRS;</w:t>
            </w:r>
          </w:p>
          <w:p w:rsidR="00944B48" w:rsidRPr="00B06EF4" w:rsidRDefault="006305FF" w:rsidP="004C026C">
            <w:pPr>
              <w:widowControl w:val="0"/>
              <w:numPr>
                <w:ilvl w:val="0"/>
                <w:numId w:val="5"/>
              </w:numPr>
              <w:spacing w:after="60" w:line="240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OCT (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optyczna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koherentna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tomografia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);</w:t>
            </w:r>
          </w:p>
          <w:p w:rsidR="00944B48" w:rsidRPr="00B06EF4" w:rsidRDefault="006305FF" w:rsidP="004C026C">
            <w:pPr>
              <w:widowControl w:val="0"/>
              <w:numPr>
                <w:ilvl w:val="0"/>
                <w:numId w:val="5"/>
              </w:numPr>
              <w:spacing w:after="60" w:line="240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fotografia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dna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oka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;</w:t>
            </w:r>
          </w:p>
          <w:p w:rsidR="00944B48" w:rsidRPr="008C07C8" w:rsidRDefault="006305FF" w:rsidP="004C026C">
            <w:pPr>
              <w:widowControl w:val="0"/>
              <w:numPr>
                <w:ilvl w:val="0"/>
                <w:numId w:val="5"/>
              </w:numPr>
              <w:spacing w:after="60" w:line="240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angiografia </w:t>
            </w:r>
            <w:proofErr w:type="spellStart"/>
            <w:r w:rsidR="003A1D33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fluoresceinowa</w:t>
            </w:r>
            <w:proofErr w:type="spellEnd"/>
            <w:r w:rsidR="003A1D33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proofErr w:type="spellStart"/>
            <w:r w:rsidR="003A1D33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</w:t>
            </w:r>
            <w:proofErr w:type="spellEnd"/>
            <w:r w:rsidR="003A1D33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-OCT (w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przypadkach trudnych z diagnostycznego punktu widzenia - </w:t>
            </w:r>
            <w:r w:rsidR="003A1D33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angiografia </w:t>
            </w:r>
            <w:proofErr w:type="spellStart"/>
            <w:r w:rsidR="003A1D33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indocyjaninowa</w:t>
            </w:r>
            <w:proofErr w:type="spellEnd"/>
            <w:r w:rsidR="003A1D33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) – w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przypadku u</w:t>
            </w:r>
            <w:r w:rsidR="003A1D33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czulenia na barwnik stosowany w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angiografii lub w razie wystąpienia innych jednoznacznych przeciwwskazań do wykonania tego badania można od niego odstąpić. Fakt odstąpienia od badania należy opisać w dokumentacji medycznej pacjenta i przekazać do Zespołu Koordynacyjnego do Spraw Leczenia Neowaskularnej (Wysiękowej) Postaci Z</w:t>
            </w:r>
            <w:r w:rsidR="003A1D33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wyrodnienia Plamki Związanego z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Wiekiem.</w:t>
            </w:r>
          </w:p>
          <w:p w:rsidR="008C07C8" w:rsidRPr="00B06EF4" w:rsidRDefault="008C07C8" w:rsidP="008C07C8">
            <w:pPr>
              <w:widowControl w:val="0"/>
              <w:spacing w:after="6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  <w:p w:rsidR="00944B48" w:rsidRPr="00B06EF4" w:rsidRDefault="006305FF" w:rsidP="004C026C">
            <w:pPr>
              <w:widowControl w:val="0"/>
              <w:numPr>
                <w:ilvl w:val="1"/>
                <w:numId w:val="4"/>
              </w:numPr>
              <w:tabs>
                <w:tab w:val="left" w:pos="294"/>
              </w:tabs>
              <w:spacing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B06E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Monitorowanie</w:t>
            </w:r>
            <w:proofErr w:type="spellEnd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leczenia</w:t>
            </w:r>
            <w:proofErr w:type="spellEnd"/>
          </w:p>
          <w:p w:rsidR="00944B48" w:rsidRPr="00B06EF4" w:rsidRDefault="006305FF" w:rsidP="004C026C">
            <w:pPr>
              <w:widowControl w:val="0"/>
              <w:numPr>
                <w:ilvl w:val="0"/>
                <w:numId w:val="6"/>
              </w:numPr>
              <w:spacing w:after="60" w:line="240" w:lineRule="auto"/>
              <w:ind w:left="319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badania przeprowadzane przed każdym 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podaniem afliberceptu (w dniu podania leku lub w terminie do 7 dni przed jego podaniem) zgodnie z harmonogramem dawkowania oraz nie rzadziej niż co 2 miesiące 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(tj. nie rzadziej niż co 62 dni) 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 pierwszych 12 miesiącach leczenia:</w:t>
            </w:r>
          </w:p>
          <w:p w:rsidR="00944B48" w:rsidRPr="00B06EF4" w:rsidRDefault="006305FF" w:rsidP="004C026C">
            <w:pPr>
              <w:numPr>
                <w:ilvl w:val="0"/>
                <w:numId w:val="16"/>
              </w:numPr>
              <w:spacing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badanie okulistyczne z oceną ostrości wzroku na tablicach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ETDRS,</w:t>
            </w:r>
          </w:p>
          <w:p w:rsidR="00944B48" w:rsidRPr="00B06EF4" w:rsidRDefault="006305FF" w:rsidP="004C026C">
            <w:pPr>
              <w:widowControl w:val="0"/>
              <w:numPr>
                <w:ilvl w:val="0"/>
                <w:numId w:val="16"/>
              </w:numPr>
              <w:tabs>
                <w:tab w:val="left" w:pos="294"/>
              </w:tabs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OCT (optyczna koherentna tomografia),</w:t>
            </w:r>
          </w:p>
          <w:p w:rsidR="00944B48" w:rsidRPr="00B06EF4" w:rsidRDefault="006305FF" w:rsidP="004C026C">
            <w:pPr>
              <w:widowControl w:val="0"/>
              <w:numPr>
                <w:ilvl w:val="0"/>
                <w:numId w:val="16"/>
              </w:numPr>
              <w:tabs>
                <w:tab w:val="left" w:pos="294"/>
              </w:tabs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opcjonalnie - fotografia dna oka,</w:t>
            </w:r>
          </w:p>
          <w:p w:rsidR="00944B48" w:rsidRPr="008C07C8" w:rsidRDefault="006305FF" w:rsidP="004C026C">
            <w:pPr>
              <w:widowControl w:val="0"/>
              <w:numPr>
                <w:ilvl w:val="0"/>
                <w:numId w:val="16"/>
              </w:numPr>
              <w:tabs>
                <w:tab w:val="left" w:pos="294"/>
              </w:tabs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opcjonalnie - angiografia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fluoresceinowa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-OCT (w przypadkach trudnych z diagnostycznego punktu widzenia - angiografia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indocyjaninowa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).</w:t>
            </w:r>
          </w:p>
          <w:p w:rsidR="008C07C8" w:rsidRPr="00B06EF4" w:rsidRDefault="008C07C8" w:rsidP="008C07C8">
            <w:pPr>
              <w:widowControl w:val="0"/>
              <w:tabs>
                <w:tab w:val="left" w:pos="294"/>
              </w:tabs>
              <w:spacing w:after="6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2. Leczenie neowaskularnej (wysiękowej) postaci zwyrodnienia plamki związanego z wiekiem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ranibizumabem</w:t>
            </w:r>
            <w:proofErr w:type="spellEnd"/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2.1. Badania przy kwalifikacji</w:t>
            </w:r>
          </w:p>
          <w:p w:rsidR="00944B48" w:rsidRPr="00B06EF4" w:rsidRDefault="006305FF" w:rsidP="004C026C">
            <w:pPr>
              <w:widowControl w:val="0"/>
              <w:numPr>
                <w:ilvl w:val="0"/>
                <w:numId w:val="20"/>
              </w:numPr>
              <w:spacing w:after="60" w:line="240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badanie okulistyczne z oceną ostrości wzroku na tablicach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 ETDRS;</w:t>
            </w:r>
          </w:p>
          <w:p w:rsidR="00944B48" w:rsidRPr="00B06EF4" w:rsidRDefault="006305FF" w:rsidP="004C026C">
            <w:pPr>
              <w:widowControl w:val="0"/>
              <w:numPr>
                <w:ilvl w:val="0"/>
                <w:numId w:val="20"/>
              </w:numPr>
              <w:spacing w:after="60" w:line="240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OCT (optyczna koherentna tomografia);</w:t>
            </w:r>
          </w:p>
          <w:p w:rsidR="00944B48" w:rsidRPr="00B06EF4" w:rsidRDefault="006305FF" w:rsidP="004C026C">
            <w:pPr>
              <w:widowControl w:val="0"/>
              <w:numPr>
                <w:ilvl w:val="0"/>
                <w:numId w:val="20"/>
              </w:numPr>
              <w:spacing w:after="60" w:line="240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fotografia dna oka;</w:t>
            </w:r>
          </w:p>
          <w:p w:rsidR="00944B48" w:rsidRPr="008C07C8" w:rsidRDefault="006305FF" w:rsidP="004C026C">
            <w:pPr>
              <w:widowControl w:val="0"/>
              <w:numPr>
                <w:ilvl w:val="0"/>
                <w:numId w:val="20"/>
              </w:numPr>
              <w:spacing w:after="60" w:line="240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angiografia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fluoresceinowa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-OCT (w przypadkach trudnych z diagnostycznego punktu widzenia – </w:t>
            </w:r>
            <w:r w:rsidR="00D64B50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angiografia </w:t>
            </w:r>
            <w:proofErr w:type="spellStart"/>
            <w:r w:rsidR="00D64B50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indocyjaninowa</w:t>
            </w:r>
            <w:proofErr w:type="spellEnd"/>
            <w:r w:rsidR="00D64B50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) – w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przypadku  ucz</w:t>
            </w:r>
            <w:r w:rsidR="00D64B50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ulenia na barwnik stosowany w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angiografii lub w razie wystąpienia innych jednoznacznych przeciwwskazań do wykonania tego badania można od niego odstąpić. Fakt odstąpienia od badania należy opisać w dokumentacji medycznej pacjenta i przekazać do Zespołu Koordynacyjnego do Spraw Leczenia Neowaskularnej (Wysiękowej) Postaci 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Z</w:t>
            </w:r>
            <w:r w:rsidR="002A5020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wyrodnienia Plamki Związanego z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Wiekiem.</w:t>
            </w:r>
          </w:p>
          <w:p w:rsidR="008C07C8" w:rsidRPr="00B06EF4" w:rsidRDefault="008C07C8" w:rsidP="008C07C8">
            <w:pPr>
              <w:widowControl w:val="0"/>
              <w:spacing w:after="6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2.2. Monitorowanie leczenia</w:t>
            </w:r>
          </w:p>
          <w:p w:rsidR="00944B48" w:rsidRPr="00B06EF4" w:rsidRDefault="006305FF" w:rsidP="004C026C">
            <w:pPr>
              <w:widowControl w:val="0"/>
              <w:numPr>
                <w:ilvl w:val="0"/>
                <w:numId w:val="21"/>
              </w:numPr>
              <w:spacing w:after="60" w:line="240" w:lineRule="auto"/>
              <w:ind w:left="318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badania przeprowadzane przed każdym podaniem ranibizumabu (w dniu podania leku lub w terminie do 7 dni przed jego podaniem) zgodnie z harmonogramem dawkowania oraz nie rzadziej niż raz na 2 miesiące 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(tj. nie rzadziej niż co 62 dni),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jeżeli odstęp między podaniem kolejnych dawek został ustalony na więcej niż 2 miesiące: </w:t>
            </w:r>
          </w:p>
          <w:p w:rsidR="00944B48" w:rsidRPr="00B06EF4" w:rsidRDefault="006305FF" w:rsidP="004C026C">
            <w:pPr>
              <w:numPr>
                <w:ilvl w:val="0"/>
                <w:numId w:val="22"/>
              </w:num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badanie okulistyczne z oceną ostrości wzroku na tablicach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ETDRS,</w:t>
            </w:r>
          </w:p>
          <w:p w:rsidR="00944B48" w:rsidRPr="00B06EF4" w:rsidRDefault="006305FF" w:rsidP="004C026C">
            <w:pPr>
              <w:numPr>
                <w:ilvl w:val="0"/>
                <w:numId w:val="22"/>
              </w:num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OCT (optyczna koherentna tomografia),</w:t>
            </w:r>
          </w:p>
          <w:p w:rsidR="00944B48" w:rsidRPr="00B06EF4" w:rsidRDefault="006305FF" w:rsidP="004C026C">
            <w:pPr>
              <w:numPr>
                <w:ilvl w:val="0"/>
                <w:numId w:val="22"/>
              </w:num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opcjonalnie - fotografia dna oka,</w:t>
            </w:r>
          </w:p>
          <w:p w:rsidR="00944B48" w:rsidRPr="008C07C8" w:rsidRDefault="006305FF" w:rsidP="004C026C">
            <w:pPr>
              <w:numPr>
                <w:ilvl w:val="0"/>
                <w:numId w:val="22"/>
              </w:num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opcjonalnie - angiografia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fluoresceinowa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</w:t>
            </w:r>
            <w:r w:rsidR="007D7952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</w:t>
            </w:r>
            <w:proofErr w:type="spellEnd"/>
            <w:r w:rsidR="007D7952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-OCT (w przypadkach trudnych z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diagnostycznego punktu widzenia – angiografia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indocyjaninowa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).</w:t>
            </w:r>
          </w:p>
          <w:p w:rsidR="008C07C8" w:rsidRPr="00B06EF4" w:rsidRDefault="008C07C8" w:rsidP="008C07C8">
            <w:pPr>
              <w:spacing w:after="6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Monitorowanie programu</w:t>
            </w:r>
          </w:p>
          <w:p w:rsidR="00944B48" w:rsidRPr="00B06EF4" w:rsidRDefault="006305FF" w:rsidP="004C026C">
            <w:pPr>
              <w:numPr>
                <w:ilvl w:val="0"/>
                <w:numId w:val="17"/>
              </w:numPr>
              <w:spacing w:after="60" w:line="240" w:lineRule="auto"/>
              <w:ind w:left="34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przekazywanie do NFZ zakresu informacji sprawozdawczo – rozliczeniowych w formie papierowej lub w formie elektronicznej, zgodnie z wymaganiami opublikowanymi przez Narodowy Fundusz Zdrowia;</w:t>
            </w:r>
          </w:p>
          <w:p w:rsidR="00944B48" w:rsidRPr="00B06EF4" w:rsidRDefault="006305FF" w:rsidP="004C026C">
            <w:pPr>
              <w:numPr>
                <w:ilvl w:val="0"/>
                <w:numId w:val="17"/>
              </w:numPr>
              <w:spacing w:after="60" w:line="240" w:lineRule="auto"/>
              <w:ind w:left="34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uzupełnianie danych zawartych w rejestrze Leczenia wysiękowej postaci zwyrodnienia plamki związanego z wiekiem (AMD) (SMPT - AMD), dostępnym za pomocą aplikacji internetowej udostępnionej przez OW NFZ, z częstotliwością zgodną z opisem programu oraz na zakończenie leczenia.</w:t>
            </w:r>
          </w:p>
          <w:p w:rsidR="00944B48" w:rsidRPr="00B06EF4" w:rsidRDefault="006305FF" w:rsidP="004C026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Dane dotyczące monitorowania leczenia należy gromadzić w dokumentacji pacjenta i każdorazowo przedstawiać na żądanie kontrolerom NFZ.</w:t>
            </w:r>
          </w:p>
        </w:tc>
      </w:tr>
    </w:tbl>
    <w:p w:rsidR="00944B48" w:rsidRPr="00B06EF4" w:rsidRDefault="00944B48" w:rsidP="004C026C"/>
    <w:sectPr w:rsidR="00944B48" w:rsidRPr="00B06EF4" w:rsidSect="000F1559">
      <w:footerReference w:type="first" r:id="rId7"/>
      <w:pgSz w:w="16838" w:h="11906" w:orient="landscape"/>
      <w:pgMar w:top="1588" w:right="720" w:bottom="1418" w:left="720" w:header="0" w:footer="70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FD3" w:rsidRDefault="00CF2FD3">
      <w:pPr>
        <w:spacing w:after="0" w:line="240" w:lineRule="auto"/>
      </w:pPr>
      <w:r>
        <w:separator/>
      </w:r>
    </w:p>
  </w:endnote>
  <w:endnote w:type="continuationSeparator" w:id="0">
    <w:p w:rsidR="00CF2FD3" w:rsidRDefault="00CF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A23" w:rsidRDefault="00E44A23">
    <w:pPr>
      <w:pStyle w:val="Stopka1"/>
    </w:pPr>
  </w:p>
  <w:p w:rsidR="00E44A23" w:rsidRDefault="00E44A23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FD3" w:rsidRDefault="00CF2FD3">
      <w:pPr>
        <w:spacing w:after="0" w:line="240" w:lineRule="auto"/>
      </w:pPr>
      <w:r>
        <w:separator/>
      </w:r>
    </w:p>
  </w:footnote>
  <w:footnote w:type="continuationSeparator" w:id="0">
    <w:p w:rsidR="00CF2FD3" w:rsidRDefault="00CF2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75D"/>
    <w:multiLevelType w:val="multilevel"/>
    <w:tmpl w:val="624453B0"/>
    <w:lvl w:ilvl="0">
      <w:start w:val="1"/>
      <w:numFmt w:val="decimal"/>
      <w:lvlText w:val="%1)"/>
      <w:lvlJc w:val="right"/>
      <w:pPr>
        <w:ind w:left="754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94B2F8D"/>
    <w:multiLevelType w:val="hybridMultilevel"/>
    <w:tmpl w:val="2DBC1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4C95"/>
    <w:multiLevelType w:val="multilevel"/>
    <w:tmpl w:val="6792EB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428E"/>
    <w:multiLevelType w:val="hybridMultilevel"/>
    <w:tmpl w:val="4CA85A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29B7"/>
    <w:multiLevelType w:val="multilevel"/>
    <w:tmpl w:val="EBCC6E0A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1AA"/>
    <w:multiLevelType w:val="multilevel"/>
    <w:tmpl w:val="40B48D6A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E469A"/>
    <w:multiLevelType w:val="multilevel"/>
    <w:tmpl w:val="AD0C382E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D7141"/>
    <w:multiLevelType w:val="multilevel"/>
    <w:tmpl w:val="449457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804C9"/>
    <w:multiLevelType w:val="multilevel"/>
    <w:tmpl w:val="4E0813B0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81817"/>
    <w:multiLevelType w:val="multilevel"/>
    <w:tmpl w:val="9E6AE520"/>
    <w:lvl w:ilvl="0">
      <w:start w:val="1"/>
      <w:numFmt w:val="decimal"/>
      <w:lvlText w:val="%1)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B0397"/>
    <w:multiLevelType w:val="multilevel"/>
    <w:tmpl w:val="DC7AF26E"/>
    <w:lvl w:ilvl="0">
      <w:start w:val="1"/>
      <w:numFmt w:val="lowerLetter"/>
      <w:lvlText w:val="%1)"/>
      <w:lvlJc w:val="left"/>
      <w:pPr>
        <w:ind w:left="755" w:hanging="360"/>
      </w:pPr>
    </w:lvl>
    <w:lvl w:ilvl="1">
      <w:start w:val="1"/>
      <w:numFmt w:val="lowerLetter"/>
      <w:lvlText w:val="%2."/>
      <w:lvlJc w:val="left"/>
      <w:pPr>
        <w:ind w:left="1475" w:hanging="360"/>
      </w:pPr>
    </w:lvl>
    <w:lvl w:ilvl="2">
      <w:start w:val="1"/>
      <w:numFmt w:val="lowerRoman"/>
      <w:lvlText w:val="%3."/>
      <w:lvlJc w:val="right"/>
      <w:pPr>
        <w:ind w:left="2195" w:hanging="180"/>
      </w:pPr>
    </w:lvl>
    <w:lvl w:ilvl="3">
      <w:start w:val="1"/>
      <w:numFmt w:val="decimal"/>
      <w:lvlText w:val="%4."/>
      <w:lvlJc w:val="left"/>
      <w:pPr>
        <w:ind w:left="2915" w:hanging="360"/>
      </w:pPr>
    </w:lvl>
    <w:lvl w:ilvl="4">
      <w:start w:val="1"/>
      <w:numFmt w:val="lowerLetter"/>
      <w:lvlText w:val="%5."/>
      <w:lvlJc w:val="left"/>
      <w:pPr>
        <w:ind w:left="3635" w:hanging="360"/>
      </w:pPr>
    </w:lvl>
    <w:lvl w:ilvl="5">
      <w:start w:val="1"/>
      <w:numFmt w:val="lowerRoman"/>
      <w:lvlText w:val="%6."/>
      <w:lvlJc w:val="right"/>
      <w:pPr>
        <w:ind w:left="4355" w:hanging="180"/>
      </w:pPr>
    </w:lvl>
    <w:lvl w:ilvl="6">
      <w:start w:val="1"/>
      <w:numFmt w:val="decimal"/>
      <w:lvlText w:val="%7."/>
      <w:lvlJc w:val="left"/>
      <w:pPr>
        <w:ind w:left="5075" w:hanging="360"/>
      </w:pPr>
    </w:lvl>
    <w:lvl w:ilvl="7">
      <w:start w:val="1"/>
      <w:numFmt w:val="lowerLetter"/>
      <w:lvlText w:val="%8."/>
      <w:lvlJc w:val="left"/>
      <w:pPr>
        <w:ind w:left="5795" w:hanging="360"/>
      </w:pPr>
    </w:lvl>
    <w:lvl w:ilvl="8">
      <w:start w:val="1"/>
      <w:numFmt w:val="lowerRoman"/>
      <w:lvlText w:val="%9."/>
      <w:lvlJc w:val="right"/>
      <w:pPr>
        <w:ind w:left="6515" w:hanging="180"/>
      </w:pPr>
    </w:lvl>
  </w:abstractNum>
  <w:abstractNum w:abstractNumId="11" w15:restartNumberingAfterBreak="0">
    <w:nsid w:val="2ED0257A"/>
    <w:multiLevelType w:val="multilevel"/>
    <w:tmpl w:val="A9E2C6B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455F"/>
    <w:multiLevelType w:val="multilevel"/>
    <w:tmpl w:val="06426E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color w:val="FF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F73CB"/>
    <w:multiLevelType w:val="multilevel"/>
    <w:tmpl w:val="A9E2C6B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06595"/>
    <w:multiLevelType w:val="multilevel"/>
    <w:tmpl w:val="F19A4ED6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A4D28"/>
    <w:multiLevelType w:val="multilevel"/>
    <w:tmpl w:val="45649E02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7FDC"/>
    <w:multiLevelType w:val="multilevel"/>
    <w:tmpl w:val="C05C338E"/>
    <w:lvl w:ilvl="0">
      <w:start w:val="1"/>
      <w:numFmt w:val="lowerLetter"/>
      <w:lvlText w:val="%1)"/>
      <w:lvlJc w:val="left"/>
      <w:pPr>
        <w:ind w:left="1111" w:hanging="360"/>
      </w:pPr>
    </w:lvl>
    <w:lvl w:ilvl="1">
      <w:start w:val="1"/>
      <w:numFmt w:val="lowerLetter"/>
      <w:lvlText w:val="%2)"/>
      <w:lvlJc w:val="left"/>
      <w:pPr>
        <w:ind w:left="1831" w:hanging="360"/>
      </w:pPr>
    </w:lvl>
    <w:lvl w:ilvl="2">
      <w:start w:val="1"/>
      <w:numFmt w:val="lowerRoman"/>
      <w:lvlText w:val="%3."/>
      <w:lvlJc w:val="right"/>
      <w:pPr>
        <w:ind w:left="2551" w:hanging="180"/>
      </w:pPr>
    </w:lvl>
    <w:lvl w:ilvl="3">
      <w:start w:val="1"/>
      <w:numFmt w:val="decimal"/>
      <w:lvlText w:val="%4."/>
      <w:lvlJc w:val="left"/>
      <w:pPr>
        <w:ind w:left="3271" w:hanging="360"/>
      </w:pPr>
    </w:lvl>
    <w:lvl w:ilvl="4">
      <w:start w:val="1"/>
      <w:numFmt w:val="lowerLetter"/>
      <w:lvlText w:val="%5."/>
      <w:lvlJc w:val="left"/>
      <w:pPr>
        <w:ind w:left="3991" w:hanging="360"/>
      </w:pPr>
    </w:lvl>
    <w:lvl w:ilvl="5">
      <w:start w:val="1"/>
      <w:numFmt w:val="lowerRoman"/>
      <w:lvlText w:val="%6."/>
      <w:lvlJc w:val="right"/>
      <w:pPr>
        <w:ind w:left="4711" w:hanging="180"/>
      </w:pPr>
    </w:lvl>
    <w:lvl w:ilvl="6">
      <w:start w:val="1"/>
      <w:numFmt w:val="decimal"/>
      <w:lvlText w:val="%7."/>
      <w:lvlJc w:val="left"/>
      <w:pPr>
        <w:ind w:left="5431" w:hanging="360"/>
      </w:pPr>
    </w:lvl>
    <w:lvl w:ilvl="7">
      <w:start w:val="1"/>
      <w:numFmt w:val="lowerLetter"/>
      <w:lvlText w:val="%8."/>
      <w:lvlJc w:val="left"/>
      <w:pPr>
        <w:ind w:left="6151" w:hanging="360"/>
      </w:pPr>
    </w:lvl>
    <w:lvl w:ilvl="8">
      <w:start w:val="1"/>
      <w:numFmt w:val="lowerRoman"/>
      <w:lvlText w:val="%9."/>
      <w:lvlJc w:val="right"/>
      <w:pPr>
        <w:ind w:left="6871" w:hanging="180"/>
      </w:pPr>
    </w:lvl>
  </w:abstractNum>
  <w:abstractNum w:abstractNumId="17" w15:restartNumberingAfterBreak="0">
    <w:nsid w:val="38F25057"/>
    <w:multiLevelType w:val="multilevel"/>
    <w:tmpl w:val="CECE425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97F7CCF"/>
    <w:multiLevelType w:val="multilevel"/>
    <w:tmpl w:val="FD380344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76C2B"/>
    <w:multiLevelType w:val="multilevel"/>
    <w:tmpl w:val="F0EE60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42853171"/>
    <w:multiLevelType w:val="multilevel"/>
    <w:tmpl w:val="B8B69DA6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4D66"/>
    <w:multiLevelType w:val="hybridMultilevel"/>
    <w:tmpl w:val="DC982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E7125"/>
    <w:multiLevelType w:val="multilevel"/>
    <w:tmpl w:val="E9E218C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654DC"/>
    <w:multiLevelType w:val="multilevel"/>
    <w:tmpl w:val="8D5EF5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 w15:restartNumberingAfterBreak="0">
    <w:nsid w:val="48245D16"/>
    <w:multiLevelType w:val="multilevel"/>
    <w:tmpl w:val="2CD2EED2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61D31"/>
    <w:multiLevelType w:val="multilevel"/>
    <w:tmpl w:val="1E46EB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22CDA"/>
    <w:multiLevelType w:val="multilevel"/>
    <w:tmpl w:val="C14886BC"/>
    <w:lvl w:ilvl="0">
      <w:start w:val="4"/>
      <w:numFmt w:val="decimal"/>
      <w:lvlText w:val="%1."/>
      <w:lvlJc w:val="left"/>
      <w:pPr>
        <w:ind w:left="827" w:hanging="360"/>
      </w:p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4EDD482D"/>
    <w:multiLevelType w:val="multilevel"/>
    <w:tmpl w:val="53703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A62B8"/>
    <w:multiLevelType w:val="multilevel"/>
    <w:tmpl w:val="1744013C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55226"/>
    <w:multiLevelType w:val="multilevel"/>
    <w:tmpl w:val="8E140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74D1587E"/>
    <w:multiLevelType w:val="multilevel"/>
    <w:tmpl w:val="5E848A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F0877"/>
    <w:multiLevelType w:val="multilevel"/>
    <w:tmpl w:val="C0E83E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19"/>
  </w:num>
  <w:num w:numId="5">
    <w:abstractNumId w:val="15"/>
  </w:num>
  <w:num w:numId="6">
    <w:abstractNumId w:val="8"/>
  </w:num>
  <w:num w:numId="7">
    <w:abstractNumId w:val="5"/>
  </w:num>
  <w:num w:numId="8">
    <w:abstractNumId w:val="0"/>
  </w:num>
  <w:num w:numId="9">
    <w:abstractNumId w:val="28"/>
  </w:num>
  <w:num w:numId="10">
    <w:abstractNumId w:val="13"/>
  </w:num>
  <w:num w:numId="11">
    <w:abstractNumId w:val="29"/>
  </w:num>
  <w:num w:numId="12">
    <w:abstractNumId w:val="18"/>
  </w:num>
  <w:num w:numId="13">
    <w:abstractNumId w:val="14"/>
  </w:num>
  <w:num w:numId="14">
    <w:abstractNumId w:val="4"/>
  </w:num>
  <w:num w:numId="15">
    <w:abstractNumId w:val="31"/>
  </w:num>
  <w:num w:numId="16">
    <w:abstractNumId w:val="30"/>
  </w:num>
  <w:num w:numId="17">
    <w:abstractNumId w:val="6"/>
  </w:num>
  <w:num w:numId="18">
    <w:abstractNumId w:val="22"/>
  </w:num>
  <w:num w:numId="19">
    <w:abstractNumId w:val="26"/>
  </w:num>
  <w:num w:numId="20">
    <w:abstractNumId w:val="20"/>
  </w:num>
  <w:num w:numId="21">
    <w:abstractNumId w:val="24"/>
  </w:num>
  <w:num w:numId="22">
    <w:abstractNumId w:val="25"/>
  </w:num>
  <w:num w:numId="23">
    <w:abstractNumId w:val="16"/>
  </w:num>
  <w:num w:numId="24">
    <w:abstractNumId w:val="2"/>
  </w:num>
  <w:num w:numId="25">
    <w:abstractNumId w:val="10"/>
  </w:num>
  <w:num w:numId="26">
    <w:abstractNumId w:val="7"/>
  </w:num>
  <w:num w:numId="27">
    <w:abstractNumId w:val="12"/>
  </w:num>
  <w:num w:numId="28">
    <w:abstractNumId w:val="17"/>
  </w:num>
  <w:num w:numId="29">
    <w:abstractNumId w:val="11"/>
  </w:num>
  <w:num w:numId="30">
    <w:abstractNumId w:val="3"/>
  </w:num>
  <w:num w:numId="31">
    <w:abstractNumId w:val="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48"/>
    <w:rsid w:val="000249CA"/>
    <w:rsid w:val="000530B6"/>
    <w:rsid w:val="00085685"/>
    <w:rsid w:val="000944E8"/>
    <w:rsid w:val="000A0DFA"/>
    <w:rsid w:val="000D357E"/>
    <w:rsid w:val="000F1559"/>
    <w:rsid w:val="000F581E"/>
    <w:rsid w:val="00114061"/>
    <w:rsid w:val="001208C9"/>
    <w:rsid w:val="0014217F"/>
    <w:rsid w:val="00147250"/>
    <w:rsid w:val="00181FD5"/>
    <w:rsid w:val="00187D2C"/>
    <w:rsid w:val="00191078"/>
    <w:rsid w:val="001B453E"/>
    <w:rsid w:val="001E44A3"/>
    <w:rsid w:val="001E7CE2"/>
    <w:rsid w:val="00226864"/>
    <w:rsid w:val="00277D80"/>
    <w:rsid w:val="002A38B1"/>
    <w:rsid w:val="002A5020"/>
    <w:rsid w:val="002A7139"/>
    <w:rsid w:val="002D3EB5"/>
    <w:rsid w:val="00306CD3"/>
    <w:rsid w:val="0032022C"/>
    <w:rsid w:val="00334602"/>
    <w:rsid w:val="003947AD"/>
    <w:rsid w:val="003A1D33"/>
    <w:rsid w:val="003B558E"/>
    <w:rsid w:val="003C006F"/>
    <w:rsid w:val="003C13A0"/>
    <w:rsid w:val="004A3966"/>
    <w:rsid w:val="004B1402"/>
    <w:rsid w:val="004C026C"/>
    <w:rsid w:val="004F5FBA"/>
    <w:rsid w:val="004F6A8C"/>
    <w:rsid w:val="005951AD"/>
    <w:rsid w:val="005A36B9"/>
    <w:rsid w:val="006305FF"/>
    <w:rsid w:val="006413E1"/>
    <w:rsid w:val="00644881"/>
    <w:rsid w:val="006576A6"/>
    <w:rsid w:val="006911D7"/>
    <w:rsid w:val="006B362A"/>
    <w:rsid w:val="006D3FAB"/>
    <w:rsid w:val="006E0685"/>
    <w:rsid w:val="0074725F"/>
    <w:rsid w:val="007A3F64"/>
    <w:rsid w:val="007B61AC"/>
    <w:rsid w:val="007D10A6"/>
    <w:rsid w:val="007D7952"/>
    <w:rsid w:val="00804E53"/>
    <w:rsid w:val="00814E84"/>
    <w:rsid w:val="00853842"/>
    <w:rsid w:val="008A54A1"/>
    <w:rsid w:val="008B18DC"/>
    <w:rsid w:val="008C07C8"/>
    <w:rsid w:val="008D7FF5"/>
    <w:rsid w:val="008E34AE"/>
    <w:rsid w:val="00940404"/>
    <w:rsid w:val="00944B48"/>
    <w:rsid w:val="00970883"/>
    <w:rsid w:val="00975A52"/>
    <w:rsid w:val="009B7AC2"/>
    <w:rsid w:val="009D7C0B"/>
    <w:rsid w:val="009F4BE9"/>
    <w:rsid w:val="00A43DD7"/>
    <w:rsid w:val="00A535CD"/>
    <w:rsid w:val="00A62511"/>
    <w:rsid w:val="00A73F67"/>
    <w:rsid w:val="00A742BE"/>
    <w:rsid w:val="00AE3102"/>
    <w:rsid w:val="00B06EF4"/>
    <w:rsid w:val="00B377E2"/>
    <w:rsid w:val="00B63B8A"/>
    <w:rsid w:val="00B72DE4"/>
    <w:rsid w:val="00B73E94"/>
    <w:rsid w:val="00B90BCA"/>
    <w:rsid w:val="00BB6B12"/>
    <w:rsid w:val="00C00E3A"/>
    <w:rsid w:val="00C254EC"/>
    <w:rsid w:val="00C3536F"/>
    <w:rsid w:val="00C46F91"/>
    <w:rsid w:val="00C961A8"/>
    <w:rsid w:val="00CA1419"/>
    <w:rsid w:val="00CC2779"/>
    <w:rsid w:val="00CC622D"/>
    <w:rsid w:val="00CE6836"/>
    <w:rsid w:val="00CF2FD3"/>
    <w:rsid w:val="00CF3511"/>
    <w:rsid w:val="00D42898"/>
    <w:rsid w:val="00D64B50"/>
    <w:rsid w:val="00D778B8"/>
    <w:rsid w:val="00DC5ADA"/>
    <w:rsid w:val="00DD0114"/>
    <w:rsid w:val="00E06895"/>
    <w:rsid w:val="00E3765A"/>
    <w:rsid w:val="00E44A23"/>
    <w:rsid w:val="00E57D96"/>
    <w:rsid w:val="00E70523"/>
    <w:rsid w:val="00E87A92"/>
    <w:rsid w:val="00EA525E"/>
    <w:rsid w:val="00ED7344"/>
    <w:rsid w:val="00F04E88"/>
    <w:rsid w:val="00F11714"/>
    <w:rsid w:val="00F326E9"/>
    <w:rsid w:val="00F3451B"/>
    <w:rsid w:val="00F62A13"/>
    <w:rsid w:val="00FC66BF"/>
    <w:rsid w:val="00FD600E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AC9BA"/>
  <w15:docId w15:val="{37E64DEE-BF5C-4C0B-8532-53D2BE40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F6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Heading"/>
    <w:qFormat/>
  </w:style>
  <w:style w:type="paragraph" w:customStyle="1" w:styleId="Nagwek21">
    <w:name w:val="Nagłówek 21"/>
    <w:basedOn w:val="Heading"/>
    <w:qFormat/>
  </w:style>
  <w:style w:type="paragraph" w:customStyle="1" w:styleId="Nagwek31">
    <w:name w:val="Nagłówek 31"/>
    <w:basedOn w:val="Heading"/>
    <w:qFormat/>
  </w:style>
  <w:style w:type="character" w:customStyle="1" w:styleId="NagwekZnak">
    <w:name w:val="Nagłówek Znak"/>
    <w:basedOn w:val="Domylnaczcionkaakapitu"/>
    <w:link w:val="Nagwek1"/>
    <w:qFormat/>
    <w:rsid w:val="0032765D"/>
  </w:style>
  <w:style w:type="character" w:customStyle="1" w:styleId="StopkaZnak">
    <w:name w:val="Stopka Znak"/>
    <w:basedOn w:val="Domylnaczcionkaakapitu"/>
    <w:link w:val="Stopka1"/>
    <w:uiPriority w:val="99"/>
    <w:qFormat/>
    <w:rsid w:val="0032765D"/>
  </w:style>
  <w:style w:type="character" w:customStyle="1" w:styleId="ListLabel1">
    <w:name w:val="ListLabel 1"/>
    <w:qFormat/>
    <w:rPr>
      <w:rFonts w:ascii="Times New Roman" w:hAnsi="Times New Roman"/>
      <w:b/>
      <w:sz w:val="20"/>
    </w:rPr>
  </w:style>
  <w:style w:type="character" w:customStyle="1" w:styleId="ListLabel2">
    <w:name w:val="ListLabel 2"/>
    <w:qFormat/>
    <w:rPr>
      <w:rFonts w:ascii="Times New Roman" w:eastAsia="Calibri" w:hAnsi="Times New Roman" w:cs="Times New Roman"/>
      <w:b/>
      <w:sz w:val="20"/>
    </w:rPr>
  </w:style>
  <w:style w:type="character" w:customStyle="1" w:styleId="ListLabel3">
    <w:name w:val="ListLabel 3"/>
    <w:qFormat/>
    <w:rPr>
      <w:rFonts w:ascii="Times New Roman" w:hAnsi="Times New Roman"/>
      <w:color w:val="FF0000"/>
      <w:sz w:val="20"/>
    </w:rPr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link w:val="NagwekZnak"/>
    <w:unhideWhenUsed/>
    <w:rsid w:val="0032765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32765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2215"/>
    <w:pPr>
      <w:ind w:left="720"/>
      <w:contextualSpacing/>
    </w:pPr>
  </w:style>
  <w:style w:type="paragraph" w:customStyle="1" w:styleId="Quotations">
    <w:name w:val="Quotations"/>
    <w:basedOn w:val="Normalny"/>
    <w:qFormat/>
  </w:style>
  <w:style w:type="paragraph" w:styleId="Tytu">
    <w:name w:val="Title"/>
    <w:basedOn w:val="Heading"/>
    <w:qFormat/>
  </w:style>
  <w:style w:type="paragraph" w:styleId="Podtytu">
    <w:name w:val="Subtitle"/>
    <w:basedOn w:val="Heading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32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E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A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A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A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A5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75A5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2404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Klimkowska Katarzyna</dc:creator>
  <cp:lastModifiedBy>Królak-Buzakowska Joanna</cp:lastModifiedBy>
  <cp:revision>7</cp:revision>
  <cp:lastPrinted>2016-12-14T08:17:00Z</cp:lastPrinted>
  <dcterms:created xsi:type="dcterms:W3CDTF">2019-10-30T11:06:00Z</dcterms:created>
  <dcterms:modified xsi:type="dcterms:W3CDTF">2019-11-15T13:18:00Z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