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A7F" w:rsidRPr="00895B8C" w:rsidRDefault="00432A7F" w:rsidP="00000FDE">
      <w:pPr>
        <w:shd w:val="clear" w:color="auto" w:fill="F2F2F2" w:themeFill="background1" w:themeFillShade="F2"/>
        <w:spacing w:after="120"/>
        <w:jc w:val="center"/>
        <w:outlineLvl w:val="0"/>
        <w:rPr>
          <w:b/>
          <w:color w:val="FF0000"/>
          <w:sz w:val="20"/>
          <w:szCs w:val="20"/>
        </w:rPr>
      </w:pPr>
      <w:bookmarkStart w:id="0" w:name="_Toc101534153"/>
      <w:r w:rsidRPr="00895B8C">
        <w:rPr>
          <w:b/>
          <w:color w:val="FF0000"/>
        </w:rPr>
        <w:t xml:space="preserve">STRESZCZENIE Z WDRAŻANIA </w:t>
      </w:r>
      <w:r w:rsidR="00052CB5" w:rsidRPr="00895B8C">
        <w:rPr>
          <w:b/>
          <w:color w:val="FF0000"/>
        </w:rPr>
        <w:t xml:space="preserve">NARODOWEGO PROGRAMU ROZWOJU CZYTELNICTWA  </w:t>
      </w:r>
      <w:r w:rsidRPr="00895B8C">
        <w:rPr>
          <w:b/>
          <w:color w:val="FF0000"/>
        </w:rPr>
        <w:t xml:space="preserve">2.0 </w:t>
      </w:r>
      <w:r w:rsidR="00052CB5" w:rsidRPr="00895B8C">
        <w:rPr>
          <w:b/>
          <w:color w:val="FF0000"/>
        </w:rPr>
        <w:br/>
        <w:t xml:space="preserve">ZA </w:t>
      </w:r>
      <w:r w:rsidRPr="00895B8C">
        <w:rPr>
          <w:b/>
          <w:color w:val="FF0000"/>
        </w:rPr>
        <w:t xml:space="preserve">2021 ROK </w:t>
      </w:r>
      <w:r w:rsidRPr="00895B8C">
        <w:rPr>
          <w:b/>
          <w:color w:val="FF0000"/>
        </w:rPr>
        <w:br/>
      </w:r>
      <w:r w:rsidRPr="00895B8C">
        <w:rPr>
          <w:b/>
          <w:i/>
          <w:color w:val="FF0000"/>
          <w:sz w:val="20"/>
          <w:szCs w:val="20"/>
        </w:rPr>
        <w:t>PODAWANE DO WIADOMOŚCI PUBLICZNEJ</w:t>
      </w:r>
      <w:bookmarkEnd w:id="0"/>
    </w:p>
    <w:p w:rsidR="00432A7F" w:rsidRPr="00432A7F" w:rsidRDefault="00432A7F" w:rsidP="00432A7F">
      <w:pPr>
        <w:spacing w:after="120"/>
        <w:ind w:left="426"/>
        <w:jc w:val="both"/>
        <w:rPr>
          <w:b/>
        </w:rPr>
      </w:pPr>
    </w:p>
    <w:p w:rsidR="00432A7F" w:rsidRPr="00432A7F" w:rsidRDefault="00432A7F" w:rsidP="00322671">
      <w:pPr>
        <w:numPr>
          <w:ilvl w:val="0"/>
          <w:numId w:val="10"/>
        </w:numPr>
        <w:spacing w:after="120"/>
        <w:jc w:val="both"/>
        <w:rPr>
          <w:u w:val="single"/>
        </w:rPr>
      </w:pPr>
      <w:r w:rsidRPr="00432A7F">
        <w:rPr>
          <w:u w:val="single"/>
        </w:rPr>
        <w:t>Informacje o Programie</w:t>
      </w:r>
    </w:p>
    <w:p w:rsidR="00432A7F" w:rsidRPr="00432A7F" w:rsidRDefault="00432A7F" w:rsidP="00432A7F">
      <w:pPr>
        <w:spacing w:after="120"/>
        <w:ind w:left="357"/>
        <w:jc w:val="both"/>
      </w:pPr>
      <w:r w:rsidRPr="00432A7F">
        <w:t>Narodowy Program Rozwoju Czytelnictwa 2.0. na lata 2021–2025 [NPRCz 2.0] został przyjęty uchwałą nr 69/2021 Rady Ministrów z dnia 21 maja 2021 r. w sprawie ustanowienia programu wieloletniego „Narodowy Program Rozwoju Czytelnictwa 2.0. na lata 2021–2025”</w:t>
      </w:r>
      <w:r w:rsidRPr="00432A7F">
        <w:rPr>
          <w:vertAlign w:val="superscript"/>
        </w:rPr>
        <w:footnoteReference w:id="1"/>
      </w:r>
      <w:r w:rsidRPr="00432A7F">
        <w:t xml:space="preserve">. </w:t>
      </w:r>
    </w:p>
    <w:p w:rsidR="00432A7F" w:rsidRPr="00432A7F" w:rsidRDefault="00432A7F" w:rsidP="00432A7F">
      <w:pPr>
        <w:spacing w:after="120"/>
        <w:ind w:left="357"/>
        <w:jc w:val="both"/>
      </w:pPr>
      <w:r w:rsidRPr="00432A7F">
        <w:t>Program realizuje Minister właściwy do spraw kultury i ochrony dziedzictwa narodowego (w zakresie Priorytetów 1, 2 i 4), we współpracy z Ministrem właściwym do spraw oświaty i wychowania (wdrażanie Priorytetu 3).</w:t>
      </w:r>
    </w:p>
    <w:p w:rsidR="00432A7F" w:rsidRPr="00432A7F" w:rsidRDefault="00432A7F" w:rsidP="00322671">
      <w:pPr>
        <w:numPr>
          <w:ilvl w:val="0"/>
          <w:numId w:val="10"/>
        </w:numPr>
        <w:spacing w:after="120"/>
        <w:jc w:val="both"/>
        <w:rPr>
          <w:u w:val="single"/>
        </w:rPr>
      </w:pPr>
      <w:r w:rsidRPr="00432A7F">
        <w:rPr>
          <w:u w:val="single"/>
        </w:rPr>
        <w:t>Założenia Narodowego Programu Rozwoju Czytelnictwa na lata 2021-2025.</w:t>
      </w:r>
    </w:p>
    <w:p w:rsidR="00432A7F" w:rsidRPr="00432A7F" w:rsidRDefault="00432A7F" w:rsidP="00432A7F">
      <w:pPr>
        <w:spacing w:after="120"/>
        <w:ind w:left="360"/>
        <w:jc w:val="both"/>
      </w:pPr>
      <w:r w:rsidRPr="00432A7F">
        <w:t xml:space="preserve">Zgodnie z przyjętymi założeniami Narodowy Program Rozwoju Czytelnictwa 2.0. na lata 2021–2025 ma tworzyć warunki dla realizacji działań proczytelniczych na poziomie społeczności lokalnych. Pośrednio program powinien zmniejszać obawy dorosłych przed kształceniem ustawicznym. Istotnym elementem Programu jest wzmacnianie kompetencji czytelniczych dzieci i młodzieży, które wpływają na sukces uczniów w szkole, a w późniejszym życiu pozwalają pokonywać ograniczenia i trudności związane z mniej sprzyjającym środowiskiem społecznym. </w:t>
      </w:r>
    </w:p>
    <w:p w:rsidR="00432A7F" w:rsidRPr="00432A7F" w:rsidRDefault="00432A7F" w:rsidP="00432A7F">
      <w:pPr>
        <w:spacing w:after="120"/>
        <w:ind w:left="360"/>
        <w:jc w:val="both"/>
      </w:pPr>
      <w:r w:rsidRPr="00432A7F">
        <w:t xml:space="preserve">Grupą odbiorców docelowych NPRCz 2.0 są czytelnicy i użytkownicy wszystkich typów bibliotek publicznych z całego kraju, a także dzieci, młodzież i osoby dorosłe korzystające z bibliotek szkolnych i pedagogicznych oraz dzieci z placówek wychowania przedszkolnego. </w:t>
      </w:r>
    </w:p>
    <w:p w:rsidR="00432A7F" w:rsidRPr="00432A7F" w:rsidRDefault="00432A7F" w:rsidP="00322671">
      <w:pPr>
        <w:numPr>
          <w:ilvl w:val="1"/>
          <w:numId w:val="10"/>
        </w:numPr>
        <w:spacing w:after="120"/>
        <w:jc w:val="both"/>
      </w:pPr>
      <w:r w:rsidRPr="00432A7F">
        <w:t>Cele Programu wyznaczone na lata 2021-2025:</w:t>
      </w:r>
    </w:p>
    <w:p w:rsidR="00432A7F" w:rsidRPr="00432A7F" w:rsidRDefault="00432A7F" w:rsidP="00322671">
      <w:pPr>
        <w:numPr>
          <w:ilvl w:val="2"/>
          <w:numId w:val="10"/>
        </w:numPr>
        <w:spacing w:after="120"/>
        <w:ind w:left="1418" w:hanging="698"/>
        <w:jc w:val="both"/>
      </w:pPr>
      <w:r w:rsidRPr="00432A7F">
        <w:t xml:space="preserve">Cel główny: Wzmocnienie czytelnictwa w Polsce oraz rozwój bibliotek do 2025 r. </w:t>
      </w:r>
    </w:p>
    <w:p w:rsidR="00432A7F" w:rsidRPr="00432A7F" w:rsidRDefault="00432A7F" w:rsidP="00322671">
      <w:pPr>
        <w:numPr>
          <w:ilvl w:val="2"/>
          <w:numId w:val="10"/>
        </w:numPr>
        <w:spacing w:after="120"/>
        <w:ind w:left="1418" w:hanging="698"/>
      </w:pPr>
      <w:r w:rsidRPr="00432A7F">
        <w:t xml:space="preserve">Cel szczegółowy 1: Wzmocnienie potencjału bibliotek w środowiskach lokalnych poprzez wzrost atrakcyjności i dostępności ich zbiorów. </w:t>
      </w:r>
    </w:p>
    <w:p w:rsidR="00432A7F" w:rsidRPr="00432A7F" w:rsidRDefault="00432A7F" w:rsidP="00322671">
      <w:pPr>
        <w:numPr>
          <w:ilvl w:val="2"/>
          <w:numId w:val="10"/>
        </w:numPr>
        <w:spacing w:after="120"/>
        <w:ind w:left="1418" w:hanging="698"/>
      </w:pPr>
      <w:r w:rsidRPr="00432A7F">
        <w:t xml:space="preserve">Cel szczegółowy 2: Poprawa atrakcyjności bibliotek publicznych, poprzez inwestycje w ich infrastrukturę. </w:t>
      </w:r>
    </w:p>
    <w:p w:rsidR="00432A7F" w:rsidRPr="00432A7F" w:rsidRDefault="00432A7F" w:rsidP="00322671">
      <w:pPr>
        <w:numPr>
          <w:ilvl w:val="2"/>
          <w:numId w:val="10"/>
        </w:numPr>
        <w:spacing w:after="120"/>
        <w:ind w:left="1418" w:hanging="698"/>
      </w:pPr>
      <w:r w:rsidRPr="00432A7F">
        <w:t xml:space="preserve">Cel szczegółowy 3: Wzmocnienie potencjału przedszkoli, bibliotek szkolnych i pedagogicznych poprzez wzrost atrakcyjności ich zbiorów. </w:t>
      </w:r>
    </w:p>
    <w:p w:rsidR="00432A7F" w:rsidRPr="00432A7F" w:rsidRDefault="00432A7F" w:rsidP="00322671">
      <w:pPr>
        <w:numPr>
          <w:ilvl w:val="2"/>
          <w:numId w:val="10"/>
        </w:numPr>
        <w:spacing w:after="120"/>
        <w:ind w:left="1418" w:hanging="698"/>
      </w:pPr>
      <w:r w:rsidRPr="00432A7F">
        <w:t>Cel szczegółowy 4: Rozwijanie funkcjonalności bibliotek publicznych, jako instytucji działających na rzecz włączenia społecznego oraz promocja NPRCz 2.0.</w:t>
      </w:r>
    </w:p>
    <w:p w:rsidR="00432A7F" w:rsidRPr="00432A7F" w:rsidRDefault="00432A7F" w:rsidP="00322671">
      <w:pPr>
        <w:numPr>
          <w:ilvl w:val="1"/>
          <w:numId w:val="10"/>
        </w:numPr>
        <w:spacing w:after="120"/>
        <w:jc w:val="both"/>
      </w:pPr>
      <w:r w:rsidRPr="00432A7F">
        <w:t>Priorytety i Kierunki interwencji NPRCz 2.0, uzasadnienie zakresu realizowanych działań.</w:t>
      </w:r>
    </w:p>
    <w:p w:rsidR="00432A7F" w:rsidRPr="00432A7F" w:rsidRDefault="00432A7F" w:rsidP="00322671">
      <w:pPr>
        <w:numPr>
          <w:ilvl w:val="2"/>
          <w:numId w:val="10"/>
        </w:numPr>
        <w:spacing w:after="120"/>
        <w:ind w:left="1418" w:hanging="709"/>
        <w:jc w:val="both"/>
      </w:pPr>
      <w:r w:rsidRPr="00432A7F">
        <w:t xml:space="preserve">Priorytet 1: Poprawa oferty bibliotek publicznych. </w:t>
      </w:r>
    </w:p>
    <w:p w:rsidR="00432A7F" w:rsidRPr="00432A7F" w:rsidRDefault="00432A7F" w:rsidP="00432A7F">
      <w:pPr>
        <w:spacing w:after="120"/>
        <w:ind w:left="1418"/>
        <w:jc w:val="both"/>
      </w:pPr>
      <w:r w:rsidRPr="00432A7F">
        <w:t>Kierunek interwencji 1.1. Zakup i zdalny dostęp do nowości wydawniczych.</w:t>
      </w:r>
    </w:p>
    <w:p w:rsidR="00432A7F" w:rsidRPr="00432A7F" w:rsidRDefault="00432A7F" w:rsidP="00432A7F">
      <w:pPr>
        <w:spacing w:after="120"/>
        <w:ind w:left="1418"/>
        <w:jc w:val="both"/>
      </w:pPr>
      <w:r w:rsidRPr="00432A7F">
        <w:t xml:space="preserve">Kierunek interwencji 1.2. Budowa ogólnokrajowej sieci bibliotecznej poprzez    zintegrowany system zarządzania zasobami bibliotek. </w:t>
      </w:r>
    </w:p>
    <w:p w:rsidR="00432A7F" w:rsidRPr="00432A7F" w:rsidRDefault="00432A7F" w:rsidP="00322671">
      <w:pPr>
        <w:numPr>
          <w:ilvl w:val="2"/>
          <w:numId w:val="10"/>
        </w:numPr>
        <w:spacing w:after="120"/>
        <w:ind w:left="1418" w:hanging="698"/>
        <w:jc w:val="both"/>
      </w:pPr>
      <w:r w:rsidRPr="00432A7F">
        <w:t xml:space="preserve">Priorytet 2: Inwestycje w infrastrukturę bibliotek publicznych. </w:t>
      </w:r>
    </w:p>
    <w:p w:rsidR="00432A7F" w:rsidRPr="00432A7F" w:rsidRDefault="00432A7F" w:rsidP="00432A7F">
      <w:pPr>
        <w:spacing w:after="120"/>
        <w:ind w:left="1418"/>
        <w:jc w:val="both"/>
      </w:pPr>
      <w:r w:rsidRPr="00432A7F">
        <w:t>Kierunek interwencji 2.1. Infrastruktura bibliotek 2021-2025,</w:t>
      </w:r>
    </w:p>
    <w:p w:rsidR="00432A7F" w:rsidRPr="00432A7F" w:rsidRDefault="00432A7F" w:rsidP="00322671">
      <w:pPr>
        <w:numPr>
          <w:ilvl w:val="2"/>
          <w:numId w:val="10"/>
        </w:numPr>
        <w:tabs>
          <w:tab w:val="left" w:pos="1418"/>
        </w:tabs>
        <w:spacing w:after="120"/>
        <w:ind w:left="1418" w:hanging="709"/>
        <w:jc w:val="both"/>
      </w:pPr>
      <w:r w:rsidRPr="00432A7F">
        <w:lastRenderedPageBreak/>
        <w:t xml:space="preserve">Priorytet 3: Zakup nowości wydawniczych do placówek wychowania przedszkolnego, bibliotek szkolnych i pedagogicznych. </w:t>
      </w:r>
    </w:p>
    <w:p w:rsidR="00432A7F" w:rsidRPr="00432A7F" w:rsidRDefault="00432A7F" w:rsidP="00432A7F">
      <w:pPr>
        <w:tabs>
          <w:tab w:val="left" w:pos="1701"/>
        </w:tabs>
        <w:spacing w:after="120"/>
        <w:ind w:left="1418"/>
        <w:jc w:val="both"/>
      </w:pPr>
      <w:r w:rsidRPr="00432A7F">
        <w:t>Kierunek interwencji 3.1. Zakup nowości wydawniczych do placówek wychowania przedszkolnego.</w:t>
      </w:r>
    </w:p>
    <w:p w:rsidR="00432A7F" w:rsidRPr="00432A7F" w:rsidRDefault="00432A7F" w:rsidP="00432A7F">
      <w:pPr>
        <w:tabs>
          <w:tab w:val="left" w:pos="1701"/>
        </w:tabs>
        <w:spacing w:after="120"/>
        <w:ind w:left="1418"/>
        <w:jc w:val="both"/>
      </w:pPr>
      <w:r w:rsidRPr="00432A7F">
        <w:t>Kierunek interwencji 3.2. Zakup nowości wydawniczych oraz elementów wyposażenia do bibliotek szkolnych i pedagogicznych.</w:t>
      </w:r>
    </w:p>
    <w:p w:rsidR="00432A7F" w:rsidRPr="00432A7F" w:rsidRDefault="00432A7F" w:rsidP="00322671">
      <w:pPr>
        <w:numPr>
          <w:ilvl w:val="2"/>
          <w:numId w:val="10"/>
        </w:numPr>
        <w:tabs>
          <w:tab w:val="left" w:pos="1418"/>
        </w:tabs>
        <w:spacing w:after="120"/>
        <w:ind w:left="1418" w:hanging="709"/>
        <w:contextualSpacing/>
        <w:jc w:val="both"/>
      </w:pPr>
      <w:r w:rsidRPr="00432A7F">
        <w:t xml:space="preserve">Priorytet 4: Program dotacyjny dla bibliotek oraz promocja czytelnictwa. </w:t>
      </w:r>
    </w:p>
    <w:p w:rsidR="00432A7F" w:rsidRPr="00432A7F" w:rsidRDefault="00432A7F" w:rsidP="00432A7F">
      <w:pPr>
        <w:tabs>
          <w:tab w:val="left" w:pos="1418"/>
        </w:tabs>
        <w:spacing w:after="120"/>
        <w:ind w:left="1418"/>
        <w:jc w:val="both"/>
      </w:pPr>
      <w:r w:rsidRPr="00432A7F">
        <w:t>Kierunek interwencji 4.1. BLISKO – Biblioteka | Lokalność | Inicjatywy | Społeczność | Kooperacja | Oddolność,</w:t>
      </w:r>
    </w:p>
    <w:p w:rsidR="00432A7F" w:rsidRPr="00432A7F" w:rsidRDefault="00432A7F" w:rsidP="00432A7F">
      <w:pPr>
        <w:tabs>
          <w:tab w:val="left" w:pos="1418"/>
        </w:tabs>
        <w:spacing w:after="120"/>
        <w:ind w:left="1418"/>
        <w:jc w:val="both"/>
      </w:pPr>
      <w:r w:rsidRPr="00432A7F">
        <w:t>Kierunek interwencji 4.2. Kampania społeczno-informacyjna.</w:t>
      </w:r>
    </w:p>
    <w:p w:rsidR="00432A7F" w:rsidRPr="00432A7F" w:rsidRDefault="00432A7F" w:rsidP="00322671">
      <w:pPr>
        <w:numPr>
          <w:ilvl w:val="0"/>
          <w:numId w:val="10"/>
        </w:numPr>
        <w:spacing w:after="120"/>
        <w:ind w:left="357" w:hanging="357"/>
        <w:jc w:val="both"/>
        <w:rPr>
          <w:u w:val="single"/>
        </w:rPr>
      </w:pPr>
      <w:r w:rsidRPr="00432A7F">
        <w:rPr>
          <w:u w:val="single"/>
        </w:rPr>
        <w:t>Dokumenty i rozwiązania przyjęte na potrzeby wdrażania Programu.</w:t>
      </w:r>
    </w:p>
    <w:p w:rsidR="00432A7F" w:rsidRPr="00432A7F" w:rsidRDefault="00432A7F" w:rsidP="00432A7F">
      <w:pPr>
        <w:spacing w:after="120"/>
        <w:ind w:left="357"/>
        <w:jc w:val="both"/>
      </w:pPr>
      <w:r w:rsidRPr="00432A7F">
        <w:t>Wdrażanie wielowątkowego programu wieloletniego, jakim jest Narodowy Program Rozwoju Czytelnictwa 2.0. na lata 2021–2025, jest zadaniem złożonym. Dokumenty operacyjne, przyjęte na potrzeby realizacji Programu mają służyć przede wszystkim zabezpieczeniu synergii poszczególnych procesów i działań Programu (jak np. ujednolicenie istotnych rozwiązań w odniesieniu do konkursów, w przypadku gdy takie rozwiązanie ma zastosowanie przy wdrażaniu danego Kierunku interwencji). Jednocześnie, w szerszej perspektywie (np. dzięki wzmacnianiu przepływu informacji miedzy Operatorami Priorytetów NPRCz 2.0) rozwiązania wynikające z tych dokumentów mają przyczyniać się do osiągniecia celu głównego oraz celów szczegółowych NPR</w:t>
      </w:r>
      <w:r w:rsidR="00000FDE">
        <w:t>Cz </w:t>
      </w:r>
      <w:r w:rsidRPr="00432A7F">
        <w:t>2.0.</w:t>
      </w:r>
    </w:p>
    <w:p w:rsidR="00432A7F" w:rsidRDefault="00432A7F" w:rsidP="00322671">
      <w:pPr>
        <w:numPr>
          <w:ilvl w:val="1"/>
          <w:numId w:val="11"/>
        </w:numPr>
        <w:contextualSpacing/>
        <w:rPr>
          <w:rFonts w:ascii="Calibri" w:eastAsia="Calibri" w:hAnsi="Calibri" w:cs="Times New Roman"/>
        </w:rPr>
      </w:pPr>
      <w:r w:rsidRPr="00432A7F">
        <w:rPr>
          <w:rFonts w:ascii="Calibri" w:eastAsia="Calibri" w:hAnsi="Calibri" w:cs="Times New Roman"/>
        </w:rPr>
        <w:t>Najważniejsze dokumenty przyjęte na potrzeby wdrażania Programu:</w:t>
      </w:r>
    </w:p>
    <w:p w:rsidR="00000FDE" w:rsidRPr="00432A7F" w:rsidRDefault="00000FDE" w:rsidP="00000FDE">
      <w:pPr>
        <w:ind w:left="792"/>
        <w:contextualSpacing/>
        <w:rPr>
          <w:rFonts w:ascii="Calibri" w:eastAsia="Calibri" w:hAnsi="Calibri" w:cs="Times New Roman"/>
        </w:rPr>
      </w:pPr>
    </w:p>
    <w:p w:rsidR="00432A7F" w:rsidRPr="00432A7F" w:rsidRDefault="00432A7F" w:rsidP="00322671">
      <w:pPr>
        <w:numPr>
          <w:ilvl w:val="2"/>
          <w:numId w:val="11"/>
        </w:numPr>
        <w:tabs>
          <w:tab w:val="left" w:pos="1134"/>
        </w:tabs>
        <w:spacing w:after="120"/>
        <w:ind w:left="1134" w:hanging="708"/>
        <w:jc w:val="both"/>
        <w:rPr>
          <w:rFonts w:ascii="Calibri" w:eastAsia="Calibri" w:hAnsi="Calibri" w:cs="Times New Roman"/>
        </w:rPr>
      </w:pPr>
      <w:r w:rsidRPr="00432A7F">
        <w:rPr>
          <w:rFonts w:ascii="Calibri" w:eastAsia="Calibri" w:hAnsi="Calibri" w:cs="Times New Roman"/>
        </w:rPr>
        <w:t>Rozporządzenie Rady Ministrów</w:t>
      </w:r>
      <w:r w:rsidRPr="00432A7F">
        <w:rPr>
          <w:rFonts w:ascii="Calibri" w:eastAsia="Calibri" w:hAnsi="Calibri" w:cs="Times New Roman"/>
          <w:vertAlign w:val="superscript"/>
        </w:rPr>
        <w:footnoteReference w:id="2"/>
      </w:r>
      <w:r w:rsidRPr="00432A7F">
        <w:rPr>
          <w:rFonts w:ascii="Calibri" w:eastAsia="Calibri" w:hAnsi="Calibri" w:cs="Times New Roman"/>
        </w:rPr>
        <w:t xml:space="preserve"> z dnia 10 września 2021 r. w sprawie szczegółowych warunków, form i trybu realizacji Priorytetu 3 "Narodowego Programu Rozwoju Czytelnictwa 2.0. na lata 2021-2025" (Dz.U. 2021 poz. 1675</w:t>
      </w:r>
      <w:r w:rsidRPr="00432A7F">
        <w:rPr>
          <w:rFonts w:ascii="Calibri" w:eastAsia="Calibri" w:hAnsi="Calibri" w:cs="Times New Roman"/>
          <w:vertAlign w:val="superscript"/>
        </w:rPr>
        <w:footnoteReference w:id="3"/>
      </w:r>
      <w:r w:rsidRPr="00432A7F">
        <w:rPr>
          <w:rFonts w:ascii="Calibri" w:eastAsia="Calibri" w:hAnsi="Calibri" w:cs="Times New Roman"/>
        </w:rPr>
        <w:t>),</w:t>
      </w:r>
    </w:p>
    <w:p w:rsidR="00432A7F" w:rsidRPr="00432A7F" w:rsidRDefault="00432A7F" w:rsidP="00322671">
      <w:pPr>
        <w:numPr>
          <w:ilvl w:val="2"/>
          <w:numId w:val="11"/>
        </w:numPr>
        <w:spacing w:after="120"/>
        <w:ind w:left="1134" w:hanging="708"/>
        <w:jc w:val="both"/>
        <w:rPr>
          <w:rFonts w:ascii="Calibri" w:eastAsia="Calibri" w:hAnsi="Calibri" w:cs="Times New Roman"/>
        </w:rPr>
      </w:pPr>
      <w:r w:rsidRPr="00432A7F">
        <w:rPr>
          <w:rFonts w:ascii="Calibri" w:eastAsia="Calibri" w:hAnsi="Calibri" w:cs="Times New Roman"/>
        </w:rPr>
        <w:t>Zarządzenie Ministra Kultury Dziedzictwa Narodowego i Sportu</w:t>
      </w:r>
      <w:r w:rsidRPr="00432A7F">
        <w:rPr>
          <w:rFonts w:ascii="Calibri" w:eastAsia="Calibri" w:hAnsi="Calibri" w:cs="Times New Roman"/>
          <w:vertAlign w:val="superscript"/>
        </w:rPr>
        <w:footnoteReference w:id="4"/>
      </w:r>
      <w:r w:rsidRPr="00432A7F">
        <w:rPr>
          <w:rFonts w:ascii="Calibri" w:eastAsia="Calibri" w:hAnsi="Calibri" w:cs="Times New Roman"/>
        </w:rPr>
        <w:t xml:space="preserve"> z dnia 15 czerwca 2021 r. w sprawie wytycznych do wdrażania instrumentów wykonawczych dla Operatorów Priorytetów 1, 2 i 4 Narodowego Programu Rozwoju Czytelnictwa 2.0. na lata 2021-2025 (Dz.Urz. MKDNiS poz. 53 i poz. 56</w:t>
      </w:r>
      <w:r w:rsidRPr="00432A7F">
        <w:rPr>
          <w:rFonts w:ascii="Calibri" w:eastAsia="Calibri" w:hAnsi="Calibri" w:cs="Times New Roman"/>
          <w:vertAlign w:val="superscript"/>
        </w:rPr>
        <w:footnoteReference w:id="5"/>
      </w:r>
      <w:r w:rsidRPr="00432A7F">
        <w:rPr>
          <w:rFonts w:ascii="Calibri" w:eastAsia="Calibri" w:hAnsi="Calibri" w:cs="Times New Roman"/>
        </w:rPr>
        <w:t>),</w:t>
      </w:r>
    </w:p>
    <w:p w:rsidR="00432A7F" w:rsidRPr="00432A7F" w:rsidRDefault="00432A7F" w:rsidP="00322671">
      <w:pPr>
        <w:numPr>
          <w:ilvl w:val="2"/>
          <w:numId w:val="11"/>
        </w:numPr>
        <w:tabs>
          <w:tab w:val="left" w:pos="1134"/>
        </w:tabs>
        <w:spacing w:after="120"/>
        <w:ind w:left="1134" w:hanging="708"/>
        <w:jc w:val="both"/>
        <w:rPr>
          <w:rFonts w:ascii="Calibri" w:eastAsia="Calibri" w:hAnsi="Calibri" w:cs="Times New Roman"/>
        </w:rPr>
      </w:pPr>
      <w:r w:rsidRPr="00432A7F">
        <w:rPr>
          <w:rFonts w:ascii="Calibri" w:eastAsia="Calibri" w:hAnsi="Calibri" w:cs="Times New Roman"/>
        </w:rPr>
        <w:t>Porozumienie o współadministrowaniu danymi osobowymi w ramach Narodowego Programu Rozwoju Czytelnictwa 2.0 na lata 2021-2025 zawarte w dniu 22 września 2021 r. pomiędzy Biblioteką Narodową, jako Administratorem 1, a Instytutem Książki, jako Administratorem 2, a Narodowym Centrum Kultury, jako Administratorem 3, a Ministerstwem Kultury i Dziedzictwa Narodowego, jako Administratorem 4,</w:t>
      </w:r>
    </w:p>
    <w:p w:rsidR="00432A7F" w:rsidRPr="00432A7F" w:rsidRDefault="00432A7F" w:rsidP="00322671">
      <w:pPr>
        <w:numPr>
          <w:ilvl w:val="2"/>
          <w:numId w:val="11"/>
        </w:numPr>
        <w:tabs>
          <w:tab w:val="left" w:pos="1134"/>
        </w:tabs>
        <w:spacing w:after="120"/>
        <w:ind w:left="1134" w:hanging="708"/>
        <w:jc w:val="both"/>
        <w:rPr>
          <w:rFonts w:ascii="Calibri" w:eastAsia="Calibri" w:hAnsi="Calibri" w:cs="Times New Roman"/>
        </w:rPr>
      </w:pPr>
      <w:r w:rsidRPr="00432A7F">
        <w:rPr>
          <w:rFonts w:ascii="Calibri" w:eastAsia="Calibri" w:hAnsi="Calibri" w:cs="Times New Roman"/>
        </w:rPr>
        <w:t>Porozumienie o współadministrowaniu danymi osobowymi w ramach Narodowego Programu Rozwoju Czytelnictwa 2.0 na lata 2021-2025 zawarte w dniu 21 lutego 2022 r. pomiędzy między prof. dr hab. Piotrem Glińskim Ministrem Kultury i Dziedzictwa Narodowego, a dr hab. prof. KUL Przemysławem Czarnkiem Ministrem Edukacji i Nauki</w:t>
      </w:r>
      <w:r w:rsidRPr="00432A7F">
        <w:rPr>
          <w:rFonts w:ascii="Calibri" w:eastAsia="Calibri" w:hAnsi="Calibri" w:cs="Times New Roman"/>
          <w:vertAlign w:val="superscript"/>
        </w:rPr>
        <w:footnoteReference w:id="6"/>
      </w:r>
      <w:r w:rsidRPr="00432A7F">
        <w:rPr>
          <w:rFonts w:ascii="Calibri" w:eastAsia="Calibri" w:hAnsi="Calibri" w:cs="Times New Roman"/>
        </w:rPr>
        <w:t>,</w:t>
      </w:r>
    </w:p>
    <w:p w:rsidR="00432A7F" w:rsidRPr="00432A7F" w:rsidRDefault="00432A7F" w:rsidP="00322671">
      <w:pPr>
        <w:numPr>
          <w:ilvl w:val="2"/>
          <w:numId w:val="11"/>
        </w:numPr>
        <w:tabs>
          <w:tab w:val="left" w:pos="1134"/>
        </w:tabs>
        <w:spacing w:after="120"/>
        <w:ind w:left="1134" w:hanging="709"/>
        <w:jc w:val="both"/>
        <w:rPr>
          <w:rFonts w:ascii="Calibri" w:eastAsia="Calibri" w:hAnsi="Calibri" w:cs="Times New Roman"/>
        </w:rPr>
      </w:pPr>
      <w:r w:rsidRPr="00432A7F">
        <w:rPr>
          <w:rFonts w:ascii="Calibri" w:eastAsia="Calibri" w:hAnsi="Calibri" w:cs="Times New Roman"/>
        </w:rPr>
        <w:lastRenderedPageBreak/>
        <w:t>Plan Ewaluacji i Monitoringu Narodowego Programu Rozwoju Czytelnictwa 2.0 na lata 2021-2025, zatwierdzony 14 lipca 2021 r. przez Ministra Kultury, Dziedzictwa Narodowego i Sportu</w:t>
      </w:r>
      <w:r w:rsidRPr="00432A7F">
        <w:rPr>
          <w:rFonts w:ascii="Calibri" w:eastAsia="Calibri" w:hAnsi="Calibri" w:cs="Times New Roman"/>
          <w:vertAlign w:val="superscript"/>
        </w:rPr>
        <w:footnoteReference w:id="7"/>
      </w:r>
      <w:r w:rsidRPr="00432A7F">
        <w:rPr>
          <w:rFonts w:ascii="Calibri" w:eastAsia="Calibri" w:hAnsi="Calibri" w:cs="Times New Roman"/>
        </w:rPr>
        <w:t>,</w:t>
      </w:r>
    </w:p>
    <w:p w:rsidR="00432A7F" w:rsidRPr="00432A7F" w:rsidRDefault="00432A7F" w:rsidP="00322671">
      <w:pPr>
        <w:numPr>
          <w:ilvl w:val="2"/>
          <w:numId w:val="11"/>
        </w:numPr>
        <w:tabs>
          <w:tab w:val="left" w:pos="1134"/>
        </w:tabs>
        <w:spacing w:after="120"/>
        <w:ind w:left="1134" w:hanging="709"/>
        <w:jc w:val="both"/>
        <w:rPr>
          <w:rFonts w:ascii="Calibri" w:eastAsia="Calibri" w:hAnsi="Calibri" w:cs="Times New Roman"/>
        </w:rPr>
      </w:pPr>
      <w:r w:rsidRPr="00432A7F">
        <w:rPr>
          <w:rFonts w:ascii="Calibri" w:eastAsia="Calibri" w:hAnsi="Calibri" w:cs="Times New Roman"/>
        </w:rPr>
        <w:t>Plan Promocji NPRCz 2.0 na lata 2021 – 2025, zatwierdzony 25 sierpnia 2021 r. przez Ministra Kultury, Dziedzictwa Narodowego i Sportu</w:t>
      </w:r>
      <w:r w:rsidRPr="00432A7F">
        <w:rPr>
          <w:rFonts w:ascii="Calibri" w:eastAsia="Calibri" w:hAnsi="Calibri" w:cs="Times New Roman"/>
          <w:vertAlign w:val="superscript"/>
        </w:rPr>
        <w:footnoteReference w:id="8"/>
      </w:r>
      <w:r w:rsidRPr="00432A7F">
        <w:rPr>
          <w:rFonts w:ascii="Calibri" w:eastAsia="Calibri" w:hAnsi="Calibri" w:cs="Times New Roman"/>
        </w:rPr>
        <w:t>.</w:t>
      </w:r>
    </w:p>
    <w:p w:rsidR="00432A7F" w:rsidRPr="00432A7F" w:rsidRDefault="00432A7F" w:rsidP="00322671">
      <w:pPr>
        <w:numPr>
          <w:ilvl w:val="1"/>
          <w:numId w:val="11"/>
        </w:numPr>
        <w:contextualSpacing/>
        <w:rPr>
          <w:rFonts w:ascii="Calibri" w:eastAsia="Calibri" w:hAnsi="Calibri" w:cs="Times New Roman"/>
        </w:rPr>
      </w:pPr>
      <w:r w:rsidRPr="00432A7F">
        <w:rPr>
          <w:rFonts w:ascii="Calibri" w:eastAsia="Calibri" w:hAnsi="Calibri" w:cs="Times New Roman"/>
        </w:rPr>
        <w:t>Rozwiązania przyjęte na potrzeby wdrażania Programu:</w:t>
      </w:r>
    </w:p>
    <w:p w:rsidR="00432A7F" w:rsidRPr="00432A7F" w:rsidRDefault="00432A7F" w:rsidP="00432A7F">
      <w:pPr>
        <w:spacing w:after="120"/>
        <w:ind w:left="425"/>
        <w:jc w:val="both"/>
        <w:rPr>
          <w:rFonts w:ascii="Calibri" w:eastAsia="Calibri" w:hAnsi="Calibri" w:cs="Times New Roman"/>
        </w:rPr>
      </w:pPr>
      <w:r w:rsidRPr="00432A7F">
        <w:rPr>
          <w:rFonts w:ascii="Calibri" w:eastAsia="Calibri" w:hAnsi="Calibri" w:cs="Times New Roman"/>
        </w:rPr>
        <w:t>Realizacja Narodowego Programu Rozwoju Czytelnictwa 2.0 na lata 2021–2025 jest prowadzona na kilku poziomach i zakłada ścisłą współpracę ministra właściwego do spraw kultury i ochrony dziedzictwa narodowego oraz ministra właściwego do spraw oświaty i wychowania. Kluczową rolę w tym zakresie pełni komunikacja prowadzona na poziomie Operatorów Priorytetów NPRCz 2.0, realizowana m.in. poprzez cykliczne spotkania grup roboczych utworzonych na potrzeby NPRCz 2.0 tj. Grupy roboczej ds. monitoringu i ewaluacji Programu oraz Grupy roboczej ds. promocji NPRCz 2.0.</w:t>
      </w:r>
    </w:p>
    <w:p w:rsidR="00432A7F" w:rsidRPr="00432A7F" w:rsidRDefault="00432A7F" w:rsidP="00322671">
      <w:pPr>
        <w:numPr>
          <w:ilvl w:val="0"/>
          <w:numId w:val="12"/>
        </w:numPr>
        <w:spacing w:after="120"/>
        <w:ind w:left="426" w:hanging="425"/>
        <w:jc w:val="both"/>
        <w:outlineLvl w:val="1"/>
        <w:rPr>
          <w:rFonts w:ascii="Calibri" w:eastAsia="Times New Roman" w:hAnsi="Calibri" w:cs="Times New Roman"/>
          <w:bCs/>
          <w:u w:val="single"/>
        </w:rPr>
      </w:pPr>
      <w:bookmarkStart w:id="1" w:name="_Toc101534154"/>
      <w:r w:rsidRPr="00432A7F">
        <w:rPr>
          <w:rFonts w:ascii="Calibri" w:eastAsia="Calibri" w:hAnsi="Calibri" w:cs="Times New Roman"/>
          <w:u w:val="single"/>
        </w:rPr>
        <w:t>Główne wnioski i ustalenia.</w:t>
      </w:r>
      <w:bookmarkEnd w:id="1"/>
    </w:p>
    <w:p w:rsidR="00432A7F" w:rsidRPr="00432A7F" w:rsidRDefault="00432A7F" w:rsidP="00322671">
      <w:pPr>
        <w:numPr>
          <w:ilvl w:val="1"/>
          <w:numId w:val="3"/>
        </w:numPr>
        <w:spacing w:after="120"/>
        <w:ind w:left="851" w:hanging="425"/>
        <w:jc w:val="both"/>
        <w:rPr>
          <w:rFonts w:ascii="Calibri" w:eastAsia="Times New Roman" w:hAnsi="Calibri" w:cs="Times New Roman"/>
          <w:bCs/>
        </w:rPr>
      </w:pPr>
      <w:r w:rsidRPr="00432A7F">
        <w:rPr>
          <w:rFonts w:ascii="Calibri" w:eastAsia="Times New Roman" w:hAnsi="Calibri" w:cs="Times New Roman"/>
          <w:bCs/>
        </w:rPr>
        <w:t>W 2021 r. zasadnicze założenia, przyjęte w Narodowym Programie Rozwoju Czytelnictwa 2.0. na lata 2021–2025, zostały zrealizowane, co wynika z przedstawionych poniżej informacji na temat postępu finansowego i rzeczowego z wdrażania poszczególnych Kierunków interwencji NPRCz 2.0, ewaluacji i monitoringu oraz obsługi Programu.</w:t>
      </w:r>
    </w:p>
    <w:p w:rsidR="00432A7F" w:rsidRPr="00432A7F" w:rsidRDefault="00432A7F" w:rsidP="00322671">
      <w:pPr>
        <w:numPr>
          <w:ilvl w:val="1"/>
          <w:numId w:val="3"/>
        </w:numPr>
        <w:spacing w:after="120"/>
        <w:ind w:left="851" w:hanging="425"/>
        <w:jc w:val="both"/>
        <w:rPr>
          <w:rFonts w:ascii="Calibri" w:eastAsia="Times New Roman" w:hAnsi="Calibri" w:cs="Times New Roman"/>
          <w:bCs/>
        </w:rPr>
      </w:pPr>
      <w:r w:rsidRPr="00432A7F">
        <w:rPr>
          <w:rFonts w:ascii="Calibri" w:eastAsia="Times New Roman" w:hAnsi="Calibri" w:cs="Times New Roman"/>
          <w:bCs/>
        </w:rPr>
        <w:t>Z uwagi na fakt, iż 2021 r. był pierwszym rokiem realizacji programu wieloletniego istotnym zadaniem, leżącym po stronie Operatorów Priorytetów oraz Instytucji Zarządzającej Programem, było przygotowanie i przyjęcie dokumentów warunkujących prawidłowe wdrażanie NPRCz 2.0.</w:t>
      </w:r>
    </w:p>
    <w:p w:rsidR="00432A7F" w:rsidRPr="00432A7F" w:rsidRDefault="00432A7F" w:rsidP="00322671">
      <w:pPr>
        <w:numPr>
          <w:ilvl w:val="1"/>
          <w:numId w:val="3"/>
        </w:numPr>
        <w:spacing w:after="120"/>
        <w:ind w:left="851" w:hanging="425"/>
        <w:jc w:val="both"/>
        <w:rPr>
          <w:rFonts w:eastAsia="Times New Roman" w:cs="Times New Roman"/>
          <w:bCs/>
        </w:rPr>
      </w:pPr>
      <w:r w:rsidRPr="00432A7F">
        <w:rPr>
          <w:rFonts w:ascii="Calibri" w:eastAsia="Times New Roman" w:hAnsi="Calibri" w:cs="Times New Roman"/>
          <w:bCs/>
        </w:rPr>
        <w:t xml:space="preserve">Moment uchwalenia przez Radę Ministrów Narodowego Programu Rozwoju Czytelnictwa 2.0 na lata 2021–2025 tj. 21 maja 2021 r. determinował czas rozpoczęcia realizacji Programu. W odniesieniu do większości procesów wskazanych w NPRCz 2.0, mimo skróconego okresu wdrażania w 2021 r., przyjęte cele udało się zrealizować – w niektórych przypadkach na poziomie wyższym od przyjętych założeń. Jednakże, w części przypadków, czas dostępny na wdrożenie zadań w </w:t>
      </w:r>
      <w:r w:rsidRPr="00432A7F">
        <w:rPr>
          <w:rFonts w:eastAsia="Times New Roman" w:cs="Times New Roman"/>
          <w:bCs/>
        </w:rPr>
        <w:t>2021 r. był niewystarczający i skutkował niższym od zakładanego na ten rok poziomem wykonania wskaźników, a nawet wykluczył możliwość osiągnięcia zakładanej wartości docelowej przez cały okres realizacji Programu.</w:t>
      </w:r>
    </w:p>
    <w:p w:rsidR="00432A7F" w:rsidRPr="00432A7F" w:rsidRDefault="00432A7F" w:rsidP="00322671">
      <w:pPr>
        <w:numPr>
          <w:ilvl w:val="0"/>
          <w:numId w:val="12"/>
        </w:numPr>
        <w:autoSpaceDE w:val="0"/>
        <w:autoSpaceDN w:val="0"/>
        <w:adjustRightInd w:val="0"/>
        <w:spacing w:after="120" w:line="264" w:lineRule="auto"/>
        <w:ind w:left="426" w:hanging="426"/>
        <w:jc w:val="both"/>
        <w:rPr>
          <w:rFonts w:eastAsia="Calibri" w:cs="Times New Roman"/>
          <w:iCs/>
          <w:color w:val="000000"/>
          <w:szCs w:val="24"/>
          <w:u w:val="single"/>
        </w:rPr>
      </w:pPr>
      <w:r w:rsidRPr="00432A7F">
        <w:rPr>
          <w:rFonts w:ascii="Calibri" w:eastAsia="Calibri" w:hAnsi="Calibri" w:cs="Times New Roman"/>
          <w:u w:val="single"/>
        </w:rPr>
        <w:t>Informacja o wykonaniu wskaźników Programu.</w:t>
      </w:r>
    </w:p>
    <w:p w:rsidR="00432A7F" w:rsidRPr="00432A7F" w:rsidRDefault="00432A7F" w:rsidP="00432A7F">
      <w:pPr>
        <w:spacing w:after="120"/>
        <w:ind w:left="426"/>
        <w:jc w:val="both"/>
        <w:rPr>
          <w:rFonts w:ascii="Calibri" w:eastAsia="Calibri" w:hAnsi="Calibri" w:cs="Times New Roman"/>
          <w:spacing w:val="-2"/>
        </w:rPr>
      </w:pPr>
      <w:r w:rsidRPr="00432A7F">
        <w:rPr>
          <w:rFonts w:ascii="Calibri" w:eastAsia="Calibri" w:hAnsi="Calibri" w:cs="Times New Roman"/>
          <w:spacing w:val="-2"/>
        </w:rPr>
        <w:t xml:space="preserve">Na potrzeby wdrażania </w:t>
      </w:r>
      <w:r w:rsidRPr="00432A7F">
        <w:rPr>
          <w:rFonts w:ascii="Calibri" w:eastAsia="Calibri" w:hAnsi="Calibri" w:cs="Times New Roman"/>
          <w:i/>
        </w:rPr>
        <w:t>Narodowego Programu Rozwoju Czytelnictwa 2.0. na lata 2021–2025</w:t>
      </w:r>
      <w:r w:rsidRPr="00432A7F">
        <w:rPr>
          <w:rFonts w:ascii="Calibri" w:eastAsia="Calibri" w:hAnsi="Calibri" w:cs="Times New Roman"/>
        </w:rPr>
        <w:t xml:space="preserve"> </w:t>
      </w:r>
      <w:r w:rsidRPr="00432A7F">
        <w:rPr>
          <w:rFonts w:ascii="Calibri" w:eastAsia="Calibri" w:hAnsi="Calibri" w:cs="Times New Roman"/>
          <w:spacing w:val="-2"/>
        </w:rPr>
        <w:t xml:space="preserve">przyjęto, iż kluczowe znaczenie ma prowadzenie polityki publicznej w oparciu o zgromadzone dane, wnioski, rekomendacje, analizy oraz ocenę efektywności i skuteczności prowadzonych działań. Służyć temu będą </w:t>
      </w:r>
      <w:r w:rsidRPr="00432A7F">
        <w:rPr>
          <w:rFonts w:ascii="Calibri" w:eastAsia="Calibri" w:hAnsi="Calibri" w:cs="Times New Roman"/>
          <w:spacing w:val="-2"/>
        </w:rPr>
        <w:lastRenderedPageBreak/>
        <w:t>informacje</w:t>
      </w:r>
      <w:r w:rsidRPr="00432A7F">
        <w:rPr>
          <w:rFonts w:ascii="Calibri" w:eastAsia="Calibri" w:hAnsi="Calibri" w:cs="Times New Roman"/>
          <w:color w:val="000000"/>
          <w:spacing w:val="-2"/>
        </w:rPr>
        <w:t xml:space="preserve"> otrzymywane w ramach bieżącego monitoringu, badań i ewaluacji prowadzonych na potrzeby NPRCz 2.0.</w:t>
      </w:r>
    </w:p>
    <w:p w:rsidR="00432A7F" w:rsidRPr="00432A7F" w:rsidRDefault="00432A7F" w:rsidP="00432A7F">
      <w:pPr>
        <w:spacing w:after="120"/>
        <w:ind w:left="426"/>
        <w:jc w:val="both"/>
        <w:rPr>
          <w:rFonts w:ascii="Calibri" w:eastAsia="Times New Roman" w:hAnsi="Calibri" w:cs="Times New Roman"/>
          <w:bCs/>
        </w:rPr>
      </w:pPr>
      <w:r w:rsidRPr="00432A7F">
        <w:rPr>
          <w:rFonts w:ascii="Calibri" w:eastAsia="Times New Roman" w:hAnsi="Calibri" w:cs="Times New Roman"/>
          <w:bCs/>
        </w:rPr>
        <w:t xml:space="preserve">W treści NPRCz 2.0 (rozdział X) określono sposób i zasady gromadzenia danych. Wskazano, iż wskaźniki produktu i wskaźniki rezultatu bezpośredniego zostały określone na poziomie projektu, przy czym wskaźniki produktu są powiązane wprost z wydatkami ponoszonymi w projekcie, a wskaźniki rezultatu bezpośredniego odnoszą się do bezpośrednich efektów projektu, których realizacja jest wynikiem projektu, ale mogą mieć na nią wpływ także inne czynniki zewnętrzne. Przedstawiono także założenia dotyczące wskaźników dla NPRCz 2.0 oraz zasady szacowania ich wartości pośrednich i docelowych. </w:t>
      </w:r>
    </w:p>
    <w:p w:rsidR="00432A7F" w:rsidRPr="00432A7F" w:rsidRDefault="00432A7F" w:rsidP="00432A7F">
      <w:pPr>
        <w:spacing w:after="120"/>
        <w:ind w:left="426"/>
        <w:jc w:val="both"/>
        <w:rPr>
          <w:rFonts w:ascii="Calibri" w:eastAsia="Times New Roman" w:hAnsi="Calibri" w:cs="Times New Roman"/>
          <w:bCs/>
        </w:rPr>
      </w:pPr>
      <w:r w:rsidRPr="00432A7F">
        <w:rPr>
          <w:rFonts w:ascii="Calibri" w:eastAsia="Times New Roman" w:hAnsi="Calibri" w:cs="Times New Roman"/>
          <w:bCs/>
        </w:rPr>
        <w:t xml:space="preserve">Dodatkowo na potrzeby NPRCz 2.0 stworzono wykaz monitorowanych wskaźników, dla których nie szacowano wartości, dla których jednak dane będą gromadzone wraz z postępem realizacji Programu. </w:t>
      </w:r>
    </w:p>
    <w:p w:rsidR="00432A7F" w:rsidRPr="00432A7F" w:rsidRDefault="00895B8C" w:rsidP="00432A7F">
      <w:pPr>
        <w:spacing w:after="120"/>
        <w:ind w:left="425"/>
        <w:jc w:val="both"/>
        <w:rPr>
          <w:rFonts w:ascii="Calibri" w:eastAsia="Times New Roman" w:hAnsi="Calibri" w:cs="Times New Roman"/>
          <w:bCs/>
        </w:rPr>
      </w:pPr>
      <w:r>
        <w:rPr>
          <w:rFonts w:ascii="Calibri" w:eastAsia="Times New Roman" w:hAnsi="Calibri" w:cs="Times New Roman"/>
          <w:bCs/>
        </w:rPr>
        <w:t>Jednocześnie w treści NPRC</w:t>
      </w:r>
      <w:r w:rsidR="00432A7F" w:rsidRPr="00432A7F">
        <w:rPr>
          <w:rFonts w:ascii="Calibri" w:eastAsia="Times New Roman" w:hAnsi="Calibri" w:cs="Times New Roman"/>
          <w:bCs/>
        </w:rPr>
        <w:t>z 2.0 zaznaczono, iż dla oceny postępów w osiąganiu celu głównego i celów szczegółowych przypisanych poszczególnym priorytetom stosuje się przyporządkowane do nich wskaźniki, obrazujące pożądaną zmianę sytuacji społeczno-gospodarczej.</w:t>
      </w:r>
    </w:p>
    <w:p w:rsidR="00432A7F" w:rsidRPr="00432A7F" w:rsidRDefault="00432A7F" w:rsidP="00432A7F">
      <w:pPr>
        <w:autoSpaceDE w:val="0"/>
        <w:autoSpaceDN w:val="0"/>
        <w:adjustRightInd w:val="0"/>
        <w:spacing w:after="120" w:line="264" w:lineRule="auto"/>
        <w:ind w:left="426"/>
        <w:jc w:val="both"/>
        <w:rPr>
          <w:rFonts w:eastAsia="Calibri" w:cs="Times New Roman"/>
          <w:iCs/>
          <w:color w:val="000000"/>
          <w:szCs w:val="24"/>
          <w:u w:val="single"/>
        </w:rPr>
      </w:pPr>
    </w:p>
    <w:p w:rsidR="00432A7F" w:rsidRPr="00432A7F" w:rsidRDefault="00432A7F" w:rsidP="00432A7F">
      <w:pPr>
        <w:autoSpaceDE w:val="0"/>
        <w:autoSpaceDN w:val="0"/>
        <w:adjustRightInd w:val="0"/>
        <w:spacing w:after="120" w:line="264" w:lineRule="auto"/>
        <w:ind w:left="426"/>
        <w:jc w:val="both"/>
        <w:rPr>
          <w:rFonts w:eastAsia="Calibri" w:cs="Times New Roman"/>
          <w:iCs/>
          <w:color w:val="000000"/>
          <w:szCs w:val="24"/>
          <w:u w:val="single"/>
        </w:rPr>
        <w:sectPr w:rsidR="00432A7F" w:rsidRPr="00432A7F" w:rsidSect="00D657A0">
          <w:footerReference w:type="default" r:id="rId8"/>
          <w:pgSz w:w="11906" w:h="16838"/>
          <w:pgMar w:top="993" w:right="1417" w:bottom="1417" w:left="993" w:header="708" w:footer="567" w:gutter="0"/>
          <w:cols w:space="708"/>
          <w:docGrid w:linePitch="360"/>
        </w:sectPr>
      </w:pPr>
    </w:p>
    <w:p w:rsidR="00432A7F" w:rsidRPr="00432A7F" w:rsidRDefault="00432A7F" w:rsidP="00432A7F">
      <w:pPr>
        <w:spacing w:after="120"/>
        <w:ind w:left="284"/>
        <w:contextualSpacing/>
        <w:jc w:val="both"/>
        <w:rPr>
          <w:rFonts w:ascii="Calibri" w:eastAsia="Times New Roman" w:hAnsi="Calibri" w:cs="Times New Roman"/>
          <w:bCs/>
          <w:i/>
        </w:rPr>
      </w:pPr>
      <w:r w:rsidRPr="00432A7F">
        <w:rPr>
          <w:rFonts w:ascii="Calibri" w:eastAsia="Times New Roman" w:hAnsi="Calibri" w:cs="Times New Roman"/>
          <w:bCs/>
          <w:i/>
        </w:rPr>
        <w:lastRenderedPageBreak/>
        <w:t>Tabela Szczegółowe zestawienie wykonania wskaźników NPRCz 2.0 w 2021 r.</w:t>
      </w:r>
    </w:p>
    <w:tbl>
      <w:tblPr>
        <w:tblW w:w="13962" w:type="dxa"/>
        <w:tblLayout w:type="fixed"/>
        <w:tblCellMar>
          <w:left w:w="70" w:type="dxa"/>
          <w:right w:w="70" w:type="dxa"/>
        </w:tblCellMar>
        <w:tblLook w:val="04A0" w:firstRow="1" w:lastRow="0" w:firstColumn="1" w:lastColumn="0" w:noHBand="0" w:noVBand="1"/>
      </w:tblPr>
      <w:tblGrid>
        <w:gridCol w:w="980"/>
        <w:gridCol w:w="1010"/>
        <w:gridCol w:w="1040"/>
        <w:gridCol w:w="3066"/>
        <w:gridCol w:w="1062"/>
        <w:gridCol w:w="1134"/>
        <w:gridCol w:w="1134"/>
        <w:gridCol w:w="1096"/>
        <w:gridCol w:w="1280"/>
        <w:gridCol w:w="1130"/>
        <w:gridCol w:w="1030"/>
      </w:tblGrid>
      <w:tr w:rsidR="00432A7F" w:rsidRPr="00432A7F" w:rsidTr="00420098">
        <w:trPr>
          <w:trHeight w:val="565"/>
          <w:tblHeader/>
        </w:trPr>
        <w:tc>
          <w:tcPr>
            <w:tcW w:w="98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ID wskaźnika</w:t>
            </w:r>
          </w:p>
        </w:tc>
        <w:tc>
          <w:tcPr>
            <w:tcW w:w="101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Kierunek Interwencji</w:t>
            </w:r>
          </w:p>
        </w:tc>
        <w:tc>
          <w:tcPr>
            <w:tcW w:w="104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Rodzaj wskaźnika</w:t>
            </w:r>
          </w:p>
        </w:tc>
        <w:tc>
          <w:tcPr>
            <w:tcW w:w="3066"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Nazwa wskaźnika</w:t>
            </w:r>
          </w:p>
        </w:tc>
        <w:tc>
          <w:tcPr>
            <w:tcW w:w="3330" w:type="dxa"/>
            <w:gridSpan w:val="3"/>
            <w:tcBorders>
              <w:top w:val="single" w:sz="8" w:space="0" w:color="auto"/>
              <w:left w:val="nil"/>
              <w:bottom w:val="single" w:sz="8" w:space="0" w:color="auto"/>
              <w:right w:val="single" w:sz="8" w:space="0" w:color="000000"/>
            </w:tcBorders>
            <w:shd w:val="clear" w:color="000000" w:fill="D9D9D9"/>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Realizacja wskaźnika</w:t>
            </w:r>
            <w:r w:rsidRPr="00432A7F">
              <w:rPr>
                <w:rFonts w:ascii="Calibri" w:eastAsia="Times New Roman" w:hAnsi="Calibri" w:cs="Times New Roman"/>
                <w:color w:val="000000"/>
                <w:sz w:val="18"/>
                <w:szCs w:val="18"/>
                <w:vertAlign w:val="superscript"/>
                <w:lang w:eastAsia="pl-PL"/>
              </w:rPr>
              <w:t xml:space="preserve"> </w:t>
            </w:r>
            <w:r w:rsidRPr="00432A7F">
              <w:rPr>
                <w:rFonts w:ascii="Calibri" w:eastAsia="Times New Roman" w:hAnsi="Calibri" w:cs="Times New Roman"/>
                <w:color w:val="000000"/>
                <w:sz w:val="18"/>
                <w:szCs w:val="18"/>
                <w:lang w:eastAsia="pl-PL"/>
              </w:rPr>
              <w:t>w okresie sprawozdawczym</w:t>
            </w:r>
          </w:p>
        </w:tc>
        <w:tc>
          <w:tcPr>
            <w:tcW w:w="4536" w:type="dxa"/>
            <w:gridSpan w:val="4"/>
            <w:tcBorders>
              <w:top w:val="single" w:sz="8" w:space="0" w:color="auto"/>
              <w:left w:val="nil"/>
              <w:bottom w:val="single" w:sz="8" w:space="0" w:color="auto"/>
              <w:right w:val="single" w:sz="8" w:space="0" w:color="000000"/>
            </w:tcBorders>
            <w:shd w:val="clear" w:color="000000" w:fill="D9D9D9"/>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Realizacja wskaźnika od początku realizacji programu</w:t>
            </w:r>
          </w:p>
        </w:tc>
      </w:tr>
      <w:tr w:rsidR="00432A7F" w:rsidRPr="00432A7F" w:rsidTr="001B1C60">
        <w:trPr>
          <w:trHeight w:val="2359"/>
          <w:tblHeader/>
        </w:trPr>
        <w:tc>
          <w:tcPr>
            <w:tcW w:w="980" w:type="dxa"/>
            <w:vMerge/>
            <w:tcBorders>
              <w:top w:val="single" w:sz="8" w:space="0" w:color="auto"/>
              <w:left w:val="single" w:sz="8" w:space="0" w:color="auto"/>
              <w:bottom w:val="single" w:sz="8" w:space="0" w:color="000000"/>
              <w:right w:val="single" w:sz="8" w:space="0" w:color="auto"/>
            </w:tcBorders>
            <w:vAlign w:val="center"/>
            <w:hideMark/>
          </w:tcPr>
          <w:p w:rsidR="00432A7F" w:rsidRPr="00432A7F" w:rsidRDefault="00432A7F" w:rsidP="00432A7F">
            <w:pPr>
              <w:spacing w:after="0" w:line="240" w:lineRule="auto"/>
              <w:rPr>
                <w:rFonts w:ascii="Calibri" w:eastAsia="Times New Roman" w:hAnsi="Calibri" w:cs="Times New Roman"/>
                <w:color w:val="000000"/>
                <w:sz w:val="18"/>
                <w:szCs w:val="18"/>
                <w:lang w:eastAsia="pl-PL"/>
              </w:rPr>
            </w:pPr>
          </w:p>
        </w:tc>
        <w:tc>
          <w:tcPr>
            <w:tcW w:w="1010" w:type="dxa"/>
            <w:vMerge/>
            <w:tcBorders>
              <w:top w:val="single" w:sz="8" w:space="0" w:color="auto"/>
              <w:left w:val="single" w:sz="8" w:space="0" w:color="auto"/>
              <w:bottom w:val="single" w:sz="8" w:space="0" w:color="000000"/>
              <w:right w:val="single" w:sz="8" w:space="0" w:color="auto"/>
            </w:tcBorders>
            <w:vAlign w:val="center"/>
            <w:hideMark/>
          </w:tcPr>
          <w:p w:rsidR="00432A7F" w:rsidRPr="00432A7F" w:rsidRDefault="00432A7F" w:rsidP="00432A7F">
            <w:pPr>
              <w:spacing w:after="0" w:line="240" w:lineRule="auto"/>
              <w:rPr>
                <w:rFonts w:ascii="Calibri" w:eastAsia="Times New Roman" w:hAnsi="Calibri" w:cs="Times New Roman"/>
                <w:color w:val="000000"/>
                <w:sz w:val="18"/>
                <w:szCs w:val="18"/>
                <w:lang w:eastAsia="pl-PL"/>
              </w:rPr>
            </w:pPr>
          </w:p>
        </w:tc>
        <w:tc>
          <w:tcPr>
            <w:tcW w:w="1040" w:type="dxa"/>
            <w:vMerge/>
            <w:tcBorders>
              <w:top w:val="single" w:sz="8" w:space="0" w:color="auto"/>
              <w:left w:val="single" w:sz="8" w:space="0" w:color="auto"/>
              <w:bottom w:val="single" w:sz="8" w:space="0" w:color="000000"/>
              <w:right w:val="single" w:sz="8" w:space="0" w:color="auto"/>
            </w:tcBorders>
            <w:vAlign w:val="center"/>
            <w:hideMark/>
          </w:tcPr>
          <w:p w:rsidR="00432A7F" w:rsidRPr="00432A7F" w:rsidRDefault="00432A7F" w:rsidP="00432A7F">
            <w:pPr>
              <w:spacing w:after="0" w:line="240" w:lineRule="auto"/>
              <w:rPr>
                <w:rFonts w:ascii="Calibri" w:eastAsia="Times New Roman" w:hAnsi="Calibri" w:cs="Times New Roman"/>
                <w:color w:val="000000"/>
                <w:sz w:val="18"/>
                <w:szCs w:val="18"/>
                <w:lang w:eastAsia="pl-PL"/>
              </w:rPr>
            </w:pPr>
          </w:p>
        </w:tc>
        <w:tc>
          <w:tcPr>
            <w:tcW w:w="3066" w:type="dxa"/>
            <w:vMerge/>
            <w:tcBorders>
              <w:top w:val="single" w:sz="8" w:space="0" w:color="auto"/>
              <w:left w:val="single" w:sz="8" w:space="0" w:color="auto"/>
              <w:bottom w:val="single" w:sz="8" w:space="0" w:color="000000"/>
              <w:right w:val="single" w:sz="8" w:space="0" w:color="auto"/>
            </w:tcBorders>
            <w:vAlign w:val="center"/>
            <w:hideMark/>
          </w:tcPr>
          <w:p w:rsidR="00432A7F" w:rsidRPr="00432A7F" w:rsidRDefault="00432A7F" w:rsidP="00432A7F">
            <w:pPr>
              <w:spacing w:after="0" w:line="240" w:lineRule="auto"/>
              <w:rPr>
                <w:rFonts w:ascii="Calibri" w:eastAsia="Times New Roman" w:hAnsi="Calibri" w:cs="Times New Roman"/>
                <w:color w:val="000000"/>
                <w:sz w:val="18"/>
                <w:szCs w:val="18"/>
                <w:lang w:eastAsia="pl-PL"/>
              </w:rPr>
            </w:pPr>
          </w:p>
        </w:tc>
        <w:tc>
          <w:tcPr>
            <w:tcW w:w="1062" w:type="dxa"/>
            <w:tcBorders>
              <w:top w:val="nil"/>
              <w:left w:val="nil"/>
              <w:bottom w:val="single" w:sz="8" w:space="0" w:color="auto"/>
              <w:right w:val="single" w:sz="8" w:space="0" w:color="auto"/>
            </w:tcBorders>
            <w:shd w:val="clear" w:color="000000" w:fill="D9D9D9"/>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Wartość docelowa dla okresu sprawozdawczego</w:t>
            </w:r>
          </w:p>
        </w:tc>
        <w:tc>
          <w:tcPr>
            <w:tcW w:w="1134" w:type="dxa"/>
            <w:tcBorders>
              <w:top w:val="nil"/>
              <w:left w:val="nil"/>
              <w:bottom w:val="single" w:sz="8" w:space="0" w:color="auto"/>
              <w:right w:val="single" w:sz="8" w:space="0" w:color="auto"/>
            </w:tcBorders>
            <w:shd w:val="clear" w:color="000000" w:fill="D9D9D9"/>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Wartość osiągnięta</w:t>
            </w:r>
            <w:r w:rsidRPr="00432A7F">
              <w:rPr>
                <w:rFonts w:ascii="Calibri" w:eastAsia="Times New Roman" w:hAnsi="Calibri" w:cs="Times New Roman"/>
                <w:color w:val="000000"/>
                <w:sz w:val="18"/>
                <w:szCs w:val="18"/>
                <w:vertAlign w:val="superscript"/>
                <w:lang w:eastAsia="pl-PL"/>
              </w:rPr>
              <w:t xml:space="preserve"> </w:t>
            </w:r>
          </w:p>
        </w:tc>
        <w:tc>
          <w:tcPr>
            <w:tcW w:w="1134" w:type="dxa"/>
            <w:tcBorders>
              <w:top w:val="nil"/>
              <w:left w:val="nil"/>
              <w:bottom w:val="single" w:sz="8" w:space="0" w:color="auto"/>
              <w:right w:val="single" w:sz="8" w:space="0" w:color="auto"/>
            </w:tcBorders>
            <w:shd w:val="clear" w:color="000000" w:fill="D9D9D9"/>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realizacji wartości docelowej dla okresu sprawozdawczego</w:t>
            </w:r>
          </w:p>
        </w:tc>
        <w:tc>
          <w:tcPr>
            <w:tcW w:w="1096" w:type="dxa"/>
            <w:tcBorders>
              <w:top w:val="nil"/>
              <w:left w:val="nil"/>
              <w:bottom w:val="single" w:sz="8" w:space="0" w:color="auto"/>
              <w:right w:val="single" w:sz="8" w:space="0" w:color="auto"/>
            </w:tcBorders>
            <w:shd w:val="clear" w:color="000000" w:fill="D9D9D9"/>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Wartość docelowa dla 2025 r.</w:t>
            </w:r>
          </w:p>
        </w:tc>
        <w:tc>
          <w:tcPr>
            <w:tcW w:w="1280" w:type="dxa"/>
            <w:tcBorders>
              <w:top w:val="nil"/>
              <w:left w:val="nil"/>
              <w:bottom w:val="single" w:sz="8" w:space="0" w:color="auto"/>
              <w:right w:val="single" w:sz="8" w:space="0" w:color="auto"/>
            </w:tcBorders>
            <w:shd w:val="clear" w:color="000000" w:fill="D9D9D9"/>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Wartość szacowana na dzień zakończenia realizacji projektu (na podstawie wszystkich podpisanych umów)</w:t>
            </w:r>
          </w:p>
        </w:tc>
        <w:tc>
          <w:tcPr>
            <w:tcW w:w="1130" w:type="dxa"/>
            <w:tcBorders>
              <w:top w:val="nil"/>
              <w:left w:val="nil"/>
              <w:bottom w:val="single" w:sz="8" w:space="0" w:color="auto"/>
              <w:right w:val="single" w:sz="8" w:space="0" w:color="auto"/>
            </w:tcBorders>
            <w:shd w:val="clear" w:color="000000" w:fill="D9D9D9"/>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Wartość osiągnięta od początku realizacji programu</w:t>
            </w:r>
          </w:p>
        </w:tc>
        <w:tc>
          <w:tcPr>
            <w:tcW w:w="1030" w:type="dxa"/>
            <w:tcBorders>
              <w:top w:val="nil"/>
              <w:left w:val="nil"/>
              <w:bottom w:val="single" w:sz="8" w:space="0" w:color="auto"/>
              <w:right w:val="single" w:sz="8" w:space="0" w:color="auto"/>
            </w:tcBorders>
            <w:shd w:val="clear" w:color="000000" w:fill="D9D9D9"/>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realizacji wartości docelowej dla 2025 r.</w:t>
            </w:r>
          </w:p>
        </w:tc>
      </w:tr>
      <w:tr w:rsidR="00432A7F" w:rsidRPr="00432A7F" w:rsidTr="001B1C60">
        <w:trPr>
          <w:trHeight w:val="266"/>
          <w:tblHeader/>
        </w:trPr>
        <w:tc>
          <w:tcPr>
            <w:tcW w:w="980" w:type="dxa"/>
            <w:tcBorders>
              <w:top w:val="nil"/>
              <w:left w:val="single" w:sz="8" w:space="0" w:color="auto"/>
              <w:bottom w:val="single" w:sz="8" w:space="0" w:color="auto"/>
              <w:right w:val="single" w:sz="8" w:space="0" w:color="auto"/>
            </w:tcBorders>
            <w:shd w:val="clear" w:color="000000" w:fill="D9D9D9"/>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1</w:t>
            </w:r>
          </w:p>
        </w:tc>
        <w:tc>
          <w:tcPr>
            <w:tcW w:w="1010" w:type="dxa"/>
            <w:tcBorders>
              <w:top w:val="nil"/>
              <w:left w:val="nil"/>
              <w:bottom w:val="single" w:sz="8" w:space="0" w:color="auto"/>
              <w:right w:val="single" w:sz="8" w:space="0" w:color="auto"/>
            </w:tcBorders>
            <w:shd w:val="clear" w:color="000000" w:fill="D9D9D9"/>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2</w:t>
            </w:r>
          </w:p>
        </w:tc>
        <w:tc>
          <w:tcPr>
            <w:tcW w:w="1040" w:type="dxa"/>
            <w:tcBorders>
              <w:top w:val="nil"/>
              <w:left w:val="nil"/>
              <w:bottom w:val="single" w:sz="8" w:space="0" w:color="auto"/>
              <w:right w:val="single" w:sz="8" w:space="0" w:color="auto"/>
            </w:tcBorders>
            <w:shd w:val="clear" w:color="000000" w:fill="D9D9D9"/>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3</w:t>
            </w:r>
          </w:p>
        </w:tc>
        <w:tc>
          <w:tcPr>
            <w:tcW w:w="3066" w:type="dxa"/>
            <w:tcBorders>
              <w:top w:val="nil"/>
              <w:left w:val="nil"/>
              <w:bottom w:val="single" w:sz="8" w:space="0" w:color="auto"/>
              <w:right w:val="single" w:sz="8" w:space="0" w:color="auto"/>
            </w:tcBorders>
            <w:shd w:val="clear" w:color="000000" w:fill="D9D9D9"/>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4</w:t>
            </w:r>
          </w:p>
        </w:tc>
        <w:tc>
          <w:tcPr>
            <w:tcW w:w="1062" w:type="dxa"/>
            <w:tcBorders>
              <w:top w:val="nil"/>
              <w:left w:val="nil"/>
              <w:bottom w:val="single" w:sz="8" w:space="0" w:color="auto"/>
              <w:right w:val="single" w:sz="8" w:space="0" w:color="auto"/>
            </w:tcBorders>
            <w:shd w:val="clear" w:color="000000" w:fill="D9D9D9"/>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5</w:t>
            </w:r>
          </w:p>
        </w:tc>
        <w:tc>
          <w:tcPr>
            <w:tcW w:w="1134" w:type="dxa"/>
            <w:tcBorders>
              <w:top w:val="nil"/>
              <w:left w:val="nil"/>
              <w:bottom w:val="single" w:sz="8" w:space="0" w:color="auto"/>
              <w:right w:val="single" w:sz="8" w:space="0" w:color="auto"/>
            </w:tcBorders>
            <w:shd w:val="clear" w:color="000000" w:fill="D9D9D9"/>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6</w:t>
            </w:r>
          </w:p>
        </w:tc>
        <w:tc>
          <w:tcPr>
            <w:tcW w:w="1134" w:type="dxa"/>
            <w:tcBorders>
              <w:top w:val="nil"/>
              <w:left w:val="nil"/>
              <w:bottom w:val="single" w:sz="8" w:space="0" w:color="auto"/>
              <w:right w:val="single" w:sz="8" w:space="0" w:color="auto"/>
            </w:tcBorders>
            <w:shd w:val="clear" w:color="000000" w:fill="D9D9D9"/>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7=6/5*100%</w:t>
            </w:r>
          </w:p>
        </w:tc>
        <w:tc>
          <w:tcPr>
            <w:tcW w:w="1096" w:type="dxa"/>
            <w:tcBorders>
              <w:top w:val="nil"/>
              <w:left w:val="nil"/>
              <w:bottom w:val="single" w:sz="8" w:space="0" w:color="auto"/>
              <w:right w:val="single" w:sz="8" w:space="0" w:color="auto"/>
            </w:tcBorders>
            <w:shd w:val="clear" w:color="000000" w:fill="D9D9D9"/>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8</w:t>
            </w:r>
          </w:p>
        </w:tc>
        <w:tc>
          <w:tcPr>
            <w:tcW w:w="1280" w:type="dxa"/>
            <w:tcBorders>
              <w:top w:val="nil"/>
              <w:left w:val="nil"/>
              <w:bottom w:val="single" w:sz="8" w:space="0" w:color="auto"/>
              <w:right w:val="single" w:sz="8" w:space="0" w:color="auto"/>
            </w:tcBorders>
            <w:shd w:val="clear" w:color="000000" w:fill="D9D9D9"/>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9</w:t>
            </w:r>
          </w:p>
        </w:tc>
        <w:tc>
          <w:tcPr>
            <w:tcW w:w="1130" w:type="dxa"/>
            <w:tcBorders>
              <w:top w:val="nil"/>
              <w:left w:val="nil"/>
              <w:bottom w:val="single" w:sz="8" w:space="0" w:color="auto"/>
              <w:right w:val="single" w:sz="8" w:space="0" w:color="auto"/>
            </w:tcBorders>
            <w:shd w:val="clear" w:color="000000" w:fill="D9D9D9"/>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10</w:t>
            </w:r>
          </w:p>
        </w:tc>
        <w:tc>
          <w:tcPr>
            <w:tcW w:w="1030" w:type="dxa"/>
            <w:tcBorders>
              <w:top w:val="nil"/>
              <w:left w:val="nil"/>
              <w:bottom w:val="single" w:sz="8" w:space="0" w:color="auto"/>
              <w:right w:val="single" w:sz="8" w:space="0" w:color="auto"/>
            </w:tcBorders>
            <w:shd w:val="clear" w:color="000000" w:fill="D9D9D9"/>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11=10/8*100%</w:t>
            </w:r>
          </w:p>
        </w:tc>
      </w:tr>
      <w:tr w:rsidR="00432A7F" w:rsidRPr="00432A7F" w:rsidTr="001B1C60">
        <w:trPr>
          <w:trHeight w:val="372"/>
        </w:trPr>
        <w:tc>
          <w:tcPr>
            <w:tcW w:w="13962" w:type="dxa"/>
            <w:gridSpan w:val="11"/>
            <w:tcBorders>
              <w:top w:val="single" w:sz="8" w:space="0" w:color="auto"/>
              <w:left w:val="single" w:sz="8" w:space="0" w:color="auto"/>
              <w:bottom w:val="nil"/>
              <w:right w:val="single" w:sz="8" w:space="0" w:color="auto"/>
            </w:tcBorders>
            <w:shd w:val="clear" w:color="auto" w:fill="FFFFFF" w:themeFill="background1"/>
            <w:vAlign w:val="center"/>
          </w:tcPr>
          <w:p w:rsidR="00432A7F" w:rsidRPr="00432A7F" w:rsidRDefault="00432A7F" w:rsidP="00432A7F">
            <w:pPr>
              <w:spacing w:after="0" w:line="240" w:lineRule="auto"/>
              <w:rPr>
                <w:rFonts w:ascii="Calibri" w:eastAsia="Times New Roman" w:hAnsi="Calibri" w:cs="Times New Roman"/>
                <w:color w:val="000000"/>
                <w:sz w:val="18"/>
                <w:szCs w:val="18"/>
                <w:lang w:eastAsia="pl-PL"/>
              </w:rPr>
            </w:pPr>
            <w:r w:rsidRPr="00432A7F">
              <w:rPr>
                <w:rFonts w:ascii="Calibri" w:eastAsia="Times New Roman" w:hAnsi="Calibri" w:cs="Times New Roman"/>
                <w:color w:val="C00000"/>
                <w:sz w:val="18"/>
                <w:szCs w:val="18"/>
                <w:lang w:eastAsia="pl-PL"/>
              </w:rPr>
              <w:t>Cel główny</w:t>
            </w:r>
          </w:p>
        </w:tc>
      </w:tr>
      <w:tr w:rsidR="00432A7F" w:rsidRPr="00432A7F" w:rsidTr="00420098">
        <w:trPr>
          <w:trHeight w:val="758"/>
        </w:trPr>
        <w:tc>
          <w:tcPr>
            <w:tcW w:w="980" w:type="dxa"/>
            <w:tcBorders>
              <w:top w:val="single" w:sz="4" w:space="0" w:color="808080"/>
              <w:left w:val="single" w:sz="4" w:space="0" w:color="808080"/>
              <w:bottom w:val="single" w:sz="4" w:space="0" w:color="808080"/>
              <w:right w:val="single" w:sz="4" w:space="0" w:color="808080"/>
            </w:tcBorders>
            <w:shd w:val="clear" w:color="000000" w:fill="E8F0F8"/>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CG_R_1</w:t>
            </w:r>
          </w:p>
        </w:tc>
        <w:tc>
          <w:tcPr>
            <w:tcW w:w="1010" w:type="dxa"/>
            <w:tcBorders>
              <w:top w:val="single" w:sz="4" w:space="0" w:color="808080"/>
              <w:left w:val="nil"/>
              <w:bottom w:val="single" w:sz="4" w:space="0" w:color="808080"/>
              <w:right w:val="single" w:sz="4" w:space="0" w:color="808080"/>
            </w:tcBorders>
            <w:shd w:val="clear" w:color="000000" w:fill="E8F0F8"/>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nie dotyczy</w:t>
            </w:r>
          </w:p>
        </w:tc>
        <w:tc>
          <w:tcPr>
            <w:tcW w:w="1040" w:type="dxa"/>
            <w:tcBorders>
              <w:top w:val="single" w:sz="4" w:space="0" w:color="808080"/>
              <w:left w:val="nil"/>
              <w:bottom w:val="single" w:sz="4" w:space="0" w:color="808080"/>
              <w:right w:val="single" w:sz="4" w:space="0" w:color="808080"/>
            </w:tcBorders>
            <w:shd w:val="clear" w:color="000000" w:fill="E8F0F8"/>
            <w:noWrap/>
            <w:vAlign w:val="center"/>
            <w:hideMark/>
          </w:tcPr>
          <w:p w:rsidR="00432A7F" w:rsidRPr="00432A7F" w:rsidRDefault="00432A7F" w:rsidP="00432A7F">
            <w:pPr>
              <w:spacing w:after="0" w:line="240" w:lineRule="auto"/>
              <w:jc w:val="center"/>
              <w:rPr>
                <w:rFonts w:ascii="Calibri" w:eastAsia="Times New Roman" w:hAnsi="Calibri" w:cs="Times New Roman"/>
                <w:bCs/>
                <w:color w:val="000000"/>
                <w:sz w:val="18"/>
                <w:szCs w:val="18"/>
                <w:lang w:eastAsia="pl-PL"/>
              </w:rPr>
            </w:pPr>
            <w:r w:rsidRPr="00432A7F">
              <w:rPr>
                <w:rFonts w:ascii="Calibri" w:eastAsia="Times New Roman" w:hAnsi="Calibri" w:cs="Times New Roman"/>
                <w:bCs/>
                <w:color w:val="000000"/>
                <w:sz w:val="18"/>
                <w:szCs w:val="18"/>
                <w:lang w:eastAsia="pl-PL"/>
              </w:rPr>
              <w:t>rezultat</w:t>
            </w:r>
          </w:p>
        </w:tc>
        <w:tc>
          <w:tcPr>
            <w:tcW w:w="3066" w:type="dxa"/>
            <w:tcBorders>
              <w:top w:val="single" w:sz="4" w:space="0" w:color="808080"/>
              <w:left w:val="nil"/>
              <w:bottom w:val="single" w:sz="4" w:space="0" w:color="808080"/>
              <w:right w:val="single" w:sz="4" w:space="0" w:color="808080"/>
            </w:tcBorders>
            <w:shd w:val="clear" w:color="000000" w:fill="E8F0F8"/>
            <w:vAlign w:val="center"/>
            <w:hideMark/>
          </w:tcPr>
          <w:p w:rsidR="00432A7F" w:rsidRPr="00432A7F" w:rsidRDefault="00432A7F" w:rsidP="00432A7F">
            <w:pPr>
              <w:spacing w:after="0" w:line="240" w:lineRule="auto"/>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Poziom czytelnictwa (czytanie przynajmniej jednej książki w ciągu roku)</w:t>
            </w:r>
          </w:p>
        </w:tc>
        <w:tc>
          <w:tcPr>
            <w:tcW w:w="1062" w:type="dxa"/>
            <w:tcBorders>
              <w:top w:val="single" w:sz="4" w:space="0" w:color="808080"/>
              <w:left w:val="nil"/>
              <w:bottom w:val="single" w:sz="4" w:space="0" w:color="808080"/>
              <w:right w:val="single" w:sz="4" w:space="0" w:color="808080"/>
            </w:tcBorders>
            <w:shd w:val="clear" w:color="000000" w:fill="E8F0F8"/>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39,0%</w:t>
            </w:r>
          </w:p>
        </w:tc>
        <w:tc>
          <w:tcPr>
            <w:tcW w:w="1134" w:type="dxa"/>
            <w:tcBorders>
              <w:top w:val="single" w:sz="4" w:space="0" w:color="808080"/>
              <w:left w:val="nil"/>
              <w:bottom w:val="single" w:sz="4" w:space="0" w:color="808080"/>
              <w:right w:val="single" w:sz="4" w:space="0" w:color="808080"/>
            </w:tcBorders>
            <w:shd w:val="clear" w:color="000000" w:fill="E8F0F8"/>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Calibri" w:hAnsi="Calibri" w:cs="Times New Roman"/>
                <w:color w:val="000000"/>
                <w:sz w:val="18"/>
                <w:szCs w:val="18"/>
              </w:rPr>
              <w:t>38,0%</w:t>
            </w:r>
          </w:p>
        </w:tc>
        <w:tc>
          <w:tcPr>
            <w:tcW w:w="1134" w:type="dxa"/>
            <w:tcBorders>
              <w:top w:val="single" w:sz="4" w:space="0" w:color="808080"/>
              <w:left w:val="nil"/>
              <w:bottom w:val="single" w:sz="4" w:space="0" w:color="808080"/>
              <w:right w:val="single" w:sz="4" w:space="0" w:color="808080"/>
            </w:tcBorders>
            <w:shd w:val="clear" w:color="000000" w:fill="E8F0F8"/>
            <w:noWrap/>
            <w:vAlign w:val="center"/>
            <w:hideMark/>
          </w:tcPr>
          <w:p w:rsidR="00432A7F" w:rsidRPr="00432A7F" w:rsidRDefault="00432A7F" w:rsidP="00432A7F">
            <w:pPr>
              <w:spacing w:after="0" w:line="240" w:lineRule="auto"/>
              <w:jc w:val="center"/>
              <w:rPr>
                <w:rFonts w:ascii="Calibri" w:eastAsia="Times New Roman" w:hAnsi="Calibri" w:cs="Times New Roman"/>
                <w:bCs/>
                <w:color w:val="C00000"/>
                <w:sz w:val="18"/>
                <w:szCs w:val="18"/>
                <w:lang w:eastAsia="pl-PL"/>
              </w:rPr>
            </w:pPr>
            <w:r w:rsidRPr="00432A7F">
              <w:rPr>
                <w:rFonts w:ascii="Calibri" w:eastAsia="Calibri" w:hAnsi="Calibri" w:cs="Times New Roman"/>
                <w:b/>
                <w:bCs/>
                <w:color w:val="C00000"/>
                <w:sz w:val="18"/>
                <w:szCs w:val="18"/>
              </w:rPr>
              <w:t>97,4%</w:t>
            </w:r>
          </w:p>
        </w:tc>
        <w:tc>
          <w:tcPr>
            <w:tcW w:w="1096" w:type="dxa"/>
            <w:tcBorders>
              <w:top w:val="single" w:sz="4" w:space="0" w:color="808080"/>
              <w:left w:val="nil"/>
              <w:bottom w:val="single" w:sz="4" w:space="0" w:color="808080"/>
              <w:right w:val="single" w:sz="4" w:space="0" w:color="808080"/>
            </w:tcBorders>
            <w:shd w:val="clear" w:color="000000" w:fill="E8F0F8"/>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41,0%</w:t>
            </w:r>
          </w:p>
        </w:tc>
        <w:tc>
          <w:tcPr>
            <w:tcW w:w="1280" w:type="dxa"/>
            <w:tcBorders>
              <w:top w:val="single" w:sz="4" w:space="0" w:color="808080"/>
              <w:left w:val="nil"/>
              <w:bottom w:val="single" w:sz="4" w:space="0" w:color="808080"/>
              <w:right w:val="single" w:sz="4" w:space="0" w:color="808080"/>
            </w:tcBorders>
            <w:shd w:val="clear" w:color="000000" w:fill="E8F0F8"/>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nie dotyczy</w:t>
            </w:r>
          </w:p>
        </w:tc>
        <w:tc>
          <w:tcPr>
            <w:tcW w:w="1130" w:type="dxa"/>
            <w:tcBorders>
              <w:top w:val="single" w:sz="4" w:space="0" w:color="808080"/>
              <w:left w:val="nil"/>
              <w:bottom w:val="single" w:sz="4" w:space="0" w:color="808080"/>
              <w:right w:val="single" w:sz="4" w:space="0" w:color="808080"/>
            </w:tcBorders>
            <w:shd w:val="clear" w:color="000000" w:fill="E8F0F8"/>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Calibri" w:hAnsi="Calibri" w:cs="Times New Roman"/>
                <w:color w:val="000000"/>
                <w:sz w:val="18"/>
                <w:szCs w:val="18"/>
              </w:rPr>
              <w:t>38,0%</w:t>
            </w:r>
          </w:p>
        </w:tc>
        <w:tc>
          <w:tcPr>
            <w:tcW w:w="1030" w:type="dxa"/>
            <w:tcBorders>
              <w:top w:val="single" w:sz="4" w:space="0" w:color="808080"/>
              <w:left w:val="nil"/>
              <w:bottom w:val="single" w:sz="4" w:space="0" w:color="808080"/>
              <w:right w:val="single" w:sz="4" w:space="0" w:color="808080"/>
            </w:tcBorders>
            <w:shd w:val="clear" w:color="000000" w:fill="C5D9F1"/>
            <w:noWrap/>
            <w:vAlign w:val="center"/>
            <w:hideMark/>
          </w:tcPr>
          <w:p w:rsidR="00432A7F" w:rsidRPr="00432A7F" w:rsidRDefault="00432A7F" w:rsidP="00432A7F">
            <w:pPr>
              <w:spacing w:after="0" w:line="240" w:lineRule="auto"/>
              <w:jc w:val="center"/>
              <w:rPr>
                <w:rFonts w:ascii="Calibri" w:eastAsia="Times New Roman" w:hAnsi="Calibri" w:cs="Times New Roman"/>
                <w:bCs/>
                <w:color w:val="FF0000"/>
                <w:sz w:val="18"/>
                <w:szCs w:val="18"/>
                <w:lang w:eastAsia="pl-PL"/>
              </w:rPr>
            </w:pPr>
            <w:r w:rsidRPr="00432A7F">
              <w:rPr>
                <w:rFonts w:ascii="Calibri" w:eastAsia="Calibri" w:hAnsi="Calibri" w:cs="Times New Roman"/>
                <w:b/>
                <w:bCs/>
                <w:color w:val="FF0000"/>
                <w:sz w:val="18"/>
                <w:szCs w:val="18"/>
              </w:rPr>
              <w:t>92,7%</w:t>
            </w:r>
          </w:p>
        </w:tc>
      </w:tr>
      <w:tr w:rsidR="00432A7F" w:rsidRPr="00432A7F" w:rsidTr="00420098">
        <w:trPr>
          <w:trHeight w:val="756"/>
        </w:trPr>
        <w:tc>
          <w:tcPr>
            <w:tcW w:w="980" w:type="dxa"/>
            <w:tcBorders>
              <w:top w:val="nil"/>
              <w:left w:val="single" w:sz="4" w:space="0" w:color="808080"/>
              <w:bottom w:val="single" w:sz="4" w:space="0" w:color="808080"/>
              <w:right w:val="single" w:sz="4" w:space="0" w:color="808080"/>
            </w:tcBorders>
            <w:shd w:val="clear" w:color="000000" w:fill="E8F0F8"/>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CG_R_2</w:t>
            </w:r>
          </w:p>
        </w:tc>
        <w:tc>
          <w:tcPr>
            <w:tcW w:w="1010" w:type="dxa"/>
            <w:tcBorders>
              <w:top w:val="nil"/>
              <w:left w:val="nil"/>
              <w:bottom w:val="single" w:sz="4" w:space="0" w:color="808080"/>
              <w:right w:val="single" w:sz="4" w:space="0" w:color="808080"/>
            </w:tcBorders>
            <w:shd w:val="clear" w:color="000000" w:fill="E8F0F8"/>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nie dotyczy</w:t>
            </w:r>
          </w:p>
        </w:tc>
        <w:tc>
          <w:tcPr>
            <w:tcW w:w="1040" w:type="dxa"/>
            <w:tcBorders>
              <w:top w:val="nil"/>
              <w:left w:val="nil"/>
              <w:bottom w:val="single" w:sz="4" w:space="0" w:color="808080"/>
              <w:right w:val="single" w:sz="4" w:space="0" w:color="808080"/>
            </w:tcBorders>
            <w:shd w:val="clear" w:color="000000" w:fill="E8F0F8"/>
            <w:noWrap/>
            <w:vAlign w:val="center"/>
            <w:hideMark/>
          </w:tcPr>
          <w:p w:rsidR="00432A7F" w:rsidRPr="00432A7F" w:rsidRDefault="00432A7F" w:rsidP="00432A7F">
            <w:pPr>
              <w:spacing w:after="0" w:line="240" w:lineRule="auto"/>
              <w:jc w:val="center"/>
              <w:rPr>
                <w:rFonts w:ascii="Calibri" w:eastAsia="Times New Roman" w:hAnsi="Calibri" w:cs="Times New Roman"/>
                <w:bCs/>
                <w:color w:val="000000"/>
                <w:sz w:val="18"/>
                <w:szCs w:val="18"/>
                <w:lang w:eastAsia="pl-PL"/>
              </w:rPr>
            </w:pPr>
            <w:r w:rsidRPr="00432A7F">
              <w:rPr>
                <w:rFonts w:ascii="Calibri" w:eastAsia="Times New Roman" w:hAnsi="Calibri" w:cs="Times New Roman"/>
                <w:bCs/>
                <w:color w:val="000000"/>
                <w:sz w:val="18"/>
                <w:szCs w:val="18"/>
                <w:lang w:eastAsia="pl-PL"/>
              </w:rPr>
              <w:t>rezultat</w:t>
            </w:r>
          </w:p>
        </w:tc>
        <w:tc>
          <w:tcPr>
            <w:tcW w:w="3066" w:type="dxa"/>
            <w:tcBorders>
              <w:top w:val="nil"/>
              <w:left w:val="nil"/>
              <w:bottom w:val="single" w:sz="4" w:space="0" w:color="808080"/>
              <w:right w:val="single" w:sz="4" w:space="0" w:color="808080"/>
            </w:tcBorders>
            <w:shd w:val="clear" w:color="000000" w:fill="E8F0F8"/>
            <w:vAlign w:val="center"/>
            <w:hideMark/>
          </w:tcPr>
          <w:p w:rsidR="00432A7F" w:rsidRPr="00432A7F" w:rsidRDefault="00432A7F" w:rsidP="00432A7F">
            <w:pPr>
              <w:spacing w:after="0" w:line="240" w:lineRule="auto"/>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Poziom wykorzystania nowości wydawniczych zakupionych do bibliotek szkolnych w ramach NPRCz 2.0.</w:t>
            </w:r>
          </w:p>
        </w:tc>
        <w:tc>
          <w:tcPr>
            <w:tcW w:w="1062" w:type="dxa"/>
            <w:tcBorders>
              <w:top w:val="nil"/>
              <w:left w:val="nil"/>
              <w:bottom w:val="single" w:sz="4" w:space="0" w:color="808080"/>
              <w:right w:val="single" w:sz="4" w:space="0" w:color="808080"/>
            </w:tcBorders>
            <w:shd w:val="clear" w:color="000000" w:fill="E8F0F8"/>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65,0%</w:t>
            </w:r>
          </w:p>
        </w:tc>
        <w:tc>
          <w:tcPr>
            <w:tcW w:w="1134" w:type="dxa"/>
            <w:tcBorders>
              <w:top w:val="nil"/>
              <w:left w:val="nil"/>
              <w:bottom w:val="single" w:sz="4" w:space="0" w:color="808080"/>
              <w:right w:val="single" w:sz="4" w:space="0" w:color="808080"/>
            </w:tcBorders>
            <w:shd w:val="clear" w:color="000000" w:fill="E8F0F8"/>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68,0%</w:t>
            </w:r>
          </w:p>
        </w:tc>
        <w:tc>
          <w:tcPr>
            <w:tcW w:w="1134" w:type="dxa"/>
            <w:tcBorders>
              <w:top w:val="nil"/>
              <w:left w:val="nil"/>
              <w:bottom w:val="single" w:sz="4" w:space="0" w:color="808080"/>
              <w:right w:val="single" w:sz="4" w:space="0" w:color="808080"/>
            </w:tcBorders>
            <w:shd w:val="clear" w:color="000000" w:fill="E8F0F8"/>
            <w:noWrap/>
            <w:vAlign w:val="center"/>
            <w:hideMark/>
          </w:tcPr>
          <w:p w:rsidR="00432A7F" w:rsidRPr="00432A7F" w:rsidRDefault="00432A7F" w:rsidP="00432A7F">
            <w:pPr>
              <w:spacing w:after="0" w:line="240" w:lineRule="auto"/>
              <w:jc w:val="center"/>
              <w:rPr>
                <w:rFonts w:ascii="Calibri" w:eastAsia="Times New Roman" w:hAnsi="Calibri" w:cs="Times New Roman"/>
                <w:bCs/>
                <w:color w:val="C00000"/>
                <w:sz w:val="18"/>
                <w:szCs w:val="18"/>
                <w:lang w:eastAsia="pl-PL"/>
              </w:rPr>
            </w:pPr>
            <w:r w:rsidRPr="00432A7F">
              <w:rPr>
                <w:rFonts w:ascii="Calibri" w:eastAsia="Times New Roman" w:hAnsi="Calibri" w:cs="Times New Roman"/>
                <w:bCs/>
                <w:color w:val="C00000"/>
                <w:sz w:val="18"/>
                <w:szCs w:val="18"/>
                <w:lang w:eastAsia="pl-PL"/>
              </w:rPr>
              <w:t>104,6%</w:t>
            </w:r>
          </w:p>
        </w:tc>
        <w:tc>
          <w:tcPr>
            <w:tcW w:w="1096" w:type="dxa"/>
            <w:tcBorders>
              <w:top w:val="nil"/>
              <w:left w:val="nil"/>
              <w:bottom w:val="single" w:sz="4" w:space="0" w:color="808080"/>
              <w:right w:val="single" w:sz="4" w:space="0" w:color="808080"/>
            </w:tcBorders>
            <w:shd w:val="clear" w:color="000000" w:fill="E8F0F8"/>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74,0%</w:t>
            </w:r>
          </w:p>
        </w:tc>
        <w:tc>
          <w:tcPr>
            <w:tcW w:w="1280" w:type="dxa"/>
            <w:tcBorders>
              <w:top w:val="nil"/>
              <w:left w:val="nil"/>
              <w:bottom w:val="single" w:sz="4" w:space="0" w:color="808080"/>
              <w:right w:val="single" w:sz="4" w:space="0" w:color="808080"/>
            </w:tcBorders>
            <w:shd w:val="clear" w:color="000000" w:fill="E8F0F8"/>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nie dotyczy</w:t>
            </w:r>
          </w:p>
        </w:tc>
        <w:tc>
          <w:tcPr>
            <w:tcW w:w="1130" w:type="dxa"/>
            <w:tcBorders>
              <w:top w:val="nil"/>
              <w:left w:val="nil"/>
              <w:bottom w:val="single" w:sz="4" w:space="0" w:color="808080"/>
              <w:right w:val="single" w:sz="4" w:space="0" w:color="808080"/>
            </w:tcBorders>
            <w:shd w:val="clear" w:color="000000" w:fill="E8F0F8"/>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68,0%</w:t>
            </w:r>
          </w:p>
        </w:tc>
        <w:tc>
          <w:tcPr>
            <w:tcW w:w="1030" w:type="dxa"/>
            <w:tcBorders>
              <w:top w:val="nil"/>
              <w:left w:val="nil"/>
              <w:bottom w:val="single" w:sz="4" w:space="0" w:color="808080"/>
              <w:right w:val="single" w:sz="4" w:space="0" w:color="808080"/>
            </w:tcBorders>
            <w:shd w:val="clear" w:color="000000" w:fill="C5D9F1"/>
            <w:noWrap/>
            <w:vAlign w:val="center"/>
            <w:hideMark/>
          </w:tcPr>
          <w:p w:rsidR="00432A7F" w:rsidRPr="00432A7F" w:rsidRDefault="00432A7F" w:rsidP="00432A7F">
            <w:pPr>
              <w:spacing w:after="0" w:line="240" w:lineRule="auto"/>
              <w:jc w:val="center"/>
              <w:rPr>
                <w:rFonts w:ascii="Calibri" w:eastAsia="Times New Roman" w:hAnsi="Calibri" w:cs="Times New Roman"/>
                <w:bCs/>
                <w:color w:val="FF0000"/>
                <w:sz w:val="18"/>
                <w:szCs w:val="18"/>
                <w:lang w:eastAsia="pl-PL"/>
              </w:rPr>
            </w:pPr>
            <w:r w:rsidRPr="00432A7F">
              <w:rPr>
                <w:rFonts w:ascii="Calibri" w:eastAsia="Times New Roman" w:hAnsi="Calibri" w:cs="Times New Roman"/>
                <w:bCs/>
                <w:color w:val="FF0000"/>
                <w:sz w:val="18"/>
                <w:szCs w:val="18"/>
                <w:lang w:eastAsia="pl-PL"/>
              </w:rPr>
              <w:t>91,9%</w:t>
            </w:r>
          </w:p>
        </w:tc>
      </w:tr>
      <w:tr w:rsidR="00432A7F" w:rsidRPr="00432A7F" w:rsidTr="00420098">
        <w:trPr>
          <w:trHeight w:val="639"/>
        </w:trPr>
        <w:tc>
          <w:tcPr>
            <w:tcW w:w="980" w:type="dxa"/>
            <w:tcBorders>
              <w:top w:val="nil"/>
              <w:left w:val="single" w:sz="4" w:space="0" w:color="808080"/>
              <w:bottom w:val="single" w:sz="4" w:space="0" w:color="808080"/>
              <w:right w:val="single" w:sz="4" w:space="0" w:color="808080"/>
            </w:tcBorders>
            <w:shd w:val="clear" w:color="000000" w:fill="E8F0F8"/>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CG_R_3</w:t>
            </w:r>
          </w:p>
        </w:tc>
        <w:tc>
          <w:tcPr>
            <w:tcW w:w="1010" w:type="dxa"/>
            <w:tcBorders>
              <w:top w:val="nil"/>
              <w:left w:val="nil"/>
              <w:bottom w:val="single" w:sz="4" w:space="0" w:color="808080"/>
              <w:right w:val="single" w:sz="4" w:space="0" w:color="808080"/>
            </w:tcBorders>
            <w:shd w:val="clear" w:color="000000" w:fill="E8F0F8"/>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nie dotyczy</w:t>
            </w:r>
          </w:p>
        </w:tc>
        <w:tc>
          <w:tcPr>
            <w:tcW w:w="1040" w:type="dxa"/>
            <w:tcBorders>
              <w:top w:val="nil"/>
              <w:left w:val="nil"/>
              <w:bottom w:val="single" w:sz="4" w:space="0" w:color="808080"/>
              <w:right w:val="single" w:sz="4" w:space="0" w:color="808080"/>
            </w:tcBorders>
            <w:shd w:val="clear" w:color="000000" w:fill="E8F0F8"/>
            <w:noWrap/>
            <w:vAlign w:val="center"/>
            <w:hideMark/>
          </w:tcPr>
          <w:p w:rsidR="00432A7F" w:rsidRPr="00432A7F" w:rsidRDefault="00432A7F" w:rsidP="00432A7F">
            <w:pPr>
              <w:spacing w:after="0" w:line="240" w:lineRule="auto"/>
              <w:jc w:val="center"/>
              <w:rPr>
                <w:rFonts w:ascii="Calibri" w:eastAsia="Times New Roman" w:hAnsi="Calibri" w:cs="Times New Roman"/>
                <w:bCs/>
                <w:color w:val="000000"/>
                <w:sz w:val="18"/>
                <w:szCs w:val="18"/>
                <w:lang w:eastAsia="pl-PL"/>
              </w:rPr>
            </w:pPr>
            <w:r w:rsidRPr="00432A7F">
              <w:rPr>
                <w:rFonts w:ascii="Calibri" w:eastAsia="Times New Roman" w:hAnsi="Calibri" w:cs="Times New Roman"/>
                <w:bCs/>
                <w:color w:val="000000"/>
                <w:sz w:val="18"/>
                <w:szCs w:val="18"/>
                <w:lang w:eastAsia="pl-PL"/>
              </w:rPr>
              <w:t>rezultat</w:t>
            </w:r>
          </w:p>
        </w:tc>
        <w:tc>
          <w:tcPr>
            <w:tcW w:w="3066" w:type="dxa"/>
            <w:tcBorders>
              <w:top w:val="nil"/>
              <w:left w:val="nil"/>
              <w:bottom w:val="single" w:sz="4" w:space="0" w:color="808080"/>
              <w:right w:val="single" w:sz="4" w:space="0" w:color="808080"/>
            </w:tcBorders>
            <w:shd w:val="clear" w:color="000000" w:fill="E8F0F8"/>
            <w:vAlign w:val="center"/>
            <w:hideMark/>
          </w:tcPr>
          <w:p w:rsidR="00432A7F" w:rsidRPr="00432A7F" w:rsidRDefault="00432A7F" w:rsidP="00432A7F">
            <w:pPr>
              <w:spacing w:after="0" w:line="240" w:lineRule="auto"/>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Poziom społecznego oddziaływania bibliotek </w:t>
            </w:r>
          </w:p>
        </w:tc>
        <w:tc>
          <w:tcPr>
            <w:tcW w:w="1062" w:type="dxa"/>
            <w:tcBorders>
              <w:top w:val="nil"/>
              <w:left w:val="nil"/>
              <w:bottom w:val="single" w:sz="4" w:space="0" w:color="808080"/>
              <w:right w:val="single" w:sz="4" w:space="0" w:color="808080"/>
            </w:tcBorders>
            <w:shd w:val="clear" w:color="000000" w:fill="E8F0F8"/>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18,0%</w:t>
            </w:r>
          </w:p>
        </w:tc>
        <w:tc>
          <w:tcPr>
            <w:tcW w:w="1134" w:type="dxa"/>
            <w:tcBorders>
              <w:top w:val="nil"/>
              <w:left w:val="nil"/>
              <w:bottom w:val="single" w:sz="4" w:space="0" w:color="808080"/>
              <w:right w:val="single" w:sz="4" w:space="0" w:color="808080"/>
            </w:tcBorders>
            <w:shd w:val="clear" w:color="000000" w:fill="E8F0F8"/>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Calibri" w:hAnsi="Calibri" w:cs="Times New Roman"/>
                <w:color w:val="000000"/>
                <w:sz w:val="18"/>
                <w:szCs w:val="18"/>
              </w:rPr>
              <w:t>15,7%</w:t>
            </w:r>
          </w:p>
        </w:tc>
        <w:tc>
          <w:tcPr>
            <w:tcW w:w="1134" w:type="dxa"/>
            <w:tcBorders>
              <w:top w:val="nil"/>
              <w:left w:val="nil"/>
              <w:bottom w:val="single" w:sz="4" w:space="0" w:color="808080"/>
              <w:right w:val="single" w:sz="4" w:space="0" w:color="808080"/>
            </w:tcBorders>
            <w:shd w:val="clear" w:color="000000" w:fill="E8F0F8"/>
            <w:noWrap/>
            <w:vAlign w:val="center"/>
            <w:hideMark/>
          </w:tcPr>
          <w:p w:rsidR="00432A7F" w:rsidRPr="00432A7F" w:rsidRDefault="00432A7F" w:rsidP="00432A7F">
            <w:pPr>
              <w:spacing w:after="0" w:line="240" w:lineRule="auto"/>
              <w:jc w:val="center"/>
              <w:rPr>
                <w:rFonts w:ascii="Calibri" w:eastAsia="Times New Roman" w:hAnsi="Calibri" w:cs="Times New Roman"/>
                <w:bCs/>
                <w:color w:val="C00000"/>
                <w:sz w:val="18"/>
                <w:szCs w:val="18"/>
                <w:lang w:eastAsia="pl-PL"/>
              </w:rPr>
            </w:pPr>
            <w:r w:rsidRPr="00432A7F">
              <w:rPr>
                <w:rFonts w:ascii="Calibri" w:eastAsia="Calibri" w:hAnsi="Calibri" w:cs="Times New Roman"/>
                <w:b/>
                <w:bCs/>
                <w:color w:val="C00000"/>
                <w:sz w:val="18"/>
                <w:szCs w:val="18"/>
              </w:rPr>
              <w:t>87,2%</w:t>
            </w:r>
          </w:p>
        </w:tc>
        <w:tc>
          <w:tcPr>
            <w:tcW w:w="1096" w:type="dxa"/>
            <w:tcBorders>
              <w:top w:val="nil"/>
              <w:left w:val="nil"/>
              <w:bottom w:val="single" w:sz="4" w:space="0" w:color="808080"/>
              <w:right w:val="single" w:sz="4" w:space="0" w:color="808080"/>
            </w:tcBorders>
            <w:shd w:val="clear" w:color="000000" w:fill="E8F0F8"/>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20,0%</w:t>
            </w:r>
          </w:p>
        </w:tc>
        <w:tc>
          <w:tcPr>
            <w:tcW w:w="1280" w:type="dxa"/>
            <w:tcBorders>
              <w:top w:val="nil"/>
              <w:left w:val="nil"/>
              <w:bottom w:val="single" w:sz="4" w:space="0" w:color="808080"/>
              <w:right w:val="single" w:sz="4" w:space="0" w:color="808080"/>
            </w:tcBorders>
            <w:shd w:val="clear" w:color="000000" w:fill="E8F0F8"/>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nie dotyczy</w:t>
            </w:r>
          </w:p>
        </w:tc>
        <w:tc>
          <w:tcPr>
            <w:tcW w:w="1130" w:type="dxa"/>
            <w:tcBorders>
              <w:top w:val="nil"/>
              <w:left w:val="nil"/>
              <w:bottom w:val="single" w:sz="4" w:space="0" w:color="808080"/>
              <w:right w:val="single" w:sz="4" w:space="0" w:color="808080"/>
            </w:tcBorders>
            <w:shd w:val="clear" w:color="000000" w:fill="E8F0F8"/>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Calibri" w:hAnsi="Calibri" w:cs="Times New Roman"/>
                <w:color w:val="000000"/>
                <w:sz w:val="18"/>
                <w:szCs w:val="18"/>
              </w:rPr>
              <w:t>15,7%</w:t>
            </w:r>
          </w:p>
        </w:tc>
        <w:tc>
          <w:tcPr>
            <w:tcW w:w="1030" w:type="dxa"/>
            <w:tcBorders>
              <w:top w:val="nil"/>
              <w:left w:val="nil"/>
              <w:bottom w:val="single" w:sz="4" w:space="0" w:color="808080"/>
              <w:right w:val="single" w:sz="4" w:space="0" w:color="808080"/>
            </w:tcBorders>
            <w:shd w:val="clear" w:color="000000" w:fill="C5D9F1"/>
            <w:noWrap/>
            <w:vAlign w:val="center"/>
            <w:hideMark/>
          </w:tcPr>
          <w:p w:rsidR="00432A7F" w:rsidRPr="00432A7F" w:rsidRDefault="00432A7F" w:rsidP="00432A7F">
            <w:pPr>
              <w:spacing w:after="0" w:line="240" w:lineRule="auto"/>
              <w:jc w:val="center"/>
              <w:rPr>
                <w:rFonts w:ascii="Calibri" w:eastAsia="Times New Roman" w:hAnsi="Calibri" w:cs="Times New Roman"/>
                <w:bCs/>
                <w:color w:val="FF0000"/>
                <w:sz w:val="18"/>
                <w:szCs w:val="18"/>
                <w:lang w:eastAsia="pl-PL"/>
              </w:rPr>
            </w:pPr>
            <w:r w:rsidRPr="00432A7F">
              <w:rPr>
                <w:rFonts w:ascii="Calibri" w:eastAsia="Calibri" w:hAnsi="Calibri" w:cs="Times New Roman"/>
                <w:b/>
                <w:bCs/>
                <w:color w:val="FF0000"/>
                <w:sz w:val="18"/>
                <w:szCs w:val="18"/>
              </w:rPr>
              <w:t>78,5%</w:t>
            </w:r>
          </w:p>
        </w:tc>
      </w:tr>
      <w:tr w:rsidR="00432A7F" w:rsidRPr="00432A7F" w:rsidTr="00420098">
        <w:trPr>
          <w:trHeight w:val="698"/>
        </w:trPr>
        <w:tc>
          <w:tcPr>
            <w:tcW w:w="980" w:type="dxa"/>
            <w:tcBorders>
              <w:top w:val="nil"/>
              <w:left w:val="single" w:sz="4" w:space="0" w:color="808080"/>
              <w:bottom w:val="single" w:sz="4" w:space="0" w:color="808080"/>
              <w:right w:val="single" w:sz="4" w:space="0" w:color="808080"/>
            </w:tcBorders>
            <w:shd w:val="clear" w:color="000000" w:fill="E8F0F8"/>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CG_P_1</w:t>
            </w:r>
          </w:p>
        </w:tc>
        <w:tc>
          <w:tcPr>
            <w:tcW w:w="1010" w:type="dxa"/>
            <w:tcBorders>
              <w:top w:val="nil"/>
              <w:left w:val="nil"/>
              <w:bottom w:val="single" w:sz="4" w:space="0" w:color="808080"/>
              <w:right w:val="single" w:sz="4" w:space="0" w:color="808080"/>
            </w:tcBorders>
            <w:shd w:val="clear" w:color="000000" w:fill="E8F0F8"/>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wartość dla Priorytetów 1-4 razem</w:t>
            </w:r>
          </w:p>
        </w:tc>
        <w:tc>
          <w:tcPr>
            <w:tcW w:w="1040" w:type="dxa"/>
            <w:tcBorders>
              <w:top w:val="nil"/>
              <w:left w:val="nil"/>
              <w:bottom w:val="single" w:sz="4" w:space="0" w:color="808080"/>
              <w:right w:val="single" w:sz="4" w:space="0" w:color="808080"/>
            </w:tcBorders>
            <w:shd w:val="clear" w:color="000000" w:fill="E8F0F8"/>
            <w:noWrap/>
            <w:vAlign w:val="center"/>
            <w:hideMark/>
          </w:tcPr>
          <w:p w:rsidR="00432A7F" w:rsidRPr="00432A7F" w:rsidRDefault="00432A7F" w:rsidP="00432A7F">
            <w:pPr>
              <w:spacing w:after="0" w:line="240" w:lineRule="auto"/>
              <w:jc w:val="center"/>
              <w:rPr>
                <w:rFonts w:ascii="Calibri" w:eastAsia="Times New Roman" w:hAnsi="Calibri" w:cs="Times New Roman"/>
                <w:bCs/>
                <w:color w:val="000000"/>
                <w:sz w:val="18"/>
                <w:szCs w:val="18"/>
                <w:lang w:eastAsia="pl-PL"/>
              </w:rPr>
            </w:pPr>
            <w:r w:rsidRPr="00432A7F">
              <w:rPr>
                <w:rFonts w:ascii="Calibri" w:eastAsia="Times New Roman" w:hAnsi="Calibri" w:cs="Times New Roman"/>
                <w:bCs/>
                <w:color w:val="000000"/>
                <w:sz w:val="18"/>
                <w:szCs w:val="18"/>
                <w:lang w:eastAsia="pl-PL"/>
              </w:rPr>
              <w:t>produkt</w:t>
            </w:r>
          </w:p>
        </w:tc>
        <w:tc>
          <w:tcPr>
            <w:tcW w:w="3066" w:type="dxa"/>
            <w:tcBorders>
              <w:top w:val="nil"/>
              <w:left w:val="nil"/>
              <w:bottom w:val="single" w:sz="4" w:space="0" w:color="808080"/>
              <w:right w:val="single" w:sz="4" w:space="0" w:color="808080"/>
            </w:tcBorders>
            <w:shd w:val="clear" w:color="000000" w:fill="E8F0F8"/>
            <w:vAlign w:val="center"/>
            <w:hideMark/>
          </w:tcPr>
          <w:p w:rsidR="00432A7F" w:rsidRPr="00432A7F" w:rsidRDefault="00432A7F" w:rsidP="00432A7F">
            <w:pPr>
              <w:spacing w:after="0" w:line="240" w:lineRule="auto"/>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Liczba bibliotek i placówek wychowania przedszkolnego objętych wsparciem w ramach NPRCz 2.0.</w:t>
            </w:r>
          </w:p>
        </w:tc>
        <w:tc>
          <w:tcPr>
            <w:tcW w:w="1062" w:type="dxa"/>
            <w:tcBorders>
              <w:top w:val="nil"/>
              <w:left w:val="nil"/>
              <w:bottom w:val="single" w:sz="4" w:space="0" w:color="808080"/>
              <w:right w:val="single" w:sz="4" w:space="0" w:color="808080"/>
            </w:tcBorders>
            <w:shd w:val="clear" w:color="000000" w:fill="E8F0F8"/>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5 900    </w:t>
            </w:r>
          </w:p>
        </w:tc>
        <w:tc>
          <w:tcPr>
            <w:tcW w:w="1134" w:type="dxa"/>
            <w:tcBorders>
              <w:top w:val="nil"/>
              <w:left w:val="nil"/>
              <w:bottom w:val="single" w:sz="4" w:space="0" w:color="808080"/>
              <w:right w:val="single" w:sz="4" w:space="0" w:color="808080"/>
            </w:tcBorders>
            <w:shd w:val="clear" w:color="000000" w:fill="E8F0F8"/>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5 791</w:t>
            </w:r>
            <w:r w:rsidRPr="00432A7F">
              <w:rPr>
                <w:rFonts w:ascii="Calibri" w:eastAsia="Times New Roman" w:hAnsi="Calibri" w:cs="Times New Roman"/>
                <w:color w:val="000000"/>
                <w:sz w:val="18"/>
                <w:szCs w:val="18"/>
                <w:vertAlign w:val="superscript"/>
                <w:lang w:eastAsia="pl-PL"/>
              </w:rPr>
              <w:footnoteReference w:id="9"/>
            </w:r>
            <w:r w:rsidRPr="00432A7F">
              <w:rPr>
                <w:rFonts w:ascii="Calibri" w:eastAsia="Times New Roman" w:hAnsi="Calibri" w:cs="Times New Roman"/>
                <w:color w:val="000000"/>
                <w:sz w:val="18"/>
                <w:szCs w:val="18"/>
                <w:lang w:eastAsia="pl-PL"/>
              </w:rPr>
              <w:t xml:space="preserve">    </w:t>
            </w:r>
          </w:p>
        </w:tc>
        <w:tc>
          <w:tcPr>
            <w:tcW w:w="1134" w:type="dxa"/>
            <w:tcBorders>
              <w:top w:val="nil"/>
              <w:left w:val="nil"/>
              <w:bottom w:val="single" w:sz="4" w:space="0" w:color="808080"/>
              <w:right w:val="single" w:sz="4" w:space="0" w:color="808080"/>
            </w:tcBorders>
            <w:shd w:val="clear" w:color="000000" w:fill="E8F0F8"/>
            <w:noWrap/>
            <w:vAlign w:val="center"/>
            <w:hideMark/>
          </w:tcPr>
          <w:p w:rsidR="00432A7F" w:rsidRPr="00432A7F" w:rsidRDefault="00432A7F" w:rsidP="00432A7F">
            <w:pPr>
              <w:spacing w:after="0" w:line="240" w:lineRule="auto"/>
              <w:jc w:val="center"/>
              <w:rPr>
                <w:rFonts w:ascii="Calibri" w:eastAsia="Times New Roman" w:hAnsi="Calibri" w:cs="Times New Roman"/>
                <w:bCs/>
                <w:color w:val="C00000"/>
                <w:sz w:val="18"/>
                <w:szCs w:val="18"/>
                <w:lang w:eastAsia="pl-PL"/>
              </w:rPr>
            </w:pPr>
            <w:r w:rsidRPr="00432A7F">
              <w:rPr>
                <w:rFonts w:ascii="Calibri" w:eastAsia="Times New Roman" w:hAnsi="Calibri" w:cs="Times New Roman"/>
                <w:bCs/>
                <w:color w:val="C00000"/>
                <w:sz w:val="18"/>
                <w:szCs w:val="18"/>
                <w:lang w:eastAsia="pl-PL"/>
              </w:rPr>
              <w:t>98,2%</w:t>
            </w:r>
          </w:p>
        </w:tc>
        <w:tc>
          <w:tcPr>
            <w:tcW w:w="1096" w:type="dxa"/>
            <w:tcBorders>
              <w:top w:val="nil"/>
              <w:left w:val="nil"/>
              <w:bottom w:val="single" w:sz="4" w:space="0" w:color="808080"/>
              <w:right w:val="single" w:sz="4" w:space="0" w:color="808080"/>
            </w:tcBorders>
            <w:shd w:val="clear" w:color="000000" w:fill="E8F0F8"/>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36 740    </w:t>
            </w:r>
          </w:p>
        </w:tc>
        <w:tc>
          <w:tcPr>
            <w:tcW w:w="1280" w:type="dxa"/>
            <w:tcBorders>
              <w:top w:val="nil"/>
              <w:left w:val="nil"/>
              <w:bottom w:val="single" w:sz="4" w:space="0" w:color="808080"/>
              <w:right w:val="single" w:sz="4" w:space="0" w:color="808080"/>
            </w:tcBorders>
            <w:shd w:val="clear" w:color="000000" w:fill="E8F0F8"/>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5 997    </w:t>
            </w:r>
          </w:p>
        </w:tc>
        <w:tc>
          <w:tcPr>
            <w:tcW w:w="1130" w:type="dxa"/>
            <w:tcBorders>
              <w:top w:val="nil"/>
              <w:left w:val="nil"/>
              <w:bottom w:val="single" w:sz="4" w:space="0" w:color="808080"/>
              <w:right w:val="single" w:sz="4" w:space="0" w:color="808080"/>
            </w:tcBorders>
            <w:shd w:val="clear" w:color="000000" w:fill="E8F0F8"/>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5 791    </w:t>
            </w:r>
          </w:p>
        </w:tc>
        <w:tc>
          <w:tcPr>
            <w:tcW w:w="1030" w:type="dxa"/>
            <w:tcBorders>
              <w:top w:val="nil"/>
              <w:left w:val="nil"/>
              <w:bottom w:val="single" w:sz="4" w:space="0" w:color="808080"/>
              <w:right w:val="single" w:sz="4" w:space="0" w:color="808080"/>
            </w:tcBorders>
            <w:shd w:val="clear" w:color="000000" w:fill="C5D9F1"/>
            <w:noWrap/>
            <w:vAlign w:val="center"/>
            <w:hideMark/>
          </w:tcPr>
          <w:p w:rsidR="00432A7F" w:rsidRPr="00432A7F" w:rsidRDefault="00432A7F" w:rsidP="00432A7F">
            <w:pPr>
              <w:spacing w:after="0" w:line="240" w:lineRule="auto"/>
              <w:jc w:val="center"/>
              <w:rPr>
                <w:rFonts w:ascii="Calibri" w:eastAsia="Times New Roman" w:hAnsi="Calibri" w:cs="Times New Roman"/>
                <w:bCs/>
                <w:color w:val="FF0000"/>
                <w:sz w:val="18"/>
                <w:szCs w:val="18"/>
                <w:lang w:eastAsia="pl-PL"/>
              </w:rPr>
            </w:pPr>
            <w:r w:rsidRPr="00432A7F">
              <w:rPr>
                <w:rFonts w:ascii="Calibri" w:eastAsia="Times New Roman" w:hAnsi="Calibri" w:cs="Times New Roman"/>
                <w:bCs/>
                <w:color w:val="FF0000"/>
                <w:sz w:val="18"/>
                <w:szCs w:val="18"/>
                <w:lang w:eastAsia="pl-PL"/>
              </w:rPr>
              <w:t>15,8%</w:t>
            </w:r>
            <w:r w:rsidRPr="00432A7F">
              <w:rPr>
                <w:rFonts w:ascii="Calibri" w:eastAsia="Times New Roman" w:hAnsi="Calibri" w:cs="Times New Roman"/>
                <w:bCs/>
                <w:sz w:val="18"/>
                <w:szCs w:val="18"/>
                <w:vertAlign w:val="superscript"/>
                <w:lang w:eastAsia="pl-PL"/>
              </w:rPr>
              <w:footnoteReference w:id="10"/>
            </w:r>
          </w:p>
        </w:tc>
      </w:tr>
      <w:tr w:rsidR="00432A7F" w:rsidRPr="00432A7F" w:rsidTr="00420098">
        <w:trPr>
          <w:trHeight w:val="454"/>
        </w:trPr>
        <w:tc>
          <w:tcPr>
            <w:tcW w:w="13962" w:type="dxa"/>
            <w:gridSpan w:val="11"/>
            <w:tcBorders>
              <w:top w:val="nil"/>
              <w:left w:val="single" w:sz="4" w:space="0" w:color="808080"/>
              <w:bottom w:val="single" w:sz="4" w:space="0" w:color="808080"/>
              <w:right w:val="single" w:sz="4" w:space="0" w:color="808080"/>
            </w:tcBorders>
            <w:shd w:val="clear" w:color="auto" w:fill="FFFFFF" w:themeFill="background1"/>
            <w:noWrap/>
            <w:vAlign w:val="center"/>
          </w:tcPr>
          <w:p w:rsidR="00432A7F" w:rsidRPr="00432A7F" w:rsidRDefault="00432A7F" w:rsidP="00432A7F">
            <w:pPr>
              <w:spacing w:after="0" w:line="240" w:lineRule="auto"/>
              <w:rPr>
                <w:rFonts w:ascii="Calibri" w:eastAsia="Times New Roman" w:hAnsi="Calibri" w:cs="Times New Roman"/>
                <w:bCs/>
                <w:color w:val="FF0000"/>
                <w:sz w:val="18"/>
                <w:szCs w:val="18"/>
                <w:lang w:eastAsia="pl-PL"/>
              </w:rPr>
            </w:pPr>
            <w:r w:rsidRPr="00432A7F">
              <w:rPr>
                <w:rFonts w:ascii="Calibri" w:eastAsia="Times New Roman" w:hAnsi="Calibri" w:cs="Times New Roman"/>
                <w:color w:val="C00000"/>
                <w:sz w:val="18"/>
                <w:szCs w:val="18"/>
                <w:lang w:eastAsia="pl-PL"/>
              </w:rPr>
              <w:lastRenderedPageBreak/>
              <w:t>Cel szczegółowy 1 / Priorytet 1</w:t>
            </w:r>
          </w:p>
        </w:tc>
      </w:tr>
      <w:tr w:rsidR="00432A7F" w:rsidRPr="00432A7F" w:rsidTr="00420098">
        <w:trPr>
          <w:trHeight w:val="873"/>
        </w:trPr>
        <w:tc>
          <w:tcPr>
            <w:tcW w:w="980" w:type="dxa"/>
            <w:tcBorders>
              <w:top w:val="nil"/>
              <w:left w:val="single" w:sz="4" w:space="0" w:color="808080"/>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CG_P_1</w:t>
            </w:r>
          </w:p>
        </w:tc>
        <w:tc>
          <w:tcPr>
            <w:tcW w:w="1010" w:type="dxa"/>
            <w:tcBorders>
              <w:top w:val="nil"/>
              <w:left w:val="nil"/>
              <w:bottom w:val="single" w:sz="4" w:space="0" w:color="808080"/>
              <w:right w:val="single" w:sz="4" w:space="0" w:color="808080"/>
            </w:tcBorders>
            <w:shd w:val="clear" w:color="000000" w:fill="FFFFFF"/>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1.1.</w:t>
            </w:r>
          </w:p>
        </w:tc>
        <w:tc>
          <w:tcPr>
            <w:tcW w:w="1040"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produkt</w:t>
            </w:r>
          </w:p>
        </w:tc>
        <w:tc>
          <w:tcPr>
            <w:tcW w:w="3066"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Liczba bibliotek (publicznych, szkolnych i pedagogicznych) oraz placówek wychowania przedszkolnego objętych wsparciem w ramach NPRCz 2.0.</w:t>
            </w:r>
          </w:p>
        </w:tc>
        <w:tc>
          <w:tcPr>
            <w:tcW w:w="1062"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2 500    </w:t>
            </w:r>
          </w:p>
        </w:tc>
        <w:tc>
          <w:tcPr>
            <w:tcW w:w="1134"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2 379    </w:t>
            </w:r>
          </w:p>
        </w:tc>
        <w:tc>
          <w:tcPr>
            <w:tcW w:w="1134"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jc w:val="center"/>
              <w:rPr>
                <w:rFonts w:ascii="Calibri" w:eastAsia="Times New Roman" w:hAnsi="Calibri" w:cs="Times New Roman"/>
                <w:color w:val="C00000"/>
                <w:sz w:val="18"/>
                <w:szCs w:val="18"/>
                <w:lang w:eastAsia="pl-PL"/>
              </w:rPr>
            </w:pPr>
            <w:r w:rsidRPr="00432A7F">
              <w:rPr>
                <w:rFonts w:ascii="Calibri" w:eastAsia="Times New Roman" w:hAnsi="Calibri" w:cs="Times New Roman"/>
                <w:color w:val="C00000"/>
                <w:sz w:val="18"/>
                <w:szCs w:val="18"/>
                <w:lang w:eastAsia="pl-PL"/>
              </w:rPr>
              <w:t>95,2%</w:t>
            </w:r>
          </w:p>
        </w:tc>
        <w:tc>
          <w:tcPr>
            <w:tcW w:w="1096" w:type="dxa"/>
            <w:tcBorders>
              <w:top w:val="nil"/>
              <w:left w:val="nil"/>
              <w:bottom w:val="single" w:sz="4" w:space="0" w:color="808080"/>
              <w:right w:val="single" w:sz="4" w:space="0" w:color="808080"/>
            </w:tcBorders>
            <w:shd w:val="clear" w:color="auto" w:fill="FFFFFF" w:themeFill="background1"/>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12 500    </w:t>
            </w:r>
          </w:p>
        </w:tc>
        <w:tc>
          <w:tcPr>
            <w:tcW w:w="1280"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2 379    </w:t>
            </w:r>
          </w:p>
        </w:tc>
        <w:tc>
          <w:tcPr>
            <w:tcW w:w="1130"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2 379    </w:t>
            </w:r>
          </w:p>
        </w:tc>
        <w:tc>
          <w:tcPr>
            <w:tcW w:w="1030" w:type="dxa"/>
            <w:tcBorders>
              <w:top w:val="nil"/>
              <w:left w:val="nil"/>
              <w:bottom w:val="single" w:sz="4" w:space="0" w:color="808080"/>
              <w:right w:val="single" w:sz="4" w:space="0" w:color="808080"/>
            </w:tcBorders>
            <w:shd w:val="clear" w:color="000000" w:fill="C5D9F1"/>
            <w:noWrap/>
            <w:vAlign w:val="center"/>
            <w:hideMark/>
          </w:tcPr>
          <w:p w:rsidR="00432A7F" w:rsidRPr="00432A7F" w:rsidRDefault="00432A7F" w:rsidP="00432A7F">
            <w:pPr>
              <w:spacing w:after="0" w:line="240" w:lineRule="auto"/>
              <w:jc w:val="center"/>
              <w:rPr>
                <w:rFonts w:ascii="Calibri" w:eastAsia="Times New Roman" w:hAnsi="Calibri" w:cs="Times New Roman"/>
                <w:bCs/>
                <w:color w:val="FF0000"/>
                <w:sz w:val="18"/>
                <w:szCs w:val="18"/>
                <w:lang w:eastAsia="pl-PL"/>
              </w:rPr>
            </w:pPr>
            <w:r w:rsidRPr="00432A7F">
              <w:rPr>
                <w:rFonts w:ascii="Calibri" w:eastAsia="Times New Roman" w:hAnsi="Calibri" w:cs="Times New Roman"/>
                <w:bCs/>
                <w:color w:val="FF0000"/>
                <w:sz w:val="18"/>
                <w:szCs w:val="18"/>
                <w:lang w:eastAsia="pl-PL"/>
              </w:rPr>
              <w:t>19,0%</w:t>
            </w:r>
          </w:p>
        </w:tc>
      </w:tr>
      <w:tr w:rsidR="00432A7F" w:rsidRPr="00432A7F" w:rsidTr="00420098">
        <w:trPr>
          <w:trHeight w:val="1395"/>
        </w:trPr>
        <w:tc>
          <w:tcPr>
            <w:tcW w:w="980" w:type="dxa"/>
            <w:tcBorders>
              <w:top w:val="nil"/>
              <w:left w:val="single" w:sz="4" w:space="0" w:color="808080"/>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CG_P_1_a</w:t>
            </w:r>
          </w:p>
        </w:tc>
        <w:tc>
          <w:tcPr>
            <w:tcW w:w="1010" w:type="dxa"/>
            <w:tcBorders>
              <w:top w:val="nil"/>
              <w:left w:val="nil"/>
              <w:bottom w:val="single" w:sz="4" w:space="0" w:color="808080"/>
              <w:right w:val="single" w:sz="4" w:space="0" w:color="808080"/>
            </w:tcBorders>
            <w:shd w:val="clear" w:color="000000" w:fill="FFFFFF"/>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1.1.</w:t>
            </w:r>
          </w:p>
        </w:tc>
        <w:tc>
          <w:tcPr>
            <w:tcW w:w="1040" w:type="dxa"/>
            <w:tcBorders>
              <w:top w:val="nil"/>
              <w:left w:val="nil"/>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produkt</w:t>
            </w:r>
          </w:p>
        </w:tc>
        <w:tc>
          <w:tcPr>
            <w:tcW w:w="3066"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w tym:</w:t>
            </w:r>
            <w:r w:rsidRPr="00432A7F">
              <w:rPr>
                <w:rFonts w:ascii="Calibri" w:eastAsia="Times New Roman" w:hAnsi="Calibri" w:cs="Times New Roman"/>
                <w:color w:val="000000"/>
                <w:sz w:val="18"/>
                <w:szCs w:val="18"/>
                <w:lang w:eastAsia="pl-PL"/>
              </w:rPr>
              <w:br/>
              <w:t>liczba bibliotek, które w ramach NPRCz 2.0. zakupiły usługę zdalnego dostępu do książek w formacie e-booków i/lub audiobooków i/lub synchrobooków</w:t>
            </w:r>
          </w:p>
        </w:tc>
        <w:tc>
          <w:tcPr>
            <w:tcW w:w="1062"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700    </w:t>
            </w:r>
          </w:p>
        </w:tc>
        <w:tc>
          <w:tcPr>
            <w:tcW w:w="1134"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609    </w:t>
            </w:r>
          </w:p>
        </w:tc>
        <w:tc>
          <w:tcPr>
            <w:tcW w:w="1134"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jc w:val="center"/>
              <w:rPr>
                <w:rFonts w:ascii="Calibri" w:eastAsia="Times New Roman" w:hAnsi="Calibri" w:cs="Times New Roman"/>
                <w:color w:val="C00000"/>
                <w:sz w:val="18"/>
                <w:szCs w:val="18"/>
                <w:lang w:eastAsia="pl-PL"/>
              </w:rPr>
            </w:pPr>
            <w:r w:rsidRPr="00432A7F">
              <w:rPr>
                <w:rFonts w:ascii="Calibri" w:eastAsia="Times New Roman" w:hAnsi="Calibri" w:cs="Times New Roman"/>
                <w:color w:val="C00000"/>
                <w:sz w:val="18"/>
                <w:szCs w:val="18"/>
                <w:lang w:eastAsia="pl-PL"/>
              </w:rPr>
              <w:t>87,0%</w:t>
            </w:r>
          </w:p>
        </w:tc>
        <w:tc>
          <w:tcPr>
            <w:tcW w:w="1096"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4 350    </w:t>
            </w:r>
          </w:p>
        </w:tc>
        <w:tc>
          <w:tcPr>
            <w:tcW w:w="1280"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                      609    </w:t>
            </w:r>
          </w:p>
        </w:tc>
        <w:tc>
          <w:tcPr>
            <w:tcW w:w="1130"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                         609    </w:t>
            </w:r>
          </w:p>
        </w:tc>
        <w:tc>
          <w:tcPr>
            <w:tcW w:w="1030" w:type="dxa"/>
            <w:tcBorders>
              <w:top w:val="nil"/>
              <w:left w:val="nil"/>
              <w:bottom w:val="single" w:sz="4" w:space="0" w:color="808080"/>
              <w:right w:val="single" w:sz="4" w:space="0" w:color="808080"/>
            </w:tcBorders>
            <w:shd w:val="clear" w:color="000000" w:fill="C5D9F1"/>
            <w:noWrap/>
            <w:vAlign w:val="center"/>
            <w:hideMark/>
          </w:tcPr>
          <w:p w:rsidR="00432A7F" w:rsidRPr="00432A7F" w:rsidRDefault="00432A7F" w:rsidP="00432A7F">
            <w:pPr>
              <w:spacing w:after="0" w:line="240" w:lineRule="auto"/>
              <w:jc w:val="center"/>
              <w:rPr>
                <w:rFonts w:ascii="Calibri" w:eastAsia="Times New Roman" w:hAnsi="Calibri" w:cs="Times New Roman"/>
                <w:bCs/>
                <w:color w:val="FF0000"/>
                <w:sz w:val="18"/>
                <w:szCs w:val="18"/>
                <w:lang w:eastAsia="pl-PL"/>
              </w:rPr>
            </w:pPr>
            <w:r w:rsidRPr="00432A7F">
              <w:rPr>
                <w:rFonts w:ascii="Calibri" w:eastAsia="Times New Roman" w:hAnsi="Calibri" w:cs="Times New Roman"/>
                <w:bCs/>
                <w:color w:val="FF0000"/>
                <w:sz w:val="18"/>
                <w:szCs w:val="18"/>
                <w:lang w:eastAsia="pl-PL"/>
              </w:rPr>
              <w:t>14,0%</w:t>
            </w:r>
          </w:p>
        </w:tc>
      </w:tr>
      <w:tr w:rsidR="00432A7F" w:rsidRPr="00432A7F" w:rsidTr="00420098">
        <w:trPr>
          <w:trHeight w:val="1244"/>
        </w:trPr>
        <w:tc>
          <w:tcPr>
            <w:tcW w:w="980" w:type="dxa"/>
            <w:tcBorders>
              <w:top w:val="nil"/>
              <w:left w:val="single" w:sz="4" w:space="0" w:color="808080"/>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P_1</w:t>
            </w:r>
          </w:p>
        </w:tc>
        <w:tc>
          <w:tcPr>
            <w:tcW w:w="1010" w:type="dxa"/>
            <w:tcBorders>
              <w:top w:val="nil"/>
              <w:left w:val="nil"/>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1.1. </w:t>
            </w:r>
          </w:p>
        </w:tc>
        <w:tc>
          <w:tcPr>
            <w:tcW w:w="1040"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produkt</w:t>
            </w:r>
          </w:p>
        </w:tc>
        <w:tc>
          <w:tcPr>
            <w:tcW w:w="3066"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Liczba zakupionych nowości w bibliotekach/ placówkach wychowania przedszkolnego objętych wsparciem (zakupionych z projektu)</w:t>
            </w:r>
          </w:p>
        </w:tc>
        <w:tc>
          <w:tcPr>
            <w:tcW w:w="1062"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3 480 000    </w:t>
            </w:r>
          </w:p>
        </w:tc>
        <w:tc>
          <w:tcPr>
            <w:tcW w:w="1134"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3 510 267    </w:t>
            </w:r>
          </w:p>
        </w:tc>
        <w:tc>
          <w:tcPr>
            <w:tcW w:w="1134"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jc w:val="center"/>
              <w:rPr>
                <w:rFonts w:ascii="Calibri" w:eastAsia="Times New Roman" w:hAnsi="Calibri" w:cs="Times New Roman"/>
                <w:color w:val="C00000"/>
                <w:sz w:val="18"/>
                <w:szCs w:val="18"/>
                <w:lang w:eastAsia="pl-PL"/>
              </w:rPr>
            </w:pPr>
            <w:r w:rsidRPr="00432A7F">
              <w:rPr>
                <w:rFonts w:ascii="Calibri" w:eastAsia="Times New Roman" w:hAnsi="Calibri" w:cs="Times New Roman"/>
                <w:color w:val="C00000"/>
                <w:sz w:val="18"/>
                <w:szCs w:val="18"/>
                <w:lang w:eastAsia="pl-PL"/>
              </w:rPr>
              <w:t>100,9%</w:t>
            </w:r>
          </w:p>
        </w:tc>
        <w:tc>
          <w:tcPr>
            <w:tcW w:w="1096"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14 430 000    </w:t>
            </w:r>
          </w:p>
        </w:tc>
        <w:tc>
          <w:tcPr>
            <w:tcW w:w="1280"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3 510 267    </w:t>
            </w:r>
          </w:p>
        </w:tc>
        <w:tc>
          <w:tcPr>
            <w:tcW w:w="1130"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3 510 267    </w:t>
            </w:r>
          </w:p>
        </w:tc>
        <w:tc>
          <w:tcPr>
            <w:tcW w:w="1030" w:type="dxa"/>
            <w:tcBorders>
              <w:top w:val="nil"/>
              <w:left w:val="nil"/>
              <w:bottom w:val="single" w:sz="4" w:space="0" w:color="808080"/>
              <w:right w:val="single" w:sz="4" w:space="0" w:color="808080"/>
            </w:tcBorders>
            <w:shd w:val="clear" w:color="000000" w:fill="C5D9F1"/>
            <w:noWrap/>
            <w:vAlign w:val="center"/>
            <w:hideMark/>
          </w:tcPr>
          <w:p w:rsidR="00432A7F" w:rsidRPr="00432A7F" w:rsidRDefault="00432A7F" w:rsidP="00432A7F">
            <w:pPr>
              <w:spacing w:after="0" w:line="240" w:lineRule="auto"/>
              <w:jc w:val="center"/>
              <w:rPr>
                <w:rFonts w:ascii="Calibri" w:eastAsia="Times New Roman" w:hAnsi="Calibri" w:cs="Times New Roman"/>
                <w:bCs/>
                <w:color w:val="FF0000"/>
                <w:sz w:val="18"/>
                <w:szCs w:val="18"/>
                <w:lang w:eastAsia="pl-PL"/>
              </w:rPr>
            </w:pPr>
            <w:r w:rsidRPr="00432A7F">
              <w:rPr>
                <w:rFonts w:ascii="Calibri" w:eastAsia="Times New Roman" w:hAnsi="Calibri" w:cs="Times New Roman"/>
                <w:bCs/>
                <w:color w:val="FF0000"/>
                <w:sz w:val="18"/>
                <w:szCs w:val="18"/>
                <w:lang w:eastAsia="pl-PL"/>
              </w:rPr>
              <w:t>24,3%</w:t>
            </w:r>
          </w:p>
        </w:tc>
      </w:tr>
      <w:tr w:rsidR="00432A7F" w:rsidRPr="00432A7F" w:rsidTr="00420098">
        <w:trPr>
          <w:trHeight w:val="1405"/>
        </w:trPr>
        <w:tc>
          <w:tcPr>
            <w:tcW w:w="980" w:type="dxa"/>
            <w:tcBorders>
              <w:top w:val="nil"/>
              <w:left w:val="single" w:sz="4" w:space="0" w:color="808080"/>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lastRenderedPageBreak/>
              <w:t>CG_P_1</w:t>
            </w:r>
          </w:p>
        </w:tc>
        <w:tc>
          <w:tcPr>
            <w:tcW w:w="1010" w:type="dxa"/>
            <w:tcBorders>
              <w:top w:val="nil"/>
              <w:left w:val="nil"/>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1.2.</w:t>
            </w:r>
          </w:p>
        </w:tc>
        <w:tc>
          <w:tcPr>
            <w:tcW w:w="1040"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produkt</w:t>
            </w:r>
          </w:p>
        </w:tc>
        <w:tc>
          <w:tcPr>
            <w:tcW w:w="3066"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Liczba bibliotek (publicznych, szkolnych i pedagogicznych) oraz placówek wychowania przedszkolnego objętych wsparciem w ramach NPRCz 2.0.</w:t>
            </w:r>
          </w:p>
        </w:tc>
        <w:tc>
          <w:tcPr>
            <w:tcW w:w="1062"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0</w:t>
            </w:r>
          </w:p>
        </w:tc>
        <w:tc>
          <w:tcPr>
            <w:tcW w:w="1134"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0</w:t>
            </w:r>
          </w:p>
        </w:tc>
        <w:tc>
          <w:tcPr>
            <w:tcW w:w="1134"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jc w:val="right"/>
              <w:rPr>
                <w:rFonts w:ascii="Calibri" w:eastAsia="Times New Roman" w:hAnsi="Calibri" w:cs="Times New Roman"/>
                <w:color w:val="C00000"/>
                <w:sz w:val="18"/>
                <w:szCs w:val="18"/>
                <w:lang w:eastAsia="pl-PL"/>
              </w:rPr>
            </w:pPr>
            <w:r w:rsidRPr="00432A7F">
              <w:rPr>
                <w:rFonts w:ascii="Calibri" w:eastAsia="Times New Roman" w:hAnsi="Calibri" w:cs="Times New Roman"/>
                <w:color w:val="C00000"/>
                <w:sz w:val="18"/>
                <w:szCs w:val="18"/>
                <w:lang w:eastAsia="pl-PL"/>
              </w:rPr>
              <w:t>-</w:t>
            </w:r>
          </w:p>
        </w:tc>
        <w:tc>
          <w:tcPr>
            <w:tcW w:w="1096" w:type="dxa"/>
            <w:tcBorders>
              <w:top w:val="nil"/>
              <w:left w:val="nil"/>
              <w:bottom w:val="single" w:sz="4" w:space="0" w:color="808080"/>
              <w:right w:val="single" w:sz="4" w:space="0" w:color="808080"/>
            </w:tcBorders>
            <w:shd w:val="clear" w:color="auto" w:fill="FFFFFF" w:themeFill="background1"/>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496    </w:t>
            </w:r>
          </w:p>
        </w:tc>
        <w:tc>
          <w:tcPr>
            <w:tcW w:w="1280"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130 </w:t>
            </w:r>
          </w:p>
        </w:tc>
        <w:tc>
          <w:tcPr>
            <w:tcW w:w="1130"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jc w:val="right"/>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w:t>
            </w:r>
          </w:p>
        </w:tc>
        <w:tc>
          <w:tcPr>
            <w:tcW w:w="1030" w:type="dxa"/>
            <w:tcBorders>
              <w:top w:val="nil"/>
              <w:left w:val="nil"/>
              <w:bottom w:val="single" w:sz="4" w:space="0" w:color="808080"/>
              <w:right w:val="single" w:sz="4" w:space="0" w:color="808080"/>
            </w:tcBorders>
            <w:shd w:val="clear" w:color="000000" w:fill="C5D9F1"/>
            <w:noWrap/>
            <w:vAlign w:val="center"/>
            <w:hideMark/>
          </w:tcPr>
          <w:p w:rsidR="00432A7F" w:rsidRPr="00432A7F" w:rsidRDefault="00432A7F" w:rsidP="00432A7F">
            <w:pPr>
              <w:spacing w:after="0" w:line="240" w:lineRule="auto"/>
              <w:jc w:val="center"/>
              <w:rPr>
                <w:rFonts w:ascii="Calibri" w:eastAsia="Times New Roman" w:hAnsi="Calibri" w:cs="Times New Roman"/>
                <w:bCs/>
                <w:color w:val="FF0000"/>
                <w:sz w:val="18"/>
                <w:szCs w:val="18"/>
                <w:lang w:eastAsia="pl-PL"/>
              </w:rPr>
            </w:pPr>
            <w:r w:rsidRPr="00432A7F">
              <w:rPr>
                <w:rFonts w:ascii="Calibri" w:eastAsia="Times New Roman" w:hAnsi="Calibri" w:cs="Times New Roman"/>
                <w:bCs/>
                <w:color w:val="FF0000"/>
                <w:sz w:val="18"/>
                <w:szCs w:val="18"/>
                <w:lang w:eastAsia="pl-PL"/>
              </w:rPr>
              <w:t>0,0%</w:t>
            </w:r>
            <w:r w:rsidRPr="00432A7F">
              <w:rPr>
                <w:rFonts w:ascii="Calibri" w:eastAsia="Times New Roman" w:hAnsi="Calibri" w:cs="Times New Roman"/>
                <w:bCs/>
                <w:sz w:val="18"/>
                <w:szCs w:val="18"/>
                <w:vertAlign w:val="superscript"/>
                <w:lang w:eastAsia="pl-PL"/>
              </w:rPr>
              <w:footnoteReference w:id="11"/>
            </w:r>
          </w:p>
        </w:tc>
      </w:tr>
      <w:tr w:rsidR="00432A7F" w:rsidRPr="00432A7F" w:rsidTr="00420098">
        <w:trPr>
          <w:trHeight w:val="510"/>
        </w:trPr>
        <w:tc>
          <w:tcPr>
            <w:tcW w:w="13962" w:type="dxa"/>
            <w:gridSpan w:val="11"/>
            <w:tcBorders>
              <w:top w:val="nil"/>
              <w:left w:val="single" w:sz="4" w:space="0" w:color="808080"/>
              <w:bottom w:val="single" w:sz="4" w:space="0" w:color="808080"/>
              <w:right w:val="single" w:sz="4" w:space="0" w:color="808080"/>
            </w:tcBorders>
            <w:shd w:val="clear" w:color="auto" w:fill="FFFFFF" w:themeFill="background1"/>
            <w:noWrap/>
            <w:vAlign w:val="center"/>
          </w:tcPr>
          <w:p w:rsidR="00432A7F" w:rsidRPr="00432A7F" w:rsidRDefault="00432A7F" w:rsidP="00432A7F">
            <w:pPr>
              <w:spacing w:after="0" w:line="240" w:lineRule="auto"/>
              <w:rPr>
                <w:rFonts w:ascii="Calibri" w:eastAsia="Times New Roman" w:hAnsi="Calibri" w:cs="Times New Roman"/>
                <w:bCs/>
                <w:color w:val="FF0000"/>
                <w:sz w:val="18"/>
                <w:szCs w:val="18"/>
                <w:lang w:eastAsia="pl-PL"/>
              </w:rPr>
            </w:pPr>
            <w:r w:rsidRPr="00432A7F">
              <w:rPr>
                <w:rFonts w:ascii="Calibri" w:eastAsia="Times New Roman" w:hAnsi="Calibri" w:cs="Times New Roman"/>
                <w:bCs/>
                <w:color w:val="C00000"/>
                <w:sz w:val="18"/>
                <w:szCs w:val="18"/>
                <w:lang w:eastAsia="pl-PL"/>
              </w:rPr>
              <w:t>Cel szczegółowy 2 / Priorytet 2</w:t>
            </w:r>
          </w:p>
        </w:tc>
      </w:tr>
      <w:tr w:rsidR="00432A7F" w:rsidRPr="00432A7F" w:rsidTr="00420098">
        <w:trPr>
          <w:trHeight w:val="1006"/>
        </w:trPr>
        <w:tc>
          <w:tcPr>
            <w:tcW w:w="980" w:type="dxa"/>
            <w:tcBorders>
              <w:top w:val="nil"/>
              <w:left w:val="single" w:sz="4" w:space="0" w:color="808080"/>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CG_P_1</w:t>
            </w:r>
          </w:p>
        </w:tc>
        <w:tc>
          <w:tcPr>
            <w:tcW w:w="1010" w:type="dxa"/>
            <w:tcBorders>
              <w:top w:val="nil"/>
              <w:left w:val="nil"/>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2.1.</w:t>
            </w:r>
          </w:p>
        </w:tc>
        <w:tc>
          <w:tcPr>
            <w:tcW w:w="1040"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produkt</w:t>
            </w:r>
          </w:p>
        </w:tc>
        <w:tc>
          <w:tcPr>
            <w:tcW w:w="3066"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Liczba bibliotek (publicznych, szkolnych i pedagogicznych) oraz placówek wychowania przedszkolnego objętych wsparciem w ramach NPRCz 2.0.</w:t>
            </w:r>
          </w:p>
        </w:tc>
        <w:tc>
          <w:tcPr>
            <w:tcW w:w="1062" w:type="dxa"/>
            <w:tcBorders>
              <w:top w:val="nil"/>
              <w:left w:val="nil"/>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0 (7)</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0 (27)</w:t>
            </w:r>
            <w:r w:rsidRPr="00432A7F">
              <w:rPr>
                <w:rFonts w:ascii="Calibri" w:eastAsia="Times New Roman" w:hAnsi="Calibri" w:cs="Times New Roman"/>
                <w:color w:val="000000"/>
                <w:sz w:val="18"/>
                <w:szCs w:val="18"/>
                <w:vertAlign w:val="superscript"/>
                <w:lang w:eastAsia="pl-PL"/>
              </w:rPr>
              <w:footnoteReference w:id="12"/>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rsidR="00432A7F" w:rsidRPr="00432A7F" w:rsidRDefault="00432A7F" w:rsidP="00432A7F">
            <w:pPr>
              <w:spacing w:after="0" w:line="240" w:lineRule="auto"/>
              <w:jc w:val="right"/>
              <w:rPr>
                <w:rFonts w:ascii="Calibri" w:eastAsia="Times New Roman" w:hAnsi="Calibri" w:cs="Times New Roman"/>
                <w:color w:val="C00000"/>
                <w:sz w:val="18"/>
                <w:szCs w:val="18"/>
                <w:lang w:eastAsia="pl-PL"/>
              </w:rPr>
            </w:pPr>
            <w:r w:rsidRPr="00432A7F">
              <w:rPr>
                <w:rFonts w:ascii="Calibri" w:eastAsia="Times New Roman" w:hAnsi="Calibri" w:cs="Times New Roman"/>
                <w:color w:val="C00000"/>
                <w:sz w:val="18"/>
                <w:szCs w:val="18"/>
                <w:lang w:eastAsia="pl-PL"/>
              </w:rPr>
              <w:t>-</w:t>
            </w:r>
          </w:p>
        </w:tc>
        <w:tc>
          <w:tcPr>
            <w:tcW w:w="1096" w:type="dxa"/>
            <w:tcBorders>
              <w:top w:val="nil"/>
              <w:left w:val="nil"/>
              <w:bottom w:val="single" w:sz="4" w:space="0" w:color="808080"/>
              <w:right w:val="single" w:sz="4" w:space="0" w:color="808080"/>
            </w:tcBorders>
            <w:shd w:val="clear" w:color="auto" w:fill="FFFFFF" w:themeFill="background1"/>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164    </w:t>
            </w:r>
          </w:p>
        </w:tc>
        <w:tc>
          <w:tcPr>
            <w:tcW w:w="1280" w:type="dxa"/>
            <w:tcBorders>
              <w:top w:val="nil"/>
              <w:left w:val="nil"/>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                         27    </w:t>
            </w:r>
          </w:p>
        </w:tc>
        <w:tc>
          <w:tcPr>
            <w:tcW w:w="1130" w:type="dxa"/>
            <w:tcBorders>
              <w:top w:val="nil"/>
              <w:left w:val="nil"/>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right"/>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      </w:t>
            </w:r>
          </w:p>
        </w:tc>
        <w:tc>
          <w:tcPr>
            <w:tcW w:w="1030" w:type="dxa"/>
            <w:tcBorders>
              <w:top w:val="nil"/>
              <w:left w:val="nil"/>
              <w:bottom w:val="single" w:sz="4" w:space="0" w:color="808080"/>
              <w:right w:val="single" w:sz="4" w:space="0" w:color="808080"/>
            </w:tcBorders>
            <w:shd w:val="clear" w:color="000000" w:fill="C5D9F1"/>
            <w:vAlign w:val="center"/>
            <w:hideMark/>
          </w:tcPr>
          <w:p w:rsidR="00432A7F" w:rsidRPr="00432A7F" w:rsidRDefault="00432A7F" w:rsidP="00432A7F">
            <w:pPr>
              <w:spacing w:after="0" w:line="240" w:lineRule="auto"/>
              <w:jc w:val="center"/>
              <w:rPr>
                <w:rFonts w:ascii="Calibri" w:eastAsia="Times New Roman" w:hAnsi="Calibri" w:cs="Times New Roman"/>
                <w:bCs/>
                <w:color w:val="FF0000"/>
                <w:sz w:val="18"/>
                <w:szCs w:val="18"/>
                <w:lang w:eastAsia="pl-PL"/>
              </w:rPr>
            </w:pPr>
            <w:r w:rsidRPr="00432A7F">
              <w:rPr>
                <w:rFonts w:ascii="Calibri" w:eastAsia="Times New Roman" w:hAnsi="Calibri" w:cs="Times New Roman"/>
                <w:bCs/>
                <w:color w:val="FF0000"/>
                <w:sz w:val="18"/>
                <w:szCs w:val="18"/>
                <w:lang w:eastAsia="pl-PL"/>
              </w:rPr>
              <w:t>0,0%</w:t>
            </w:r>
            <w:r w:rsidRPr="00432A7F">
              <w:rPr>
                <w:rFonts w:ascii="Calibri" w:eastAsia="Times New Roman" w:hAnsi="Calibri" w:cs="Times New Roman"/>
                <w:bCs/>
                <w:sz w:val="18"/>
                <w:szCs w:val="18"/>
                <w:vertAlign w:val="superscript"/>
                <w:lang w:eastAsia="pl-PL"/>
              </w:rPr>
              <w:footnoteReference w:id="13"/>
            </w:r>
          </w:p>
        </w:tc>
      </w:tr>
      <w:tr w:rsidR="00432A7F" w:rsidRPr="00432A7F" w:rsidTr="00420098">
        <w:trPr>
          <w:trHeight w:val="1020"/>
        </w:trPr>
        <w:tc>
          <w:tcPr>
            <w:tcW w:w="980" w:type="dxa"/>
            <w:tcBorders>
              <w:top w:val="nil"/>
              <w:left w:val="single" w:sz="4" w:space="0" w:color="808080"/>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lastRenderedPageBreak/>
              <w:t>P_4</w:t>
            </w:r>
          </w:p>
        </w:tc>
        <w:tc>
          <w:tcPr>
            <w:tcW w:w="1010" w:type="dxa"/>
            <w:tcBorders>
              <w:top w:val="nil"/>
              <w:left w:val="nil"/>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2.1.</w:t>
            </w:r>
          </w:p>
        </w:tc>
        <w:tc>
          <w:tcPr>
            <w:tcW w:w="1040"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produkt</w:t>
            </w:r>
          </w:p>
        </w:tc>
        <w:tc>
          <w:tcPr>
            <w:tcW w:w="3066"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Liczba bibliotek objętych wsparciem, które w wyniku projektu dostosowano do potrzeb osób ze szczególnymi potrzebami</w:t>
            </w:r>
          </w:p>
        </w:tc>
        <w:tc>
          <w:tcPr>
            <w:tcW w:w="1062" w:type="dxa"/>
            <w:tcBorders>
              <w:top w:val="nil"/>
              <w:left w:val="nil"/>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right"/>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      </w:t>
            </w:r>
          </w:p>
        </w:tc>
        <w:tc>
          <w:tcPr>
            <w:tcW w:w="1134" w:type="dxa"/>
            <w:tcBorders>
              <w:top w:val="nil"/>
              <w:left w:val="nil"/>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right"/>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      </w:t>
            </w:r>
          </w:p>
        </w:tc>
        <w:tc>
          <w:tcPr>
            <w:tcW w:w="1134" w:type="dxa"/>
            <w:tcBorders>
              <w:top w:val="nil"/>
              <w:left w:val="nil"/>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C00000"/>
                <w:sz w:val="18"/>
                <w:szCs w:val="18"/>
                <w:lang w:eastAsia="pl-PL"/>
              </w:rPr>
            </w:pPr>
            <w:r w:rsidRPr="00432A7F">
              <w:rPr>
                <w:rFonts w:ascii="Calibri" w:eastAsia="Times New Roman" w:hAnsi="Calibri" w:cs="Times New Roman"/>
                <w:color w:val="C00000"/>
                <w:sz w:val="18"/>
                <w:szCs w:val="18"/>
                <w:lang w:eastAsia="pl-PL"/>
              </w:rPr>
              <w:t>0,0%</w:t>
            </w:r>
          </w:p>
        </w:tc>
        <w:tc>
          <w:tcPr>
            <w:tcW w:w="1096" w:type="dxa"/>
            <w:tcBorders>
              <w:top w:val="nil"/>
              <w:left w:val="nil"/>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93    </w:t>
            </w:r>
          </w:p>
        </w:tc>
        <w:tc>
          <w:tcPr>
            <w:tcW w:w="1280" w:type="dxa"/>
            <w:tcBorders>
              <w:top w:val="nil"/>
              <w:left w:val="nil"/>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                         22    </w:t>
            </w:r>
          </w:p>
        </w:tc>
        <w:tc>
          <w:tcPr>
            <w:tcW w:w="1130" w:type="dxa"/>
            <w:tcBorders>
              <w:top w:val="nil"/>
              <w:left w:val="nil"/>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right"/>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      </w:t>
            </w:r>
          </w:p>
        </w:tc>
        <w:tc>
          <w:tcPr>
            <w:tcW w:w="1030" w:type="dxa"/>
            <w:tcBorders>
              <w:top w:val="nil"/>
              <w:left w:val="nil"/>
              <w:bottom w:val="single" w:sz="4" w:space="0" w:color="808080"/>
              <w:right w:val="single" w:sz="4" w:space="0" w:color="808080"/>
            </w:tcBorders>
            <w:shd w:val="clear" w:color="000000" w:fill="C5D9F1"/>
            <w:noWrap/>
            <w:vAlign w:val="center"/>
            <w:hideMark/>
          </w:tcPr>
          <w:p w:rsidR="00432A7F" w:rsidRPr="00432A7F" w:rsidRDefault="00432A7F" w:rsidP="00432A7F">
            <w:pPr>
              <w:spacing w:after="0" w:line="240" w:lineRule="auto"/>
              <w:jc w:val="center"/>
              <w:rPr>
                <w:rFonts w:ascii="Calibri" w:eastAsia="Times New Roman" w:hAnsi="Calibri" w:cs="Times New Roman"/>
                <w:bCs/>
                <w:color w:val="FF0000"/>
                <w:sz w:val="18"/>
                <w:szCs w:val="18"/>
                <w:lang w:eastAsia="pl-PL"/>
              </w:rPr>
            </w:pPr>
            <w:r w:rsidRPr="00432A7F">
              <w:rPr>
                <w:rFonts w:ascii="Calibri" w:eastAsia="Times New Roman" w:hAnsi="Calibri" w:cs="Times New Roman"/>
                <w:bCs/>
                <w:color w:val="FF0000"/>
                <w:sz w:val="18"/>
                <w:szCs w:val="18"/>
                <w:lang w:eastAsia="pl-PL"/>
              </w:rPr>
              <w:t>0,0%</w:t>
            </w:r>
            <w:r w:rsidRPr="00432A7F">
              <w:rPr>
                <w:rFonts w:ascii="Calibri" w:eastAsia="Times New Roman" w:hAnsi="Calibri" w:cs="Times New Roman"/>
                <w:bCs/>
                <w:sz w:val="18"/>
                <w:szCs w:val="18"/>
                <w:vertAlign w:val="superscript"/>
                <w:lang w:eastAsia="pl-PL"/>
              </w:rPr>
              <w:footnoteReference w:id="14"/>
            </w:r>
          </w:p>
        </w:tc>
      </w:tr>
      <w:tr w:rsidR="00432A7F" w:rsidRPr="00432A7F" w:rsidTr="00420098">
        <w:trPr>
          <w:trHeight w:val="510"/>
        </w:trPr>
        <w:tc>
          <w:tcPr>
            <w:tcW w:w="13962" w:type="dxa"/>
            <w:gridSpan w:val="11"/>
            <w:tcBorders>
              <w:top w:val="nil"/>
              <w:left w:val="single" w:sz="4" w:space="0" w:color="808080"/>
              <w:bottom w:val="single" w:sz="4" w:space="0" w:color="808080"/>
              <w:right w:val="single" w:sz="4" w:space="0" w:color="808080"/>
            </w:tcBorders>
            <w:shd w:val="clear" w:color="auto" w:fill="auto"/>
            <w:noWrap/>
            <w:vAlign w:val="center"/>
          </w:tcPr>
          <w:p w:rsidR="00432A7F" w:rsidRPr="00432A7F" w:rsidRDefault="00432A7F" w:rsidP="00432A7F">
            <w:pPr>
              <w:spacing w:after="0" w:line="240" w:lineRule="auto"/>
              <w:rPr>
                <w:rFonts w:ascii="Calibri" w:eastAsia="Times New Roman" w:hAnsi="Calibri" w:cs="Times New Roman"/>
                <w:bCs/>
                <w:color w:val="FF0000"/>
                <w:sz w:val="18"/>
                <w:szCs w:val="18"/>
                <w:lang w:eastAsia="pl-PL"/>
              </w:rPr>
            </w:pPr>
            <w:r w:rsidRPr="00432A7F">
              <w:rPr>
                <w:rFonts w:ascii="Calibri" w:eastAsia="Times New Roman" w:hAnsi="Calibri" w:cs="Times New Roman"/>
                <w:bCs/>
                <w:color w:val="C00000"/>
                <w:sz w:val="18"/>
                <w:szCs w:val="18"/>
                <w:lang w:eastAsia="pl-PL"/>
              </w:rPr>
              <w:t>Cel szczegółowy 3 / Priorytet 3</w:t>
            </w:r>
          </w:p>
        </w:tc>
      </w:tr>
      <w:tr w:rsidR="00432A7F" w:rsidRPr="00432A7F" w:rsidTr="00420098">
        <w:trPr>
          <w:trHeight w:val="1018"/>
        </w:trPr>
        <w:tc>
          <w:tcPr>
            <w:tcW w:w="980" w:type="dxa"/>
            <w:tcBorders>
              <w:top w:val="nil"/>
              <w:left w:val="single" w:sz="4" w:space="0" w:color="808080"/>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CG_P_1</w:t>
            </w:r>
          </w:p>
        </w:tc>
        <w:tc>
          <w:tcPr>
            <w:tcW w:w="1010" w:type="dxa"/>
            <w:tcBorders>
              <w:top w:val="nil"/>
              <w:left w:val="nil"/>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K.I. 3.1. </w:t>
            </w:r>
          </w:p>
        </w:tc>
        <w:tc>
          <w:tcPr>
            <w:tcW w:w="1040"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produkt</w:t>
            </w:r>
          </w:p>
        </w:tc>
        <w:tc>
          <w:tcPr>
            <w:tcW w:w="3066"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Liczba bibliotek (publicznych, szkolnych i pedagogicznych) oraz placówek wychowania przedszkolnego objętych wsparciem w ramach NPRCz 2.0.</w:t>
            </w:r>
          </w:p>
        </w:tc>
        <w:tc>
          <w:tcPr>
            <w:tcW w:w="1062" w:type="dxa"/>
            <w:tcBorders>
              <w:top w:val="nil"/>
              <w:left w:val="nil"/>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1 900    </w:t>
            </w:r>
          </w:p>
        </w:tc>
        <w:tc>
          <w:tcPr>
            <w:tcW w:w="1134" w:type="dxa"/>
            <w:tcBorders>
              <w:top w:val="nil"/>
              <w:left w:val="nil"/>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1 443    </w:t>
            </w:r>
          </w:p>
        </w:tc>
        <w:tc>
          <w:tcPr>
            <w:tcW w:w="1134" w:type="dxa"/>
            <w:tcBorders>
              <w:top w:val="nil"/>
              <w:left w:val="nil"/>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C00000"/>
                <w:sz w:val="18"/>
                <w:szCs w:val="18"/>
                <w:lang w:eastAsia="pl-PL"/>
              </w:rPr>
            </w:pPr>
            <w:r w:rsidRPr="00432A7F">
              <w:rPr>
                <w:rFonts w:ascii="Calibri" w:eastAsia="Times New Roman" w:hAnsi="Calibri" w:cs="Times New Roman"/>
                <w:color w:val="C00000"/>
                <w:sz w:val="18"/>
                <w:szCs w:val="18"/>
                <w:lang w:eastAsia="pl-PL"/>
              </w:rPr>
              <w:t>75,9%</w:t>
            </w:r>
          </w:p>
        </w:tc>
        <w:tc>
          <w:tcPr>
            <w:tcW w:w="1096" w:type="dxa"/>
            <w:tcBorders>
              <w:top w:val="nil"/>
              <w:left w:val="nil"/>
              <w:bottom w:val="single" w:sz="4" w:space="0" w:color="808080"/>
              <w:right w:val="single" w:sz="4" w:space="0" w:color="808080"/>
            </w:tcBorders>
            <w:shd w:val="clear" w:color="auto" w:fill="FFFFFF" w:themeFill="background1"/>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13 100    </w:t>
            </w:r>
          </w:p>
        </w:tc>
        <w:tc>
          <w:tcPr>
            <w:tcW w:w="1280" w:type="dxa"/>
            <w:tcBorders>
              <w:top w:val="nil"/>
              <w:left w:val="nil"/>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1 443    </w:t>
            </w:r>
          </w:p>
        </w:tc>
        <w:tc>
          <w:tcPr>
            <w:tcW w:w="1130" w:type="dxa"/>
            <w:tcBorders>
              <w:top w:val="nil"/>
              <w:left w:val="nil"/>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1 443    </w:t>
            </w:r>
          </w:p>
        </w:tc>
        <w:tc>
          <w:tcPr>
            <w:tcW w:w="1030" w:type="dxa"/>
            <w:tcBorders>
              <w:top w:val="nil"/>
              <w:left w:val="nil"/>
              <w:bottom w:val="single" w:sz="4" w:space="0" w:color="808080"/>
              <w:right w:val="single" w:sz="4" w:space="0" w:color="808080"/>
            </w:tcBorders>
            <w:shd w:val="clear" w:color="000000" w:fill="C5D9F1"/>
            <w:noWrap/>
            <w:vAlign w:val="center"/>
            <w:hideMark/>
          </w:tcPr>
          <w:p w:rsidR="00432A7F" w:rsidRPr="00432A7F" w:rsidRDefault="00432A7F" w:rsidP="00432A7F">
            <w:pPr>
              <w:spacing w:after="0" w:line="240" w:lineRule="auto"/>
              <w:jc w:val="center"/>
              <w:rPr>
                <w:rFonts w:ascii="Calibri" w:eastAsia="Times New Roman" w:hAnsi="Calibri" w:cs="Times New Roman"/>
                <w:bCs/>
                <w:color w:val="FF0000"/>
                <w:sz w:val="18"/>
                <w:szCs w:val="18"/>
                <w:lang w:eastAsia="pl-PL"/>
              </w:rPr>
            </w:pPr>
            <w:r w:rsidRPr="00432A7F">
              <w:rPr>
                <w:rFonts w:ascii="Calibri" w:eastAsia="Times New Roman" w:hAnsi="Calibri" w:cs="Times New Roman"/>
                <w:bCs/>
                <w:color w:val="FF0000"/>
                <w:sz w:val="18"/>
                <w:szCs w:val="18"/>
                <w:lang w:eastAsia="pl-PL"/>
              </w:rPr>
              <w:t>11,0%</w:t>
            </w:r>
          </w:p>
        </w:tc>
      </w:tr>
      <w:tr w:rsidR="00432A7F" w:rsidRPr="00432A7F" w:rsidTr="00420098">
        <w:trPr>
          <w:trHeight w:val="976"/>
        </w:trPr>
        <w:tc>
          <w:tcPr>
            <w:tcW w:w="980" w:type="dxa"/>
            <w:tcBorders>
              <w:top w:val="nil"/>
              <w:left w:val="single" w:sz="4" w:space="0" w:color="808080"/>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P_1</w:t>
            </w:r>
          </w:p>
        </w:tc>
        <w:tc>
          <w:tcPr>
            <w:tcW w:w="1010" w:type="dxa"/>
            <w:tcBorders>
              <w:top w:val="nil"/>
              <w:left w:val="nil"/>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K.I. 3.1</w:t>
            </w:r>
          </w:p>
        </w:tc>
        <w:tc>
          <w:tcPr>
            <w:tcW w:w="1040"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produkt</w:t>
            </w:r>
          </w:p>
        </w:tc>
        <w:tc>
          <w:tcPr>
            <w:tcW w:w="3066"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Liczba zakupionych nowości w bibliotekach/ placówkach wychowania przedszkolnego objętych wsparciem (zakupionych z projektu)</w:t>
            </w:r>
          </w:p>
        </w:tc>
        <w:tc>
          <w:tcPr>
            <w:tcW w:w="1062" w:type="dxa"/>
            <w:tcBorders>
              <w:top w:val="nil"/>
              <w:left w:val="nil"/>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250 000    </w:t>
            </w:r>
          </w:p>
        </w:tc>
        <w:tc>
          <w:tcPr>
            <w:tcW w:w="1134" w:type="dxa"/>
            <w:tcBorders>
              <w:top w:val="nil"/>
              <w:left w:val="nil"/>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270 248    </w:t>
            </w:r>
          </w:p>
        </w:tc>
        <w:tc>
          <w:tcPr>
            <w:tcW w:w="1134" w:type="dxa"/>
            <w:tcBorders>
              <w:top w:val="nil"/>
              <w:left w:val="nil"/>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C00000"/>
                <w:sz w:val="18"/>
                <w:szCs w:val="18"/>
                <w:lang w:eastAsia="pl-PL"/>
              </w:rPr>
            </w:pPr>
            <w:r w:rsidRPr="00432A7F">
              <w:rPr>
                <w:rFonts w:ascii="Calibri" w:eastAsia="Times New Roman" w:hAnsi="Calibri" w:cs="Times New Roman"/>
                <w:color w:val="C00000"/>
                <w:sz w:val="18"/>
                <w:szCs w:val="18"/>
                <w:lang w:eastAsia="pl-PL"/>
              </w:rPr>
              <w:t>108,1%</w:t>
            </w:r>
          </w:p>
        </w:tc>
        <w:tc>
          <w:tcPr>
            <w:tcW w:w="1096" w:type="dxa"/>
            <w:tcBorders>
              <w:top w:val="nil"/>
              <w:left w:val="nil"/>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1 700 000    </w:t>
            </w:r>
          </w:p>
        </w:tc>
        <w:tc>
          <w:tcPr>
            <w:tcW w:w="1280" w:type="dxa"/>
            <w:tcBorders>
              <w:top w:val="nil"/>
              <w:left w:val="nil"/>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1 700 000    </w:t>
            </w:r>
          </w:p>
        </w:tc>
        <w:tc>
          <w:tcPr>
            <w:tcW w:w="1130" w:type="dxa"/>
            <w:tcBorders>
              <w:top w:val="nil"/>
              <w:left w:val="nil"/>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270 248    </w:t>
            </w:r>
          </w:p>
        </w:tc>
        <w:tc>
          <w:tcPr>
            <w:tcW w:w="1030" w:type="dxa"/>
            <w:tcBorders>
              <w:top w:val="nil"/>
              <w:left w:val="nil"/>
              <w:bottom w:val="single" w:sz="4" w:space="0" w:color="808080"/>
              <w:right w:val="single" w:sz="4" w:space="0" w:color="808080"/>
            </w:tcBorders>
            <w:shd w:val="clear" w:color="000000" w:fill="C5D9F1"/>
            <w:noWrap/>
            <w:vAlign w:val="center"/>
            <w:hideMark/>
          </w:tcPr>
          <w:p w:rsidR="00432A7F" w:rsidRPr="00432A7F" w:rsidRDefault="00432A7F" w:rsidP="00432A7F">
            <w:pPr>
              <w:spacing w:after="0" w:line="240" w:lineRule="auto"/>
              <w:jc w:val="center"/>
              <w:rPr>
                <w:rFonts w:ascii="Calibri" w:eastAsia="Times New Roman" w:hAnsi="Calibri" w:cs="Times New Roman"/>
                <w:bCs/>
                <w:color w:val="FF0000"/>
                <w:sz w:val="18"/>
                <w:szCs w:val="18"/>
                <w:lang w:eastAsia="pl-PL"/>
              </w:rPr>
            </w:pPr>
            <w:r w:rsidRPr="00432A7F">
              <w:rPr>
                <w:rFonts w:ascii="Calibri" w:eastAsia="Times New Roman" w:hAnsi="Calibri" w:cs="Times New Roman"/>
                <w:bCs/>
                <w:color w:val="FF0000"/>
                <w:sz w:val="18"/>
                <w:szCs w:val="18"/>
                <w:lang w:eastAsia="pl-PL"/>
              </w:rPr>
              <w:t>15,9%</w:t>
            </w:r>
          </w:p>
        </w:tc>
      </w:tr>
      <w:tr w:rsidR="00432A7F" w:rsidRPr="00432A7F" w:rsidTr="00420098">
        <w:trPr>
          <w:trHeight w:val="989"/>
        </w:trPr>
        <w:tc>
          <w:tcPr>
            <w:tcW w:w="980" w:type="dxa"/>
            <w:tcBorders>
              <w:top w:val="nil"/>
              <w:left w:val="single" w:sz="4" w:space="0" w:color="808080"/>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CG_P_1</w:t>
            </w:r>
          </w:p>
        </w:tc>
        <w:tc>
          <w:tcPr>
            <w:tcW w:w="1010" w:type="dxa"/>
            <w:tcBorders>
              <w:top w:val="nil"/>
              <w:left w:val="nil"/>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K.I. 3.2</w:t>
            </w:r>
          </w:p>
        </w:tc>
        <w:tc>
          <w:tcPr>
            <w:tcW w:w="1040"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produkt</w:t>
            </w:r>
          </w:p>
        </w:tc>
        <w:tc>
          <w:tcPr>
            <w:tcW w:w="3066"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Liczba bibliotek (publicznych, szkolnych i pedagogicznych) oraz placówek wychowania przedszkolnego objętych wsparciem w ramach NPRCz 2.0.</w:t>
            </w:r>
          </w:p>
        </w:tc>
        <w:tc>
          <w:tcPr>
            <w:tcW w:w="1062" w:type="dxa"/>
            <w:tcBorders>
              <w:top w:val="nil"/>
              <w:left w:val="nil"/>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1 500    </w:t>
            </w:r>
          </w:p>
        </w:tc>
        <w:tc>
          <w:tcPr>
            <w:tcW w:w="1134" w:type="dxa"/>
            <w:tcBorders>
              <w:top w:val="nil"/>
              <w:left w:val="nil"/>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1 969    </w:t>
            </w:r>
          </w:p>
        </w:tc>
        <w:tc>
          <w:tcPr>
            <w:tcW w:w="1134" w:type="dxa"/>
            <w:tcBorders>
              <w:top w:val="nil"/>
              <w:left w:val="nil"/>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C00000"/>
                <w:sz w:val="18"/>
                <w:szCs w:val="18"/>
                <w:lang w:eastAsia="pl-PL"/>
              </w:rPr>
            </w:pPr>
            <w:r w:rsidRPr="00432A7F">
              <w:rPr>
                <w:rFonts w:ascii="Calibri" w:eastAsia="Times New Roman" w:hAnsi="Calibri" w:cs="Times New Roman"/>
                <w:color w:val="C00000"/>
                <w:sz w:val="18"/>
                <w:szCs w:val="18"/>
                <w:lang w:eastAsia="pl-PL"/>
              </w:rPr>
              <w:t>131,3%</w:t>
            </w:r>
          </w:p>
        </w:tc>
        <w:tc>
          <w:tcPr>
            <w:tcW w:w="1096" w:type="dxa"/>
            <w:tcBorders>
              <w:top w:val="nil"/>
              <w:left w:val="nil"/>
              <w:bottom w:val="single" w:sz="4" w:space="0" w:color="808080"/>
              <w:right w:val="single" w:sz="4" w:space="0" w:color="808080"/>
            </w:tcBorders>
            <w:shd w:val="clear" w:color="auto" w:fill="FFFFFF" w:themeFill="background1"/>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10 30</w:t>
            </w:r>
            <w:r w:rsidRPr="00432A7F">
              <w:rPr>
                <w:rFonts w:ascii="Calibri" w:eastAsia="Times New Roman" w:hAnsi="Calibri" w:cs="Times New Roman"/>
                <w:color w:val="000000"/>
                <w:sz w:val="18"/>
                <w:szCs w:val="18"/>
                <w:shd w:val="clear" w:color="auto" w:fill="FFFFFF"/>
                <w:lang w:eastAsia="pl-PL"/>
              </w:rPr>
              <w:t>0</w:t>
            </w:r>
            <w:r w:rsidRPr="00432A7F">
              <w:rPr>
                <w:rFonts w:ascii="Calibri" w:eastAsia="Times New Roman" w:hAnsi="Calibri" w:cs="Times New Roman"/>
                <w:color w:val="000000"/>
                <w:sz w:val="18"/>
                <w:szCs w:val="18"/>
                <w:lang w:eastAsia="pl-PL"/>
              </w:rPr>
              <w:t xml:space="preserve">    </w:t>
            </w:r>
          </w:p>
        </w:tc>
        <w:tc>
          <w:tcPr>
            <w:tcW w:w="1280" w:type="dxa"/>
            <w:tcBorders>
              <w:top w:val="nil"/>
              <w:left w:val="nil"/>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1 969    </w:t>
            </w:r>
          </w:p>
        </w:tc>
        <w:tc>
          <w:tcPr>
            <w:tcW w:w="1130" w:type="dxa"/>
            <w:tcBorders>
              <w:top w:val="nil"/>
              <w:left w:val="nil"/>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1 969    </w:t>
            </w:r>
          </w:p>
        </w:tc>
        <w:tc>
          <w:tcPr>
            <w:tcW w:w="1030" w:type="dxa"/>
            <w:tcBorders>
              <w:top w:val="nil"/>
              <w:left w:val="nil"/>
              <w:bottom w:val="single" w:sz="4" w:space="0" w:color="808080"/>
              <w:right w:val="single" w:sz="4" w:space="0" w:color="808080"/>
            </w:tcBorders>
            <w:shd w:val="clear" w:color="000000" w:fill="C5D9F1"/>
            <w:noWrap/>
            <w:vAlign w:val="center"/>
            <w:hideMark/>
          </w:tcPr>
          <w:p w:rsidR="00432A7F" w:rsidRPr="00432A7F" w:rsidRDefault="00432A7F" w:rsidP="00432A7F">
            <w:pPr>
              <w:spacing w:after="0" w:line="240" w:lineRule="auto"/>
              <w:jc w:val="center"/>
              <w:rPr>
                <w:rFonts w:ascii="Calibri" w:eastAsia="Times New Roman" w:hAnsi="Calibri" w:cs="Times New Roman"/>
                <w:bCs/>
                <w:color w:val="FF0000"/>
                <w:sz w:val="18"/>
                <w:szCs w:val="18"/>
                <w:lang w:eastAsia="pl-PL"/>
              </w:rPr>
            </w:pPr>
            <w:r w:rsidRPr="00432A7F">
              <w:rPr>
                <w:rFonts w:ascii="Calibri" w:eastAsia="Times New Roman" w:hAnsi="Calibri" w:cs="Times New Roman"/>
                <w:bCs/>
                <w:color w:val="FF0000"/>
                <w:sz w:val="18"/>
                <w:szCs w:val="18"/>
                <w:lang w:eastAsia="pl-PL"/>
              </w:rPr>
              <w:t>19,1%</w:t>
            </w:r>
          </w:p>
        </w:tc>
      </w:tr>
      <w:tr w:rsidR="00432A7F" w:rsidRPr="00432A7F" w:rsidTr="00420098">
        <w:trPr>
          <w:trHeight w:val="978"/>
        </w:trPr>
        <w:tc>
          <w:tcPr>
            <w:tcW w:w="980" w:type="dxa"/>
            <w:tcBorders>
              <w:top w:val="nil"/>
              <w:left w:val="single" w:sz="4" w:space="0" w:color="808080"/>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lastRenderedPageBreak/>
              <w:t>P_1</w:t>
            </w:r>
          </w:p>
        </w:tc>
        <w:tc>
          <w:tcPr>
            <w:tcW w:w="1010" w:type="dxa"/>
            <w:tcBorders>
              <w:top w:val="nil"/>
              <w:left w:val="nil"/>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K.I. 3.2.</w:t>
            </w:r>
          </w:p>
        </w:tc>
        <w:tc>
          <w:tcPr>
            <w:tcW w:w="1040"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produkt</w:t>
            </w:r>
          </w:p>
        </w:tc>
        <w:tc>
          <w:tcPr>
            <w:tcW w:w="3066"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Liczba zakupionych nowości w bibliotekach/ placówkach wychowania przedszkolnego objętych wsparciem (zakupionych z projektu)</w:t>
            </w:r>
          </w:p>
        </w:tc>
        <w:tc>
          <w:tcPr>
            <w:tcW w:w="1062" w:type="dxa"/>
            <w:tcBorders>
              <w:top w:val="nil"/>
              <w:left w:val="nil"/>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350 000    </w:t>
            </w:r>
          </w:p>
        </w:tc>
        <w:tc>
          <w:tcPr>
            <w:tcW w:w="1134" w:type="dxa"/>
            <w:tcBorders>
              <w:top w:val="nil"/>
              <w:left w:val="nil"/>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660 064    </w:t>
            </w:r>
          </w:p>
        </w:tc>
        <w:tc>
          <w:tcPr>
            <w:tcW w:w="1134" w:type="dxa"/>
            <w:tcBorders>
              <w:top w:val="nil"/>
              <w:left w:val="nil"/>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C00000"/>
                <w:sz w:val="18"/>
                <w:szCs w:val="18"/>
                <w:lang w:eastAsia="pl-PL"/>
              </w:rPr>
            </w:pPr>
            <w:r w:rsidRPr="00432A7F">
              <w:rPr>
                <w:rFonts w:ascii="Calibri" w:eastAsia="Times New Roman" w:hAnsi="Calibri" w:cs="Times New Roman"/>
                <w:color w:val="C00000"/>
                <w:sz w:val="18"/>
                <w:szCs w:val="18"/>
                <w:lang w:eastAsia="pl-PL"/>
              </w:rPr>
              <w:t>188,6%</w:t>
            </w:r>
          </w:p>
        </w:tc>
        <w:tc>
          <w:tcPr>
            <w:tcW w:w="1096" w:type="dxa"/>
            <w:tcBorders>
              <w:top w:val="nil"/>
              <w:left w:val="nil"/>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2 400 000    </w:t>
            </w:r>
          </w:p>
        </w:tc>
        <w:tc>
          <w:tcPr>
            <w:tcW w:w="1280" w:type="dxa"/>
            <w:tcBorders>
              <w:top w:val="nil"/>
              <w:left w:val="nil"/>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2 400 000    </w:t>
            </w:r>
          </w:p>
        </w:tc>
        <w:tc>
          <w:tcPr>
            <w:tcW w:w="1130" w:type="dxa"/>
            <w:tcBorders>
              <w:top w:val="nil"/>
              <w:left w:val="nil"/>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660 064    </w:t>
            </w:r>
          </w:p>
        </w:tc>
        <w:tc>
          <w:tcPr>
            <w:tcW w:w="1030" w:type="dxa"/>
            <w:tcBorders>
              <w:top w:val="nil"/>
              <w:left w:val="nil"/>
              <w:bottom w:val="single" w:sz="4" w:space="0" w:color="808080"/>
              <w:right w:val="single" w:sz="4" w:space="0" w:color="808080"/>
            </w:tcBorders>
            <w:shd w:val="clear" w:color="000000" w:fill="C5D9F1"/>
            <w:noWrap/>
            <w:vAlign w:val="center"/>
            <w:hideMark/>
          </w:tcPr>
          <w:p w:rsidR="00432A7F" w:rsidRPr="00432A7F" w:rsidRDefault="00432A7F" w:rsidP="00432A7F">
            <w:pPr>
              <w:spacing w:after="0" w:line="240" w:lineRule="auto"/>
              <w:jc w:val="center"/>
              <w:rPr>
                <w:rFonts w:ascii="Calibri" w:eastAsia="Times New Roman" w:hAnsi="Calibri" w:cs="Times New Roman"/>
                <w:bCs/>
                <w:color w:val="FF0000"/>
                <w:sz w:val="18"/>
                <w:szCs w:val="18"/>
                <w:lang w:eastAsia="pl-PL"/>
              </w:rPr>
            </w:pPr>
            <w:r w:rsidRPr="00432A7F">
              <w:rPr>
                <w:rFonts w:ascii="Calibri" w:eastAsia="Times New Roman" w:hAnsi="Calibri" w:cs="Times New Roman"/>
                <w:bCs/>
                <w:color w:val="FF0000"/>
                <w:sz w:val="18"/>
                <w:szCs w:val="18"/>
                <w:lang w:eastAsia="pl-PL"/>
              </w:rPr>
              <w:t>27,5%</w:t>
            </w:r>
          </w:p>
        </w:tc>
      </w:tr>
      <w:tr w:rsidR="00432A7F" w:rsidRPr="00432A7F" w:rsidTr="00420098">
        <w:trPr>
          <w:trHeight w:val="510"/>
        </w:trPr>
        <w:tc>
          <w:tcPr>
            <w:tcW w:w="13962" w:type="dxa"/>
            <w:gridSpan w:val="11"/>
            <w:tcBorders>
              <w:top w:val="nil"/>
              <w:left w:val="single" w:sz="4" w:space="0" w:color="808080"/>
              <w:bottom w:val="single" w:sz="4" w:space="0" w:color="808080"/>
              <w:right w:val="single" w:sz="4" w:space="0" w:color="808080"/>
            </w:tcBorders>
            <w:shd w:val="clear" w:color="auto" w:fill="auto"/>
            <w:noWrap/>
            <w:vAlign w:val="center"/>
          </w:tcPr>
          <w:p w:rsidR="00432A7F" w:rsidRPr="00432A7F" w:rsidRDefault="00432A7F" w:rsidP="00432A7F">
            <w:pPr>
              <w:spacing w:after="0" w:line="240" w:lineRule="auto"/>
              <w:rPr>
                <w:rFonts w:ascii="Calibri" w:eastAsia="Times New Roman" w:hAnsi="Calibri" w:cs="Times New Roman"/>
                <w:bCs/>
                <w:color w:val="FF0000"/>
                <w:sz w:val="18"/>
                <w:szCs w:val="18"/>
                <w:lang w:eastAsia="pl-PL"/>
              </w:rPr>
            </w:pPr>
            <w:r w:rsidRPr="00432A7F">
              <w:rPr>
                <w:rFonts w:ascii="Calibri" w:eastAsia="Times New Roman" w:hAnsi="Calibri" w:cs="Times New Roman"/>
                <w:bCs/>
                <w:color w:val="C00000"/>
                <w:sz w:val="18"/>
                <w:szCs w:val="18"/>
                <w:lang w:eastAsia="pl-PL"/>
              </w:rPr>
              <w:t>Cel szczegółowy 4 / Priorytet 4</w:t>
            </w:r>
          </w:p>
        </w:tc>
      </w:tr>
      <w:tr w:rsidR="00432A7F" w:rsidRPr="00432A7F" w:rsidTr="00420098">
        <w:trPr>
          <w:trHeight w:val="828"/>
        </w:trPr>
        <w:tc>
          <w:tcPr>
            <w:tcW w:w="980" w:type="dxa"/>
            <w:tcBorders>
              <w:top w:val="nil"/>
              <w:left w:val="single" w:sz="4" w:space="0" w:color="808080"/>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CG_P_1</w:t>
            </w:r>
          </w:p>
        </w:tc>
        <w:tc>
          <w:tcPr>
            <w:tcW w:w="1010" w:type="dxa"/>
            <w:tcBorders>
              <w:top w:val="nil"/>
              <w:left w:val="nil"/>
              <w:bottom w:val="single" w:sz="4" w:space="0" w:color="808080"/>
              <w:right w:val="single" w:sz="4" w:space="0" w:color="808080"/>
            </w:tcBorders>
            <w:shd w:val="clear" w:color="000000" w:fill="FFFFFF"/>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K.I. 4.1.</w:t>
            </w:r>
          </w:p>
        </w:tc>
        <w:tc>
          <w:tcPr>
            <w:tcW w:w="1040"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produkt</w:t>
            </w:r>
          </w:p>
        </w:tc>
        <w:tc>
          <w:tcPr>
            <w:tcW w:w="3066"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Liczba bibliotek (publicznych, szkolnych i pedagogicznych) oraz placówek wychowania przedszkolnego objętych wsparciem w ramach NPRCz 2.0.</w:t>
            </w:r>
          </w:p>
        </w:tc>
        <w:tc>
          <w:tcPr>
            <w:tcW w:w="1062"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0(45)</w:t>
            </w:r>
          </w:p>
        </w:tc>
        <w:tc>
          <w:tcPr>
            <w:tcW w:w="1134"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0(49)</w:t>
            </w:r>
          </w:p>
        </w:tc>
        <w:tc>
          <w:tcPr>
            <w:tcW w:w="1134"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jc w:val="center"/>
              <w:rPr>
                <w:rFonts w:ascii="Calibri" w:eastAsia="Times New Roman" w:hAnsi="Calibri" w:cs="Times New Roman"/>
                <w:color w:val="C00000"/>
                <w:sz w:val="18"/>
                <w:szCs w:val="18"/>
                <w:lang w:eastAsia="pl-PL"/>
              </w:rPr>
            </w:pPr>
            <w:r w:rsidRPr="00432A7F">
              <w:rPr>
                <w:rFonts w:ascii="Calibri" w:eastAsia="Times New Roman" w:hAnsi="Calibri" w:cs="Times New Roman"/>
                <w:color w:val="C00000"/>
                <w:sz w:val="18"/>
                <w:szCs w:val="18"/>
                <w:lang w:eastAsia="pl-PL"/>
              </w:rPr>
              <w:t>0(108,9%)</w:t>
            </w:r>
          </w:p>
        </w:tc>
        <w:tc>
          <w:tcPr>
            <w:tcW w:w="1096" w:type="dxa"/>
            <w:tcBorders>
              <w:top w:val="nil"/>
              <w:left w:val="nil"/>
              <w:bottom w:val="single" w:sz="4" w:space="0" w:color="808080"/>
              <w:right w:val="single" w:sz="4" w:space="0" w:color="808080"/>
            </w:tcBorders>
            <w:shd w:val="clear" w:color="auto" w:fill="FFFFFF" w:themeFill="background1"/>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180    </w:t>
            </w:r>
          </w:p>
        </w:tc>
        <w:tc>
          <w:tcPr>
            <w:tcW w:w="1280"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49    </w:t>
            </w:r>
          </w:p>
        </w:tc>
        <w:tc>
          <w:tcPr>
            <w:tcW w:w="1130"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0</w:t>
            </w:r>
          </w:p>
        </w:tc>
        <w:tc>
          <w:tcPr>
            <w:tcW w:w="1030" w:type="dxa"/>
            <w:tcBorders>
              <w:top w:val="nil"/>
              <w:left w:val="nil"/>
              <w:bottom w:val="single" w:sz="4" w:space="0" w:color="808080"/>
              <w:right w:val="single" w:sz="4" w:space="0" w:color="808080"/>
            </w:tcBorders>
            <w:shd w:val="clear" w:color="000000" w:fill="C5D9F1"/>
            <w:vAlign w:val="center"/>
            <w:hideMark/>
          </w:tcPr>
          <w:p w:rsidR="00432A7F" w:rsidRPr="00432A7F" w:rsidRDefault="00432A7F" w:rsidP="00432A7F">
            <w:pPr>
              <w:spacing w:after="0" w:line="240" w:lineRule="auto"/>
              <w:jc w:val="center"/>
              <w:rPr>
                <w:rFonts w:ascii="Calibri" w:eastAsia="Times New Roman" w:hAnsi="Calibri" w:cs="Times New Roman"/>
                <w:bCs/>
                <w:color w:val="FF0000"/>
                <w:sz w:val="18"/>
                <w:szCs w:val="18"/>
                <w:lang w:eastAsia="pl-PL"/>
              </w:rPr>
            </w:pPr>
            <w:r w:rsidRPr="00432A7F">
              <w:rPr>
                <w:rFonts w:ascii="Calibri" w:eastAsia="Times New Roman" w:hAnsi="Calibri" w:cs="Times New Roman"/>
                <w:bCs/>
                <w:color w:val="FF0000"/>
                <w:sz w:val="18"/>
                <w:szCs w:val="18"/>
                <w:lang w:eastAsia="pl-PL"/>
              </w:rPr>
              <w:t>0,0%</w:t>
            </w:r>
            <w:r w:rsidRPr="00432A7F">
              <w:rPr>
                <w:rFonts w:ascii="Calibri" w:eastAsia="Times New Roman" w:hAnsi="Calibri" w:cs="Times New Roman"/>
                <w:bCs/>
                <w:sz w:val="18"/>
                <w:szCs w:val="18"/>
                <w:vertAlign w:val="superscript"/>
                <w:lang w:eastAsia="pl-PL"/>
              </w:rPr>
              <w:footnoteReference w:id="15"/>
            </w:r>
          </w:p>
        </w:tc>
      </w:tr>
      <w:tr w:rsidR="00432A7F" w:rsidRPr="00432A7F" w:rsidTr="00420098">
        <w:trPr>
          <w:trHeight w:val="720"/>
        </w:trPr>
        <w:tc>
          <w:tcPr>
            <w:tcW w:w="980" w:type="dxa"/>
            <w:tcBorders>
              <w:top w:val="nil"/>
              <w:left w:val="single" w:sz="4" w:space="0" w:color="808080"/>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RB_7</w:t>
            </w:r>
          </w:p>
        </w:tc>
        <w:tc>
          <w:tcPr>
            <w:tcW w:w="1010" w:type="dxa"/>
            <w:tcBorders>
              <w:top w:val="nil"/>
              <w:left w:val="nil"/>
              <w:bottom w:val="single" w:sz="4" w:space="0" w:color="808080"/>
              <w:right w:val="single" w:sz="4" w:space="0" w:color="808080"/>
            </w:tcBorders>
            <w:shd w:val="clear" w:color="000000" w:fill="FFFFFF"/>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K.I. 4.1.</w:t>
            </w:r>
          </w:p>
        </w:tc>
        <w:tc>
          <w:tcPr>
            <w:tcW w:w="1040"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rezultat bezpośredni</w:t>
            </w:r>
          </w:p>
        </w:tc>
        <w:tc>
          <w:tcPr>
            <w:tcW w:w="3066"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Liczba zrealizowanych projektów edukacyjno-animacyjnych w ramach partnerstw</w:t>
            </w:r>
          </w:p>
        </w:tc>
        <w:tc>
          <w:tcPr>
            <w:tcW w:w="1062"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90    </w:t>
            </w:r>
          </w:p>
        </w:tc>
        <w:tc>
          <w:tcPr>
            <w:tcW w:w="1134"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                         298    </w:t>
            </w:r>
          </w:p>
        </w:tc>
        <w:tc>
          <w:tcPr>
            <w:tcW w:w="1134" w:type="dxa"/>
            <w:tcBorders>
              <w:top w:val="nil"/>
              <w:left w:val="nil"/>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C00000"/>
                <w:sz w:val="18"/>
                <w:szCs w:val="18"/>
                <w:lang w:eastAsia="pl-PL"/>
              </w:rPr>
            </w:pPr>
            <w:r w:rsidRPr="00432A7F">
              <w:rPr>
                <w:rFonts w:ascii="Calibri" w:eastAsia="Times New Roman" w:hAnsi="Calibri" w:cs="Times New Roman"/>
                <w:color w:val="C00000"/>
                <w:sz w:val="18"/>
                <w:szCs w:val="18"/>
                <w:lang w:eastAsia="pl-PL"/>
              </w:rPr>
              <w:t>331,1%</w:t>
            </w:r>
          </w:p>
        </w:tc>
        <w:tc>
          <w:tcPr>
            <w:tcW w:w="1096"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1 395    </w:t>
            </w:r>
          </w:p>
        </w:tc>
        <w:tc>
          <w:tcPr>
            <w:tcW w:w="1280"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                      560    </w:t>
            </w:r>
          </w:p>
        </w:tc>
        <w:tc>
          <w:tcPr>
            <w:tcW w:w="1130"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                         298    </w:t>
            </w:r>
          </w:p>
        </w:tc>
        <w:tc>
          <w:tcPr>
            <w:tcW w:w="1030" w:type="dxa"/>
            <w:tcBorders>
              <w:top w:val="nil"/>
              <w:left w:val="nil"/>
              <w:bottom w:val="single" w:sz="4" w:space="0" w:color="808080"/>
              <w:right w:val="single" w:sz="4" w:space="0" w:color="808080"/>
            </w:tcBorders>
            <w:shd w:val="clear" w:color="000000" w:fill="C5D9F1"/>
            <w:vAlign w:val="center"/>
            <w:hideMark/>
          </w:tcPr>
          <w:p w:rsidR="00432A7F" w:rsidRPr="00432A7F" w:rsidRDefault="00432A7F" w:rsidP="00432A7F">
            <w:pPr>
              <w:spacing w:after="0" w:line="240" w:lineRule="auto"/>
              <w:jc w:val="center"/>
              <w:rPr>
                <w:rFonts w:ascii="Calibri" w:eastAsia="Times New Roman" w:hAnsi="Calibri" w:cs="Times New Roman"/>
                <w:bCs/>
                <w:color w:val="FF0000"/>
                <w:sz w:val="18"/>
                <w:szCs w:val="18"/>
                <w:lang w:eastAsia="pl-PL"/>
              </w:rPr>
            </w:pPr>
            <w:r w:rsidRPr="00432A7F">
              <w:rPr>
                <w:rFonts w:ascii="Calibri" w:eastAsia="Times New Roman" w:hAnsi="Calibri" w:cs="Times New Roman"/>
                <w:bCs/>
                <w:color w:val="FF0000"/>
                <w:sz w:val="18"/>
                <w:szCs w:val="18"/>
                <w:lang w:eastAsia="pl-PL"/>
              </w:rPr>
              <w:t>21,4%</w:t>
            </w:r>
          </w:p>
        </w:tc>
      </w:tr>
      <w:tr w:rsidR="00432A7F" w:rsidRPr="00432A7F" w:rsidTr="00420098">
        <w:trPr>
          <w:trHeight w:val="1200"/>
        </w:trPr>
        <w:tc>
          <w:tcPr>
            <w:tcW w:w="980" w:type="dxa"/>
            <w:tcBorders>
              <w:top w:val="nil"/>
              <w:left w:val="single" w:sz="4" w:space="0" w:color="808080"/>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P_9</w:t>
            </w:r>
          </w:p>
        </w:tc>
        <w:tc>
          <w:tcPr>
            <w:tcW w:w="1010" w:type="dxa"/>
            <w:tcBorders>
              <w:top w:val="nil"/>
              <w:left w:val="nil"/>
              <w:bottom w:val="single" w:sz="4" w:space="0" w:color="808080"/>
              <w:right w:val="single" w:sz="4" w:space="0" w:color="808080"/>
            </w:tcBorders>
            <w:shd w:val="clear" w:color="000000" w:fill="FFFFFF"/>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K.I. 4.2.</w:t>
            </w:r>
          </w:p>
        </w:tc>
        <w:tc>
          <w:tcPr>
            <w:tcW w:w="1040" w:type="dxa"/>
            <w:tcBorders>
              <w:top w:val="nil"/>
              <w:left w:val="nil"/>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produkt</w:t>
            </w:r>
          </w:p>
        </w:tc>
        <w:tc>
          <w:tcPr>
            <w:tcW w:w="3066"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Zasięg kampanii, rozumiany jako liczba osób, które zetknęły się z komunikatami informacyjnymi NPRCz 2.0. przynajmniej jeden raz w trakcie trwania kampanii</w:t>
            </w:r>
          </w:p>
        </w:tc>
        <w:tc>
          <w:tcPr>
            <w:tcW w:w="1062" w:type="dxa"/>
            <w:tcBorders>
              <w:top w:val="nil"/>
              <w:left w:val="nil"/>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17 000 000    </w:t>
            </w:r>
          </w:p>
        </w:tc>
        <w:tc>
          <w:tcPr>
            <w:tcW w:w="1134" w:type="dxa"/>
            <w:tcBorders>
              <w:top w:val="nil"/>
              <w:left w:val="nil"/>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17 000 000    </w:t>
            </w:r>
          </w:p>
        </w:tc>
        <w:tc>
          <w:tcPr>
            <w:tcW w:w="1134" w:type="dxa"/>
            <w:tcBorders>
              <w:top w:val="nil"/>
              <w:left w:val="nil"/>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C00000"/>
                <w:sz w:val="18"/>
                <w:szCs w:val="18"/>
                <w:lang w:eastAsia="pl-PL"/>
              </w:rPr>
            </w:pPr>
            <w:r w:rsidRPr="00432A7F">
              <w:rPr>
                <w:rFonts w:ascii="Calibri" w:eastAsia="Times New Roman" w:hAnsi="Calibri" w:cs="Times New Roman"/>
                <w:color w:val="C00000"/>
                <w:sz w:val="18"/>
                <w:szCs w:val="18"/>
                <w:lang w:eastAsia="pl-PL"/>
              </w:rPr>
              <w:t>100,0%</w:t>
            </w:r>
          </w:p>
        </w:tc>
        <w:tc>
          <w:tcPr>
            <w:tcW w:w="1096" w:type="dxa"/>
            <w:tcBorders>
              <w:top w:val="nil"/>
              <w:left w:val="nil"/>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96 800 000    </w:t>
            </w:r>
          </w:p>
        </w:tc>
        <w:tc>
          <w:tcPr>
            <w:tcW w:w="1280" w:type="dxa"/>
            <w:tcBorders>
              <w:top w:val="nil"/>
              <w:left w:val="nil"/>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nie dotyczy</w:t>
            </w:r>
          </w:p>
        </w:tc>
        <w:tc>
          <w:tcPr>
            <w:tcW w:w="1130" w:type="dxa"/>
            <w:tcBorders>
              <w:top w:val="nil"/>
              <w:left w:val="nil"/>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17 000 000    </w:t>
            </w:r>
          </w:p>
        </w:tc>
        <w:tc>
          <w:tcPr>
            <w:tcW w:w="1030" w:type="dxa"/>
            <w:tcBorders>
              <w:top w:val="nil"/>
              <w:left w:val="nil"/>
              <w:bottom w:val="single" w:sz="4" w:space="0" w:color="808080"/>
              <w:right w:val="single" w:sz="4" w:space="0" w:color="808080"/>
            </w:tcBorders>
            <w:shd w:val="clear" w:color="000000" w:fill="C5D9F1"/>
            <w:noWrap/>
            <w:vAlign w:val="center"/>
            <w:hideMark/>
          </w:tcPr>
          <w:p w:rsidR="00432A7F" w:rsidRPr="00432A7F" w:rsidRDefault="00432A7F" w:rsidP="00432A7F">
            <w:pPr>
              <w:spacing w:after="0" w:line="240" w:lineRule="auto"/>
              <w:jc w:val="center"/>
              <w:rPr>
                <w:rFonts w:ascii="Calibri" w:eastAsia="Times New Roman" w:hAnsi="Calibri" w:cs="Times New Roman"/>
                <w:bCs/>
                <w:color w:val="FF0000"/>
                <w:sz w:val="18"/>
                <w:szCs w:val="18"/>
                <w:lang w:eastAsia="pl-PL"/>
              </w:rPr>
            </w:pPr>
            <w:r w:rsidRPr="00432A7F">
              <w:rPr>
                <w:rFonts w:ascii="Calibri" w:eastAsia="Times New Roman" w:hAnsi="Calibri" w:cs="Times New Roman"/>
                <w:bCs/>
                <w:color w:val="FF0000"/>
                <w:sz w:val="18"/>
                <w:szCs w:val="18"/>
                <w:lang w:eastAsia="pl-PL"/>
              </w:rPr>
              <w:t>17,6%</w:t>
            </w:r>
          </w:p>
        </w:tc>
      </w:tr>
      <w:tr w:rsidR="00432A7F" w:rsidRPr="00432A7F" w:rsidTr="00420098">
        <w:trPr>
          <w:trHeight w:val="480"/>
        </w:trPr>
        <w:tc>
          <w:tcPr>
            <w:tcW w:w="980" w:type="dxa"/>
            <w:tcBorders>
              <w:top w:val="nil"/>
              <w:left w:val="single" w:sz="4" w:space="0" w:color="808080"/>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P_10</w:t>
            </w:r>
          </w:p>
        </w:tc>
        <w:tc>
          <w:tcPr>
            <w:tcW w:w="1010" w:type="dxa"/>
            <w:tcBorders>
              <w:top w:val="nil"/>
              <w:left w:val="nil"/>
              <w:bottom w:val="single" w:sz="4" w:space="0" w:color="808080"/>
              <w:right w:val="single" w:sz="4" w:space="0" w:color="808080"/>
            </w:tcBorders>
            <w:shd w:val="clear" w:color="000000" w:fill="FFFFFF"/>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K.I. 4.2.</w:t>
            </w:r>
          </w:p>
        </w:tc>
        <w:tc>
          <w:tcPr>
            <w:tcW w:w="1040" w:type="dxa"/>
            <w:tcBorders>
              <w:top w:val="nil"/>
              <w:left w:val="nil"/>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produkt</w:t>
            </w:r>
          </w:p>
        </w:tc>
        <w:tc>
          <w:tcPr>
            <w:tcW w:w="3066" w:type="dxa"/>
            <w:tcBorders>
              <w:top w:val="nil"/>
              <w:left w:val="nil"/>
              <w:bottom w:val="single" w:sz="4" w:space="0" w:color="808080"/>
              <w:right w:val="single" w:sz="4" w:space="0" w:color="808080"/>
            </w:tcBorders>
            <w:shd w:val="clear" w:color="auto" w:fill="auto"/>
            <w:vAlign w:val="center"/>
            <w:hideMark/>
          </w:tcPr>
          <w:p w:rsidR="00432A7F" w:rsidRPr="00432A7F" w:rsidRDefault="00432A7F" w:rsidP="00432A7F">
            <w:pPr>
              <w:spacing w:after="0" w:line="240" w:lineRule="auto"/>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Liczba wejść na stronę www NPRCz 2.0</w:t>
            </w:r>
          </w:p>
        </w:tc>
        <w:tc>
          <w:tcPr>
            <w:tcW w:w="1062" w:type="dxa"/>
            <w:tcBorders>
              <w:top w:val="nil"/>
              <w:left w:val="nil"/>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35 000    </w:t>
            </w:r>
          </w:p>
        </w:tc>
        <w:tc>
          <w:tcPr>
            <w:tcW w:w="1134" w:type="dxa"/>
            <w:tcBorders>
              <w:top w:val="nil"/>
              <w:left w:val="nil"/>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40 000    </w:t>
            </w:r>
          </w:p>
        </w:tc>
        <w:tc>
          <w:tcPr>
            <w:tcW w:w="1134" w:type="dxa"/>
            <w:tcBorders>
              <w:top w:val="nil"/>
              <w:left w:val="nil"/>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C00000"/>
                <w:sz w:val="18"/>
                <w:szCs w:val="18"/>
                <w:lang w:eastAsia="pl-PL"/>
              </w:rPr>
            </w:pPr>
            <w:r w:rsidRPr="00432A7F">
              <w:rPr>
                <w:rFonts w:ascii="Calibri" w:eastAsia="Times New Roman" w:hAnsi="Calibri" w:cs="Times New Roman"/>
                <w:color w:val="C00000"/>
                <w:sz w:val="18"/>
                <w:szCs w:val="18"/>
                <w:lang w:eastAsia="pl-PL"/>
              </w:rPr>
              <w:t>114,0%</w:t>
            </w:r>
          </w:p>
        </w:tc>
        <w:tc>
          <w:tcPr>
            <w:tcW w:w="1096" w:type="dxa"/>
            <w:tcBorders>
              <w:top w:val="nil"/>
              <w:left w:val="nil"/>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280 000    </w:t>
            </w:r>
          </w:p>
        </w:tc>
        <w:tc>
          <w:tcPr>
            <w:tcW w:w="1280" w:type="dxa"/>
            <w:tcBorders>
              <w:top w:val="nil"/>
              <w:left w:val="nil"/>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nie dotyczy</w:t>
            </w:r>
          </w:p>
        </w:tc>
        <w:tc>
          <w:tcPr>
            <w:tcW w:w="1130" w:type="dxa"/>
            <w:tcBorders>
              <w:top w:val="nil"/>
              <w:left w:val="nil"/>
              <w:bottom w:val="single" w:sz="4" w:space="0" w:color="808080"/>
              <w:right w:val="single" w:sz="4" w:space="0" w:color="808080"/>
            </w:tcBorders>
            <w:shd w:val="clear" w:color="auto" w:fill="auto"/>
            <w:noWrap/>
            <w:vAlign w:val="center"/>
            <w:hideMark/>
          </w:tcPr>
          <w:p w:rsidR="00432A7F" w:rsidRPr="00432A7F" w:rsidRDefault="00432A7F" w:rsidP="00432A7F">
            <w:pPr>
              <w:spacing w:after="0" w:line="240" w:lineRule="auto"/>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40 000    </w:t>
            </w:r>
          </w:p>
        </w:tc>
        <w:tc>
          <w:tcPr>
            <w:tcW w:w="1030" w:type="dxa"/>
            <w:tcBorders>
              <w:top w:val="nil"/>
              <w:left w:val="nil"/>
              <w:bottom w:val="single" w:sz="4" w:space="0" w:color="808080"/>
              <w:right w:val="single" w:sz="4" w:space="0" w:color="808080"/>
            </w:tcBorders>
            <w:shd w:val="clear" w:color="000000" w:fill="C5D9F1"/>
            <w:noWrap/>
            <w:vAlign w:val="center"/>
            <w:hideMark/>
          </w:tcPr>
          <w:p w:rsidR="00432A7F" w:rsidRPr="00432A7F" w:rsidRDefault="00432A7F" w:rsidP="00432A7F">
            <w:pPr>
              <w:spacing w:after="0" w:line="240" w:lineRule="auto"/>
              <w:jc w:val="center"/>
              <w:rPr>
                <w:rFonts w:ascii="Calibri" w:eastAsia="Times New Roman" w:hAnsi="Calibri" w:cs="Times New Roman"/>
                <w:bCs/>
                <w:color w:val="FF0000"/>
                <w:sz w:val="18"/>
                <w:szCs w:val="18"/>
                <w:lang w:eastAsia="pl-PL"/>
              </w:rPr>
            </w:pPr>
            <w:r w:rsidRPr="00432A7F">
              <w:rPr>
                <w:rFonts w:ascii="Calibri" w:eastAsia="Times New Roman" w:hAnsi="Calibri" w:cs="Times New Roman"/>
                <w:bCs/>
                <w:color w:val="FF0000"/>
                <w:sz w:val="18"/>
                <w:szCs w:val="18"/>
                <w:lang w:eastAsia="pl-PL"/>
              </w:rPr>
              <w:t>14,3%</w:t>
            </w:r>
          </w:p>
        </w:tc>
      </w:tr>
    </w:tbl>
    <w:p w:rsidR="00432A7F" w:rsidRPr="00432A7F" w:rsidRDefault="00432A7F" w:rsidP="00432A7F">
      <w:pPr>
        <w:spacing w:after="120"/>
        <w:ind w:left="284"/>
        <w:contextualSpacing/>
        <w:jc w:val="both"/>
        <w:rPr>
          <w:rFonts w:ascii="Calibri" w:eastAsia="Times New Roman" w:hAnsi="Calibri" w:cs="Times New Roman"/>
          <w:bCs/>
        </w:rPr>
      </w:pPr>
    </w:p>
    <w:p w:rsidR="00432A7F" w:rsidRPr="00432A7F" w:rsidRDefault="00432A7F" w:rsidP="00432A7F">
      <w:pPr>
        <w:spacing w:after="120"/>
        <w:contextualSpacing/>
        <w:jc w:val="both"/>
        <w:rPr>
          <w:rFonts w:ascii="Calibri" w:eastAsia="Times New Roman" w:hAnsi="Calibri" w:cs="Times New Roman"/>
          <w:bCs/>
        </w:rPr>
      </w:pPr>
      <w:r w:rsidRPr="00432A7F">
        <w:rPr>
          <w:rFonts w:ascii="Calibri" w:eastAsia="Times New Roman" w:hAnsi="Calibri" w:cs="Times New Roman"/>
          <w:bCs/>
        </w:rPr>
        <w:t>Wyjaśnienie oznaczeń ID przyjętych dla wskaźników NPRCz 2.0.:</w:t>
      </w:r>
    </w:p>
    <w:p w:rsidR="00432A7F" w:rsidRPr="00432A7F" w:rsidRDefault="00432A7F" w:rsidP="00432A7F">
      <w:pPr>
        <w:spacing w:after="120"/>
        <w:contextualSpacing/>
        <w:jc w:val="both"/>
        <w:rPr>
          <w:rFonts w:ascii="Calibri" w:eastAsia="Times New Roman" w:hAnsi="Calibri" w:cs="Times New Roman"/>
          <w:bCs/>
        </w:rPr>
      </w:pPr>
      <w:r w:rsidRPr="00432A7F">
        <w:rPr>
          <w:rFonts w:ascii="Calibri" w:eastAsia="Times New Roman" w:hAnsi="Calibri" w:cs="Times New Roman"/>
          <w:bCs/>
        </w:rPr>
        <w:t>CG_R – wskaźnik rezultatu przyjęty dla celu głównego NPRCz 2.0., CG_P – wskaźnik produktu przyjęty dla celu głównego NPRCz 2.0. (monitorowany na poziomie każdego z Priorytetów), P – wskaźnik produktu, przyjęty dla danego Kierunku interwencji (ten sam wskaźnik, oznaczony tym samym numerem, może mieć zastosowanie w odniesieniu do kilku Kierunków interwencji NPRCz 2.0.), RB – wskaźnik rezultatu bezpośredniego, przyjęty dla danego Kierunku interwencji.</w:t>
      </w:r>
    </w:p>
    <w:p w:rsidR="00432A7F" w:rsidRPr="00432A7F" w:rsidRDefault="00432A7F" w:rsidP="00432A7F">
      <w:pPr>
        <w:spacing w:after="120"/>
        <w:ind w:left="284"/>
        <w:jc w:val="both"/>
        <w:rPr>
          <w:rFonts w:ascii="Calibri" w:eastAsia="Times New Roman" w:hAnsi="Calibri" w:cs="Times New Roman"/>
          <w:bCs/>
        </w:rPr>
        <w:sectPr w:rsidR="00432A7F" w:rsidRPr="00432A7F" w:rsidSect="00D62D2D">
          <w:pgSz w:w="16838" w:h="11906" w:orient="landscape"/>
          <w:pgMar w:top="1417" w:right="1417" w:bottom="1417" w:left="1417" w:header="708" w:footer="567" w:gutter="0"/>
          <w:cols w:space="708"/>
          <w:docGrid w:linePitch="360"/>
        </w:sectPr>
      </w:pPr>
    </w:p>
    <w:p w:rsidR="00432A7F" w:rsidRPr="00432A7F" w:rsidRDefault="00432A7F" w:rsidP="00432A7F">
      <w:pPr>
        <w:spacing w:after="120"/>
        <w:ind w:left="284"/>
        <w:jc w:val="both"/>
        <w:rPr>
          <w:rFonts w:ascii="Calibri" w:eastAsia="Times New Roman" w:hAnsi="Calibri" w:cs="Times New Roman"/>
          <w:bCs/>
          <w:i/>
        </w:rPr>
      </w:pPr>
      <w:r w:rsidRPr="00432A7F">
        <w:rPr>
          <w:rFonts w:ascii="Calibri" w:eastAsia="Times New Roman" w:hAnsi="Calibri" w:cs="Times New Roman"/>
          <w:bCs/>
          <w:i/>
        </w:rPr>
        <w:lastRenderedPageBreak/>
        <w:t>Tabela Szczegółowe zestawienie wskaźników monitorowanych NPRCz 2.0 za 2021 r.</w:t>
      </w:r>
    </w:p>
    <w:tbl>
      <w:tblPr>
        <w:tblW w:w="9005" w:type="dxa"/>
        <w:jc w:val="right"/>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139"/>
        <w:gridCol w:w="1417"/>
        <w:gridCol w:w="1038"/>
        <w:gridCol w:w="2465"/>
        <w:gridCol w:w="1192"/>
        <w:gridCol w:w="884"/>
        <w:gridCol w:w="870"/>
      </w:tblGrid>
      <w:tr w:rsidR="00432A7F" w:rsidRPr="00432A7F" w:rsidTr="00420098">
        <w:trPr>
          <w:trHeight w:val="828"/>
          <w:tblHeader/>
          <w:jc w:val="right"/>
        </w:trPr>
        <w:tc>
          <w:tcPr>
            <w:tcW w:w="1139" w:type="dxa"/>
            <w:shd w:val="clear" w:color="000000" w:fill="D9D9D9"/>
            <w:vAlign w:val="center"/>
            <w:hideMark/>
          </w:tcPr>
          <w:p w:rsidR="00432A7F" w:rsidRPr="00432A7F" w:rsidRDefault="00432A7F" w:rsidP="00432A7F">
            <w:pPr>
              <w:spacing w:after="120"/>
              <w:jc w:val="center"/>
              <w:rPr>
                <w:rFonts w:ascii="Calibri" w:eastAsia="Times New Roman" w:hAnsi="Calibri" w:cs="Times New Roman"/>
                <w:bCs/>
                <w:color w:val="000000"/>
                <w:sz w:val="18"/>
                <w:szCs w:val="18"/>
                <w:lang w:eastAsia="pl-PL"/>
              </w:rPr>
            </w:pPr>
            <w:r w:rsidRPr="00432A7F">
              <w:rPr>
                <w:rFonts w:ascii="Calibri" w:eastAsia="Times New Roman" w:hAnsi="Calibri" w:cs="Times New Roman"/>
                <w:bCs/>
                <w:color w:val="000000"/>
                <w:sz w:val="18"/>
                <w:szCs w:val="18"/>
                <w:lang w:eastAsia="pl-PL"/>
              </w:rPr>
              <w:t>ID wskaźnika</w:t>
            </w:r>
          </w:p>
        </w:tc>
        <w:tc>
          <w:tcPr>
            <w:tcW w:w="1417" w:type="dxa"/>
            <w:shd w:val="clear" w:color="000000" w:fill="D9D9D9"/>
            <w:vAlign w:val="center"/>
            <w:hideMark/>
          </w:tcPr>
          <w:p w:rsidR="00432A7F" w:rsidRPr="00432A7F" w:rsidRDefault="00432A7F" w:rsidP="00432A7F">
            <w:pPr>
              <w:spacing w:after="120"/>
              <w:jc w:val="center"/>
              <w:rPr>
                <w:rFonts w:ascii="Calibri" w:eastAsia="Times New Roman" w:hAnsi="Calibri" w:cs="Times New Roman"/>
                <w:bCs/>
                <w:color w:val="000000"/>
                <w:sz w:val="18"/>
                <w:szCs w:val="18"/>
                <w:lang w:eastAsia="pl-PL"/>
              </w:rPr>
            </w:pPr>
            <w:r w:rsidRPr="00432A7F">
              <w:rPr>
                <w:rFonts w:ascii="Calibri" w:eastAsia="Times New Roman" w:hAnsi="Calibri" w:cs="Times New Roman"/>
                <w:bCs/>
                <w:color w:val="000000"/>
                <w:sz w:val="18"/>
                <w:szCs w:val="18"/>
                <w:lang w:eastAsia="pl-PL"/>
              </w:rPr>
              <w:t>Kierunek Interwencji</w:t>
            </w:r>
          </w:p>
        </w:tc>
        <w:tc>
          <w:tcPr>
            <w:tcW w:w="1038" w:type="dxa"/>
            <w:shd w:val="clear" w:color="000000" w:fill="D9D9D9"/>
            <w:vAlign w:val="center"/>
            <w:hideMark/>
          </w:tcPr>
          <w:p w:rsidR="00432A7F" w:rsidRPr="00432A7F" w:rsidRDefault="00432A7F" w:rsidP="00432A7F">
            <w:pPr>
              <w:spacing w:after="120"/>
              <w:jc w:val="center"/>
              <w:rPr>
                <w:rFonts w:ascii="Calibri" w:eastAsia="Times New Roman" w:hAnsi="Calibri" w:cs="Times New Roman"/>
                <w:bCs/>
                <w:color w:val="000000"/>
                <w:sz w:val="18"/>
                <w:szCs w:val="18"/>
                <w:lang w:eastAsia="pl-PL"/>
              </w:rPr>
            </w:pPr>
            <w:r w:rsidRPr="00432A7F">
              <w:rPr>
                <w:rFonts w:ascii="Calibri" w:eastAsia="Times New Roman" w:hAnsi="Calibri" w:cs="Times New Roman"/>
                <w:bCs/>
                <w:color w:val="000000"/>
                <w:sz w:val="18"/>
                <w:szCs w:val="18"/>
                <w:lang w:eastAsia="pl-PL"/>
              </w:rPr>
              <w:t>Rodzaj wskaźnika</w:t>
            </w:r>
          </w:p>
        </w:tc>
        <w:tc>
          <w:tcPr>
            <w:tcW w:w="2470" w:type="dxa"/>
            <w:shd w:val="clear" w:color="000000" w:fill="D9D9D9"/>
            <w:vAlign w:val="center"/>
            <w:hideMark/>
          </w:tcPr>
          <w:p w:rsidR="00432A7F" w:rsidRPr="00432A7F" w:rsidRDefault="00432A7F" w:rsidP="00432A7F">
            <w:pPr>
              <w:spacing w:after="120"/>
              <w:jc w:val="center"/>
              <w:rPr>
                <w:rFonts w:ascii="Calibri" w:eastAsia="Times New Roman" w:hAnsi="Calibri" w:cs="Times New Roman"/>
                <w:bCs/>
                <w:color w:val="000000"/>
                <w:sz w:val="18"/>
                <w:szCs w:val="18"/>
                <w:lang w:eastAsia="pl-PL"/>
              </w:rPr>
            </w:pPr>
            <w:r w:rsidRPr="00432A7F">
              <w:rPr>
                <w:rFonts w:ascii="Calibri" w:eastAsia="Times New Roman" w:hAnsi="Calibri" w:cs="Times New Roman"/>
                <w:bCs/>
                <w:color w:val="000000"/>
                <w:sz w:val="18"/>
                <w:szCs w:val="18"/>
                <w:lang w:eastAsia="pl-PL"/>
              </w:rPr>
              <w:t>Nazwa wskaźnika</w:t>
            </w:r>
          </w:p>
        </w:tc>
        <w:tc>
          <w:tcPr>
            <w:tcW w:w="1192" w:type="dxa"/>
            <w:shd w:val="clear" w:color="000000" w:fill="D9D9D9"/>
            <w:vAlign w:val="center"/>
            <w:hideMark/>
          </w:tcPr>
          <w:p w:rsidR="00432A7F" w:rsidRPr="00432A7F" w:rsidRDefault="00432A7F" w:rsidP="00432A7F">
            <w:pPr>
              <w:spacing w:after="120"/>
              <w:jc w:val="center"/>
              <w:rPr>
                <w:rFonts w:ascii="Calibri" w:eastAsia="Times New Roman" w:hAnsi="Calibri" w:cs="Times New Roman"/>
                <w:bCs/>
                <w:color w:val="000000"/>
                <w:sz w:val="18"/>
                <w:szCs w:val="18"/>
                <w:lang w:eastAsia="pl-PL"/>
              </w:rPr>
            </w:pPr>
            <w:r w:rsidRPr="00432A7F">
              <w:rPr>
                <w:rFonts w:ascii="Calibri" w:eastAsia="Times New Roman" w:hAnsi="Calibri" w:cs="Times New Roman"/>
                <w:bCs/>
                <w:color w:val="000000"/>
                <w:sz w:val="18"/>
                <w:szCs w:val="18"/>
                <w:lang w:eastAsia="pl-PL"/>
              </w:rPr>
              <w:t>Źródło danych</w:t>
            </w:r>
          </w:p>
        </w:tc>
        <w:tc>
          <w:tcPr>
            <w:tcW w:w="1749" w:type="dxa"/>
            <w:gridSpan w:val="2"/>
            <w:shd w:val="clear" w:color="000000" w:fill="D9D9D9"/>
            <w:vAlign w:val="center"/>
            <w:hideMark/>
          </w:tcPr>
          <w:p w:rsidR="00432A7F" w:rsidRPr="00432A7F" w:rsidRDefault="00432A7F" w:rsidP="00432A7F">
            <w:pPr>
              <w:spacing w:after="120"/>
              <w:jc w:val="center"/>
              <w:rPr>
                <w:rFonts w:ascii="Calibri" w:eastAsia="Times New Roman" w:hAnsi="Calibri" w:cs="Times New Roman"/>
                <w:bCs/>
                <w:color w:val="000000"/>
                <w:sz w:val="18"/>
                <w:szCs w:val="18"/>
                <w:lang w:eastAsia="pl-PL"/>
              </w:rPr>
            </w:pPr>
            <w:r w:rsidRPr="00432A7F">
              <w:rPr>
                <w:rFonts w:ascii="Calibri" w:eastAsia="Times New Roman" w:hAnsi="Calibri" w:cs="Times New Roman"/>
                <w:bCs/>
                <w:color w:val="000000"/>
                <w:sz w:val="18"/>
                <w:szCs w:val="18"/>
                <w:lang w:eastAsia="pl-PL"/>
              </w:rPr>
              <w:t>WARTOŚĆ w 2021 r.</w:t>
            </w:r>
          </w:p>
        </w:tc>
      </w:tr>
      <w:tr w:rsidR="00432A7F" w:rsidRPr="00432A7F" w:rsidTr="00420098">
        <w:trPr>
          <w:trHeight w:val="476"/>
          <w:jc w:val="right"/>
        </w:trPr>
        <w:tc>
          <w:tcPr>
            <w:tcW w:w="9005" w:type="dxa"/>
            <w:gridSpan w:val="7"/>
            <w:shd w:val="clear" w:color="auto" w:fill="auto"/>
            <w:vAlign w:val="center"/>
            <w:hideMark/>
          </w:tcPr>
          <w:p w:rsidR="00432A7F" w:rsidRPr="00432A7F" w:rsidRDefault="00432A7F" w:rsidP="00432A7F">
            <w:pPr>
              <w:spacing w:after="120"/>
              <w:jc w:val="both"/>
              <w:rPr>
                <w:rFonts w:ascii="Calibri" w:eastAsia="Times New Roman" w:hAnsi="Calibri" w:cs="Times New Roman"/>
                <w:bCs/>
                <w:color w:val="C00000"/>
                <w:sz w:val="18"/>
                <w:szCs w:val="18"/>
                <w:lang w:eastAsia="pl-PL"/>
              </w:rPr>
            </w:pPr>
            <w:r w:rsidRPr="00432A7F">
              <w:rPr>
                <w:rFonts w:ascii="Calibri" w:eastAsia="Times New Roman" w:hAnsi="Calibri" w:cs="Times New Roman"/>
                <w:bCs/>
                <w:color w:val="C00000"/>
                <w:sz w:val="18"/>
                <w:szCs w:val="18"/>
                <w:lang w:eastAsia="pl-PL"/>
              </w:rPr>
              <w:t>Cel główny</w:t>
            </w:r>
          </w:p>
        </w:tc>
      </w:tr>
      <w:tr w:rsidR="00432A7F" w:rsidRPr="00432A7F" w:rsidTr="00420098">
        <w:trPr>
          <w:trHeight w:val="1104"/>
          <w:jc w:val="right"/>
        </w:trPr>
        <w:tc>
          <w:tcPr>
            <w:tcW w:w="1139" w:type="dxa"/>
            <w:shd w:val="clear" w:color="000000" w:fill="D9D9D9"/>
            <w:noWrap/>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CG_P_2</w:t>
            </w:r>
          </w:p>
        </w:tc>
        <w:tc>
          <w:tcPr>
            <w:tcW w:w="1417" w:type="dxa"/>
            <w:shd w:val="clear" w:color="000000" w:fill="D9D9D9"/>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P I (K.I. 1.1. / K.I.1.2.)/ PII/ P III(K.I.3.1. / K.I.3.2)/ P IV (K.I. 4.1.)</w:t>
            </w:r>
          </w:p>
        </w:tc>
        <w:tc>
          <w:tcPr>
            <w:tcW w:w="1038" w:type="dxa"/>
            <w:shd w:val="clear" w:color="000000" w:fill="D9D9D9"/>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produkt</w:t>
            </w:r>
          </w:p>
        </w:tc>
        <w:tc>
          <w:tcPr>
            <w:tcW w:w="2470" w:type="dxa"/>
            <w:shd w:val="clear" w:color="000000" w:fill="D9D9D9"/>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Liczba unikalnych bibliotek (publicznych, szkolnych i pedagogicznych) oraz placówek wychowania przedszkolnego objętych wsparciem w ramach NPRCz 2.0.</w:t>
            </w:r>
          </w:p>
        </w:tc>
        <w:tc>
          <w:tcPr>
            <w:tcW w:w="1192" w:type="dxa"/>
            <w:shd w:val="clear" w:color="000000" w:fill="D9D9D9"/>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sprawozdania beneficjentów</w:t>
            </w:r>
          </w:p>
        </w:tc>
        <w:tc>
          <w:tcPr>
            <w:tcW w:w="1749" w:type="dxa"/>
            <w:gridSpan w:val="2"/>
            <w:shd w:val="clear" w:color="000000" w:fill="D9D9D9"/>
            <w:vAlign w:val="center"/>
            <w:hideMark/>
          </w:tcPr>
          <w:p w:rsidR="00432A7F" w:rsidRPr="00432A7F" w:rsidRDefault="00432A7F" w:rsidP="00432A7F">
            <w:pPr>
              <w:spacing w:after="120"/>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5 807</w:t>
            </w:r>
            <w:r w:rsidRPr="00432A7F">
              <w:rPr>
                <w:rFonts w:ascii="Calibri" w:eastAsia="Times New Roman" w:hAnsi="Calibri" w:cs="Times New Roman"/>
                <w:color w:val="000000"/>
                <w:sz w:val="18"/>
                <w:szCs w:val="18"/>
                <w:vertAlign w:val="superscript"/>
                <w:lang w:eastAsia="pl-PL"/>
              </w:rPr>
              <w:footnoteReference w:id="16"/>
            </w:r>
            <w:r w:rsidRPr="00432A7F">
              <w:rPr>
                <w:rFonts w:ascii="Calibri" w:eastAsia="Times New Roman" w:hAnsi="Calibri" w:cs="Times New Roman"/>
                <w:color w:val="000000"/>
                <w:sz w:val="18"/>
                <w:szCs w:val="18"/>
                <w:lang w:eastAsia="pl-PL"/>
              </w:rPr>
              <w:t xml:space="preserve">    </w:t>
            </w:r>
          </w:p>
        </w:tc>
      </w:tr>
      <w:tr w:rsidR="00432A7F" w:rsidRPr="00432A7F" w:rsidTr="00420098">
        <w:trPr>
          <w:trHeight w:val="828"/>
          <w:jc w:val="right"/>
        </w:trPr>
        <w:tc>
          <w:tcPr>
            <w:tcW w:w="1139" w:type="dxa"/>
            <w:shd w:val="clear" w:color="000000" w:fill="FFFFFF"/>
            <w:noWrap/>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RB_1</w:t>
            </w:r>
          </w:p>
        </w:tc>
        <w:tc>
          <w:tcPr>
            <w:tcW w:w="1417" w:type="dxa"/>
            <w:shd w:val="clear" w:color="000000" w:fill="FFFFFF"/>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P I (K.I. 1.1. / K.I.1.2.)/ PII/ P III(K.I.3.1. / K.I.3.2)/ P IV (K.I. 4.1.)</w:t>
            </w:r>
          </w:p>
        </w:tc>
        <w:tc>
          <w:tcPr>
            <w:tcW w:w="1038" w:type="dxa"/>
            <w:shd w:val="clear" w:color="000000" w:fill="FFFFFF"/>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rezultat bezpośredni</w:t>
            </w:r>
          </w:p>
        </w:tc>
        <w:tc>
          <w:tcPr>
            <w:tcW w:w="2470" w:type="dxa"/>
            <w:shd w:val="clear" w:color="000000" w:fill="FFFFFF"/>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Liczba użytkowników zarejestrowanych w bibliotekach objętych wsparciem w ramach NPRCz 2.0.</w:t>
            </w:r>
          </w:p>
        </w:tc>
        <w:tc>
          <w:tcPr>
            <w:tcW w:w="1192" w:type="dxa"/>
            <w:shd w:val="clear" w:color="000000" w:fill="FFFFFF"/>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sprawozdania beneficjentów</w:t>
            </w:r>
          </w:p>
        </w:tc>
        <w:tc>
          <w:tcPr>
            <w:tcW w:w="1749" w:type="dxa"/>
            <w:gridSpan w:val="2"/>
            <w:shd w:val="clear" w:color="000000" w:fill="FFFFFF"/>
            <w:vAlign w:val="center"/>
            <w:hideMark/>
          </w:tcPr>
          <w:p w:rsidR="00432A7F" w:rsidRPr="00432A7F" w:rsidRDefault="00432A7F" w:rsidP="00432A7F">
            <w:pPr>
              <w:spacing w:after="120"/>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6 121 219    </w:t>
            </w:r>
          </w:p>
        </w:tc>
      </w:tr>
      <w:tr w:rsidR="00432A7F" w:rsidRPr="00432A7F" w:rsidTr="00420098">
        <w:trPr>
          <w:trHeight w:val="828"/>
          <w:jc w:val="right"/>
        </w:trPr>
        <w:tc>
          <w:tcPr>
            <w:tcW w:w="1139" w:type="dxa"/>
            <w:shd w:val="clear" w:color="000000" w:fill="FFFFFF"/>
            <w:noWrap/>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RB_2</w:t>
            </w:r>
          </w:p>
        </w:tc>
        <w:tc>
          <w:tcPr>
            <w:tcW w:w="1417" w:type="dxa"/>
            <w:shd w:val="clear" w:color="000000" w:fill="FFFFFF"/>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P I (K.I. 1.1. / K.I.1.2.)/ PII/ P III(K.I.3.1. / K.I.3.2)/ P IV (K.I. 4.1.)</w:t>
            </w:r>
          </w:p>
        </w:tc>
        <w:tc>
          <w:tcPr>
            <w:tcW w:w="1038" w:type="dxa"/>
            <w:shd w:val="clear" w:color="000000" w:fill="FFFFFF"/>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rezultat bezpośredni</w:t>
            </w:r>
          </w:p>
        </w:tc>
        <w:tc>
          <w:tcPr>
            <w:tcW w:w="2470" w:type="dxa"/>
            <w:shd w:val="clear" w:color="000000" w:fill="FFFFFF"/>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Liczba czytelników (użytkowników aktywnie wypożyczających) w bibliotekach objętych wsparciem w ramach NPRCz 2.0.</w:t>
            </w:r>
          </w:p>
        </w:tc>
        <w:tc>
          <w:tcPr>
            <w:tcW w:w="1192" w:type="dxa"/>
            <w:shd w:val="clear" w:color="000000" w:fill="FFFFFF"/>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sprawozdania beneficjentów</w:t>
            </w:r>
          </w:p>
        </w:tc>
        <w:tc>
          <w:tcPr>
            <w:tcW w:w="1749" w:type="dxa"/>
            <w:gridSpan w:val="2"/>
            <w:shd w:val="clear" w:color="000000" w:fill="FFFFFF"/>
            <w:vAlign w:val="center"/>
            <w:hideMark/>
          </w:tcPr>
          <w:p w:rsidR="00432A7F" w:rsidRPr="00432A7F" w:rsidRDefault="00432A7F" w:rsidP="00432A7F">
            <w:pPr>
              <w:spacing w:after="120"/>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5 132 467    </w:t>
            </w:r>
          </w:p>
        </w:tc>
      </w:tr>
      <w:tr w:rsidR="00432A7F" w:rsidRPr="00432A7F" w:rsidTr="00420098">
        <w:trPr>
          <w:trHeight w:val="828"/>
          <w:jc w:val="right"/>
        </w:trPr>
        <w:tc>
          <w:tcPr>
            <w:tcW w:w="1139" w:type="dxa"/>
            <w:shd w:val="clear" w:color="000000" w:fill="FFFFFF"/>
            <w:noWrap/>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RB_3</w:t>
            </w:r>
          </w:p>
        </w:tc>
        <w:tc>
          <w:tcPr>
            <w:tcW w:w="1417" w:type="dxa"/>
            <w:shd w:val="clear" w:color="000000" w:fill="FFFFFF"/>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P I (K.I. 1.1. / K.I.1.2.)/ PII/ P III(K.I.3.1. / K.I.3.2)/ P IV (K.I. 4.1.)</w:t>
            </w:r>
          </w:p>
        </w:tc>
        <w:tc>
          <w:tcPr>
            <w:tcW w:w="1038" w:type="dxa"/>
            <w:shd w:val="clear" w:color="000000" w:fill="FFFFFF"/>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rezultat bezpośredni</w:t>
            </w:r>
          </w:p>
        </w:tc>
        <w:tc>
          <w:tcPr>
            <w:tcW w:w="2470" w:type="dxa"/>
            <w:shd w:val="clear" w:color="000000" w:fill="FFFFFF"/>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Liczba wypożyczeń na zewnątrz w bibliotekach objętych wsparciem w ramach NPRCz 2.0.</w:t>
            </w:r>
          </w:p>
        </w:tc>
        <w:tc>
          <w:tcPr>
            <w:tcW w:w="1192" w:type="dxa"/>
            <w:shd w:val="clear" w:color="000000" w:fill="FFFFFF"/>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sprawozdania beneficjentów</w:t>
            </w:r>
          </w:p>
        </w:tc>
        <w:tc>
          <w:tcPr>
            <w:tcW w:w="1749" w:type="dxa"/>
            <w:gridSpan w:val="2"/>
            <w:shd w:val="clear" w:color="000000" w:fill="FFFFFF"/>
            <w:vAlign w:val="center"/>
            <w:hideMark/>
          </w:tcPr>
          <w:p w:rsidR="00432A7F" w:rsidRPr="00432A7F" w:rsidRDefault="00432A7F" w:rsidP="00432A7F">
            <w:pPr>
              <w:spacing w:after="120"/>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92 037 529    </w:t>
            </w:r>
          </w:p>
        </w:tc>
      </w:tr>
      <w:tr w:rsidR="00432A7F" w:rsidRPr="00432A7F" w:rsidTr="00420098">
        <w:trPr>
          <w:trHeight w:val="1104"/>
          <w:jc w:val="right"/>
        </w:trPr>
        <w:tc>
          <w:tcPr>
            <w:tcW w:w="1139" w:type="dxa"/>
            <w:shd w:val="clear" w:color="000000" w:fill="FFFFFF"/>
            <w:noWrap/>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RB_4</w:t>
            </w:r>
          </w:p>
        </w:tc>
        <w:tc>
          <w:tcPr>
            <w:tcW w:w="1417" w:type="dxa"/>
            <w:shd w:val="clear" w:color="000000" w:fill="FFFFFF"/>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P I (K.I. 1.1. / K.I.1.2.)/ PII/ P III(K.I.3.1. / K.I.3.2)/ P IV (K.I. 4.1.)</w:t>
            </w:r>
          </w:p>
        </w:tc>
        <w:tc>
          <w:tcPr>
            <w:tcW w:w="1038" w:type="dxa"/>
            <w:shd w:val="clear" w:color="000000" w:fill="FFFFFF"/>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rezultat bezpośredni</w:t>
            </w:r>
          </w:p>
        </w:tc>
        <w:tc>
          <w:tcPr>
            <w:tcW w:w="2470" w:type="dxa"/>
            <w:shd w:val="clear" w:color="000000" w:fill="FFFFFF"/>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Liczba zorganizowanych konkursów, imprez, lekcji bibliotecznych itp. wydarzeń w bibliotekach objętych wsparciem w ramach NPRCz 2.0.</w:t>
            </w:r>
          </w:p>
        </w:tc>
        <w:tc>
          <w:tcPr>
            <w:tcW w:w="1192" w:type="dxa"/>
            <w:shd w:val="clear" w:color="000000" w:fill="FFFFFF"/>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sprawozdania beneficjentów</w:t>
            </w:r>
          </w:p>
        </w:tc>
        <w:tc>
          <w:tcPr>
            <w:tcW w:w="1749" w:type="dxa"/>
            <w:gridSpan w:val="2"/>
            <w:shd w:val="clear" w:color="000000" w:fill="FFFFFF"/>
            <w:vAlign w:val="center"/>
            <w:hideMark/>
          </w:tcPr>
          <w:p w:rsidR="00432A7F" w:rsidRPr="00432A7F" w:rsidRDefault="00432A7F" w:rsidP="00432A7F">
            <w:pPr>
              <w:spacing w:after="120"/>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265 794    </w:t>
            </w:r>
          </w:p>
        </w:tc>
      </w:tr>
      <w:tr w:rsidR="00432A7F" w:rsidRPr="00432A7F" w:rsidTr="00420098">
        <w:trPr>
          <w:trHeight w:val="1104"/>
          <w:jc w:val="right"/>
        </w:trPr>
        <w:tc>
          <w:tcPr>
            <w:tcW w:w="1139" w:type="dxa"/>
            <w:shd w:val="clear" w:color="000000" w:fill="FFFFFF"/>
            <w:noWrap/>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RB_</w:t>
            </w:r>
            <w:r w:rsidRPr="00432A7F">
              <w:rPr>
                <w:rFonts w:ascii="Calibri" w:eastAsia="Times New Roman" w:hAnsi="Calibri" w:cs="Times New Roman"/>
                <w:color w:val="000000"/>
                <w:sz w:val="18"/>
                <w:szCs w:val="18"/>
                <w:lang w:eastAsia="pl-PL"/>
              </w:rPr>
              <w:br/>
              <w:t>dodatkowy_1</w:t>
            </w:r>
          </w:p>
        </w:tc>
        <w:tc>
          <w:tcPr>
            <w:tcW w:w="1417" w:type="dxa"/>
            <w:shd w:val="clear" w:color="000000" w:fill="FFFFFF"/>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P I (K.I. 1.1. / K.I.1.2.)/ PII/ P III(K.I.3.1. / K.I.3.2)/ P IV (K.I. 4.1.)</w:t>
            </w:r>
          </w:p>
        </w:tc>
        <w:tc>
          <w:tcPr>
            <w:tcW w:w="1038" w:type="dxa"/>
            <w:shd w:val="clear" w:color="000000" w:fill="FFFFFF"/>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rezultat bezpośredni</w:t>
            </w:r>
          </w:p>
        </w:tc>
        <w:tc>
          <w:tcPr>
            <w:tcW w:w="2470" w:type="dxa"/>
            <w:shd w:val="clear" w:color="000000" w:fill="FFFFFF"/>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Liczba uczestników zorganizowanych konkursów, imprez, lekcji bibliotecznych itp. wydarzeń w bibliotekach objętych wsparciem w ramach NPRCz 2.0.</w:t>
            </w:r>
          </w:p>
        </w:tc>
        <w:tc>
          <w:tcPr>
            <w:tcW w:w="1192" w:type="dxa"/>
            <w:shd w:val="clear" w:color="000000" w:fill="FFFFFF"/>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sprawozdania beneficjentów</w:t>
            </w:r>
          </w:p>
        </w:tc>
        <w:tc>
          <w:tcPr>
            <w:tcW w:w="1749" w:type="dxa"/>
            <w:gridSpan w:val="2"/>
            <w:shd w:val="clear" w:color="000000" w:fill="FFFFFF"/>
            <w:vAlign w:val="center"/>
            <w:hideMark/>
          </w:tcPr>
          <w:p w:rsidR="00432A7F" w:rsidRPr="00432A7F" w:rsidRDefault="00432A7F" w:rsidP="00432A7F">
            <w:pPr>
              <w:spacing w:after="120"/>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8 696 479    </w:t>
            </w:r>
          </w:p>
        </w:tc>
      </w:tr>
      <w:tr w:rsidR="00432A7F" w:rsidRPr="00432A7F" w:rsidTr="00420098">
        <w:trPr>
          <w:trHeight w:val="828"/>
          <w:jc w:val="right"/>
        </w:trPr>
        <w:tc>
          <w:tcPr>
            <w:tcW w:w="1139" w:type="dxa"/>
            <w:shd w:val="clear" w:color="000000" w:fill="FFFFFF"/>
            <w:noWrap/>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RB_</w:t>
            </w:r>
            <w:r w:rsidRPr="00432A7F">
              <w:rPr>
                <w:rFonts w:ascii="Calibri" w:eastAsia="Times New Roman" w:hAnsi="Calibri" w:cs="Times New Roman"/>
                <w:color w:val="000000"/>
                <w:sz w:val="18"/>
                <w:szCs w:val="18"/>
                <w:lang w:eastAsia="pl-PL"/>
              </w:rPr>
              <w:br/>
              <w:t>dodatkowy_2</w:t>
            </w:r>
          </w:p>
        </w:tc>
        <w:tc>
          <w:tcPr>
            <w:tcW w:w="1417" w:type="dxa"/>
            <w:shd w:val="clear" w:color="000000" w:fill="FFFFFF"/>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P I (K.I. 1.1. / K.I.1.2.)/ PII/ P III(K.I.3.1. / K.I.3.2)/ P IV (K.I. 4.1.)</w:t>
            </w:r>
          </w:p>
        </w:tc>
        <w:tc>
          <w:tcPr>
            <w:tcW w:w="1038" w:type="dxa"/>
            <w:shd w:val="clear" w:color="000000" w:fill="FFFFFF"/>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rezultat bezpośredni</w:t>
            </w:r>
          </w:p>
        </w:tc>
        <w:tc>
          <w:tcPr>
            <w:tcW w:w="2470" w:type="dxa"/>
            <w:shd w:val="clear" w:color="000000" w:fill="FFFFFF"/>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Liczba bibliotek objętych wsparciem w ramach NPRCz 2.0., w których uruchomiono koła lub kluby czytelnicze</w:t>
            </w:r>
          </w:p>
        </w:tc>
        <w:tc>
          <w:tcPr>
            <w:tcW w:w="1192" w:type="dxa"/>
            <w:shd w:val="clear" w:color="000000" w:fill="FFFFFF"/>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sprawozdania beneficjentów</w:t>
            </w:r>
          </w:p>
        </w:tc>
        <w:tc>
          <w:tcPr>
            <w:tcW w:w="1749" w:type="dxa"/>
            <w:gridSpan w:val="2"/>
            <w:shd w:val="clear" w:color="000000" w:fill="FFFFFF"/>
            <w:vAlign w:val="center"/>
            <w:hideMark/>
          </w:tcPr>
          <w:p w:rsidR="00432A7F" w:rsidRPr="00432A7F" w:rsidRDefault="00432A7F" w:rsidP="00432A7F">
            <w:pPr>
              <w:spacing w:after="120"/>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2 976    </w:t>
            </w:r>
          </w:p>
        </w:tc>
      </w:tr>
      <w:tr w:rsidR="00432A7F" w:rsidRPr="00432A7F" w:rsidTr="00420098">
        <w:trPr>
          <w:trHeight w:val="828"/>
          <w:jc w:val="right"/>
        </w:trPr>
        <w:tc>
          <w:tcPr>
            <w:tcW w:w="1139" w:type="dxa"/>
            <w:shd w:val="clear" w:color="000000" w:fill="FFFFFF"/>
            <w:noWrap/>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RB_</w:t>
            </w:r>
            <w:r w:rsidRPr="00432A7F">
              <w:rPr>
                <w:rFonts w:ascii="Calibri" w:eastAsia="Times New Roman" w:hAnsi="Calibri" w:cs="Times New Roman"/>
                <w:color w:val="000000"/>
                <w:sz w:val="18"/>
                <w:szCs w:val="18"/>
                <w:lang w:eastAsia="pl-PL"/>
              </w:rPr>
              <w:br/>
              <w:t>dodatkowy_3</w:t>
            </w:r>
          </w:p>
        </w:tc>
        <w:tc>
          <w:tcPr>
            <w:tcW w:w="1417" w:type="dxa"/>
            <w:shd w:val="clear" w:color="000000" w:fill="FFFFFF"/>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P I (K.I. 1.1. / K.I.1.2.)/ PII/ P III(K.I.3.1. / </w:t>
            </w:r>
            <w:r w:rsidRPr="00432A7F">
              <w:rPr>
                <w:rFonts w:ascii="Calibri" w:eastAsia="Times New Roman" w:hAnsi="Calibri" w:cs="Times New Roman"/>
                <w:color w:val="000000"/>
                <w:sz w:val="18"/>
                <w:szCs w:val="18"/>
                <w:lang w:eastAsia="pl-PL"/>
              </w:rPr>
              <w:lastRenderedPageBreak/>
              <w:t>K.I.3.2)/ P IV (K.I. 4.1.)</w:t>
            </w:r>
          </w:p>
        </w:tc>
        <w:tc>
          <w:tcPr>
            <w:tcW w:w="1038" w:type="dxa"/>
            <w:shd w:val="clear" w:color="000000" w:fill="FFFFFF"/>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lastRenderedPageBreak/>
              <w:t>rezultat bezpośredni</w:t>
            </w:r>
          </w:p>
        </w:tc>
        <w:tc>
          <w:tcPr>
            <w:tcW w:w="2470" w:type="dxa"/>
            <w:shd w:val="clear" w:color="000000" w:fill="FFFFFF"/>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Liczba bibliotek objętych wsparciem w ramach NPRCz 2.0., w których uruchomiono </w:t>
            </w:r>
            <w:r w:rsidRPr="00432A7F">
              <w:rPr>
                <w:rFonts w:ascii="Calibri" w:eastAsia="Times New Roman" w:hAnsi="Calibri" w:cs="Times New Roman"/>
                <w:color w:val="000000"/>
                <w:sz w:val="18"/>
                <w:szCs w:val="18"/>
                <w:lang w:eastAsia="pl-PL"/>
              </w:rPr>
              <w:lastRenderedPageBreak/>
              <w:t>koła lub kluby inne niż czytelnicze</w:t>
            </w:r>
          </w:p>
        </w:tc>
        <w:tc>
          <w:tcPr>
            <w:tcW w:w="1192" w:type="dxa"/>
            <w:shd w:val="clear" w:color="000000" w:fill="FFFFFF"/>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lastRenderedPageBreak/>
              <w:t>sprawozdania beneficjentów</w:t>
            </w:r>
          </w:p>
        </w:tc>
        <w:tc>
          <w:tcPr>
            <w:tcW w:w="1749" w:type="dxa"/>
            <w:gridSpan w:val="2"/>
            <w:shd w:val="clear" w:color="000000" w:fill="FFFFFF"/>
            <w:vAlign w:val="center"/>
            <w:hideMark/>
          </w:tcPr>
          <w:p w:rsidR="00432A7F" w:rsidRPr="00432A7F" w:rsidRDefault="00432A7F" w:rsidP="00432A7F">
            <w:pPr>
              <w:spacing w:after="120"/>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2 306    </w:t>
            </w:r>
          </w:p>
        </w:tc>
      </w:tr>
      <w:tr w:rsidR="00432A7F" w:rsidRPr="00432A7F" w:rsidTr="00420098">
        <w:trPr>
          <w:trHeight w:val="828"/>
          <w:jc w:val="right"/>
        </w:trPr>
        <w:tc>
          <w:tcPr>
            <w:tcW w:w="1139" w:type="dxa"/>
            <w:shd w:val="clear" w:color="000000" w:fill="FFFFFF"/>
            <w:noWrap/>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RB_</w:t>
            </w:r>
            <w:r w:rsidRPr="00432A7F">
              <w:rPr>
                <w:rFonts w:ascii="Calibri" w:eastAsia="Times New Roman" w:hAnsi="Calibri" w:cs="Times New Roman"/>
                <w:color w:val="000000"/>
                <w:sz w:val="18"/>
                <w:szCs w:val="18"/>
                <w:lang w:eastAsia="pl-PL"/>
              </w:rPr>
              <w:br/>
              <w:t>dodatkowy_4</w:t>
            </w:r>
          </w:p>
        </w:tc>
        <w:tc>
          <w:tcPr>
            <w:tcW w:w="1417" w:type="dxa"/>
            <w:shd w:val="clear" w:color="000000" w:fill="FFFFFF"/>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P I (K.I. 1.1. / K.I.1.2.)/ PII/ P III(K.I.3.1. / K.I.3.2)/ P IV (K.I. 4.1.)</w:t>
            </w:r>
          </w:p>
        </w:tc>
        <w:tc>
          <w:tcPr>
            <w:tcW w:w="1038" w:type="dxa"/>
            <w:shd w:val="clear" w:color="000000" w:fill="FFFFFF"/>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rezultat bezpośredni</w:t>
            </w:r>
          </w:p>
        </w:tc>
        <w:tc>
          <w:tcPr>
            <w:tcW w:w="2470" w:type="dxa"/>
            <w:shd w:val="clear" w:color="000000" w:fill="FFFFFF"/>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Udział biblioteki objętej wsparciem w innych (poza NPRCz 2.0.) programach wspierających czytelnictwo</w:t>
            </w:r>
          </w:p>
        </w:tc>
        <w:tc>
          <w:tcPr>
            <w:tcW w:w="1192" w:type="dxa"/>
            <w:shd w:val="clear" w:color="000000" w:fill="FFFFFF"/>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sprawozdania beneficjentów</w:t>
            </w:r>
          </w:p>
        </w:tc>
        <w:tc>
          <w:tcPr>
            <w:tcW w:w="1749" w:type="dxa"/>
            <w:gridSpan w:val="2"/>
            <w:shd w:val="clear" w:color="000000" w:fill="FFFFFF"/>
            <w:vAlign w:val="center"/>
            <w:hideMark/>
          </w:tcPr>
          <w:p w:rsidR="00432A7F" w:rsidRPr="00432A7F" w:rsidRDefault="00432A7F" w:rsidP="00432A7F">
            <w:pPr>
              <w:spacing w:after="120"/>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2 357    </w:t>
            </w:r>
          </w:p>
        </w:tc>
      </w:tr>
      <w:tr w:rsidR="00432A7F" w:rsidRPr="00432A7F" w:rsidTr="00420098">
        <w:trPr>
          <w:trHeight w:val="454"/>
          <w:jc w:val="right"/>
        </w:trPr>
        <w:tc>
          <w:tcPr>
            <w:tcW w:w="9005" w:type="dxa"/>
            <w:gridSpan w:val="7"/>
            <w:shd w:val="clear" w:color="auto" w:fill="auto"/>
            <w:vAlign w:val="center"/>
            <w:hideMark/>
          </w:tcPr>
          <w:p w:rsidR="00432A7F" w:rsidRPr="00432A7F" w:rsidRDefault="00432A7F" w:rsidP="00432A7F">
            <w:pPr>
              <w:spacing w:after="120"/>
              <w:rPr>
                <w:rFonts w:ascii="Calibri" w:eastAsia="Times New Roman" w:hAnsi="Calibri" w:cs="Times New Roman"/>
                <w:bCs/>
                <w:color w:val="C00000"/>
                <w:sz w:val="18"/>
                <w:szCs w:val="18"/>
                <w:lang w:eastAsia="pl-PL"/>
              </w:rPr>
            </w:pPr>
            <w:r w:rsidRPr="00432A7F">
              <w:rPr>
                <w:rFonts w:ascii="Calibri" w:eastAsia="Times New Roman" w:hAnsi="Calibri" w:cs="Times New Roman"/>
                <w:bCs/>
                <w:color w:val="C00000"/>
                <w:sz w:val="18"/>
                <w:szCs w:val="18"/>
                <w:lang w:eastAsia="pl-PL"/>
              </w:rPr>
              <w:t>Cel szczegółowy 1 / Priorytet 1</w:t>
            </w:r>
          </w:p>
        </w:tc>
      </w:tr>
      <w:tr w:rsidR="00432A7F" w:rsidRPr="00432A7F" w:rsidTr="00420098">
        <w:trPr>
          <w:trHeight w:val="828"/>
          <w:jc w:val="right"/>
        </w:trPr>
        <w:tc>
          <w:tcPr>
            <w:tcW w:w="1139" w:type="dxa"/>
            <w:shd w:val="clear" w:color="auto" w:fill="auto"/>
            <w:noWrap/>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K_1</w:t>
            </w:r>
          </w:p>
        </w:tc>
        <w:tc>
          <w:tcPr>
            <w:tcW w:w="1417" w:type="dxa"/>
            <w:shd w:val="clear" w:color="auto" w:fill="auto"/>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P I (K.I. 1.1.)</w:t>
            </w:r>
          </w:p>
        </w:tc>
        <w:tc>
          <w:tcPr>
            <w:tcW w:w="1038" w:type="dxa"/>
            <w:shd w:val="clear" w:color="auto" w:fill="auto"/>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kontekst</w:t>
            </w:r>
          </w:p>
        </w:tc>
        <w:tc>
          <w:tcPr>
            <w:tcW w:w="2470" w:type="dxa"/>
            <w:shd w:val="clear" w:color="000000" w:fill="FFFFFF"/>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Łączny wolumen publikacji w bibliotekach  objętych wsparciem w ramach NPRCz 2.0. (z wyłączeniem podręczników)</w:t>
            </w:r>
          </w:p>
        </w:tc>
        <w:tc>
          <w:tcPr>
            <w:tcW w:w="1192" w:type="dxa"/>
            <w:shd w:val="clear" w:color="000000" w:fill="FFFFFF"/>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sprawozdania beneficjentów</w:t>
            </w:r>
          </w:p>
        </w:tc>
        <w:tc>
          <w:tcPr>
            <w:tcW w:w="1749" w:type="dxa"/>
            <w:gridSpan w:val="2"/>
            <w:shd w:val="clear" w:color="000000" w:fill="FFFFFF"/>
            <w:vAlign w:val="center"/>
            <w:hideMark/>
          </w:tcPr>
          <w:p w:rsidR="00432A7F" w:rsidRPr="00432A7F" w:rsidRDefault="00432A7F" w:rsidP="00432A7F">
            <w:pPr>
              <w:spacing w:after="120"/>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123 821 362    </w:t>
            </w:r>
          </w:p>
        </w:tc>
      </w:tr>
      <w:tr w:rsidR="00432A7F" w:rsidRPr="00432A7F" w:rsidTr="00420098">
        <w:trPr>
          <w:trHeight w:val="1410"/>
          <w:jc w:val="right"/>
        </w:trPr>
        <w:tc>
          <w:tcPr>
            <w:tcW w:w="1139" w:type="dxa"/>
            <w:shd w:val="clear" w:color="auto" w:fill="auto"/>
            <w:noWrap/>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P_2</w:t>
            </w:r>
          </w:p>
        </w:tc>
        <w:tc>
          <w:tcPr>
            <w:tcW w:w="1417" w:type="dxa"/>
            <w:shd w:val="clear" w:color="auto" w:fill="auto"/>
            <w:noWrap/>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P I (K.I.1.1.)</w:t>
            </w:r>
          </w:p>
        </w:tc>
        <w:tc>
          <w:tcPr>
            <w:tcW w:w="1038" w:type="dxa"/>
            <w:shd w:val="clear" w:color="auto" w:fill="auto"/>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produkt </w:t>
            </w:r>
          </w:p>
        </w:tc>
        <w:tc>
          <w:tcPr>
            <w:tcW w:w="2470" w:type="dxa"/>
            <w:shd w:val="clear" w:color="000000" w:fill="FFFFFF"/>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Liczba ograniczonych czasowo (miesięcznych) kodów zdalnego dostępu do e-booków/ audiobooków/ synchrobooków z komercyjnych platform internetowych zakupionych przez biblioteki  w ramach  NPRCz 2.0.</w:t>
            </w:r>
          </w:p>
        </w:tc>
        <w:tc>
          <w:tcPr>
            <w:tcW w:w="1192" w:type="dxa"/>
            <w:shd w:val="clear" w:color="000000" w:fill="FFFFFF"/>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sprawozdania beneficjentów</w:t>
            </w:r>
          </w:p>
        </w:tc>
        <w:tc>
          <w:tcPr>
            <w:tcW w:w="1749" w:type="dxa"/>
            <w:gridSpan w:val="2"/>
            <w:shd w:val="clear" w:color="000000" w:fill="FFFFFF"/>
            <w:vAlign w:val="center"/>
            <w:hideMark/>
          </w:tcPr>
          <w:p w:rsidR="00432A7F" w:rsidRPr="00432A7F" w:rsidRDefault="00432A7F" w:rsidP="00432A7F">
            <w:pPr>
              <w:spacing w:after="120"/>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107 060    </w:t>
            </w:r>
          </w:p>
        </w:tc>
      </w:tr>
      <w:tr w:rsidR="00432A7F" w:rsidRPr="00432A7F" w:rsidTr="00420098">
        <w:trPr>
          <w:trHeight w:val="501"/>
          <w:jc w:val="right"/>
        </w:trPr>
        <w:tc>
          <w:tcPr>
            <w:tcW w:w="1139" w:type="dxa"/>
            <w:vMerge w:val="restart"/>
            <w:shd w:val="clear" w:color="auto" w:fill="auto"/>
            <w:noWrap/>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P_3</w:t>
            </w:r>
          </w:p>
        </w:tc>
        <w:tc>
          <w:tcPr>
            <w:tcW w:w="1417" w:type="dxa"/>
            <w:vMerge w:val="restart"/>
            <w:shd w:val="clear" w:color="auto" w:fill="auto"/>
            <w:noWrap/>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P I (K.I.1.1.)</w:t>
            </w:r>
          </w:p>
        </w:tc>
        <w:tc>
          <w:tcPr>
            <w:tcW w:w="1038" w:type="dxa"/>
            <w:vMerge w:val="restart"/>
            <w:shd w:val="clear" w:color="auto" w:fill="auto"/>
            <w:vAlign w:val="center"/>
            <w:hideMark/>
          </w:tcPr>
          <w:p w:rsidR="00432A7F" w:rsidRPr="00432A7F" w:rsidRDefault="00432A7F" w:rsidP="00432A7F">
            <w:pPr>
              <w:spacing w:after="120"/>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produkt </w:t>
            </w:r>
          </w:p>
        </w:tc>
        <w:tc>
          <w:tcPr>
            <w:tcW w:w="2470" w:type="dxa"/>
            <w:vMerge w:val="restart"/>
            <w:shd w:val="clear" w:color="000000" w:fill="FFFFFF"/>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Liczba e-booków, audiobooków lub synchrobooków udostępnianych z platform zdalnego dostępu zakupionych przez biblioteki  w ramach dotacji NPRCz 2.0. i wkładu własnego w innych modelach licencyjnych niż miesięczne kody zdalnego dostępu.</w:t>
            </w:r>
          </w:p>
        </w:tc>
        <w:tc>
          <w:tcPr>
            <w:tcW w:w="1192" w:type="dxa"/>
            <w:vMerge w:val="restart"/>
            <w:shd w:val="clear" w:color="000000" w:fill="FFFFFF"/>
            <w:vAlign w:val="center"/>
            <w:hideMark/>
          </w:tcPr>
          <w:p w:rsidR="00432A7F" w:rsidRPr="00432A7F" w:rsidRDefault="00432A7F" w:rsidP="00432A7F">
            <w:pPr>
              <w:spacing w:after="120"/>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sprawozdania beneficjentów</w:t>
            </w:r>
          </w:p>
        </w:tc>
        <w:tc>
          <w:tcPr>
            <w:tcW w:w="879" w:type="dxa"/>
            <w:shd w:val="clear" w:color="auto" w:fill="auto"/>
            <w:noWrap/>
            <w:vAlign w:val="center"/>
            <w:hideMark/>
          </w:tcPr>
          <w:p w:rsidR="00432A7F" w:rsidRPr="00432A7F" w:rsidRDefault="00432A7F" w:rsidP="00432A7F">
            <w:pPr>
              <w:spacing w:after="120"/>
              <w:jc w:val="right"/>
              <w:rPr>
                <w:rFonts w:ascii="Calibri" w:eastAsia="Times New Roman" w:hAnsi="Calibri" w:cs="Times New Roman"/>
                <w:iCs/>
                <w:color w:val="000000"/>
                <w:sz w:val="18"/>
                <w:szCs w:val="18"/>
                <w:lang w:eastAsia="pl-PL"/>
              </w:rPr>
            </w:pPr>
            <w:r w:rsidRPr="00432A7F">
              <w:rPr>
                <w:rFonts w:ascii="Calibri" w:eastAsia="Times New Roman" w:hAnsi="Calibri" w:cs="Times New Roman"/>
                <w:iCs/>
                <w:color w:val="000000"/>
                <w:sz w:val="18"/>
                <w:szCs w:val="18"/>
                <w:lang w:eastAsia="pl-PL"/>
              </w:rPr>
              <w:t>kody</w:t>
            </w:r>
          </w:p>
        </w:tc>
        <w:tc>
          <w:tcPr>
            <w:tcW w:w="870" w:type="dxa"/>
            <w:shd w:val="clear" w:color="auto" w:fill="FFFFFF" w:themeFill="background1"/>
            <w:noWrap/>
            <w:vAlign w:val="center"/>
            <w:hideMark/>
          </w:tcPr>
          <w:p w:rsidR="00432A7F" w:rsidRPr="00432A7F" w:rsidRDefault="00432A7F" w:rsidP="00432A7F">
            <w:pPr>
              <w:spacing w:after="120"/>
              <w:rPr>
                <w:rFonts w:ascii="Calibri" w:eastAsia="Times New Roman" w:hAnsi="Calibri" w:cs="Times New Roman"/>
                <w:iCs/>
                <w:color w:val="000000"/>
                <w:sz w:val="18"/>
                <w:szCs w:val="18"/>
                <w:lang w:eastAsia="pl-PL"/>
              </w:rPr>
            </w:pPr>
            <w:r w:rsidRPr="00432A7F">
              <w:rPr>
                <w:rFonts w:ascii="Calibri" w:eastAsia="Times New Roman" w:hAnsi="Calibri" w:cs="Times New Roman"/>
                <w:iCs/>
                <w:color w:val="000000"/>
                <w:sz w:val="18"/>
                <w:szCs w:val="18"/>
                <w:lang w:eastAsia="pl-PL"/>
              </w:rPr>
              <w:t>26 547</w:t>
            </w:r>
            <w:r w:rsidRPr="00432A7F">
              <w:rPr>
                <w:rFonts w:ascii="Calibri" w:eastAsia="Times New Roman" w:hAnsi="Calibri" w:cs="Times New Roman"/>
                <w:iCs/>
                <w:color w:val="000000"/>
                <w:sz w:val="18"/>
                <w:szCs w:val="18"/>
                <w:vertAlign w:val="superscript"/>
                <w:lang w:eastAsia="pl-PL"/>
              </w:rPr>
              <w:footnoteReference w:id="17"/>
            </w:r>
            <w:r w:rsidRPr="00432A7F">
              <w:rPr>
                <w:rFonts w:ascii="Calibri" w:eastAsia="Times New Roman" w:hAnsi="Calibri" w:cs="Times New Roman"/>
                <w:iCs/>
                <w:color w:val="000000"/>
                <w:sz w:val="18"/>
                <w:szCs w:val="18"/>
                <w:lang w:eastAsia="pl-PL"/>
              </w:rPr>
              <w:t xml:space="preserve">    </w:t>
            </w:r>
          </w:p>
        </w:tc>
      </w:tr>
      <w:tr w:rsidR="00432A7F" w:rsidRPr="00432A7F" w:rsidTr="00420098">
        <w:trPr>
          <w:trHeight w:val="501"/>
          <w:jc w:val="right"/>
        </w:trPr>
        <w:tc>
          <w:tcPr>
            <w:tcW w:w="1139" w:type="dxa"/>
            <w:vMerge/>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p>
        </w:tc>
        <w:tc>
          <w:tcPr>
            <w:tcW w:w="1417" w:type="dxa"/>
            <w:vMerge/>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p>
        </w:tc>
        <w:tc>
          <w:tcPr>
            <w:tcW w:w="1038" w:type="dxa"/>
            <w:vMerge/>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p>
        </w:tc>
        <w:tc>
          <w:tcPr>
            <w:tcW w:w="2470" w:type="dxa"/>
            <w:vMerge/>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p>
        </w:tc>
        <w:tc>
          <w:tcPr>
            <w:tcW w:w="1192" w:type="dxa"/>
            <w:vMerge/>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p>
        </w:tc>
        <w:tc>
          <w:tcPr>
            <w:tcW w:w="879" w:type="dxa"/>
            <w:shd w:val="clear" w:color="auto" w:fill="auto"/>
            <w:noWrap/>
            <w:vAlign w:val="center"/>
            <w:hideMark/>
          </w:tcPr>
          <w:p w:rsidR="00432A7F" w:rsidRPr="00432A7F" w:rsidRDefault="00432A7F" w:rsidP="00432A7F">
            <w:pPr>
              <w:spacing w:after="120"/>
              <w:jc w:val="right"/>
              <w:rPr>
                <w:rFonts w:ascii="Calibri" w:eastAsia="Times New Roman" w:hAnsi="Calibri" w:cs="Times New Roman"/>
                <w:iCs/>
                <w:color w:val="000000"/>
                <w:sz w:val="18"/>
                <w:szCs w:val="18"/>
                <w:lang w:eastAsia="pl-PL"/>
              </w:rPr>
            </w:pPr>
            <w:r w:rsidRPr="00432A7F">
              <w:rPr>
                <w:rFonts w:ascii="Calibri" w:eastAsia="Times New Roman" w:hAnsi="Calibri" w:cs="Times New Roman"/>
                <w:iCs/>
                <w:color w:val="000000"/>
                <w:sz w:val="18"/>
                <w:szCs w:val="18"/>
                <w:lang w:eastAsia="pl-PL"/>
              </w:rPr>
              <w:t>strony</w:t>
            </w:r>
          </w:p>
        </w:tc>
        <w:tc>
          <w:tcPr>
            <w:tcW w:w="870" w:type="dxa"/>
            <w:shd w:val="clear" w:color="auto" w:fill="FFFFFF" w:themeFill="background1"/>
            <w:noWrap/>
            <w:vAlign w:val="center"/>
            <w:hideMark/>
          </w:tcPr>
          <w:p w:rsidR="00432A7F" w:rsidRPr="00432A7F" w:rsidRDefault="00432A7F" w:rsidP="00432A7F">
            <w:pPr>
              <w:spacing w:after="120"/>
              <w:jc w:val="center"/>
              <w:rPr>
                <w:rFonts w:ascii="Calibri" w:eastAsia="Times New Roman" w:hAnsi="Calibri" w:cs="Times New Roman"/>
                <w:iCs/>
                <w:color w:val="000000"/>
                <w:sz w:val="18"/>
                <w:szCs w:val="18"/>
                <w:lang w:eastAsia="pl-PL"/>
              </w:rPr>
            </w:pPr>
            <w:r w:rsidRPr="00432A7F">
              <w:rPr>
                <w:rFonts w:ascii="Calibri" w:eastAsia="Times New Roman" w:hAnsi="Calibri" w:cs="Times New Roman"/>
                <w:iCs/>
                <w:color w:val="000000"/>
                <w:sz w:val="18"/>
                <w:szCs w:val="18"/>
                <w:lang w:eastAsia="pl-PL"/>
              </w:rPr>
              <w:t>60377708</w:t>
            </w:r>
          </w:p>
        </w:tc>
      </w:tr>
      <w:tr w:rsidR="00432A7F" w:rsidRPr="00432A7F" w:rsidTr="00420098">
        <w:trPr>
          <w:trHeight w:val="501"/>
          <w:jc w:val="right"/>
        </w:trPr>
        <w:tc>
          <w:tcPr>
            <w:tcW w:w="1139" w:type="dxa"/>
            <w:vMerge/>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p>
        </w:tc>
        <w:tc>
          <w:tcPr>
            <w:tcW w:w="1417" w:type="dxa"/>
            <w:vMerge/>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p>
        </w:tc>
        <w:tc>
          <w:tcPr>
            <w:tcW w:w="1038" w:type="dxa"/>
            <w:vMerge/>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p>
        </w:tc>
        <w:tc>
          <w:tcPr>
            <w:tcW w:w="2470" w:type="dxa"/>
            <w:vMerge/>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p>
        </w:tc>
        <w:tc>
          <w:tcPr>
            <w:tcW w:w="1192" w:type="dxa"/>
            <w:vMerge/>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p>
        </w:tc>
        <w:tc>
          <w:tcPr>
            <w:tcW w:w="879" w:type="dxa"/>
            <w:shd w:val="clear" w:color="auto" w:fill="auto"/>
            <w:noWrap/>
            <w:vAlign w:val="center"/>
            <w:hideMark/>
          </w:tcPr>
          <w:p w:rsidR="00432A7F" w:rsidRPr="00432A7F" w:rsidRDefault="00432A7F" w:rsidP="00432A7F">
            <w:pPr>
              <w:spacing w:after="120"/>
              <w:jc w:val="right"/>
              <w:rPr>
                <w:rFonts w:ascii="Calibri" w:eastAsia="Times New Roman" w:hAnsi="Calibri" w:cs="Times New Roman"/>
                <w:iCs/>
                <w:color w:val="000000"/>
                <w:sz w:val="18"/>
                <w:szCs w:val="18"/>
                <w:lang w:eastAsia="pl-PL"/>
              </w:rPr>
            </w:pPr>
            <w:r w:rsidRPr="00432A7F">
              <w:rPr>
                <w:rFonts w:ascii="Calibri" w:eastAsia="Times New Roman" w:hAnsi="Calibri" w:cs="Times New Roman"/>
                <w:iCs/>
                <w:color w:val="000000"/>
                <w:sz w:val="18"/>
                <w:szCs w:val="18"/>
                <w:lang w:eastAsia="pl-PL"/>
              </w:rPr>
              <w:t>publikacje</w:t>
            </w:r>
          </w:p>
        </w:tc>
        <w:tc>
          <w:tcPr>
            <w:tcW w:w="870" w:type="dxa"/>
            <w:shd w:val="clear" w:color="auto" w:fill="FFFFFF" w:themeFill="background1"/>
            <w:noWrap/>
            <w:vAlign w:val="center"/>
            <w:hideMark/>
          </w:tcPr>
          <w:p w:rsidR="00432A7F" w:rsidRPr="00432A7F" w:rsidRDefault="00432A7F" w:rsidP="00432A7F">
            <w:pPr>
              <w:spacing w:after="120"/>
              <w:rPr>
                <w:rFonts w:ascii="Calibri" w:eastAsia="Times New Roman" w:hAnsi="Calibri" w:cs="Times New Roman"/>
                <w:iCs/>
                <w:color w:val="000000"/>
                <w:sz w:val="18"/>
                <w:szCs w:val="18"/>
                <w:lang w:eastAsia="pl-PL"/>
              </w:rPr>
            </w:pPr>
            <w:r w:rsidRPr="00432A7F">
              <w:rPr>
                <w:rFonts w:ascii="Calibri" w:eastAsia="Times New Roman" w:hAnsi="Calibri" w:cs="Times New Roman"/>
                <w:iCs/>
                <w:color w:val="000000"/>
                <w:sz w:val="18"/>
                <w:szCs w:val="18"/>
                <w:lang w:eastAsia="pl-PL"/>
              </w:rPr>
              <w:t xml:space="preserve">1 162 497    </w:t>
            </w:r>
          </w:p>
        </w:tc>
      </w:tr>
      <w:tr w:rsidR="00432A7F" w:rsidRPr="00432A7F" w:rsidTr="00420098">
        <w:trPr>
          <w:trHeight w:val="1048"/>
          <w:jc w:val="right"/>
        </w:trPr>
        <w:tc>
          <w:tcPr>
            <w:tcW w:w="1139" w:type="dxa"/>
            <w:shd w:val="clear" w:color="auto" w:fill="auto"/>
            <w:noWrap/>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RB_5</w:t>
            </w:r>
          </w:p>
        </w:tc>
        <w:tc>
          <w:tcPr>
            <w:tcW w:w="1417" w:type="dxa"/>
            <w:shd w:val="clear" w:color="auto" w:fill="auto"/>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P I (K.I.1.2.)</w:t>
            </w:r>
          </w:p>
        </w:tc>
        <w:tc>
          <w:tcPr>
            <w:tcW w:w="1038" w:type="dxa"/>
            <w:shd w:val="clear" w:color="auto" w:fill="auto"/>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rezultat bezpośredni</w:t>
            </w:r>
          </w:p>
        </w:tc>
        <w:tc>
          <w:tcPr>
            <w:tcW w:w="2470" w:type="dxa"/>
            <w:shd w:val="clear" w:color="auto" w:fill="auto"/>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Liczba operacji wykonanych w zintegrowanym systemie zarządzania zasobami bibliotek przez jego użytkowników. </w:t>
            </w:r>
          </w:p>
        </w:tc>
        <w:tc>
          <w:tcPr>
            <w:tcW w:w="1192" w:type="dxa"/>
            <w:shd w:val="clear" w:color="auto" w:fill="auto"/>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sprawozdania beneficjentów</w:t>
            </w:r>
          </w:p>
        </w:tc>
        <w:tc>
          <w:tcPr>
            <w:tcW w:w="1749" w:type="dxa"/>
            <w:gridSpan w:val="2"/>
            <w:shd w:val="clear" w:color="000000" w:fill="FFFFFF"/>
            <w:vAlign w:val="center"/>
            <w:hideMark/>
          </w:tcPr>
          <w:p w:rsidR="00432A7F" w:rsidRPr="00432A7F" w:rsidRDefault="00432A7F" w:rsidP="00432A7F">
            <w:pPr>
              <w:spacing w:after="120"/>
              <w:jc w:val="right"/>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      </w:t>
            </w:r>
          </w:p>
        </w:tc>
      </w:tr>
      <w:tr w:rsidR="00432A7F" w:rsidRPr="00432A7F" w:rsidTr="00420098">
        <w:trPr>
          <w:trHeight w:val="454"/>
          <w:jc w:val="right"/>
        </w:trPr>
        <w:tc>
          <w:tcPr>
            <w:tcW w:w="9005" w:type="dxa"/>
            <w:gridSpan w:val="7"/>
            <w:shd w:val="clear" w:color="auto" w:fill="auto"/>
            <w:vAlign w:val="center"/>
            <w:hideMark/>
          </w:tcPr>
          <w:p w:rsidR="00432A7F" w:rsidRPr="00432A7F" w:rsidRDefault="00432A7F" w:rsidP="00432A7F">
            <w:pPr>
              <w:spacing w:after="120"/>
              <w:rPr>
                <w:rFonts w:ascii="Calibri" w:eastAsia="Times New Roman" w:hAnsi="Calibri" w:cs="Times New Roman"/>
                <w:bCs/>
                <w:color w:val="C00000"/>
                <w:sz w:val="18"/>
                <w:szCs w:val="18"/>
                <w:lang w:eastAsia="pl-PL"/>
              </w:rPr>
            </w:pPr>
            <w:r w:rsidRPr="00432A7F">
              <w:rPr>
                <w:rFonts w:ascii="Calibri" w:eastAsia="Times New Roman" w:hAnsi="Calibri" w:cs="Times New Roman"/>
                <w:bCs/>
                <w:color w:val="C00000"/>
                <w:sz w:val="18"/>
                <w:szCs w:val="18"/>
                <w:lang w:eastAsia="pl-PL"/>
              </w:rPr>
              <w:t>Cel szczegółowy 2 / Priorytet 2</w:t>
            </w:r>
          </w:p>
        </w:tc>
      </w:tr>
      <w:tr w:rsidR="00432A7F" w:rsidRPr="00432A7F" w:rsidTr="00420098">
        <w:trPr>
          <w:trHeight w:val="1380"/>
          <w:jc w:val="right"/>
        </w:trPr>
        <w:tc>
          <w:tcPr>
            <w:tcW w:w="1139" w:type="dxa"/>
            <w:shd w:val="clear" w:color="auto" w:fill="auto"/>
            <w:noWrap/>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P_6</w:t>
            </w:r>
          </w:p>
        </w:tc>
        <w:tc>
          <w:tcPr>
            <w:tcW w:w="1417" w:type="dxa"/>
            <w:shd w:val="clear" w:color="auto" w:fill="auto"/>
            <w:noWrap/>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P II (K.I.2.1.)</w:t>
            </w:r>
          </w:p>
        </w:tc>
        <w:tc>
          <w:tcPr>
            <w:tcW w:w="1038" w:type="dxa"/>
            <w:shd w:val="clear" w:color="auto" w:fill="auto"/>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produkt </w:t>
            </w:r>
          </w:p>
        </w:tc>
        <w:tc>
          <w:tcPr>
            <w:tcW w:w="2470" w:type="dxa"/>
            <w:shd w:val="clear" w:color="auto" w:fill="auto"/>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Liczba energooszczędnych obiektów bibliotecznych (o wartości zapotrzebowania na nieodnawialną energię pierwotną EP=45 kWh/m2/rok) powstałych w ramach projektu.</w:t>
            </w:r>
          </w:p>
        </w:tc>
        <w:tc>
          <w:tcPr>
            <w:tcW w:w="1192" w:type="dxa"/>
            <w:shd w:val="clear" w:color="auto" w:fill="auto"/>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sprawozdania beneficjentów</w:t>
            </w:r>
          </w:p>
        </w:tc>
        <w:tc>
          <w:tcPr>
            <w:tcW w:w="1749" w:type="dxa"/>
            <w:gridSpan w:val="2"/>
            <w:shd w:val="clear" w:color="000000" w:fill="FFFFFF"/>
            <w:vAlign w:val="center"/>
            <w:hideMark/>
          </w:tcPr>
          <w:p w:rsidR="00432A7F" w:rsidRPr="00432A7F" w:rsidRDefault="00432A7F" w:rsidP="00432A7F">
            <w:pPr>
              <w:spacing w:after="120"/>
              <w:jc w:val="right"/>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      </w:t>
            </w:r>
          </w:p>
        </w:tc>
      </w:tr>
      <w:tr w:rsidR="00432A7F" w:rsidRPr="00432A7F" w:rsidTr="00420098">
        <w:trPr>
          <w:trHeight w:val="828"/>
          <w:jc w:val="right"/>
        </w:trPr>
        <w:tc>
          <w:tcPr>
            <w:tcW w:w="1139" w:type="dxa"/>
            <w:shd w:val="clear" w:color="auto" w:fill="auto"/>
            <w:noWrap/>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P_7</w:t>
            </w:r>
          </w:p>
        </w:tc>
        <w:tc>
          <w:tcPr>
            <w:tcW w:w="1417" w:type="dxa"/>
            <w:shd w:val="clear" w:color="auto" w:fill="auto"/>
            <w:noWrap/>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P II (K.I.2.1.)</w:t>
            </w:r>
          </w:p>
        </w:tc>
        <w:tc>
          <w:tcPr>
            <w:tcW w:w="1038" w:type="dxa"/>
            <w:shd w:val="clear" w:color="auto" w:fill="auto"/>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produkt</w:t>
            </w:r>
          </w:p>
        </w:tc>
        <w:tc>
          <w:tcPr>
            <w:tcW w:w="2470" w:type="dxa"/>
            <w:shd w:val="clear" w:color="auto" w:fill="auto"/>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Liczba bibliotek, które w wyniku projektu poprawiły poziom dostosowania obiektu </w:t>
            </w:r>
            <w:r w:rsidRPr="00432A7F">
              <w:rPr>
                <w:rFonts w:ascii="Calibri" w:eastAsia="Times New Roman" w:hAnsi="Calibri" w:cs="Times New Roman"/>
                <w:color w:val="000000"/>
                <w:sz w:val="18"/>
                <w:szCs w:val="18"/>
                <w:lang w:eastAsia="pl-PL"/>
              </w:rPr>
              <w:lastRenderedPageBreak/>
              <w:t>do osób ze szczególnymi potrzebami.</w:t>
            </w:r>
          </w:p>
        </w:tc>
        <w:tc>
          <w:tcPr>
            <w:tcW w:w="1192" w:type="dxa"/>
            <w:shd w:val="clear" w:color="auto" w:fill="auto"/>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lastRenderedPageBreak/>
              <w:t>sprawozdania beneficjentów</w:t>
            </w:r>
          </w:p>
        </w:tc>
        <w:tc>
          <w:tcPr>
            <w:tcW w:w="1749" w:type="dxa"/>
            <w:gridSpan w:val="2"/>
            <w:shd w:val="clear" w:color="000000" w:fill="FFFFFF"/>
            <w:vAlign w:val="center"/>
            <w:hideMark/>
          </w:tcPr>
          <w:p w:rsidR="00432A7F" w:rsidRPr="00432A7F" w:rsidRDefault="00432A7F" w:rsidP="00432A7F">
            <w:pPr>
              <w:spacing w:after="120"/>
              <w:jc w:val="right"/>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      </w:t>
            </w:r>
          </w:p>
        </w:tc>
      </w:tr>
      <w:tr w:rsidR="00432A7F" w:rsidRPr="00432A7F" w:rsidTr="00420098">
        <w:trPr>
          <w:trHeight w:val="1840"/>
          <w:jc w:val="right"/>
        </w:trPr>
        <w:tc>
          <w:tcPr>
            <w:tcW w:w="1139" w:type="dxa"/>
            <w:shd w:val="clear" w:color="auto" w:fill="auto"/>
            <w:noWrap/>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P_8</w:t>
            </w:r>
          </w:p>
        </w:tc>
        <w:tc>
          <w:tcPr>
            <w:tcW w:w="1417" w:type="dxa"/>
            <w:shd w:val="clear" w:color="auto" w:fill="auto"/>
            <w:noWrap/>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P II (K.I.2.1.)</w:t>
            </w:r>
          </w:p>
        </w:tc>
        <w:tc>
          <w:tcPr>
            <w:tcW w:w="1038" w:type="dxa"/>
            <w:shd w:val="clear" w:color="auto" w:fill="auto"/>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produkt</w:t>
            </w:r>
          </w:p>
        </w:tc>
        <w:tc>
          <w:tcPr>
            <w:tcW w:w="2470" w:type="dxa"/>
            <w:shd w:val="clear" w:color="auto" w:fill="auto"/>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Liczba bibliotek, które w wyniku projektu przystosowały wyraźnie oznakowane pomieszczenie przeznaczone do aktywnej pracy z seniorami (osobami starszymi), z wyposażeniem dostosowanym do tej grupy wiekowej.</w:t>
            </w:r>
          </w:p>
        </w:tc>
        <w:tc>
          <w:tcPr>
            <w:tcW w:w="1192" w:type="dxa"/>
            <w:shd w:val="clear" w:color="auto" w:fill="auto"/>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sprawozdania beneficjentów</w:t>
            </w:r>
          </w:p>
        </w:tc>
        <w:tc>
          <w:tcPr>
            <w:tcW w:w="1749" w:type="dxa"/>
            <w:gridSpan w:val="2"/>
            <w:shd w:val="clear" w:color="000000" w:fill="FFFFFF"/>
            <w:vAlign w:val="center"/>
            <w:hideMark/>
          </w:tcPr>
          <w:p w:rsidR="00432A7F" w:rsidRPr="00432A7F" w:rsidRDefault="00432A7F" w:rsidP="00432A7F">
            <w:pPr>
              <w:spacing w:after="120"/>
              <w:jc w:val="right"/>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      </w:t>
            </w:r>
          </w:p>
        </w:tc>
      </w:tr>
      <w:tr w:rsidR="00432A7F" w:rsidRPr="00432A7F" w:rsidTr="00420098">
        <w:trPr>
          <w:trHeight w:val="454"/>
          <w:jc w:val="right"/>
        </w:trPr>
        <w:tc>
          <w:tcPr>
            <w:tcW w:w="9005" w:type="dxa"/>
            <w:gridSpan w:val="7"/>
            <w:shd w:val="clear" w:color="auto" w:fill="auto"/>
            <w:vAlign w:val="center"/>
            <w:hideMark/>
          </w:tcPr>
          <w:p w:rsidR="00432A7F" w:rsidRPr="00432A7F" w:rsidRDefault="00432A7F" w:rsidP="00432A7F">
            <w:pPr>
              <w:spacing w:after="120"/>
              <w:jc w:val="center"/>
              <w:rPr>
                <w:rFonts w:ascii="Calibri" w:eastAsia="Times New Roman" w:hAnsi="Calibri" w:cs="Times New Roman"/>
                <w:bCs/>
                <w:color w:val="C00000"/>
                <w:sz w:val="18"/>
                <w:szCs w:val="18"/>
                <w:lang w:eastAsia="pl-PL"/>
              </w:rPr>
            </w:pPr>
            <w:r w:rsidRPr="00432A7F">
              <w:rPr>
                <w:rFonts w:ascii="Calibri" w:eastAsia="Times New Roman" w:hAnsi="Calibri" w:cs="Times New Roman"/>
                <w:bCs/>
                <w:color w:val="C00000"/>
                <w:sz w:val="18"/>
                <w:szCs w:val="18"/>
                <w:lang w:eastAsia="pl-PL"/>
              </w:rPr>
              <w:t>Cel szczegółowy 3 / Priorytet 3</w:t>
            </w:r>
          </w:p>
        </w:tc>
      </w:tr>
      <w:tr w:rsidR="00432A7F" w:rsidRPr="00432A7F" w:rsidTr="00420098">
        <w:trPr>
          <w:trHeight w:val="1104"/>
          <w:jc w:val="right"/>
        </w:trPr>
        <w:tc>
          <w:tcPr>
            <w:tcW w:w="1139" w:type="dxa"/>
            <w:shd w:val="clear" w:color="auto" w:fill="auto"/>
            <w:noWrap/>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K_1</w:t>
            </w:r>
          </w:p>
        </w:tc>
        <w:tc>
          <w:tcPr>
            <w:tcW w:w="1417" w:type="dxa"/>
            <w:shd w:val="clear" w:color="auto" w:fill="auto"/>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P III (K.I.3.2)</w:t>
            </w:r>
          </w:p>
        </w:tc>
        <w:tc>
          <w:tcPr>
            <w:tcW w:w="1038" w:type="dxa"/>
            <w:shd w:val="clear" w:color="auto" w:fill="auto"/>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kontekst</w:t>
            </w:r>
          </w:p>
        </w:tc>
        <w:tc>
          <w:tcPr>
            <w:tcW w:w="2470" w:type="dxa"/>
            <w:shd w:val="clear" w:color="auto" w:fill="auto"/>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Łączny wolumen publikacji w bibliotekach szkolnych i pedagogicznych objętych wsparciem w ramach NPRCz 2.0. (z wyłączeniem podręczników).</w:t>
            </w:r>
          </w:p>
        </w:tc>
        <w:tc>
          <w:tcPr>
            <w:tcW w:w="1192" w:type="dxa"/>
            <w:shd w:val="clear" w:color="000000" w:fill="FFFFFF"/>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sprawozdania beneficjentów</w:t>
            </w:r>
          </w:p>
        </w:tc>
        <w:tc>
          <w:tcPr>
            <w:tcW w:w="1749" w:type="dxa"/>
            <w:gridSpan w:val="2"/>
            <w:shd w:val="clear" w:color="000000" w:fill="FFFFFF"/>
            <w:vAlign w:val="center"/>
            <w:hideMark/>
          </w:tcPr>
          <w:p w:rsidR="00432A7F" w:rsidRPr="00432A7F" w:rsidRDefault="00432A7F" w:rsidP="00432A7F">
            <w:pPr>
              <w:spacing w:after="120"/>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15 919 841    </w:t>
            </w:r>
          </w:p>
        </w:tc>
      </w:tr>
      <w:tr w:rsidR="00432A7F" w:rsidRPr="00432A7F" w:rsidTr="00420098">
        <w:trPr>
          <w:trHeight w:val="291"/>
          <w:jc w:val="right"/>
        </w:trPr>
        <w:tc>
          <w:tcPr>
            <w:tcW w:w="9005" w:type="dxa"/>
            <w:gridSpan w:val="7"/>
            <w:shd w:val="clear" w:color="auto" w:fill="auto"/>
            <w:vAlign w:val="center"/>
            <w:hideMark/>
          </w:tcPr>
          <w:p w:rsidR="00432A7F" w:rsidRPr="00432A7F" w:rsidRDefault="00432A7F" w:rsidP="00432A7F">
            <w:pPr>
              <w:spacing w:after="120"/>
              <w:jc w:val="center"/>
              <w:rPr>
                <w:rFonts w:ascii="Calibri" w:eastAsia="Times New Roman" w:hAnsi="Calibri" w:cs="Times New Roman"/>
                <w:bCs/>
                <w:color w:val="C00000"/>
                <w:sz w:val="18"/>
                <w:szCs w:val="18"/>
                <w:lang w:eastAsia="pl-PL"/>
              </w:rPr>
            </w:pPr>
            <w:r w:rsidRPr="00432A7F">
              <w:rPr>
                <w:rFonts w:ascii="Calibri" w:eastAsia="Times New Roman" w:hAnsi="Calibri" w:cs="Times New Roman"/>
                <w:bCs/>
                <w:color w:val="C00000"/>
                <w:sz w:val="18"/>
                <w:szCs w:val="18"/>
                <w:lang w:eastAsia="pl-PL"/>
              </w:rPr>
              <w:t>Cel szczegółowy 4 / Priorytet 4</w:t>
            </w:r>
          </w:p>
        </w:tc>
      </w:tr>
      <w:tr w:rsidR="00432A7F" w:rsidRPr="00432A7F" w:rsidTr="00420098">
        <w:trPr>
          <w:trHeight w:val="552"/>
          <w:jc w:val="right"/>
        </w:trPr>
        <w:tc>
          <w:tcPr>
            <w:tcW w:w="1139" w:type="dxa"/>
            <w:shd w:val="clear" w:color="auto" w:fill="auto"/>
            <w:noWrap/>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RB_6</w:t>
            </w:r>
          </w:p>
        </w:tc>
        <w:tc>
          <w:tcPr>
            <w:tcW w:w="1417" w:type="dxa"/>
            <w:shd w:val="clear" w:color="auto" w:fill="auto"/>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P IV (K.I.4.2.)</w:t>
            </w:r>
          </w:p>
        </w:tc>
        <w:tc>
          <w:tcPr>
            <w:tcW w:w="1038" w:type="dxa"/>
            <w:shd w:val="clear" w:color="auto" w:fill="auto"/>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rezultat bezpośredni</w:t>
            </w:r>
          </w:p>
        </w:tc>
        <w:tc>
          <w:tcPr>
            <w:tcW w:w="2470" w:type="dxa"/>
            <w:shd w:val="clear" w:color="auto" w:fill="auto"/>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Liczba wskazań w mediach.</w:t>
            </w:r>
          </w:p>
        </w:tc>
        <w:tc>
          <w:tcPr>
            <w:tcW w:w="1192" w:type="dxa"/>
            <w:shd w:val="clear" w:color="auto" w:fill="auto"/>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sprawozdanie operatora</w:t>
            </w:r>
          </w:p>
        </w:tc>
        <w:tc>
          <w:tcPr>
            <w:tcW w:w="1749" w:type="dxa"/>
            <w:gridSpan w:val="2"/>
            <w:shd w:val="clear" w:color="000000" w:fill="FFFFFF"/>
            <w:vAlign w:val="center"/>
            <w:hideMark/>
          </w:tcPr>
          <w:p w:rsidR="00432A7F" w:rsidRPr="00432A7F" w:rsidRDefault="00432A7F" w:rsidP="00432A7F">
            <w:pPr>
              <w:spacing w:after="120"/>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10 958    </w:t>
            </w:r>
          </w:p>
        </w:tc>
      </w:tr>
      <w:tr w:rsidR="00432A7F" w:rsidRPr="00432A7F" w:rsidTr="00420098">
        <w:trPr>
          <w:trHeight w:val="1104"/>
          <w:jc w:val="right"/>
        </w:trPr>
        <w:tc>
          <w:tcPr>
            <w:tcW w:w="1139" w:type="dxa"/>
            <w:shd w:val="clear" w:color="auto" w:fill="auto"/>
            <w:noWrap/>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RB_8</w:t>
            </w:r>
          </w:p>
        </w:tc>
        <w:tc>
          <w:tcPr>
            <w:tcW w:w="1417" w:type="dxa"/>
            <w:shd w:val="clear" w:color="auto" w:fill="auto"/>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P IV (K.I.4.1.)</w:t>
            </w:r>
          </w:p>
        </w:tc>
        <w:tc>
          <w:tcPr>
            <w:tcW w:w="1038" w:type="dxa"/>
            <w:shd w:val="clear" w:color="auto" w:fill="auto"/>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rezultat bezpośredni</w:t>
            </w:r>
          </w:p>
        </w:tc>
        <w:tc>
          <w:tcPr>
            <w:tcW w:w="2470" w:type="dxa"/>
            <w:shd w:val="clear" w:color="auto" w:fill="auto"/>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Liczba bezpośrednich odbiorców/ uczestników projektów edukacyjno-animacyjnych zrealizowanych w ramach partnerstw.</w:t>
            </w:r>
          </w:p>
        </w:tc>
        <w:tc>
          <w:tcPr>
            <w:tcW w:w="1192" w:type="dxa"/>
            <w:shd w:val="clear" w:color="auto" w:fill="auto"/>
            <w:vAlign w:val="center"/>
            <w:hideMark/>
          </w:tcPr>
          <w:p w:rsidR="00432A7F" w:rsidRPr="00432A7F" w:rsidRDefault="00432A7F" w:rsidP="00432A7F">
            <w:pPr>
              <w:spacing w:after="120"/>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sprawozdania beneficjentów</w:t>
            </w:r>
          </w:p>
        </w:tc>
        <w:tc>
          <w:tcPr>
            <w:tcW w:w="1749" w:type="dxa"/>
            <w:gridSpan w:val="2"/>
            <w:shd w:val="clear" w:color="000000" w:fill="FFFFFF"/>
            <w:vAlign w:val="center"/>
            <w:hideMark/>
          </w:tcPr>
          <w:p w:rsidR="00432A7F" w:rsidRPr="00432A7F" w:rsidRDefault="00432A7F" w:rsidP="00432A7F">
            <w:pPr>
              <w:spacing w:after="120"/>
              <w:jc w:val="center"/>
              <w:rPr>
                <w:rFonts w:ascii="Calibri" w:eastAsia="Times New Roman" w:hAnsi="Calibri" w:cs="Times New Roman"/>
                <w:color w:val="000000"/>
                <w:sz w:val="18"/>
                <w:szCs w:val="18"/>
                <w:lang w:eastAsia="pl-PL"/>
              </w:rPr>
            </w:pPr>
            <w:r w:rsidRPr="00432A7F">
              <w:rPr>
                <w:rFonts w:ascii="Calibri" w:eastAsia="Times New Roman" w:hAnsi="Calibri" w:cs="Times New Roman"/>
                <w:color w:val="000000"/>
                <w:sz w:val="18"/>
                <w:szCs w:val="18"/>
                <w:lang w:eastAsia="pl-PL"/>
              </w:rPr>
              <w:t xml:space="preserve">21 949    </w:t>
            </w:r>
          </w:p>
        </w:tc>
      </w:tr>
    </w:tbl>
    <w:p w:rsidR="00432A7F" w:rsidRPr="00432A7F" w:rsidRDefault="00432A7F" w:rsidP="00432A7F">
      <w:pPr>
        <w:spacing w:after="120"/>
        <w:ind w:left="1134"/>
        <w:jc w:val="both"/>
        <w:rPr>
          <w:rFonts w:ascii="Calibri" w:eastAsia="Times New Roman" w:hAnsi="Calibri" w:cs="Times New Roman"/>
          <w:bCs/>
        </w:rPr>
      </w:pPr>
    </w:p>
    <w:p w:rsidR="00432A7F" w:rsidRPr="00432A7F" w:rsidRDefault="00432A7F" w:rsidP="00432A7F">
      <w:pPr>
        <w:spacing w:after="120"/>
        <w:contextualSpacing/>
        <w:jc w:val="both"/>
        <w:rPr>
          <w:rFonts w:ascii="Calibri" w:eastAsia="Times New Roman" w:hAnsi="Calibri" w:cs="Times New Roman"/>
          <w:bCs/>
        </w:rPr>
        <w:sectPr w:rsidR="00432A7F" w:rsidRPr="00432A7F" w:rsidSect="00D62D2D">
          <w:pgSz w:w="11906" w:h="16838"/>
          <w:pgMar w:top="1417" w:right="1417" w:bottom="1417" w:left="1417" w:header="708" w:footer="567" w:gutter="0"/>
          <w:cols w:space="708"/>
          <w:docGrid w:linePitch="360"/>
        </w:sectPr>
      </w:pPr>
    </w:p>
    <w:p w:rsidR="00432A7F" w:rsidRPr="00432A7F" w:rsidRDefault="00432A7F" w:rsidP="00432A7F">
      <w:pPr>
        <w:spacing w:after="120"/>
        <w:contextualSpacing/>
        <w:jc w:val="both"/>
        <w:rPr>
          <w:rFonts w:ascii="Calibri" w:eastAsia="Times New Roman" w:hAnsi="Calibri" w:cs="Times New Roman"/>
          <w:bCs/>
        </w:rPr>
      </w:pPr>
    </w:p>
    <w:p w:rsidR="00432A7F" w:rsidRPr="00432A7F" w:rsidRDefault="00432A7F" w:rsidP="00322671">
      <w:pPr>
        <w:numPr>
          <w:ilvl w:val="0"/>
          <w:numId w:val="12"/>
        </w:numPr>
        <w:autoSpaceDE w:val="0"/>
        <w:autoSpaceDN w:val="0"/>
        <w:adjustRightInd w:val="0"/>
        <w:spacing w:after="120" w:line="264" w:lineRule="auto"/>
        <w:ind w:left="426" w:hanging="426"/>
        <w:jc w:val="both"/>
        <w:rPr>
          <w:rFonts w:ascii="Calibri" w:eastAsia="Times New Roman" w:hAnsi="Calibri" w:cs="Times New Roman"/>
          <w:bCs/>
        </w:rPr>
      </w:pPr>
      <w:r w:rsidRPr="00432A7F">
        <w:t>Informacja o wykonaniu planu finansowego Programu.</w:t>
      </w:r>
    </w:p>
    <w:tbl>
      <w:tblPr>
        <w:tblW w:w="13152" w:type="dxa"/>
        <w:tblInd w:w="70" w:type="dxa"/>
        <w:tblCellMar>
          <w:left w:w="70" w:type="dxa"/>
          <w:right w:w="70" w:type="dxa"/>
        </w:tblCellMar>
        <w:tblLook w:val="04A0" w:firstRow="1" w:lastRow="0" w:firstColumn="1" w:lastColumn="0" w:noHBand="0" w:noVBand="1"/>
      </w:tblPr>
      <w:tblGrid>
        <w:gridCol w:w="960"/>
        <w:gridCol w:w="3200"/>
        <w:gridCol w:w="1120"/>
        <w:gridCol w:w="1120"/>
        <w:gridCol w:w="1120"/>
        <w:gridCol w:w="1120"/>
        <w:gridCol w:w="1120"/>
        <w:gridCol w:w="1120"/>
        <w:gridCol w:w="1136"/>
        <w:gridCol w:w="1136"/>
      </w:tblGrid>
      <w:tr w:rsidR="00432A7F" w:rsidRPr="00432A7F" w:rsidTr="00420098">
        <w:trPr>
          <w:trHeight w:val="276"/>
          <w:tblHeader/>
        </w:trPr>
        <w:tc>
          <w:tcPr>
            <w:tcW w:w="960" w:type="dxa"/>
            <w:tcBorders>
              <w:top w:val="nil"/>
              <w:left w:val="nil"/>
              <w:bottom w:val="nil"/>
              <w:right w:val="nil"/>
            </w:tcBorders>
            <w:shd w:val="clear" w:color="auto" w:fill="auto"/>
            <w:noWrap/>
            <w:vAlign w:val="bottom"/>
            <w:hideMark/>
          </w:tcPr>
          <w:p w:rsidR="00432A7F" w:rsidRPr="00432A7F" w:rsidRDefault="00895B8C" w:rsidP="00432A7F">
            <w:pPr>
              <w:spacing w:after="120"/>
              <w:rPr>
                <w:rFonts w:ascii="Calibri" w:eastAsia="Times New Roman" w:hAnsi="Calibri" w:cs="Times New Roman"/>
                <w:color w:val="000000"/>
                <w:sz w:val="20"/>
                <w:szCs w:val="20"/>
                <w:lang w:eastAsia="pl-PL"/>
              </w:rPr>
            </w:pPr>
            <w:r>
              <w:rPr>
                <w:rFonts w:ascii="Calibri" w:eastAsia="Times New Roman" w:hAnsi="Calibri" w:cs="Times New Roman"/>
                <w:color w:val="000000"/>
                <w:sz w:val="20"/>
                <w:szCs w:val="20"/>
                <w:lang w:eastAsia="pl-PL"/>
              </w:rPr>
              <w:t xml:space="preserve">   </w:t>
            </w:r>
            <w:bookmarkStart w:id="2" w:name="_GoBack"/>
            <w:bookmarkEnd w:id="2"/>
          </w:p>
        </w:tc>
        <w:tc>
          <w:tcPr>
            <w:tcW w:w="3200" w:type="dxa"/>
            <w:tcBorders>
              <w:top w:val="nil"/>
              <w:left w:val="nil"/>
              <w:bottom w:val="nil"/>
              <w:right w:val="nil"/>
            </w:tcBorders>
            <w:shd w:val="clear" w:color="auto" w:fill="auto"/>
            <w:noWrap/>
            <w:vAlign w:val="bottom"/>
            <w:hideMark/>
          </w:tcPr>
          <w:p w:rsidR="00432A7F" w:rsidRPr="00432A7F" w:rsidRDefault="00432A7F" w:rsidP="00432A7F">
            <w:pPr>
              <w:spacing w:after="120"/>
              <w:rPr>
                <w:rFonts w:ascii="Calibri" w:eastAsia="Times New Roman" w:hAnsi="Calibri" w:cs="Times New Roman"/>
                <w:color w:val="000000"/>
                <w:sz w:val="20"/>
                <w:szCs w:val="20"/>
                <w:lang w:eastAsia="pl-PL"/>
              </w:rPr>
            </w:pPr>
          </w:p>
        </w:tc>
        <w:tc>
          <w:tcPr>
            <w:tcW w:w="1120" w:type="dxa"/>
            <w:tcBorders>
              <w:top w:val="nil"/>
              <w:left w:val="nil"/>
              <w:bottom w:val="nil"/>
              <w:right w:val="nil"/>
            </w:tcBorders>
            <w:shd w:val="clear" w:color="auto" w:fill="auto"/>
            <w:noWrap/>
            <w:vAlign w:val="center"/>
            <w:hideMark/>
          </w:tcPr>
          <w:p w:rsidR="00432A7F" w:rsidRPr="00432A7F" w:rsidRDefault="00432A7F" w:rsidP="00432A7F">
            <w:pPr>
              <w:spacing w:after="120"/>
              <w:jc w:val="center"/>
              <w:rPr>
                <w:rFonts w:ascii="Calibri" w:eastAsia="Times New Roman" w:hAnsi="Calibri" w:cs="Times New Roman"/>
                <w:color w:val="000000"/>
                <w:sz w:val="20"/>
                <w:szCs w:val="20"/>
                <w:lang w:eastAsia="pl-PL"/>
              </w:rPr>
            </w:pPr>
          </w:p>
        </w:tc>
        <w:tc>
          <w:tcPr>
            <w:tcW w:w="1120" w:type="dxa"/>
            <w:tcBorders>
              <w:top w:val="nil"/>
              <w:left w:val="nil"/>
              <w:bottom w:val="nil"/>
              <w:right w:val="nil"/>
            </w:tcBorders>
            <w:shd w:val="clear" w:color="auto" w:fill="auto"/>
            <w:noWrap/>
            <w:vAlign w:val="center"/>
            <w:hideMark/>
          </w:tcPr>
          <w:p w:rsidR="00432A7F" w:rsidRPr="00432A7F" w:rsidRDefault="00432A7F" w:rsidP="00432A7F">
            <w:pPr>
              <w:spacing w:after="120"/>
              <w:jc w:val="center"/>
              <w:rPr>
                <w:rFonts w:ascii="Calibri" w:eastAsia="Times New Roman" w:hAnsi="Calibri" w:cs="Times New Roman"/>
                <w:color w:val="000000"/>
                <w:sz w:val="20"/>
                <w:szCs w:val="20"/>
                <w:lang w:eastAsia="pl-PL"/>
              </w:rPr>
            </w:pPr>
          </w:p>
        </w:tc>
        <w:tc>
          <w:tcPr>
            <w:tcW w:w="1120" w:type="dxa"/>
            <w:tcBorders>
              <w:top w:val="nil"/>
              <w:left w:val="nil"/>
              <w:bottom w:val="nil"/>
              <w:right w:val="nil"/>
            </w:tcBorders>
            <w:shd w:val="clear" w:color="auto" w:fill="auto"/>
            <w:noWrap/>
            <w:vAlign w:val="center"/>
            <w:hideMark/>
          </w:tcPr>
          <w:p w:rsidR="00432A7F" w:rsidRPr="00432A7F" w:rsidRDefault="00432A7F" w:rsidP="00432A7F">
            <w:pPr>
              <w:spacing w:after="120"/>
              <w:jc w:val="center"/>
              <w:rPr>
                <w:rFonts w:ascii="Calibri" w:eastAsia="Times New Roman" w:hAnsi="Calibri" w:cs="Times New Roman"/>
                <w:color w:val="000000"/>
                <w:sz w:val="20"/>
                <w:szCs w:val="20"/>
                <w:lang w:eastAsia="pl-PL"/>
              </w:rPr>
            </w:pPr>
          </w:p>
        </w:tc>
        <w:tc>
          <w:tcPr>
            <w:tcW w:w="1120" w:type="dxa"/>
            <w:tcBorders>
              <w:top w:val="nil"/>
              <w:left w:val="nil"/>
              <w:bottom w:val="nil"/>
              <w:right w:val="nil"/>
            </w:tcBorders>
            <w:shd w:val="clear" w:color="auto" w:fill="auto"/>
            <w:noWrap/>
            <w:vAlign w:val="center"/>
            <w:hideMark/>
          </w:tcPr>
          <w:p w:rsidR="00432A7F" w:rsidRPr="00432A7F" w:rsidRDefault="00432A7F" w:rsidP="00432A7F">
            <w:pPr>
              <w:spacing w:after="120"/>
              <w:jc w:val="center"/>
              <w:rPr>
                <w:rFonts w:ascii="Calibri" w:eastAsia="Times New Roman" w:hAnsi="Calibri" w:cs="Times New Roman"/>
                <w:color w:val="000000"/>
                <w:sz w:val="20"/>
                <w:szCs w:val="20"/>
                <w:lang w:eastAsia="pl-PL"/>
              </w:rPr>
            </w:pPr>
          </w:p>
        </w:tc>
        <w:tc>
          <w:tcPr>
            <w:tcW w:w="1120" w:type="dxa"/>
            <w:tcBorders>
              <w:top w:val="nil"/>
              <w:left w:val="nil"/>
              <w:bottom w:val="nil"/>
              <w:right w:val="nil"/>
            </w:tcBorders>
            <w:shd w:val="clear" w:color="auto" w:fill="auto"/>
            <w:noWrap/>
            <w:vAlign w:val="center"/>
            <w:hideMark/>
          </w:tcPr>
          <w:p w:rsidR="00432A7F" w:rsidRPr="00432A7F" w:rsidRDefault="00432A7F" w:rsidP="00432A7F">
            <w:pPr>
              <w:spacing w:after="120"/>
              <w:jc w:val="center"/>
              <w:rPr>
                <w:rFonts w:ascii="Calibri" w:eastAsia="Times New Roman" w:hAnsi="Calibri" w:cs="Times New Roman"/>
                <w:color w:val="000000"/>
                <w:sz w:val="20"/>
                <w:szCs w:val="20"/>
                <w:lang w:eastAsia="pl-PL"/>
              </w:rPr>
            </w:pPr>
          </w:p>
        </w:tc>
        <w:tc>
          <w:tcPr>
            <w:tcW w:w="1120" w:type="dxa"/>
            <w:tcBorders>
              <w:top w:val="nil"/>
              <w:left w:val="nil"/>
              <w:bottom w:val="nil"/>
              <w:right w:val="nil"/>
            </w:tcBorders>
            <w:shd w:val="clear" w:color="auto" w:fill="auto"/>
            <w:noWrap/>
            <w:vAlign w:val="center"/>
            <w:hideMark/>
          </w:tcPr>
          <w:p w:rsidR="00432A7F" w:rsidRPr="00432A7F" w:rsidRDefault="00432A7F" w:rsidP="00432A7F">
            <w:pPr>
              <w:spacing w:after="120"/>
              <w:jc w:val="center"/>
              <w:rPr>
                <w:rFonts w:ascii="Calibri" w:eastAsia="Times New Roman" w:hAnsi="Calibri" w:cs="Times New Roman"/>
                <w:color w:val="000000"/>
                <w:sz w:val="20"/>
                <w:szCs w:val="20"/>
                <w:lang w:eastAsia="pl-PL"/>
              </w:rPr>
            </w:pPr>
          </w:p>
        </w:tc>
        <w:tc>
          <w:tcPr>
            <w:tcW w:w="1136" w:type="dxa"/>
            <w:tcBorders>
              <w:top w:val="nil"/>
              <w:left w:val="nil"/>
              <w:bottom w:val="nil"/>
              <w:right w:val="nil"/>
            </w:tcBorders>
            <w:shd w:val="clear" w:color="auto" w:fill="auto"/>
            <w:noWrap/>
            <w:vAlign w:val="center"/>
            <w:hideMark/>
          </w:tcPr>
          <w:p w:rsidR="00432A7F" w:rsidRPr="00432A7F" w:rsidRDefault="00432A7F" w:rsidP="00432A7F">
            <w:pPr>
              <w:spacing w:after="120"/>
              <w:jc w:val="center"/>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w tys. zł</w:t>
            </w:r>
          </w:p>
        </w:tc>
        <w:tc>
          <w:tcPr>
            <w:tcW w:w="1136" w:type="dxa"/>
            <w:tcBorders>
              <w:top w:val="nil"/>
              <w:left w:val="nil"/>
              <w:bottom w:val="nil"/>
              <w:right w:val="nil"/>
            </w:tcBorders>
            <w:shd w:val="clear" w:color="auto" w:fill="auto"/>
            <w:noWrap/>
            <w:vAlign w:val="center"/>
            <w:hideMark/>
          </w:tcPr>
          <w:p w:rsidR="00432A7F" w:rsidRPr="00432A7F" w:rsidRDefault="00432A7F" w:rsidP="00432A7F">
            <w:pPr>
              <w:spacing w:after="120"/>
              <w:jc w:val="center"/>
              <w:rPr>
                <w:rFonts w:ascii="Calibri" w:eastAsia="Times New Roman" w:hAnsi="Calibri" w:cs="Times New Roman"/>
                <w:color w:val="000000"/>
                <w:sz w:val="20"/>
                <w:szCs w:val="20"/>
                <w:lang w:eastAsia="pl-PL"/>
              </w:rPr>
            </w:pPr>
          </w:p>
        </w:tc>
      </w:tr>
      <w:tr w:rsidR="00432A7F" w:rsidRPr="00432A7F" w:rsidTr="00420098">
        <w:trPr>
          <w:trHeight w:val="408"/>
          <w:tblHeader/>
        </w:trPr>
        <w:tc>
          <w:tcPr>
            <w:tcW w:w="4160" w:type="dxa"/>
            <w:gridSpan w:val="2"/>
            <w:vMerge w:val="restart"/>
            <w:tcBorders>
              <w:top w:val="single" w:sz="4" w:space="0" w:color="A6A6A6"/>
              <w:left w:val="single" w:sz="4" w:space="0" w:color="A6A6A6"/>
              <w:bottom w:val="single" w:sz="4" w:space="0" w:color="A6A6A6"/>
              <w:right w:val="single" w:sz="4" w:space="0" w:color="A6A6A6"/>
            </w:tcBorders>
            <w:shd w:val="clear" w:color="auto" w:fill="auto"/>
            <w:vAlign w:val="center"/>
            <w:hideMark/>
          </w:tcPr>
          <w:p w:rsidR="00432A7F" w:rsidRPr="00432A7F" w:rsidRDefault="00432A7F" w:rsidP="00432A7F">
            <w:pPr>
              <w:spacing w:after="120"/>
              <w:jc w:val="center"/>
              <w:rPr>
                <w:rFonts w:ascii="Calibri" w:eastAsia="Times New Roman" w:hAnsi="Calibri" w:cs="Times New Roman"/>
                <w:bCs/>
                <w:color w:val="000000"/>
                <w:sz w:val="20"/>
                <w:szCs w:val="20"/>
                <w:lang w:eastAsia="pl-PL"/>
              </w:rPr>
            </w:pPr>
            <w:r w:rsidRPr="00432A7F">
              <w:rPr>
                <w:rFonts w:ascii="Calibri" w:eastAsia="Times New Roman" w:hAnsi="Calibri" w:cs="Times New Roman"/>
                <w:bCs/>
                <w:color w:val="000000"/>
                <w:sz w:val="20"/>
                <w:szCs w:val="20"/>
                <w:lang w:eastAsia="pl-PL"/>
              </w:rPr>
              <w:t>Wyszczególnienie</w:t>
            </w:r>
          </w:p>
        </w:tc>
        <w:tc>
          <w:tcPr>
            <w:tcW w:w="5600" w:type="dxa"/>
            <w:gridSpan w:val="5"/>
            <w:tcBorders>
              <w:top w:val="single" w:sz="4" w:space="0" w:color="A6A6A6"/>
              <w:left w:val="nil"/>
              <w:bottom w:val="single" w:sz="4" w:space="0" w:color="A6A6A6"/>
              <w:right w:val="single" w:sz="4" w:space="0" w:color="A6A6A6"/>
            </w:tcBorders>
            <w:shd w:val="clear" w:color="000000" w:fill="E6B8B7"/>
            <w:vAlign w:val="center"/>
            <w:hideMark/>
          </w:tcPr>
          <w:p w:rsidR="00432A7F" w:rsidRPr="00432A7F" w:rsidRDefault="00432A7F" w:rsidP="00432A7F">
            <w:pPr>
              <w:spacing w:after="120"/>
              <w:jc w:val="center"/>
              <w:rPr>
                <w:rFonts w:ascii="Calibri" w:eastAsia="Times New Roman" w:hAnsi="Calibri" w:cs="Times New Roman"/>
                <w:bCs/>
                <w:color w:val="000000"/>
                <w:sz w:val="20"/>
                <w:szCs w:val="20"/>
                <w:lang w:eastAsia="pl-PL"/>
              </w:rPr>
            </w:pPr>
            <w:r w:rsidRPr="00432A7F">
              <w:rPr>
                <w:rFonts w:ascii="Calibri" w:eastAsia="Times New Roman" w:hAnsi="Calibri" w:cs="Times New Roman"/>
                <w:bCs/>
                <w:color w:val="000000"/>
                <w:sz w:val="20"/>
                <w:szCs w:val="20"/>
                <w:lang w:eastAsia="pl-PL"/>
              </w:rPr>
              <w:t>Środki budżetu państwa</w:t>
            </w:r>
          </w:p>
        </w:tc>
        <w:tc>
          <w:tcPr>
            <w:tcW w:w="2256" w:type="dxa"/>
            <w:gridSpan w:val="2"/>
            <w:vMerge w:val="restart"/>
            <w:tcBorders>
              <w:top w:val="single" w:sz="4" w:space="0" w:color="A6A6A6"/>
              <w:left w:val="single" w:sz="4" w:space="0" w:color="A6A6A6"/>
              <w:bottom w:val="single" w:sz="4" w:space="0" w:color="A6A6A6"/>
              <w:right w:val="single" w:sz="4" w:space="0" w:color="A6A6A6"/>
            </w:tcBorders>
            <w:shd w:val="clear" w:color="000000" w:fill="B7DEE8"/>
            <w:vAlign w:val="center"/>
            <w:hideMark/>
          </w:tcPr>
          <w:p w:rsidR="00432A7F" w:rsidRPr="00432A7F" w:rsidRDefault="00432A7F" w:rsidP="00432A7F">
            <w:pPr>
              <w:spacing w:after="120"/>
              <w:jc w:val="center"/>
              <w:rPr>
                <w:rFonts w:ascii="Calibri" w:eastAsia="Times New Roman" w:hAnsi="Calibri" w:cs="Times New Roman"/>
                <w:bCs/>
                <w:color w:val="000000"/>
                <w:sz w:val="20"/>
                <w:szCs w:val="20"/>
                <w:lang w:eastAsia="pl-PL"/>
              </w:rPr>
            </w:pPr>
            <w:r w:rsidRPr="00432A7F">
              <w:rPr>
                <w:rFonts w:ascii="Calibri" w:eastAsia="Times New Roman" w:hAnsi="Calibri" w:cs="Times New Roman"/>
                <w:bCs/>
                <w:color w:val="000000"/>
                <w:sz w:val="20"/>
                <w:szCs w:val="20"/>
                <w:lang w:eastAsia="pl-PL"/>
              </w:rPr>
              <w:t>Wkład własny</w:t>
            </w:r>
            <w:r w:rsidRPr="00432A7F">
              <w:rPr>
                <w:rFonts w:ascii="Calibri" w:eastAsia="Times New Roman" w:hAnsi="Calibri" w:cs="Times New Roman"/>
                <w:bCs/>
                <w:color w:val="000000"/>
                <w:sz w:val="20"/>
                <w:szCs w:val="20"/>
                <w:lang w:eastAsia="pl-PL"/>
              </w:rPr>
              <w:br/>
              <w:t>beneficjentów</w:t>
            </w:r>
          </w:p>
        </w:tc>
        <w:tc>
          <w:tcPr>
            <w:tcW w:w="1136" w:type="dxa"/>
            <w:vMerge w:val="restart"/>
            <w:tcBorders>
              <w:top w:val="single" w:sz="4" w:space="0" w:color="A6A6A6"/>
              <w:left w:val="single" w:sz="4" w:space="0" w:color="A6A6A6"/>
              <w:bottom w:val="single" w:sz="4" w:space="0" w:color="A6A6A6"/>
              <w:right w:val="single" w:sz="4" w:space="0" w:color="A6A6A6"/>
            </w:tcBorders>
            <w:shd w:val="clear" w:color="000000" w:fill="D8E4BC"/>
            <w:vAlign w:val="center"/>
            <w:hideMark/>
          </w:tcPr>
          <w:p w:rsidR="00432A7F" w:rsidRPr="00432A7F" w:rsidRDefault="00432A7F" w:rsidP="00432A7F">
            <w:pPr>
              <w:spacing w:after="120"/>
              <w:jc w:val="center"/>
              <w:rPr>
                <w:rFonts w:ascii="Calibri" w:eastAsia="Times New Roman" w:hAnsi="Calibri" w:cs="Times New Roman"/>
                <w:bCs/>
                <w:sz w:val="20"/>
                <w:szCs w:val="20"/>
                <w:lang w:eastAsia="pl-PL"/>
              </w:rPr>
            </w:pPr>
            <w:r w:rsidRPr="00432A7F">
              <w:rPr>
                <w:rFonts w:ascii="Calibri" w:eastAsia="Times New Roman" w:hAnsi="Calibri" w:cs="Times New Roman"/>
                <w:bCs/>
                <w:sz w:val="20"/>
                <w:szCs w:val="20"/>
                <w:lang w:eastAsia="pl-PL"/>
              </w:rPr>
              <w:t xml:space="preserve">Stopień realizacji 4/3 (w%) </w:t>
            </w:r>
          </w:p>
        </w:tc>
      </w:tr>
      <w:tr w:rsidR="00432A7F" w:rsidRPr="00432A7F" w:rsidTr="00420098">
        <w:trPr>
          <w:trHeight w:val="360"/>
          <w:tblHeader/>
        </w:trPr>
        <w:tc>
          <w:tcPr>
            <w:tcW w:w="4160" w:type="dxa"/>
            <w:gridSpan w:val="2"/>
            <w:vMerge/>
            <w:tcBorders>
              <w:top w:val="single" w:sz="4" w:space="0" w:color="A6A6A6"/>
              <w:left w:val="single" w:sz="4" w:space="0" w:color="A6A6A6"/>
              <w:bottom w:val="single" w:sz="4" w:space="0" w:color="A6A6A6"/>
              <w:right w:val="single" w:sz="4" w:space="0" w:color="A6A6A6"/>
            </w:tcBorders>
            <w:vAlign w:val="center"/>
            <w:hideMark/>
          </w:tcPr>
          <w:p w:rsidR="00432A7F" w:rsidRPr="00432A7F" w:rsidRDefault="00432A7F" w:rsidP="00432A7F">
            <w:pPr>
              <w:spacing w:after="120"/>
              <w:rPr>
                <w:rFonts w:ascii="Calibri" w:eastAsia="Times New Roman" w:hAnsi="Calibri" w:cs="Times New Roman"/>
                <w:bCs/>
                <w:color w:val="000000"/>
                <w:sz w:val="20"/>
                <w:szCs w:val="20"/>
                <w:lang w:eastAsia="pl-PL"/>
              </w:rPr>
            </w:pPr>
          </w:p>
        </w:tc>
        <w:tc>
          <w:tcPr>
            <w:tcW w:w="2240" w:type="dxa"/>
            <w:gridSpan w:val="2"/>
            <w:tcBorders>
              <w:top w:val="single" w:sz="4" w:space="0" w:color="A6A6A6"/>
              <w:left w:val="nil"/>
              <w:bottom w:val="single" w:sz="4" w:space="0" w:color="A6A6A6"/>
              <w:right w:val="single" w:sz="4" w:space="0" w:color="A6A6A6"/>
            </w:tcBorders>
            <w:shd w:val="clear" w:color="000000" w:fill="DA9694"/>
            <w:vAlign w:val="center"/>
            <w:hideMark/>
          </w:tcPr>
          <w:p w:rsidR="00432A7F" w:rsidRPr="00432A7F" w:rsidRDefault="00432A7F" w:rsidP="00432A7F">
            <w:pPr>
              <w:spacing w:after="120"/>
              <w:jc w:val="center"/>
              <w:rPr>
                <w:rFonts w:ascii="Calibri" w:eastAsia="Times New Roman" w:hAnsi="Calibri" w:cs="Times New Roman"/>
                <w:bCs/>
                <w:color w:val="000000"/>
                <w:sz w:val="20"/>
                <w:szCs w:val="20"/>
                <w:lang w:eastAsia="pl-PL"/>
              </w:rPr>
            </w:pPr>
            <w:r w:rsidRPr="00432A7F">
              <w:rPr>
                <w:rFonts w:ascii="Calibri" w:eastAsia="Times New Roman" w:hAnsi="Calibri" w:cs="Times New Roman"/>
                <w:bCs/>
                <w:color w:val="000000"/>
                <w:sz w:val="20"/>
                <w:szCs w:val="20"/>
                <w:lang w:eastAsia="pl-PL"/>
              </w:rPr>
              <w:t xml:space="preserve">Plan  </w:t>
            </w:r>
          </w:p>
        </w:tc>
        <w:tc>
          <w:tcPr>
            <w:tcW w:w="3360" w:type="dxa"/>
            <w:gridSpan w:val="3"/>
            <w:tcBorders>
              <w:top w:val="single" w:sz="4" w:space="0" w:color="A6A6A6"/>
              <w:left w:val="nil"/>
              <w:bottom w:val="single" w:sz="4" w:space="0" w:color="A6A6A6"/>
              <w:right w:val="single" w:sz="4" w:space="0" w:color="A6A6A6"/>
            </w:tcBorders>
            <w:shd w:val="clear" w:color="000000" w:fill="CE7270"/>
            <w:vAlign w:val="center"/>
            <w:hideMark/>
          </w:tcPr>
          <w:p w:rsidR="00432A7F" w:rsidRPr="00432A7F" w:rsidRDefault="00432A7F" w:rsidP="00432A7F">
            <w:pPr>
              <w:spacing w:after="120"/>
              <w:jc w:val="center"/>
              <w:rPr>
                <w:rFonts w:ascii="Calibri" w:eastAsia="Times New Roman" w:hAnsi="Calibri" w:cs="Times New Roman"/>
                <w:bCs/>
                <w:color w:val="000000"/>
                <w:sz w:val="20"/>
                <w:szCs w:val="20"/>
                <w:lang w:eastAsia="pl-PL"/>
              </w:rPr>
            </w:pPr>
            <w:r w:rsidRPr="00432A7F">
              <w:rPr>
                <w:rFonts w:ascii="Calibri" w:eastAsia="Times New Roman" w:hAnsi="Calibri" w:cs="Times New Roman"/>
                <w:bCs/>
                <w:color w:val="000000"/>
                <w:sz w:val="20"/>
                <w:szCs w:val="20"/>
                <w:lang w:eastAsia="pl-PL"/>
              </w:rPr>
              <w:t>Wykonanie</w:t>
            </w:r>
          </w:p>
        </w:tc>
        <w:tc>
          <w:tcPr>
            <w:tcW w:w="2256" w:type="dxa"/>
            <w:gridSpan w:val="2"/>
            <w:vMerge/>
            <w:tcBorders>
              <w:top w:val="single" w:sz="4" w:space="0" w:color="A6A6A6"/>
              <w:left w:val="single" w:sz="4" w:space="0" w:color="A6A6A6"/>
              <w:bottom w:val="single" w:sz="4" w:space="0" w:color="A6A6A6"/>
              <w:right w:val="single" w:sz="4" w:space="0" w:color="A6A6A6"/>
            </w:tcBorders>
            <w:vAlign w:val="center"/>
            <w:hideMark/>
          </w:tcPr>
          <w:p w:rsidR="00432A7F" w:rsidRPr="00432A7F" w:rsidRDefault="00432A7F" w:rsidP="00432A7F">
            <w:pPr>
              <w:spacing w:after="120"/>
              <w:rPr>
                <w:rFonts w:ascii="Calibri" w:eastAsia="Times New Roman" w:hAnsi="Calibri" w:cs="Times New Roman"/>
                <w:bCs/>
                <w:color w:val="000000"/>
                <w:sz w:val="20"/>
                <w:szCs w:val="20"/>
                <w:lang w:eastAsia="pl-PL"/>
              </w:rPr>
            </w:pPr>
          </w:p>
        </w:tc>
        <w:tc>
          <w:tcPr>
            <w:tcW w:w="1136" w:type="dxa"/>
            <w:vMerge/>
            <w:tcBorders>
              <w:top w:val="single" w:sz="4" w:space="0" w:color="A6A6A6"/>
              <w:left w:val="single" w:sz="4" w:space="0" w:color="A6A6A6"/>
              <w:bottom w:val="single" w:sz="4" w:space="0" w:color="A6A6A6"/>
              <w:right w:val="single" w:sz="4" w:space="0" w:color="A6A6A6"/>
            </w:tcBorders>
            <w:vAlign w:val="center"/>
            <w:hideMark/>
          </w:tcPr>
          <w:p w:rsidR="00432A7F" w:rsidRPr="00432A7F" w:rsidRDefault="00432A7F" w:rsidP="00432A7F">
            <w:pPr>
              <w:spacing w:after="120"/>
              <w:rPr>
                <w:rFonts w:ascii="Calibri" w:eastAsia="Times New Roman" w:hAnsi="Calibri" w:cs="Times New Roman"/>
                <w:bCs/>
                <w:sz w:val="20"/>
                <w:szCs w:val="20"/>
                <w:lang w:eastAsia="pl-PL"/>
              </w:rPr>
            </w:pPr>
          </w:p>
        </w:tc>
      </w:tr>
      <w:tr w:rsidR="00432A7F" w:rsidRPr="00432A7F" w:rsidTr="00420098">
        <w:trPr>
          <w:trHeight w:val="336"/>
          <w:tblHeader/>
        </w:trPr>
        <w:tc>
          <w:tcPr>
            <w:tcW w:w="4160" w:type="dxa"/>
            <w:gridSpan w:val="2"/>
            <w:vMerge/>
            <w:tcBorders>
              <w:top w:val="single" w:sz="4" w:space="0" w:color="A6A6A6"/>
              <w:left w:val="single" w:sz="4" w:space="0" w:color="A6A6A6"/>
              <w:bottom w:val="single" w:sz="4" w:space="0" w:color="A6A6A6"/>
              <w:right w:val="single" w:sz="4" w:space="0" w:color="A6A6A6"/>
            </w:tcBorders>
            <w:vAlign w:val="center"/>
            <w:hideMark/>
          </w:tcPr>
          <w:p w:rsidR="00432A7F" w:rsidRPr="00432A7F" w:rsidRDefault="00432A7F" w:rsidP="00432A7F">
            <w:pPr>
              <w:spacing w:after="120"/>
              <w:rPr>
                <w:rFonts w:ascii="Calibri" w:eastAsia="Times New Roman" w:hAnsi="Calibri" w:cs="Times New Roman"/>
                <w:bCs/>
                <w:color w:val="000000"/>
                <w:sz w:val="20"/>
                <w:szCs w:val="20"/>
                <w:lang w:eastAsia="pl-PL"/>
              </w:rPr>
            </w:pPr>
          </w:p>
        </w:tc>
        <w:tc>
          <w:tcPr>
            <w:tcW w:w="1120" w:type="dxa"/>
            <w:vMerge w:val="restart"/>
            <w:tcBorders>
              <w:top w:val="nil"/>
              <w:left w:val="single" w:sz="4" w:space="0" w:color="A6A6A6"/>
              <w:bottom w:val="single" w:sz="4" w:space="0" w:color="A6A6A6"/>
              <w:right w:val="single" w:sz="4" w:space="0" w:color="A6A6A6"/>
            </w:tcBorders>
            <w:shd w:val="clear" w:color="000000" w:fill="DA9694"/>
            <w:vAlign w:val="center"/>
            <w:hideMark/>
          </w:tcPr>
          <w:p w:rsidR="00432A7F" w:rsidRPr="00432A7F" w:rsidRDefault="00432A7F" w:rsidP="00432A7F">
            <w:pPr>
              <w:spacing w:after="120"/>
              <w:jc w:val="center"/>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wg uchwały RM</w:t>
            </w:r>
          </w:p>
        </w:tc>
        <w:tc>
          <w:tcPr>
            <w:tcW w:w="1120" w:type="dxa"/>
            <w:vMerge w:val="restart"/>
            <w:tcBorders>
              <w:top w:val="nil"/>
              <w:left w:val="single" w:sz="4" w:space="0" w:color="A6A6A6"/>
              <w:bottom w:val="single" w:sz="4" w:space="0" w:color="A6A6A6"/>
              <w:right w:val="single" w:sz="4" w:space="0" w:color="A6A6A6"/>
            </w:tcBorders>
            <w:shd w:val="clear" w:color="000000" w:fill="DA9694"/>
            <w:vAlign w:val="center"/>
            <w:hideMark/>
          </w:tcPr>
          <w:p w:rsidR="00432A7F" w:rsidRPr="00432A7F" w:rsidRDefault="00432A7F" w:rsidP="00432A7F">
            <w:pPr>
              <w:spacing w:after="120"/>
              <w:jc w:val="center"/>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po zmianie</w:t>
            </w:r>
          </w:p>
        </w:tc>
        <w:tc>
          <w:tcPr>
            <w:tcW w:w="1120" w:type="dxa"/>
            <w:vMerge w:val="restart"/>
            <w:tcBorders>
              <w:top w:val="nil"/>
              <w:left w:val="single" w:sz="4" w:space="0" w:color="A6A6A6"/>
              <w:bottom w:val="single" w:sz="4" w:space="0" w:color="A6A6A6"/>
              <w:right w:val="single" w:sz="4" w:space="0" w:color="A6A6A6"/>
            </w:tcBorders>
            <w:shd w:val="clear" w:color="000000" w:fill="CE7270"/>
            <w:vAlign w:val="center"/>
            <w:hideMark/>
          </w:tcPr>
          <w:p w:rsidR="00432A7F" w:rsidRPr="00432A7F" w:rsidRDefault="00432A7F" w:rsidP="00432A7F">
            <w:pPr>
              <w:spacing w:after="120"/>
              <w:jc w:val="center"/>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ogółem</w:t>
            </w:r>
          </w:p>
        </w:tc>
        <w:tc>
          <w:tcPr>
            <w:tcW w:w="2240" w:type="dxa"/>
            <w:gridSpan w:val="2"/>
            <w:tcBorders>
              <w:top w:val="single" w:sz="4" w:space="0" w:color="A6A6A6"/>
              <w:left w:val="nil"/>
              <w:bottom w:val="single" w:sz="4" w:space="0" w:color="A6A6A6"/>
              <w:right w:val="single" w:sz="4" w:space="0" w:color="A6A6A6"/>
            </w:tcBorders>
            <w:shd w:val="clear" w:color="000000" w:fill="CE7270"/>
            <w:vAlign w:val="center"/>
            <w:hideMark/>
          </w:tcPr>
          <w:p w:rsidR="00432A7F" w:rsidRPr="00432A7F" w:rsidRDefault="00432A7F" w:rsidP="00432A7F">
            <w:pPr>
              <w:spacing w:after="120"/>
              <w:jc w:val="center"/>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z tego:</w:t>
            </w:r>
          </w:p>
        </w:tc>
        <w:tc>
          <w:tcPr>
            <w:tcW w:w="2256" w:type="dxa"/>
            <w:gridSpan w:val="2"/>
            <w:vMerge/>
            <w:tcBorders>
              <w:top w:val="single" w:sz="4" w:space="0" w:color="A6A6A6"/>
              <w:left w:val="single" w:sz="4" w:space="0" w:color="A6A6A6"/>
              <w:bottom w:val="single" w:sz="4" w:space="0" w:color="A6A6A6"/>
              <w:right w:val="single" w:sz="4" w:space="0" w:color="A6A6A6"/>
            </w:tcBorders>
            <w:vAlign w:val="center"/>
            <w:hideMark/>
          </w:tcPr>
          <w:p w:rsidR="00432A7F" w:rsidRPr="00432A7F" w:rsidRDefault="00432A7F" w:rsidP="00432A7F">
            <w:pPr>
              <w:spacing w:after="120"/>
              <w:rPr>
                <w:rFonts w:ascii="Calibri" w:eastAsia="Times New Roman" w:hAnsi="Calibri" w:cs="Times New Roman"/>
                <w:bCs/>
                <w:color w:val="000000"/>
                <w:sz w:val="20"/>
                <w:szCs w:val="20"/>
                <w:lang w:eastAsia="pl-PL"/>
              </w:rPr>
            </w:pPr>
          </w:p>
        </w:tc>
        <w:tc>
          <w:tcPr>
            <w:tcW w:w="1136" w:type="dxa"/>
            <w:vMerge/>
            <w:tcBorders>
              <w:top w:val="single" w:sz="4" w:space="0" w:color="A6A6A6"/>
              <w:left w:val="single" w:sz="4" w:space="0" w:color="A6A6A6"/>
              <w:bottom w:val="single" w:sz="4" w:space="0" w:color="A6A6A6"/>
              <w:right w:val="single" w:sz="4" w:space="0" w:color="A6A6A6"/>
            </w:tcBorders>
            <w:vAlign w:val="center"/>
            <w:hideMark/>
          </w:tcPr>
          <w:p w:rsidR="00432A7F" w:rsidRPr="00432A7F" w:rsidRDefault="00432A7F" w:rsidP="00432A7F">
            <w:pPr>
              <w:spacing w:after="120"/>
              <w:rPr>
                <w:rFonts w:ascii="Calibri" w:eastAsia="Times New Roman" w:hAnsi="Calibri" w:cs="Times New Roman"/>
                <w:bCs/>
                <w:sz w:val="20"/>
                <w:szCs w:val="20"/>
                <w:lang w:eastAsia="pl-PL"/>
              </w:rPr>
            </w:pPr>
          </w:p>
        </w:tc>
      </w:tr>
      <w:tr w:rsidR="00432A7F" w:rsidRPr="00432A7F" w:rsidTr="00420098">
        <w:trPr>
          <w:trHeight w:val="804"/>
          <w:tblHeader/>
        </w:trPr>
        <w:tc>
          <w:tcPr>
            <w:tcW w:w="4160" w:type="dxa"/>
            <w:gridSpan w:val="2"/>
            <w:vMerge/>
            <w:tcBorders>
              <w:top w:val="single" w:sz="4" w:space="0" w:color="A6A6A6"/>
              <w:left w:val="single" w:sz="4" w:space="0" w:color="A6A6A6"/>
              <w:bottom w:val="single" w:sz="4" w:space="0" w:color="A6A6A6"/>
              <w:right w:val="single" w:sz="4" w:space="0" w:color="A6A6A6"/>
            </w:tcBorders>
            <w:vAlign w:val="center"/>
            <w:hideMark/>
          </w:tcPr>
          <w:p w:rsidR="00432A7F" w:rsidRPr="00432A7F" w:rsidRDefault="00432A7F" w:rsidP="00432A7F">
            <w:pPr>
              <w:spacing w:after="120"/>
              <w:rPr>
                <w:rFonts w:ascii="Calibri" w:eastAsia="Times New Roman" w:hAnsi="Calibri" w:cs="Times New Roman"/>
                <w:bCs/>
                <w:color w:val="000000"/>
                <w:sz w:val="20"/>
                <w:szCs w:val="20"/>
                <w:lang w:eastAsia="pl-PL"/>
              </w:rPr>
            </w:pPr>
          </w:p>
        </w:tc>
        <w:tc>
          <w:tcPr>
            <w:tcW w:w="1120" w:type="dxa"/>
            <w:vMerge/>
            <w:tcBorders>
              <w:top w:val="nil"/>
              <w:left w:val="single" w:sz="4" w:space="0" w:color="A6A6A6"/>
              <w:bottom w:val="single" w:sz="4" w:space="0" w:color="A6A6A6"/>
              <w:right w:val="single" w:sz="4" w:space="0" w:color="A6A6A6"/>
            </w:tcBorders>
            <w:vAlign w:val="center"/>
            <w:hideMark/>
          </w:tcPr>
          <w:p w:rsidR="00432A7F" w:rsidRPr="00432A7F" w:rsidRDefault="00432A7F" w:rsidP="00432A7F">
            <w:pPr>
              <w:spacing w:after="120"/>
              <w:rPr>
                <w:rFonts w:ascii="Calibri" w:eastAsia="Times New Roman" w:hAnsi="Calibri" w:cs="Times New Roman"/>
                <w:color w:val="000000"/>
                <w:sz w:val="20"/>
                <w:szCs w:val="20"/>
                <w:lang w:eastAsia="pl-PL"/>
              </w:rPr>
            </w:pPr>
          </w:p>
        </w:tc>
        <w:tc>
          <w:tcPr>
            <w:tcW w:w="1120" w:type="dxa"/>
            <w:vMerge/>
            <w:tcBorders>
              <w:top w:val="nil"/>
              <w:left w:val="single" w:sz="4" w:space="0" w:color="A6A6A6"/>
              <w:bottom w:val="single" w:sz="4" w:space="0" w:color="A6A6A6"/>
              <w:right w:val="single" w:sz="4" w:space="0" w:color="A6A6A6"/>
            </w:tcBorders>
            <w:vAlign w:val="center"/>
            <w:hideMark/>
          </w:tcPr>
          <w:p w:rsidR="00432A7F" w:rsidRPr="00432A7F" w:rsidRDefault="00432A7F" w:rsidP="00432A7F">
            <w:pPr>
              <w:spacing w:after="120"/>
              <w:rPr>
                <w:rFonts w:ascii="Calibri" w:eastAsia="Times New Roman" w:hAnsi="Calibri" w:cs="Times New Roman"/>
                <w:color w:val="000000"/>
                <w:sz w:val="20"/>
                <w:szCs w:val="20"/>
                <w:lang w:eastAsia="pl-PL"/>
              </w:rPr>
            </w:pPr>
          </w:p>
        </w:tc>
        <w:tc>
          <w:tcPr>
            <w:tcW w:w="1120" w:type="dxa"/>
            <w:vMerge/>
            <w:tcBorders>
              <w:top w:val="nil"/>
              <w:left w:val="single" w:sz="4" w:space="0" w:color="A6A6A6"/>
              <w:bottom w:val="single" w:sz="4" w:space="0" w:color="A6A6A6"/>
              <w:right w:val="single" w:sz="4" w:space="0" w:color="A6A6A6"/>
            </w:tcBorders>
            <w:vAlign w:val="center"/>
            <w:hideMark/>
          </w:tcPr>
          <w:p w:rsidR="00432A7F" w:rsidRPr="00432A7F" w:rsidRDefault="00432A7F" w:rsidP="00432A7F">
            <w:pPr>
              <w:spacing w:after="120"/>
              <w:rPr>
                <w:rFonts w:ascii="Calibri" w:eastAsia="Times New Roman" w:hAnsi="Calibri" w:cs="Times New Roman"/>
                <w:color w:val="000000"/>
                <w:sz w:val="20"/>
                <w:szCs w:val="20"/>
                <w:lang w:eastAsia="pl-PL"/>
              </w:rPr>
            </w:pPr>
          </w:p>
        </w:tc>
        <w:tc>
          <w:tcPr>
            <w:tcW w:w="1120" w:type="dxa"/>
            <w:tcBorders>
              <w:top w:val="nil"/>
              <w:left w:val="nil"/>
              <w:bottom w:val="single" w:sz="4" w:space="0" w:color="A6A6A6"/>
              <w:right w:val="single" w:sz="4" w:space="0" w:color="A6A6A6"/>
            </w:tcBorders>
            <w:shd w:val="clear" w:color="000000" w:fill="CE7270"/>
            <w:vAlign w:val="center"/>
            <w:hideMark/>
          </w:tcPr>
          <w:p w:rsidR="00432A7F" w:rsidRPr="00432A7F" w:rsidRDefault="00432A7F" w:rsidP="00432A7F">
            <w:pPr>
              <w:spacing w:after="120"/>
              <w:jc w:val="center"/>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wydatki bieżące</w:t>
            </w:r>
          </w:p>
        </w:tc>
        <w:tc>
          <w:tcPr>
            <w:tcW w:w="1120" w:type="dxa"/>
            <w:tcBorders>
              <w:top w:val="nil"/>
              <w:left w:val="nil"/>
              <w:bottom w:val="single" w:sz="4" w:space="0" w:color="A6A6A6"/>
              <w:right w:val="single" w:sz="4" w:space="0" w:color="A6A6A6"/>
            </w:tcBorders>
            <w:shd w:val="clear" w:color="000000" w:fill="CE7270"/>
            <w:vAlign w:val="center"/>
            <w:hideMark/>
          </w:tcPr>
          <w:p w:rsidR="00432A7F" w:rsidRPr="00432A7F" w:rsidRDefault="00432A7F" w:rsidP="00432A7F">
            <w:pPr>
              <w:spacing w:after="120"/>
              <w:jc w:val="center"/>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wydatki</w:t>
            </w:r>
            <w:r w:rsidRPr="00432A7F">
              <w:rPr>
                <w:rFonts w:ascii="Calibri" w:eastAsia="Times New Roman" w:hAnsi="Calibri" w:cs="Times New Roman"/>
                <w:color w:val="000000"/>
                <w:sz w:val="20"/>
                <w:szCs w:val="20"/>
                <w:lang w:eastAsia="pl-PL"/>
              </w:rPr>
              <w:br/>
              <w:t>majątkowe</w:t>
            </w:r>
          </w:p>
        </w:tc>
        <w:tc>
          <w:tcPr>
            <w:tcW w:w="1120" w:type="dxa"/>
            <w:tcBorders>
              <w:top w:val="nil"/>
              <w:left w:val="nil"/>
              <w:bottom w:val="single" w:sz="4" w:space="0" w:color="A6A6A6"/>
              <w:right w:val="single" w:sz="4" w:space="0" w:color="A6A6A6"/>
            </w:tcBorders>
            <w:shd w:val="clear" w:color="auto" w:fill="auto"/>
            <w:vAlign w:val="center"/>
            <w:hideMark/>
          </w:tcPr>
          <w:p w:rsidR="00432A7F" w:rsidRPr="00432A7F" w:rsidRDefault="00432A7F" w:rsidP="00432A7F">
            <w:pPr>
              <w:spacing w:after="120"/>
              <w:jc w:val="center"/>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Plan (wg</w:t>
            </w:r>
            <w:r w:rsidRPr="00432A7F">
              <w:rPr>
                <w:rFonts w:ascii="Calibri" w:eastAsia="Times New Roman" w:hAnsi="Calibri" w:cs="Times New Roman"/>
                <w:color w:val="000000"/>
                <w:sz w:val="20"/>
                <w:szCs w:val="20"/>
                <w:lang w:eastAsia="pl-PL"/>
              </w:rPr>
              <w:br/>
              <w:t>uchwały RM)</w:t>
            </w:r>
          </w:p>
        </w:tc>
        <w:tc>
          <w:tcPr>
            <w:tcW w:w="1136" w:type="dxa"/>
            <w:tcBorders>
              <w:top w:val="nil"/>
              <w:left w:val="nil"/>
              <w:bottom w:val="single" w:sz="4" w:space="0" w:color="A6A6A6"/>
              <w:right w:val="single" w:sz="4" w:space="0" w:color="A6A6A6"/>
            </w:tcBorders>
            <w:shd w:val="clear" w:color="auto" w:fill="auto"/>
            <w:vAlign w:val="center"/>
            <w:hideMark/>
          </w:tcPr>
          <w:p w:rsidR="00432A7F" w:rsidRPr="00432A7F" w:rsidRDefault="00432A7F" w:rsidP="00432A7F">
            <w:pPr>
              <w:spacing w:after="120"/>
              <w:jc w:val="center"/>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Wykonanie</w:t>
            </w:r>
          </w:p>
        </w:tc>
        <w:tc>
          <w:tcPr>
            <w:tcW w:w="1136" w:type="dxa"/>
            <w:vMerge/>
            <w:tcBorders>
              <w:top w:val="single" w:sz="4" w:space="0" w:color="A6A6A6"/>
              <w:left w:val="single" w:sz="4" w:space="0" w:color="A6A6A6"/>
              <w:bottom w:val="single" w:sz="4" w:space="0" w:color="A6A6A6"/>
              <w:right w:val="single" w:sz="4" w:space="0" w:color="A6A6A6"/>
            </w:tcBorders>
            <w:vAlign w:val="center"/>
            <w:hideMark/>
          </w:tcPr>
          <w:p w:rsidR="00432A7F" w:rsidRPr="00432A7F" w:rsidRDefault="00432A7F" w:rsidP="00432A7F">
            <w:pPr>
              <w:spacing w:after="120"/>
              <w:rPr>
                <w:rFonts w:ascii="Calibri" w:eastAsia="Times New Roman" w:hAnsi="Calibri" w:cs="Times New Roman"/>
                <w:bCs/>
                <w:sz w:val="20"/>
                <w:szCs w:val="20"/>
                <w:lang w:eastAsia="pl-PL"/>
              </w:rPr>
            </w:pPr>
          </w:p>
        </w:tc>
      </w:tr>
      <w:tr w:rsidR="00432A7F" w:rsidRPr="00432A7F" w:rsidTr="00420098">
        <w:trPr>
          <w:trHeight w:val="276"/>
          <w:tblHeader/>
        </w:trPr>
        <w:tc>
          <w:tcPr>
            <w:tcW w:w="416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432A7F" w:rsidRPr="00432A7F" w:rsidRDefault="00432A7F" w:rsidP="00432A7F">
            <w:pPr>
              <w:spacing w:after="120"/>
              <w:jc w:val="center"/>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1</w:t>
            </w:r>
          </w:p>
        </w:tc>
        <w:tc>
          <w:tcPr>
            <w:tcW w:w="1120" w:type="dxa"/>
            <w:tcBorders>
              <w:top w:val="nil"/>
              <w:left w:val="nil"/>
              <w:bottom w:val="single" w:sz="4" w:space="0" w:color="A6A6A6"/>
              <w:right w:val="single" w:sz="4" w:space="0" w:color="A6A6A6"/>
            </w:tcBorders>
            <w:shd w:val="clear" w:color="auto" w:fill="auto"/>
            <w:vAlign w:val="center"/>
            <w:hideMark/>
          </w:tcPr>
          <w:p w:rsidR="00432A7F" w:rsidRPr="00432A7F" w:rsidRDefault="00432A7F" w:rsidP="00432A7F">
            <w:pPr>
              <w:spacing w:after="120"/>
              <w:jc w:val="center"/>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2</w:t>
            </w:r>
          </w:p>
        </w:tc>
        <w:tc>
          <w:tcPr>
            <w:tcW w:w="1120" w:type="dxa"/>
            <w:tcBorders>
              <w:top w:val="nil"/>
              <w:left w:val="nil"/>
              <w:bottom w:val="single" w:sz="4" w:space="0" w:color="A6A6A6"/>
              <w:right w:val="single" w:sz="4" w:space="0" w:color="A6A6A6"/>
            </w:tcBorders>
            <w:shd w:val="clear" w:color="auto" w:fill="auto"/>
            <w:vAlign w:val="center"/>
            <w:hideMark/>
          </w:tcPr>
          <w:p w:rsidR="00432A7F" w:rsidRPr="00432A7F" w:rsidRDefault="00432A7F" w:rsidP="00432A7F">
            <w:pPr>
              <w:spacing w:after="120"/>
              <w:jc w:val="center"/>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3</w:t>
            </w:r>
          </w:p>
        </w:tc>
        <w:tc>
          <w:tcPr>
            <w:tcW w:w="1120" w:type="dxa"/>
            <w:tcBorders>
              <w:top w:val="nil"/>
              <w:left w:val="nil"/>
              <w:bottom w:val="single" w:sz="4" w:space="0" w:color="A6A6A6"/>
              <w:right w:val="single" w:sz="4" w:space="0" w:color="A6A6A6"/>
            </w:tcBorders>
            <w:shd w:val="clear" w:color="auto" w:fill="auto"/>
            <w:vAlign w:val="center"/>
            <w:hideMark/>
          </w:tcPr>
          <w:p w:rsidR="00432A7F" w:rsidRPr="00432A7F" w:rsidRDefault="00432A7F" w:rsidP="00432A7F">
            <w:pPr>
              <w:spacing w:after="120"/>
              <w:jc w:val="center"/>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4</w:t>
            </w:r>
          </w:p>
        </w:tc>
        <w:tc>
          <w:tcPr>
            <w:tcW w:w="1120" w:type="dxa"/>
            <w:tcBorders>
              <w:top w:val="nil"/>
              <w:left w:val="nil"/>
              <w:bottom w:val="single" w:sz="4" w:space="0" w:color="A6A6A6"/>
              <w:right w:val="single" w:sz="4" w:space="0" w:color="A6A6A6"/>
            </w:tcBorders>
            <w:shd w:val="clear" w:color="auto" w:fill="auto"/>
            <w:vAlign w:val="center"/>
            <w:hideMark/>
          </w:tcPr>
          <w:p w:rsidR="00432A7F" w:rsidRPr="00432A7F" w:rsidRDefault="00432A7F" w:rsidP="00432A7F">
            <w:pPr>
              <w:spacing w:after="120"/>
              <w:jc w:val="center"/>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5</w:t>
            </w:r>
          </w:p>
        </w:tc>
        <w:tc>
          <w:tcPr>
            <w:tcW w:w="1120" w:type="dxa"/>
            <w:tcBorders>
              <w:top w:val="nil"/>
              <w:left w:val="nil"/>
              <w:bottom w:val="single" w:sz="4" w:space="0" w:color="A6A6A6"/>
              <w:right w:val="single" w:sz="4" w:space="0" w:color="A6A6A6"/>
            </w:tcBorders>
            <w:shd w:val="clear" w:color="auto" w:fill="auto"/>
            <w:vAlign w:val="center"/>
            <w:hideMark/>
          </w:tcPr>
          <w:p w:rsidR="00432A7F" w:rsidRPr="00432A7F" w:rsidRDefault="00432A7F" w:rsidP="00432A7F">
            <w:pPr>
              <w:spacing w:after="120"/>
              <w:jc w:val="center"/>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6</w:t>
            </w:r>
          </w:p>
        </w:tc>
        <w:tc>
          <w:tcPr>
            <w:tcW w:w="1120" w:type="dxa"/>
            <w:tcBorders>
              <w:top w:val="nil"/>
              <w:left w:val="nil"/>
              <w:bottom w:val="single" w:sz="4" w:space="0" w:color="A6A6A6"/>
              <w:right w:val="single" w:sz="4" w:space="0" w:color="A6A6A6"/>
            </w:tcBorders>
            <w:shd w:val="clear" w:color="auto" w:fill="auto"/>
            <w:vAlign w:val="center"/>
            <w:hideMark/>
          </w:tcPr>
          <w:p w:rsidR="00432A7F" w:rsidRPr="00432A7F" w:rsidRDefault="00432A7F" w:rsidP="00432A7F">
            <w:pPr>
              <w:spacing w:after="120"/>
              <w:jc w:val="center"/>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7</w:t>
            </w:r>
          </w:p>
        </w:tc>
        <w:tc>
          <w:tcPr>
            <w:tcW w:w="1136" w:type="dxa"/>
            <w:tcBorders>
              <w:top w:val="nil"/>
              <w:left w:val="nil"/>
              <w:bottom w:val="single" w:sz="4" w:space="0" w:color="A6A6A6"/>
              <w:right w:val="single" w:sz="4" w:space="0" w:color="A6A6A6"/>
            </w:tcBorders>
            <w:shd w:val="clear" w:color="auto" w:fill="auto"/>
            <w:vAlign w:val="center"/>
            <w:hideMark/>
          </w:tcPr>
          <w:p w:rsidR="00432A7F" w:rsidRPr="00432A7F" w:rsidRDefault="00432A7F" w:rsidP="00432A7F">
            <w:pPr>
              <w:spacing w:after="120"/>
              <w:jc w:val="center"/>
              <w:rPr>
                <w:rFonts w:ascii="Calibri" w:eastAsia="Times New Roman" w:hAnsi="Calibri" w:cs="Times New Roman"/>
                <w:sz w:val="20"/>
                <w:szCs w:val="20"/>
                <w:lang w:eastAsia="pl-PL"/>
              </w:rPr>
            </w:pPr>
            <w:r w:rsidRPr="00432A7F">
              <w:rPr>
                <w:rFonts w:ascii="Calibri" w:eastAsia="Times New Roman" w:hAnsi="Calibri" w:cs="Times New Roman"/>
                <w:sz w:val="20"/>
                <w:szCs w:val="20"/>
                <w:lang w:eastAsia="pl-PL"/>
              </w:rPr>
              <w:t>8</w:t>
            </w:r>
          </w:p>
        </w:tc>
        <w:tc>
          <w:tcPr>
            <w:tcW w:w="1136"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center"/>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9</w:t>
            </w:r>
          </w:p>
        </w:tc>
      </w:tr>
      <w:tr w:rsidR="00432A7F" w:rsidRPr="00432A7F" w:rsidTr="00420098">
        <w:trPr>
          <w:trHeight w:val="432"/>
        </w:trPr>
        <w:tc>
          <w:tcPr>
            <w:tcW w:w="4160" w:type="dxa"/>
            <w:gridSpan w:val="2"/>
            <w:tcBorders>
              <w:top w:val="single" w:sz="4" w:space="0" w:color="A6A6A6"/>
              <w:left w:val="single" w:sz="4" w:space="0" w:color="A6A6A6"/>
              <w:bottom w:val="single" w:sz="4" w:space="0" w:color="A6A6A6"/>
              <w:right w:val="single" w:sz="4" w:space="0" w:color="A6A6A6"/>
            </w:tcBorders>
            <w:shd w:val="clear" w:color="000000" w:fill="8DB4E2"/>
            <w:vAlign w:val="center"/>
            <w:hideMark/>
          </w:tcPr>
          <w:p w:rsidR="00432A7F" w:rsidRPr="00432A7F" w:rsidRDefault="00432A7F" w:rsidP="00432A7F">
            <w:pPr>
              <w:spacing w:after="120"/>
              <w:rPr>
                <w:rFonts w:ascii="Calibri" w:eastAsia="Times New Roman" w:hAnsi="Calibri" w:cs="Times New Roman"/>
                <w:bCs/>
                <w:lang w:eastAsia="pl-PL"/>
              </w:rPr>
            </w:pPr>
            <w:r w:rsidRPr="00432A7F">
              <w:rPr>
                <w:rFonts w:ascii="Calibri" w:eastAsia="Times New Roman" w:hAnsi="Calibri" w:cs="Times New Roman"/>
                <w:bCs/>
                <w:lang w:eastAsia="pl-PL"/>
              </w:rPr>
              <w:t>RAZEM</w:t>
            </w:r>
          </w:p>
        </w:tc>
        <w:tc>
          <w:tcPr>
            <w:tcW w:w="1120" w:type="dxa"/>
            <w:tcBorders>
              <w:top w:val="nil"/>
              <w:left w:val="nil"/>
              <w:bottom w:val="single" w:sz="4" w:space="0" w:color="A6A6A6"/>
              <w:right w:val="single" w:sz="4" w:space="0" w:color="A6A6A6"/>
            </w:tcBorders>
            <w:shd w:val="clear" w:color="000000" w:fill="8DB4E2"/>
            <w:noWrap/>
            <w:vAlign w:val="center"/>
            <w:hideMark/>
          </w:tcPr>
          <w:p w:rsidR="00432A7F" w:rsidRPr="00432A7F" w:rsidRDefault="00432A7F" w:rsidP="00432A7F">
            <w:pPr>
              <w:spacing w:after="120"/>
              <w:jc w:val="right"/>
              <w:rPr>
                <w:rFonts w:ascii="Calibri" w:eastAsia="Times New Roman" w:hAnsi="Calibri" w:cs="Times New Roman"/>
                <w:bCs/>
                <w:lang w:eastAsia="pl-PL"/>
              </w:rPr>
            </w:pPr>
            <w:r w:rsidRPr="00432A7F">
              <w:rPr>
                <w:rFonts w:ascii="Calibri" w:eastAsia="Times New Roman" w:hAnsi="Calibri" w:cs="Times New Roman"/>
                <w:bCs/>
                <w:lang w:eastAsia="pl-PL"/>
              </w:rPr>
              <w:t>70 000,0</w:t>
            </w:r>
          </w:p>
        </w:tc>
        <w:tc>
          <w:tcPr>
            <w:tcW w:w="1120" w:type="dxa"/>
            <w:tcBorders>
              <w:top w:val="nil"/>
              <w:left w:val="nil"/>
              <w:bottom w:val="single" w:sz="4" w:space="0" w:color="A6A6A6"/>
              <w:right w:val="single" w:sz="4" w:space="0" w:color="A6A6A6"/>
            </w:tcBorders>
            <w:shd w:val="clear" w:color="000000" w:fill="8DB4E2"/>
            <w:noWrap/>
            <w:vAlign w:val="center"/>
            <w:hideMark/>
          </w:tcPr>
          <w:p w:rsidR="00432A7F" w:rsidRPr="00432A7F" w:rsidRDefault="00432A7F" w:rsidP="00432A7F">
            <w:pPr>
              <w:spacing w:after="120"/>
              <w:jc w:val="right"/>
              <w:rPr>
                <w:rFonts w:ascii="Calibri" w:eastAsia="Times New Roman" w:hAnsi="Calibri" w:cs="Times New Roman"/>
                <w:bCs/>
                <w:lang w:eastAsia="pl-PL"/>
              </w:rPr>
            </w:pPr>
            <w:r w:rsidRPr="00432A7F">
              <w:rPr>
                <w:rFonts w:ascii="Calibri" w:eastAsia="Times New Roman" w:hAnsi="Calibri" w:cs="Times New Roman"/>
                <w:bCs/>
                <w:lang w:eastAsia="pl-PL"/>
              </w:rPr>
              <w:t xml:space="preserve">70 000,0 </w:t>
            </w:r>
          </w:p>
        </w:tc>
        <w:tc>
          <w:tcPr>
            <w:tcW w:w="1120" w:type="dxa"/>
            <w:tcBorders>
              <w:top w:val="nil"/>
              <w:left w:val="nil"/>
              <w:bottom w:val="single" w:sz="4" w:space="0" w:color="A6A6A6"/>
              <w:right w:val="single" w:sz="4" w:space="0" w:color="A6A6A6"/>
            </w:tcBorders>
            <w:shd w:val="clear" w:color="000000" w:fill="8DB4E2"/>
            <w:noWrap/>
            <w:vAlign w:val="center"/>
            <w:hideMark/>
          </w:tcPr>
          <w:p w:rsidR="00432A7F" w:rsidRPr="00432A7F" w:rsidRDefault="00432A7F" w:rsidP="00432A7F">
            <w:pPr>
              <w:spacing w:after="120"/>
              <w:jc w:val="right"/>
              <w:rPr>
                <w:rFonts w:ascii="Calibri" w:eastAsia="Times New Roman" w:hAnsi="Calibri" w:cs="Times New Roman"/>
                <w:bCs/>
                <w:lang w:eastAsia="pl-PL"/>
              </w:rPr>
            </w:pPr>
            <w:r w:rsidRPr="00432A7F">
              <w:rPr>
                <w:rFonts w:ascii="Calibri" w:eastAsia="Times New Roman" w:hAnsi="Calibri" w:cs="Times New Roman"/>
                <w:bCs/>
                <w:lang w:eastAsia="pl-PL"/>
              </w:rPr>
              <w:t>66 125,0</w:t>
            </w:r>
          </w:p>
        </w:tc>
        <w:tc>
          <w:tcPr>
            <w:tcW w:w="1120" w:type="dxa"/>
            <w:tcBorders>
              <w:top w:val="nil"/>
              <w:left w:val="nil"/>
              <w:bottom w:val="single" w:sz="4" w:space="0" w:color="A6A6A6"/>
              <w:right w:val="single" w:sz="4" w:space="0" w:color="A6A6A6"/>
            </w:tcBorders>
            <w:shd w:val="clear" w:color="000000" w:fill="8DB4E2"/>
            <w:noWrap/>
            <w:vAlign w:val="center"/>
            <w:hideMark/>
          </w:tcPr>
          <w:p w:rsidR="00432A7F" w:rsidRPr="00432A7F" w:rsidRDefault="00432A7F" w:rsidP="00432A7F">
            <w:pPr>
              <w:spacing w:after="120"/>
              <w:jc w:val="right"/>
              <w:rPr>
                <w:rFonts w:ascii="Calibri" w:eastAsia="Times New Roman" w:hAnsi="Calibri" w:cs="Times New Roman"/>
                <w:bCs/>
                <w:lang w:eastAsia="pl-PL"/>
              </w:rPr>
            </w:pPr>
            <w:r w:rsidRPr="00432A7F">
              <w:rPr>
                <w:rFonts w:ascii="Calibri" w:eastAsia="Times New Roman" w:hAnsi="Calibri" w:cs="Times New Roman"/>
                <w:bCs/>
                <w:lang w:eastAsia="pl-PL"/>
              </w:rPr>
              <w:t>57 462,5</w:t>
            </w:r>
          </w:p>
        </w:tc>
        <w:tc>
          <w:tcPr>
            <w:tcW w:w="1120" w:type="dxa"/>
            <w:tcBorders>
              <w:top w:val="nil"/>
              <w:left w:val="nil"/>
              <w:bottom w:val="single" w:sz="4" w:space="0" w:color="A6A6A6"/>
              <w:right w:val="single" w:sz="4" w:space="0" w:color="A6A6A6"/>
            </w:tcBorders>
            <w:shd w:val="clear" w:color="000000" w:fill="8DB4E2"/>
            <w:noWrap/>
            <w:vAlign w:val="center"/>
            <w:hideMark/>
          </w:tcPr>
          <w:p w:rsidR="00432A7F" w:rsidRPr="00432A7F" w:rsidRDefault="00432A7F" w:rsidP="00432A7F">
            <w:pPr>
              <w:spacing w:after="120"/>
              <w:jc w:val="right"/>
              <w:rPr>
                <w:rFonts w:ascii="Calibri" w:eastAsia="Times New Roman" w:hAnsi="Calibri" w:cs="Times New Roman"/>
                <w:bCs/>
                <w:lang w:eastAsia="pl-PL"/>
              </w:rPr>
            </w:pPr>
            <w:r w:rsidRPr="00432A7F">
              <w:rPr>
                <w:rFonts w:ascii="Calibri" w:eastAsia="Times New Roman" w:hAnsi="Calibri" w:cs="Times New Roman"/>
                <w:bCs/>
                <w:lang w:eastAsia="pl-PL"/>
              </w:rPr>
              <w:t>8 662,5</w:t>
            </w:r>
          </w:p>
        </w:tc>
        <w:tc>
          <w:tcPr>
            <w:tcW w:w="1120" w:type="dxa"/>
            <w:tcBorders>
              <w:top w:val="nil"/>
              <w:left w:val="nil"/>
              <w:bottom w:val="single" w:sz="4" w:space="0" w:color="A6A6A6"/>
              <w:right w:val="single" w:sz="4" w:space="0" w:color="A6A6A6"/>
            </w:tcBorders>
            <w:shd w:val="clear" w:color="000000" w:fill="8DB4E2"/>
            <w:noWrap/>
            <w:vAlign w:val="center"/>
            <w:hideMark/>
          </w:tcPr>
          <w:p w:rsidR="00432A7F" w:rsidRPr="00432A7F" w:rsidRDefault="00432A7F" w:rsidP="00432A7F">
            <w:pPr>
              <w:spacing w:after="120"/>
              <w:jc w:val="right"/>
              <w:rPr>
                <w:rFonts w:ascii="Calibri" w:eastAsia="Times New Roman" w:hAnsi="Calibri" w:cs="Times New Roman"/>
                <w:bCs/>
                <w:lang w:eastAsia="pl-PL"/>
              </w:rPr>
            </w:pPr>
            <w:r w:rsidRPr="00432A7F">
              <w:rPr>
                <w:rFonts w:ascii="Calibri" w:eastAsia="Times New Roman" w:hAnsi="Calibri" w:cs="Times New Roman"/>
                <w:bCs/>
                <w:lang w:eastAsia="pl-PL"/>
              </w:rPr>
              <w:t>60 248,0</w:t>
            </w:r>
          </w:p>
        </w:tc>
        <w:tc>
          <w:tcPr>
            <w:tcW w:w="1136" w:type="dxa"/>
            <w:tcBorders>
              <w:top w:val="nil"/>
              <w:left w:val="nil"/>
              <w:bottom w:val="single" w:sz="4" w:space="0" w:color="A6A6A6"/>
              <w:right w:val="single" w:sz="4" w:space="0" w:color="A6A6A6"/>
            </w:tcBorders>
            <w:shd w:val="clear" w:color="000000" w:fill="8DB4E2"/>
            <w:noWrap/>
            <w:vAlign w:val="center"/>
            <w:hideMark/>
          </w:tcPr>
          <w:p w:rsidR="00432A7F" w:rsidRPr="00432A7F" w:rsidRDefault="00432A7F" w:rsidP="00432A7F">
            <w:pPr>
              <w:spacing w:after="120"/>
              <w:jc w:val="right"/>
              <w:rPr>
                <w:rFonts w:ascii="Calibri" w:eastAsia="Times New Roman" w:hAnsi="Calibri" w:cs="Times New Roman"/>
                <w:bCs/>
                <w:lang w:eastAsia="pl-PL"/>
              </w:rPr>
            </w:pPr>
            <w:r w:rsidRPr="00432A7F">
              <w:rPr>
                <w:rFonts w:ascii="Calibri" w:eastAsia="Times New Roman" w:hAnsi="Calibri" w:cs="Times New Roman"/>
                <w:bCs/>
                <w:lang w:eastAsia="pl-PL"/>
              </w:rPr>
              <w:t>63 062,7</w:t>
            </w:r>
          </w:p>
        </w:tc>
        <w:tc>
          <w:tcPr>
            <w:tcW w:w="1136" w:type="dxa"/>
            <w:tcBorders>
              <w:top w:val="nil"/>
              <w:left w:val="nil"/>
              <w:bottom w:val="single" w:sz="4" w:space="0" w:color="A6A6A6"/>
              <w:right w:val="single" w:sz="4" w:space="0" w:color="A6A6A6"/>
            </w:tcBorders>
            <w:shd w:val="clear" w:color="000000" w:fill="8DB4E2"/>
            <w:noWrap/>
            <w:vAlign w:val="center"/>
            <w:hideMark/>
          </w:tcPr>
          <w:p w:rsidR="00432A7F" w:rsidRPr="00432A7F" w:rsidRDefault="00432A7F" w:rsidP="00432A7F">
            <w:pPr>
              <w:spacing w:after="120"/>
              <w:jc w:val="right"/>
              <w:rPr>
                <w:rFonts w:ascii="Calibri" w:eastAsia="Times New Roman" w:hAnsi="Calibri" w:cs="Times New Roman"/>
                <w:bCs/>
                <w:lang w:eastAsia="pl-PL"/>
              </w:rPr>
            </w:pPr>
            <w:r w:rsidRPr="00432A7F">
              <w:rPr>
                <w:rFonts w:ascii="Calibri" w:eastAsia="Times New Roman" w:hAnsi="Calibri" w:cs="Times New Roman"/>
                <w:bCs/>
                <w:lang w:eastAsia="pl-PL"/>
              </w:rPr>
              <w:t>94,5%</w:t>
            </w:r>
          </w:p>
        </w:tc>
      </w:tr>
      <w:tr w:rsidR="00432A7F" w:rsidRPr="00432A7F" w:rsidTr="00420098">
        <w:trPr>
          <w:trHeight w:val="672"/>
        </w:trPr>
        <w:tc>
          <w:tcPr>
            <w:tcW w:w="960" w:type="dxa"/>
            <w:vMerge w:val="restart"/>
            <w:tcBorders>
              <w:top w:val="nil"/>
              <w:left w:val="single" w:sz="4" w:space="0" w:color="A6A6A6"/>
              <w:bottom w:val="single" w:sz="4" w:space="0" w:color="A6A6A6"/>
              <w:right w:val="single" w:sz="4" w:space="0" w:color="A6A6A6"/>
            </w:tcBorders>
            <w:shd w:val="clear" w:color="000000" w:fill="E4DFEC"/>
            <w:vAlign w:val="center"/>
            <w:hideMark/>
          </w:tcPr>
          <w:p w:rsidR="00432A7F" w:rsidRPr="00432A7F" w:rsidRDefault="00432A7F" w:rsidP="00432A7F">
            <w:pPr>
              <w:spacing w:after="120"/>
              <w:jc w:val="center"/>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Priorytet 1</w:t>
            </w:r>
          </w:p>
        </w:tc>
        <w:tc>
          <w:tcPr>
            <w:tcW w:w="3200" w:type="dxa"/>
            <w:tcBorders>
              <w:top w:val="nil"/>
              <w:left w:val="nil"/>
              <w:bottom w:val="single" w:sz="4" w:space="0" w:color="A6A6A6"/>
              <w:right w:val="single" w:sz="4" w:space="0" w:color="A6A6A6"/>
            </w:tcBorders>
            <w:shd w:val="clear" w:color="000000" w:fill="E4DFEC"/>
            <w:vAlign w:val="center"/>
            <w:hideMark/>
          </w:tcPr>
          <w:p w:rsidR="00432A7F" w:rsidRPr="00432A7F" w:rsidRDefault="00432A7F" w:rsidP="00432A7F">
            <w:pPr>
              <w:spacing w:after="120"/>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K.I. 1.1. Zakup i zdalny dostęp do nowości wydawniczych</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26 000,0</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C00000"/>
                <w:sz w:val="20"/>
                <w:szCs w:val="20"/>
                <w:lang w:eastAsia="pl-PL"/>
              </w:rPr>
            </w:pPr>
            <w:r w:rsidRPr="00432A7F">
              <w:rPr>
                <w:rFonts w:ascii="Calibri" w:eastAsia="Times New Roman" w:hAnsi="Calibri" w:cs="Times New Roman"/>
                <w:color w:val="C00000"/>
                <w:sz w:val="20"/>
                <w:szCs w:val="20"/>
                <w:lang w:eastAsia="pl-PL"/>
              </w:rPr>
              <w:t>26 000,0</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632523"/>
                <w:sz w:val="20"/>
                <w:szCs w:val="20"/>
                <w:lang w:eastAsia="pl-PL"/>
              </w:rPr>
            </w:pPr>
            <w:r w:rsidRPr="00432A7F">
              <w:rPr>
                <w:rFonts w:ascii="Calibri" w:eastAsia="Times New Roman" w:hAnsi="Calibri" w:cs="Times New Roman"/>
                <w:color w:val="632523"/>
                <w:sz w:val="20"/>
                <w:szCs w:val="20"/>
                <w:lang w:eastAsia="pl-PL"/>
              </w:rPr>
              <w:t>25 897,0</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sz w:val="20"/>
                <w:szCs w:val="20"/>
                <w:lang w:eastAsia="pl-PL"/>
              </w:rPr>
            </w:pPr>
            <w:r w:rsidRPr="00432A7F">
              <w:rPr>
                <w:rFonts w:ascii="Calibri" w:eastAsia="Times New Roman" w:hAnsi="Calibri" w:cs="Times New Roman"/>
                <w:sz w:val="20"/>
                <w:szCs w:val="20"/>
                <w:lang w:eastAsia="pl-PL"/>
              </w:rPr>
              <w:t>25 897,0</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n.d.</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50 872,0</w:t>
            </w:r>
          </w:p>
        </w:tc>
        <w:tc>
          <w:tcPr>
            <w:tcW w:w="1136"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 xml:space="preserve">61 067,7  </w:t>
            </w:r>
          </w:p>
        </w:tc>
        <w:tc>
          <w:tcPr>
            <w:tcW w:w="1136"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99,6%</w:t>
            </w:r>
          </w:p>
        </w:tc>
      </w:tr>
      <w:tr w:rsidR="00432A7F" w:rsidRPr="00432A7F" w:rsidTr="00420098">
        <w:trPr>
          <w:trHeight w:val="1152"/>
        </w:trPr>
        <w:tc>
          <w:tcPr>
            <w:tcW w:w="960" w:type="dxa"/>
            <w:vMerge/>
            <w:tcBorders>
              <w:top w:val="nil"/>
              <w:left w:val="single" w:sz="4" w:space="0" w:color="A6A6A6"/>
              <w:bottom w:val="single" w:sz="4" w:space="0" w:color="A6A6A6"/>
              <w:right w:val="single" w:sz="4" w:space="0" w:color="A6A6A6"/>
            </w:tcBorders>
            <w:vAlign w:val="center"/>
            <w:hideMark/>
          </w:tcPr>
          <w:p w:rsidR="00432A7F" w:rsidRPr="00432A7F" w:rsidRDefault="00432A7F" w:rsidP="00432A7F">
            <w:pPr>
              <w:spacing w:after="120"/>
              <w:rPr>
                <w:rFonts w:ascii="Calibri" w:eastAsia="Times New Roman" w:hAnsi="Calibri" w:cs="Times New Roman"/>
                <w:color w:val="000000"/>
                <w:sz w:val="20"/>
                <w:szCs w:val="20"/>
                <w:lang w:eastAsia="pl-PL"/>
              </w:rPr>
            </w:pPr>
          </w:p>
        </w:tc>
        <w:tc>
          <w:tcPr>
            <w:tcW w:w="3200" w:type="dxa"/>
            <w:tcBorders>
              <w:top w:val="nil"/>
              <w:left w:val="nil"/>
              <w:bottom w:val="single" w:sz="4" w:space="0" w:color="A6A6A6"/>
              <w:right w:val="single" w:sz="4" w:space="0" w:color="A6A6A6"/>
            </w:tcBorders>
            <w:shd w:val="clear" w:color="000000" w:fill="E4DFEC"/>
            <w:vAlign w:val="center"/>
            <w:hideMark/>
          </w:tcPr>
          <w:p w:rsidR="00432A7F" w:rsidRPr="00432A7F" w:rsidRDefault="00432A7F" w:rsidP="00432A7F">
            <w:pPr>
              <w:spacing w:after="120"/>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K.I. 1.2. Budowa ogólnokrajowej sieci bibliotecznej poprzez zintegrowany system zarządzania zasobami bibliotek</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4 000,0</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C00000"/>
                <w:sz w:val="20"/>
                <w:szCs w:val="20"/>
                <w:lang w:eastAsia="pl-PL"/>
              </w:rPr>
            </w:pPr>
            <w:r w:rsidRPr="00432A7F">
              <w:rPr>
                <w:rFonts w:ascii="Calibri" w:eastAsia="Times New Roman" w:hAnsi="Calibri" w:cs="Times New Roman"/>
                <w:color w:val="C00000"/>
                <w:sz w:val="20"/>
                <w:szCs w:val="20"/>
                <w:lang w:eastAsia="pl-PL"/>
              </w:rPr>
              <w:t>4 000,0</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632523"/>
                <w:sz w:val="20"/>
                <w:szCs w:val="20"/>
                <w:lang w:eastAsia="pl-PL"/>
              </w:rPr>
            </w:pPr>
            <w:r w:rsidRPr="00432A7F">
              <w:rPr>
                <w:rFonts w:ascii="Calibri" w:eastAsia="Times New Roman" w:hAnsi="Calibri" w:cs="Times New Roman"/>
                <w:color w:val="632523"/>
                <w:sz w:val="20"/>
                <w:szCs w:val="20"/>
                <w:lang w:eastAsia="pl-PL"/>
              </w:rPr>
              <w:t>3 976,2</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sz w:val="20"/>
                <w:szCs w:val="20"/>
                <w:lang w:eastAsia="pl-PL"/>
              </w:rPr>
            </w:pPr>
            <w:r w:rsidRPr="00432A7F">
              <w:rPr>
                <w:rFonts w:ascii="Calibri" w:eastAsia="Times New Roman" w:hAnsi="Calibri" w:cs="Times New Roman"/>
                <w:sz w:val="20"/>
                <w:szCs w:val="20"/>
                <w:lang w:eastAsia="pl-PL"/>
              </w:rPr>
              <w:t>3 976,2</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n.d.</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n.d.</w:t>
            </w:r>
          </w:p>
        </w:tc>
        <w:tc>
          <w:tcPr>
            <w:tcW w:w="1136"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n.d.</w:t>
            </w:r>
          </w:p>
        </w:tc>
        <w:tc>
          <w:tcPr>
            <w:tcW w:w="1136"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99,4%</w:t>
            </w:r>
          </w:p>
        </w:tc>
      </w:tr>
      <w:tr w:rsidR="00432A7F" w:rsidRPr="00432A7F" w:rsidTr="00420098">
        <w:trPr>
          <w:trHeight w:val="648"/>
        </w:trPr>
        <w:tc>
          <w:tcPr>
            <w:tcW w:w="960" w:type="dxa"/>
            <w:tcBorders>
              <w:top w:val="nil"/>
              <w:left w:val="single" w:sz="4" w:space="0" w:color="A6A6A6"/>
              <w:bottom w:val="single" w:sz="4" w:space="0" w:color="A6A6A6"/>
              <w:right w:val="single" w:sz="4" w:space="0" w:color="A6A6A6"/>
            </w:tcBorders>
            <w:shd w:val="clear" w:color="000000" w:fill="DAEEF3"/>
            <w:vAlign w:val="center"/>
            <w:hideMark/>
          </w:tcPr>
          <w:p w:rsidR="00432A7F" w:rsidRPr="00432A7F" w:rsidRDefault="00432A7F" w:rsidP="00432A7F">
            <w:pPr>
              <w:spacing w:after="120"/>
              <w:jc w:val="center"/>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Priorytet 2</w:t>
            </w:r>
          </w:p>
        </w:tc>
        <w:tc>
          <w:tcPr>
            <w:tcW w:w="3200" w:type="dxa"/>
            <w:tcBorders>
              <w:top w:val="nil"/>
              <w:left w:val="nil"/>
              <w:bottom w:val="single" w:sz="4" w:space="0" w:color="A6A6A6"/>
              <w:right w:val="single" w:sz="4" w:space="0" w:color="A6A6A6"/>
            </w:tcBorders>
            <w:shd w:val="clear" w:color="000000" w:fill="DAEEF3"/>
            <w:vAlign w:val="center"/>
            <w:hideMark/>
          </w:tcPr>
          <w:p w:rsidR="00432A7F" w:rsidRPr="00432A7F" w:rsidRDefault="00432A7F" w:rsidP="00432A7F">
            <w:pPr>
              <w:spacing w:after="120"/>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 xml:space="preserve">K.I. 2.1. Infrastruktura bibliotek </w:t>
            </w:r>
            <w:r w:rsidRPr="00432A7F">
              <w:rPr>
                <w:rFonts w:ascii="Calibri" w:eastAsia="Times New Roman" w:hAnsi="Calibri" w:cs="Times New Roman"/>
                <w:color w:val="000000"/>
                <w:sz w:val="20"/>
                <w:szCs w:val="20"/>
                <w:lang w:eastAsia="pl-PL"/>
              </w:rPr>
              <w:br/>
              <w:t>2021-2025</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10 000,0</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C00000"/>
                <w:sz w:val="20"/>
                <w:szCs w:val="20"/>
                <w:lang w:eastAsia="pl-PL"/>
              </w:rPr>
            </w:pPr>
            <w:r w:rsidRPr="00432A7F">
              <w:rPr>
                <w:rFonts w:ascii="Calibri" w:eastAsia="Times New Roman" w:hAnsi="Calibri" w:cs="Times New Roman"/>
                <w:color w:val="C00000"/>
                <w:sz w:val="20"/>
                <w:szCs w:val="20"/>
                <w:lang w:eastAsia="pl-PL"/>
              </w:rPr>
              <w:t>10 000,0</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632523"/>
                <w:sz w:val="20"/>
                <w:szCs w:val="20"/>
                <w:lang w:eastAsia="pl-PL"/>
              </w:rPr>
            </w:pPr>
            <w:r w:rsidRPr="00432A7F">
              <w:rPr>
                <w:rFonts w:ascii="Calibri" w:eastAsia="Times New Roman" w:hAnsi="Calibri" w:cs="Times New Roman"/>
                <w:color w:val="632523"/>
                <w:sz w:val="20"/>
                <w:szCs w:val="20"/>
                <w:lang w:eastAsia="pl-PL"/>
              </w:rPr>
              <w:t>8 662,5</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sz w:val="20"/>
                <w:szCs w:val="20"/>
                <w:lang w:eastAsia="pl-PL"/>
              </w:rPr>
            </w:pPr>
            <w:r w:rsidRPr="00432A7F">
              <w:rPr>
                <w:rFonts w:ascii="Calibri" w:eastAsia="Times New Roman" w:hAnsi="Calibri" w:cs="Times New Roman"/>
                <w:sz w:val="20"/>
                <w:szCs w:val="20"/>
                <w:lang w:eastAsia="pl-PL"/>
              </w:rPr>
              <w:t>n.d.</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8 662,5</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4 070,0</w:t>
            </w:r>
          </w:p>
        </w:tc>
        <w:tc>
          <w:tcPr>
            <w:tcW w:w="1136"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2 004,7</w:t>
            </w:r>
          </w:p>
        </w:tc>
        <w:tc>
          <w:tcPr>
            <w:tcW w:w="1136"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86,6%</w:t>
            </w:r>
          </w:p>
        </w:tc>
      </w:tr>
      <w:tr w:rsidR="00432A7F" w:rsidRPr="00432A7F" w:rsidTr="00420098">
        <w:trPr>
          <w:trHeight w:val="828"/>
        </w:trPr>
        <w:tc>
          <w:tcPr>
            <w:tcW w:w="960" w:type="dxa"/>
            <w:vMerge w:val="restart"/>
            <w:tcBorders>
              <w:top w:val="nil"/>
              <w:left w:val="single" w:sz="4" w:space="0" w:color="A6A6A6"/>
              <w:bottom w:val="single" w:sz="4" w:space="0" w:color="A6A6A6"/>
              <w:right w:val="single" w:sz="4" w:space="0" w:color="A6A6A6"/>
            </w:tcBorders>
            <w:shd w:val="clear" w:color="000000" w:fill="EBF1DE"/>
            <w:vAlign w:val="center"/>
            <w:hideMark/>
          </w:tcPr>
          <w:p w:rsidR="00432A7F" w:rsidRPr="00432A7F" w:rsidRDefault="00432A7F" w:rsidP="00432A7F">
            <w:pPr>
              <w:spacing w:after="120"/>
              <w:jc w:val="center"/>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Priorytet 3</w:t>
            </w:r>
          </w:p>
        </w:tc>
        <w:tc>
          <w:tcPr>
            <w:tcW w:w="3200" w:type="dxa"/>
            <w:tcBorders>
              <w:top w:val="nil"/>
              <w:left w:val="nil"/>
              <w:bottom w:val="single" w:sz="4" w:space="0" w:color="A6A6A6"/>
              <w:right w:val="single" w:sz="4" w:space="0" w:color="A6A6A6"/>
            </w:tcBorders>
            <w:shd w:val="clear" w:color="000000" w:fill="EBF1DE"/>
            <w:vAlign w:val="center"/>
            <w:hideMark/>
          </w:tcPr>
          <w:p w:rsidR="00432A7F" w:rsidRPr="00432A7F" w:rsidRDefault="00432A7F" w:rsidP="00432A7F">
            <w:pPr>
              <w:spacing w:after="120"/>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K.I. 3.1. Zakup nowości wydawniczych do placówek wychowania przedszkolnego</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6 000,0</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C00000"/>
                <w:sz w:val="20"/>
                <w:szCs w:val="20"/>
                <w:lang w:eastAsia="pl-PL"/>
              </w:rPr>
            </w:pPr>
            <w:r w:rsidRPr="00432A7F">
              <w:rPr>
                <w:rFonts w:ascii="Calibri" w:eastAsia="Times New Roman" w:hAnsi="Calibri" w:cs="Times New Roman"/>
                <w:color w:val="C00000"/>
                <w:sz w:val="20"/>
                <w:szCs w:val="20"/>
                <w:lang w:eastAsia="pl-PL"/>
              </w:rPr>
              <w:t>4 627,5</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632523"/>
                <w:sz w:val="20"/>
                <w:szCs w:val="20"/>
                <w:lang w:eastAsia="pl-PL"/>
              </w:rPr>
            </w:pPr>
            <w:r w:rsidRPr="00432A7F">
              <w:rPr>
                <w:rFonts w:ascii="Calibri" w:eastAsia="Times New Roman" w:hAnsi="Calibri" w:cs="Times New Roman"/>
                <w:color w:val="632523"/>
                <w:sz w:val="20"/>
                <w:szCs w:val="20"/>
                <w:lang w:eastAsia="pl-PL"/>
              </w:rPr>
              <w:t>3 740,4</w:t>
            </w:r>
          </w:p>
        </w:tc>
        <w:tc>
          <w:tcPr>
            <w:tcW w:w="1120" w:type="dxa"/>
            <w:tcBorders>
              <w:top w:val="nil"/>
              <w:left w:val="nil"/>
              <w:bottom w:val="single" w:sz="4" w:space="0" w:color="A6A6A6"/>
              <w:right w:val="single" w:sz="4" w:space="0" w:color="A6A6A6"/>
            </w:tcBorders>
            <w:shd w:val="clear" w:color="000000" w:fill="FFFFFF"/>
            <w:noWrap/>
            <w:vAlign w:val="center"/>
            <w:hideMark/>
          </w:tcPr>
          <w:p w:rsidR="00432A7F" w:rsidRPr="00432A7F" w:rsidRDefault="00432A7F" w:rsidP="00432A7F">
            <w:pPr>
              <w:spacing w:after="120"/>
              <w:jc w:val="right"/>
              <w:rPr>
                <w:rFonts w:ascii="Calibri" w:eastAsia="Times New Roman" w:hAnsi="Calibri" w:cs="Times New Roman"/>
                <w:sz w:val="20"/>
                <w:szCs w:val="20"/>
                <w:lang w:eastAsia="pl-PL"/>
              </w:rPr>
            </w:pPr>
            <w:r w:rsidRPr="00432A7F">
              <w:rPr>
                <w:rFonts w:ascii="Calibri" w:eastAsia="Times New Roman" w:hAnsi="Calibri" w:cs="Times New Roman"/>
                <w:sz w:val="20"/>
                <w:szCs w:val="20"/>
                <w:lang w:eastAsia="pl-PL"/>
              </w:rPr>
              <w:t>3 740,4</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n.d.</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1 500,0</w:t>
            </w:r>
          </w:p>
        </w:tc>
        <w:tc>
          <w:tcPr>
            <w:tcW w:w="1136"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954,1</w:t>
            </w:r>
          </w:p>
        </w:tc>
        <w:tc>
          <w:tcPr>
            <w:tcW w:w="1136"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80,8% </w:t>
            </w:r>
          </w:p>
        </w:tc>
      </w:tr>
      <w:tr w:rsidR="00432A7F" w:rsidRPr="00432A7F" w:rsidTr="00420098">
        <w:trPr>
          <w:trHeight w:val="1119"/>
        </w:trPr>
        <w:tc>
          <w:tcPr>
            <w:tcW w:w="960" w:type="dxa"/>
            <w:vMerge/>
            <w:tcBorders>
              <w:top w:val="nil"/>
              <w:left w:val="single" w:sz="4" w:space="0" w:color="A6A6A6"/>
              <w:bottom w:val="single" w:sz="4" w:space="0" w:color="A6A6A6"/>
              <w:right w:val="single" w:sz="4" w:space="0" w:color="A6A6A6"/>
            </w:tcBorders>
            <w:vAlign w:val="center"/>
            <w:hideMark/>
          </w:tcPr>
          <w:p w:rsidR="00432A7F" w:rsidRPr="00432A7F" w:rsidRDefault="00432A7F" w:rsidP="00432A7F">
            <w:pPr>
              <w:spacing w:after="120"/>
              <w:rPr>
                <w:rFonts w:ascii="Calibri" w:eastAsia="Times New Roman" w:hAnsi="Calibri" w:cs="Times New Roman"/>
                <w:color w:val="000000"/>
                <w:sz w:val="20"/>
                <w:szCs w:val="20"/>
                <w:lang w:eastAsia="pl-PL"/>
              </w:rPr>
            </w:pPr>
          </w:p>
        </w:tc>
        <w:tc>
          <w:tcPr>
            <w:tcW w:w="3200" w:type="dxa"/>
            <w:tcBorders>
              <w:top w:val="nil"/>
              <w:left w:val="nil"/>
              <w:bottom w:val="single" w:sz="4" w:space="0" w:color="A6A6A6"/>
              <w:right w:val="single" w:sz="4" w:space="0" w:color="A6A6A6"/>
            </w:tcBorders>
            <w:shd w:val="clear" w:color="000000" w:fill="EBF1DE"/>
            <w:vAlign w:val="center"/>
            <w:hideMark/>
          </w:tcPr>
          <w:p w:rsidR="00432A7F" w:rsidRPr="00432A7F" w:rsidRDefault="00432A7F" w:rsidP="00432A7F">
            <w:pPr>
              <w:spacing w:after="120"/>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K.I. 3.2. Zakup nowości wydawniczych oraz elementów wyposażenia do bibliotek szkolnych i pedagogicznych</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14 000,0</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C00000"/>
                <w:sz w:val="20"/>
                <w:szCs w:val="20"/>
                <w:lang w:eastAsia="pl-PL"/>
              </w:rPr>
            </w:pPr>
            <w:r w:rsidRPr="00432A7F">
              <w:rPr>
                <w:rFonts w:ascii="Calibri" w:eastAsia="Times New Roman" w:hAnsi="Calibri" w:cs="Times New Roman"/>
                <w:color w:val="C00000"/>
                <w:sz w:val="20"/>
                <w:szCs w:val="20"/>
                <w:lang w:eastAsia="pl-PL"/>
              </w:rPr>
              <w:t>15 372,5 </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632523"/>
                <w:sz w:val="20"/>
                <w:szCs w:val="20"/>
                <w:lang w:eastAsia="pl-PL"/>
              </w:rPr>
            </w:pPr>
            <w:r w:rsidRPr="00432A7F">
              <w:rPr>
                <w:rFonts w:ascii="Calibri" w:eastAsia="Times New Roman" w:hAnsi="Calibri" w:cs="Times New Roman"/>
                <w:color w:val="632523"/>
                <w:sz w:val="20"/>
                <w:szCs w:val="20"/>
                <w:lang w:eastAsia="pl-PL"/>
              </w:rPr>
              <w:t>15 372,5</w:t>
            </w:r>
          </w:p>
        </w:tc>
        <w:tc>
          <w:tcPr>
            <w:tcW w:w="1120" w:type="dxa"/>
            <w:tcBorders>
              <w:top w:val="nil"/>
              <w:left w:val="nil"/>
              <w:bottom w:val="single" w:sz="4" w:space="0" w:color="A6A6A6"/>
              <w:right w:val="single" w:sz="4" w:space="0" w:color="A6A6A6"/>
            </w:tcBorders>
            <w:shd w:val="clear" w:color="000000" w:fill="FFFFFF"/>
            <w:noWrap/>
            <w:vAlign w:val="center"/>
            <w:hideMark/>
          </w:tcPr>
          <w:p w:rsidR="00432A7F" w:rsidRPr="00432A7F" w:rsidRDefault="00432A7F" w:rsidP="00432A7F">
            <w:pPr>
              <w:spacing w:after="120"/>
              <w:jc w:val="right"/>
              <w:rPr>
                <w:rFonts w:ascii="Calibri" w:eastAsia="Times New Roman" w:hAnsi="Calibri" w:cs="Times New Roman"/>
                <w:sz w:val="20"/>
                <w:szCs w:val="20"/>
                <w:lang w:eastAsia="pl-PL"/>
              </w:rPr>
            </w:pPr>
            <w:r w:rsidRPr="00432A7F">
              <w:rPr>
                <w:rFonts w:ascii="Calibri" w:eastAsia="Times New Roman" w:hAnsi="Calibri" w:cs="Times New Roman"/>
                <w:sz w:val="20"/>
                <w:szCs w:val="20"/>
                <w:lang w:eastAsia="pl-PL"/>
              </w:rPr>
              <w:t>15 372,5</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n.d.</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3 500,0</w:t>
            </w:r>
          </w:p>
        </w:tc>
        <w:tc>
          <w:tcPr>
            <w:tcW w:w="1136"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3 897,2</w:t>
            </w:r>
          </w:p>
        </w:tc>
        <w:tc>
          <w:tcPr>
            <w:tcW w:w="1136"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100,0% </w:t>
            </w:r>
          </w:p>
        </w:tc>
      </w:tr>
      <w:tr w:rsidR="00432A7F" w:rsidRPr="00432A7F" w:rsidTr="00420098">
        <w:trPr>
          <w:trHeight w:val="1092"/>
        </w:trPr>
        <w:tc>
          <w:tcPr>
            <w:tcW w:w="960" w:type="dxa"/>
            <w:vMerge w:val="restart"/>
            <w:tcBorders>
              <w:top w:val="nil"/>
              <w:left w:val="single" w:sz="4" w:space="0" w:color="A6A6A6"/>
              <w:bottom w:val="single" w:sz="4" w:space="0" w:color="A6A6A6"/>
              <w:right w:val="single" w:sz="4" w:space="0" w:color="A6A6A6"/>
            </w:tcBorders>
            <w:shd w:val="clear" w:color="000000" w:fill="F2DCDB"/>
            <w:vAlign w:val="center"/>
            <w:hideMark/>
          </w:tcPr>
          <w:p w:rsidR="00432A7F" w:rsidRPr="00432A7F" w:rsidRDefault="00432A7F" w:rsidP="00432A7F">
            <w:pPr>
              <w:spacing w:after="120"/>
              <w:jc w:val="center"/>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lastRenderedPageBreak/>
              <w:t>Priorytet 4</w:t>
            </w:r>
          </w:p>
        </w:tc>
        <w:tc>
          <w:tcPr>
            <w:tcW w:w="3200" w:type="dxa"/>
            <w:tcBorders>
              <w:top w:val="nil"/>
              <w:left w:val="nil"/>
              <w:bottom w:val="single" w:sz="4" w:space="0" w:color="A6A6A6"/>
              <w:right w:val="single" w:sz="4" w:space="0" w:color="A6A6A6"/>
            </w:tcBorders>
            <w:shd w:val="clear" w:color="000000" w:fill="F2DCDB"/>
            <w:vAlign w:val="center"/>
            <w:hideMark/>
          </w:tcPr>
          <w:p w:rsidR="00432A7F" w:rsidRPr="00432A7F" w:rsidRDefault="00432A7F" w:rsidP="00432A7F">
            <w:pPr>
              <w:spacing w:after="120"/>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K.I. 4.1. BLISKO – Biblioteka | Lokalność | Inicjatywy | Społeczność | Kooperacja | Oddolność</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3 100,0</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C00000"/>
                <w:sz w:val="20"/>
                <w:szCs w:val="20"/>
                <w:lang w:eastAsia="pl-PL"/>
              </w:rPr>
            </w:pPr>
            <w:r w:rsidRPr="00432A7F">
              <w:rPr>
                <w:rFonts w:ascii="Calibri" w:eastAsia="Times New Roman" w:hAnsi="Calibri" w:cs="Times New Roman"/>
                <w:color w:val="C00000"/>
                <w:sz w:val="20"/>
                <w:szCs w:val="20"/>
                <w:lang w:eastAsia="pl-PL"/>
              </w:rPr>
              <w:t>3 100,0</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632523"/>
                <w:sz w:val="20"/>
                <w:szCs w:val="20"/>
                <w:lang w:eastAsia="pl-PL"/>
              </w:rPr>
            </w:pPr>
            <w:r w:rsidRPr="00432A7F">
              <w:rPr>
                <w:rFonts w:ascii="Calibri" w:eastAsia="Times New Roman" w:hAnsi="Calibri" w:cs="Times New Roman"/>
                <w:color w:val="632523"/>
                <w:sz w:val="20"/>
                <w:szCs w:val="20"/>
                <w:lang w:eastAsia="pl-PL"/>
              </w:rPr>
              <w:t>2 901,1</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sz w:val="20"/>
                <w:szCs w:val="20"/>
                <w:lang w:eastAsia="pl-PL"/>
              </w:rPr>
            </w:pPr>
            <w:r w:rsidRPr="00432A7F">
              <w:rPr>
                <w:rFonts w:ascii="Calibri" w:eastAsia="Times New Roman" w:hAnsi="Calibri" w:cs="Times New Roman"/>
                <w:sz w:val="20"/>
                <w:szCs w:val="20"/>
                <w:lang w:eastAsia="pl-PL"/>
              </w:rPr>
              <w:t>2 901,1</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n.d.</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306,0</w:t>
            </w:r>
          </w:p>
        </w:tc>
        <w:tc>
          <w:tcPr>
            <w:tcW w:w="1136"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325,9</w:t>
            </w:r>
          </w:p>
        </w:tc>
        <w:tc>
          <w:tcPr>
            <w:tcW w:w="1136"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93,6%</w:t>
            </w:r>
          </w:p>
        </w:tc>
      </w:tr>
      <w:tr w:rsidR="00432A7F" w:rsidRPr="00432A7F" w:rsidTr="00420098">
        <w:trPr>
          <w:trHeight w:val="600"/>
        </w:trPr>
        <w:tc>
          <w:tcPr>
            <w:tcW w:w="960" w:type="dxa"/>
            <w:vMerge/>
            <w:tcBorders>
              <w:top w:val="nil"/>
              <w:left w:val="single" w:sz="4" w:space="0" w:color="A6A6A6"/>
              <w:bottom w:val="single" w:sz="4" w:space="0" w:color="A6A6A6"/>
              <w:right w:val="single" w:sz="4" w:space="0" w:color="A6A6A6"/>
            </w:tcBorders>
            <w:vAlign w:val="center"/>
            <w:hideMark/>
          </w:tcPr>
          <w:p w:rsidR="00432A7F" w:rsidRPr="00432A7F" w:rsidRDefault="00432A7F" w:rsidP="00432A7F">
            <w:pPr>
              <w:spacing w:after="120"/>
              <w:rPr>
                <w:rFonts w:ascii="Calibri" w:eastAsia="Times New Roman" w:hAnsi="Calibri" w:cs="Times New Roman"/>
                <w:color w:val="000000"/>
                <w:sz w:val="20"/>
                <w:szCs w:val="20"/>
                <w:lang w:eastAsia="pl-PL"/>
              </w:rPr>
            </w:pPr>
          </w:p>
        </w:tc>
        <w:tc>
          <w:tcPr>
            <w:tcW w:w="3200" w:type="dxa"/>
            <w:tcBorders>
              <w:top w:val="nil"/>
              <w:left w:val="nil"/>
              <w:bottom w:val="single" w:sz="4" w:space="0" w:color="A6A6A6"/>
              <w:right w:val="single" w:sz="4" w:space="0" w:color="A6A6A6"/>
            </w:tcBorders>
            <w:shd w:val="clear" w:color="000000" w:fill="F2DCDB"/>
            <w:vAlign w:val="center"/>
            <w:hideMark/>
          </w:tcPr>
          <w:p w:rsidR="00432A7F" w:rsidRPr="00432A7F" w:rsidRDefault="00432A7F" w:rsidP="00432A7F">
            <w:pPr>
              <w:spacing w:after="120"/>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K.I. 4.2.Kampania społeczno-informacyjna</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4 505,0</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C00000"/>
                <w:sz w:val="20"/>
                <w:szCs w:val="20"/>
                <w:lang w:eastAsia="pl-PL"/>
              </w:rPr>
            </w:pPr>
            <w:r w:rsidRPr="00432A7F">
              <w:rPr>
                <w:rFonts w:ascii="Calibri" w:eastAsia="Times New Roman" w:hAnsi="Calibri" w:cs="Times New Roman"/>
                <w:color w:val="C00000"/>
                <w:sz w:val="20"/>
                <w:szCs w:val="20"/>
                <w:lang w:eastAsia="pl-PL"/>
              </w:rPr>
              <w:t>4 505,0</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632523"/>
                <w:sz w:val="20"/>
                <w:szCs w:val="20"/>
                <w:lang w:eastAsia="pl-PL"/>
              </w:rPr>
            </w:pPr>
            <w:r w:rsidRPr="00432A7F">
              <w:rPr>
                <w:rFonts w:ascii="Calibri" w:eastAsia="Times New Roman" w:hAnsi="Calibri" w:cs="Times New Roman"/>
                <w:color w:val="632523"/>
                <w:sz w:val="20"/>
                <w:szCs w:val="20"/>
                <w:lang w:eastAsia="pl-PL"/>
              </w:rPr>
              <w:t>3 843,5</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sz w:val="20"/>
                <w:szCs w:val="20"/>
                <w:lang w:eastAsia="pl-PL"/>
              </w:rPr>
            </w:pPr>
            <w:r w:rsidRPr="00432A7F">
              <w:rPr>
                <w:rFonts w:ascii="Calibri" w:eastAsia="Times New Roman" w:hAnsi="Calibri" w:cs="Times New Roman"/>
                <w:sz w:val="20"/>
                <w:szCs w:val="20"/>
                <w:lang w:eastAsia="pl-PL"/>
              </w:rPr>
              <w:t>3 843,5</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n.d.</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n.d.</w:t>
            </w:r>
          </w:p>
        </w:tc>
        <w:tc>
          <w:tcPr>
            <w:tcW w:w="1136"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n.d.</w:t>
            </w:r>
          </w:p>
        </w:tc>
        <w:tc>
          <w:tcPr>
            <w:tcW w:w="1136"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85,3%</w:t>
            </w:r>
          </w:p>
        </w:tc>
      </w:tr>
      <w:tr w:rsidR="00432A7F" w:rsidRPr="00432A7F" w:rsidTr="00420098">
        <w:trPr>
          <w:trHeight w:val="579"/>
        </w:trPr>
        <w:tc>
          <w:tcPr>
            <w:tcW w:w="4160" w:type="dxa"/>
            <w:gridSpan w:val="2"/>
            <w:tcBorders>
              <w:top w:val="single" w:sz="4" w:space="0" w:color="A6A6A6"/>
              <w:left w:val="single" w:sz="4" w:space="0" w:color="A6A6A6"/>
              <w:bottom w:val="single" w:sz="4" w:space="0" w:color="A6A6A6"/>
              <w:right w:val="single" w:sz="4" w:space="0" w:color="A6A6A6"/>
            </w:tcBorders>
            <w:shd w:val="clear" w:color="000000" w:fill="C4D79B"/>
            <w:vAlign w:val="center"/>
            <w:hideMark/>
          </w:tcPr>
          <w:p w:rsidR="00432A7F" w:rsidRPr="00432A7F" w:rsidRDefault="00432A7F" w:rsidP="00432A7F">
            <w:pPr>
              <w:spacing w:after="120"/>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Monitoring i ewaluacja</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445,0</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C00000"/>
                <w:sz w:val="20"/>
                <w:szCs w:val="20"/>
                <w:lang w:eastAsia="pl-PL"/>
              </w:rPr>
            </w:pPr>
            <w:r w:rsidRPr="00432A7F">
              <w:rPr>
                <w:rFonts w:ascii="Calibri" w:eastAsia="Times New Roman" w:hAnsi="Calibri" w:cs="Times New Roman"/>
                <w:color w:val="C00000"/>
                <w:sz w:val="20"/>
                <w:szCs w:val="20"/>
                <w:lang w:eastAsia="pl-PL"/>
              </w:rPr>
              <w:t>745,0</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632523"/>
                <w:sz w:val="20"/>
                <w:szCs w:val="20"/>
                <w:lang w:eastAsia="pl-PL"/>
              </w:rPr>
            </w:pPr>
            <w:r w:rsidRPr="00432A7F">
              <w:rPr>
                <w:rFonts w:ascii="Calibri" w:eastAsia="Times New Roman" w:hAnsi="Calibri" w:cs="Times New Roman"/>
                <w:color w:val="632523"/>
                <w:sz w:val="20"/>
                <w:szCs w:val="20"/>
                <w:lang w:eastAsia="pl-PL"/>
              </w:rPr>
              <w:t>458,1</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sz w:val="20"/>
                <w:szCs w:val="20"/>
                <w:lang w:eastAsia="pl-PL"/>
              </w:rPr>
            </w:pPr>
            <w:r w:rsidRPr="00432A7F">
              <w:rPr>
                <w:rFonts w:ascii="Calibri" w:eastAsia="Times New Roman" w:hAnsi="Calibri" w:cs="Times New Roman"/>
                <w:sz w:val="20"/>
                <w:szCs w:val="20"/>
                <w:lang w:eastAsia="pl-PL"/>
              </w:rPr>
              <w:t>458,1</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n.d.</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n.d.</w:t>
            </w:r>
          </w:p>
        </w:tc>
        <w:tc>
          <w:tcPr>
            <w:tcW w:w="1136"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n.d.</w:t>
            </w:r>
          </w:p>
        </w:tc>
        <w:tc>
          <w:tcPr>
            <w:tcW w:w="1136"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61,5%</w:t>
            </w:r>
          </w:p>
        </w:tc>
      </w:tr>
      <w:tr w:rsidR="00432A7F" w:rsidRPr="00432A7F" w:rsidTr="00420098">
        <w:trPr>
          <w:trHeight w:val="564"/>
        </w:trPr>
        <w:tc>
          <w:tcPr>
            <w:tcW w:w="416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432A7F" w:rsidRPr="00432A7F" w:rsidRDefault="00432A7F" w:rsidP="00432A7F">
            <w:pPr>
              <w:spacing w:after="120"/>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Koszty obsługi cz. 24 budżetu państwa</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1 800,0</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000000"/>
                <w:sz w:val="20"/>
                <w:szCs w:val="20"/>
                <w:lang w:eastAsia="pl-PL"/>
              </w:rPr>
            </w:pPr>
            <w:r w:rsidRPr="00432A7F">
              <w:rPr>
                <w:rFonts w:ascii="Calibri" w:eastAsia="Times New Roman" w:hAnsi="Calibri" w:cs="Times New Roman"/>
                <w:color w:val="C00000"/>
                <w:sz w:val="20"/>
                <w:szCs w:val="20"/>
                <w:lang w:eastAsia="pl-PL"/>
              </w:rPr>
              <w:t>1 500,0</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632523"/>
                <w:sz w:val="20"/>
                <w:szCs w:val="20"/>
                <w:lang w:eastAsia="pl-PL"/>
              </w:rPr>
            </w:pPr>
            <w:r w:rsidRPr="00432A7F">
              <w:rPr>
                <w:rFonts w:ascii="Calibri" w:eastAsia="Times New Roman" w:hAnsi="Calibri" w:cs="Times New Roman"/>
                <w:color w:val="632523"/>
                <w:sz w:val="20"/>
                <w:szCs w:val="20"/>
                <w:lang w:eastAsia="pl-PL"/>
              </w:rPr>
              <w:t>1 174,8</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sz w:val="20"/>
                <w:szCs w:val="20"/>
                <w:lang w:eastAsia="pl-PL"/>
              </w:rPr>
            </w:pPr>
            <w:r w:rsidRPr="00432A7F">
              <w:rPr>
                <w:rFonts w:ascii="Calibri" w:eastAsia="Times New Roman" w:hAnsi="Calibri" w:cs="Times New Roman"/>
                <w:sz w:val="20"/>
                <w:szCs w:val="20"/>
                <w:lang w:eastAsia="pl-PL"/>
              </w:rPr>
              <w:t>1 174,8</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n.d.</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n.d.</w:t>
            </w:r>
          </w:p>
        </w:tc>
        <w:tc>
          <w:tcPr>
            <w:tcW w:w="1136"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n.d.</w:t>
            </w:r>
          </w:p>
        </w:tc>
        <w:tc>
          <w:tcPr>
            <w:tcW w:w="1136"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78,3%</w:t>
            </w:r>
          </w:p>
        </w:tc>
      </w:tr>
      <w:tr w:rsidR="00432A7F" w:rsidRPr="00432A7F" w:rsidTr="00420098">
        <w:trPr>
          <w:trHeight w:val="558"/>
        </w:trPr>
        <w:tc>
          <w:tcPr>
            <w:tcW w:w="416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432A7F" w:rsidRPr="00432A7F" w:rsidRDefault="00432A7F" w:rsidP="00432A7F">
            <w:pPr>
              <w:spacing w:after="120"/>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Koszty obsługi Priorytetu 3</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150,0</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C00000"/>
                <w:sz w:val="20"/>
                <w:szCs w:val="20"/>
                <w:lang w:eastAsia="pl-PL"/>
              </w:rPr>
            </w:pPr>
            <w:r w:rsidRPr="00432A7F">
              <w:rPr>
                <w:rFonts w:ascii="Calibri" w:eastAsia="Times New Roman" w:hAnsi="Calibri" w:cs="Times New Roman"/>
                <w:color w:val="C00000"/>
                <w:sz w:val="20"/>
                <w:szCs w:val="20"/>
                <w:lang w:eastAsia="pl-PL"/>
              </w:rPr>
              <w:t>150,0</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632523"/>
                <w:sz w:val="20"/>
                <w:szCs w:val="20"/>
                <w:highlight w:val="cyan"/>
                <w:lang w:eastAsia="pl-PL"/>
              </w:rPr>
            </w:pPr>
            <w:r w:rsidRPr="00432A7F">
              <w:rPr>
                <w:rFonts w:ascii="Calibri" w:hAnsi="Calibri"/>
                <w:color w:val="632523"/>
                <w:sz w:val="20"/>
                <w:szCs w:val="20"/>
              </w:rPr>
              <w:t>85,4</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sz w:val="20"/>
                <w:szCs w:val="20"/>
                <w:highlight w:val="cyan"/>
                <w:lang w:eastAsia="pl-PL"/>
              </w:rPr>
            </w:pPr>
            <w:r w:rsidRPr="00432A7F">
              <w:rPr>
                <w:rFonts w:ascii="Calibri" w:hAnsi="Calibri"/>
                <w:sz w:val="20"/>
                <w:szCs w:val="20"/>
              </w:rPr>
              <w:t>85,4</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n.d.</w:t>
            </w:r>
          </w:p>
        </w:tc>
        <w:tc>
          <w:tcPr>
            <w:tcW w:w="1120"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n.d.</w:t>
            </w:r>
          </w:p>
        </w:tc>
        <w:tc>
          <w:tcPr>
            <w:tcW w:w="1136"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n.d.</w:t>
            </w:r>
          </w:p>
        </w:tc>
        <w:tc>
          <w:tcPr>
            <w:tcW w:w="1136" w:type="dxa"/>
            <w:tcBorders>
              <w:top w:val="nil"/>
              <w:left w:val="nil"/>
              <w:bottom w:val="single" w:sz="4" w:space="0" w:color="A6A6A6"/>
              <w:right w:val="single" w:sz="4" w:space="0" w:color="A6A6A6"/>
            </w:tcBorders>
            <w:shd w:val="clear" w:color="auto" w:fill="auto"/>
            <w:noWrap/>
            <w:vAlign w:val="center"/>
            <w:hideMark/>
          </w:tcPr>
          <w:p w:rsidR="00432A7F" w:rsidRPr="00432A7F" w:rsidRDefault="00432A7F" w:rsidP="00432A7F">
            <w:pPr>
              <w:spacing w:after="120"/>
              <w:jc w:val="right"/>
              <w:rPr>
                <w:rFonts w:ascii="Calibri" w:eastAsia="Times New Roman" w:hAnsi="Calibri" w:cs="Times New Roman"/>
                <w:color w:val="000000"/>
                <w:sz w:val="20"/>
                <w:szCs w:val="20"/>
                <w:lang w:eastAsia="pl-PL"/>
              </w:rPr>
            </w:pPr>
            <w:r w:rsidRPr="00432A7F">
              <w:rPr>
                <w:rFonts w:ascii="Calibri" w:eastAsia="Times New Roman" w:hAnsi="Calibri" w:cs="Times New Roman"/>
                <w:color w:val="000000"/>
                <w:sz w:val="20"/>
                <w:szCs w:val="20"/>
                <w:lang w:eastAsia="pl-PL"/>
              </w:rPr>
              <w:t>56,9%</w:t>
            </w:r>
          </w:p>
        </w:tc>
      </w:tr>
    </w:tbl>
    <w:p w:rsidR="00432A7F" w:rsidRPr="00432A7F" w:rsidRDefault="00432A7F" w:rsidP="00432A7F">
      <w:pPr>
        <w:spacing w:after="120"/>
      </w:pPr>
    </w:p>
    <w:p w:rsidR="00432A7F" w:rsidRPr="00432A7F" w:rsidRDefault="00432A7F" w:rsidP="00432A7F">
      <w:pPr>
        <w:spacing w:after="120"/>
        <w:jc w:val="both"/>
      </w:pPr>
      <w:r w:rsidRPr="00432A7F">
        <w:t xml:space="preserve">Zgodnie z Uchwałą nr 69/2021 Rady Ministrów z dnia 21 maja 2021 r. w sprawie ustanowienia programu wieloletniego „Narodowy Program Rozwoju Czytelnictwa 2.0. na lata 2021–2025”, każdy z Operatorów Priorytetów 1, 2 i 4 (Biblioteka Narodowa, Instytut Książki, Narodowe Centrum Kultury) miał zapewnione środki w wysokości 600 000 zł na obsługę poszczególnych Priorytetów w 2021 roku. </w:t>
      </w:r>
    </w:p>
    <w:p w:rsidR="00432A7F" w:rsidRPr="00432A7F" w:rsidRDefault="00432A7F" w:rsidP="00432A7F">
      <w:pPr>
        <w:spacing w:after="120"/>
        <w:jc w:val="both"/>
      </w:pPr>
      <w:r w:rsidRPr="00432A7F">
        <w:t xml:space="preserve">W lipcu 2021 roku Operatorzy wystąpili z wnioskami o dofinansowanie zadań ze środków z rezerw budżetu państwa – w tym Instytut Książki (Operator Priorytetu 2) zawnioskował o 283 700 zł (z planowanych 600 000 zł), uzasadniając to krótszym okresem na wykorzystanie całości zaplanowanych środków. Natomiast 4 października 2021 r. Biblioteka Narodowa (Operator Priorytetu 1) wystąpiła do Ministra KiDN z prośbą o zwiększenie dotacji celowej o kwotę 300 000 zł na realizację badania efektywności modelu biblioteki medialnej w związku z realizacją NPRCz 2.0. Z uwagi na możliwość dokonywania przesunięć alokacji </w:t>
      </w:r>
      <w:r w:rsidRPr="00432A7F">
        <w:lastRenderedPageBreak/>
        <w:t xml:space="preserve">środków pomiędzy Priorytetami oraz w zakresie środków przyznawanych na monitoring i ewaluację NPRCz 2.0. oraz środków przyznawanych Operatorom Priorytetów na ich obsługę  (pkt 12 Założeń finansowych przyjętych dla programu wieloletniego), 300 000 zł dotacji dla Biblioteki Narodowej zostało przesunięte z pozostałych środków zaplanowanych na obsługę Priorytetu 2, czyli z kwoty 316 300 zł. </w:t>
      </w:r>
    </w:p>
    <w:p w:rsidR="00432A7F" w:rsidRPr="00432A7F" w:rsidRDefault="00432A7F" w:rsidP="00432A7F">
      <w:pPr>
        <w:spacing w:after="120"/>
        <w:jc w:val="both"/>
      </w:pPr>
      <w:r w:rsidRPr="00432A7F">
        <w:t>Z informacji przekazanych do Ministerstwa Edukacji i Nauki przez wojewodów oraz ministrów prowadzących szkoły wynikało, że ogólna wnioskowana kwota wsparcia wyniosła 34 029 561 zł. W Kierunku interwencji 3.1. Zakup nowości wydawniczych do placówek wychowania przedszkolnego wnioskowana kwota wyniosła 5 012 329 zł (15 % wnioskowanej kwoty wsparcia), a w Kierunku interwencji 3.2. Zakup nowości wydawniczych oraz elementów wyposażenia do bibliotek szkolnych i pedagogicznych – 29 017 232 zł (85% wnioskowanej kwoty wsparcia).</w:t>
      </w:r>
    </w:p>
    <w:p w:rsidR="00432A7F" w:rsidRPr="00432A7F" w:rsidRDefault="00432A7F" w:rsidP="00432A7F">
      <w:pPr>
        <w:spacing w:after="120"/>
        <w:jc w:val="both"/>
      </w:pPr>
      <w:r w:rsidRPr="00432A7F">
        <w:t>Zgodnie z założeniami realizacyjnymi Priorytetu 3 - określonymi w Uchwale nr 69/2021 Rady Ministrów z dnia 21 maja 2021 r. w sprawie ustanowienia programu wieloletniego „Narodowy Program Rozwoju Czytelnictwa 2.0. na lata 2021-2025” - nie mniej niż 30% wnioskowanej kwoty wsparcia jest przeznaczona na potrzeby placówek wychowania przedszkolnego. Jeśli kwota wnioskowana przez organy prowadzące placówki wychowania przedszkolnego jest niższa od kwoty środków budżetu państwa przeznaczonej w danym roku budżetowym na wsparcie placówek wychowania przedszkolnego, zespół oceniający wnioski kwalifikuje do objęcia wsparciem szkoły lub biblioteki pedagogiczne wnioskujące o udział w programie. Jeśli kwota wnioskowana przez organy prowadzące szkoły lub biblioteki pedagogiczne jest niższa od kwoty środków budżetu państwa przeznaczonej w danym roku budżetowym na wsparcie szkół i bibliotek pedagogicznych, zespół oceniający wnioski kwalifikuje do objęcia wsparciem placówki wychowania przedszkolnego wnioskujące o udział w programie. Dokonywanie przesunięć pomiędzy kierunkami działania z zachowaniem wysokości środków z budżetu państwa alokowanych w Priorytecie 3 na dany rok budżetowy - do wysokości 70% środków alokowanych na Kierunek interwencji 3.1. lub Kierunek interwencji 3.2. – jest możliwe po akceptacji ministra właściwego do spraw oświaty i wychowania, bez konieczności aktualizacji Programu.</w:t>
      </w:r>
    </w:p>
    <w:p w:rsidR="00432A7F" w:rsidRPr="00432A7F" w:rsidRDefault="00432A7F" w:rsidP="00432A7F">
      <w:pPr>
        <w:autoSpaceDE w:val="0"/>
        <w:autoSpaceDN w:val="0"/>
        <w:adjustRightInd w:val="0"/>
        <w:spacing w:after="120" w:line="264" w:lineRule="auto"/>
        <w:ind w:left="426"/>
        <w:jc w:val="both"/>
        <w:rPr>
          <w:rFonts w:eastAsia="Calibri" w:cs="Times New Roman"/>
          <w:iCs/>
          <w:color w:val="000000"/>
          <w:szCs w:val="24"/>
          <w:u w:val="single"/>
        </w:rPr>
        <w:sectPr w:rsidR="00432A7F" w:rsidRPr="00432A7F" w:rsidSect="00D62D2D">
          <w:pgSz w:w="16838" w:h="11906" w:orient="landscape"/>
          <w:pgMar w:top="1417" w:right="1417" w:bottom="1417" w:left="1417" w:header="708" w:footer="567" w:gutter="0"/>
          <w:cols w:space="708"/>
          <w:docGrid w:linePitch="360"/>
        </w:sectPr>
      </w:pPr>
      <w:r w:rsidRPr="00432A7F">
        <w:tab/>
      </w:r>
      <w:r w:rsidRPr="00432A7F">
        <w:tab/>
      </w:r>
    </w:p>
    <w:p w:rsidR="00432A7F" w:rsidRPr="00432A7F" w:rsidRDefault="00432A7F" w:rsidP="00322671">
      <w:pPr>
        <w:numPr>
          <w:ilvl w:val="0"/>
          <w:numId w:val="12"/>
        </w:numPr>
        <w:autoSpaceDE w:val="0"/>
        <w:autoSpaceDN w:val="0"/>
        <w:adjustRightInd w:val="0"/>
        <w:spacing w:after="120" w:line="264" w:lineRule="auto"/>
        <w:ind w:left="426" w:hanging="426"/>
        <w:jc w:val="both"/>
        <w:rPr>
          <w:rFonts w:eastAsia="Calibri" w:cs="Times New Roman"/>
          <w:iCs/>
          <w:color w:val="000000"/>
          <w:szCs w:val="24"/>
          <w:u w:val="single"/>
        </w:rPr>
      </w:pPr>
      <w:r w:rsidRPr="00432A7F">
        <w:rPr>
          <w:rFonts w:eastAsia="Calibri" w:cs="Times New Roman"/>
          <w:iCs/>
          <w:color w:val="000000"/>
          <w:szCs w:val="24"/>
          <w:u w:val="single"/>
        </w:rPr>
        <w:lastRenderedPageBreak/>
        <w:t xml:space="preserve">Sprawozdanie z realizacji Priorytetu 1 NPRCz 2.0 </w:t>
      </w:r>
    </w:p>
    <w:p w:rsidR="00432A7F" w:rsidRPr="00432A7F" w:rsidRDefault="00432A7F" w:rsidP="00432A7F">
      <w:pPr>
        <w:spacing w:after="120" w:line="264" w:lineRule="auto"/>
        <w:ind w:left="426"/>
        <w:jc w:val="both"/>
        <w:textAlignment w:val="baseline"/>
        <w:outlineLvl w:val="0"/>
        <w:rPr>
          <w:rFonts w:eastAsia="Calibri" w:cs="Times New Roman"/>
        </w:rPr>
      </w:pPr>
      <w:bookmarkStart w:id="3" w:name="_Toc101534155"/>
      <w:r w:rsidRPr="00432A7F">
        <w:rPr>
          <w:rFonts w:eastAsia="Calibri" w:cs="Times New Roman"/>
          <w:bCs/>
        </w:rPr>
        <w:t xml:space="preserve">W ramach Programu zdefiniowany został Priorytet </w:t>
      </w:r>
      <w:r w:rsidRPr="00432A7F">
        <w:rPr>
          <w:rFonts w:eastAsia="Calibri" w:cs="Times New Roman"/>
          <w:bCs/>
          <w:color w:val="000000"/>
          <w:kern w:val="36"/>
        </w:rPr>
        <w:t xml:space="preserve">1 </w:t>
      </w:r>
      <w:r w:rsidRPr="00432A7F">
        <w:rPr>
          <w:rFonts w:eastAsia="Calibri" w:cs="Times New Roman"/>
          <w:bCs/>
          <w:i/>
          <w:iCs/>
        </w:rPr>
        <w:t>Poprawa oferty bibliotek publicznych</w:t>
      </w:r>
      <w:r w:rsidRPr="00432A7F">
        <w:rPr>
          <w:rFonts w:eastAsia="Calibri" w:cs="Times New Roman"/>
          <w:bCs/>
        </w:rPr>
        <w:t xml:space="preserve"> </w:t>
      </w:r>
      <w:r w:rsidRPr="00432A7F">
        <w:rPr>
          <w:rFonts w:eastAsia="Calibri" w:cs="Times New Roman"/>
          <w:bCs/>
          <w:color w:val="000000"/>
          <w:kern w:val="36"/>
        </w:rPr>
        <w:t xml:space="preserve">Kierunek interwencji 1.1. </w:t>
      </w:r>
      <w:r w:rsidRPr="00432A7F">
        <w:rPr>
          <w:rFonts w:eastAsia="Calibri" w:cs="Times New Roman"/>
          <w:bCs/>
          <w:i/>
          <w:iCs/>
          <w:color w:val="000000"/>
          <w:kern w:val="36"/>
        </w:rPr>
        <w:t>Zakup i dostęp do nowości wydawniczych</w:t>
      </w:r>
      <w:r w:rsidRPr="00432A7F">
        <w:rPr>
          <w:rFonts w:eastAsia="Calibri" w:cs="Times New Roman"/>
          <w:bCs/>
          <w:color w:val="000000"/>
          <w:kern w:val="36"/>
        </w:rPr>
        <w:t xml:space="preserve"> (zwany dalej K.I.1.1.)</w:t>
      </w:r>
      <w:r w:rsidRPr="00432A7F">
        <w:rPr>
          <w:rFonts w:eastAsia="Calibri" w:cs="Times New Roman"/>
          <w:bCs/>
        </w:rPr>
        <w:t>, którego celem jest wzmocnienie potencjału bibliotek w środowiskach lokalnych poprzez wzrost atrakcyjności i dostępności ich zbiorów</w:t>
      </w:r>
      <w:r w:rsidRPr="00432A7F">
        <w:rPr>
          <w:rFonts w:eastAsia="Calibri" w:cs="Times New Roman"/>
        </w:rPr>
        <w:t xml:space="preserve"> oraz Kierunek interwencji 1.2. </w:t>
      </w:r>
      <w:r w:rsidRPr="00432A7F">
        <w:rPr>
          <w:rFonts w:eastAsia="Calibri" w:cs="Times New Roman"/>
          <w:i/>
          <w:iCs/>
        </w:rPr>
        <w:t xml:space="preserve">Budowa ogólnokrajowej sieci bibliotecznej poprzez zintegrowany system zarządzania zasobami bibliotek </w:t>
      </w:r>
      <w:r w:rsidRPr="00432A7F">
        <w:rPr>
          <w:rFonts w:eastAsia="Calibri" w:cs="Times New Roman"/>
        </w:rPr>
        <w:t>(zwany dalej K.I.1.2.), którego celem jest budowa ogólnopolskiej sieci bibliotecznej poprzez udostępnienie bibliotekom najnowocześniejszego systemu zarządzania zasobami bibliotek Alma i Primo.</w:t>
      </w:r>
      <w:bookmarkEnd w:id="3"/>
    </w:p>
    <w:p w:rsidR="00432A7F" w:rsidRPr="00432A7F" w:rsidRDefault="00432A7F" w:rsidP="00432A7F">
      <w:pPr>
        <w:spacing w:after="120" w:line="264" w:lineRule="auto"/>
        <w:ind w:left="426"/>
        <w:jc w:val="both"/>
        <w:textAlignment w:val="baseline"/>
        <w:outlineLvl w:val="0"/>
        <w:rPr>
          <w:rFonts w:eastAsia="Calibri" w:cs="Times New Roman"/>
        </w:rPr>
      </w:pPr>
      <w:bookmarkStart w:id="4" w:name="_Toc101534156"/>
      <w:r w:rsidRPr="00432A7F">
        <w:rPr>
          <w:rFonts w:eastAsia="Calibri" w:cs="Times New Roman"/>
        </w:rPr>
        <w:t>Grupą odbiorców docelowych są czytelnicy i użytkownicy bibliotek publicznych, którzy w ramach wsparcia NPRCz 2.0 skorzystają z udoskonalonej i poszerzonej oferty bibliotek publicznych obejmującej zarówno aktualizowane w trybie ciągłym i systematycznie uzupełniane o nowości wydawnicze księgozbiory bibliotek, formy zdalnego dostępu, umożliwiające użytkownikom bibliotek dostęp do książek w formatach e-booków i/lub audiobooków i/lub synchrobooków także poza godzinami otwarcia placówek bibliotecznych, przez 24 godziny na dobę i 7 dni w tygodniu, jak i nowoczesne narzędzia przeszukiwania zbiorów bibliotecznych.</w:t>
      </w:r>
      <w:bookmarkEnd w:id="4"/>
    </w:p>
    <w:p w:rsidR="00432A7F" w:rsidRPr="00432A7F" w:rsidRDefault="00432A7F" w:rsidP="00322671">
      <w:pPr>
        <w:numPr>
          <w:ilvl w:val="1"/>
          <w:numId w:val="12"/>
        </w:numPr>
        <w:autoSpaceDE w:val="0"/>
        <w:autoSpaceDN w:val="0"/>
        <w:adjustRightInd w:val="0"/>
        <w:spacing w:after="120" w:line="264" w:lineRule="auto"/>
        <w:ind w:left="851"/>
        <w:jc w:val="both"/>
        <w:rPr>
          <w:rFonts w:eastAsia="Calibri" w:cs="Times New Roman"/>
          <w:iCs/>
          <w:color w:val="000000"/>
          <w:szCs w:val="24"/>
        </w:rPr>
      </w:pPr>
      <w:r w:rsidRPr="00432A7F">
        <w:rPr>
          <w:rFonts w:eastAsia="Calibri" w:cs="Times New Roman"/>
        </w:rPr>
        <w:t>Zadania zrealizowane w ramach Priorytetu 1 NPRCz 2.0 w 2021 r.</w:t>
      </w:r>
    </w:p>
    <w:p w:rsidR="00432A7F" w:rsidRPr="00432A7F" w:rsidRDefault="00432A7F" w:rsidP="00432A7F">
      <w:pPr>
        <w:spacing w:after="120" w:line="264" w:lineRule="auto"/>
        <w:ind w:left="851"/>
        <w:jc w:val="both"/>
        <w:textAlignment w:val="baseline"/>
        <w:outlineLvl w:val="0"/>
        <w:rPr>
          <w:rFonts w:eastAsia="Calibri" w:cs="Times New Roman"/>
        </w:rPr>
      </w:pPr>
      <w:bookmarkStart w:id="5" w:name="_Toc101534157"/>
      <w:r w:rsidRPr="00432A7F">
        <w:rPr>
          <w:rFonts w:eastAsia="Calibri" w:cs="Times New Roman"/>
        </w:rPr>
        <w:t>W 2021 r. na zakup i zdalny dostęp do nowości wydawniczych w ramach dofinansowania NPRCz 2.0 przeznaczono kwotę 26 mln zł. Na 2 522 uprawnione podmioty dofinansowanie otrzymało 2 379 beneficjentów w kwocie 25 955 716 zł, z czego wydatkowano 99,77% otrzymanego przez beneficjentów dofinansowania (25 897 007,08 zł).</w:t>
      </w:r>
      <w:bookmarkEnd w:id="5"/>
      <w:r w:rsidRPr="00432A7F">
        <w:rPr>
          <w:rFonts w:eastAsia="Calibri" w:cs="Times New Roman"/>
        </w:rPr>
        <w:t xml:space="preserve"> </w:t>
      </w:r>
    </w:p>
    <w:p w:rsidR="00432A7F" w:rsidRPr="00432A7F" w:rsidRDefault="00432A7F" w:rsidP="00432A7F">
      <w:pPr>
        <w:spacing w:after="120" w:line="264" w:lineRule="auto"/>
        <w:ind w:left="851"/>
        <w:jc w:val="both"/>
        <w:textAlignment w:val="baseline"/>
        <w:outlineLvl w:val="0"/>
        <w:rPr>
          <w:rFonts w:eastAsia="Calibri" w:cs="Times New Roman"/>
        </w:rPr>
      </w:pPr>
      <w:bookmarkStart w:id="6" w:name="_Toc101534158"/>
      <w:r w:rsidRPr="00432A7F">
        <w:rPr>
          <w:rFonts w:eastAsia="Calibri" w:cs="Times New Roman"/>
        </w:rPr>
        <w:t>W celu otrzymania dofinansowania wnioskodawcy musieli wnieść wkład własny w wysokości 50%, 65% lub 80% w zależności od grupy zamożności, do ustalenia której zastosowano procentowe odniesienie wielkości dochodów podatkowych jednostki do średnich dochodów podatkowych obliczonych odpowiednio dla gmin, powiatów i województw podawanych przez Ministerstwo Finansów. Wydatkowane w 2021 roku przez biblioteki publiczne środki w ramach wkładu własnego były wyższe o prawie 5 mln zł mln od środków planowanych i o ponad 10 mln wyższe od minimalnego wkładu własnego zakładanego w Uchwale nr 69/2021 Rady Ministrów.</w:t>
      </w:r>
      <w:bookmarkEnd w:id="6"/>
      <w:r w:rsidRPr="00432A7F">
        <w:rPr>
          <w:rFonts w:eastAsia="Calibri" w:cs="Times New Roman"/>
        </w:rPr>
        <w:t xml:space="preserve"> </w:t>
      </w:r>
    </w:p>
    <w:p w:rsidR="00432A7F" w:rsidRPr="00432A7F" w:rsidRDefault="00432A7F" w:rsidP="00432A7F">
      <w:pPr>
        <w:spacing w:after="120" w:line="264" w:lineRule="auto"/>
        <w:ind w:left="851"/>
        <w:jc w:val="both"/>
        <w:textAlignment w:val="baseline"/>
        <w:outlineLvl w:val="0"/>
        <w:rPr>
          <w:rFonts w:eastAsia="Calibri" w:cs="Times New Roman"/>
        </w:rPr>
      </w:pPr>
      <w:bookmarkStart w:id="7" w:name="_Toc101534159"/>
      <w:r w:rsidRPr="00432A7F">
        <w:rPr>
          <w:rFonts w:eastAsia="Calibri" w:cs="Times New Roman"/>
        </w:rPr>
        <w:t>Dzięki temu wzrostowi biblioteki mogły przeznaczyć na zakup i zdalny dostęp do nowości, łącznie ze środkami z dofinansowania NPRCz 2.0, prawie 87 mln zł (86 964 697,52 zł).</w:t>
      </w:r>
      <w:bookmarkEnd w:id="7"/>
      <w:r w:rsidRPr="00432A7F">
        <w:rPr>
          <w:rFonts w:eastAsia="Calibri" w:cs="Times New Roman"/>
        </w:rPr>
        <w:t xml:space="preserve"> </w:t>
      </w:r>
    </w:p>
    <w:p w:rsidR="00432A7F" w:rsidRPr="00432A7F" w:rsidRDefault="00432A7F" w:rsidP="00432A7F">
      <w:pPr>
        <w:spacing w:after="120" w:line="264" w:lineRule="auto"/>
        <w:ind w:left="851"/>
        <w:jc w:val="both"/>
        <w:textAlignment w:val="baseline"/>
        <w:outlineLvl w:val="0"/>
        <w:rPr>
          <w:rFonts w:eastAsia="Calibri" w:cs="Times New Roman"/>
        </w:rPr>
      </w:pPr>
      <w:bookmarkStart w:id="8" w:name="_Toc101534160"/>
      <w:r w:rsidRPr="00432A7F">
        <w:rPr>
          <w:rFonts w:eastAsia="Calibri" w:cs="Times New Roman"/>
        </w:rPr>
        <w:t xml:space="preserve">Środki w tej wysokości pozwoliły na poszerzenie oferty bibliotek o ponad 3,5 mln nowości wydawniczych w tym: ponad 3,3 mln książek drukowanych, ponad 180 tys. audiobooków i e-booków, około 1 tys. zeszytów czasopism oraz 2 tys. publikacji nutowych i kartograficznych. W ramach usługi zdalnego dostępu do </w:t>
      </w:r>
      <w:r w:rsidRPr="00432A7F">
        <w:rPr>
          <w:rFonts w:eastAsia="Times New Roman" w:cs="Times New Roman"/>
          <w:bCs/>
          <w:lang w:eastAsia="pl-PL"/>
        </w:rPr>
        <w:t>książek w formacie e-booków i/lub audiobooków i/lub synchrobooków ofertę czytelniczą wzbogacono o</w:t>
      </w:r>
      <w:r w:rsidRPr="00432A7F">
        <w:rPr>
          <w:rFonts w:eastAsia="Calibri" w:cs="Times New Roman"/>
        </w:rPr>
        <w:t xml:space="preserve"> 107 tys. kodów miesięcznych, 26,5 tys. kodów innych niż miesięczne oraz wykupiono dostęp do 60,3 mln stron oraz prawie 1,2 mln tytułów publikacji od dostawców takich jak: Legimi, EmpikGo, IBUK libra, PWN itp.</w:t>
      </w:r>
      <w:bookmarkEnd w:id="8"/>
      <w:r w:rsidRPr="00432A7F">
        <w:rPr>
          <w:rFonts w:eastAsia="Calibri" w:cs="Times New Roman"/>
        </w:rPr>
        <w:t xml:space="preserve"> </w:t>
      </w:r>
    </w:p>
    <w:p w:rsidR="00432A7F" w:rsidRPr="00432A7F" w:rsidRDefault="00432A7F" w:rsidP="00432A7F">
      <w:pPr>
        <w:spacing w:after="120" w:line="264" w:lineRule="auto"/>
        <w:ind w:left="851"/>
        <w:jc w:val="both"/>
        <w:rPr>
          <w:rFonts w:eastAsia="Calibri" w:cs="Times New Roman"/>
        </w:rPr>
      </w:pPr>
      <w:r w:rsidRPr="00432A7F">
        <w:rPr>
          <w:rFonts w:eastAsia="Calibri" w:cs="Times New Roman"/>
        </w:rPr>
        <w:t>K.I.1.2. jest realizacją postanowień ustawy z dnia 27 czerwca 1997 r. o bibliotekach. W art. 27 ust. 1 ustawa ta powołuje ogólnokrajową sieć biblioteczną, do której należą wszystkie biblioteki publiczne oraz inne zaliczone przez ministra właściwego do spraw kultury i ochrony dziedzictwa narodowego „w celu prowadzenia jednolitej działalności bibliotecznej i informacyjnej umożlwiającej korzystanie z materiałów bibliotecznych i innych źródeł informacji”.</w:t>
      </w:r>
    </w:p>
    <w:p w:rsidR="00432A7F" w:rsidRPr="00432A7F" w:rsidRDefault="00432A7F" w:rsidP="00432A7F">
      <w:pPr>
        <w:spacing w:after="120" w:line="264" w:lineRule="auto"/>
        <w:ind w:left="851"/>
        <w:jc w:val="both"/>
        <w:rPr>
          <w:rFonts w:eastAsia="Calibri" w:cs="Times New Roman"/>
        </w:rPr>
      </w:pPr>
      <w:r w:rsidRPr="00432A7F">
        <w:rPr>
          <w:rFonts w:eastAsia="Calibri" w:cs="Times New Roman"/>
        </w:rPr>
        <w:lastRenderedPageBreak/>
        <w:t>Budowa platformy ogólnokrajowej sieci bibliotecznej będzie odbywać się przez włączanie kolejnych bibliotek do wspólnej platformy informatycznej – systemu Alma i wyszukiwarki Primo, których zaawansowane możliwości technologiczne umożliwiają realizację zadań, zdefiniowanych ustawie z dnia 27 czerwca 1997 r. o bibliotekach, w tym przede wszystkim gromadzenia, opracowania, przechowywania i udostępniania zbiorów, sporządzania i rozpowszechniania informacji bibliograficznych i dokumentacyjnych, wymiany oraz przekazywania materiałów bibliotecznych i informacji. Największą zaletą integracji bibliotek w ramach zintegrowanego systemu zarządzania zasobami bibliotek jest możliwość współkatalogowania w czasie rzeczywistym w jednym systemie informatycznym – co bezpośrednio wpływa na minimalizację kosztów ponoszonych przez biblioteki. Ponadto znacząco zwiększy się liczba bibliotek z dostępem do katalogu on-line, co wpłynie na zwiększenie dostępności zbiorów dla czytelników.</w:t>
      </w:r>
    </w:p>
    <w:p w:rsidR="00432A7F" w:rsidRPr="00432A7F" w:rsidRDefault="00432A7F" w:rsidP="00432A7F">
      <w:pPr>
        <w:spacing w:after="120" w:line="264" w:lineRule="auto"/>
        <w:ind w:left="851"/>
        <w:jc w:val="both"/>
        <w:rPr>
          <w:rFonts w:eastAsia="Calibri" w:cs="Times New Roman"/>
        </w:rPr>
      </w:pPr>
      <w:r w:rsidRPr="00432A7F">
        <w:rPr>
          <w:rFonts w:eastAsia="Calibri" w:cs="Times New Roman"/>
        </w:rPr>
        <w:t>W 2021 roku przeprowadzono nabór podzielony na dwa konkursy: dla dużych bibliotek publicznych oraz innych zaliczonych przez ministra właściwego do spraw kultury i ochrony dziedzictwa narodowego do ogólnokrajowej sieci bibliotecznej o księgozbiorach liczących powyżej 50 tys. jednostek zbiorów, zlokalizowanych na terenie całego kraju oraz dla bibliotek publicznych zlokalizowanych na terenie województwa świętokrzyskiego, łódzkiego i lubelskiego. W ramach naboru wnioski złożyło 170 instytucji (40 wnioskodawców z naboru dla dużych bibliotek, 130 wnioskodawców z bibliotek z trzech wskazanych województw). Umowy o przyłączenie do zintegrowanego systemu zarządzania zasobami bibliotek podpisało 130 bibliotek (16 wyłonionych w pierwszym konkursie i 114 wyłonionych w drugim konkursie). Przyłączenia odbywać się będą w latach 2022-2025. Zgodnie z założeniami Narodowego Programu Rozwoju Czytelnictwa 2.0 na lata 2021-2025 w 2025 roku powstanie platforma 500 bibliotek: 4 bibliotek już przyłączonych (Biblioteki Narodowej, Biblioteki Jagiellońskiej, Wojewódzkiej Biblioteki Publicznej w Kielcach i Wojewódzkiej Biblioteki Publicznej w Lublinie) oraz 496 bibliotek nowych.</w:t>
      </w:r>
    </w:p>
    <w:p w:rsidR="00432A7F" w:rsidRPr="00432A7F" w:rsidRDefault="00432A7F" w:rsidP="00322671">
      <w:pPr>
        <w:numPr>
          <w:ilvl w:val="0"/>
          <w:numId w:val="12"/>
        </w:numPr>
        <w:autoSpaceDE w:val="0"/>
        <w:autoSpaceDN w:val="0"/>
        <w:adjustRightInd w:val="0"/>
        <w:spacing w:after="120" w:line="264" w:lineRule="auto"/>
        <w:ind w:left="426" w:hanging="426"/>
        <w:jc w:val="both"/>
        <w:rPr>
          <w:rFonts w:eastAsia="Calibri" w:cs="Times New Roman"/>
          <w:iCs/>
          <w:color w:val="000000"/>
          <w:szCs w:val="24"/>
          <w:u w:val="single"/>
        </w:rPr>
      </w:pPr>
      <w:r w:rsidRPr="00432A7F">
        <w:rPr>
          <w:rFonts w:eastAsia="Calibri" w:cs="Times New Roman"/>
          <w:iCs/>
          <w:color w:val="000000"/>
          <w:szCs w:val="24"/>
          <w:u w:val="single"/>
        </w:rPr>
        <w:t xml:space="preserve">Sprawozdanie z realizacji Priorytetu 2 NPRCz 2.0 </w:t>
      </w:r>
    </w:p>
    <w:p w:rsidR="00432A7F" w:rsidRPr="00432A7F" w:rsidRDefault="00432A7F" w:rsidP="00432A7F">
      <w:pPr>
        <w:spacing w:after="120"/>
        <w:ind w:left="425"/>
        <w:jc w:val="both"/>
      </w:pPr>
      <w:r w:rsidRPr="00432A7F">
        <w:t xml:space="preserve">Częścią Narodowego Programu Rozwoju Czytelnictwa 2.0 jest Priorytet 2 i realizowany w jego ramach Kierunek interwencji 2.1. Infrastruktura bibliotek 2021-2025, który jest kontynuacją oraz rozwinięciem Priorytetu „Biblioteka+. Infrastruktura bibliotek” realizowanego w latach 2011-2015 oraz Priorytetu 2 NPRCz z lat 2016-2020. Celem priorytetu jest wzmocnienie potencjału i roli bibliotek publicznych, a realizowany w jego ramach Kierunek interwencji 2.1., służy: dostosowaniu bazy infrastrukturalnej gminnych bibliotek publicznych do współczesnych standardów obiektów użyteczności publicznej; stworzeniu warunków lokalowo-technicznych do rozwijania kompetencji społecznych i kulturowych mieszkańców, w tym służących podnoszeniu ich kompetencji czytelniczych; zwiększeniu poziomu atrakcyjności świadczonych usług bibliotecznych, w szczególności poprzez odpowiednią aranżację przestrzeni i wyposażenie bibliotek. </w:t>
      </w:r>
    </w:p>
    <w:p w:rsidR="00432A7F" w:rsidRPr="00432A7F" w:rsidRDefault="00432A7F" w:rsidP="00432A7F">
      <w:pPr>
        <w:spacing w:after="120"/>
        <w:ind w:left="425"/>
        <w:jc w:val="both"/>
      </w:pPr>
      <w:r w:rsidRPr="00432A7F">
        <w:t xml:space="preserve">W Priorytecie 2, w ramach konkursów ogłaszanych dla Kierunku interwencji 2.1., można ubiegać się dofinansowanie projektów, czyli przedsięwzięć polegających na realizacji jednego z następujących zadań: budowa, przebudowa, rekonstrukcja, adaptacja lub modernizacja bibliotecznego obiektu budowlanego, wraz z jego wyposażeniem. Dofinansowanie w K.I. 2.1. wynosi od 500 000,00 zł do 2 250 000,00 zł. </w:t>
      </w:r>
    </w:p>
    <w:p w:rsidR="00432A7F" w:rsidRPr="00432A7F" w:rsidRDefault="00432A7F" w:rsidP="00322671">
      <w:pPr>
        <w:numPr>
          <w:ilvl w:val="1"/>
          <w:numId w:val="12"/>
        </w:numPr>
        <w:spacing w:after="120"/>
        <w:ind w:left="851" w:hanging="431"/>
        <w:rPr>
          <w:rFonts w:eastAsia="Calibri" w:cs="Times New Roman"/>
          <w:iCs/>
          <w:color w:val="000000"/>
          <w:szCs w:val="24"/>
        </w:rPr>
      </w:pPr>
      <w:r w:rsidRPr="00432A7F">
        <w:rPr>
          <w:rFonts w:eastAsia="Calibri" w:cs="Times New Roman"/>
          <w:iCs/>
          <w:color w:val="000000"/>
          <w:szCs w:val="24"/>
        </w:rPr>
        <w:t>Zadania zrealizowane w ramach Priorytetu 2 NPRCz 2.0 w 2021 r.</w:t>
      </w:r>
    </w:p>
    <w:p w:rsidR="00432A7F" w:rsidRPr="00432A7F" w:rsidRDefault="00432A7F" w:rsidP="00432A7F">
      <w:pPr>
        <w:spacing w:after="120"/>
        <w:ind w:left="851"/>
        <w:jc w:val="both"/>
      </w:pPr>
      <w:r w:rsidRPr="00432A7F">
        <w:t xml:space="preserve">W 2021 roku ogłoszono i rozstrzygnięto I nabór wniosków do konkursu w ramach NPRCz 2.0, Priorytet 2 Kierunek interwencji 2.1. „Infrastruktura bibliotek 2021-2025”. Nabór wniosków </w:t>
      </w:r>
      <w:r w:rsidRPr="00432A7F">
        <w:lastRenderedPageBreak/>
        <w:t xml:space="preserve">dotyczył zadań rozpoczynających się (także dofinansowaniem) w 2021 r. Uprawnieni wnioskodawcy, zgodnie z zapisami par. 2 regulaminu konkursu to samorządowe instytucje kultury </w:t>
      </w:r>
      <w:r w:rsidRPr="00432A7F">
        <w:t xml:space="preserve"> gminne biblioteki publiczne będące samodzielnymi instytucjami kultury oraz gminne instytucje kultury, w skład których wchodzą wyodrębnione organizacyjnie biblioteki publiczne, dla których organem założycielskim jest odpowiednio: gmina wiejska i gmina miejsko-wiejska bez ograniczenia liczby mieszkańców oraz gmina miejska do 100 tys. mieszkańców. </w:t>
      </w:r>
    </w:p>
    <w:p w:rsidR="00432A7F" w:rsidRPr="00432A7F" w:rsidRDefault="00432A7F" w:rsidP="00432A7F">
      <w:pPr>
        <w:spacing w:after="120"/>
        <w:ind w:left="851"/>
        <w:jc w:val="both"/>
      </w:pPr>
      <w:r w:rsidRPr="00432A7F">
        <w:t xml:space="preserve">W I naborze wniosków przeprowadzonej w ramach Kierunku interwencji: 2.1.: Infrastruktura bibliotek 2021–2025 złożono 54 wnioski, w tym 52 wnioski poprawne formalne na łączną kwotę dofinansowania 66 702 931,00 zł oraz 2 wnioski błędne formalnie. Wśród  poprawnych formalnie wniosków złożonych I naborze wniosków 42 wnioski złożyły bibliotek publiczne działające jako samodzielne instytucje kultury,  a 10 biblioteki znajdujące się w strukturach innych instytucji kultury. </w:t>
      </w:r>
    </w:p>
    <w:p w:rsidR="00432A7F" w:rsidRPr="00432A7F" w:rsidRDefault="00432A7F" w:rsidP="00432A7F">
      <w:pPr>
        <w:spacing w:after="120"/>
        <w:ind w:left="851"/>
        <w:jc w:val="both"/>
      </w:pPr>
      <w:r w:rsidRPr="00432A7F">
        <w:t xml:space="preserve">Poprawne formalnie wnioski złożyli wnioskodawcy ze wszystkich województw w kraju, najwięcej wnioskodawców pochodziło z Mazowsza (8), Małopolski (6) i Wielopolski (6). Wśród poprawnych formalnie wniosków 17 dotyczyło modernizacji, 14 przebudowy, 10 adaptacji, 10 budowy i 1 – rekonstrukcji obiektu bibliotecznego. </w:t>
      </w:r>
    </w:p>
    <w:p w:rsidR="00432A7F" w:rsidRPr="00432A7F" w:rsidRDefault="00432A7F" w:rsidP="00432A7F">
      <w:pPr>
        <w:spacing w:after="120"/>
        <w:ind w:left="851"/>
        <w:jc w:val="both"/>
      </w:pPr>
      <w:r w:rsidRPr="00432A7F">
        <w:t>W ramach I naboru spośród poprawnych formalnie wniosków w procedurze konkursowej dofinansowanie otrzymało 18 wniosków o najwyższej liczbie punktów uzyskanych w ocenie merytorycznej i strategicznej łącznie, w kolejności od 1. do 18. miejsca zajmowanego na liście rankingowej, na łączną kwotę dofinansowania 30 469 108,00 zł, a w ramach procedury odwoławczej – 13 wnioskodawców kolejnych wnioskodawców, na łączną kwotę dofinansowania 17 418 815,00 zł</w:t>
      </w:r>
    </w:p>
    <w:p w:rsidR="00432A7F" w:rsidRPr="00432A7F" w:rsidRDefault="00432A7F" w:rsidP="00432A7F">
      <w:pPr>
        <w:spacing w:after="120"/>
        <w:ind w:left="851"/>
        <w:jc w:val="both"/>
      </w:pPr>
      <w:r w:rsidRPr="00432A7F">
        <w:t>Uwzględniając rezygnacje z realizacji zadań (wszystkie rezygnacje nastąpiły przed podpisaniem umów), podpisano 27 umów o dofinansowanie (każda dotyczyła zadania wieloletniego) na łączną kwotę ogółem 61 537 965,00 zł, z tego środki pochodzące z budżetu państwa 40 835 593,00 zł i deklarowany wkład własny w wysokości 20 702 372,00 zł. (stan na 31.01.2022 r.). Żadne z zadań nie zakończyło się w 2021 roku, wszystkie będą kontynuowane w 2022 roku, w tym 14 zakończy się w 2022 roku, 11 zadań planowo zakończy się w 2023 roku, a 2 – w roku 2024.</w:t>
      </w:r>
    </w:p>
    <w:p w:rsidR="00432A7F" w:rsidRPr="00432A7F" w:rsidRDefault="00432A7F" w:rsidP="00432A7F">
      <w:pPr>
        <w:spacing w:after="120"/>
        <w:ind w:left="851"/>
        <w:jc w:val="both"/>
      </w:pPr>
      <w:r w:rsidRPr="00432A7F">
        <w:t xml:space="preserve">Średnie udzielone dofinansowanie – na podstawie umów realizowanych na 31.01.2022 r. – wynosi 1 317 277,19 zł. 8 beneficjentów realizujących zadania na 31.01.2022 r. otrzymało maksymalną kwotę dofinansowania tj. 2 250 000,00 zł, co stanowi 29,63% wszystkich udzielonych dofinansowań. Udzielono 11 dofinansowań w kwocie powyżej 2 000 000,00 zł, co stanowi 40,74% wszystkich udzielonych dofinansowań. Wykorzystanie środków z budżetu PR 2 po pierwszym naborze wynosi 40 835 593,00 zł, co stanowi 17,87% całego budżetu PR 2. </w:t>
      </w:r>
    </w:p>
    <w:p w:rsidR="00432A7F" w:rsidRPr="00432A7F" w:rsidRDefault="00432A7F" w:rsidP="00432A7F">
      <w:pPr>
        <w:spacing w:after="120"/>
        <w:ind w:left="851"/>
        <w:jc w:val="both"/>
      </w:pPr>
      <w:r w:rsidRPr="00432A7F">
        <w:t xml:space="preserve">Największą trudnością dla wnioskujących w I naborze było późne ogłoszenie otwarcia tego naboru (było to bezpośrednio związane z terminem przyjęcia dokumentów programowych). Wymóg regulaminowy, który nakłada na beneficjenta obowiązek wydatkowania określonej części wnioskowanego dofinansowania w pierwszym roku realizacji zadania (dla I naboru – min. 20% całej wnioskowanej kwoty, począwszy od II naboru – minimum 30% wnioskowanej kwoty), dodatkowo zmiana regulaminu związana z uchwaleniem NPRCz 2.0 na lata 2021-2025 i nowe zasady konkursu (w porównaniu z poprzednią edycją NPRCz), powodowały, że </w:t>
      </w:r>
      <w:r w:rsidRPr="00432A7F">
        <w:lastRenderedPageBreak/>
        <w:t xml:space="preserve">część potencjalnych wnioskodawców – co wynikało np. z informacji zwrotnych udzielanych przez nich w trakcie szkoleń – decydowało się odłożyć złożenie wniosku w czasie. </w:t>
      </w:r>
    </w:p>
    <w:p w:rsidR="00432A7F" w:rsidRPr="00432A7F" w:rsidRDefault="00432A7F" w:rsidP="00432A7F">
      <w:pPr>
        <w:spacing w:after="120"/>
        <w:ind w:left="851"/>
        <w:jc w:val="both"/>
      </w:pPr>
      <w:r w:rsidRPr="00432A7F">
        <w:t>W ramach działań informacyjnych i upowszechniających Instytut Książki jako Operator Priorytetu 2 podjął działania:</w:t>
      </w:r>
    </w:p>
    <w:p w:rsidR="00432A7F" w:rsidRPr="00432A7F" w:rsidRDefault="00432A7F" w:rsidP="00432A7F">
      <w:pPr>
        <w:spacing w:after="120"/>
        <w:ind w:left="851"/>
        <w:jc w:val="both"/>
      </w:pPr>
      <w:r w:rsidRPr="00432A7F">
        <w:t xml:space="preserve">- W dniach 22-23 listopada 2021 r. odbyła się konferencja ekspercka „Infrastruktura bibliotek – koncepcje, doświadczenia, dobre praktyki”. Celem konferencji, zorganizowanej w przestrzeni wirtualnej, było podzielenie się doświadczeniami z planowania i przeprowadzania inwestycji przez specjalistów zaangażowanych przy ich realizacji, dyrektorek i dyrektorów bibliotek oraz przedstawicieli władz samorządowych. Konferencja została zapisana w formacie umożliwiającym jej udostępnianie. </w:t>
      </w:r>
    </w:p>
    <w:p w:rsidR="00432A7F" w:rsidRPr="00432A7F" w:rsidRDefault="00432A7F" w:rsidP="00432A7F">
      <w:pPr>
        <w:spacing w:after="120"/>
        <w:ind w:left="851"/>
        <w:jc w:val="both"/>
      </w:pPr>
      <w:r w:rsidRPr="00432A7F">
        <w:t xml:space="preserve">- Pracownicy Instytutu Książki przygotowali oraz przeprowadzili w 2021 roku cykl 14 szkoleń online dla wnioskodawców Kierunku interwencji 2.1. Szkolenia były prowadzone online, za pośrednictwem platformy Zoom, materiały zostały udostępnione na stronie internetowej Instytutu Książki. W trakcie 1. naboru wniosków pracownicy przeprowadzili łącznie 10 szkoleń z zakresu instrukcji wypełniania wniosku o dofinansowanie oraz przybliżających podstawowe zasady ubiegania się o dofinansowanie (każde szkolenie dotyczyło obu tematów). W IV kwartale 2021 roku, po ogłoszeniu informacji o otwarciu 2. naboru wniosków przeprowadzone zostały kolejne 4 szkolenia. Na szkolenia organizowane w 2021 roku zapisało się łącznie 660 osób. </w:t>
      </w:r>
    </w:p>
    <w:p w:rsidR="00432A7F" w:rsidRPr="00432A7F" w:rsidRDefault="00432A7F" w:rsidP="00432A7F">
      <w:pPr>
        <w:spacing w:after="120"/>
        <w:ind w:left="851"/>
        <w:jc w:val="both"/>
      </w:pPr>
      <w:r w:rsidRPr="00432A7F">
        <w:t>- Opracowano materiał filmowy o charakterze instruktażowo-informacyjnym, poświęcony „Infrastrukturze bibliotek”. W materiale znalazły się wypowiedzi dyrektorek, kierowniczek i dyrektorów bibliotek, specjalistek i specjalistów oraz przedstawiciel samorządów. Film skierowany jest w głównej mierze do potencjalnych wnioskodawców kolejnych naborów wniosków. Jest odpowiedzią m.in. na oczekiwania przyszłych wnioskodawców wyrażone w badaniu ankietowym przeprowadzonym po konferencji eksperckiej.  Celem materiału było m.in. pokazanie dobrych praktyk i roli współpracy biblioteki z lokalnymi władzami, wskazanie rozwiązań przynoszących dodatkowe punkty w procesie oceny wniosku i niosących korzyści dla inwestora-biblioteki. To także próba odpowiedzi na pytania: dla kogo i po co inwestuje się w bibliotekę, jaką społeczną przemianę ta inwestycja może wyzwolić, jakie szanse daje.  Materiał jest dostępny m.in. na kanale YouTube Instytutu Książki.</w:t>
      </w:r>
    </w:p>
    <w:p w:rsidR="00432A7F" w:rsidRPr="00432A7F" w:rsidRDefault="00432A7F" w:rsidP="00322671">
      <w:pPr>
        <w:numPr>
          <w:ilvl w:val="0"/>
          <w:numId w:val="12"/>
        </w:numPr>
        <w:spacing w:after="120"/>
        <w:ind w:left="426" w:hanging="426"/>
        <w:jc w:val="both"/>
        <w:rPr>
          <w:u w:val="single"/>
        </w:rPr>
      </w:pPr>
      <w:r w:rsidRPr="00432A7F">
        <w:rPr>
          <w:u w:val="single"/>
        </w:rPr>
        <w:t>Sprawozdanie z realizacji Priorytetu 3 NPRCz 2.0</w:t>
      </w:r>
    </w:p>
    <w:p w:rsidR="00432A7F" w:rsidRPr="00432A7F" w:rsidRDefault="00432A7F" w:rsidP="00432A7F">
      <w:pPr>
        <w:spacing w:after="120"/>
        <w:ind w:left="425"/>
        <w:jc w:val="both"/>
      </w:pPr>
      <w:r w:rsidRPr="00432A7F">
        <w:t>Kolejną częścią Narodowego Programu Rozwoju Czytelnictwa 2.0 jest Priorytet 3 i realizowane w jego ramach Kierunek interwencji 3.1. Zakup nowości wydawniczych do placówek wychowania przedszkolnego oraz Kierunek interwencji 3.2. Zakup nowości wydawniczych oraz elementów wyposażenia do bibliotek szkolnych i pedagogicznych.</w:t>
      </w:r>
    </w:p>
    <w:p w:rsidR="00432A7F" w:rsidRPr="00432A7F" w:rsidRDefault="00432A7F" w:rsidP="00322671">
      <w:pPr>
        <w:numPr>
          <w:ilvl w:val="1"/>
          <w:numId w:val="12"/>
        </w:numPr>
        <w:spacing w:after="120"/>
        <w:ind w:left="851" w:hanging="431"/>
      </w:pPr>
      <w:r w:rsidRPr="00432A7F">
        <w:t>Zadania zrealizowane w ramach Priorytetu 3 NPRCz 2.0 w 2021 r.</w:t>
      </w:r>
    </w:p>
    <w:p w:rsidR="00432A7F" w:rsidRPr="00432A7F" w:rsidRDefault="00432A7F" w:rsidP="00432A7F">
      <w:pPr>
        <w:spacing w:after="120"/>
        <w:ind w:left="851"/>
        <w:jc w:val="both"/>
      </w:pPr>
      <w:r w:rsidRPr="00432A7F">
        <w:t xml:space="preserve">O prawie milion książek wzbogaciły się placówki wychowania przedszkolnego, szkoły podstawowe i ponadpodstawowe oraz biblioteki pedagogiczne, które w 2021 roku wzięły udział w Priorytecie 3 Narodowego Programu Rozwoju Czytelnictwa 2.0. </w:t>
      </w:r>
    </w:p>
    <w:p w:rsidR="00432A7F" w:rsidRPr="00432A7F" w:rsidRDefault="00432A7F" w:rsidP="00432A7F">
      <w:pPr>
        <w:spacing w:after="120"/>
        <w:ind w:left="851"/>
        <w:jc w:val="both"/>
      </w:pPr>
      <w:r w:rsidRPr="00432A7F">
        <w:t>Ministerstwo Edukacji i Nauki podsumowało pierwszy rok realizacji Priorytetu 3 NPRCz 2.0. W ramach nowej edycji programu wsparcie mogły otrzymać:</w:t>
      </w:r>
    </w:p>
    <w:p w:rsidR="00432A7F" w:rsidRPr="00432A7F" w:rsidRDefault="00432A7F" w:rsidP="00432A7F">
      <w:pPr>
        <w:spacing w:after="120"/>
        <w:ind w:left="851"/>
        <w:jc w:val="both"/>
      </w:pPr>
      <w:r w:rsidRPr="00432A7F">
        <w:t>1) w ramach Kierunku interwencji 3.1. - placówki wychowania przedszkolnego – na zakup książek dla dzieci oraz działania promujące czytelnictwo,</w:t>
      </w:r>
    </w:p>
    <w:p w:rsidR="00432A7F" w:rsidRPr="00432A7F" w:rsidRDefault="00432A7F" w:rsidP="00432A7F">
      <w:pPr>
        <w:spacing w:after="120"/>
        <w:ind w:left="851"/>
        <w:jc w:val="both"/>
      </w:pPr>
      <w:r w:rsidRPr="00432A7F">
        <w:lastRenderedPageBreak/>
        <w:t>2) w ramach Kierunku interwencji 3.2. - szkoły i biblioteki pedagogiczne - na zakup książek oraz elementów wyposażenia do bibliotek dzieci oraz działania promujące czytelnictwo.</w:t>
      </w:r>
    </w:p>
    <w:p w:rsidR="00432A7F" w:rsidRPr="00432A7F" w:rsidRDefault="00432A7F" w:rsidP="00432A7F">
      <w:pPr>
        <w:spacing w:after="120"/>
        <w:ind w:left="851"/>
        <w:jc w:val="both"/>
      </w:pPr>
      <w:r w:rsidRPr="00432A7F">
        <w:t xml:space="preserve">Ogółem na realizacje Priorytetu 3 została przeznaczona z budżetu państwa kwota 20 000 000 zł, a wykorzystano 19 112 854 zł.  </w:t>
      </w:r>
    </w:p>
    <w:p w:rsidR="00432A7F" w:rsidRPr="00432A7F" w:rsidRDefault="00432A7F" w:rsidP="00432A7F">
      <w:pPr>
        <w:spacing w:after="120"/>
        <w:ind w:left="851"/>
        <w:jc w:val="both"/>
      </w:pPr>
      <w:r w:rsidRPr="00432A7F">
        <w:t>W ramach Kierunku interwencji 3.1. ze wsparcia skorzystały 1443 placówki wychowania przedszkolnego, w tym 337 oddziały przedszkolne w szkołach i 1106 przedszkoli. Do placówek wychowania przedszkolnego zostało zakupionych 270 248 książek (w tym 264 861 papierowych, 5 032 audiobooki i 355 książki elektroniczne).</w:t>
      </w:r>
    </w:p>
    <w:p w:rsidR="00432A7F" w:rsidRPr="00432A7F" w:rsidRDefault="00432A7F" w:rsidP="00432A7F">
      <w:pPr>
        <w:spacing w:after="120"/>
        <w:ind w:left="851"/>
        <w:jc w:val="both"/>
      </w:pPr>
      <w:r w:rsidRPr="00432A7F">
        <w:t>W ramach Kierunku interwencji 3.2. o wsparcie z budżetu państwa ubiegały się organy prowadzące szkoły podstawowe i ponadpodstawowe oraz szkoły artystyczne realizujące kształcenie ogólne w zakresie szkoły podstawowej lub liceum ogólnokształcące: jednostki samorządu terytorialnego, osoby prawne inne niż jednostki samorządu terytorialnego, osoby fizyczne oraz ministrowie: właściwy do spraw kultury i ochrony dziedzictwa narodowego, właściwy do spraw rolnictwa, właściwy do spraw gospodarki morskiej.</w:t>
      </w:r>
    </w:p>
    <w:p w:rsidR="00432A7F" w:rsidRPr="00432A7F" w:rsidRDefault="00432A7F" w:rsidP="00432A7F">
      <w:pPr>
        <w:spacing w:after="120"/>
        <w:ind w:left="851"/>
        <w:jc w:val="both"/>
      </w:pPr>
      <w:r w:rsidRPr="00432A7F">
        <w:t>W 2021 r. w programie wzięły udział 1 970 szkoły (w tym 1629 podstawowych i 340 ponadpodstawowe). Zgodnie z założeniami Priorytetu 3, organ prowadzący, który otrzymał wsparcie finansowe, był zobowiązany przeznaczyć nie mniej niż 50% kwoty wsparcia otrzymanego w odniesieniu do danej szkoły lub biblioteki pedagogiczne na zakup książek. Ogółem do bibliotek szkolnych i pedagogicznych zostało zakupionych 660 064 wydawniczych. Odsetek lektur szkolnych sięga 40 %.</w:t>
      </w:r>
    </w:p>
    <w:p w:rsidR="00432A7F" w:rsidRPr="00432A7F" w:rsidRDefault="00432A7F" w:rsidP="00432A7F">
      <w:pPr>
        <w:spacing w:after="120"/>
        <w:ind w:left="851"/>
        <w:jc w:val="both"/>
      </w:pPr>
      <w:r w:rsidRPr="00432A7F">
        <w:t xml:space="preserve">Do wszystkich szkół objętych wsparciem uczęszcza 560 691 uczniów. 380 494 z nich </w:t>
      </w:r>
      <w:r w:rsidRPr="00432A7F">
        <w:rPr>
          <w:spacing w:val="-2"/>
        </w:rPr>
        <w:t>korzystało</w:t>
      </w:r>
      <w:r w:rsidRPr="00432A7F">
        <w:t xml:space="preserve"> z nowości wydawniczych zakupionych w ramach Priorytetu 3 NPRCz 2.0 w 2021 r.</w:t>
      </w:r>
    </w:p>
    <w:p w:rsidR="00432A7F" w:rsidRPr="00432A7F" w:rsidRDefault="00432A7F" w:rsidP="00432A7F">
      <w:pPr>
        <w:spacing w:after="120"/>
        <w:ind w:left="851"/>
        <w:jc w:val="both"/>
      </w:pPr>
      <w:r w:rsidRPr="00432A7F">
        <w:t xml:space="preserve">Do bibliotek szkolnych i bibliotek pedagogicznych zostały ponadto zakupione elementy wyposażenia wnętrz, dzięki którym możliwa była zmiana organizacji przestrzennej biblioteki: regały biblioteczne, krzesła, lampki biurkowe, podpórki do książek, lada biblioteczna, sofy, pufy, dywany do kącików bibliotecznych, półki ekspozycyjne, antyramy. Szkoły i biblioteki pedagogiczne za otrzymane wsparcie dokonywały także zakupów sprzętu komputerowego oraz oprogramowania do biblioteki do wykorzystania przez nauczyciela bibliotekarza. </w:t>
      </w:r>
    </w:p>
    <w:p w:rsidR="00432A7F" w:rsidRPr="00432A7F" w:rsidRDefault="00432A7F" w:rsidP="00432A7F">
      <w:pPr>
        <w:spacing w:after="120"/>
        <w:ind w:left="851"/>
        <w:jc w:val="both"/>
      </w:pPr>
      <w:r w:rsidRPr="00432A7F">
        <w:t>W ramach Kierunku interwencji 3.1. i Kierunku interwencji 3.2. placówki wychowania przedszkolnego, szkoły i biblioteki pedagogiczne przeznaczały część środków na prowadzenie działań promujących czytelnictwo. W placówkach wychowania przedszkolnego, szkołach i bibliotekach pedagogicznych były organizowane konkursy, akcje czytelnicze, spotkania z twórcami, warsztaty, zajęcia teatralne, kiermasze książek, wystawy, wieczorki poetycko-literackie. Nawiązana została także współpraca między placówkami wychowania przedszkolnego i szkołami a bibliotekami publicznymi i pedagogicznymi.</w:t>
      </w:r>
    </w:p>
    <w:p w:rsidR="00432A7F" w:rsidRPr="00432A7F" w:rsidRDefault="00432A7F" w:rsidP="00322671">
      <w:pPr>
        <w:numPr>
          <w:ilvl w:val="0"/>
          <w:numId w:val="12"/>
        </w:numPr>
        <w:spacing w:after="120"/>
        <w:ind w:left="357" w:hanging="357"/>
        <w:rPr>
          <w:u w:val="single"/>
        </w:rPr>
      </w:pPr>
      <w:r w:rsidRPr="00432A7F">
        <w:rPr>
          <w:u w:val="single"/>
        </w:rPr>
        <w:t>Sprawozdanie z realizacji Priorytetu 4 NPRCz 2.0</w:t>
      </w:r>
    </w:p>
    <w:p w:rsidR="00432A7F" w:rsidRPr="00432A7F" w:rsidRDefault="00432A7F" w:rsidP="00432A7F">
      <w:pPr>
        <w:spacing w:after="120"/>
        <w:ind w:left="357"/>
        <w:jc w:val="both"/>
      </w:pPr>
      <w:r w:rsidRPr="00432A7F">
        <w:t>Integralną częścią Narodowego Programu Rozwoju Czytelnictwa 2.0 jest także Priorytet 4 i realizowane w jego ramach Kierunek interwencji 4.1. BLISKO – Biblioteka | Lokalność | Inicjatywy | Społeczność | Kooperacja | Oddolność, oraz Kierunek interwencji 4.2. Kampania społeczno-informacyjna.</w:t>
      </w:r>
    </w:p>
    <w:p w:rsidR="00432A7F" w:rsidRPr="00432A7F" w:rsidRDefault="00432A7F" w:rsidP="00322671">
      <w:pPr>
        <w:numPr>
          <w:ilvl w:val="1"/>
          <w:numId w:val="12"/>
        </w:numPr>
        <w:ind w:left="851"/>
        <w:contextualSpacing/>
        <w:rPr>
          <w:u w:val="single"/>
        </w:rPr>
      </w:pPr>
      <w:r w:rsidRPr="00432A7F">
        <w:rPr>
          <w:u w:val="single"/>
        </w:rPr>
        <w:t>Zadania zrealizowane w ramach Priorytetu 4 NPRCz 2.0 w 2021 r.</w:t>
      </w:r>
    </w:p>
    <w:p w:rsidR="00432A7F" w:rsidRPr="00432A7F" w:rsidRDefault="00432A7F" w:rsidP="00432A7F">
      <w:pPr>
        <w:spacing w:after="120"/>
        <w:ind w:left="851"/>
        <w:jc w:val="both"/>
      </w:pPr>
      <w:r w:rsidRPr="00432A7F">
        <w:t xml:space="preserve">Rok 2021 był pierwszym rokiem realizacji Narodowego Programu Rozwoju Czytelnictwa 2.0. W ramach celu głównego Priorytet 4 miał wpływ na realizację wskaźnika Liczba bibliotek i placówek wychowania przedszkolnego objętych wsparciem w ramach NPRCz 2.0. Wartość </w:t>
      </w:r>
      <w:r w:rsidRPr="00432A7F">
        <w:lastRenderedPageBreak/>
        <w:t>wskaźnika w okresie sprawozdawczym została zrealizowana na poziomie wyższym niż początkowo zakładano (109%). Analiza wartości wskaźników dla celu szczegółowego 4 pozwala stwierdzić, że nie wystąpiło ryzyko nieosiągnięcia celów określonych na 2025 r. Na koniec okresu sprawozdawczego poziom realizacji mieścił się w przedziale 100% - 331% wartości przewidzianych dla 2021 r. Podobnie w przypadku postępu finansowego – na poziomie całego priorytetu zrealizowano wydatki stanowiące ok. 12% alokacji. Analizując ten wynik w kontekście czasowym, objął okres 6 miesięcy, a do końca realizacji Programu pozostało jeszcze 8 takich wycinków czasu, postęp finansowy należy uznać za satysfakcjonujący. Wyniki uzyskane w pierwszym okresie sprawozdawczym wydają się wystarczające, aby zapewnić realizację wartości docelowych.</w:t>
      </w:r>
    </w:p>
    <w:p w:rsidR="00432A7F" w:rsidRPr="00432A7F" w:rsidRDefault="00432A7F" w:rsidP="00432A7F">
      <w:pPr>
        <w:spacing w:after="120"/>
        <w:ind w:left="851"/>
        <w:jc w:val="both"/>
      </w:pPr>
      <w:r w:rsidRPr="00432A7F">
        <w:t>Pierwszy nabór wniosków w konkursie w ramach Kierunku interwencji 4.1 został ogłoszony 30 czerwca 2021 r. złożono 70 wniosków, przy czym jeden nie spełniał wymogów regulaminu i nie przeszedł pozytywnie oceny formalnej. Wnioski poprawne formalnie opiewały na kwotę 8 672 272 zł (w tym wnioskowany wkład z budżetu państwa: 7 736 370 zł). Podpisano 49 umów o łącznej wartości 6 036 600 zł obejmującej kwotę 5 393 300 zł wkładu z budżetu państwa. Ponadto ze środków Kierunku interwencji 4.1 sfinansowano umowy na kompleksową realizację konsultacji on-line dla beneficjentów, kompleksową realizację konferencji on-line dla beneficjentów, obsługę platformy e-learningowej – szkolenia on-line dla beneficjentów, pakiety konferencyjne dla beneficjentów, przygotowanie, produkcję i wdrożenie treści merytorycznych do szkoleń e-learningowy</w:t>
      </w:r>
      <w:r w:rsidR="001B1C60">
        <w:t>ch, na łączną kwotę 288 356, 21 </w:t>
      </w:r>
      <w:r w:rsidRPr="00432A7F">
        <w:t xml:space="preserve">zł. </w:t>
      </w:r>
    </w:p>
    <w:p w:rsidR="00432A7F" w:rsidRPr="00432A7F" w:rsidRDefault="00432A7F" w:rsidP="00432A7F">
      <w:pPr>
        <w:spacing w:after="120"/>
        <w:ind w:left="851"/>
        <w:jc w:val="both"/>
      </w:pPr>
      <w:r w:rsidRPr="00432A7F">
        <w:t xml:space="preserve">W ramach Kierunku interwencji 4.2 rozpoczęto wdrażanie kampanii społeczno-informacyjnej m.in. poprzez stworzenie identyfikacji wizualnej wraz z logotypem Programu, uruchomienie strony internetowej oraz kanałów w mediach społecznościowych oraz przygotowanie spotu wizerunkowego i jego ekspozycja w telewizji, radiu oraz Internecie. Wydatkowano łącznie prawie 4 mln zł, w tym 1 169,06 tys. zł na podzadanie Działania społeczno-wizerunkowe i 2 674,49 tys. zł na podzadanie Działania promocyjno-informacyjne. </w:t>
      </w:r>
    </w:p>
    <w:p w:rsidR="00432A7F" w:rsidRPr="00432A7F" w:rsidRDefault="00432A7F" w:rsidP="00432A7F">
      <w:pPr>
        <w:spacing w:after="120"/>
        <w:ind w:left="851"/>
        <w:jc w:val="both"/>
      </w:pPr>
      <w:r w:rsidRPr="00432A7F">
        <w:t>Dla realizacji działań zaplanowanych w ramach Priorytetu istotne znaczenie miała pandemia COVID-19 oraz związane z nią obostrzenia. Mając na uwadze kwestie bezpieczeństwa, podjęto decyzję, że wszystkie działania szkoleniowe (konsultacje z animatorami/tutorami, szkolenia, konferencje) przewidziane w ramach Kierunku interwencji 4.1 zostaną zrealizowane w formie online, na platformach szkoleniowych i konferencyjnych, a także zrezygnowano z działań ambientowych w ramach Kierunku interwencji 4.2.</w:t>
      </w:r>
    </w:p>
    <w:p w:rsidR="00432A7F" w:rsidRPr="00432A7F" w:rsidRDefault="00432A7F" w:rsidP="00432A7F">
      <w:pPr>
        <w:spacing w:after="120"/>
        <w:ind w:left="851"/>
        <w:jc w:val="both"/>
      </w:pPr>
      <w:r w:rsidRPr="00432A7F">
        <w:t>W roku sprawozdawczym cyklicznie odbywały się spotkania w ramach dwóch zespołów roboczych zrzeszających przedstawicieli Operatorów Programu, których koordynacja przypadła NCK: grupy roboczej ds. monitoringu i ewaluacji oraz grupy roboczej ds. promocji. Oba zespoły działają w oparciu o zatwierdzone przez Ministra Kultury i Dziedzictwa Narodowego Plany.</w:t>
      </w:r>
    </w:p>
    <w:p w:rsidR="00432A7F" w:rsidRPr="00432A7F" w:rsidRDefault="00432A7F" w:rsidP="00322671">
      <w:pPr>
        <w:numPr>
          <w:ilvl w:val="0"/>
          <w:numId w:val="12"/>
        </w:numPr>
        <w:spacing w:after="120"/>
        <w:ind w:left="357" w:hanging="357"/>
        <w:jc w:val="both"/>
        <w:rPr>
          <w:u w:val="single"/>
        </w:rPr>
      </w:pPr>
      <w:r w:rsidRPr="00432A7F">
        <w:rPr>
          <w:u w:val="single"/>
        </w:rPr>
        <w:t>Sprawozdanie z realizacji badań naukowych i ewaluacji przeprowadzonych na potrzeby NPRCz 2.0</w:t>
      </w:r>
    </w:p>
    <w:p w:rsidR="00432A7F" w:rsidRPr="00432A7F" w:rsidRDefault="00432A7F" w:rsidP="00432A7F">
      <w:pPr>
        <w:tabs>
          <w:tab w:val="left" w:pos="1134"/>
        </w:tabs>
        <w:spacing w:after="120"/>
        <w:ind w:left="426"/>
        <w:jc w:val="both"/>
        <w:rPr>
          <w:rFonts w:ascii="Calibri" w:eastAsia="Calibri" w:hAnsi="Calibri" w:cs="Times New Roman"/>
        </w:rPr>
      </w:pPr>
      <w:r w:rsidRPr="00432A7F">
        <w:rPr>
          <w:rFonts w:ascii="Calibri" w:eastAsia="Calibri" w:hAnsi="Calibri" w:cs="Times New Roman"/>
        </w:rPr>
        <w:t xml:space="preserve">Podstawą wszelkich działań realizowanych w zakresie ewaluacji i monitoringu NPRCz 2.0 jest „Plan Ewaluacji i Monitoringu Narodowego Programu Rozwoju Czytelnictwa 2.0 na lata 2021-2025” [Plan Ewaluacji i Monitoringu NPRCz 2.0], zatwierdzony 14 lipca 2021 r. przez Ministra Kultury, Dziedzictwa Narodowego i Sportu, którego kompetencje w tym zakresie zostały wskazane w treści </w:t>
      </w:r>
      <w:r w:rsidRPr="00432A7F">
        <w:rPr>
          <w:rFonts w:ascii="Calibri" w:eastAsia="Calibri" w:hAnsi="Calibri" w:cs="Times New Roman"/>
        </w:rPr>
        <w:lastRenderedPageBreak/>
        <w:t>NPRCz 2.0</w:t>
      </w:r>
      <w:r w:rsidRPr="00432A7F">
        <w:rPr>
          <w:rFonts w:ascii="Calibri" w:eastAsia="Calibri" w:hAnsi="Calibri" w:cs="Times New Roman"/>
          <w:vertAlign w:val="superscript"/>
        </w:rPr>
        <w:footnoteReference w:id="18"/>
      </w:r>
      <w:r w:rsidRPr="00432A7F">
        <w:rPr>
          <w:rFonts w:ascii="Calibri" w:eastAsia="Calibri" w:hAnsi="Calibri" w:cs="Times New Roman"/>
        </w:rPr>
        <w:t>. W 2021 r. Plan Ewaluacji i Monitoringu Narodowego Programu Rozwoju Czytelnictwa 2.0 na lata 2021-2025, był dwukrotnie aktualizowany</w:t>
      </w:r>
      <w:r w:rsidRPr="00432A7F">
        <w:rPr>
          <w:rFonts w:ascii="Calibri" w:eastAsia="Calibri" w:hAnsi="Calibri" w:cs="Times New Roman"/>
          <w:vertAlign w:val="superscript"/>
        </w:rPr>
        <w:footnoteReference w:id="19"/>
      </w:r>
      <w:r w:rsidRPr="00432A7F">
        <w:rPr>
          <w:rFonts w:ascii="Calibri" w:eastAsia="Calibri" w:hAnsi="Calibri" w:cs="Times New Roman"/>
        </w:rPr>
        <w:t>: pierwsza aktualizacja została przeprowadzona 12 października 2021 r., druga aktualizacja została przeprowadzona 23 listopada 2021 r.</w:t>
      </w:r>
    </w:p>
    <w:p w:rsidR="00432A7F" w:rsidRPr="00432A7F" w:rsidRDefault="00432A7F" w:rsidP="00432A7F">
      <w:pPr>
        <w:tabs>
          <w:tab w:val="left" w:pos="1134"/>
        </w:tabs>
        <w:spacing w:after="120"/>
        <w:ind w:left="426"/>
        <w:jc w:val="both"/>
        <w:rPr>
          <w:rFonts w:ascii="Calibri" w:eastAsia="Calibri" w:hAnsi="Calibri" w:cs="Times New Roman"/>
        </w:rPr>
      </w:pPr>
      <w:r w:rsidRPr="00432A7F">
        <w:rPr>
          <w:rFonts w:ascii="Calibri" w:eastAsia="Calibri" w:hAnsi="Calibri" w:cs="Times New Roman"/>
        </w:rPr>
        <w:t>Zgodnie z zapisami Programu głównymi celami jego ewaluacji są poprawa i doskonalenie procesów wdrażania Programu oraz rzetelna ocena uzyskiwanych efektów, również na tle szerszych procesów społecznych, ekonomicznych i kulturowych, które mają związek z kształtowaniem się postaw czytelniczych Polaków</w:t>
      </w:r>
      <w:r w:rsidRPr="00432A7F">
        <w:rPr>
          <w:rFonts w:ascii="Calibri" w:eastAsia="Calibri" w:hAnsi="Calibri" w:cs="Times New Roman"/>
          <w:vertAlign w:val="superscript"/>
        </w:rPr>
        <w:footnoteReference w:id="20"/>
      </w:r>
      <w:r w:rsidRPr="00432A7F">
        <w:rPr>
          <w:rFonts w:ascii="Calibri" w:eastAsia="Calibri" w:hAnsi="Calibri" w:cs="Times New Roman"/>
        </w:rPr>
        <w:t>. Natomiast system monitoringu ma zapewnić systematyczne monitorowanie postępu realizacji oraz stopnia osiągania celów Programu.</w:t>
      </w:r>
    </w:p>
    <w:p w:rsidR="00432A7F" w:rsidRPr="00432A7F" w:rsidRDefault="00432A7F" w:rsidP="00432A7F">
      <w:pPr>
        <w:tabs>
          <w:tab w:val="left" w:pos="1134"/>
        </w:tabs>
        <w:spacing w:after="120"/>
        <w:ind w:left="426"/>
        <w:jc w:val="both"/>
        <w:rPr>
          <w:rFonts w:ascii="Calibri" w:eastAsia="Calibri" w:hAnsi="Calibri" w:cs="Times New Roman"/>
        </w:rPr>
      </w:pPr>
      <w:r w:rsidRPr="00432A7F">
        <w:rPr>
          <w:rFonts w:ascii="Calibri" w:eastAsia="Calibri" w:hAnsi="Calibri" w:cs="Times New Roman"/>
        </w:rPr>
        <w:t>Plan Ewaluacji i Monitoringu NPRCz 2.0 zawiera indykatywną listę 15 głównych badań monitoringowych, ewaluacyjnych i naukowych zaplanowanych na lata 2021-2025, wraz z przyporządkowanym im, szacunkowym budżetem.</w:t>
      </w:r>
    </w:p>
    <w:p w:rsidR="00432A7F" w:rsidRPr="00432A7F" w:rsidRDefault="00432A7F" w:rsidP="00322671">
      <w:pPr>
        <w:numPr>
          <w:ilvl w:val="1"/>
          <w:numId w:val="12"/>
        </w:numPr>
        <w:spacing w:after="120"/>
        <w:ind w:left="426"/>
        <w:jc w:val="both"/>
      </w:pPr>
      <w:r w:rsidRPr="00432A7F">
        <w:t xml:space="preserve">Zadania zrealizowane w 2021 r. zgodnie z założeniami Planu Ewaluacji i Monitoringu NPRCz 2.0 </w:t>
      </w:r>
    </w:p>
    <w:p w:rsidR="00432A7F" w:rsidRPr="00432A7F" w:rsidRDefault="00432A7F" w:rsidP="00322671">
      <w:pPr>
        <w:numPr>
          <w:ilvl w:val="2"/>
          <w:numId w:val="12"/>
        </w:numPr>
        <w:spacing w:after="120"/>
        <w:ind w:left="1134" w:hanging="708"/>
        <w:jc w:val="both"/>
      </w:pPr>
      <w:r w:rsidRPr="00432A7F">
        <w:t xml:space="preserve">Zgodnie z założeniami Planu Ewaluacji i Monitoringu NPRCz 2.0 w 2021 r. Narodowe Centrum  Kultury zrealizowało dwa badania: </w:t>
      </w:r>
    </w:p>
    <w:p w:rsidR="00432A7F" w:rsidRPr="00432A7F" w:rsidRDefault="00432A7F" w:rsidP="00322671">
      <w:pPr>
        <w:numPr>
          <w:ilvl w:val="6"/>
          <w:numId w:val="13"/>
        </w:numPr>
        <w:spacing w:after="120"/>
        <w:ind w:left="1560"/>
        <w:jc w:val="both"/>
      </w:pPr>
      <w:r w:rsidRPr="00432A7F">
        <w:t>Ewaluację wstępną NPRCz 2.0 zawierającą moduł oceny efektów poprzedniej edycji Programu (służącą weryfikacji trafności założeń przyjętych na etapie programowania w celu wprowadzenia ewentualnych niezbędnych korekt na wczesnym etapie wdrażania oraz dostarczenia pogłębionej i ustrukturyzowanej wiedzy kontekstowej);</w:t>
      </w:r>
    </w:p>
    <w:p w:rsidR="00432A7F" w:rsidRPr="00432A7F" w:rsidRDefault="00432A7F" w:rsidP="00322671">
      <w:pPr>
        <w:numPr>
          <w:ilvl w:val="6"/>
          <w:numId w:val="13"/>
        </w:numPr>
        <w:spacing w:after="120"/>
        <w:ind w:left="1560"/>
        <w:jc w:val="both"/>
      </w:pPr>
      <w:r w:rsidRPr="00432A7F">
        <w:t>Badanie dotyczące kampanii promocyjnej (pierwsza fala cyklicznego badania dostarczającego bieżącej wiedzy na temat efektywności prowadzonej kampanii, umożliwiającego wprowadzanie niezbędnych korekt).</w:t>
      </w:r>
    </w:p>
    <w:p w:rsidR="00432A7F" w:rsidRPr="00432A7F" w:rsidRDefault="00432A7F" w:rsidP="00432A7F">
      <w:pPr>
        <w:spacing w:after="120"/>
        <w:ind w:left="1134"/>
        <w:jc w:val="both"/>
      </w:pPr>
      <w:r w:rsidRPr="00432A7F">
        <w:t xml:space="preserve">Raport z ewaluacji wstępnej Programu zwieńczony został sformułowaniem wniosków i 12 rekomendacji dotyczących wdrożenia działań na rzecz wsparcia bibliotekarzy i wzmocnienia czytelnictwa w różnych grupach, jak również zmian w treści Programu oraz ponownej weryfikacji docelowych wartości wskaźników. </w:t>
      </w:r>
    </w:p>
    <w:p w:rsidR="00432A7F" w:rsidRPr="00432A7F" w:rsidRDefault="00432A7F" w:rsidP="00432A7F">
      <w:pPr>
        <w:spacing w:after="120"/>
        <w:ind w:left="1134"/>
        <w:jc w:val="both"/>
      </w:pPr>
      <w:r w:rsidRPr="00432A7F">
        <w:t xml:space="preserve">Główne wnioski płynące z kampanii promocyjnej NPRCz 2.0 ogniskują się wokół kwestii postrzegania czytania książek jako zajęcia atrakcyjnego w grupie osób o wyższym kapitale społecznym. Do tej grupy zaliczają się także częściej użytkownicy bibliotek. W tej grupie </w:t>
      </w:r>
      <w:r w:rsidRPr="00432A7F">
        <w:lastRenderedPageBreak/>
        <w:t>również bardziej doceniany jest logotyp Programu, co może świadczyć o jego ekskluzywności i ewentualnym dystansowaniu pozostałych grup odbiorców. Wyniki badania zwracają uwagę na niewykorzystany potencjał bibliotek w kontekście potencjalnych grup użytkowników.</w:t>
      </w:r>
    </w:p>
    <w:p w:rsidR="00432A7F" w:rsidRPr="00432A7F" w:rsidRDefault="00432A7F" w:rsidP="00322671">
      <w:pPr>
        <w:numPr>
          <w:ilvl w:val="2"/>
          <w:numId w:val="12"/>
        </w:numPr>
        <w:spacing w:after="120"/>
        <w:ind w:left="1134" w:hanging="708"/>
        <w:jc w:val="both"/>
      </w:pPr>
      <w:r w:rsidRPr="00432A7F">
        <w:t xml:space="preserve"> Zgodnie z założeniami Planu Ewaluacji i Monitoringu NPRCz 2.0 w 2021 r. Biblioteka Narodowa  zrealizowała dwa badania:</w:t>
      </w:r>
    </w:p>
    <w:p w:rsidR="00432A7F" w:rsidRPr="00432A7F" w:rsidRDefault="00432A7F" w:rsidP="00322671">
      <w:pPr>
        <w:numPr>
          <w:ilvl w:val="0"/>
          <w:numId w:val="14"/>
        </w:numPr>
        <w:spacing w:after="120"/>
        <w:ind w:left="1560"/>
        <w:jc w:val="both"/>
      </w:pPr>
      <w:r w:rsidRPr="00432A7F">
        <w:t xml:space="preserve">Stan czytelnictwa w Polsce, ilościowe badanie czytelnictwa książek metodą CAPI (Computer Assisted Personal Interview) na ogólnopolskiej próbie reprezentatywnej obywateli Polski w wieku 15 lat i więcej o liczebności minimum 2000 respondentów i na ogólnopolskiej próbie reprezentatywnej obywateli Polski w wieku 60 lat i więcej o liczebności minimum 1000 respondentów. Ponadto wykonane zostało statystyczne opracowanie wyników ww. ilościowego badania czytelnictwa książek oraz została stworzona waga analityczna, która została dołączona do bazy danych wraz z koniecznymi przekształceniami. </w:t>
      </w:r>
    </w:p>
    <w:p w:rsidR="00432A7F" w:rsidRPr="00432A7F" w:rsidRDefault="00432A7F" w:rsidP="00432A7F">
      <w:pPr>
        <w:spacing w:after="120"/>
        <w:ind w:left="1560"/>
        <w:jc w:val="both"/>
      </w:pPr>
      <w:r w:rsidRPr="00432A7F">
        <w:t>Ze względu na spadek czytających w badaniu przeprowadzonym w listopadzie 2021 r. (34%) Biblioteka Narodowa zleciła powtórzenie badania w marcu 2022 r. Badanie przeprowadzone w marcu 2022 r. potwierdziło spadek czytających odnotowany w listopadzie 2021 r.: przeczytanie jednej książki zadeklarowało 38% pytanych. Badania z marca 2022 r. pokazują, że spadek poziomu czytelnictwa został zatrzymany. Ze względu na pandemię i inne okoliczności wzrost czytelnictwa jest trudny do osiągnięcia. Potwierdza to słuszność i konieczność działań określonych w NPRCz 2.0 na lata 2021-2025;</w:t>
      </w:r>
    </w:p>
    <w:p w:rsidR="00432A7F" w:rsidRPr="00432A7F" w:rsidRDefault="00432A7F" w:rsidP="00322671">
      <w:pPr>
        <w:numPr>
          <w:ilvl w:val="0"/>
          <w:numId w:val="14"/>
        </w:numPr>
        <w:spacing w:after="120"/>
        <w:ind w:left="1560"/>
        <w:jc w:val="both"/>
      </w:pPr>
      <w:r w:rsidRPr="00432A7F">
        <w:t>Badanie efektywności modelu biblioteki medialnej, które służy ocenie potencjału bibliotek medialnych w przyciąganiu do bibliotek nowych grup użytkowników, którzy nie odnajdują się w ofercie tradycyjnych placówek bibliotecznych.</w:t>
      </w:r>
      <w:r w:rsidRPr="00432A7F">
        <w:rPr>
          <w:vertAlign w:val="superscript"/>
        </w:rPr>
        <w:footnoteReference w:id="21"/>
      </w:r>
      <w:r w:rsidRPr="00432A7F">
        <w:t xml:space="preserve">. </w:t>
      </w:r>
    </w:p>
    <w:p w:rsidR="000275E3" w:rsidRDefault="000275E3"/>
    <w:sectPr w:rsidR="000275E3" w:rsidSect="00F7114D">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B94" w:rsidRDefault="00E45B94" w:rsidP="00432A7F">
      <w:pPr>
        <w:spacing w:after="0" w:line="240" w:lineRule="auto"/>
      </w:pPr>
      <w:r>
        <w:separator/>
      </w:r>
    </w:p>
  </w:endnote>
  <w:endnote w:type="continuationSeparator" w:id="0">
    <w:p w:rsidR="00E45B94" w:rsidRDefault="00E45B94" w:rsidP="00432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CB5" w:rsidRDefault="00052CB5">
    <w:pPr>
      <w:pStyle w:val="Stopka"/>
    </w:pPr>
    <w:r>
      <w:rPr>
        <w:noProof/>
        <w:lang w:eastAsia="pl-PL"/>
      </w:rPr>
      <w:drawing>
        <wp:inline distT="0" distB="0" distL="0" distR="0" wp14:anchorId="08DEB07F">
          <wp:extent cx="5761355" cy="5302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302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B94" w:rsidRDefault="00E45B94" w:rsidP="00432A7F">
      <w:pPr>
        <w:spacing w:after="0" w:line="240" w:lineRule="auto"/>
      </w:pPr>
      <w:r>
        <w:separator/>
      </w:r>
    </w:p>
  </w:footnote>
  <w:footnote w:type="continuationSeparator" w:id="0">
    <w:p w:rsidR="00E45B94" w:rsidRDefault="00E45B94" w:rsidP="00432A7F">
      <w:pPr>
        <w:spacing w:after="0" w:line="240" w:lineRule="auto"/>
      </w:pPr>
      <w:r>
        <w:continuationSeparator/>
      </w:r>
    </w:p>
  </w:footnote>
  <w:footnote w:id="1">
    <w:p w:rsidR="00432A7F" w:rsidRPr="00326901" w:rsidRDefault="00432A7F" w:rsidP="00432A7F">
      <w:pPr>
        <w:pStyle w:val="Tekstprzypisudolnego"/>
        <w:jc w:val="both"/>
        <w:rPr>
          <w:sz w:val="18"/>
          <w:szCs w:val="18"/>
        </w:rPr>
      </w:pPr>
      <w:r w:rsidRPr="00326901">
        <w:rPr>
          <w:rStyle w:val="Odwoanieprzypisudolnego"/>
        </w:rPr>
        <w:footnoteRef/>
      </w:r>
      <w:r w:rsidRPr="00326901">
        <w:rPr>
          <w:sz w:val="18"/>
          <w:szCs w:val="18"/>
        </w:rPr>
        <w:t xml:space="preserve"> </w:t>
      </w:r>
      <w:r>
        <w:rPr>
          <w:sz w:val="18"/>
          <w:szCs w:val="18"/>
        </w:rPr>
        <w:t xml:space="preserve">Uchwała RM oraz załącznik sa dostępne na stronie internetowej MKiDN, pod adresem: </w:t>
      </w:r>
      <w:hyperlink r:id="rId1" w:history="1">
        <w:r w:rsidRPr="00DE2094">
          <w:rPr>
            <w:rStyle w:val="Hipercze"/>
            <w:sz w:val="18"/>
            <w:szCs w:val="18"/>
          </w:rPr>
          <w:t>https://bip.mkidn.gov.pl/pages/legislacja/programy-wieloletnie/narodowy-program-rozwoju-czytelnictwa-2-0-na-lata-2021-2025.php</w:t>
        </w:r>
      </w:hyperlink>
      <w:r>
        <w:rPr>
          <w:sz w:val="18"/>
          <w:szCs w:val="18"/>
        </w:rPr>
        <w:t xml:space="preserve"> (dostęp z dnia 21.04.2022 r.)</w:t>
      </w:r>
    </w:p>
  </w:footnote>
  <w:footnote w:id="2">
    <w:p w:rsidR="00432A7F" w:rsidRPr="005D3EFA" w:rsidRDefault="00432A7F" w:rsidP="00432A7F">
      <w:pPr>
        <w:pStyle w:val="Tekstprzypisudolnego"/>
        <w:jc w:val="both"/>
        <w:rPr>
          <w:sz w:val="18"/>
          <w:szCs w:val="18"/>
        </w:rPr>
      </w:pPr>
      <w:r w:rsidRPr="002550A9">
        <w:rPr>
          <w:rStyle w:val="Odwoanieprzypisudolnego"/>
        </w:rPr>
        <w:footnoteRef/>
      </w:r>
      <w:r w:rsidRPr="002550A9">
        <w:rPr>
          <w:sz w:val="18"/>
          <w:szCs w:val="18"/>
        </w:rPr>
        <w:t xml:space="preserve"> Zgodnie z art. 90u ust. 4 pkt 6 ustawy z dnia 7 września 1991 r. o systemie oświaty (Dz. U. z 2020 r. poz. 1327</w:t>
      </w:r>
      <w:r>
        <w:rPr>
          <w:sz w:val="18"/>
          <w:szCs w:val="18"/>
        </w:rPr>
        <w:t xml:space="preserve"> </w:t>
      </w:r>
      <w:r w:rsidRPr="002550A9">
        <w:rPr>
          <w:sz w:val="18"/>
          <w:szCs w:val="18"/>
        </w:rPr>
        <w:t>oraz z 2021 r. poz. 4 i 1237)</w:t>
      </w:r>
    </w:p>
  </w:footnote>
  <w:footnote w:id="3">
    <w:p w:rsidR="00432A7F" w:rsidRPr="00F67F91" w:rsidRDefault="00432A7F" w:rsidP="00432A7F">
      <w:pPr>
        <w:pStyle w:val="Tekstprzypisudolnego"/>
        <w:jc w:val="both"/>
        <w:rPr>
          <w:sz w:val="18"/>
          <w:szCs w:val="18"/>
        </w:rPr>
      </w:pPr>
      <w:r w:rsidRPr="00F67F91">
        <w:rPr>
          <w:rStyle w:val="Odwoanieprzypisudolnego"/>
        </w:rPr>
        <w:footnoteRef/>
      </w:r>
      <w:r w:rsidRPr="00F67F91">
        <w:rPr>
          <w:sz w:val="18"/>
          <w:szCs w:val="18"/>
        </w:rPr>
        <w:t xml:space="preserve"> </w:t>
      </w:r>
      <w:r>
        <w:rPr>
          <w:sz w:val="18"/>
          <w:szCs w:val="18"/>
        </w:rPr>
        <w:t xml:space="preserve">Por. </w:t>
      </w:r>
      <w:hyperlink r:id="rId2" w:history="1">
        <w:r w:rsidRPr="00704FE3">
          <w:rPr>
            <w:rStyle w:val="Hipercze"/>
            <w:sz w:val="18"/>
            <w:szCs w:val="18"/>
          </w:rPr>
          <w:t>https://isap.sejm.gov.pl/isap.nsf/DocDetails.xsp?id=WDU20210001675</w:t>
        </w:r>
      </w:hyperlink>
      <w:r>
        <w:rPr>
          <w:sz w:val="18"/>
          <w:szCs w:val="18"/>
        </w:rPr>
        <w:t xml:space="preserve"> </w:t>
      </w:r>
    </w:p>
  </w:footnote>
  <w:footnote w:id="4">
    <w:p w:rsidR="00432A7F" w:rsidRPr="00244324" w:rsidRDefault="00432A7F" w:rsidP="00432A7F">
      <w:pPr>
        <w:pStyle w:val="Tekstprzypisudolnego"/>
        <w:jc w:val="both"/>
        <w:rPr>
          <w:sz w:val="18"/>
          <w:szCs w:val="18"/>
        </w:rPr>
      </w:pPr>
      <w:r w:rsidRPr="00244324">
        <w:rPr>
          <w:rStyle w:val="Odwoanieprzypisudolnego"/>
        </w:rPr>
        <w:footnoteRef/>
      </w:r>
      <w:r w:rsidRPr="00244324">
        <w:rPr>
          <w:sz w:val="18"/>
          <w:szCs w:val="18"/>
        </w:rPr>
        <w:t xml:space="preserve"> Z dniem 26 października 2021 r. zostało utworzone Ministerstwo Kultury i Dziedzictwa Narodowego w drodze przekształcenia dotychczasowego Ministerstwa Kultury, Dziedzictwa Narodowego i Sportu (rozporządzenie Rady Ministrów z dnia 25 października 2021 r. w sprawie utworzenia Ministerstwa Kultury i Dziedzictwa Narodowego, Dz.U. z 2021 r. poz. 1931).</w:t>
      </w:r>
    </w:p>
  </w:footnote>
  <w:footnote w:id="5">
    <w:p w:rsidR="00432A7F" w:rsidRPr="00934EA4" w:rsidRDefault="00432A7F" w:rsidP="00432A7F">
      <w:pPr>
        <w:pStyle w:val="Tekstprzypisudolnego"/>
        <w:jc w:val="both"/>
        <w:rPr>
          <w:sz w:val="18"/>
          <w:szCs w:val="18"/>
        </w:rPr>
      </w:pPr>
      <w:r w:rsidRPr="00934EA4">
        <w:rPr>
          <w:rStyle w:val="Odwoanieprzypisudolnego"/>
        </w:rPr>
        <w:footnoteRef/>
      </w:r>
      <w:r w:rsidRPr="00934EA4">
        <w:rPr>
          <w:sz w:val="18"/>
          <w:szCs w:val="18"/>
        </w:rPr>
        <w:t xml:space="preserve"> </w:t>
      </w:r>
      <w:r>
        <w:rPr>
          <w:sz w:val="18"/>
          <w:szCs w:val="18"/>
        </w:rPr>
        <w:t xml:space="preserve">Por. </w:t>
      </w:r>
      <w:hyperlink r:id="rId3" w:anchor="53" w:history="1">
        <w:r w:rsidRPr="00704FE3">
          <w:rPr>
            <w:rStyle w:val="Hipercze"/>
            <w:sz w:val="18"/>
            <w:szCs w:val="18"/>
          </w:rPr>
          <w:t>https://bip.mkidn.gov.pl/pages/dzienniki-urzedowe/dzienniki-urzedowe-mkdnis/dziennik-urzedowy-2021.php#53</w:t>
        </w:r>
      </w:hyperlink>
      <w:r>
        <w:rPr>
          <w:sz w:val="18"/>
          <w:szCs w:val="18"/>
        </w:rPr>
        <w:t xml:space="preserve"> </w:t>
      </w:r>
    </w:p>
  </w:footnote>
  <w:footnote w:id="6">
    <w:p w:rsidR="00432A7F" w:rsidRPr="00333D62" w:rsidRDefault="00432A7F" w:rsidP="00432A7F">
      <w:pPr>
        <w:pStyle w:val="Tekstprzypisudolnego"/>
        <w:jc w:val="both"/>
        <w:rPr>
          <w:sz w:val="18"/>
          <w:szCs w:val="18"/>
        </w:rPr>
      </w:pPr>
      <w:r w:rsidRPr="00333D62">
        <w:rPr>
          <w:rStyle w:val="Odwoanieprzypisudolnego"/>
        </w:rPr>
        <w:footnoteRef/>
      </w:r>
      <w:r w:rsidRPr="00333D62">
        <w:rPr>
          <w:sz w:val="18"/>
          <w:szCs w:val="18"/>
        </w:rPr>
        <w:t xml:space="preserve"> </w:t>
      </w:r>
      <w:r>
        <w:rPr>
          <w:sz w:val="18"/>
          <w:szCs w:val="18"/>
        </w:rPr>
        <w:t xml:space="preserve">Prace nad przygotowaniem i podpisaniem porozumienia </w:t>
      </w:r>
      <w:r w:rsidRPr="008A14B0">
        <w:rPr>
          <w:sz w:val="18"/>
          <w:szCs w:val="18"/>
        </w:rPr>
        <w:t xml:space="preserve">o współadministrowaniu danymi osobowymi w ramach Narodowego Programu Rozwoju Czytelnictwa 2.0 na lata 2021-2025 </w:t>
      </w:r>
      <w:r>
        <w:rPr>
          <w:sz w:val="18"/>
          <w:szCs w:val="18"/>
        </w:rPr>
        <w:t>między MKiDN oraz MEiN były realizowane od października 2021 r. Z uwagi na rangę porozumienia w procesie sprawozdawania danych za 2021 r. dokument został ujęty w niniejszym zestawieniu, mimo iż jego przyjęcie przypada na I kwartał 2021 r.</w:t>
      </w:r>
    </w:p>
  </w:footnote>
  <w:footnote w:id="7">
    <w:p w:rsidR="00432A7F" w:rsidRPr="008F1C41" w:rsidRDefault="00432A7F" w:rsidP="00432A7F">
      <w:pPr>
        <w:pStyle w:val="Tekstprzypisudolnego"/>
        <w:jc w:val="both"/>
        <w:rPr>
          <w:sz w:val="18"/>
          <w:szCs w:val="18"/>
        </w:rPr>
      </w:pPr>
      <w:r w:rsidRPr="008F1C41">
        <w:rPr>
          <w:rStyle w:val="Odwoanieprzypisudolnego"/>
        </w:rPr>
        <w:footnoteRef/>
      </w:r>
      <w:r w:rsidRPr="008F1C41">
        <w:rPr>
          <w:sz w:val="18"/>
          <w:szCs w:val="18"/>
        </w:rPr>
        <w:t xml:space="preserve"> </w:t>
      </w:r>
      <w:r>
        <w:rPr>
          <w:sz w:val="18"/>
          <w:szCs w:val="18"/>
        </w:rPr>
        <w:t xml:space="preserve">Kompetencje Ministra właściwego ds. kultury i ochrony dziedzictwa narodowego, w zakresie zatwierdzenia Planu Ewaluacji i Monitoringu zostały wskazane w treści NPRCz 2.0: </w:t>
      </w:r>
      <w:r w:rsidRPr="008F1C41">
        <w:rPr>
          <w:sz w:val="18"/>
          <w:szCs w:val="18"/>
        </w:rPr>
        <w:t>„10. Środki na realizację zadań z zakresu monitoringu i ewaluacji NPRCz 2.0. mogą być przyznawane Operatorom Priorytetu 1, Priorytetu 2 oraz Priorytetu 4 w formie dotacji celowych na podstawie Planu Ewaluacji i Monitoringu Programu, zaakceptowanego przez Ministra właściwego do spraw kultury i ochrony dziedzictwa narodowego. Plan Ewaluacji i Monitoringu Programu sporządza Jednostka Ewaluacji i Monitoringu Programu, w porozumieniu z właściwą komórką organizacyjną MKDNiS i w konsultacji z Operatorami Priorytetów NPRcz 2.0. Środki wykazane w tabeli finansowej programu na 2025 r. w pozycji Monitoring i ewaluacja uwzględniają kwotę środków przeznaczonych na przygotowanie raportu ewaluacyjnego podsumowującego efekty realizacji NPRCz 2.0”</w:t>
      </w:r>
      <w:r>
        <w:rPr>
          <w:sz w:val="18"/>
          <w:szCs w:val="18"/>
        </w:rPr>
        <w:t xml:space="preserve">, </w:t>
      </w:r>
      <w:r w:rsidRPr="0092002A">
        <w:rPr>
          <w:sz w:val="18"/>
          <w:szCs w:val="18"/>
        </w:rPr>
        <w:t>Załącznik do uchw</w:t>
      </w:r>
      <w:r>
        <w:rPr>
          <w:sz w:val="18"/>
          <w:szCs w:val="18"/>
        </w:rPr>
        <w:t>ały nr 69/2021 Rady Ministrów z </w:t>
      </w:r>
      <w:r w:rsidRPr="0092002A">
        <w:rPr>
          <w:sz w:val="18"/>
          <w:szCs w:val="18"/>
        </w:rPr>
        <w:t>dnia 21 maja 202</w:t>
      </w:r>
      <w:r>
        <w:rPr>
          <w:sz w:val="18"/>
          <w:szCs w:val="18"/>
        </w:rPr>
        <w:t>1 r., s. 16</w:t>
      </w:r>
      <w:r w:rsidRPr="0092002A">
        <w:rPr>
          <w:sz w:val="18"/>
          <w:szCs w:val="18"/>
        </w:rPr>
        <w:t>8.</w:t>
      </w:r>
    </w:p>
  </w:footnote>
  <w:footnote w:id="8">
    <w:p w:rsidR="00432A7F" w:rsidRPr="00D847A7" w:rsidRDefault="00432A7F" w:rsidP="00432A7F">
      <w:pPr>
        <w:pStyle w:val="Tekstprzypisudolnego"/>
        <w:jc w:val="both"/>
        <w:rPr>
          <w:sz w:val="18"/>
          <w:szCs w:val="18"/>
        </w:rPr>
      </w:pPr>
      <w:r w:rsidRPr="00A710C6">
        <w:rPr>
          <w:rStyle w:val="Odwoanieprzypisudolnego"/>
        </w:rPr>
        <w:footnoteRef/>
      </w:r>
      <w:r w:rsidRPr="00A710C6">
        <w:rPr>
          <w:sz w:val="18"/>
          <w:szCs w:val="18"/>
        </w:rPr>
        <w:t xml:space="preserve"> </w:t>
      </w:r>
      <w:r>
        <w:rPr>
          <w:sz w:val="18"/>
          <w:szCs w:val="18"/>
        </w:rPr>
        <w:t xml:space="preserve">Kompetencje Ministra właściwego ds. kultury i ochrony dziedzictwa narodowego, do zatwierdzenia tego dokumentu wynikają wprost ze struktury NPRCz 2.0., zgodnie z którą Plan Promocji NPRCz 2.0 jest dokumentem wykonawczym dla </w:t>
      </w:r>
      <w:r w:rsidRPr="00D847A7">
        <w:rPr>
          <w:sz w:val="18"/>
          <w:szCs w:val="18"/>
        </w:rPr>
        <w:t>Kierunku interwencji 4.2.: „Szczegółowe informacje dotyczące promocji NPRCz 2.0., realizowanym w ramach Kierunku interwencji 4.2. zostaną zawarte w Planie promocji NPRCz 2.0., opracowanym przez Narodowe Centrum Kultury – Operatora Priorytetu 4 i zatwierdzonym przez ministra właściwego do spraw kultury i ochrony dziedzictwa narodowego”, por. Załącznik do uchwały nr 69/2021 Rady Ministrów z dnia 21 maja 2021 r., s. 148.</w:t>
      </w:r>
    </w:p>
  </w:footnote>
  <w:footnote w:id="9">
    <w:p w:rsidR="00432A7F" w:rsidRPr="006166A6" w:rsidRDefault="00432A7F" w:rsidP="00432A7F">
      <w:pPr>
        <w:pStyle w:val="Tekstprzypisudolnego"/>
        <w:jc w:val="both"/>
        <w:rPr>
          <w:sz w:val="18"/>
          <w:szCs w:val="18"/>
        </w:rPr>
      </w:pPr>
      <w:r w:rsidRPr="006166A6">
        <w:rPr>
          <w:rStyle w:val="Odwoanieprzypisudolnego"/>
        </w:rPr>
        <w:footnoteRef/>
      </w:r>
      <w:r w:rsidRPr="006166A6">
        <w:rPr>
          <w:sz w:val="18"/>
          <w:szCs w:val="18"/>
        </w:rPr>
        <w:t xml:space="preserve"> </w:t>
      </w:r>
      <w:r>
        <w:rPr>
          <w:sz w:val="18"/>
          <w:szCs w:val="18"/>
        </w:rPr>
        <w:t>Wartość wskaźnika pt. „</w:t>
      </w:r>
      <w:r w:rsidRPr="00E55CE9">
        <w:rPr>
          <w:sz w:val="18"/>
          <w:szCs w:val="18"/>
        </w:rPr>
        <w:t>Liczba bibliotek i placówek wychowania przedszkolnego objęty</w:t>
      </w:r>
      <w:r>
        <w:rPr>
          <w:sz w:val="18"/>
          <w:szCs w:val="18"/>
        </w:rPr>
        <w:t>ch wsparciem w ramach NPRCz 2.0” różni się od wykazanej poniżej wartości dla wskaźnika „</w:t>
      </w:r>
      <w:r w:rsidRPr="00E55CE9">
        <w:rPr>
          <w:sz w:val="18"/>
          <w:szCs w:val="18"/>
        </w:rPr>
        <w:t>Liczba unikalnych bibliotek (publicznych, szkolnych i pedagogicznych) oraz placówek wychowania przedszkolnego objęty</w:t>
      </w:r>
      <w:r>
        <w:rPr>
          <w:sz w:val="18"/>
          <w:szCs w:val="18"/>
        </w:rPr>
        <w:t>ch wsparciem w ramach NPRCz 2.0”, ponieważ wskaźnik liczba bibliotek i </w:t>
      </w:r>
      <w:r w:rsidRPr="00E55CE9">
        <w:rPr>
          <w:sz w:val="18"/>
          <w:szCs w:val="18"/>
        </w:rPr>
        <w:t xml:space="preserve">placówek wychowania przedszkolnego objętych wsparciem w ramach NPRCz 2.0. jest obliczany na podstawie umów podpisanych i zrealizowanych </w:t>
      </w:r>
      <w:r>
        <w:rPr>
          <w:sz w:val="18"/>
          <w:szCs w:val="18"/>
        </w:rPr>
        <w:t>przez operatorów bezpośrednio z </w:t>
      </w:r>
      <w:r w:rsidRPr="00E55CE9">
        <w:rPr>
          <w:sz w:val="18"/>
          <w:szCs w:val="18"/>
        </w:rPr>
        <w:t>bibliotekami (KI 1.1, KI 1.2, KI 2.1, KI 4.1) lub w ramach umów podpisanych z innymi podmiotami na wsparcie bibliotek i placówek wychowania przedszkolnego (KI 3.1 i KI 3.2).</w:t>
      </w:r>
      <w:r>
        <w:rPr>
          <w:sz w:val="18"/>
          <w:szCs w:val="18"/>
        </w:rPr>
        <w:t xml:space="preserve"> W każdym roku realizacji NPRCz 2.0 biblioteki publiczne mogą niezależnie otrzymać dofinansowanie w ramach kilku Kierunków interwencji NPRCz 2.0.</w:t>
      </w:r>
    </w:p>
  </w:footnote>
  <w:footnote w:id="10">
    <w:p w:rsidR="00432A7F" w:rsidRPr="001B7792" w:rsidRDefault="00432A7F" w:rsidP="00432A7F">
      <w:pPr>
        <w:pStyle w:val="Tekstprzypisudolnego"/>
        <w:jc w:val="both"/>
        <w:rPr>
          <w:sz w:val="18"/>
          <w:szCs w:val="18"/>
        </w:rPr>
      </w:pPr>
      <w:r w:rsidRPr="006166A6">
        <w:rPr>
          <w:rStyle w:val="Odwoanieprzypisudolnego"/>
        </w:rPr>
        <w:footnoteRef/>
      </w:r>
      <w:r w:rsidRPr="006166A6">
        <w:rPr>
          <w:sz w:val="18"/>
          <w:szCs w:val="18"/>
        </w:rPr>
        <w:t xml:space="preserve"> Pozycja „% realizacji wartości docelowej dla 2025 r.” została wyznaczona na podstawie umów podpisanych z beneficjentami w 2021 r., przy założeniu, że wszystkie zostaną zrealizowane (mając na uwadze fakt,</w:t>
      </w:r>
      <w:r>
        <w:rPr>
          <w:sz w:val="18"/>
          <w:szCs w:val="18"/>
        </w:rPr>
        <w:t xml:space="preserve"> iż dla wybranych Kierunków interwencji NPRCz 2.0 zadania są realizowane w okresie wykraczającym poza jeden rok kalendarzowy) </w:t>
      </w:r>
      <w:r w:rsidRPr="001B7792">
        <w:rPr>
          <w:sz w:val="18"/>
          <w:szCs w:val="18"/>
        </w:rPr>
        <w:t>wartość wskaźnika wyniosłaby:</w:t>
      </w:r>
      <w:r>
        <w:rPr>
          <w:sz w:val="18"/>
          <w:szCs w:val="18"/>
        </w:rPr>
        <w:t xml:space="preserve"> </w:t>
      </w:r>
      <w:r w:rsidRPr="001B7792">
        <w:rPr>
          <w:sz w:val="18"/>
          <w:szCs w:val="18"/>
        </w:rPr>
        <w:t>15,8%</w:t>
      </w:r>
      <w:r>
        <w:rPr>
          <w:sz w:val="18"/>
          <w:szCs w:val="18"/>
        </w:rPr>
        <w:t xml:space="preserve">. W odniesieniu do Kierunków interwencji, w których projekty są realizowane przez minimum dwa lata w odniesieniu do wskaźnika </w:t>
      </w:r>
      <w:r w:rsidRPr="008A4E31">
        <w:rPr>
          <w:rFonts w:ascii="Calibri" w:eastAsia="Times New Roman" w:hAnsi="Calibri" w:cs="Times New Roman"/>
          <w:color w:val="000000"/>
          <w:sz w:val="18"/>
          <w:szCs w:val="18"/>
          <w:lang w:eastAsia="pl-PL"/>
        </w:rPr>
        <w:t>CG_P_1</w:t>
      </w:r>
      <w:r>
        <w:rPr>
          <w:rFonts w:ascii="Calibri" w:eastAsia="Times New Roman" w:hAnsi="Calibri" w:cs="Times New Roman"/>
          <w:color w:val="000000"/>
          <w:sz w:val="18"/>
          <w:szCs w:val="18"/>
          <w:lang w:eastAsia="pl-PL"/>
        </w:rPr>
        <w:t xml:space="preserve"> wykazano 0,0% w pozycji</w:t>
      </w:r>
      <w:r w:rsidRPr="0008302B">
        <w:rPr>
          <w:rFonts w:ascii="Calibri" w:eastAsia="Times New Roman" w:hAnsi="Calibri" w:cs="Times New Roman"/>
          <w:color w:val="000000"/>
          <w:sz w:val="18"/>
          <w:szCs w:val="18"/>
          <w:lang w:eastAsia="pl-PL"/>
        </w:rPr>
        <w:t xml:space="preserve"> „% realizacji wartości docelowej dla 2025 r.”</w:t>
      </w:r>
      <w:r>
        <w:rPr>
          <w:rFonts w:ascii="Calibri" w:eastAsia="Times New Roman" w:hAnsi="Calibri" w:cs="Times New Roman"/>
          <w:color w:val="000000"/>
          <w:sz w:val="18"/>
          <w:szCs w:val="18"/>
          <w:lang w:eastAsia="pl-PL"/>
        </w:rPr>
        <w:t>, jednak w przypisie dla każdej z nich wskazano zakładaną wartość, wynikającą z liczby umów podpisanych w 2021 r.</w:t>
      </w:r>
    </w:p>
  </w:footnote>
  <w:footnote w:id="11">
    <w:p w:rsidR="00432A7F" w:rsidRPr="0008302B" w:rsidRDefault="00432A7F" w:rsidP="00432A7F">
      <w:pPr>
        <w:pStyle w:val="Tekstprzypisudolnego"/>
        <w:rPr>
          <w:sz w:val="18"/>
          <w:szCs w:val="18"/>
        </w:rPr>
      </w:pPr>
      <w:r w:rsidRPr="0008302B">
        <w:rPr>
          <w:rStyle w:val="Odwoanieprzypisudolnego"/>
        </w:rPr>
        <w:footnoteRef/>
      </w:r>
      <w:r w:rsidRPr="0008302B">
        <w:rPr>
          <w:sz w:val="18"/>
          <w:szCs w:val="18"/>
        </w:rPr>
        <w:t xml:space="preserve"> Pozycja „% realizacji wartości docelowej dla 2025 r.” została wyznaczona na podstawie umów podpisanych z beneficjentami w 2021 r., przy założeniu, że wszystkie zostaną zrealizowane wartość wskaźnika </w:t>
      </w:r>
      <w:r>
        <w:rPr>
          <w:sz w:val="18"/>
          <w:szCs w:val="18"/>
        </w:rPr>
        <w:t xml:space="preserve">dla Kierunku interwencji 1.2. </w:t>
      </w:r>
      <w:r w:rsidRPr="0008302B">
        <w:rPr>
          <w:sz w:val="18"/>
          <w:szCs w:val="18"/>
        </w:rPr>
        <w:t>wyniosłaby: 26,2%.</w:t>
      </w:r>
    </w:p>
  </w:footnote>
  <w:footnote w:id="12">
    <w:p w:rsidR="00432A7F" w:rsidRPr="00B53E14" w:rsidRDefault="00432A7F" w:rsidP="00432A7F">
      <w:pPr>
        <w:pStyle w:val="Tekstprzypisudolnego"/>
        <w:jc w:val="both"/>
        <w:rPr>
          <w:sz w:val="18"/>
          <w:szCs w:val="18"/>
        </w:rPr>
      </w:pPr>
      <w:r w:rsidRPr="00B53E14">
        <w:rPr>
          <w:rStyle w:val="Odwoanieprzypisudolnego"/>
        </w:rPr>
        <w:footnoteRef/>
      </w:r>
      <w:r w:rsidRPr="00B53E14">
        <w:rPr>
          <w:sz w:val="18"/>
          <w:szCs w:val="18"/>
        </w:rPr>
        <w:t xml:space="preserve"> </w:t>
      </w:r>
      <w:r w:rsidRPr="002B097C">
        <w:rPr>
          <w:sz w:val="18"/>
          <w:szCs w:val="18"/>
        </w:rPr>
        <w:t>W 2021 roku przeprow</w:t>
      </w:r>
      <w:r>
        <w:rPr>
          <w:sz w:val="18"/>
          <w:szCs w:val="18"/>
        </w:rPr>
        <w:t>adzono jeden nabór wniosków do P</w:t>
      </w:r>
      <w:r w:rsidRPr="002B097C">
        <w:rPr>
          <w:sz w:val="18"/>
          <w:szCs w:val="18"/>
        </w:rPr>
        <w:t xml:space="preserve">riorytetu </w:t>
      </w:r>
      <w:r>
        <w:rPr>
          <w:sz w:val="18"/>
          <w:szCs w:val="18"/>
        </w:rPr>
        <w:t xml:space="preserve">2, Kierunek interwencji 2.1., </w:t>
      </w:r>
      <w:r w:rsidRPr="002B097C">
        <w:rPr>
          <w:sz w:val="18"/>
          <w:szCs w:val="18"/>
        </w:rPr>
        <w:t xml:space="preserve">w ramach którego </w:t>
      </w:r>
      <w:r>
        <w:rPr>
          <w:sz w:val="18"/>
          <w:szCs w:val="18"/>
        </w:rPr>
        <w:t>decyzję o</w:t>
      </w:r>
      <w:r w:rsidRPr="002B097C">
        <w:rPr>
          <w:sz w:val="18"/>
          <w:szCs w:val="18"/>
        </w:rPr>
        <w:t xml:space="preserve"> wsparci</w:t>
      </w:r>
      <w:r>
        <w:rPr>
          <w:sz w:val="18"/>
          <w:szCs w:val="18"/>
        </w:rPr>
        <w:t>u</w:t>
      </w:r>
      <w:r w:rsidRPr="002B097C">
        <w:rPr>
          <w:sz w:val="18"/>
          <w:szCs w:val="18"/>
        </w:rPr>
        <w:t xml:space="preserve"> finansow</w:t>
      </w:r>
      <w:r>
        <w:rPr>
          <w:sz w:val="18"/>
          <w:szCs w:val="18"/>
        </w:rPr>
        <w:t>ym</w:t>
      </w:r>
      <w:r w:rsidRPr="002B097C">
        <w:rPr>
          <w:sz w:val="18"/>
          <w:szCs w:val="18"/>
        </w:rPr>
        <w:t xml:space="preserve"> otrzymało 31 bib</w:t>
      </w:r>
      <w:r>
        <w:rPr>
          <w:sz w:val="18"/>
          <w:szCs w:val="18"/>
        </w:rPr>
        <w:t>liotek, z czego 4 zrezygnowały z </w:t>
      </w:r>
      <w:r w:rsidRPr="002B097C">
        <w:rPr>
          <w:sz w:val="18"/>
          <w:szCs w:val="18"/>
        </w:rPr>
        <w:t>realizacji zadania</w:t>
      </w:r>
      <w:r>
        <w:rPr>
          <w:sz w:val="18"/>
          <w:szCs w:val="18"/>
        </w:rPr>
        <w:t xml:space="preserve"> przed podpisaniem umowy</w:t>
      </w:r>
      <w:r w:rsidRPr="002B097C">
        <w:rPr>
          <w:sz w:val="18"/>
          <w:szCs w:val="18"/>
        </w:rPr>
        <w:t>.</w:t>
      </w:r>
      <w:r>
        <w:rPr>
          <w:sz w:val="18"/>
          <w:szCs w:val="18"/>
        </w:rPr>
        <w:t xml:space="preserve"> W </w:t>
      </w:r>
      <w:r w:rsidRPr="002B097C">
        <w:rPr>
          <w:sz w:val="18"/>
          <w:szCs w:val="18"/>
        </w:rPr>
        <w:t xml:space="preserve">związku z faktem, że wszystkie zadania dofinansowanie </w:t>
      </w:r>
      <w:r>
        <w:rPr>
          <w:sz w:val="18"/>
          <w:szCs w:val="18"/>
        </w:rPr>
        <w:t>w tym Kierunku interwencji są zadaniami wieloletnimi (</w:t>
      </w:r>
      <w:r w:rsidRPr="002B097C">
        <w:rPr>
          <w:sz w:val="18"/>
          <w:szCs w:val="18"/>
        </w:rPr>
        <w:t>żad</w:t>
      </w:r>
      <w:r>
        <w:rPr>
          <w:sz w:val="18"/>
          <w:szCs w:val="18"/>
        </w:rPr>
        <w:t>ne nie zakończyło się w 2021 r.) w tabeli  wykazano liczbę zawartych umów (źródłem danych dla wskaźnika są sprawozdania beneficjentów). Mając na uwadze powyższe przyjęto, że wykazanie dodatkowych 4 dofinansowań, których – decyzją beneficjentów - realizacja nie odbywa się w ramach NPRCz 2.0 nie jest zasadne.</w:t>
      </w:r>
    </w:p>
  </w:footnote>
  <w:footnote w:id="13">
    <w:p w:rsidR="00432A7F" w:rsidRPr="0008302B" w:rsidRDefault="00432A7F" w:rsidP="00432A7F">
      <w:pPr>
        <w:pStyle w:val="Tekstprzypisudolnego"/>
        <w:jc w:val="both"/>
        <w:rPr>
          <w:sz w:val="18"/>
          <w:szCs w:val="18"/>
        </w:rPr>
      </w:pPr>
      <w:r w:rsidRPr="00B53E14">
        <w:rPr>
          <w:rStyle w:val="Odwoanieprzypisudolnego"/>
        </w:rPr>
        <w:footnoteRef/>
      </w:r>
      <w:r w:rsidRPr="00B53E14">
        <w:rPr>
          <w:sz w:val="18"/>
          <w:szCs w:val="18"/>
        </w:rPr>
        <w:t xml:space="preserve"> Pozycja „%</w:t>
      </w:r>
      <w:r w:rsidRPr="0008302B">
        <w:rPr>
          <w:sz w:val="18"/>
          <w:szCs w:val="18"/>
        </w:rPr>
        <w:t xml:space="preserve"> realizacji wartości docelowej dla 2025 r.” została wyznaczona na podstawie umów podpisanych z beneficjentami w 2021 r., przy założeniu, że wszystkie zostaną zrealizowane wartość wskaźnika </w:t>
      </w:r>
      <w:r w:rsidRPr="00C871F4">
        <w:rPr>
          <w:sz w:val="18"/>
          <w:szCs w:val="18"/>
        </w:rPr>
        <w:t xml:space="preserve">dla Kierunku interwencji 1.2. </w:t>
      </w:r>
      <w:r w:rsidRPr="0008302B">
        <w:rPr>
          <w:sz w:val="18"/>
          <w:szCs w:val="18"/>
        </w:rPr>
        <w:t>wyniosłaby: 16,5%</w:t>
      </w:r>
    </w:p>
  </w:footnote>
  <w:footnote w:id="14">
    <w:p w:rsidR="00432A7F" w:rsidRPr="0008302B" w:rsidRDefault="00432A7F" w:rsidP="00432A7F">
      <w:pPr>
        <w:pStyle w:val="Tekstprzypisudolnego"/>
        <w:rPr>
          <w:sz w:val="18"/>
          <w:szCs w:val="18"/>
        </w:rPr>
      </w:pPr>
      <w:r w:rsidRPr="0008302B">
        <w:rPr>
          <w:rStyle w:val="Odwoanieprzypisudolnego"/>
        </w:rPr>
        <w:footnoteRef/>
      </w:r>
      <w:r w:rsidRPr="0008302B">
        <w:rPr>
          <w:sz w:val="18"/>
          <w:szCs w:val="18"/>
        </w:rPr>
        <w:t xml:space="preserve"> Pozycja „% realizacji wartości docelowej dla 2025 r.” została wyznaczona na podstawie umów podpisanych z beneficjentami w 2021 r., przy założeniu, że wszystkie zostaną zrealizowane wartość wskaźnika</w:t>
      </w:r>
      <w:r>
        <w:rPr>
          <w:sz w:val="18"/>
          <w:szCs w:val="18"/>
        </w:rPr>
        <w:t xml:space="preserve"> P_4</w:t>
      </w:r>
      <w:r w:rsidRPr="0008302B">
        <w:rPr>
          <w:sz w:val="18"/>
          <w:szCs w:val="18"/>
        </w:rPr>
        <w:t xml:space="preserve"> wyniosłaby: 23,7%</w:t>
      </w:r>
    </w:p>
  </w:footnote>
  <w:footnote w:id="15">
    <w:p w:rsidR="00432A7F" w:rsidRPr="0008302B" w:rsidRDefault="00432A7F" w:rsidP="00432A7F">
      <w:pPr>
        <w:pStyle w:val="Tekstprzypisudolnego"/>
        <w:rPr>
          <w:sz w:val="18"/>
          <w:szCs w:val="18"/>
        </w:rPr>
      </w:pPr>
      <w:r w:rsidRPr="0008302B">
        <w:rPr>
          <w:rStyle w:val="Odwoanieprzypisudolnego"/>
        </w:rPr>
        <w:footnoteRef/>
      </w:r>
      <w:r w:rsidRPr="0008302B">
        <w:rPr>
          <w:sz w:val="18"/>
          <w:szCs w:val="18"/>
        </w:rPr>
        <w:t xml:space="preserve"> </w:t>
      </w:r>
      <w:r w:rsidRPr="00C871F4">
        <w:rPr>
          <w:sz w:val="18"/>
          <w:szCs w:val="18"/>
        </w:rPr>
        <w:t xml:space="preserve">Pozycja „% realizacji wartości docelowej dla 2025 r.” została wyznaczona na podstawie umów podpisanych z beneficjentami w 2021 r., przy założeniu, że wszystkie zostaną zrealizowane wartość wskaźnika </w:t>
      </w:r>
      <w:r>
        <w:rPr>
          <w:sz w:val="18"/>
          <w:szCs w:val="18"/>
        </w:rPr>
        <w:t>dla Kierunku interwencji 4</w:t>
      </w:r>
      <w:r w:rsidRPr="00C871F4">
        <w:rPr>
          <w:sz w:val="18"/>
          <w:szCs w:val="18"/>
        </w:rPr>
        <w:t>.2. wyniosłaby:</w:t>
      </w:r>
      <w:r>
        <w:rPr>
          <w:sz w:val="18"/>
          <w:szCs w:val="18"/>
        </w:rPr>
        <w:t xml:space="preserve"> </w:t>
      </w:r>
      <w:r w:rsidRPr="00C871F4">
        <w:rPr>
          <w:sz w:val="18"/>
          <w:szCs w:val="18"/>
        </w:rPr>
        <w:t>27,2%</w:t>
      </w:r>
    </w:p>
  </w:footnote>
  <w:footnote w:id="16">
    <w:p w:rsidR="00432A7F" w:rsidRDefault="00432A7F" w:rsidP="00432A7F">
      <w:pPr>
        <w:pStyle w:val="Tekstprzypisudolnego"/>
        <w:jc w:val="both"/>
      </w:pPr>
      <w:r w:rsidRPr="0053241B">
        <w:rPr>
          <w:rStyle w:val="Odwoanieprzypisudolnego"/>
        </w:rPr>
        <w:footnoteRef/>
      </w:r>
      <w:r w:rsidRPr="0053241B">
        <w:rPr>
          <w:sz w:val="18"/>
          <w:szCs w:val="18"/>
        </w:rPr>
        <w:t xml:space="preserve"> Liczba unikalnych bibliotek (publicznych, szkolnych i pedagogicznych) oraz placówek wychowania przedszkolnego objętych wsparciem w ramach NPRCz 2.0. obejmuje: 2395 niepowtarzających się bibliotek publicznych, 1 443 placówki wychowania przedszkolnego oraz 1 969 bibliotek szkolnych i pedagogicznych.</w:t>
      </w:r>
    </w:p>
  </w:footnote>
  <w:footnote w:id="17">
    <w:p w:rsidR="00432A7F" w:rsidRPr="005A3A1B" w:rsidRDefault="00432A7F" w:rsidP="00432A7F">
      <w:pPr>
        <w:pStyle w:val="Tekstprzypisudolnego"/>
        <w:jc w:val="both"/>
        <w:rPr>
          <w:sz w:val="18"/>
          <w:szCs w:val="18"/>
        </w:rPr>
      </w:pPr>
      <w:r w:rsidRPr="005A3A1B">
        <w:rPr>
          <w:rStyle w:val="Odwoanieprzypisudolnego"/>
        </w:rPr>
        <w:footnoteRef/>
      </w:r>
      <w:r w:rsidRPr="005A3A1B">
        <w:rPr>
          <w:sz w:val="18"/>
          <w:szCs w:val="18"/>
        </w:rPr>
        <w:t xml:space="preserve"> We wskaźniku P_2 wykazano wyłącznie liczbę zakupionych miesięcznych kodów zdalnego dostępu. We wskaźniku P_3 wskazano liczbę pozostałych typów zakupionych kodów, tj. dwu- i trzymiesięcznych.</w:t>
      </w:r>
    </w:p>
  </w:footnote>
  <w:footnote w:id="18">
    <w:p w:rsidR="00432A7F" w:rsidRPr="000C2604" w:rsidRDefault="00432A7F" w:rsidP="00432A7F">
      <w:pPr>
        <w:pStyle w:val="Tekstprzypisudolnego"/>
        <w:jc w:val="both"/>
        <w:rPr>
          <w:sz w:val="18"/>
          <w:szCs w:val="18"/>
        </w:rPr>
      </w:pPr>
      <w:r w:rsidRPr="008F1C41">
        <w:rPr>
          <w:rStyle w:val="Odwoanieprzypisudolnego"/>
        </w:rPr>
        <w:footnoteRef/>
      </w:r>
      <w:r w:rsidRPr="008F1C41">
        <w:rPr>
          <w:sz w:val="18"/>
          <w:szCs w:val="18"/>
        </w:rPr>
        <w:t xml:space="preserve"> </w:t>
      </w:r>
      <w:r>
        <w:rPr>
          <w:sz w:val="18"/>
          <w:szCs w:val="18"/>
        </w:rPr>
        <w:t xml:space="preserve">Kompetencje Ministra właściwego ds. kultury i ochrony dziedzictwa narodowego, w zakresie zatwierdzenia Planu Ewaluacji i Monitoringu zostały wskazane w treści NPRCz 2.0: </w:t>
      </w:r>
      <w:r w:rsidRPr="008F1C41">
        <w:rPr>
          <w:sz w:val="18"/>
          <w:szCs w:val="18"/>
        </w:rPr>
        <w:t xml:space="preserve">„10. Środki na realizację zadań z zakresu monitoringu </w:t>
      </w:r>
      <w:r>
        <w:rPr>
          <w:sz w:val="18"/>
          <w:szCs w:val="18"/>
        </w:rPr>
        <w:t>i </w:t>
      </w:r>
      <w:r w:rsidRPr="008F1C41">
        <w:rPr>
          <w:sz w:val="18"/>
          <w:szCs w:val="18"/>
        </w:rPr>
        <w:t xml:space="preserve">ewaluacji NPRCz 2.0. mogą być przyznawane Operatorom Priorytetu 1, Priorytetu 2 oraz Priorytetu 4 w formie dotacji celowych na podstawie Planu Ewaluacji i Monitoringu Programu, zaakceptowanego przez Ministra właściwego do spraw kultury i ochrony dziedzictwa narodowego. Plan Ewaluacji i Monitoringu Programu </w:t>
      </w:r>
      <w:r>
        <w:rPr>
          <w:sz w:val="18"/>
          <w:szCs w:val="18"/>
        </w:rPr>
        <w:t>sporządza Jednostka Ewaluacji i </w:t>
      </w:r>
      <w:r w:rsidRPr="008F1C41">
        <w:rPr>
          <w:sz w:val="18"/>
          <w:szCs w:val="18"/>
        </w:rPr>
        <w:t xml:space="preserve">Monitoringu Programu, w porozumieniu z właściwą komórką organizacyjną MKDNiS i w konsultacji z Operatorami Priorytetów NPRcz 2.0. Środki wykazane w tabeli finansowej programu na 2025 r. w pozycji Monitoring i ewaluacja uwzględniają kwotę środków przeznaczonych na przygotowanie raportu ewaluacyjnego podsumowującego efekty realizacji </w:t>
      </w:r>
      <w:r w:rsidRPr="000C2604">
        <w:rPr>
          <w:sz w:val="18"/>
          <w:szCs w:val="18"/>
        </w:rPr>
        <w:t>NPRCz 2.0”, Załącznik do uchwały nr 69/2021 Rady Ministrów z dnia 21 maja 2021 r., s. 168.</w:t>
      </w:r>
    </w:p>
  </w:footnote>
  <w:footnote w:id="19">
    <w:p w:rsidR="00432A7F" w:rsidRPr="000C2604" w:rsidRDefault="00432A7F" w:rsidP="00432A7F">
      <w:pPr>
        <w:pStyle w:val="Tekstprzypisudolnego"/>
        <w:jc w:val="both"/>
        <w:rPr>
          <w:sz w:val="18"/>
          <w:szCs w:val="18"/>
        </w:rPr>
      </w:pPr>
      <w:r w:rsidRPr="000C2604">
        <w:rPr>
          <w:rStyle w:val="Odwoanieprzypisudolnego"/>
        </w:rPr>
        <w:footnoteRef/>
      </w:r>
      <w:r w:rsidRPr="000C2604">
        <w:rPr>
          <w:sz w:val="18"/>
          <w:szCs w:val="18"/>
        </w:rPr>
        <w:t xml:space="preserve"> Zmiany dotyczyły: </w:t>
      </w:r>
      <w:r>
        <w:rPr>
          <w:sz w:val="18"/>
          <w:szCs w:val="18"/>
        </w:rPr>
        <w:t xml:space="preserve">w pierwszym przypadku </w:t>
      </w:r>
      <w:r>
        <w:rPr>
          <w:rFonts w:ascii="Times New Roman" w:hAnsi="Times New Roman" w:cs="Times New Roman"/>
          <w:sz w:val="18"/>
          <w:szCs w:val="18"/>
        </w:rPr>
        <w:t>‒</w:t>
      </w:r>
      <w:r w:rsidRPr="000C2604">
        <w:rPr>
          <w:sz w:val="18"/>
          <w:szCs w:val="18"/>
        </w:rPr>
        <w:t xml:space="preserve"> doprecyzowania założeń dla Indykatywnej listy głównych badań monitoringowych, ewaluacyjnych i naukowych zaplanowanych na lata 2021-2025, uwzględnienia w planie na 2021 r. nowego badania poświęconego efektywności modelu biblioteki medialnej (badanie naukowe B</w:t>
      </w:r>
      <w:r>
        <w:rPr>
          <w:sz w:val="18"/>
          <w:szCs w:val="18"/>
        </w:rPr>
        <w:t xml:space="preserve">iblioteki </w:t>
      </w:r>
      <w:r w:rsidRPr="000C2604">
        <w:rPr>
          <w:sz w:val="18"/>
          <w:szCs w:val="18"/>
        </w:rPr>
        <w:t>N</w:t>
      </w:r>
      <w:r>
        <w:rPr>
          <w:sz w:val="18"/>
          <w:szCs w:val="18"/>
        </w:rPr>
        <w:t>arodowej</w:t>
      </w:r>
      <w:r w:rsidRPr="000C2604">
        <w:rPr>
          <w:sz w:val="18"/>
          <w:szCs w:val="18"/>
        </w:rPr>
        <w:t>) wraz ze szczegółowym opisem i aktualizacją kwot na 2021 r.</w:t>
      </w:r>
      <w:r>
        <w:rPr>
          <w:sz w:val="18"/>
          <w:szCs w:val="18"/>
        </w:rPr>
        <w:t xml:space="preserve">, a w drugim przypadku </w:t>
      </w:r>
      <w:r>
        <w:rPr>
          <w:rFonts w:ascii="Times New Roman" w:hAnsi="Times New Roman" w:cs="Times New Roman"/>
          <w:sz w:val="18"/>
          <w:szCs w:val="18"/>
        </w:rPr>
        <w:t>‒</w:t>
      </w:r>
      <w:r w:rsidRPr="000C2604">
        <w:rPr>
          <w:sz w:val="18"/>
          <w:szCs w:val="18"/>
        </w:rPr>
        <w:t xml:space="preserve"> doprecyzowania roli NCK w zakresie działań upowszechniających wyniki badań oraz podnoszących jakość potencjału ewaluacyjnego, wprowadzenia ogólnej zasady co do realokacji środków w przypadku powstania oszczędności oraz aktualizacji zapisów nazwy Instytucji Zarządzającej.</w:t>
      </w:r>
    </w:p>
  </w:footnote>
  <w:footnote w:id="20">
    <w:p w:rsidR="00432A7F" w:rsidRPr="00AF7503" w:rsidRDefault="00432A7F" w:rsidP="00432A7F">
      <w:pPr>
        <w:pStyle w:val="Tekstprzypisudolnego"/>
        <w:jc w:val="both"/>
        <w:rPr>
          <w:sz w:val="18"/>
          <w:szCs w:val="18"/>
        </w:rPr>
      </w:pPr>
      <w:r w:rsidRPr="000C2604">
        <w:rPr>
          <w:rStyle w:val="Odwoanieprzypisudolnego"/>
        </w:rPr>
        <w:footnoteRef/>
      </w:r>
      <w:r w:rsidRPr="000C2604">
        <w:rPr>
          <w:sz w:val="18"/>
          <w:szCs w:val="18"/>
        </w:rPr>
        <w:t xml:space="preserve"> por</w:t>
      </w:r>
      <w:r>
        <w:rPr>
          <w:sz w:val="18"/>
          <w:szCs w:val="18"/>
        </w:rPr>
        <w:t xml:space="preserve">. </w:t>
      </w:r>
      <w:r w:rsidRPr="00AF7503">
        <w:rPr>
          <w:sz w:val="18"/>
          <w:szCs w:val="18"/>
        </w:rPr>
        <w:t>Plan Ewaluacji i Monitoringu Narodowego Programu Rozwoju Czytelnictwa 2.0 na lata 2021-2025</w:t>
      </w:r>
      <w:r>
        <w:rPr>
          <w:sz w:val="18"/>
          <w:szCs w:val="18"/>
        </w:rPr>
        <w:t xml:space="preserve"> s. 5 oraz </w:t>
      </w:r>
      <w:r w:rsidRPr="00AF7503">
        <w:rPr>
          <w:sz w:val="18"/>
          <w:szCs w:val="18"/>
        </w:rPr>
        <w:t>Załącznik do uchwały nr 69/2021 Rady Ministrów z dnia 21 maja 2021 r., s. 1</w:t>
      </w:r>
      <w:r>
        <w:rPr>
          <w:sz w:val="18"/>
          <w:szCs w:val="18"/>
        </w:rPr>
        <w:t>99-200</w:t>
      </w:r>
      <w:r w:rsidRPr="00AF7503">
        <w:rPr>
          <w:sz w:val="18"/>
          <w:szCs w:val="18"/>
        </w:rPr>
        <w:t>.</w:t>
      </w:r>
    </w:p>
  </w:footnote>
  <w:footnote w:id="21">
    <w:p w:rsidR="00432A7F" w:rsidRPr="00B17C7A" w:rsidRDefault="00432A7F" w:rsidP="00432A7F">
      <w:pPr>
        <w:pStyle w:val="Tekstprzypisudolnego"/>
        <w:jc w:val="both"/>
        <w:rPr>
          <w:sz w:val="18"/>
          <w:szCs w:val="18"/>
        </w:rPr>
      </w:pPr>
      <w:r w:rsidRPr="00B17C7A">
        <w:rPr>
          <w:rStyle w:val="Odwoanieprzypisudolnego"/>
        </w:rPr>
        <w:footnoteRef/>
      </w:r>
      <w:r w:rsidRPr="00B17C7A">
        <w:rPr>
          <w:sz w:val="18"/>
          <w:szCs w:val="18"/>
        </w:rPr>
        <w:t xml:space="preserve"> Wnioski z pierwszego etapu badania wykazały, że doświadczenia wyniesione z bibliotek szkolnych bywają później uogólniane na wszelkie typy placówek bibliotecznych, co potwierdza zasadność rozs</w:t>
      </w:r>
      <w:r w:rsidRPr="00FC4ECE">
        <w:rPr>
          <w:sz w:val="18"/>
          <w:szCs w:val="18"/>
        </w:rPr>
        <w:t>zerzenia zakresu Priorytetu 3 o</w:t>
      </w:r>
      <w:r>
        <w:rPr>
          <w:sz w:val="18"/>
          <w:szCs w:val="18"/>
        </w:rPr>
        <w:t> </w:t>
      </w:r>
      <w:r w:rsidRPr="00B17C7A">
        <w:rPr>
          <w:sz w:val="18"/>
          <w:szCs w:val="18"/>
        </w:rPr>
        <w:t>finansowanie oprócz książek także wyposażenia bibliotek szkolnych. Powracającym motywem w wywiadach przeprowadzonych z czytelnikami oraz osobami, które zrezygnowały z korzystania z bibliotek była kwestia kompetencji społecznych bibliotekarzy, co zostało odpowiednio zaadresowane w działaniach prowadzonych w ramach programu BLISKO w Priorytecie 4. Uwagi zgłoszone przez bibliotekarzy odnośnie funkcjonalnych oraz problematycznych rozwiązań architektonicznych w już działających bibliotekach medialnych będą pomocne w Priorytecie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05750"/>
    <w:multiLevelType w:val="multilevel"/>
    <w:tmpl w:val="0415001F"/>
    <w:styleLink w:val="Styl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E25337A"/>
    <w:multiLevelType w:val="multilevel"/>
    <w:tmpl w:val="6D828936"/>
    <w:styleLink w:val="Styl7"/>
    <w:lvl w:ilvl="0">
      <w:start w:val="3"/>
      <w:numFmt w:val="decimal"/>
      <w:lvlText w:val="%1."/>
      <w:lvlJc w:val="left"/>
      <w:pPr>
        <w:ind w:left="360" w:hanging="360"/>
      </w:pPr>
      <w:rPr>
        <w:rFonts w:hint="default"/>
        <w:b w:val="0"/>
        <w:i w:val="0"/>
        <w:color w:val="000000" w:themeColor="text1"/>
        <w:sz w:val="22"/>
      </w:rPr>
    </w:lvl>
    <w:lvl w:ilvl="1">
      <w:start w:val="1"/>
      <w:numFmt w:val="decimal"/>
      <w:lvlText w:val="%1.%2."/>
      <w:lvlJc w:val="left"/>
      <w:pPr>
        <w:ind w:left="792" w:hanging="432"/>
      </w:pPr>
      <w:rPr>
        <w:rFonts w:hint="default"/>
        <w:sz w:val="22"/>
      </w:rPr>
    </w:lvl>
    <w:lvl w:ilvl="2">
      <w:start w:val="3"/>
      <w:numFmt w:val="decimal"/>
      <w:lvlText w:val="%3"/>
      <w:lvlJc w:val="left"/>
      <w:pPr>
        <w:ind w:left="1224" w:hanging="504"/>
      </w:pPr>
      <w:rPr>
        <w:rFonts w:asciiTheme="minorHAnsi" w:hAnsiTheme="minorHAnsi" w:cs="Times New Roman" w:hint="default"/>
        <w:b w:val="0"/>
        <w:i w:val="0"/>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5625129"/>
    <w:multiLevelType w:val="multilevel"/>
    <w:tmpl w:val="9542978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3.%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FDF2BD7"/>
    <w:multiLevelType w:val="multilevel"/>
    <w:tmpl w:val="7D443ACC"/>
    <w:lvl w:ilvl="0">
      <w:start w:val="1"/>
      <w:numFmt w:val="decimal"/>
      <w:lvlText w:val="%1."/>
      <w:lvlJc w:val="left"/>
      <w:pPr>
        <w:ind w:left="360" w:hanging="360"/>
      </w:pPr>
      <w:rPr>
        <w:rFonts w:ascii="Calibri" w:hAnsi="Calibri" w:hint="default"/>
        <w:b w:val="0"/>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3ED52B6"/>
    <w:multiLevelType w:val="hybridMultilevel"/>
    <w:tmpl w:val="203E4DA2"/>
    <w:lvl w:ilvl="0" w:tplc="07C44C3E">
      <w:start w:val="1"/>
      <w:numFmt w:val="bullet"/>
      <w:lvlText w:val="‒"/>
      <w:lvlJc w:val="left"/>
      <w:pPr>
        <w:ind w:left="1854" w:hanging="360"/>
      </w:pPr>
      <w:rPr>
        <w:rFonts w:ascii="Times New Roman" w:hAnsi="Times New Roman" w:cs="Times New Roman"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7C44C3E">
      <w:start w:val="1"/>
      <w:numFmt w:val="bullet"/>
      <w:lvlText w:val="‒"/>
      <w:lvlJc w:val="left"/>
      <w:pPr>
        <w:ind w:left="6174" w:hanging="360"/>
      </w:pPr>
      <w:rPr>
        <w:rFonts w:ascii="Times New Roman" w:hAnsi="Times New Roman" w:cs="Times New Roman"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 w15:restartNumberingAfterBreak="0">
    <w:nsid w:val="3647055E"/>
    <w:multiLevelType w:val="multilevel"/>
    <w:tmpl w:val="3ECEC3AA"/>
    <w:styleLink w:val="Styl4"/>
    <w:lvl w:ilvl="0">
      <w:start w:val="3"/>
      <w:numFmt w:val="decimal"/>
      <w:lvlText w:val="%1."/>
      <w:lvlJc w:val="left"/>
      <w:pPr>
        <w:ind w:left="360" w:hanging="360"/>
      </w:pPr>
      <w:rPr>
        <w:rFonts w:hint="default"/>
        <w:b w:val="0"/>
        <w:i w:val="0"/>
        <w:color w:val="000000" w:themeColor="text1"/>
        <w:sz w:val="22"/>
      </w:rPr>
    </w:lvl>
    <w:lvl w:ilvl="1">
      <w:start w:val="1"/>
      <w:numFmt w:val="decimal"/>
      <w:lvlText w:val="%1.%2."/>
      <w:lvlJc w:val="left"/>
      <w:pPr>
        <w:ind w:left="792" w:hanging="432"/>
      </w:pPr>
      <w:rPr>
        <w:rFonts w:hint="default"/>
        <w:sz w:val="22"/>
      </w:rPr>
    </w:lvl>
    <w:lvl w:ilvl="2">
      <w:start w:val="1"/>
      <w:numFmt w:val="decimal"/>
      <w:lvlText w:val="1.1.%3"/>
      <w:lvlJc w:val="left"/>
      <w:pPr>
        <w:ind w:left="1224" w:hanging="504"/>
      </w:pPr>
      <w:rPr>
        <w:rFonts w:hint="default"/>
        <w:b w:val="0"/>
        <w:i w:val="0"/>
        <w:color w:val="auto"/>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157732A"/>
    <w:multiLevelType w:val="multilevel"/>
    <w:tmpl w:val="C26EB2C2"/>
    <w:lvl w:ilvl="0">
      <w:start w:val="1"/>
      <w:numFmt w:val="decimal"/>
      <w:lvlText w:val="%1."/>
      <w:lvlJc w:val="left"/>
      <w:pPr>
        <w:ind w:left="360" w:hanging="360"/>
      </w:pPr>
      <w:rPr>
        <w:rFonts w:hint="default"/>
        <w:b w:val="0"/>
        <w:i w:val="0"/>
        <w:color w:val="000000" w:themeColor="text1"/>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93D3119"/>
    <w:multiLevelType w:val="multilevel"/>
    <w:tmpl w:val="0415001D"/>
    <w:styleLink w:val="Styl5"/>
    <w:lvl w:ilvl="0">
      <w:start w:val="3"/>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A8C7D58"/>
    <w:multiLevelType w:val="multilevel"/>
    <w:tmpl w:val="96D62BF0"/>
    <w:lvl w:ilvl="0">
      <w:start w:val="4"/>
      <w:numFmt w:val="decimal"/>
      <w:lvlText w:val="%1."/>
      <w:lvlJc w:val="left"/>
      <w:pPr>
        <w:ind w:left="360" w:hanging="360"/>
      </w:pPr>
      <w:rPr>
        <w:rFonts w:hint="default"/>
        <w:b w:val="0"/>
        <w:i w:val="0"/>
        <w:color w:val="000000" w:themeColor="text1"/>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73E13C2"/>
    <w:multiLevelType w:val="multilevel"/>
    <w:tmpl w:val="0415001D"/>
    <w:styleLink w:val="Styl6"/>
    <w:lvl w:ilvl="0">
      <w:start w:val="3"/>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0052DDE"/>
    <w:multiLevelType w:val="hybridMultilevel"/>
    <w:tmpl w:val="9578A00C"/>
    <w:lvl w:ilvl="0" w:tplc="07C44C3E">
      <w:start w:val="1"/>
      <w:numFmt w:val="bullet"/>
      <w:lvlText w:val="‒"/>
      <w:lvlJc w:val="left"/>
      <w:pPr>
        <w:ind w:left="1854" w:hanging="360"/>
      </w:pPr>
      <w:rPr>
        <w:rFonts w:ascii="Times New Roman" w:hAnsi="Times New Roman" w:cs="Times New Roman"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1" w15:restartNumberingAfterBreak="0">
    <w:nsid w:val="749E2257"/>
    <w:multiLevelType w:val="multilevel"/>
    <w:tmpl w:val="0415001D"/>
    <w:styleLink w:val="Styl11"/>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BA544C1"/>
    <w:multiLevelType w:val="multilevel"/>
    <w:tmpl w:val="E05EF498"/>
    <w:styleLink w:val="Styl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CAA49BC"/>
    <w:multiLevelType w:val="multilevel"/>
    <w:tmpl w:val="11380B36"/>
    <w:styleLink w:val="Styl3"/>
    <w:lvl w:ilvl="0">
      <w:start w:val="1"/>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4.%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2"/>
  </w:num>
  <w:num w:numId="3">
    <w:abstractNumId w:val="6"/>
  </w:num>
  <w:num w:numId="4">
    <w:abstractNumId w:val="13"/>
  </w:num>
  <w:num w:numId="5">
    <w:abstractNumId w:val="11"/>
  </w:num>
  <w:num w:numId="6">
    <w:abstractNumId w:val="5"/>
  </w:num>
  <w:num w:numId="7">
    <w:abstractNumId w:val="7"/>
  </w:num>
  <w:num w:numId="8">
    <w:abstractNumId w:val="9"/>
  </w:num>
  <w:num w:numId="9">
    <w:abstractNumId w:val="1"/>
  </w:num>
  <w:num w:numId="10">
    <w:abstractNumId w:val="3"/>
  </w:num>
  <w:num w:numId="11">
    <w:abstractNumId w:val="2"/>
  </w:num>
  <w:num w:numId="12">
    <w:abstractNumId w:val="8"/>
  </w:num>
  <w:num w:numId="13">
    <w:abstractNumId w:val="4"/>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A7F"/>
    <w:rsid w:val="00000FDE"/>
    <w:rsid w:val="000275E3"/>
    <w:rsid w:val="00052CB5"/>
    <w:rsid w:val="001B1C60"/>
    <w:rsid w:val="002D332F"/>
    <w:rsid w:val="00322671"/>
    <w:rsid w:val="00432A7F"/>
    <w:rsid w:val="00895B8C"/>
    <w:rsid w:val="00D657A0"/>
    <w:rsid w:val="00E45B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9AF42"/>
  <w15:chartTrackingRefBased/>
  <w15:docId w15:val="{06511187-3D31-48C4-BE96-45A5E0B76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432A7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unhideWhenUsed/>
    <w:qFormat/>
    <w:rsid w:val="00432A7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semiHidden/>
    <w:unhideWhenUsed/>
    <w:qFormat/>
    <w:rsid w:val="00432A7F"/>
    <w:pPr>
      <w:keepNext/>
      <w:keepLines/>
      <w:spacing w:before="200" w:after="0"/>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32A7F"/>
    <w:rPr>
      <w:rFonts w:asciiTheme="majorHAnsi" w:eastAsiaTheme="majorEastAsia" w:hAnsiTheme="majorHAnsi" w:cstheme="majorBidi"/>
      <w:b/>
      <w:bCs/>
      <w:color w:val="2E74B5" w:themeColor="accent1" w:themeShade="BF"/>
      <w:sz w:val="28"/>
      <w:szCs w:val="28"/>
    </w:rPr>
  </w:style>
  <w:style w:type="character" w:customStyle="1" w:styleId="Nagwek2Znak">
    <w:name w:val="Nagłówek 2 Znak"/>
    <w:basedOn w:val="Domylnaczcionkaakapitu"/>
    <w:link w:val="Nagwek2"/>
    <w:uiPriority w:val="9"/>
    <w:rsid w:val="00432A7F"/>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uiPriority w:val="9"/>
    <w:semiHidden/>
    <w:rsid w:val="00432A7F"/>
    <w:rPr>
      <w:rFonts w:asciiTheme="majorHAnsi" w:eastAsiaTheme="majorEastAsia" w:hAnsiTheme="majorHAnsi" w:cstheme="majorBidi"/>
      <w:b/>
      <w:bCs/>
      <w:color w:val="5B9BD5" w:themeColor="accent1"/>
    </w:rPr>
  </w:style>
  <w:style w:type="paragraph" w:styleId="Akapitzlist">
    <w:name w:val="List Paragraph"/>
    <w:basedOn w:val="Normalny"/>
    <w:uiPriority w:val="34"/>
    <w:qFormat/>
    <w:rsid w:val="00432A7F"/>
    <w:pPr>
      <w:ind w:left="720"/>
      <w:contextualSpacing/>
    </w:pPr>
  </w:style>
  <w:style w:type="character" w:styleId="Odwoaniedokomentarza">
    <w:name w:val="annotation reference"/>
    <w:basedOn w:val="Domylnaczcionkaakapitu"/>
    <w:uiPriority w:val="99"/>
    <w:semiHidden/>
    <w:unhideWhenUsed/>
    <w:rsid w:val="00432A7F"/>
    <w:rPr>
      <w:sz w:val="16"/>
      <w:szCs w:val="16"/>
    </w:rPr>
  </w:style>
  <w:style w:type="paragraph" w:styleId="Tekstkomentarza">
    <w:name w:val="annotation text"/>
    <w:basedOn w:val="Normalny"/>
    <w:link w:val="TekstkomentarzaZnak"/>
    <w:uiPriority w:val="99"/>
    <w:semiHidden/>
    <w:unhideWhenUsed/>
    <w:rsid w:val="00432A7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32A7F"/>
    <w:rPr>
      <w:sz w:val="20"/>
      <w:szCs w:val="20"/>
    </w:rPr>
  </w:style>
  <w:style w:type="paragraph" w:styleId="Tematkomentarza">
    <w:name w:val="annotation subject"/>
    <w:basedOn w:val="Tekstkomentarza"/>
    <w:next w:val="Tekstkomentarza"/>
    <w:link w:val="TematkomentarzaZnak"/>
    <w:uiPriority w:val="99"/>
    <w:semiHidden/>
    <w:unhideWhenUsed/>
    <w:rsid w:val="00432A7F"/>
    <w:rPr>
      <w:b/>
      <w:bCs/>
    </w:rPr>
  </w:style>
  <w:style w:type="character" w:customStyle="1" w:styleId="TematkomentarzaZnak">
    <w:name w:val="Temat komentarza Znak"/>
    <w:basedOn w:val="TekstkomentarzaZnak"/>
    <w:link w:val="Tematkomentarza"/>
    <w:uiPriority w:val="99"/>
    <w:semiHidden/>
    <w:rsid w:val="00432A7F"/>
    <w:rPr>
      <w:b/>
      <w:bCs/>
      <w:sz w:val="20"/>
      <w:szCs w:val="20"/>
    </w:rPr>
  </w:style>
  <w:style w:type="paragraph" w:styleId="Tekstdymka">
    <w:name w:val="Balloon Text"/>
    <w:basedOn w:val="Normalny"/>
    <w:link w:val="TekstdymkaZnak"/>
    <w:uiPriority w:val="99"/>
    <w:semiHidden/>
    <w:unhideWhenUsed/>
    <w:rsid w:val="00432A7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32A7F"/>
    <w:rPr>
      <w:rFonts w:ascii="Segoe UI" w:hAnsi="Segoe UI" w:cs="Segoe UI"/>
      <w:sz w:val="18"/>
      <w:szCs w:val="18"/>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ootnote Text OCR,Przypis,Fußnot"/>
    <w:basedOn w:val="Normalny"/>
    <w:link w:val="TekstprzypisudolnegoZnak"/>
    <w:uiPriority w:val="99"/>
    <w:unhideWhenUsed/>
    <w:rsid w:val="00432A7F"/>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Przypis Znak"/>
    <w:basedOn w:val="Domylnaczcionkaakapitu"/>
    <w:link w:val="Tekstprzypisudolnego"/>
    <w:uiPriority w:val="99"/>
    <w:rsid w:val="00432A7F"/>
    <w:rPr>
      <w:sz w:val="20"/>
      <w:szCs w:val="20"/>
    </w:rPr>
  </w:style>
  <w:style w:type="character" w:styleId="Odwoanieprzypisudolnego">
    <w:name w:val="footnote reference"/>
    <w:aliases w:val="Footnote Reference Number,Footnote symbol,Footnote reference number,note TESI,Footnote Reference Superscript,SUPERS,EN Footnote Reference,Footnote number,FZ,(Voetnootmarkering),Appel note de bas de p,Nota"/>
    <w:basedOn w:val="Domylnaczcionkaakapitu"/>
    <w:uiPriority w:val="99"/>
    <w:unhideWhenUsed/>
    <w:rsid w:val="00432A7F"/>
    <w:rPr>
      <w:vertAlign w:val="superscript"/>
    </w:rPr>
  </w:style>
  <w:style w:type="paragraph" w:styleId="Tekstprzypisukocowego">
    <w:name w:val="endnote text"/>
    <w:basedOn w:val="Normalny"/>
    <w:link w:val="TekstprzypisukocowegoZnak"/>
    <w:uiPriority w:val="99"/>
    <w:semiHidden/>
    <w:unhideWhenUsed/>
    <w:rsid w:val="00432A7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32A7F"/>
    <w:rPr>
      <w:sz w:val="20"/>
      <w:szCs w:val="20"/>
    </w:rPr>
  </w:style>
  <w:style w:type="character" w:styleId="Odwoanieprzypisukocowego">
    <w:name w:val="endnote reference"/>
    <w:basedOn w:val="Domylnaczcionkaakapitu"/>
    <w:uiPriority w:val="99"/>
    <w:semiHidden/>
    <w:unhideWhenUsed/>
    <w:rsid w:val="00432A7F"/>
    <w:rPr>
      <w:vertAlign w:val="superscript"/>
    </w:rPr>
  </w:style>
  <w:style w:type="paragraph" w:styleId="Nagwekspisutreci">
    <w:name w:val="TOC Heading"/>
    <w:basedOn w:val="Nagwek1"/>
    <w:next w:val="Normalny"/>
    <w:uiPriority w:val="39"/>
    <w:semiHidden/>
    <w:unhideWhenUsed/>
    <w:qFormat/>
    <w:rsid w:val="00432A7F"/>
    <w:pPr>
      <w:spacing w:line="276" w:lineRule="auto"/>
      <w:outlineLvl w:val="9"/>
    </w:pPr>
    <w:rPr>
      <w:lang w:eastAsia="pl-PL"/>
    </w:rPr>
  </w:style>
  <w:style w:type="paragraph" w:styleId="Spistreci1">
    <w:name w:val="toc 1"/>
    <w:basedOn w:val="Normalny"/>
    <w:next w:val="Normalny"/>
    <w:autoRedefine/>
    <w:uiPriority w:val="39"/>
    <w:unhideWhenUsed/>
    <w:rsid w:val="00432A7F"/>
    <w:pPr>
      <w:tabs>
        <w:tab w:val="left" w:pos="426"/>
        <w:tab w:val="left" w:pos="851"/>
        <w:tab w:val="right" w:leader="dot" w:pos="9062"/>
      </w:tabs>
      <w:spacing w:after="100"/>
      <w:ind w:left="426"/>
    </w:pPr>
  </w:style>
  <w:style w:type="paragraph" w:styleId="Spistreci2">
    <w:name w:val="toc 2"/>
    <w:basedOn w:val="Normalny"/>
    <w:next w:val="Normalny"/>
    <w:autoRedefine/>
    <w:uiPriority w:val="39"/>
    <w:unhideWhenUsed/>
    <w:rsid w:val="00432A7F"/>
    <w:pPr>
      <w:tabs>
        <w:tab w:val="left" w:pos="851"/>
        <w:tab w:val="right" w:leader="dot" w:pos="9062"/>
      </w:tabs>
      <w:spacing w:after="100"/>
      <w:ind w:left="851" w:hanging="425"/>
    </w:pPr>
    <w:rPr>
      <w:rFonts w:ascii="Calibri" w:eastAsia="Calibri" w:hAnsi="Calibri" w:cs="Times New Roman"/>
      <w:noProof/>
    </w:rPr>
  </w:style>
  <w:style w:type="paragraph" w:styleId="Spistreci3">
    <w:name w:val="toc 3"/>
    <w:basedOn w:val="Normalny"/>
    <w:next w:val="Normalny"/>
    <w:autoRedefine/>
    <w:uiPriority w:val="39"/>
    <w:unhideWhenUsed/>
    <w:rsid w:val="00432A7F"/>
    <w:pPr>
      <w:tabs>
        <w:tab w:val="left" w:pos="709"/>
        <w:tab w:val="left" w:pos="1100"/>
        <w:tab w:val="right" w:leader="dot" w:pos="9062"/>
      </w:tabs>
      <w:spacing w:after="100"/>
      <w:ind w:left="851" w:hanging="425"/>
    </w:pPr>
    <w:rPr>
      <w:b/>
      <w:noProof/>
    </w:rPr>
  </w:style>
  <w:style w:type="character" w:styleId="Hipercze">
    <w:name w:val="Hyperlink"/>
    <w:basedOn w:val="Domylnaczcionkaakapitu"/>
    <w:uiPriority w:val="99"/>
    <w:unhideWhenUsed/>
    <w:rsid w:val="00432A7F"/>
    <w:rPr>
      <w:color w:val="0563C1" w:themeColor="hyperlink"/>
      <w:u w:val="single"/>
    </w:rPr>
  </w:style>
  <w:style w:type="paragraph" w:styleId="Nagwek">
    <w:name w:val="header"/>
    <w:basedOn w:val="Normalny"/>
    <w:link w:val="NagwekZnak"/>
    <w:uiPriority w:val="99"/>
    <w:unhideWhenUsed/>
    <w:rsid w:val="00432A7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32A7F"/>
  </w:style>
  <w:style w:type="paragraph" w:styleId="Stopka">
    <w:name w:val="footer"/>
    <w:basedOn w:val="Normalny"/>
    <w:link w:val="StopkaZnak"/>
    <w:uiPriority w:val="99"/>
    <w:unhideWhenUsed/>
    <w:rsid w:val="00432A7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32A7F"/>
  </w:style>
  <w:style w:type="numbering" w:customStyle="1" w:styleId="Styl1">
    <w:name w:val="Styl1"/>
    <w:uiPriority w:val="99"/>
    <w:rsid w:val="00432A7F"/>
    <w:pPr>
      <w:numPr>
        <w:numId w:val="1"/>
      </w:numPr>
    </w:pPr>
  </w:style>
  <w:style w:type="paragraph" w:styleId="Poprawka">
    <w:name w:val="Revision"/>
    <w:hidden/>
    <w:uiPriority w:val="99"/>
    <w:semiHidden/>
    <w:rsid w:val="00432A7F"/>
    <w:pPr>
      <w:spacing w:after="0" w:line="240" w:lineRule="auto"/>
    </w:pPr>
  </w:style>
  <w:style w:type="paragraph" w:customStyle="1" w:styleId="Default">
    <w:name w:val="Default"/>
    <w:rsid w:val="00432A7F"/>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Styl2">
    <w:name w:val="Styl2"/>
    <w:uiPriority w:val="99"/>
    <w:rsid w:val="00432A7F"/>
    <w:pPr>
      <w:numPr>
        <w:numId w:val="2"/>
      </w:numPr>
    </w:pPr>
  </w:style>
  <w:style w:type="table" w:styleId="Tabela-Siatka">
    <w:name w:val="Table Grid"/>
    <w:basedOn w:val="Standardowy"/>
    <w:uiPriority w:val="39"/>
    <w:rsid w:val="00432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3">
    <w:name w:val="Styl3"/>
    <w:uiPriority w:val="99"/>
    <w:rsid w:val="00432A7F"/>
    <w:pPr>
      <w:numPr>
        <w:numId w:val="4"/>
      </w:numPr>
    </w:pPr>
  </w:style>
  <w:style w:type="paragraph" w:customStyle="1" w:styleId="Legenda1">
    <w:name w:val="Legenda1"/>
    <w:basedOn w:val="Normalny"/>
    <w:next w:val="Normalny"/>
    <w:uiPriority w:val="35"/>
    <w:unhideWhenUsed/>
    <w:qFormat/>
    <w:rsid w:val="00432A7F"/>
    <w:pPr>
      <w:spacing w:after="200" w:line="240" w:lineRule="auto"/>
    </w:pPr>
    <w:rPr>
      <w:i/>
      <w:iCs/>
      <w:color w:val="44546A"/>
      <w:sz w:val="18"/>
      <w:szCs w:val="18"/>
    </w:rPr>
  </w:style>
  <w:style w:type="character" w:customStyle="1" w:styleId="markedcontent">
    <w:name w:val="markedcontent"/>
    <w:basedOn w:val="Domylnaczcionkaakapitu"/>
    <w:rsid w:val="00432A7F"/>
  </w:style>
  <w:style w:type="numbering" w:customStyle="1" w:styleId="Styl11">
    <w:name w:val="Styl11"/>
    <w:uiPriority w:val="99"/>
    <w:rsid w:val="00432A7F"/>
    <w:pPr>
      <w:numPr>
        <w:numId w:val="5"/>
      </w:numPr>
    </w:pPr>
  </w:style>
  <w:style w:type="table" w:customStyle="1" w:styleId="Tabelasiatki1jasnaakcent51">
    <w:name w:val="Tabela siatki 1 — jasna — akcent 51"/>
    <w:basedOn w:val="Standardowy"/>
    <w:uiPriority w:val="46"/>
    <w:rsid w:val="00432A7F"/>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elasiatki1jasnaakcent31">
    <w:name w:val="Tabela siatki 1 — jasna — akcent 31"/>
    <w:basedOn w:val="Standardowy"/>
    <w:uiPriority w:val="46"/>
    <w:rsid w:val="00432A7F"/>
    <w:pPr>
      <w:spacing w:after="0" w:line="240" w:lineRule="auto"/>
    </w:p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Zwykatabela41">
    <w:name w:val="Zwykła tabela 41"/>
    <w:basedOn w:val="Standardowy"/>
    <w:uiPriority w:val="44"/>
    <w:rsid w:val="00432A7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tyl4">
    <w:name w:val="Styl4"/>
    <w:uiPriority w:val="99"/>
    <w:rsid w:val="00432A7F"/>
    <w:pPr>
      <w:numPr>
        <w:numId w:val="6"/>
      </w:numPr>
    </w:pPr>
  </w:style>
  <w:style w:type="numbering" w:customStyle="1" w:styleId="Styl5">
    <w:name w:val="Styl5"/>
    <w:uiPriority w:val="99"/>
    <w:rsid w:val="00432A7F"/>
    <w:pPr>
      <w:numPr>
        <w:numId w:val="7"/>
      </w:numPr>
    </w:pPr>
  </w:style>
  <w:style w:type="numbering" w:customStyle="1" w:styleId="Styl6">
    <w:name w:val="Styl6"/>
    <w:uiPriority w:val="99"/>
    <w:rsid w:val="00432A7F"/>
    <w:pPr>
      <w:numPr>
        <w:numId w:val="8"/>
      </w:numPr>
    </w:pPr>
  </w:style>
  <w:style w:type="numbering" w:customStyle="1" w:styleId="Styl7">
    <w:name w:val="Styl7"/>
    <w:uiPriority w:val="99"/>
    <w:rsid w:val="00432A7F"/>
    <w:pPr>
      <w:numPr>
        <w:numId w:val="9"/>
      </w:numPr>
    </w:pPr>
  </w:style>
  <w:style w:type="numbering" w:customStyle="1" w:styleId="Bezlisty1">
    <w:name w:val="Bez listy1"/>
    <w:next w:val="Bezlisty"/>
    <w:uiPriority w:val="99"/>
    <w:semiHidden/>
    <w:unhideWhenUsed/>
    <w:rsid w:val="00432A7F"/>
  </w:style>
  <w:style w:type="table" w:customStyle="1" w:styleId="Tabela-Siatka1">
    <w:name w:val="Tabela - Siatka1"/>
    <w:basedOn w:val="Standardowy"/>
    <w:next w:val="Tabela-Siatka"/>
    <w:uiPriority w:val="39"/>
    <w:rsid w:val="00432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enda2">
    <w:name w:val="Legenda2"/>
    <w:basedOn w:val="Normalny"/>
    <w:next w:val="Normalny"/>
    <w:uiPriority w:val="35"/>
    <w:unhideWhenUsed/>
    <w:qFormat/>
    <w:rsid w:val="00432A7F"/>
    <w:pPr>
      <w:spacing w:after="200" w:line="240" w:lineRule="auto"/>
    </w:pPr>
    <w:rPr>
      <w:i/>
      <w:iCs/>
      <w:color w:val="44546A"/>
      <w:sz w:val="18"/>
      <w:szCs w:val="18"/>
    </w:rPr>
  </w:style>
  <w:style w:type="paragraph" w:styleId="Legenda">
    <w:name w:val="caption"/>
    <w:basedOn w:val="Normalny"/>
    <w:next w:val="Normalny"/>
    <w:uiPriority w:val="35"/>
    <w:unhideWhenUsed/>
    <w:qFormat/>
    <w:rsid w:val="00432A7F"/>
    <w:pPr>
      <w:spacing w:after="200" w:line="240" w:lineRule="auto"/>
    </w:pPr>
    <w:rPr>
      <w:i/>
      <w:iCs/>
      <w:color w:val="44546A" w:themeColor="text2"/>
      <w:sz w:val="18"/>
      <w:szCs w:val="18"/>
    </w:rPr>
  </w:style>
  <w:style w:type="paragraph" w:styleId="Spisilustracji">
    <w:name w:val="table of figures"/>
    <w:aliases w:val="Spis wykresów"/>
    <w:basedOn w:val="Normalny"/>
    <w:next w:val="Normalny"/>
    <w:uiPriority w:val="99"/>
    <w:unhideWhenUsed/>
    <w:rsid w:val="00432A7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bip.mkidn.gov.pl/pages/dzienniki-urzedowe/dzienniki-urzedowe-mkdnis/dziennik-urzedowy-2021.php" TargetMode="External"/><Relationship Id="rId2" Type="http://schemas.openxmlformats.org/officeDocument/2006/relationships/hyperlink" Target="https://isap.sejm.gov.pl/isap.nsf/DocDetails.xsp?id=WDU20210001675" TargetMode="External"/><Relationship Id="rId1" Type="http://schemas.openxmlformats.org/officeDocument/2006/relationships/hyperlink" Target="https://bip.mkidn.gov.pl/pages/legislacja/programy-wieloletnie/narodowy-program-rozwoju-czytelnictwa-2-0-na-lata-2021-2025.php"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484E5-DB06-4542-96BC-B13D5D090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6983</Words>
  <Characters>41903</Characters>
  <Application>Microsoft Office Word</Application>
  <DocSecurity>0</DocSecurity>
  <Lines>349</Lines>
  <Paragraphs>97</Paragraphs>
  <ScaleCrop>false</ScaleCrop>
  <HeadingPairs>
    <vt:vector size="2" baseType="variant">
      <vt:variant>
        <vt:lpstr>Tytuł</vt:lpstr>
      </vt:variant>
      <vt:variant>
        <vt:i4>1</vt:i4>
      </vt:variant>
    </vt:vector>
  </HeadingPairs>
  <TitlesOfParts>
    <vt:vector size="1" baseType="lpstr">
      <vt:lpstr/>
    </vt:vector>
  </TitlesOfParts>
  <Company>MKiDN</Company>
  <LinksUpToDate>false</LinksUpToDate>
  <CharactersWithSpaces>48789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Noszczak</dc:creator>
  <cp:keywords/>
  <dc:description/>
  <cp:lastModifiedBy>Jolanta Noszczak</cp:lastModifiedBy>
  <cp:revision>7</cp:revision>
  <dcterms:created xsi:type="dcterms:W3CDTF">2022-05-13T07:13:00Z</dcterms:created>
  <dcterms:modified xsi:type="dcterms:W3CDTF">2022-05-13T07:26:00Z</dcterms:modified>
</cp:coreProperties>
</file>