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117F9" w14:textId="601362C5" w:rsidR="00350165" w:rsidRPr="001C1C6C" w:rsidRDefault="00350165" w:rsidP="007752C1">
      <w:pPr>
        <w:tabs>
          <w:tab w:val="left" w:pos="1418"/>
        </w:tabs>
        <w:rPr>
          <w:rFonts w:ascii="Lato" w:hAnsi="Lato"/>
          <w:spacing w:val="4"/>
          <w:sz w:val="22"/>
          <w:szCs w:val="22"/>
        </w:rPr>
      </w:pPr>
      <w:r w:rsidRPr="001C1C6C">
        <w:rPr>
          <w:rFonts w:ascii="Lato" w:hAnsi="Lato"/>
          <w:spacing w:val="4"/>
          <w:sz w:val="22"/>
          <w:szCs w:val="22"/>
        </w:rPr>
        <w:t xml:space="preserve">Znak sprawy: </w:t>
      </w:r>
      <w:r w:rsidR="00470044" w:rsidRPr="001C1C6C">
        <w:rPr>
          <w:rFonts w:ascii="Lato" w:hAnsi="Lato"/>
          <w:spacing w:val="4"/>
          <w:sz w:val="22"/>
          <w:szCs w:val="22"/>
        </w:rPr>
        <w:t>DLI-III.7620.5.2023.AW</w:t>
      </w:r>
      <w:r w:rsidR="00195579">
        <w:rPr>
          <w:rFonts w:ascii="Lato" w:hAnsi="Lato"/>
          <w:spacing w:val="4"/>
          <w:sz w:val="22"/>
          <w:szCs w:val="22"/>
        </w:rPr>
        <w:t>.23</w:t>
      </w:r>
    </w:p>
    <w:p w14:paraId="0D536F41" w14:textId="5F1A55D9" w:rsidR="00350165" w:rsidRPr="00E64EE8" w:rsidRDefault="00350165" w:rsidP="00E64EE8">
      <w:pPr>
        <w:tabs>
          <w:tab w:val="left" w:pos="1418"/>
        </w:tabs>
        <w:rPr>
          <w:rFonts w:ascii="Lato" w:hAnsi="Lato"/>
          <w:spacing w:val="4"/>
          <w:sz w:val="22"/>
          <w:szCs w:val="22"/>
        </w:rPr>
      </w:pPr>
      <w:r w:rsidRPr="001C1C6C">
        <w:rPr>
          <w:rFonts w:ascii="Lato" w:hAnsi="Lato"/>
          <w:spacing w:val="4"/>
          <w:sz w:val="22"/>
          <w:szCs w:val="22"/>
        </w:rPr>
        <w:t>Warszawa,</w:t>
      </w:r>
      <w:r w:rsidR="00513A8B" w:rsidRPr="001C1C6C">
        <w:rPr>
          <w:rFonts w:ascii="Lato" w:hAnsi="Lato"/>
          <w:spacing w:val="4"/>
          <w:sz w:val="22"/>
          <w:szCs w:val="22"/>
        </w:rPr>
        <w:t xml:space="preserve"> </w:t>
      </w:r>
      <w:r w:rsidR="00E80162">
        <w:rPr>
          <w:rFonts w:ascii="Lato" w:hAnsi="Lato"/>
          <w:spacing w:val="4"/>
          <w:sz w:val="22"/>
          <w:szCs w:val="22"/>
        </w:rPr>
        <w:t>20</w:t>
      </w:r>
      <w:r w:rsidR="00470044" w:rsidRPr="001C1C6C">
        <w:rPr>
          <w:rFonts w:ascii="Lato" w:hAnsi="Lato"/>
          <w:spacing w:val="4"/>
          <w:sz w:val="22"/>
          <w:szCs w:val="22"/>
        </w:rPr>
        <w:t xml:space="preserve"> </w:t>
      </w:r>
      <w:r w:rsidR="00BF6425">
        <w:rPr>
          <w:rFonts w:ascii="Lato" w:hAnsi="Lato"/>
          <w:spacing w:val="4"/>
          <w:sz w:val="22"/>
          <w:szCs w:val="22"/>
        </w:rPr>
        <w:t>lutego</w:t>
      </w:r>
      <w:r w:rsidR="003C328E" w:rsidRPr="001C1C6C">
        <w:rPr>
          <w:rFonts w:ascii="Lato" w:hAnsi="Lato"/>
          <w:spacing w:val="4"/>
          <w:sz w:val="22"/>
          <w:szCs w:val="22"/>
        </w:rPr>
        <w:t xml:space="preserve"> 202</w:t>
      </w:r>
      <w:r w:rsidR="00BF6425">
        <w:rPr>
          <w:rFonts w:ascii="Lato" w:hAnsi="Lato"/>
          <w:spacing w:val="4"/>
          <w:sz w:val="22"/>
          <w:szCs w:val="22"/>
        </w:rPr>
        <w:t>6</w:t>
      </w:r>
      <w:r w:rsidR="00C82F34" w:rsidRPr="001C1C6C">
        <w:rPr>
          <w:rFonts w:ascii="Lato" w:hAnsi="Lato"/>
          <w:spacing w:val="4"/>
          <w:sz w:val="22"/>
          <w:szCs w:val="22"/>
        </w:rPr>
        <w:t xml:space="preserve"> r.</w:t>
      </w:r>
      <w:r w:rsidR="003C328E" w:rsidRPr="001C1C6C">
        <w:rPr>
          <w:rFonts w:ascii="Lato" w:hAnsi="Lato"/>
          <w:spacing w:val="4"/>
          <w:sz w:val="22"/>
          <w:szCs w:val="22"/>
        </w:rPr>
        <w:t xml:space="preserve"> </w:t>
      </w:r>
    </w:p>
    <w:p w14:paraId="313DDDAD" w14:textId="77777777" w:rsidR="00F24C6D" w:rsidRPr="001C1C6C" w:rsidRDefault="00F24C6D" w:rsidP="00D61726">
      <w:pPr>
        <w:spacing w:line="260" w:lineRule="exact"/>
        <w:rPr>
          <w:rFonts w:ascii="Lato" w:hAnsi="Lato" w:cstheme="minorHAnsi"/>
        </w:rPr>
      </w:pPr>
    </w:p>
    <w:p w14:paraId="62E5E483" w14:textId="77777777" w:rsidR="00A21071" w:rsidRPr="001C1C6C" w:rsidRDefault="00A21071" w:rsidP="00A21071">
      <w:pPr>
        <w:tabs>
          <w:tab w:val="left" w:pos="5387"/>
          <w:tab w:val="left" w:pos="5670"/>
          <w:tab w:val="left" w:pos="6096"/>
          <w:tab w:val="right" w:pos="6237"/>
          <w:tab w:val="left" w:pos="8931"/>
        </w:tabs>
        <w:spacing w:after="360" w:line="240" w:lineRule="exact"/>
        <w:jc w:val="center"/>
        <w:outlineLvl w:val="0"/>
        <w:rPr>
          <w:rFonts w:ascii="Lato" w:eastAsia="Arial" w:hAnsi="Lato" w:cs="Arial"/>
          <w:color w:val="000000"/>
          <w:spacing w:val="4"/>
          <w:sz w:val="22"/>
          <w:szCs w:val="22"/>
          <w:lang w:eastAsia="en-US"/>
        </w:rPr>
      </w:pPr>
      <w:r w:rsidRPr="001C1C6C">
        <w:rPr>
          <w:rFonts w:ascii="Lato" w:eastAsiaTheme="minorHAnsi" w:hAnsi="Lato" w:cs="Arial"/>
          <w:b/>
          <w:spacing w:val="4"/>
          <w:sz w:val="22"/>
          <w:szCs w:val="22"/>
          <w:lang w:eastAsia="en-US"/>
        </w:rPr>
        <w:t>DECYZJA</w:t>
      </w:r>
    </w:p>
    <w:p w14:paraId="7EBE471E" w14:textId="6CE7BBA0" w:rsidR="00636951" w:rsidRPr="001C1C6C" w:rsidRDefault="00173BB2" w:rsidP="00532197">
      <w:pPr>
        <w:spacing w:after="240" w:line="240" w:lineRule="exact"/>
        <w:jc w:val="both"/>
        <w:rPr>
          <w:rFonts w:ascii="Lato" w:hAnsi="Lato" w:cs="Arial"/>
          <w:spacing w:val="4"/>
          <w:sz w:val="22"/>
          <w:szCs w:val="22"/>
        </w:rPr>
      </w:pPr>
      <w:r w:rsidRPr="001C1C6C">
        <w:rPr>
          <w:rFonts w:ascii="Lato" w:hAnsi="Lato" w:cs="Arial"/>
          <w:spacing w:val="4"/>
          <w:sz w:val="22"/>
          <w:szCs w:val="22"/>
        </w:rPr>
        <w:t xml:space="preserve">Na podstawie art. 138 § 1 pkt </w:t>
      </w:r>
      <w:r w:rsidR="009673DD" w:rsidRPr="001C1C6C">
        <w:rPr>
          <w:rFonts w:ascii="Lato" w:hAnsi="Lato" w:cs="Arial"/>
          <w:spacing w:val="4"/>
          <w:sz w:val="22"/>
          <w:szCs w:val="22"/>
        </w:rPr>
        <w:t>2</w:t>
      </w:r>
      <w:r w:rsidRPr="001C1C6C">
        <w:rPr>
          <w:rFonts w:ascii="Lato" w:hAnsi="Lato" w:cs="Arial"/>
          <w:spacing w:val="4"/>
          <w:sz w:val="22"/>
          <w:szCs w:val="22"/>
        </w:rPr>
        <w:t xml:space="preserve"> </w:t>
      </w:r>
      <w:r w:rsidR="00A24F22" w:rsidRPr="001C1C6C">
        <w:rPr>
          <w:rFonts w:ascii="Lato" w:hAnsi="Lato" w:cs="Arial"/>
          <w:spacing w:val="4"/>
          <w:sz w:val="22"/>
          <w:szCs w:val="22"/>
        </w:rPr>
        <w:t xml:space="preserve">i 3 </w:t>
      </w:r>
      <w:r w:rsidRPr="001C1C6C">
        <w:rPr>
          <w:rFonts w:ascii="Lato" w:hAnsi="Lato" w:cs="Arial"/>
          <w:spacing w:val="4"/>
          <w:sz w:val="22"/>
          <w:szCs w:val="22"/>
        </w:rPr>
        <w:t xml:space="preserve">ustawy z dnia 14 czerwca 1960 r. Kodeks postępowania administracyjnego (t.j. </w:t>
      </w:r>
      <w:r w:rsidR="0053393F" w:rsidRPr="0053393F">
        <w:rPr>
          <w:rFonts w:ascii="Lato" w:hAnsi="Lato" w:cs="Arial"/>
          <w:spacing w:val="4"/>
          <w:sz w:val="22"/>
          <w:szCs w:val="22"/>
        </w:rPr>
        <w:t>Dz.U. z 2025 r. poz. 1691</w:t>
      </w:r>
      <w:r w:rsidRPr="001C1C6C">
        <w:rPr>
          <w:rFonts w:ascii="Lato" w:hAnsi="Lato" w:cs="Arial"/>
          <w:spacing w:val="4"/>
          <w:sz w:val="22"/>
          <w:szCs w:val="22"/>
        </w:rPr>
        <w:t xml:space="preserve">), zwanej dalej „kpa”, </w:t>
      </w:r>
      <w:r w:rsidR="00A95767" w:rsidRPr="001C1C6C">
        <w:rPr>
          <w:rFonts w:ascii="Lato" w:hAnsi="Lato" w:cs="Arial"/>
          <w:spacing w:val="4"/>
          <w:sz w:val="22"/>
          <w:szCs w:val="22"/>
        </w:rPr>
        <w:t>oraz art. 3 ust. 3 ustawy z dnia 22 lutego 2019 r. o przygotowaniu i realizacji strategicznych inwestycji w sektorze naftowym  (Dz. U. z 202</w:t>
      </w:r>
      <w:r w:rsidR="00D906A5" w:rsidRPr="001C1C6C">
        <w:rPr>
          <w:rFonts w:ascii="Lato" w:hAnsi="Lato" w:cs="Arial"/>
          <w:spacing w:val="4"/>
          <w:sz w:val="22"/>
          <w:szCs w:val="22"/>
        </w:rPr>
        <w:t>4</w:t>
      </w:r>
      <w:r w:rsidR="00A95767" w:rsidRPr="001C1C6C">
        <w:rPr>
          <w:rFonts w:ascii="Lato" w:hAnsi="Lato" w:cs="Arial"/>
          <w:spacing w:val="4"/>
          <w:sz w:val="22"/>
          <w:szCs w:val="22"/>
        </w:rPr>
        <w:t xml:space="preserve"> r. poz. </w:t>
      </w:r>
      <w:r w:rsidR="00491F0C" w:rsidRPr="001C1C6C">
        <w:rPr>
          <w:rFonts w:ascii="Lato" w:hAnsi="Lato" w:cs="Arial"/>
          <w:spacing w:val="4"/>
          <w:sz w:val="22"/>
          <w:szCs w:val="22"/>
        </w:rPr>
        <w:t>1839</w:t>
      </w:r>
      <w:r w:rsidR="00A95767" w:rsidRPr="001C1C6C">
        <w:rPr>
          <w:rFonts w:ascii="Lato" w:hAnsi="Lato" w:cs="Arial"/>
          <w:spacing w:val="4"/>
          <w:sz w:val="22"/>
          <w:szCs w:val="22"/>
        </w:rPr>
        <w:t xml:space="preserve">), zwanej dalej „specustawą naftową”, po rozpatrzeniu </w:t>
      </w:r>
      <w:r w:rsidRPr="001C1C6C">
        <w:rPr>
          <w:rFonts w:ascii="Lato" w:hAnsi="Lato" w:cs="Arial"/>
          <w:spacing w:val="4"/>
          <w:sz w:val="22"/>
          <w:szCs w:val="22"/>
        </w:rPr>
        <w:t>odwoła</w:t>
      </w:r>
      <w:r w:rsidR="00491F0C" w:rsidRPr="001C1C6C">
        <w:rPr>
          <w:rFonts w:ascii="Lato" w:hAnsi="Lato" w:cs="Arial"/>
          <w:spacing w:val="4"/>
          <w:sz w:val="22"/>
          <w:szCs w:val="22"/>
        </w:rPr>
        <w:t>nia</w:t>
      </w:r>
      <w:r w:rsidR="00206466" w:rsidRPr="001C1C6C">
        <w:rPr>
          <w:rFonts w:ascii="Lato" w:hAnsi="Lato" w:cs="Arial"/>
          <w:spacing w:val="4"/>
          <w:sz w:val="22"/>
          <w:szCs w:val="22"/>
        </w:rPr>
        <w:t xml:space="preserve"> </w:t>
      </w:r>
      <w:bookmarkStart w:id="0" w:name="_Hlk122432681"/>
      <w:bookmarkStart w:id="1" w:name="_Hlk132810143"/>
      <w:r w:rsidR="00491F0C" w:rsidRPr="001C1C6C">
        <w:rPr>
          <w:rFonts w:ascii="Lato" w:hAnsi="Lato" w:cs="Arial"/>
          <w:bCs/>
          <w:spacing w:val="4"/>
          <w:sz w:val="22"/>
          <w:szCs w:val="22"/>
        </w:rPr>
        <w:t xml:space="preserve">PKP S.A. z siedzibą w Warszawie, reprezentowanej przez r. pr. </w:t>
      </w:r>
      <w:r w:rsidR="0088787D">
        <w:rPr>
          <w:rFonts w:ascii="Lato" w:hAnsi="Lato" w:cs="Arial"/>
          <w:bCs/>
          <w:spacing w:val="4"/>
          <w:sz w:val="22"/>
          <w:szCs w:val="22"/>
        </w:rPr>
        <w:t>N.</w:t>
      </w:r>
      <w:r w:rsidR="00491F0C" w:rsidRPr="001C1C6C">
        <w:rPr>
          <w:rFonts w:ascii="Lato" w:hAnsi="Lato" w:cs="Arial"/>
          <w:bCs/>
          <w:spacing w:val="4"/>
          <w:sz w:val="22"/>
          <w:szCs w:val="22"/>
        </w:rPr>
        <w:t xml:space="preserve"> </w:t>
      </w:r>
      <w:r w:rsidR="0088787D">
        <w:rPr>
          <w:rFonts w:ascii="Lato" w:hAnsi="Lato" w:cs="Arial"/>
          <w:bCs/>
          <w:spacing w:val="4"/>
          <w:sz w:val="22"/>
          <w:szCs w:val="22"/>
        </w:rPr>
        <w:t>P.</w:t>
      </w:r>
      <w:r w:rsidR="00491F0C" w:rsidRPr="001C1C6C">
        <w:rPr>
          <w:rFonts w:ascii="Lato" w:hAnsi="Lato" w:cs="Arial"/>
          <w:bCs/>
          <w:spacing w:val="4"/>
          <w:sz w:val="22"/>
          <w:szCs w:val="22"/>
        </w:rPr>
        <w:t xml:space="preserve">, oraz po zapoznaniu się z odwołaniem </w:t>
      </w:r>
      <w:bookmarkStart w:id="2" w:name="_Hlk198717861"/>
      <w:r w:rsidR="0088787D">
        <w:rPr>
          <w:rFonts w:ascii="Lato" w:hAnsi="Lato" w:cs="Arial"/>
          <w:bCs/>
          <w:spacing w:val="4"/>
          <w:sz w:val="22"/>
          <w:szCs w:val="22"/>
        </w:rPr>
        <w:t xml:space="preserve">E. </w:t>
      </w:r>
      <w:r w:rsidR="00491F0C" w:rsidRPr="001C1C6C">
        <w:rPr>
          <w:rFonts w:ascii="Lato" w:hAnsi="Lato" w:cs="Arial"/>
          <w:bCs/>
          <w:spacing w:val="4"/>
          <w:sz w:val="22"/>
          <w:szCs w:val="22"/>
        </w:rPr>
        <w:t xml:space="preserve">sp. z o.o. z siedzibą w </w:t>
      </w:r>
      <w:bookmarkEnd w:id="2"/>
      <w:r w:rsidR="0088787D">
        <w:rPr>
          <w:rFonts w:ascii="Lato" w:hAnsi="Lato" w:cs="Arial"/>
          <w:bCs/>
          <w:spacing w:val="4"/>
          <w:sz w:val="22"/>
          <w:szCs w:val="22"/>
        </w:rPr>
        <w:t>B.</w:t>
      </w:r>
      <w:r w:rsidR="00491F0C" w:rsidRPr="001C1C6C">
        <w:rPr>
          <w:rFonts w:ascii="Lato" w:hAnsi="Lato" w:cs="Arial"/>
          <w:bCs/>
          <w:spacing w:val="4"/>
          <w:sz w:val="22"/>
          <w:szCs w:val="22"/>
        </w:rPr>
        <w:t xml:space="preserve">, reprezentowanej przez r. pr. </w:t>
      </w:r>
      <w:r w:rsidR="0088787D">
        <w:rPr>
          <w:rFonts w:ascii="Lato" w:hAnsi="Lato" w:cs="Arial"/>
          <w:bCs/>
          <w:spacing w:val="4"/>
          <w:sz w:val="22"/>
          <w:szCs w:val="22"/>
        </w:rPr>
        <w:t>E.</w:t>
      </w:r>
      <w:r w:rsidR="00491F0C" w:rsidRPr="001C1C6C">
        <w:rPr>
          <w:rFonts w:ascii="Lato" w:hAnsi="Lato" w:cs="Arial"/>
          <w:bCs/>
          <w:spacing w:val="4"/>
          <w:sz w:val="22"/>
          <w:szCs w:val="22"/>
        </w:rPr>
        <w:t xml:space="preserve"> </w:t>
      </w:r>
      <w:r w:rsidR="0088787D">
        <w:rPr>
          <w:rFonts w:ascii="Lato" w:hAnsi="Lato" w:cs="Arial"/>
          <w:bCs/>
          <w:spacing w:val="4"/>
          <w:sz w:val="22"/>
          <w:szCs w:val="22"/>
        </w:rPr>
        <w:t>K.</w:t>
      </w:r>
      <w:r w:rsidR="00491F0C" w:rsidRPr="001C1C6C">
        <w:rPr>
          <w:rFonts w:ascii="Lato" w:hAnsi="Lato" w:cs="Arial"/>
          <w:bCs/>
          <w:spacing w:val="4"/>
          <w:sz w:val="22"/>
          <w:szCs w:val="22"/>
        </w:rPr>
        <w:t xml:space="preserve">, </w:t>
      </w:r>
      <w:bookmarkStart w:id="3" w:name="_Hlk122420533"/>
      <w:bookmarkEnd w:id="0"/>
      <w:r w:rsidR="00A95767" w:rsidRPr="001C1C6C">
        <w:rPr>
          <w:rFonts w:ascii="Lato" w:hAnsi="Lato" w:cs="Arial"/>
          <w:spacing w:val="4"/>
          <w:sz w:val="22"/>
          <w:szCs w:val="22"/>
        </w:rPr>
        <w:t>od decyzji Wojewody</w:t>
      </w:r>
      <w:r w:rsidR="001871FB" w:rsidRPr="001C1C6C">
        <w:rPr>
          <w:rFonts w:ascii="Lato" w:hAnsi="Lato" w:cs="Arial"/>
          <w:spacing w:val="4"/>
          <w:sz w:val="22"/>
          <w:szCs w:val="22"/>
        </w:rPr>
        <w:t xml:space="preserve"> </w:t>
      </w:r>
      <w:r w:rsidR="00491F0C" w:rsidRPr="001C1C6C">
        <w:rPr>
          <w:rFonts w:ascii="Lato" w:hAnsi="Lato" w:cs="Arial"/>
          <w:spacing w:val="4"/>
          <w:sz w:val="22"/>
          <w:szCs w:val="22"/>
        </w:rPr>
        <w:t>Kujawsko-Pomorskiego nr 16/2022 z dnia 21 grudnia 2022 r., znak: WIR.II.747.3.2.2022.EP, o ustaleniu lokalizacji strategicznej inwestycji w sektorze naftowym dla zadania pn.: „Wykonanie projektów budowlanych i wykonawczych dla budowy rurociągów pomiędzy infrastrukturą IKS „Solino” S.A. oraz projektów modernizacji istniejących rurociągów” – zadanie 3: Modernizacja istniejących rurociągów wody przemysłowej Wójcin-Przyjma i solanki Przyjma-Janikowo</w:t>
      </w:r>
      <w:r w:rsidR="00A95767" w:rsidRPr="001C1C6C">
        <w:rPr>
          <w:rFonts w:ascii="Lato" w:hAnsi="Lato" w:cs="Arial"/>
          <w:spacing w:val="4"/>
          <w:sz w:val="22"/>
          <w:szCs w:val="22"/>
        </w:rPr>
        <w:t>,</w:t>
      </w:r>
      <w:r w:rsidR="00135F54" w:rsidRPr="001C1C6C">
        <w:rPr>
          <w:rFonts w:ascii="Lato" w:hAnsi="Lato" w:cs="Arial"/>
          <w:bCs/>
          <w:spacing w:val="4"/>
          <w:sz w:val="22"/>
          <w:szCs w:val="22"/>
        </w:rPr>
        <w:t xml:space="preserve"> </w:t>
      </w:r>
      <w:bookmarkEnd w:id="1"/>
      <w:bookmarkEnd w:id="3"/>
    </w:p>
    <w:p w14:paraId="4186F593" w14:textId="34A41E67" w:rsidR="009673DD" w:rsidRPr="001C1C6C" w:rsidRDefault="009673DD" w:rsidP="005F4256">
      <w:pPr>
        <w:pStyle w:val="Akapitzlist"/>
        <w:numPr>
          <w:ilvl w:val="0"/>
          <w:numId w:val="5"/>
        </w:numPr>
        <w:spacing w:after="240" w:line="240" w:lineRule="exact"/>
        <w:ind w:left="426" w:hanging="284"/>
        <w:contextualSpacing w:val="0"/>
        <w:jc w:val="both"/>
        <w:rPr>
          <w:rFonts w:ascii="Lato" w:hAnsi="Lato"/>
          <w:b/>
          <w:sz w:val="22"/>
          <w:szCs w:val="22"/>
        </w:rPr>
      </w:pPr>
      <w:r w:rsidRPr="001C1C6C">
        <w:rPr>
          <w:rFonts w:ascii="Lato" w:hAnsi="Lato"/>
          <w:b/>
          <w:sz w:val="22"/>
          <w:szCs w:val="22"/>
        </w:rPr>
        <w:t>Uchylam:</w:t>
      </w:r>
    </w:p>
    <w:p w14:paraId="4D6A8CD9" w14:textId="220E1E9C" w:rsidR="0089695D" w:rsidRPr="001C1C6C" w:rsidRDefault="00B574B6" w:rsidP="005F4256">
      <w:pPr>
        <w:pStyle w:val="Akapitzlist"/>
        <w:numPr>
          <w:ilvl w:val="0"/>
          <w:numId w:val="6"/>
        </w:numPr>
        <w:spacing w:after="240" w:line="240" w:lineRule="exact"/>
        <w:ind w:left="426" w:hanging="284"/>
        <w:contextualSpacing w:val="0"/>
        <w:jc w:val="both"/>
        <w:rPr>
          <w:rFonts w:ascii="Lato" w:hAnsi="Lato"/>
          <w:bCs/>
          <w:sz w:val="22"/>
          <w:szCs w:val="22"/>
        </w:rPr>
      </w:pPr>
      <w:r w:rsidRPr="001C1C6C">
        <w:rPr>
          <w:rFonts w:ascii="Lato" w:hAnsi="Lato"/>
          <w:bCs/>
          <w:sz w:val="22"/>
          <w:szCs w:val="22"/>
        </w:rPr>
        <w:t>w rozstrzygnięciu zaskarżonej decyzji</w:t>
      </w:r>
      <w:r w:rsidR="006649E2" w:rsidRPr="001C1C6C">
        <w:rPr>
          <w:rFonts w:ascii="Lato" w:hAnsi="Lato"/>
          <w:bCs/>
          <w:sz w:val="22"/>
          <w:szCs w:val="22"/>
        </w:rPr>
        <w:t>,</w:t>
      </w:r>
      <w:r w:rsidRPr="001C1C6C">
        <w:rPr>
          <w:rFonts w:ascii="Lato" w:hAnsi="Lato"/>
          <w:bCs/>
          <w:sz w:val="22"/>
          <w:szCs w:val="22"/>
        </w:rPr>
        <w:t xml:space="preserve"> </w:t>
      </w:r>
      <w:r w:rsidR="0089695D" w:rsidRPr="001C1C6C">
        <w:rPr>
          <w:rFonts w:ascii="Lato" w:hAnsi="Lato"/>
          <w:bCs/>
          <w:sz w:val="22"/>
          <w:szCs w:val="22"/>
        </w:rPr>
        <w:t xml:space="preserve">znajdujący się na stronie 13, w wierszach 7-8, licząc od góry strony, </w:t>
      </w:r>
      <w:r w:rsidR="003A3E3B" w:rsidRPr="001C1C6C">
        <w:rPr>
          <w:rFonts w:ascii="Lato" w:hAnsi="Lato"/>
          <w:bCs/>
          <w:sz w:val="22"/>
          <w:szCs w:val="22"/>
        </w:rPr>
        <w:t>zapis:</w:t>
      </w:r>
    </w:p>
    <w:p w14:paraId="1407F472" w14:textId="79822180" w:rsidR="003A3E3B" w:rsidRPr="001C1C6C" w:rsidRDefault="003A3E3B" w:rsidP="003A3E3B">
      <w:pPr>
        <w:pStyle w:val="Akapitzlist"/>
        <w:spacing w:after="240" w:line="240" w:lineRule="exact"/>
        <w:ind w:left="426"/>
        <w:contextualSpacing w:val="0"/>
        <w:jc w:val="both"/>
        <w:rPr>
          <w:rFonts w:ascii="Lato" w:hAnsi="Lato"/>
          <w:bCs/>
          <w:sz w:val="22"/>
          <w:szCs w:val="22"/>
        </w:rPr>
      </w:pPr>
      <w:r w:rsidRPr="001C1C6C">
        <w:rPr>
          <w:rFonts w:ascii="Lato" w:hAnsi="Lato"/>
          <w:bCs/>
          <w:sz w:val="22"/>
          <w:szCs w:val="22"/>
        </w:rPr>
        <w:t>„</w:t>
      </w:r>
      <w:r w:rsidRPr="001C1C6C">
        <w:rPr>
          <w:rFonts w:ascii="Lato" w:hAnsi="Lato"/>
          <w:b/>
          <w:sz w:val="22"/>
          <w:szCs w:val="22"/>
        </w:rPr>
        <w:t>I. Określenie granic terenu objętego inwestycją, w tym linii rozgraniczających teren inwestycji</w:t>
      </w:r>
      <w:r w:rsidRPr="001C1C6C">
        <w:rPr>
          <w:rFonts w:ascii="Lato" w:hAnsi="Lato"/>
          <w:bCs/>
          <w:sz w:val="22"/>
          <w:szCs w:val="22"/>
        </w:rPr>
        <w:t>”,</w:t>
      </w:r>
    </w:p>
    <w:p w14:paraId="4BF44C73" w14:textId="239420CE" w:rsidR="00011E3F" w:rsidRPr="001C1C6C" w:rsidRDefault="00011E3F" w:rsidP="00011E3F">
      <w:pPr>
        <w:pStyle w:val="Akapitzlist"/>
        <w:numPr>
          <w:ilvl w:val="0"/>
          <w:numId w:val="6"/>
        </w:numPr>
        <w:spacing w:after="240" w:line="240" w:lineRule="exact"/>
        <w:ind w:left="426" w:hanging="284"/>
        <w:contextualSpacing w:val="0"/>
        <w:jc w:val="both"/>
        <w:rPr>
          <w:rFonts w:ascii="Lato" w:hAnsi="Lato"/>
          <w:bCs/>
          <w:sz w:val="22"/>
          <w:szCs w:val="22"/>
        </w:rPr>
      </w:pPr>
      <w:r w:rsidRPr="001C1C6C">
        <w:rPr>
          <w:rFonts w:ascii="Lato" w:hAnsi="Lato"/>
          <w:bCs/>
          <w:sz w:val="22"/>
          <w:szCs w:val="22"/>
        </w:rPr>
        <w:t>w rozstrzygnięciu zaskarżonej decyzji, znajdujący się na stronie 13, w wierszu 15, licząc od góry strony, zapis:</w:t>
      </w:r>
    </w:p>
    <w:p w14:paraId="7625B2D0" w14:textId="04F5EDBA" w:rsidR="00011E3F" w:rsidRPr="001C1C6C" w:rsidRDefault="00011E3F" w:rsidP="00011E3F">
      <w:pPr>
        <w:pStyle w:val="Akapitzlist"/>
        <w:spacing w:after="240" w:line="240" w:lineRule="exact"/>
        <w:ind w:left="426"/>
        <w:contextualSpacing w:val="0"/>
        <w:jc w:val="both"/>
        <w:rPr>
          <w:rFonts w:ascii="Lato" w:hAnsi="Lato"/>
          <w:bCs/>
          <w:sz w:val="22"/>
          <w:szCs w:val="22"/>
        </w:rPr>
      </w:pPr>
      <w:r w:rsidRPr="001C1C6C">
        <w:rPr>
          <w:rFonts w:ascii="Lato" w:hAnsi="Lato"/>
          <w:bCs/>
          <w:sz w:val="22"/>
          <w:szCs w:val="22"/>
        </w:rPr>
        <w:t>„Granice terenu objętego wnioskiem wraz z liniami rozgraniczającymi teren inwestycji”,</w:t>
      </w:r>
    </w:p>
    <w:p w14:paraId="153C62E0" w14:textId="3CD3E6F9" w:rsidR="00507EA8" w:rsidRPr="001C1C6C" w:rsidRDefault="00507EA8" w:rsidP="00507EA8">
      <w:pPr>
        <w:pStyle w:val="Akapitzlist"/>
        <w:numPr>
          <w:ilvl w:val="0"/>
          <w:numId w:val="6"/>
        </w:numPr>
        <w:spacing w:after="240" w:line="240" w:lineRule="exact"/>
        <w:ind w:left="426" w:hanging="284"/>
        <w:contextualSpacing w:val="0"/>
        <w:jc w:val="both"/>
        <w:rPr>
          <w:rFonts w:ascii="Lato" w:hAnsi="Lato"/>
          <w:bCs/>
          <w:sz w:val="22"/>
          <w:szCs w:val="22"/>
        </w:rPr>
      </w:pPr>
      <w:r w:rsidRPr="001C1C6C">
        <w:rPr>
          <w:rFonts w:ascii="Lato" w:hAnsi="Lato"/>
          <w:bCs/>
          <w:sz w:val="22"/>
          <w:szCs w:val="22"/>
        </w:rPr>
        <w:t xml:space="preserve">w rozstrzygnięciu zaskarżonej decyzji, </w:t>
      </w:r>
      <w:r w:rsidR="00F61CD7" w:rsidRPr="001C1C6C">
        <w:rPr>
          <w:rFonts w:ascii="Lato" w:hAnsi="Lato"/>
          <w:bCs/>
          <w:sz w:val="22"/>
          <w:szCs w:val="22"/>
        </w:rPr>
        <w:t xml:space="preserve">zapis dotyczący działki nr 46 z obrębu Sucharzewo, </w:t>
      </w:r>
      <w:r w:rsidRPr="001C1C6C">
        <w:rPr>
          <w:rFonts w:ascii="Lato" w:hAnsi="Lato"/>
          <w:bCs/>
          <w:sz w:val="22"/>
          <w:szCs w:val="22"/>
        </w:rPr>
        <w:t xml:space="preserve">znajdujący się na stronie </w:t>
      </w:r>
      <w:r w:rsidR="00F61CD7" w:rsidRPr="001C1C6C">
        <w:rPr>
          <w:rFonts w:ascii="Lato" w:hAnsi="Lato"/>
          <w:bCs/>
          <w:sz w:val="22"/>
          <w:szCs w:val="22"/>
        </w:rPr>
        <w:t>38</w:t>
      </w:r>
      <w:r w:rsidRPr="001C1C6C">
        <w:rPr>
          <w:rFonts w:ascii="Lato" w:hAnsi="Lato"/>
          <w:bCs/>
          <w:sz w:val="22"/>
          <w:szCs w:val="22"/>
        </w:rPr>
        <w:t xml:space="preserve">, </w:t>
      </w:r>
      <w:r w:rsidR="00F61CD7" w:rsidRPr="001C1C6C">
        <w:rPr>
          <w:rFonts w:ascii="Lato" w:hAnsi="Lato"/>
          <w:bCs/>
          <w:sz w:val="22"/>
          <w:szCs w:val="22"/>
        </w:rPr>
        <w:t>pod poz</w:t>
      </w:r>
      <w:r w:rsidR="00E2096B" w:rsidRPr="001C1C6C">
        <w:rPr>
          <w:rFonts w:ascii="Lato" w:hAnsi="Lato"/>
          <w:bCs/>
          <w:sz w:val="22"/>
          <w:szCs w:val="22"/>
        </w:rPr>
        <w:t>ycją</w:t>
      </w:r>
      <w:r w:rsidR="00F61CD7" w:rsidRPr="001C1C6C">
        <w:rPr>
          <w:rFonts w:ascii="Lato" w:hAnsi="Lato"/>
          <w:bCs/>
          <w:sz w:val="22"/>
          <w:szCs w:val="22"/>
        </w:rPr>
        <w:t xml:space="preserve"> 169 tabeli nr 13 określającej nieruchomości przeznaczone do ograniczonego sposobu korzystania, </w:t>
      </w:r>
    </w:p>
    <w:p w14:paraId="41AEBCC2" w14:textId="2D7AB8C2" w:rsidR="00645999" w:rsidRPr="001C1C6C" w:rsidRDefault="00645999" w:rsidP="00645999">
      <w:pPr>
        <w:pStyle w:val="Akapitzlist"/>
        <w:numPr>
          <w:ilvl w:val="0"/>
          <w:numId w:val="6"/>
        </w:numPr>
        <w:spacing w:after="240" w:line="240" w:lineRule="exact"/>
        <w:ind w:left="426" w:hanging="284"/>
        <w:contextualSpacing w:val="0"/>
        <w:jc w:val="both"/>
        <w:rPr>
          <w:rFonts w:ascii="Lato" w:hAnsi="Lato"/>
          <w:bCs/>
          <w:sz w:val="22"/>
          <w:szCs w:val="22"/>
        </w:rPr>
      </w:pPr>
      <w:r w:rsidRPr="001C1C6C">
        <w:rPr>
          <w:rFonts w:ascii="Lato" w:hAnsi="Lato"/>
          <w:bCs/>
          <w:sz w:val="22"/>
          <w:szCs w:val="22"/>
        </w:rPr>
        <w:t>w rozstrzygnięciu zaskarżonej decyzji, zapis dotyczący działki nr 182 z obrębu Sędowo, znajdujący się na stronie 39, pod pozycją 1</w:t>
      </w:r>
      <w:r w:rsidR="001A500B">
        <w:rPr>
          <w:rFonts w:ascii="Lato" w:hAnsi="Lato"/>
          <w:bCs/>
          <w:sz w:val="22"/>
          <w:szCs w:val="22"/>
        </w:rPr>
        <w:t>8</w:t>
      </w:r>
      <w:r w:rsidRPr="001C1C6C">
        <w:rPr>
          <w:rFonts w:ascii="Lato" w:hAnsi="Lato"/>
          <w:bCs/>
          <w:sz w:val="22"/>
          <w:szCs w:val="22"/>
        </w:rPr>
        <w:t xml:space="preserve">3 tabeli nr 13 określającej nieruchomości przeznaczone do ograniczonego sposobu korzystania, </w:t>
      </w:r>
    </w:p>
    <w:p w14:paraId="078FDB12" w14:textId="4A1DBD58" w:rsidR="00D84FC0" w:rsidRPr="001C1C6C" w:rsidRDefault="00D84FC0" w:rsidP="00D84FC0">
      <w:pPr>
        <w:pStyle w:val="Akapitzlist"/>
        <w:numPr>
          <w:ilvl w:val="0"/>
          <w:numId w:val="6"/>
        </w:numPr>
        <w:spacing w:after="240" w:line="240" w:lineRule="exact"/>
        <w:ind w:left="426" w:hanging="284"/>
        <w:contextualSpacing w:val="0"/>
        <w:jc w:val="both"/>
        <w:rPr>
          <w:rFonts w:ascii="Lato" w:hAnsi="Lato"/>
          <w:bCs/>
          <w:sz w:val="22"/>
          <w:szCs w:val="22"/>
        </w:rPr>
      </w:pPr>
      <w:r w:rsidRPr="001C1C6C">
        <w:rPr>
          <w:rFonts w:ascii="Lato" w:hAnsi="Lato"/>
          <w:bCs/>
          <w:sz w:val="22"/>
          <w:szCs w:val="22"/>
        </w:rPr>
        <w:t>w rozstrzygnięciu zaskarżonej decyzji, znajdujący się na stronie 51, w wierszach 1-3, licząc od dołu strony, zapis:</w:t>
      </w:r>
    </w:p>
    <w:p w14:paraId="108DADBC" w14:textId="2553E3CF" w:rsidR="00D84FC0" w:rsidRPr="001C1C6C" w:rsidRDefault="00D84FC0" w:rsidP="00673D94">
      <w:pPr>
        <w:pStyle w:val="Akapitzlist"/>
        <w:spacing w:after="240" w:line="240" w:lineRule="exact"/>
        <w:ind w:left="426"/>
        <w:contextualSpacing w:val="0"/>
        <w:jc w:val="both"/>
        <w:rPr>
          <w:rFonts w:ascii="Lato" w:hAnsi="Lato"/>
          <w:bCs/>
          <w:sz w:val="22"/>
          <w:szCs w:val="22"/>
        </w:rPr>
      </w:pPr>
      <w:r w:rsidRPr="001C1C6C">
        <w:rPr>
          <w:rFonts w:ascii="Lato" w:hAnsi="Lato"/>
          <w:bCs/>
          <w:sz w:val="22"/>
          <w:szCs w:val="22"/>
        </w:rPr>
        <w:t>„W zakresie wejścia w obszarze kolejowym na działkę nr ewid. 46, obręb Sucharzewo oraz dz. nr ewid. 182, obręb Sędowo, linia kolejowa została zlikwidowana. W zakresie inwestycji nie będą wykonywane prace modernizacyjne w obszarze kolejowym.”,</w:t>
      </w:r>
    </w:p>
    <w:p w14:paraId="34FE48DB" w14:textId="42B2C44B" w:rsidR="006930F3" w:rsidRPr="001C1C6C" w:rsidRDefault="006930F3" w:rsidP="006930F3">
      <w:pPr>
        <w:pStyle w:val="Akapitzlist"/>
        <w:numPr>
          <w:ilvl w:val="0"/>
          <w:numId w:val="6"/>
        </w:numPr>
        <w:spacing w:after="240" w:line="240" w:lineRule="exact"/>
        <w:ind w:left="426" w:hanging="284"/>
        <w:contextualSpacing w:val="0"/>
        <w:jc w:val="both"/>
        <w:rPr>
          <w:rFonts w:ascii="Lato" w:hAnsi="Lato"/>
          <w:bCs/>
          <w:sz w:val="22"/>
          <w:szCs w:val="22"/>
        </w:rPr>
      </w:pPr>
      <w:r w:rsidRPr="001C1C6C">
        <w:rPr>
          <w:rFonts w:ascii="Lato" w:hAnsi="Lato"/>
          <w:bCs/>
          <w:sz w:val="22"/>
          <w:szCs w:val="22"/>
        </w:rPr>
        <w:t>w rozstrzygnięciu zaskarżonej decyzji, tabelę nr 16 dotyczącą skrzyżowań istniejących</w:t>
      </w:r>
      <w:r w:rsidR="00E14BAD" w:rsidRPr="001C1C6C">
        <w:rPr>
          <w:rFonts w:ascii="Lato" w:hAnsi="Lato"/>
          <w:bCs/>
          <w:sz w:val="22"/>
          <w:szCs w:val="22"/>
        </w:rPr>
        <w:br/>
      </w:r>
      <w:r w:rsidRPr="001C1C6C">
        <w:rPr>
          <w:rFonts w:ascii="Lato" w:hAnsi="Lato"/>
          <w:bCs/>
          <w:sz w:val="22"/>
          <w:szCs w:val="22"/>
        </w:rPr>
        <w:t xml:space="preserve">i modernizowanych rurociągów z obszarem kolejowym, znajdującą się na stronie 52, </w:t>
      </w:r>
    </w:p>
    <w:p w14:paraId="53154523" w14:textId="0DEC0E30" w:rsidR="00C10A17" w:rsidRPr="001C1C6C" w:rsidRDefault="00C10A17" w:rsidP="00C10A17">
      <w:pPr>
        <w:pStyle w:val="Akapitzlist"/>
        <w:numPr>
          <w:ilvl w:val="0"/>
          <w:numId w:val="6"/>
        </w:numPr>
        <w:spacing w:after="240" w:line="240" w:lineRule="exact"/>
        <w:ind w:left="426" w:hanging="284"/>
        <w:contextualSpacing w:val="0"/>
        <w:jc w:val="both"/>
        <w:rPr>
          <w:rFonts w:ascii="Lato" w:hAnsi="Lato"/>
          <w:bCs/>
          <w:sz w:val="22"/>
          <w:szCs w:val="22"/>
        </w:rPr>
      </w:pPr>
      <w:r w:rsidRPr="001C1C6C">
        <w:rPr>
          <w:rFonts w:ascii="Lato" w:hAnsi="Lato"/>
          <w:bCs/>
          <w:sz w:val="22"/>
          <w:szCs w:val="22"/>
        </w:rPr>
        <w:t xml:space="preserve">w rozstrzygnięciu zaskarżonej decyzji, znajdujący się na stronie </w:t>
      </w:r>
      <w:r w:rsidR="00C43FBE" w:rsidRPr="001C1C6C">
        <w:rPr>
          <w:rFonts w:ascii="Lato" w:hAnsi="Lato"/>
          <w:bCs/>
          <w:sz w:val="22"/>
          <w:szCs w:val="22"/>
        </w:rPr>
        <w:t>54</w:t>
      </w:r>
      <w:r w:rsidRPr="001C1C6C">
        <w:rPr>
          <w:rFonts w:ascii="Lato" w:hAnsi="Lato"/>
          <w:bCs/>
          <w:sz w:val="22"/>
          <w:szCs w:val="22"/>
        </w:rPr>
        <w:t>, w wiersz</w:t>
      </w:r>
      <w:r w:rsidR="00C43FBE" w:rsidRPr="001C1C6C">
        <w:rPr>
          <w:rFonts w:ascii="Lato" w:hAnsi="Lato"/>
          <w:bCs/>
          <w:sz w:val="22"/>
          <w:szCs w:val="22"/>
        </w:rPr>
        <w:t>ach 17-19</w:t>
      </w:r>
      <w:r w:rsidRPr="001C1C6C">
        <w:rPr>
          <w:rFonts w:ascii="Lato" w:hAnsi="Lato"/>
          <w:bCs/>
          <w:sz w:val="22"/>
          <w:szCs w:val="22"/>
        </w:rPr>
        <w:t xml:space="preserve">, licząc od </w:t>
      </w:r>
      <w:r w:rsidR="00C43FBE" w:rsidRPr="001C1C6C">
        <w:rPr>
          <w:rFonts w:ascii="Lato" w:hAnsi="Lato"/>
          <w:bCs/>
          <w:sz w:val="22"/>
          <w:szCs w:val="22"/>
        </w:rPr>
        <w:t>dołu</w:t>
      </w:r>
      <w:r w:rsidRPr="001C1C6C">
        <w:rPr>
          <w:rFonts w:ascii="Lato" w:hAnsi="Lato"/>
          <w:bCs/>
          <w:sz w:val="22"/>
          <w:szCs w:val="22"/>
        </w:rPr>
        <w:t xml:space="preserve"> strony, zapis:</w:t>
      </w:r>
    </w:p>
    <w:p w14:paraId="720A41AE" w14:textId="06925AB0" w:rsidR="00C10A17" w:rsidRPr="001C1C6C" w:rsidRDefault="00C10A17" w:rsidP="00C10A17">
      <w:pPr>
        <w:pStyle w:val="Akapitzlist"/>
        <w:spacing w:after="240" w:line="240" w:lineRule="exact"/>
        <w:ind w:left="426"/>
        <w:contextualSpacing w:val="0"/>
        <w:jc w:val="both"/>
        <w:rPr>
          <w:rFonts w:ascii="Lato" w:hAnsi="Lato"/>
          <w:bCs/>
          <w:sz w:val="22"/>
          <w:szCs w:val="22"/>
        </w:rPr>
      </w:pPr>
      <w:r w:rsidRPr="001C1C6C">
        <w:rPr>
          <w:rFonts w:ascii="Lato" w:hAnsi="Lato"/>
          <w:bCs/>
          <w:sz w:val="22"/>
          <w:szCs w:val="22"/>
        </w:rPr>
        <w:lastRenderedPageBreak/>
        <w:t>„</w:t>
      </w:r>
      <w:r w:rsidR="00C43FBE" w:rsidRPr="001C1C6C">
        <w:rPr>
          <w:rFonts w:ascii="Lato" w:hAnsi="Lato"/>
          <w:bCs/>
          <w:sz w:val="22"/>
          <w:szCs w:val="22"/>
        </w:rPr>
        <w:t>Wskazuje się czas ograniczenia do końca 2025 r., po uzyskaniu pozwolenia na użytkowanie inwestycji sposobu korzystania z nieruchomości wymienionych w Tabeli 13, kolumnie 5 (art. 30 ust. 3 ustawy)”</w:t>
      </w:r>
      <w:r w:rsidRPr="001C1C6C">
        <w:rPr>
          <w:rFonts w:ascii="Lato" w:hAnsi="Lato"/>
          <w:bCs/>
          <w:sz w:val="22"/>
          <w:szCs w:val="22"/>
        </w:rPr>
        <w:t>,</w:t>
      </w:r>
    </w:p>
    <w:p w14:paraId="5E9AA761" w14:textId="0861453B" w:rsidR="003A3E3B" w:rsidRPr="001C1C6C" w:rsidRDefault="00C62F11" w:rsidP="00C62F11">
      <w:pPr>
        <w:pStyle w:val="Akapitzlist"/>
        <w:numPr>
          <w:ilvl w:val="0"/>
          <w:numId w:val="6"/>
        </w:numPr>
        <w:spacing w:after="240" w:line="240" w:lineRule="exact"/>
        <w:ind w:left="426" w:hanging="284"/>
        <w:contextualSpacing w:val="0"/>
        <w:jc w:val="both"/>
        <w:rPr>
          <w:rFonts w:ascii="Lato" w:hAnsi="Lato"/>
          <w:bCs/>
          <w:sz w:val="22"/>
          <w:szCs w:val="22"/>
        </w:rPr>
      </w:pPr>
      <w:r w:rsidRPr="001C1C6C">
        <w:rPr>
          <w:rFonts w:ascii="Lato" w:hAnsi="Lato"/>
          <w:bCs/>
          <w:sz w:val="22"/>
          <w:szCs w:val="22"/>
        </w:rPr>
        <w:t xml:space="preserve">w rozstrzygnięciu zaskarżonej decyzji, zapisy stanowiące dotychczasową treść pkt XII., </w:t>
      </w:r>
    </w:p>
    <w:p w14:paraId="0DD56C3E" w14:textId="575111BE" w:rsidR="009673DD" w:rsidRPr="001C1C6C" w:rsidRDefault="009673DD" w:rsidP="00A07591">
      <w:pPr>
        <w:spacing w:after="240" w:line="240" w:lineRule="exact"/>
        <w:ind w:firstLine="142"/>
        <w:rPr>
          <w:rFonts w:ascii="Lato" w:hAnsi="Lato"/>
          <w:b/>
          <w:bCs/>
          <w:sz w:val="22"/>
          <w:szCs w:val="22"/>
        </w:rPr>
      </w:pPr>
      <w:r w:rsidRPr="001C1C6C">
        <w:rPr>
          <w:rFonts w:ascii="Lato" w:hAnsi="Lato"/>
          <w:b/>
          <w:bCs/>
          <w:sz w:val="22"/>
          <w:szCs w:val="22"/>
        </w:rPr>
        <w:t>i orzekam w tym zakresie poprzez:</w:t>
      </w:r>
    </w:p>
    <w:p w14:paraId="55D135B3" w14:textId="5F215965" w:rsidR="00532197" w:rsidRPr="001C1C6C" w:rsidRDefault="00B22111" w:rsidP="005F4256">
      <w:pPr>
        <w:numPr>
          <w:ilvl w:val="0"/>
          <w:numId w:val="7"/>
        </w:numPr>
        <w:spacing w:after="240" w:line="240" w:lineRule="exact"/>
        <w:ind w:left="426" w:hanging="284"/>
        <w:jc w:val="both"/>
        <w:rPr>
          <w:rFonts w:ascii="Lato" w:hAnsi="Lato"/>
          <w:sz w:val="22"/>
          <w:szCs w:val="22"/>
        </w:rPr>
      </w:pPr>
      <w:r w:rsidRPr="001C1C6C">
        <w:rPr>
          <w:rFonts w:ascii="Lato" w:hAnsi="Lato"/>
          <w:sz w:val="22"/>
          <w:szCs w:val="22"/>
        </w:rPr>
        <w:t xml:space="preserve">ustalenie, w rozstrzygnięciu zaskarżonej decyzji, </w:t>
      </w:r>
      <w:r w:rsidR="00532197" w:rsidRPr="001C1C6C">
        <w:rPr>
          <w:rFonts w:ascii="Lato" w:hAnsi="Lato"/>
          <w:sz w:val="22"/>
          <w:szCs w:val="22"/>
        </w:rPr>
        <w:t xml:space="preserve">w miejsce uchylenia na stronie </w:t>
      </w:r>
      <w:r w:rsidR="003A3E3B" w:rsidRPr="001C1C6C">
        <w:rPr>
          <w:rFonts w:ascii="Lato" w:hAnsi="Lato"/>
          <w:sz w:val="22"/>
          <w:szCs w:val="22"/>
        </w:rPr>
        <w:t>1</w:t>
      </w:r>
      <w:r w:rsidR="00041B79" w:rsidRPr="001C1C6C">
        <w:rPr>
          <w:rFonts w:ascii="Lato" w:hAnsi="Lato"/>
          <w:sz w:val="22"/>
          <w:szCs w:val="22"/>
        </w:rPr>
        <w:t>3</w:t>
      </w:r>
      <w:r w:rsidR="00532197" w:rsidRPr="001C1C6C">
        <w:rPr>
          <w:rFonts w:ascii="Lato" w:hAnsi="Lato"/>
          <w:sz w:val="22"/>
          <w:szCs w:val="22"/>
        </w:rPr>
        <w:t>,</w:t>
      </w:r>
      <w:r w:rsidRPr="001C1C6C">
        <w:rPr>
          <w:rFonts w:ascii="Lato" w:hAnsi="Lato"/>
          <w:sz w:val="22"/>
          <w:szCs w:val="22"/>
        </w:rPr>
        <w:t xml:space="preserve"> </w:t>
      </w:r>
      <w:r w:rsidR="00E14BAD" w:rsidRPr="001C1C6C">
        <w:rPr>
          <w:rFonts w:ascii="Lato" w:hAnsi="Lato"/>
          <w:sz w:val="22"/>
          <w:szCs w:val="22"/>
        </w:rPr>
        <w:br/>
      </w:r>
      <w:r w:rsidR="003D0B7B" w:rsidRPr="001C1C6C">
        <w:rPr>
          <w:rFonts w:ascii="Lato" w:hAnsi="Lato"/>
          <w:bCs/>
          <w:sz w:val="22"/>
          <w:szCs w:val="22"/>
        </w:rPr>
        <w:t>w wierszach 7-8, licząc od góry strony, nowego zapisu</w:t>
      </w:r>
      <w:r w:rsidR="00532197" w:rsidRPr="001C1C6C">
        <w:rPr>
          <w:rFonts w:ascii="Lato" w:hAnsi="Lato"/>
          <w:sz w:val="22"/>
          <w:szCs w:val="22"/>
        </w:rPr>
        <w:t xml:space="preserve">: </w:t>
      </w:r>
    </w:p>
    <w:p w14:paraId="4C644B55" w14:textId="5629D62E" w:rsidR="00011E3F" w:rsidRPr="001C1C6C" w:rsidRDefault="00011E3F" w:rsidP="00011E3F">
      <w:pPr>
        <w:spacing w:after="240" w:line="240" w:lineRule="exact"/>
        <w:ind w:left="426"/>
        <w:jc w:val="both"/>
        <w:rPr>
          <w:rFonts w:ascii="Lato" w:hAnsi="Lato"/>
          <w:b/>
          <w:sz w:val="22"/>
          <w:szCs w:val="22"/>
        </w:rPr>
      </w:pPr>
      <w:r w:rsidRPr="001C1C6C">
        <w:rPr>
          <w:rFonts w:ascii="Lato" w:hAnsi="Lato"/>
          <w:b/>
          <w:bCs/>
          <w:sz w:val="22"/>
          <w:szCs w:val="22"/>
        </w:rPr>
        <w:t>„</w:t>
      </w:r>
      <w:r w:rsidRPr="001C1C6C">
        <w:rPr>
          <w:rFonts w:ascii="Lato" w:hAnsi="Lato"/>
          <w:b/>
          <w:sz w:val="22"/>
          <w:szCs w:val="22"/>
        </w:rPr>
        <w:t>I. Określenie granic terenu objętego inwestycją”,</w:t>
      </w:r>
    </w:p>
    <w:p w14:paraId="38143506" w14:textId="1D6F63F7" w:rsidR="00011E3F" w:rsidRPr="001C1C6C" w:rsidRDefault="00011E3F" w:rsidP="00011E3F">
      <w:pPr>
        <w:numPr>
          <w:ilvl w:val="0"/>
          <w:numId w:val="7"/>
        </w:numPr>
        <w:spacing w:after="240" w:line="240" w:lineRule="exact"/>
        <w:ind w:left="426" w:hanging="284"/>
        <w:jc w:val="both"/>
        <w:rPr>
          <w:rFonts w:ascii="Lato" w:hAnsi="Lato"/>
          <w:sz w:val="22"/>
          <w:szCs w:val="22"/>
        </w:rPr>
      </w:pPr>
      <w:r w:rsidRPr="001C1C6C">
        <w:rPr>
          <w:rFonts w:ascii="Lato" w:hAnsi="Lato"/>
          <w:sz w:val="22"/>
          <w:szCs w:val="22"/>
        </w:rPr>
        <w:t xml:space="preserve">ustalenie, w rozstrzygnięciu zaskarżonej decyzji, w miejsce uchylenia na stronie 13, </w:t>
      </w:r>
      <w:r w:rsidR="00E14BAD" w:rsidRPr="001C1C6C">
        <w:rPr>
          <w:rFonts w:ascii="Lato" w:hAnsi="Lato"/>
          <w:sz w:val="22"/>
          <w:szCs w:val="22"/>
        </w:rPr>
        <w:br/>
      </w:r>
      <w:r w:rsidRPr="001C1C6C">
        <w:rPr>
          <w:rFonts w:ascii="Lato" w:hAnsi="Lato"/>
          <w:bCs/>
          <w:sz w:val="22"/>
          <w:szCs w:val="22"/>
        </w:rPr>
        <w:t>w wierszu 15, licząc od góry strony, nowego zapisu</w:t>
      </w:r>
      <w:r w:rsidRPr="001C1C6C">
        <w:rPr>
          <w:rFonts w:ascii="Lato" w:hAnsi="Lato"/>
          <w:sz w:val="22"/>
          <w:szCs w:val="22"/>
        </w:rPr>
        <w:t xml:space="preserve">: </w:t>
      </w:r>
    </w:p>
    <w:p w14:paraId="7A4308CF" w14:textId="38A89C14" w:rsidR="00011E3F" w:rsidRPr="001C1C6C" w:rsidRDefault="00011E3F" w:rsidP="00011E3F">
      <w:pPr>
        <w:spacing w:after="240" w:line="240" w:lineRule="exact"/>
        <w:ind w:left="426"/>
        <w:jc w:val="both"/>
        <w:rPr>
          <w:rFonts w:ascii="Lato" w:hAnsi="Lato"/>
          <w:b/>
          <w:sz w:val="22"/>
          <w:szCs w:val="22"/>
        </w:rPr>
      </w:pPr>
      <w:r w:rsidRPr="001C1C6C">
        <w:rPr>
          <w:rFonts w:ascii="Lato" w:hAnsi="Lato"/>
          <w:b/>
          <w:bCs/>
          <w:sz w:val="22"/>
          <w:szCs w:val="22"/>
        </w:rPr>
        <w:t>„</w:t>
      </w:r>
      <w:r w:rsidRPr="001C1C6C">
        <w:rPr>
          <w:rFonts w:ascii="Lato" w:hAnsi="Lato"/>
          <w:bCs/>
          <w:sz w:val="22"/>
          <w:szCs w:val="22"/>
        </w:rPr>
        <w:t>Granice terenu objętego wnioskiem</w:t>
      </w:r>
      <w:r w:rsidRPr="001C1C6C">
        <w:rPr>
          <w:rFonts w:ascii="Lato" w:hAnsi="Lato"/>
          <w:b/>
          <w:sz w:val="22"/>
          <w:szCs w:val="22"/>
        </w:rPr>
        <w:t>”,</w:t>
      </w:r>
    </w:p>
    <w:p w14:paraId="7949CDD1" w14:textId="7C5925F6" w:rsidR="00F61CD7" w:rsidRPr="001C1C6C" w:rsidRDefault="00F61CD7" w:rsidP="00E2096B">
      <w:pPr>
        <w:numPr>
          <w:ilvl w:val="0"/>
          <w:numId w:val="7"/>
        </w:numPr>
        <w:spacing w:line="240" w:lineRule="exact"/>
        <w:ind w:left="426" w:hanging="284"/>
        <w:jc w:val="both"/>
        <w:rPr>
          <w:rFonts w:ascii="Lato" w:hAnsi="Lato"/>
          <w:sz w:val="22"/>
          <w:szCs w:val="22"/>
        </w:rPr>
      </w:pPr>
      <w:r w:rsidRPr="001C1C6C">
        <w:rPr>
          <w:rFonts w:ascii="Lato" w:hAnsi="Lato"/>
          <w:sz w:val="22"/>
          <w:szCs w:val="22"/>
        </w:rPr>
        <w:t xml:space="preserve">ustalenie, w rozstrzygnięciu zaskarżonej decyzji, </w:t>
      </w:r>
      <w:r w:rsidR="00804F06" w:rsidRPr="001C1C6C">
        <w:rPr>
          <w:rFonts w:ascii="Lato" w:hAnsi="Lato"/>
          <w:bCs/>
          <w:sz w:val="22"/>
          <w:szCs w:val="22"/>
        </w:rPr>
        <w:t xml:space="preserve">w miejsce uchylenia, </w:t>
      </w:r>
      <w:r w:rsidR="00804F06" w:rsidRPr="001C1C6C">
        <w:rPr>
          <w:rFonts w:ascii="Lato" w:hAnsi="Lato"/>
          <w:sz w:val="22"/>
          <w:szCs w:val="22"/>
        </w:rPr>
        <w:t xml:space="preserve">na stronie 38, pod pozycją </w:t>
      </w:r>
      <w:r w:rsidR="00E2096B" w:rsidRPr="001C1C6C">
        <w:rPr>
          <w:rFonts w:ascii="Lato" w:hAnsi="Lato"/>
          <w:bCs/>
          <w:sz w:val="22"/>
          <w:szCs w:val="22"/>
        </w:rPr>
        <w:t>169 tabeli nr 13 określającej nieruchomości przeznaczone do ograniczonego sposobu korzystania</w:t>
      </w:r>
      <w:r w:rsidR="00804F06" w:rsidRPr="001C1C6C">
        <w:rPr>
          <w:rFonts w:ascii="Lato" w:hAnsi="Lato"/>
          <w:bCs/>
          <w:sz w:val="22"/>
          <w:szCs w:val="22"/>
        </w:rPr>
        <w:t>, nowego zapisu</w:t>
      </w:r>
      <w:r w:rsidRPr="001C1C6C">
        <w:rPr>
          <w:rFonts w:ascii="Lato" w:hAnsi="Lato"/>
          <w:sz w:val="22"/>
          <w:szCs w:val="22"/>
        </w:rPr>
        <w:t xml:space="preserve">: </w:t>
      </w:r>
    </w:p>
    <w:p w14:paraId="006E88D9" w14:textId="08F9ECF8" w:rsidR="00E2096B" w:rsidRPr="001C1C6C" w:rsidRDefault="00E2096B" w:rsidP="00F61CD7">
      <w:pPr>
        <w:spacing w:after="240" w:line="240" w:lineRule="exact"/>
        <w:ind w:left="426"/>
        <w:jc w:val="both"/>
        <w:rPr>
          <w:rFonts w:ascii="Lato" w:hAnsi="Lato"/>
          <w:sz w:val="22"/>
          <w:szCs w:val="22"/>
        </w:rPr>
      </w:pPr>
      <w:r w:rsidRPr="001C1C6C">
        <w:rPr>
          <w:rFonts w:ascii="Lato" w:hAnsi="Lato"/>
          <w:sz w:val="22"/>
          <w:szCs w:val="22"/>
        </w:rPr>
        <w:t>„</w:t>
      </w:r>
    </w:p>
    <w:tbl>
      <w:tblPr>
        <w:tblStyle w:val="Tabela-Siatka"/>
        <w:tblW w:w="0" w:type="auto"/>
        <w:tblInd w:w="426" w:type="dxa"/>
        <w:tblLook w:val="04A0" w:firstRow="1" w:lastRow="0" w:firstColumn="1" w:lastColumn="0" w:noHBand="0" w:noVBand="1"/>
      </w:tblPr>
      <w:tblGrid>
        <w:gridCol w:w="616"/>
        <w:gridCol w:w="451"/>
        <w:gridCol w:w="1282"/>
        <w:gridCol w:w="1997"/>
        <w:gridCol w:w="602"/>
        <w:gridCol w:w="602"/>
        <w:gridCol w:w="1290"/>
        <w:gridCol w:w="1511"/>
      </w:tblGrid>
      <w:tr w:rsidR="00E2096B" w:rsidRPr="001C1C6C" w14:paraId="4D18531C" w14:textId="77777777" w:rsidTr="00E2096B">
        <w:tc>
          <w:tcPr>
            <w:tcW w:w="621" w:type="dxa"/>
          </w:tcPr>
          <w:p w14:paraId="0F3454C7" w14:textId="586DBCB3" w:rsidR="00E2096B" w:rsidRPr="001C1C6C" w:rsidRDefault="00E2096B" w:rsidP="00F61CD7">
            <w:pPr>
              <w:spacing w:after="240" w:line="240" w:lineRule="exact"/>
              <w:jc w:val="both"/>
              <w:rPr>
                <w:rFonts w:ascii="Lato" w:hAnsi="Lato"/>
                <w:bCs/>
                <w:sz w:val="20"/>
                <w:szCs w:val="20"/>
              </w:rPr>
            </w:pPr>
            <w:r w:rsidRPr="001C1C6C">
              <w:rPr>
                <w:rFonts w:ascii="Lato" w:hAnsi="Lato"/>
                <w:bCs/>
                <w:sz w:val="20"/>
                <w:szCs w:val="20"/>
              </w:rPr>
              <w:t>169.</w:t>
            </w:r>
          </w:p>
        </w:tc>
        <w:tc>
          <w:tcPr>
            <w:tcW w:w="454" w:type="dxa"/>
          </w:tcPr>
          <w:p w14:paraId="65A519CD" w14:textId="15448998" w:rsidR="00E2096B" w:rsidRPr="001C1C6C" w:rsidRDefault="00E2096B" w:rsidP="00F61CD7">
            <w:pPr>
              <w:spacing w:after="240" w:line="240" w:lineRule="exact"/>
              <w:jc w:val="both"/>
              <w:rPr>
                <w:rFonts w:ascii="Lato" w:hAnsi="Lato"/>
                <w:bCs/>
                <w:sz w:val="20"/>
                <w:szCs w:val="20"/>
              </w:rPr>
            </w:pPr>
            <w:r w:rsidRPr="001C1C6C">
              <w:rPr>
                <w:rFonts w:ascii="Lato" w:hAnsi="Lato"/>
                <w:bCs/>
                <w:sz w:val="20"/>
                <w:szCs w:val="20"/>
              </w:rPr>
              <w:t>46</w:t>
            </w:r>
          </w:p>
        </w:tc>
        <w:tc>
          <w:tcPr>
            <w:tcW w:w="1282" w:type="dxa"/>
          </w:tcPr>
          <w:p w14:paraId="09DBC091" w14:textId="1381C361" w:rsidR="00E2096B" w:rsidRPr="001C1C6C" w:rsidRDefault="00E2096B" w:rsidP="00F61CD7">
            <w:pPr>
              <w:spacing w:after="240" w:line="240" w:lineRule="exact"/>
              <w:jc w:val="both"/>
              <w:rPr>
                <w:rFonts w:ascii="Lato" w:hAnsi="Lato"/>
                <w:bCs/>
                <w:sz w:val="20"/>
                <w:szCs w:val="20"/>
              </w:rPr>
            </w:pPr>
            <w:r w:rsidRPr="001C1C6C">
              <w:rPr>
                <w:rFonts w:ascii="Lato" w:hAnsi="Lato"/>
                <w:bCs/>
                <w:sz w:val="20"/>
                <w:szCs w:val="20"/>
              </w:rPr>
              <w:t>Sucharzewo</w:t>
            </w:r>
          </w:p>
        </w:tc>
        <w:tc>
          <w:tcPr>
            <w:tcW w:w="1997" w:type="dxa"/>
          </w:tcPr>
          <w:p w14:paraId="4E772E27" w14:textId="39C8397F" w:rsidR="00E2096B" w:rsidRPr="001C1C6C" w:rsidRDefault="00E2096B" w:rsidP="00F61CD7">
            <w:pPr>
              <w:spacing w:after="240" w:line="240" w:lineRule="exact"/>
              <w:jc w:val="both"/>
              <w:rPr>
                <w:rFonts w:ascii="Lato" w:hAnsi="Lato"/>
                <w:bCs/>
                <w:sz w:val="20"/>
                <w:szCs w:val="20"/>
              </w:rPr>
            </w:pPr>
            <w:r w:rsidRPr="0088787D">
              <w:rPr>
                <w:rFonts w:ascii="Lato" w:hAnsi="Lato"/>
                <w:bCs/>
                <w:sz w:val="20"/>
                <w:szCs w:val="20"/>
                <w:highlight w:val="black"/>
              </w:rPr>
              <w:t>BY1M/00029438/6</w:t>
            </w:r>
          </w:p>
        </w:tc>
        <w:tc>
          <w:tcPr>
            <w:tcW w:w="602" w:type="dxa"/>
          </w:tcPr>
          <w:p w14:paraId="4D325FD7" w14:textId="31908D3A" w:rsidR="00E2096B" w:rsidRPr="001C1C6C" w:rsidRDefault="00E2096B" w:rsidP="00F61CD7">
            <w:pPr>
              <w:spacing w:after="240" w:line="240" w:lineRule="exact"/>
              <w:jc w:val="both"/>
              <w:rPr>
                <w:rFonts w:ascii="Lato" w:hAnsi="Lato"/>
                <w:bCs/>
                <w:sz w:val="20"/>
                <w:szCs w:val="20"/>
              </w:rPr>
            </w:pPr>
            <w:r w:rsidRPr="001C1C6C">
              <w:rPr>
                <w:rFonts w:ascii="Lato" w:hAnsi="Lato"/>
                <w:bCs/>
                <w:sz w:val="20"/>
                <w:szCs w:val="20"/>
              </w:rPr>
              <w:t>TAK</w:t>
            </w:r>
          </w:p>
        </w:tc>
        <w:tc>
          <w:tcPr>
            <w:tcW w:w="594" w:type="dxa"/>
          </w:tcPr>
          <w:p w14:paraId="2093947F" w14:textId="13FEBB16" w:rsidR="00E2096B" w:rsidRPr="001C1C6C" w:rsidRDefault="00E2096B" w:rsidP="00F61CD7">
            <w:pPr>
              <w:spacing w:after="240" w:line="240" w:lineRule="exact"/>
              <w:jc w:val="both"/>
              <w:rPr>
                <w:rFonts w:ascii="Lato" w:hAnsi="Lato"/>
                <w:bCs/>
                <w:sz w:val="20"/>
                <w:szCs w:val="20"/>
              </w:rPr>
            </w:pPr>
            <w:r w:rsidRPr="001C1C6C">
              <w:rPr>
                <w:rFonts w:ascii="Lato" w:hAnsi="Lato"/>
                <w:bCs/>
                <w:sz w:val="20"/>
                <w:szCs w:val="20"/>
              </w:rPr>
              <w:t>TAK</w:t>
            </w:r>
          </w:p>
        </w:tc>
        <w:tc>
          <w:tcPr>
            <w:tcW w:w="1419" w:type="dxa"/>
          </w:tcPr>
          <w:p w14:paraId="0483487E" w14:textId="77777777" w:rsidR="00E2096B" w:rsidRPr="001C1C6C" w:rsidRDefault="00E2096B" w:rsidP="00645999">
            <w:pPr>
              <w:spacing w:after="240" w:line="240" w:lineRule="exact"/>
              <w:rPr>
                <w:rFonts w:ascii="Lato" w:hAnsi="Lato"/>
                <w:bCs/>
                <w:sz w:val="20"/>
                <w:szCs w:val="20"/>
                <w:lang w:val="pl-PL"/>
              </w:rPr>
            </w:pPr>
            <w:r w:rsidRPr="001C1C6C">
              <w:rPr>
                <w:rFonts w:ascii="Lato" w:hAnsi="Lato"/>
                <w:bCs/>
                <w:sz w:val="20"/>
                <w:szCs w:val="20"/>
                <w:lang w:val="pl-PL"/>
              </w:rPr>
              <w:t xml:space="preserve">oznaczenie użytku </w:t>
            </w:r>
            <w:r w:rsidRPr="001C1C6C">
              <w:rPr>
                <w:rFonts w:ascii="Lato" w:hAnsi="Lato"/>
                <w:bCs/>
                <w:sz w:val="20"/>
                <w:szCs w:val="20"/>
                <w:lang w:val="pl-PL"/>
              </w:rPr>
              <w:br/>
              <w:t xml:space="preserve">w ewidencji gruntów </w:t>
            </w:r>
            <w:r w:rsidRPr="001C1C6C">
              <w:rPr>
                <w:rFonts w:ascii="Lato" w:hAnsi="Lato"/>
                <w:bCs/>
                <w:sz w:val="20"/>
                <w:szCs w:val="20"/>
                <w:lang w:val="pl-PL"/>
              </w:rPr>
              <w:br/>
              <w:t>i budynków – Tk,</w:t>
            </w:r>
          </w:p>
          <w:p w14:paraId="58B49A5C" w14:textId="3B80B65B" w:rsidR="00E2096B" w:rsidRPr="001C1C6C" w:rsidRDefault="00E2096B" w:rsidP="00645999">
            <w:pPr>
              <w:spacing w:after="240" w:line="240" w:lineRule="exact"/>
              <w:rPr>
                <w:rFonts w:ascii="Lato" w:hAnsi="Lato"/>
                <w:bCs/>
                <w:sz w:val="20"/>
                <w:szCs w:val="20"/>
                <w:lang w:val="pl-PL"/>
              </w:rPr>
            </w:pPr>
            <w:r w:rsidRPr="001C1C6C">
              <w:rPr>
                <w:rFonts w:ascii="Lato" w:hAnsi="Lato"/>
                <w:bCs/>
                <w:sz w:val="20"/>
                <w:szCs w:val="20"/>
                <w:lang w:val="pl-PL"/>
              </w:rPr>
              <w:t>działka nie stanowi gruntu objętego obszarem kolejowym</w:t>
            </w:r>
          </w:p>
        </w:tc>
        <w:tc>
          <w:tcPr>
            <w:tcW w:w="1382" w:type="dxa"/>
          </w:tcPr>
          <w:p w14:paraId="2392AD8A" w14:textId="522D6852" w:rsidR="00E2096B" w:rsidRPr="001C1C6C" w:rsidRDefault="00E2096B" w:rsidP="00645999">
            <w:pPr>
              <w:spacing w:after="240" w:line="240" w:lineRule="exact"/>
              <w:rPr>
                <w:rFonts w:ascii="Lato" w:hAnsi="Lato"/>
                <w:bCs/>
                <w:sz w:val="20"/>
                <w:szCs w:val="20"/>
                <w:lang w:val="pl-PL"/>
              </w:rPr>
            </w:pPr>
            <w:r w:rsidRPr="001C1C6C">
              <w:rPr>
                <w:rFonts w:ascii="Lato" w:hAnsi="Lato"/>
                <w:bCs/>
                <w:sz w:val="20"/>
                <w:szCs w:val="20"/>
                <w:lang w:val="pl-PL"/>
              </w:rPr>
              <w:t>rurociąg solanki wraz ze strefą eksploatacyjną</w:t>
            </w:r>
          </w:p>
        </w:tc>
      </w:tr>
    </w:tbl>
    <w:p w14:paraId="2ED27C74" w14:textId="7A3ADB8C" w:rsidR="00F61CD7" w:rsidRPr="001C1C6C" w:rsidRDefault="00E2096B" w:rsidP="00E2096B">
      <w:pPr>
        <w:spacing w:after="240" w:line="240" w:lineRule="exact"/>
        <w:ind w:left="426"/>
        <w:jc w:val="both"/>
        <w:rPr>
          <w:rFonts w:ascii="Lato" w:hAnsi="Lato"/>
          <w:bCs/>
          <w:sz w:val="22"/>
          <w:szCs w:val="22"/>
        </w:rPr>
      </w:pPr>
      <w:r w:rsidRPr="001C1C6C">
        <w:rPr>
          <w:rFonts w:ascii="Lato" w:hAnsi="Lato"/>
          <w:bCs/>
          <w:sz w:val="22"/>
          <w:szCs w:val="22"/>
        </w:rPr>
        <w:tab/>
        <w:t xml:space="preserve">                                                        „</w:t>
      </w:r>
    </w:p>
    <w:p w14:paraId="766C529D" w14:textId="41E704BB" w:rsidR="00645999" w:rsidRPr="001C1C6C" w:rsidRDefault="00645999" w:rsidP="00645999">
      <w:pPr>
        <w:numPr>
          <w:ilvl w:val="0"/>
          <w:numId w:val="7"/>
        </w:numPr>
        <w:spacing w:line="240" w:lineRule="exact"/>
        <w:ind w:left="426" w:hanging="284"/>
        <w:jc w:val="both"/>
        <w:rPr>
          <w:rFonts w:ascii="Lato" w:hAnsi="Lato"/>
          <w:sz w:val="22"/>
          <w:szCs w:val="22"/>
        </w:rPr>
      </w:pPr>
      <w:r w:rsidRPr="001C1C6C">
        <w:rPr>
          <w:rFonts w:ascii="Lato" w:hAnsi="Lato"/>
          <w:sz w:val="22"/>
          <w:szCs w:val="22"/>
        </w:rPr>
        <w:t xml:space="preserve">ustalenie, w rozstrzygnięciu zaskarżonej decyzji, </w:t>
      </w:r>
      <w:r w:rsidRPr="001C1C6C">
        <w:rPr>
          <w:rFonts w:ascii="Lato" w:hAnsi="Lato"/>
          <w:bCs/>
          <w:sz w:val="22"/>
          <w:szCs w:val="22"/>
        </w:rPr>
        <w:t xml:space="preserve">w miejsce uchylenia, </w:t>
      </w:r>
      <w:r w:rsidRPr="001C1C6C">
        <w:rPr>
          <w:rFonts w:ascii="Lato" w:hAnsi="Lato"/>
          <w:sz w:val="22"/>
          <w:szCs w:val="22"/>
        </w:rPr>
        <w:t xml:space="preserve">na stronie 39, pod pozycją </w:t>
      </w:r>
      <w:r w:rsidRPr="001C1C6C">
        <w:rPr>
          <w:rFonts w:ascii="Lato" w:hAnsi="Lato"/>
          <w:bCs/>
          <w:sz w:val="22"/>
          <w:szCs w:val="22"/>
        </w:rPr>
        <w:t>183 tabeli nr 13 określającej nieruchomości przeznaczone do ograniczonego sposobu korzystania, nowego zapisu</w:t>
      </w:r>
      <w:r w:rsidRPr="001C1C6C">
        <w:rPr>
          <w:rFonts w:ascii="Lato" w:hAnsi="Lato"/>
          <w:sz w:val="22"/>
          <w:szCs w:val="22"/>
        </w:rPr>
        <w:t xml:space="preserve">: </w:t>
      </w:r>
    </w:p>
    <w:p w14:paraId="34AA3717" w14:textId="77777777" w:rsidR="00645999" w:rsidRPr="001C1C6C" w:rsidRDefault="00645999" w:rsidP="00645999">
      <w:pPr>
        <w:spacing w:after="240" w:line="240" w:lineRule="exact"/>
        <w:ind w:left="426"/>
        <w:contextualSpacing/>
        <w:jc w:val="both"/>
        <w:rPr>
          <w:rFonts w:ascii="Lato" w:hAnsi="Lato"/>
          <w:sz w:val="22"/>
          <w:szCs w:val="22"/>
        </w:rPr>
      </w:pPr>
      <w:r w:rsidRPr="001C1C6C">
        <w:rPr>
          <w:rFonts w:ascii="Lato" w:hAnsi="Lato"/>
          <w:sz w:val="22"/>
          <w:szCs w:val="22"/>
        </w:rPr>
        <w:t>„</w:t>
      </w:r>
    </w:p>
    <w:tbl>
      <w:tblPr>
        <w:tblStyle w:val="Tabela-Siatka"/>
        <w:tblW w:w="0" w:type="auto"/>
        <w:tblInd w:w="426" w:type="dxa"/>
        <w:tblLook w:val="04A0" w:firstRow="1" w:lastRow="0" w:firstColumn="1" w:lastColumn="0" w:noHBand="0" w:noVBand="1"/>
      </w:tblPr>
      <w:tblGrid>
        <w:gridCol w:w="619"/>
        <w:gridCol w:w="564"/>
        <w:gridCol w:w="1187"/>
        <w:gridCol w:w="1997"/>
        <w:gridCol w:w="602"/>
        <w:gridCol w:w="513"/>
        <w:gridCol w:w="1358"/>
        <w:gridCol w:w="1511"/>
      </w:tblGrid>
      <w:tr w:rsidR="00645999" w:rsidRPr="001C1C6C" w14:paraId="5EF19D4B" w14:textId="77777777" w:rsidTr="00A2078B">
        <w:tc>
          <w:tcPr>
            <w:tcW w:w="621" w:type="dxa"/>
          </w:tcPr>
          <w:p w14:paraId="0110301F" w14:textId="2B7244C1" w:rsidR="00645999" w:rsidRPr="001C1C6C" w:rsidRDefault="00645999" w:rsidP="00A2078B">
            <w:pPr>
              <w:spacing w:after="240" w:line="240" w:lineRule="exact"/>
              <w:contextualSpacing/>
              <w:jc w:val="both"/>
              <w:rPr>
                <w:rFonts w:ascii="Lato" w:hAnsi="Lato"/>
                <w:bCs/>
                <w:sz w:val="20"/>
                <w:szCs w:val="20"/>
              </w:rPr>
            </w:pPr>
            <w:r w:rsidRPr="001C1C6C">
              <w:rPr>
                <w:rFonts w:ascii="Lato" w:hAnsi="Lato"/>
                <w:bCs/>
                <w:sz w:val="20"/>
                <w:szCs w:val="20"/>
              </w:rPr>
              <w:t>183.</w:t>
            </w:r>
          </w:p>
        </w:tc>
        <w:tc>
          <w:tcPr>
            <w:tcW w:w="454" w:type="dxa"/>
          </w:tcPr>
          <w:p w14:paraId="6512C2AB" w14:textId="3CD157AE" w:rsidR="00645999" w:rsidRPr="001C1C6C" w:rsidRDefault="00645999" w:rsidP="00A2078B">
            <w:pPr>
              <w:spacing w:after="240" w:line="240" w:lineRule="exact"/>
              <w:contextualSpacing/>
              <w:jc w:val="both"/>
              <w:rPr>
                <w:rFonts w:ascii="Lato" w:hAnsi="Lato"/>
                <w:bCs/>
                <w:sz w:val="20"/>
                <w:szCs w:val="20"/>
              </w:rPr>
            </w:pPr>
            <w:r w:rsidRPr="001C1C6C">
              <w:rPr>
                <w:rFonts w:ascii="Lato" w:hAnsi="Lato"/>
                <w:bCs/>
                <w:sz w:val="20"/>
                <w:szCs w:val="20"/>
              </w:rPr>
              <w:t>182</w:t>
            </w:r>
          </w:p>
        </w:tc>
        <w:tc>
          <w:tcPr>
            <w:tcW w:w="1282" w:type="dxa"/>
          </w:tcPr>
          <w:p w14:paraId="1BC2F6D0" w14:textId="31322A47" w:rsidR="00645999" w:rsidRPr="001C1C6C" w:rsidRDefault="00645999" w:rsidP="00A2078B">
            <w:pPr>
              <w:spacing w:after="240" w:line="240" w:lineRule="exact"/>
              <w:contextualSpacing/>
              <w:jc w:val="both"/>
              <w:rPr>
                <w:rFonts w:ascii="Lato" w:hAnsi="Lato"/>
                <w:bCs/>
                <w:sz w:val="20"/>
                <w:szCs w:val="20"/>
              </w:rPr>
            </w:pPr>
            <w:r w:rsidRPr="001C1C6C">
              <w:rPr>
                <w:rFonts w:ascii="Lato" w:hAnsi="Lato"/>
                <w:bCs/>
                <w:sz w:val="20"/>
                <w:szCs w:val="20"/>
              </w:rPr>
              <w:t>Sędowo</w:t>
            </w:r>
          </w:p>
        </w:tc>
        <w:tc>
          <w:tcPr>
            <w:tcW w:w="1997" w:type="dxa"/>
          </w:tcPr>
          <w:p w14:paraId="21833C97" w14:textId="4EADE3FF" w:rsidR="00645999" w:rsidRPr="001C1C6C" w:rsidRDefault="00645999" w:rsidP="00A2078B">
            <w:pPr>
              <w:spacing w:after="240" w:line="240" w:lineRule="exact"/>
              <w:contextualSpacing/>
              <w:jc w:val="both"/>
              <w:rPr>
                <w:rFonts w:ascii="Lato" w:hAnsi="Lato"/>
                <w:bCs/>
                <w:sz w:val="20"/>
                <w:szCs w:val="20"/>
              </w:rPr>
            </w:pPr>
            <w:r w:rsidRPr="0088787D">
              <w:rPr>
                <w:rFonts w:ascii="Lato" w:hAnsi="Lato"/>
                <w:bCs/>
                <w:sz w:val="20"/>
                <w:szCs w:val="20"/>
                <w:highlight w:val="black"/>
              </w:rPr>
              <w:t>BY1M/00031532/2</w:t>
            </w:r>
          </w:p>
        </w:tc>
        <w:tc>
          <w:tcPr>
            <w:tcW w:w="602" w:type="dxa"/>
          </w:tcPr>
          <w:p w14:paraId="42B83B15" w14:textId="77777777" w:rsidR="00645999" w:rsidRPr="001C1C6C" w:rsidRDefault="00645999" w:rsidP="00A2078B">
            <w:pPr>
              <w:spacing w:after="240" w:line="240" w:lineRule="exact"/>
              <w:contextualSpacing/>
              <w:jc w:val="both"/>
              <w:rPr>
                <w:rFonts w:ascii="Lato" w:hAnsi="Lato"/>
                <w:bCs/>
                <w:sz w:val="20"/>
                <w:szCs w:val="20"/>
              </w:rPr>
            </w:pPr>
            <w:r w:rsidRPr="001C1C6C">
              <w:rPr>
                <w:rFonts w:ascii="Lato" w:hAnsi="Lato"/>
                <w:bCs/>
                <w:sz w:val="20"/>
                <w:szCs w:val="20"/>
              </w:rPr>
              <w:t>TAK</w:t>
            </w:r>
          </w:p>
        </w:tc>
        <w:tc>
          <w:tcPr>
            <w:tcW w:w="594" w:type="dxa"/>
          </w:tcPr>
          <w:p w14:paraId="30BF6062" w14:textId="08C32CD6" w:rsidR="00645999" w:rsidRPr="001C1C6C" w:rsidRDefault="00645999" w:rsidP="00A2078B">
            <w:pPr>
              <w:spacing w:after="240" w:line="240" w:lineRule="exact"/>
              <w:contextualSpacing/>
              <w:jc w:val="both"/>
              <w:rPr>
                <w:rFonts w:ascii="Lato" w:hAnsi="Lato"/>
                <w:bCs/>
                <w:sz w:val="20"/>
                <w:szCs w:val="20"/>
              </w:rPr>
            </w:pPr>
            <w:r w:rsidRPr="001C1C6C">
              <w:rPr>
                <w:rFonts w:ascii="Lato" w:hAnsi="Lato"/>
                <w:bCs/>
                <w:sz w:val="20"/>
                <w:szCs w:val="20"/>
              </w:rPr>
              <w:t>-</w:t>
            </w:r>
          </w:p>
        </w:tc>
        <w:tc>
          <w:tcPr>
            <w:tcW w:w="1419" w:type="dxa"/>
          </w:tcPr>
          <w:p w14:paraId="38E15B94" w14:textId="77777777" w:rsidR="00645999" w:rsidRPr="001C1C6C" w:rsidRDefault="00645999" w:rsidP="00645999">
            <w:pPr>
              <w:spacing w:after="240" w:line="240" w:lineRule="exact"/>
              <w:contextualSpacing/>
              <w:rPr>
                <w:rFonts w:ascii="Lato" w:hAnsi="Lato"/>
                <w:bCs/>
                <w:sz w:val="20"/>
                <w:szCs w:val="20"/>
                <w:lang w:val="pl-PL"/>
              </w:rPr>
            </w:pPr>
            <w:r w:rsidRPr="001C1C6C">
              <w:rPr>
                <w:rFonts w:ascii="Lato" w:hAnsi="Lato"/>
                <w:bCs/>
                <w:sz w:val="20"/>
                <w:szCs w:val="20"/>
                <w:lang w:val="pl-PL"/>
              </w:rPr>
              <w:t xml:space="preserve">oznaczenie użytku </w:t>
            </w:r>
            <w:r w:rsidRPr="001C1C6C">
              <w:rPr>
                <w:rFonts w:ascii="Lato" w:hAnsi="Lato"/>
                <w:bCs/>
                <w:sz w:val="20"/>
                <w:szCs w:val="20"/>
                <w:lang w:val="pl-PL"/>
              </w:rPr>
              <w:br/>
              <w:t xml:space="preserve">w ewidencji gruntów </w:t>
            </w:r>
            <w:r w:rsidRPr="001C1C6C">
              <w:rPr>
                <w:rFonts w:ascii="Lato" w:hAnsi="Lato"/>
                <w:bCs/>
                <w:sz w:val="20"/>
                <w:szCs w:val="20"/>
                <w:lang w:val="pl-PL"/>
              </w:rPr>
              <w:br/>
              <w:t>i budynków – Tk,</w:t>
            </w:r>
          </w:p>
          <w:p w14:paraId="38831DA6" w14:textId="77777777" w:rsidR="00645999" w:rsidRPr="001C1C6C" w:rsidRDefault="00645999" w:rsidP="00645999">
            <w:pPr>
              <w:spacing w:after="240" w:line="240" w:lineRule="exact"/>
              <w:contextualSpacing/>
              <w:rPr>
                <w:rFonts w:ascii="Lato" w:hAnsi="Lato"/>
                <w:bCs/>
                <w:sz w:val="20"/>
                <w:szCs w:val="20"/>
                <w:lang w:val="pl-PL"/>
              </w:rPr>
            </w:pPr>
            <w:r w:rsidRPr="001C1C6C">
              <w:rPr>
                <w:rFonts w:ascii="Lato" w:hAnsi="Lato"/>
                <w:bCs/>
                <w:sz w:val="20"/>
                <w:szCs w:val="20"/>
                <w:lang w:val="pl-PL"/>
              </w:rPr>
              <w:t xml:space="preserve">działka nie stanowi gruntu objętego </w:t>
            </w:r>
            <w:r w:rsidRPr="001C1C6C">
              <w:rPr>
                <w:rFonts w:ascii="Lato" w:hAnsi="Lato"/>
                <w:bCs/>
                <w:sz w:val="20"/>
                <w:szCs w:val="20"/>
                <w:lang w:val="pl-PL"/>
              </w:rPr>
              <w:lastRenderedPageBreak/>
              <w:t>obszarem kolejowym</w:t>
            </w:r>
          </w:p>
        </w:tc>
        <w:tc>
          <w:tcPr>
            <w:tcW w:w="1382" w:type="dxa"/>
          </w:tcPr>
          <w:p w14:paraId="19153DD4" w14:textId="77777777" w:rsidR="00645999" w:rsidRPr="001C1C6C" w:rsidRDefault="00645999" w:rsidP="00645999">
            <w:pPr>
              <w:spacing w:after="240" w:line="240" w:lineRule="exact"/>
              <w:contextualSpacing/>
              <w:rPr>
                <w:rFonts w:ascii="Lato" w:hAnsi="Lato"/>
                <w:bCs/>
                <w:sz w:val="20"/>
                <w:szCs w:val="20"/>
                <w:lang w:val="pl-PL"/>
              </w:rPr>
            </w:pPr>
            <w:r w:rsidRPr="001C1C6C">
              <w:rPr>
                <w:rFonts w:ascii="Lato" w:hAnsi="Lato"/>
                <w:bCs/>
                <w:sz w:val="20"/>
                <w:szCs w:val="20"/>
                <w:lang w:val="pl-PL"/>
              </w:rPr>
              <w:lastRenderedPageBreak/>
              <w:t>rurociąg solanki wraz ze strefą eksploatacyjną</w:t>
            </w:r>
          </w:p>
        </w:tc>
      </w:tr>
    </w:tbl>
    <w:p w14:paraId="762C37AF" w14:textId="77777777" w:rsidR="00645999" w:rsidRPr="001C1C6C" w:rsidRDefault="00645999" w:rsidP="00645999">
      <w:pPr>
        <w:spacing w:after="240" w:line="240" w:lineRule="exact"/>
        <w:ind w:left="426"/>
        <w:jc w:val="both"/>
        <w:rPr>
          <w:rFonts w:ascii="Lato" w:hAnsi="Lato"/>
          <w:bCs/>
          <w:sz w:val="22"/>
          <w:szCs w:val="22"/>
        </w:rPr>
      </w:pPr>
      <w:r w:rsidRPr="001C1C6C">
        <w:rPr>
          <w:rFonts w:ascii="Lato" w:hAnsi="Lato"/>
          <w:bCs/>
          <w:sz w:val="22"/>
          <w:szCs w:val="22"/>
        </w:rPr>
        <w:tab/>
        <w:t xml:space="preserve">                                                        „</w:t>
      </w:r>
    </w:p>
    <w:p w14:paraId="473BCB6C" w14:textId="5AAD30FE" w:rsidR="00011E3F" w:rsidRPr="001C1C6C" w:rsidRDefault="006930F3" w:rsidP="00C43FBE">
      <w:pPr>
        <w:numPr>
          <w:ilvl w:val="0"/>
          <w:numId w:val="7"/>
        </w:numPr>
        <w:spacing w:line="240" w:lineRule="exact"/>
        <w:ind w:left="426" w:hanging="284"/>
        <w:jc w:val="both"/>
        <w:rPr>
          <w:rFonts w:ascii="Lato" w:hAnsi="Lato"/>
          <w:sz w:val="22"/>
          <w:szCs w:val="22"/>
        </w:rPr>
      </w:pPr>
      <w:r w:rsidRPr="001C1C6C">
        <w:rPr>
          <w:rFonts w:ascii="Lato" w:hAnsi="Lato"/>
          <w:sz w:val="22"/>
          <w:szCs w:val="22"/>
        </w:rPr>
        <w:t xml:space="preserve">ustalenie, w rozstrzygnięciu zaskarżonej decyzji, </w:t>
      </w:r>
      <w:r w:rsidRPr="001C1C6C">
        <w:rPr>
          <w:rFonts w:ascii="Lato" w:hAnsi="Lato"/>
          <w:bCs/>
          <w:sz w:val="22"/>
          <w:szCs w:val="22"/>
        </w:rPr>
        <w:t xml:space="preserve">w miejsce uchylenia, </w:t>
      </w:r>
      <w:r w:rsidRPr="001C1C6C">
        <w:rPr>
          <w:rFonts w:ascii="Lato" w:hAnsi="Lato"/>
          <w:sz w:val="22"/>
          <w:szCs w:val="22"/>
        </w:rPr>
        <w:t xml:space="preserve">na stronie 52, </w:t>
      </w:r>
      <w:r w:rsidRPr="001C1C6C">
        <w:rPr>
          <w:rFonts w:ascii="Lato" w:hAnsi="Lato"/>
          <w:bCs/>
          <w:sz w:val="22"/>
          <w:szCs w:val="22"/>
        </w:rPr>
        <w:t>nowych zapisów tabeli nr 16 dotyczącej skrzyżowań istniejących i modernizowanych rurociągów z obszarem kolejowym</w:t>
      </w:r>
      <w:r w:rsidRPr="001C1C6C">
        <w:rPr>
          <w:rFonts w:ascii="Lato" w:hAnsi="Lato"/>
          <w:sz w:val="22"/>
          <w:szCs w:val="22"/>
        </w:rPr>
        <w:t xml:space="preserve">: </w:t>
      </w:r>
    </w:p>
    <w:p w14:paraId="5AFDEA11" w14:textId="4F200341" w:rsidR="006930F3" w:rsidRPr="001C1C6C" w:rsidRDefault="006930F3" w:rsidP="00E64EE8">
      <w:pPr>
        <w:spacing w:after="240" w:line="240" w:lineRule="exact"/>
        <w:ind w:left="425"/>
        <w:contextualSpacing/>
        <w:jc w:val="both"/>
        <w:rPr>
          <w:rFonts w:ascii="Lato" w:hAnsi="Lato"/>
          <w:sz w:val="22"/>
          <w:szCs w:val="22"/>
        </w:rPr>
      </w:pPr>
      <w:r w:rsidRPr="001C1C6C">
        <w:rPr>
          <w:rFonts w:ascii="Lato" w:hAnsi="Lato"/>
          <w:sz w:val="22"/>
          <w:szCs w:val="22"/>
        </w:rPr>
        <w:t>„</w:t>
      </w:r>
    </w:p>
    <w:tbl>
      <w:tblPr>
        <w:tblStyle w:val="Tabela-Siatka"/>
        <w:tblW w:w="0" w:type="auto"/>
        <w:tblInd w:w="426" w:type="dxa"/>
        <w:tblLayout w:type="fixed"/>
        <w:tblLook w:val="04A0" w:firstRow="1" w:lastRow="0" w:firstColumn="1" w:lastColumn="0" w:noHBand="0" w:noVBand="1"/>
      </w:tblPr>
      <w:tblGrid>
        <w:gridCol w:w="562"/>
        <w:gridCol w:w="850"/>
        <w:gridCol w:w="1010"/>
        <w:gridCol w:w="1400"/>
        <w:gridCol w:w="1276"/>
        <w:gridCol w:w="1171"/>
        <w:gridCol w:w="2082"/>
      </w:tblGrid>
      <w:tr w:rsidR="004C4E3E" w:rsidRPr="001C1C6C" w14:paraId="0485FEDF" w14:textId="77777777" w:rsidTr="004C4E3E">
        <w:tc>
          <w:tcPr>
            <w:tcW w:w="562" w:type="dxa"/>
          </w:tcPr>
          <w:p w14:paraId="4C5B9C8C" w14:textId="58E1C7A7" w:rsidR="006930F3" w:rsidRPr="00E35176" w:rsidRDefault="006930F3" w:rsidP="006930F3">
            <w:pPr>
              <w:spacing w:after="240" w:line="240" w:lineRule="exact"/>
              <w:jc w:val="both"/>
              <w:rPr>
                <w:rFonts w:ascii="Lato" w:hAnsi="Lato"/>
                <w:sz w:val="20"/>
                <w:szCs w:val="20"/>
                <w:lang w:val="pl-PL"/>
              </w:rPr>
            </w:pPr>
            <w:r w:rsidRPr="00E35176">
              <w:rPr>
                <w:rFonts w:ascii="Lato" w:hAnsi="Lato"/>
                <w:sz w:val="20"/>
                <w:szCs w:val="20"/>
                <w:lang w:val="pl-PL"/>
              </w:rPr>
              <w:t>L.p.</w:t>
            </w:r>
          </w:p>
        </w:tc>
        <w:tc>
          <w:tcPr>
            <w:tcW w:w="850" w:type="dxa"/>
          </w:tcPr>
          <w:p w14:paraId="71919201" w14:textId="7EC02C05" w:rsidR="006930F3" w:rsidRPr="00E35176" w:rsidRDefault="006930F3" w:rsidP="006930F3">
            <w:pPr>
              <w:spacing w:after="240" w:line="240" w:lineRule="exact"/>
              <w:jc w:val="both"/>
              <w:rPr>
                <w:rFonts w:ascii="Lato" w:hAnsi="Lato"/>
                <w:sz w:val="20"/>
                <w:szCs w:val="20"/>
                <w:lang w:val="pl-PL"/>
              </w:rPr>
            </w:pPr>
            <w:r w:rsidRPr="00E35176">
              <w:rPr>
                <w:rFonts w:ascii="Lato" w:hAnsi="Lato"/>
                <w:sz w:val="20"/>
                <w:szCs w:val="20"/>
                <w:lang w:val="pl-PL"/>
              </w:rPr>
              <w:t>Nr działki</w:t>
            </w:r>
          </w:p>
        </w:tc>
        <w:tc>
          <w:tcPr>
            <w:tcW w:w="1010" w:type="dxa"/>
          </w:tcPr>
          <w:p w14:paraId="789B26D2" w14:textId="0AE1370B" w:rsidR="006930F3" w:rsidRPr="00E35176" w:rsidRDefault="00D90563" w:rsidP="006930F3">
            <w:pPr>
              <w:spacing w:after="240" w:line="240" w:lineRule="exact"/>
              <w:jc w:val="both"/>
              <w:rPr>
                <w:rFonts w:ascii="Lato" w:hAnsi="Lato"/>
                <w:sz w:val="20"/>
                <w:szCs w:val="20"/>
                <w:lang w:val="pl-PL"/>
              </w:rPr>
            </w:pPr>
            <w:r w:rsidRPr="00E35176">
              <w:rPr>
                <w:rFonts w:ascii="Lato" w:hAnsi="Lato"/>
                <w:sz w:val="20"/>
                <w:szCs w:val="20"/>
                <w:lang w:val="pl-PL"/>
              </w:rPr>
              <w:t>Rodzaj</w:t>
            </w:r>
          </w:p>
        </w:tc>
        <w:tc>
          <w:tcPr>
            <w:tcW w:w="1400" w:type="dxa"/>
          </w:tcPr>
          <w:p w14:paraId="732D4D3B" w14:textId="47B3C227" w:rsidR="006930F3" w:rsidRPr="00E35176" w:rsidRDefault="00D90563" w:rsidP="006930F3">
            <w:pPr>
              <w:spacing w:after="240" w:line="240" w:lineRule="exact"/>
              <w:jc w:val="both"/>
              <w:rPr>
                <w:rFonts w:ascii="Lato" w:hAnsi="Lato"/>
                <w:sz w:val="20"/>
                <w:szCs w:val="20"/>
                <w:lang w:val="pl-PL"/>
              </w:rPr>
            </w:pPr>
            <w:r w:rsidRPr="00E35176">
              <w:rPr>
                <w:rFonts w:ascii="Lato" w:hAnsi="Lato"/>
                <w:sz w:val="20"/>
                <w:szCs w:val="20"/>
                <w:lang w:val="pl-PL"/>
              </w:rPr>
              <w:t>Lokalizacja skrzyżowania</w:t>
            </w:r>
          </w:p>
        </w:tc>
        <w:tc>
          <w:tcPr>
            <w:tcW w:w="1276" w:type="dxa"/>
          </w:tcPr>
          <w:p w14:paraId="2BF8D5E2" w14:textId="1EE04069" w:rsidR="006930F3" w:rsidRPr="00E35176" w:rsidRDefault="00D90563" w:rsidP="006930F3">
            <w:pPr>
              <w:spacing w:after="240" w:line="240" w:lineRule="exact"/>
              <w:jc w:val="both"/>
              <w:rPr>
                <w:rFonts w:ascii="Lato" w:hAnsi="Lato"/>
                <w:sz w:val="20"/>
                <w:szCs w:val="20"/>
                <w:lang w:val="pl-PL"/>
              </w:rPr>
            </w:pPr>
            <w:r w:rsidRPr="00E35176">
              <w:rPr>
                <w:rFonts w:ascii="Lato" w:hAnsi="Lato"/>
                <w:sz w:val="20"/>
                <w:szCs w:val="20"/>
                <w:lang w:val="pl-PL"/>
              </w:rPr>
              <w:t>Obręb</w:t>
            </w:r>
          </w:p>
        </w:tc>
        <w:tc>
          <w:tcPr>
            <w:tcW w:w="1171" w:type="dxa"/>
          </w:tcPr>
          <w:p w14:paraId="043205EA" w14:textId="5FCBCF59" w:rsidR="006930F3" w:rsidRPr="00E35176" w:rsidRDefault="00D90563" w:rsidP="006930F3">
            <w:pPr>
              <w:spacing w:after="240" w:line="240" w:lineRule="exact"/>
              <w:jc w:val="both"/>
              <w:rPr>
                <w:rFonts w:ascii="Lato" w:hAnsi="Lato"/>
                <w:sz w:val="20"/>
                <w:szCs w:val="20"/>
                <w:lang w:val="pl-PL"/>
              </w:rPr>
            </w:pPr>
            <w:r w:rsidRPr="00E35176">
              <w:rPr>
                <w:rFonts w:ascii="Lato" w:hAnsi="Lato"/>
                <w:sz w:val="20"/>
                <w:szCs w:val="20"/>
                <w:lang w:val="pl-PL"/>
              </w:rPr>
              <w:t>Gmina</w:t>
            </w:r>
          </w:p>
        </w:tc>
        <w:tc>
          <w:tcPr>
            <w:tcW w:w="2082" w:type="dxa"/>
          </w:tcPr>
          <w:p w14:paraId="0E198813" w14:textId="5A33C485" w:rsidR="006930F3" w:rsidRPr="00E35176" w:rsidRDefault="00D90563" w:rsidP="006930F3">
            <w:pPr>
              <w:spacing w:after="240" w:line="240" w:lineRule="exact"/>
              <w:jc w:val="both"/>
              <w:rPr>
                <w:rFonts w:ascii="Lato" w:hAnsi="Lato"/>
                <w:sz w:val="20"/>
                <w:szCs w:val="20"/>
                <w:lang w:val="pl-PL"/>
              </w:rPr>
            </w:pPr>
            <w:r w:rsidRPr="00E35176">
              <w:rPr>
                <w:rFonts w:ascii="Lato" w:hAnsi="Lato"/>
                <w:sz w:val="20"/>
                <w:szCs w:val="20"/>
                <w:lang w:val="pl-PL"/>
              </w:rPr>
              <w:t>Właściciel/zarządca</w:t>
            </w:r>
          </w:p>
        </w:tc>
      </w:tr>
      <w:tr w:rsidR="00D90563" w:rsidRPr="001C1C6C" w14:paraId="5401F920" w14:textId="77777777" w:rsidTr="004C4E3E">
        <w:tc>
          <w:tcPr>
            <w:tcW w:w="8351" w:type="dxa"/>
            <w:gridSpan w:val="7"/>
          </w:tcPr>
          <w:p w14:paraId="5569B999" w14:textId="12AACB4A" w:rsidR="00D90563" w:rsidRPr="00E35176" w:rsidRDefault="00D90563" w:rsidP="00D90563">
            <w:pPr>
              <w:spacing w:after="240" w:line="240" w:lineRule="exact"/>
              <w:jc w:val="center"/>
              <w:rPr>
                <w:rFonts w:ascii="Lato" w:hAnsi="Lato"/>
                <w:sz w:val="20"/>
                <w:szCs w:val="20"/>
                <w:lang w:val="pl-PL"/>
              </w:rPr>
            </w:pPr>
            <w:r w:rsidRPr="00E35176">
              <w:rPr>
                <w:rFonts w:ascii="Lato" w:hAnsi="Lato"/>
                <w:sz w:val="20"/>
                <w:szCs w:val="20"/>
                <w:lang w:val="pl-PL"/>
              </w:rPr>
              <w:t>Rurociąg solanki Broniewice - Janikowo</w:t>
            </w:r>
          </w:p>
        </w:tc>
      </w:tr>
      <w:tr w:rsidR="004C4E3E" w:rsidRPr="001C1C6C" w14:paraId="15DA253F" w14:textId="77777777" w:rsidTr="004C4E3E">
        <w:tc>
          <w:tcPr>
            <w:tcW w:w="562" w:type="dxa"/>
          </w:tcPr>
          <w:p w14:paraId="6ABF1298" w14:textId="1EB8F6F8" w:rsidR="006930F3" w:rsidRPr="00E35176" w:rsidRDefault="00D90563" w:rsidP="006930F3">
            <w:pPr>
              <w:spacing w:after="240" w:line="240" w:lineRule="exact"/>
              <w:jc w:val="both"/>
              <w:rPr>
                <w:rFonts w:ascii="Lato" w:hAnsi="Lato"/>
                <w:sz w:val="20"/>
                <w:szCs w:val="20"/>
                <w:lang w:val="pl-PL"/>
              </w:rPr>
            </w:pPr>
            <w:r w:rsidRPr="00E35176">
              <w:rPr>
                <w:rFonts w:ascii="Lato" w:hAnsi="Lato"/>
                <w:sz w:val="20"/>
                <w:szCs w:val="20"/>
                <w:lang w:val="pl-PL"/>
              </w:rPr>
              <w:t>1.</w:t>
            </w:r>
          </w:p>
        </w:tc>
        <w:tc>
          <w:tcPr>
            <w:tcW w:w="850" w:type="dxa"/>
          </w:tcPr>
          <w:p w14:paraId="3F39467B" w14:textId="52505E54" w:rsidR="006930F3" w:rsidRPr="00E35176" w:rsidRDefault="00D90563" w:rsidP="004C4E3E">
            <w:pPr>
              <w:spacing w:after="240" w:line="240" w:lineRule="exact"/>
              <w:jc w:val="center"/>
              <w:rPr>
                <w:rFonts w:ascii="Lato" w:hAnsi="Lato"/>
                <w:sz w:val="20"/>
                <w:szCs w:val="20"/>
                <w:lang w:val="pl-PL"/>
              </w:rPr>
            </w:pPr>
            <w:r w:rsidRPr="00E35176">
              <w:rPr>
                <w:rFonts w:ascii="Lato" w:hAnsi="Lato"/>
                <w:sz w:val="20"/>
                <w:szCs w:val="20"/>
                <w:lang w:val="pl-PL"/>
              </w:rPr>
              <w:t>80/6</w:t>
            </w:r>
          </w:p>
        </w:tc>
        <w:tc>
          <w:tcPr>
            <w:tcW w:w="1010" w:type="dxa"/>
          </w:tcPr>
          <w:p w14:paraId="1351C0CA" w14:textId="77948E41" w:rsidR="006930F3" w:rsidRPr="00E35176" w:rsidRDefault="00D90563" w:rsidP="004C4E3E">
            <w:pPr>
              <w:spacing w:after="240" w:line="240" w:lineRule="exact"/>
              <w:jc w:val="center"/>
              <w:rPr>
                <w:rFonts w:ascii="Lato" w:hAnsi="Lato"/>
                <w:sz w:val="20"/>
                <w:szCs w:val="20"/>
                <w:lang w:val="pl-PL"/>
              </w:rPr>
            </w:pPr>
            <w:r w:rsidRPr="00E35176">
              <w:rPr>
                <w:rFonts w:ascii="Lato" w:hAnsi="Lato"/>
                <w:sz w:val="20"/>
                <w:szCs w:val="20"/>
                <w:lang w:val="pl-PL"/>
              </w:rPr>
              <w:t>Linia kolejowa nr 353</w:t>
            </w:r>
          </w:p>
        </w:tc>
        <w:tc>
          <w:tcPr>
            <w:tcW w:w="1400" w:type="dxa"/>
          </w:tcPr>
          <w:p w14:paraId="425DD2A2" w14:textId="6D58B325" w:rsidR="006930F3" w:rsidRPr="00E35176" w:rsidRDefault="00D90563" w:rsidP="004C4E3E">
            <w:pPr>
              <w:spacing w:after="240" w:line="240" w:lineRule="exact"/>
              <w:jc w:val="center"/>
              <w:rPr>
                <w:rFonts w:ascii="Lato" w:hAnsi="Lato"/>
                <w:sz w:val="20"/>
                <w:szCs w:val="20"/>
                <w:lang w:val="pl-PL"/>
              </w:rPr>
            </w:pPr>
            <w:r w:rsidRPr="00E35176">
              <w:rPr>
                <w:rFonts w:ascii="Lato" w:hAnsi="Lato"/>
                <w:sz w:val="20"/>
                <w:szCs w:val="20"/>
                <w:lang w:val="pl-PL"/>
              </w:rPr>
              <w:t>ok. km od 0+175- do 0+500</w:t>
            </w:r>
          </w:p>
        </w:tc>
        <w:tc>
          <w:tcPr>
            <w:tcW w:w="1276" w:type="dxa"/>
          </w:tcPr>
          <w:p w14:paraId="2466751C" w14:textId="65F2DDF4" w:rsidR="006930F3" w:rsidRPr="00E35176" w:rsidRDefault="00D90563" w:rsidP="004C4E3E">
            <w:pPr>
              <w:spacing w:after="240" w:line="240" w:lineRule="exact"/>
              <w:jc w:val="center"/>
              <w:rPr>
                <w:rFonts w:ascii="Lato" w:hAnsi="Lato"/>
                <w:sz w:val="20"/>
                <w:szCs w:val="20"/>
                <w:lang w:val="pl-PL"/>
              </w:rPr>
            </w:pPr>
            <w:r w:rsidRPr="00E35176">
              <w:rPr>
                <w:rFonts w:ascii="Lato" w:hAnsi="Lato"/>
                <w:sz w:val="20"/>
                <w:szCs w:val="20"/>
                <w:lang w:val="pl-PL"/>
              </w:rPr>
              <w:t>Broniewice</w:t>
            </w:r>
          </w:p>
        </w:tc>
        <w:tc>
          <w:tcPr>
            <w:tcW w:w="1171" w:type="dxa"/>
          </w:tcPr>
          <w:p w14:paraId="09A76800" w14:textId="017CA16C" w:rsidR="006930F3" w:rsidRPr="00E35176" w:rsidRDefault="00D90563" w:rsidP="004C4E3E">
            <w:pPr>
              <w:spacing w:after="240" w:line="240" w:lineRule="exact"/>
              <w:jc w:val="center"/>
              <w:rPr>
                <w:rFonts w:ascii="Lato" w:hAnsi="Lato"/>
                <w:sz w:val="20"/>
                <w:szCs w:val="20"/>
                <w:lang w:val="pl-PL"/>
              </w:rPr>
            </w:pPr>
            <w:r w:rsidRPr="00E35176">
              <w:rPr>
                <w:rFonts w:ascii="Lato" w:hAnsi="Lato"/>
                <w:sz w:val="20"/>
                <w:szCs w:val="20"/>
                <w:lang w:val="pl-PL"/>
              </w:rPr>
              <w:t>Janikowo</w:t>
            </w:r>
          </w:p>
        </w:tc>
        <w:tc>
          <w:tcPr>
            <w:tcW w:w="2082" w:type="dxa"/>
          </w:tcPr>
          <w:p w14:paraId="764D7DA5" w14:textId="42F62245" w:rsidR="006930F3" w:rsidRPr="001C1C6C" w:rsidRDefault="00D90563" w:rsidP="004C4E3E">
            <w:pPr>
              <w:spacing w:after="240" w:line="240" w:lineRule="exact"/>
              <w:jc w:val="center"/>
              <w:rPr>
                <w:rFonts w:ascii="Lato" w:hAnsi="Lato"/>
                <w:sz w:val="20"/>
                <w:szCs w:val="20"/>
                <w:lang w:val="pl-PL"/>
              </w:rPr>
            </w:pPr>
            <w:r w:rsidRPr="001C1C6C">
              <w:rPr>
                <w:rFonts w:ascii="Lato" w:hAnsi="Lato"/>
                <w:sz w:val="20"/>
                <w:szCs w:val="20"/>
                <w:lang w:val="pl-PL"/>
              </w:rPr>
              <w:t>Skarb Państwa/PKP Polskie Linie Kolejowe S.A.</w:t>
            </w:r>
          </w:p>
        </w:tc>
      </w:tr>
      <w:tr w:rsidR="004C4E3E" w:rsidRPr="001C1C6C" w14:paraId="72C46BC4" w14:textId="77777777" w:rsidTr="004C4E3E">
        <w:tc>
          <w:tcPr>
            <w:tcW w:w="562" w:type="dxa"/>
          </w:tcPr>
          <w:p w14:paraId="6CD39091" w14:textId="1BEA8A6F" w:rsidR="006930F3" w:rsidRPr="00E35176" w:rsidRDefault="00D90563" w:rsidP="006930F3">
            <w:pPr>
              <w:spacing w:after="240" w:line="240" w:lineRule="exact"/>
              <w:jc w:val="both"/>
              <w:rPr>
                <w:rFonts w:ascii="Lato" w:hAnsi="Lato"/>
                <w:sz w:val="20"/>
                <w:szCs w:val="20"/>
                <w:lang w:val="pl-PL"/>
              </w:rPr>
            </w:pPr>
            <w:r w:rsidRPr="00E35176">
              <w:rPr>
                <w:rFonts w:ascii="Lato" w:hAnsi="Lato"/>
                <w:sz w:val="20"/>
                <w:szCs w:val="20"/>
                <w:lang w:val="pl-PL"/>
              </w:rPr>
              <w:t>2.</w:t>
            </w:r>
          </w:p>
        </w:tc>
        <w:tc>
          <w:tcPr>
            <w:tcW w:w="850" w:type="dxa"/>
          </w:tcPr>
          <w:p w14:paraId="0B5DEABD" w14:textId="524FB48A" w:rsidR="006930F3" w:rsidRPr="00E35176" w:rsidRDefault="00D90563" w:rsidP="004C4E3E">
            <w:pPr>
              <w:spacing w:after="240" w:line="240" w:lineRule="exact"/>
              <w:jc w:val="center"/>
              <w:rPr>
                <w:rFonts w:ascii="Lato" w:hAnsi="Lato"/>
                <w:sz w:val="20"/>
                <w:szCs w:val="20"/>
                <w:lang w:val="pl-PL"/>
              </w:rPr>
            </w:pPr>
            <w:r w:rsidRPr="00E35176">
              <w:rPr>
                <w:rFonts w:ascii="Lato" w:hAnsi="Lato"/>
                <w:sz w:val="20"/>
                <w:szCs w:val="20"/>
                <w:lang w:val="pl-PL"/>
              </w:rPr>
              <w:t>95</w:t>
            </w:r>
          </w:p>
        </w:tc>
        <w:tc>
          <w:tcPr>
            <w:tcW w:w="1010" w:type="dxa"/>
          </w:tcPr>
          <w:p w14:paraId="2D03030B" w14:textId="6872992D" w:rsidR="006930F3" w:rsidRPr="00E35176" w:rsidRDefault="00D90563" w:rsidP="004C4E3E">
            <w:pPr>
              <w:spacing w:after="240" w:line="240" w:lineRule="exact"/>
              <w:jc w:val="center"/>
              <w:rPr>
                <w:rFonts w:ascii="Lato" w:hAnsi="Lato"/>
                <w:sz w:val="20"/>
                <w:szCs w:val="20"/>
                <w:lang w:val="pl-PL"/>
              </w:rPr>
            </w:pPr>
            <w:r w:rsidRPr="00E35176">
              <w:rPr>
                <w:rFonts w:ascii="Lato" w:hAnsi="Lato"/>
                <w:sz w:val="20"/>
                <w:szCs w:val="20"/>
                <w:lang w:val="pl-PL"/>
              </w:rPr>
              <w:t>Linia kolejowa nr 353</w:t>
            </w:r>
          </w:p>
        </w:tc>
        <w:tc>
          <w:tcPr>
            <w:tcW w:w="1400" w:type="dxa"/>
          </w:tcPr>
          <w:p w14:paraId="6798812E" w14:textId="05B27A7E" w:rsidR="006930F3" w:rsidRPr="00E35176" w:rsidRDefault="00D90563" w:rsidP="004C4E3E">
            <w:pPr>
              <w:spacing w:after="240" w:line="240" w:lineRule="exact"/>
              <w:jc w:val="center"/>
              <w:rPr>
                <w:rFonts w:ascii="Lato" w:hAnsi="Lato"/>
                <w:sz w:val="20"/>
                <w:szCs w:val="20"/>
                <w:lang w:val="pl-PL"/>
              </w:rPr>
            </w:pPr>
            <w:r w:rsidRPr="00E35176">
              <w:rPr>
                <w:rFonts w:ascii="Lato" w:hAnsi="Lato"/>
                <w:sz w:val="20"/>
                <w:szCs w:val="20"/>
                <w:lang w:val="pl-PL"/>
              </w:rPr>
              <w:t>ok. km od 0+500- do 1+045</w:t>
            </w:r>
          </w:p>
        </w:tc>
        <w:tc>
          <w:tcPr>
            <w:tcW w:w="1276" w:type="dxa"/>
          </w:tcPr>
          <w:p w14:paraId="60A0A6CA" w14:textId="43C5A790" w:rsidR="006930F3" w:rsidRPr="00E35176" w:rsidRDefault="00D90563" w:rsidP="004C4E3E">
            <w:pPr>
              <w:spacing w:after="240" w:line="240" w:lineRule="exact"/>
              <w:jc w:val="center"/>
              <w:rPr>
                <w:rFonts w:ascii="Lato" w:hAnsi="Lato"/>
                <w:sz w:val="20"/>
                <w:szCs w:val="20"/>
                <w:lang w:val="pl-PL"/>
              </w:rPr>
            </w:pPr>
            <w:r w:rsidRPr="00E35176">
              <w:rPr>
                <w:rFonts w:ascii="Lato" w:hAnsi="Lato"/>
                <w:sz w:val="20"/>
                <w:szCs w:val="20"/>
                <w:lang w:val="pl-PL"/>
              </w:rPr>
              <w:t>Janikowo Obr. 4</w:t>
            </w:r>
          </w:p>
        </w:tc>
        <w:tc>
          <w:tcPr>
            <w:tcW w:w="1171" w:type="dxa"/>
          </w:tcPr>
          <w:p w14:paraId="0E2B6E80" w14:textId="014615B3" w:rsidR="006930F3" w:rsidRPr="00E35176" w:rsidRDefault="00D90563" w:rsidP="004C4E3E">
            <w:pPr>
              <w:spacing w:after="240" w:line="240" w:lineRule="exact"/>
              <w:jc w:val="center"/>
              <w:rPr>
                <w:rFonts w:ascii="Lato" w:hAnsi="Lato"/>
                <w:sz w:val="20"/>
                <w:szCs w:val="20"/>
                <w:lang w:val="pl-PL"/>
              </w:rPr>
            </w:pPr>
            <w:r w:rsidRPr="00E35176">
              <w:rPr>
                <w:rFonts w:ascii="Lato" w:hAnsi="Lato"/>
                <w:sz w:val="20"/>
                <w:szCs w:val="20"/>
                <w:lang w:val="pl-PL"/>
              </w:rPr>
              <w:t>Janikowo</w:t>
            </w:r>
          </w:p>
        </w:tc>
        <w:tc>
          <w:tcPr>
            <w:tcW w:w="2082" w:type="dxa"/>
          </w:tcPr>
          <w:p w14:paraId="333AD32E" w14:textId="42A52C09" w:rsidR="006930F3" w:rsidRPr="001C1C6C" w:rsidRDefault="00D90563" w:rsidP="004C4E3E">
            <w:pPr>
              <w:spacing w:after="240" w:line="240" w:lineRule="exact"/>
              <w:jc w:val="center"/>
              <w:rPr>
                <w:rFonts w:ascii="Lato" w:hAnsi="Lato"/>
                <w:sz w:val="20"/>
                <w:szCs w:val="20"/>
                <w:lang w:val="pl-PL"/>
              </w:rPr>
            </w:pPr>
            <w:r w:rsidRPr="001C1C6C">
              <w:rPr>
                <w:rFonts w:ascii="Lato" w:hAnsi="Lato"/>
                <w:sz w:val="20"/>
                <w:szCs w:val="20"/>
                <w:lang w:val="pl-PL"/>
              </w:rPr>
              <w:t>Skarb Państwa/PKP Polskie Linie Kolejowe S.A.</w:t>
            </w:r>
          </w:p>
        </w:tc>
      </w:tr>
    </w:tbl>
    <w:p w14:paraId="4C2D68C7" w14:textId="4EE538A0" w:rsidR="006930F3" w:rsidRPr="001C1C6C" w:rsidRDefault="004C4E3E" w:rsidP="006930F3">
      <w:pPr>
        <w:spacing w:after="240" w:line="240" w:lineRule="exact"/>
        <w:ind w:left="426"/>
        <w:jc w:val="both"/>
        <w:rPr>
          <w:rFonts w:ascii="Lato" w:hAnsi="Lato"/>
          <w:sz w:val="22"/>
          <w:szCs w:val="22"/>
        </w:rPr>
      </w:pPr>
      <w:r w:rsidRPr="001C1C6C">
        <w:rPr>
          <w:rFonts w:ascii="Lato" w:hAnsi="Lato"/>
          <w:sz w:val="22"/>
          <w:szCs w:val="22"/>
        </w:rPr>
        <w:tab/>
        <w:t xml:space="preserve">                                                        „</w:t>
      </w:r>
    </w:p>
    <w:p w14:paraId="46156C18" w14:textId="555AC043" w:rsidR="00C43FBE" w:rsidRPr="001C1C6C" w:rsidRDefault="00C43FBE" w:rsidP="00C43FBE">
      <w:pPr>
        <w:numPr>
          <w:ilvl w:val="0"/>
          <w:numId w:val="7"/>
        </w:numPr>
        <w:spacing w:after="240" w:line="240" w:lineRule="exact"/>
        <w:ind w:left="426" w:hanging="284"/>
        <w:jc w:val="both"/>
        <w:rPr>
          <w:rFonts w:ascii="Lato" w:hAnsi="Lato"/>
          <w:sz w:val="22"/>
          <w:szCs w:val="22"/>
        </w:rPr>
      </w:pPr>
      <w:r w:rsidRPr="001C1C6C">
        <w:rPr>
          <w:rFonts w:ascii="Lato" w:hAnsi="Lato"/>
          <w:sz w:val="22"/>
          <w:szCs w:val="22"/>
        </w:rPr>
        <w:t xml:space="preserve">ustalenie, w rozstrzygnięciu zaskarżonej decyzji, w miejsce uchylenia na stronie 54, </w:t>
      </w:r>
      <w:r w:rsidR="00E14BAD" w:rsidRPr="001C1C6C">
        <w:rPr>
          <w:rFonts w:ascii="Lato" w:hAnsi="Lato"/>
          <w:sz w:val="22"/>
          <w:szCs w:val="22"/>
        </w:rPr>
        <w:br/>
      </w:r>
      <w:r w:rsidRPr="001C1C6C">
        <w:rPr>
          <w:rFonts w:ascii="Lato" w:hAnsi="Lato"/>
          <w:bCs/>
          <w:sz w:val="22"/>
          <w:szCs w:val="22"/>
        </w:rPr>
        <w:t>w wierszach 17-19, licząc od dołu strony, nowego zapisu</w:t>
      </w:r>
      <w:r w:rsidRPr="001C1C6C">
        <w:rPr>
          <w:rFonts w:ascii="Lato" w:hAnsi="Lato"/>
          <w:sz w:val="22"/>
          <w:szCs w:val="22"/>
        </w:rPr>
        <w:t xml:space="preserve">: </w:t>
      </w:r>
    </w:p>
    <w:p w14:paraId="1EF8B339" w14:textId="158EB9C3" w:rsidR="00C43FBE" w:rsidRPr="001C1C6C" w:rsidRDefault="00C43FBE" w:rsidP="008662A7">
      <w:pPr>
        <w:spacing w:after="240" w:line="240" w:lineRule="exact"/>
        <w:ind w:left="426"/>
        <w:jc w:val="both"/>
        <w:rPr>
          <w:rFonts w:ascii="Lato" w:hAnsi="Lato"/>
          <w:b/>
          <w:sz w:val="22"/>
          <w:szCs w:val="22"/>
        </w:rPr>
      </w:pPr>
      <w:r w:rsidRPr="001C1C6C">
        <w:rPr>
          <w:rFonts w:ascii="Lato" w:hAnsi="Lato"/>
          <w:b/>
          <w:bCs/>
          <w:sz w:val="22"/>
          <w:szCs w:val="22"/>
        </w:rPr>
        <w:t>„</w:t>
      </w:r>
      <w:r w:rsidRPr="001C1C6C">
        <w:rPr>
          <w:rFonts w:ascii="Lato" w:hAnsi="Lato"/>
          <w:bCs/>
          <w:sz w:val="22"/>
          <w:szCs w:val="22"/>
        </w:rPr>
        <w:t xml:space="preserve">Wskazuje się czas ograniczenia sposobu korzystania z nieruchomości wymienionych </w:t>
      </w:r>
      <w:r w:rsidR="00E14BAD" w:rsidRPr="001C1C6C">
        <w:rPr>
          <w:rFonts w:ascii="Lato" w:hAnsi="Lato"/>
          <w:bCs/>
          <w:sz w:val="22"/>
          <w:szCs w:val="22"/>
        </w:rPr>
        <w:br/>
      </w:r>
      <w:r w:rsidRPr="001C1C6C">
        <w:rPr>
          <w:rFonts w:ascii="Lato" w:hAnsi="Lato"/>
          <w:bCs/>
          <w:sz w:val="22"/>
          <w:szCs w:val="22"/>
        </w:rPr>
        <w:t>w Tabeli 13, kolumnie 5 (art. 30 ust. 3 ustawy) do trzech miesięcy od daty uzyskania pozwolenia na użytkowanie, lecz nie później niż do końca 2025 r.</w:t>
      </w:r>
      <w:r w:rsidRPr="001C1C6C">
        <w:rPr>
          <w:rFonts w:ascii="Lato" w:hAnsi="Lato"/>
          <w:b/>
          <w:sz w:val="22"/>
          <w:szCs w:val="22"/>
        </w:rPr>
        <w:t>”,</w:t>
      </w:r>
    </w:p>
    <w:p w14:paraId="6E75E10F" w14:textId="5F06C4ED" w:rsidR="009673DD" w:rsidRPr="001C1C6C" w:rsidRDefault="009673DD" w:rsidP="005F4256">
      <w:pPr>
        <w:pStyle w:val="Akapitzlist"/>
        <w:numPr>
          <w:ilvl w:val="0"/>
          <w:numId w:val="5"/>
        </w:numPr>
        <w:spacing w:after="240" w:line="240" w:lineRule="exact"/>
        <w:ind w:left="426" w:hanging="284"/>
        <w:contextualSpacing w:val="0"/>
        <w:rPr>
          <w:rFonts w:ascii="Lato" w:hAnsi="Lato"/>
          <w:b/>
          <w:bCs/>
          <w:sz w:val="22"/>
          <w:szCs w:val="22"/>
        </w:rPr>
      </w:pPr>
      <w:r w:rsidRPr="001C1C6C">
        <w:rPr>
          <w:rFonts w:ascii="Lato" w:hAnsi="Lato"/>
          <w:b/>
          <w:bCs/>
          <w:sz w:val="22"/>
          <w:szCs w:val="22"/>
        </w:rPr>
        <w:t>W pozostałej części zaskarżoną decyzję utrzymuję w mocy.</w:t>
      </w:r>
    </w:p>
    <w:p w14:paraId="4719FDFA" w14:textId="4BE388F8" w:rsidR="00150DC6" w:rsidRPr="00E64EE8" w:rsidRDefault="00491F0C" w:rsidP="00111E70">
      <w:pPr>
        <w:pStyle w:val="Akapitzlist"/>
        <w:numPr>
          <w:ilvl w:val="0"/>
          <w:numId w:val="5"/>
        </w:numPr>
        <w:spacing w:after="240" w:line="240" w:lineRule="exact"/>
        <w:ind w:left="426" w:hanging="284"/>
        <w:jc w:val="both"/>
        <w:rPr>
          <w:rFonts w:ascii="Lato" w:hAnsi="Lato"/>
          <w:b/>
          <w:bCs/>
          <w:sz w:val="22"/>
          <w:szCs w:val="22"/>
        </w:rPr>
      </w:pPr>
      <w:r w:rsidRPr="001C1C6C">
        <w:rPr>
          <w:rFonts w:ascii="Lato" w:hAnsi="Lato"/>
          <w:b/>
          <w:bCs/>
          <w:sz w:val="22"/>
          <w:szCs w:val="22"/>
        </w:rPr>
        <w:t xml:space="preserve">Umarzam postępowanie odwoławcze w zakresie odwołania </w:t>
      </w:r>
      <w:r w:rsidR="0088787D">
        <w:rPr>
          <w:rFonts w:ascii="Lato" w:hAnsi="Lato"/>
          <w:b/>
          <w:bCs/>
          <w:sz w:val="22"/>
          <w:szCs w:val="22"/>
        </w:rPr>
        <w:t>E.</w:t>
      </w:r>
      <w:r w:rsidRPr="001C1C6C">
        <w:rPr>
          <w:rFonts w:ascii="Lato" w:hAnsi="Lato"/>
          <w:b/>
          <w:bCs/>
          <w:sz w:val="22"/>
          <w:szCs w:val="22"/>
        </w:rPr>
        <w:t xml:space="preserve"> sp. z o.o. z siedzibą w </w:t>
      </w:r>
      <w:r w:rsidR="0088787D">
        <w:rPr>
          <w:rFonts w:ascii="Lato" w:hAnsi="Lato"/>
          <w:b/>
          <w:bCs/>
          <w:sz w:val="22"/>
          <w:szCs w:val="22"/>
        </w:rPr>
        <w:t>B</w:t>
      </w:r>
      <w:r w:rsidRPr="001C1C6C">
        <w:rPr>
          <w:rFonts w:ascii="Lato" w:hAnsi="Lato"/>
          <w:b/>
          <w:bCs/>
          <w:sz w:val="22"/>
          <w:szCs w:val="22"/>
        </w:rPr>
        <w:t>.</w:t>
      </w:r>
    </w:p>
    <w:p w14:paraId="09D77B02" w14:textId="7FCD8A51" w:rsidR="000058A3" w:rsidRPr="001C1C6C" w:rsidRDefault="000058A3" w:rsidP="00E14456">
      <w:pPr>
        <w:spacing w:after="240" w:line="240" w:lineRule="exact"/>
        <w:jc w:val="center"/>
        <w:rPr>
          <w:rFonts w:ascii="Lato" w:hAnsi="Lato" w:cs="Arial"/>
          <w:b/>
          <w:bCs/>
          <w:spacing w:val="4"/>
          <w:sz w:val="22"/>
          <w:szCs w:val="22"/>
        </w:rPr>
      </w:pPr>
      <w:r w:rsidRPr="001C1C6C">
        <w:rPr>
          <w:rFonts w:ascii="Lato" w:hAnsi="Lato" w:cs="Arial"/>
          <w:b/>
          <w:bCs/>
          <w:spacing w:val="4"/>
          <w:sz w:val="22"/>
          <w:szCs w:val="22"/>
        </w:rPr>
        <w:t>UZASADNIENIE</w:t>
      </w:r>
    </w:p>
    <w:p w14:paraId="0C01D6E3" w14:textId="61FE9AE5" w:rsidR="00A95767" w:rsidRPr="001C1C6C" w:rsidRDefault="00707E98" w:rsidP="00F24C6D">
      <w:pPr>
        <w:spacing w:after="240" w:line="240" w:lineRule="exact"/>
        <w:jc w:val="both"/>
        <w:rPr>
          <w:rFonts w:ascii="Lato" w:hAnsi="Lato" w:cs="Arial"/>
          <w:spacing w:val="4"/>
          <w:sz w:val="22"/>
          <w:szCs w:val="22"/>
        </w:rPr>
      </w:pPr>
      <w:r w:rsidRPr="001C1C6C">
        <w:rPr>
          <w:rFonts w:ascii="Lato" w:hAnsi="Lato" w:cs="Arial"/>
          <w:spacing w:val="4"/>
          <w:sz w:val="22"/>
          <w:szCs w:val="22"/>
        </w:rPr>
        <w:t>Inowrocławskie Kopalnie Soli „SOLINO” S.A. z siedzibą w Inowrocławiu</w:t>
      </w:r>
      <w:r w:rsidR="00A95767" w:rsidRPr="001C1C6C">
        <w:rPr>
          <w:rFonts w:ascii="Lato" w:hAnsi="Lato" w:cs="Arial"/>
          <w:spacing w:val="4"/>
          <w:sz w:val="22"/>
          <w:szCs w:val="22"/>
        </w:rPr>
        <w:t xml:space="preserve">, zwana dalej „inwestorem”, </w:t>
      </w:r>
      <w:r w:rsidR="00B66591" w:rsidRPr="001C1C6C">
        <w:rPr>
          <w:rFonts w:ascii="Lato" w:hAnsi="Lato" w:cs="Arial"/>
          <w:spacing w:val="4"/>
          <w:sz w:val="22"/>
          <w:szCs w:val="22"/>
        </w:rPr>
        <w:t xml:space="preserve">reprezentowana przez ustanowionego w sprawie pełnomocnika, </w:t>
      </w:r>
      <w:r w:rsidR="000058A3" w:rsidRPr="00195579">
        <w:rPr>
          <w:rFonts w:ascii="Lato" w:hAnsi="Lato" w:cs="Arial"/>
          <w:spacing w:val="4"/>
          <w:sz w:val="22"/>
          <w:szCs w:val="22"/>
        </w:rPr>
        <w:t xml:space="preserve">wnioskiem z dnia </w:t>
      </w:r>
      <w:r w:rsidRPr="00195579">
        <w:rPr>
          <w:rFonts w:ascii="Lato" w:hAnsi="Lato" w:cs="Arial"/>
          <w:spacing w:val="4"/>
          <w:sz w:val="22"/>
          <w:szCs w:val="22"/>
        </w:rPr>
        <w:t>8 września 2022</w:t>
      </w:r>
      <w:r w:rsidR="000058A3" w:rsidRPr="001C1C6C">
        <w:rPr>
          <w:rFonts w:ascii="Lato" w:hAnsi="Lato" w:cs="Arial"/>
          <w:spacing w:val="4"/>
          <w:sz w:val="22"/>
          <w:szCs w:val="22"/>
        </w:rPr>
        <w:t xml:space="preserve"> r</w:t>
      </w:r>
      <w:r w:rsidR="00A95767" w:rsidRPr="001C1C6C">
        <w:rPr>
          <w:rFonts w:ascii="Lato" w:hAnsi="Lato" w:cs="Arial"/>
          <w:spacing w:val="4"/>
          <w:sz w:val="22"/>
          <w:szCs w:val="22"/>
        </w:rPr>
        <w:t>.</w:t>
      </w:r>
      <w:r w:rsidR="001871FB" w:rsidRPr="001C1C6C">
        <w:rPr>
          <w:rFonts w:ascii="Lato" w:hAnsi="Lato" w:cs="Arial"/>
          <w:spacing w:val="4"/>
          <w:sz w:val="22"/>
          <w:szCs w:val="22"/>
        </w:rPr>
        <w:t>, uzupełnionym w trakcie prowadzonego postępowania,</w:t>
      </w:r>
      <w:r w:rsidR="000058A3" w:rsidRPr="001C1C6C">
        <w:rPr>
          <w:rFonts w:ascii="Lato" w:hAnsi="Lato" w:cs="Arial"/>
          <w:spacing w:val="4"/>
          <w:sz w:val="22"/>
          <w:szCs w:val="22"/>
        </w:rPr>
        <w:t xml:space="preserve"> wystąpił</w:t>
      </w:r>
      <w:r w:rsidR="00992B5B" w:rsidRPr="001C1C6C">
        <w:rPr>
          <w:rFonts w:ascii="Lato" w:hAnsi="Lato" w:cs="Arial"/>
          <w:spacing w:val="4"/>
          <w:sz w:val="22"/>
          <w:szCs w:val="22"/>
        </w:rPr>
        <w:t>a</w:t>
      </w:r>
      <w:r w:rsidR="000058A3" w:rsidRPr="001C1C6C">
        <w:rPr>
          <w:rFonts w:ascii="Lato" w:hAnsi="Lato" w:cs="Arial"/>
          <w:spacing w:val="4"/>
          <w:sz w:val="22"/>
          <w:szCs w:val="22"/>
        </w:rPr>
        <w:t xml:space="preserve"> do Wojewody </w:t>
      </w:r>
      <w:r w:rsidRPr="001C1C6C">
        <w:rPr>
          <w:rFonts w:ascii="Lato" w:hAnsi="Lato" w:cs="Arial"/>
          <w:spacing w:val="4"/>
          <w:sz w:val="22"/>
          <w:szCs w:val="22"/>
        </w:rPr>
        <w:t>Kujawsko-Pomorskiego</w:t>
      </w:r>
      <w:r w:rsidR="000058A3" w:rsidRPr="001C1C6C">
        <w:rPr>
          <w:rFonts w:ascii="Lato" w:eastAsia="Arial Unicode MS" w:hAnsi="Lato" w:cs="Arial"/>
          <w:spacing w:val="4"/>
          <w:sz w:val="22"/>
          <w:szCs w:val="22"/>
        </w:rPr>
        <w:t xml:space="preserve"> </w:t>
      </w:r>
      <w:r w:rsidR="000058A3" w:rsidRPr="001C1C6C">
        <w:rPr>
          <w:rFonts w:ascii="Lato" w:hAnsi="Lato" w:cs="Arial"/>
          <w:spacing w:val="4"/>
          <w:sz w:val="22"/>
          <w:szCs w:val="22"/>
        </w:rPr>
        <w:t xml:space="preserve">o wydanie decyzji </w:t>
      </w:r>
      <w:r w:rsidR="00E14BAD" w:rsidRPr="001C1C6C">
        <w:rPr>
          <w:rFonts w:ascii="Lato" w:hAnsi="Lato" w:cs="Arial"/>
          <w:spacing w:val="4"/>
          <w:sz w:val="22"/>
          <w:szCs w:val="22"/>
        </w:rPr>
        <w:br/>
      </w:r>
      <w:r w:rsidR="000058A3" w:rsidRPr="001C1C6C">
        <w:rPr>
          <w:rFonts w:ascii="Lato" w:hAnsi="Lato" w:cs="Arial"/>
          <w:spacing w:val="4"/>
          <w:sz w:val="22"/>
          <w:szCs w:val="22"/>
        </w:rPr>
        <w:t xml:space="preserve">o ustaleniu lokalizacji </w:t>
      </w:r>
      <w:r w:rsidR="00A95767" w:rsidRPr="001C1C6C">
        <w:rPr>
          <w:rFonts w:ascii="Lato" w:hAnsi="Lato" w:cs="Arial"/>
          <w:spacing w:val="4"/>
          <w:sz w:val="22"/>
          <w:szCs w:val="22"/>
        </w:rPr>
        <w:t>strategicznej inwestycji w sektorze naftowym</w:t>
      </w:r>
      <w:r w:rsidR="00F237D2" w:rsidRPr="001C1C6C">
        <w:rPr>
          <w:rFonts w:ascii="Lato" w:hAnsi="Lato" w:cs="Arial"/>
          <w:spacing w:val="4"/>
          <w:sz w:val="22"/>
          <w:szCs w:val="22"/>
        </w:rPr>
        <w:t xml:space="preserve"> dla zadania pn.: „Wykonanie projektów budowlanych i wykonawczych dla budowy rurociągów pomiędzy infrastrukturą IKS „Solino” S.A. oraz projektów modernizacji istniejących rurociągów” – zadanie 3: Modernizacja istniejących rurociągów wody przemysłowej Wójcin-Przyjma </w:t>
      </w:r>
      <w:r w:rsidR="00E14BAD" w:rsidRPr="001C1C6C">
        <w:rPr>
          <w:rFonts w:ascii="Lato" w:hAnsi="Lato" w:cs="Arial"/>
          <w:spacing w:val="4"/>
          <w:sz w:val="22"/>
          <w:szCs w:val="22"/>
        </w:rPr>
        <w:br/>
      </w:r>
      <w:r w:rsidR="00F237D2" w:rsidRPr="001C1C6C">
        <w:rPr>
          <w:rFonts w:ascii="Lato" w:hAnsi="Lato" w:cs="Arial"/>
          <w:spacing w:val="4"/>
          <w:sz w:val="22"/>
          <w:szCs w:val="22"/>
        </w:rPr>
        <w:t>i solanki Przyjma-Janikowo.</w:t>
      </w:r>
    </w:p>
    <w:p w14:paraId="4E5DD648" w14:textId="3B63C033" w:rsidR="00111E70" w:rsidRPr="001C1C6C" w:rsidRDefault="009A4320" w:rsidP="00F24C6D">
      <w:pPr>
        <w:spacing w:after="240" w:line="240" w:lineRule="exact"/>
        <w:jc w:val="both"/>
        <w:rPr>
          <w:rFonts w:ascii="Lato" w:hAnsi="Lato" w:cs="Arial"/>
          <w:spacing w:val="4"/>
          <w:sz w:val="22"/>
          <w:szCs w:val="22"/>
        </w:rPr>
      </w:pPr>
      <w:r w:rsidRPr="001C1C6C">
        <w:rPr>
          <w:rFonts w:ascii="Lato" w:hAnsi="Lato" w:cs="Arial"/>
          <w:spacing w:val="4"/>
          <w:sz w:val="22"/>
          <w:szCs w:val="22"/>
        </w:rPr>
        <w:t xml:space="preserve">Po przeprowadzeniu postępowania w sprawie ww. wniosku, Wojewoda </w:t>
      </w:r>
      <w:r w:rsidR="00F237D2" w:rsidRPr="001C1C6C">
        <w:rPr>
          <w:rFonts w:ascii="Lato" w:hAnsi="Lato" w:cs="Arial"/>
          <w:spacing w:val="4"/>
          <w:sz w:val="22"/>
          <w:szCs w:val="22"/>
        </w:rPr>
        <w:t>Kujawsko-Pomorski</w:t>
      </w:r>
      <w:r w:rsidRPr="001C1C6C">
        <w:rPr>
          <w:rFonts w:ascii="Lato" w:hAnsi="Lato" w:cs="Arial"/>
          <w:spacing w:val="4"/>
          <w:sz w:val="22"/>
          <w:szCs w:val="22"/>
        </w:rPr>
        <w:t xml:space="preserve"> wydał decyzję </w:t>
      </w:r>
      <w:r w:rsidR="00F237D2" w:rsidRPr="001C1C6C">
        <w:rPr>
          <w:rFonts w:ascii="Lato" w:hAnsi="Lato" w:cs="Arial"/>
          <w:spacing w:val="4"/>
          <w:sz w:val="22"/>
          <w:szCs w:val="22"/>
        </w:rPr>
        <w:t xml:space="preserve">nr 16/2022 z dnia 21 grudnia 2022 r., znak: WIR.II.747.3.2.2022.EP, o ustaleniu lokalizacji strategicznej inwestycji w sektorze naftowym dla zadania pn.: „Wykonanie projektów budowlanych i wykonawczych dla budowy rurociągów pomiędzy infrastrukturą IKS „Solino” S.A. oraz projektów modernizacji istniejących rurociągów” – zadanie 3: Modernizacja istniejących rurociągów wody przemysłowej Wójcin-Przyjma i solanki Przyjma-Janikowo, </w:t>
      </w:r>
      <w:r w:rsidR="00C510B2" w:rsidRPr="001C1C6C">
        <w:rPr>
          <w:rFonts w:ascii="Lato" w:hAnsi="Lato" w:cs="Arial"/>
          <w:spacing w:val="4"/>
          <w:sz w:val="22"/>
          <w:szCs w:val="22"/>
        </w:rPr>
        <w:t>zwan</w:t>
      </w:r>
      <w:r w:rsidR="00992B5B" w:rsidRPr="001C1C6C">
        <w:rPr>
          <w:rFonts w:ascii="Lato" w:hAnsi="Lato" w:cs="Arial"/>
          <w:spacing w:val="4"/>
          <w:sz w:val="22"/>
          <w:szCs w:val="22"/>
        </w:rPr>
        <w:t xml:space="preserve">ą </w:t>
      </w:r>
      <w:r w:rsidR="00C510B2" w:rsidRPr="001C1C6C">
        <w:rPr>
          <w:rFonts w:ascii="Lato" w:hAnsi="Lato" w:cs="Arial"/>
          <w:spacing w:val="4"/>
          <w:sz w:val="22"/>
          <w:szCs w:val="22"/>
        </w:rPr>
        <w:t xml:space="preserve">dalej „decyzją Wojewody </w:t>
      </w:r>
      <w:r w:rsidR="00F237D2" w:rsidRPr="001C1C6C">
        <w:rPr>
          <w:rFonts w:ascii="Lato" w:hAnsi="Lato" w:cs="Arial"/>
          <w:spacing w:val="4"/>
          <w:sz w:val="22"/>
          <w:szCs w:val="22"/>
        </w:rPr>
        <w:t>Kujawsko-Pomorskiego</w:t>
      </w:r>
      <w:r w:rsidR="00C510B2" w:rsidRPr="001C1C6C">
        <w:rPr>
          <w:rFonts w:ascii="Lato" w:hAnsi="Lato" w:cs="Arial"/>
          <w:spacing w:val="4"/>
          <w:sz w:val="22"/>
          <w:szCs w:val="22"/>
        </w:rPr>
        <w:t xml:space="preserve">”. </w:t>
      </w:r>
    </w:p>
    <w:p w14:paraId="13530E34" w14:textId="11E72E4B" w:rsidR="00D55C40" w:rsidRPr="0053393F" w:rsidRDefault="009A4320" w:rsidP="0053393F">
      <w:pPr>
        <w:spacing w:after="240" w:line="240" w:lineRule="exact"/>
        <w:jc w:val="both"/>
        <w:outlineLvl w:val="0"/>
        <w:rPr>
          <w:rFonts w:ascii="Lato" w:eastAsiaTheme="minorHAnsi" w:hAnsi="Lato" w:cs="Arial"/>
          <w:spacing w:val="4"/>
          <w:sz w:val="22"/>
          <w:szCs w:val="22"/>
          <w:lang w:eastAsia="en-US"/>
        </w:rPr>
      </w:pPr>
      <w:r w:rsidRPr="001C1C6C">
        <w:rPr>
          <w:rFonts w:ascii="Lato" w:hAnsi="Lato" w:cstheme="minorHAnsi"/>
          <w:spacing w:val="4"/>
          <w:sz w:val="22"/>
          <w:szCs w:val="22"/>
        </w:rPr>
        <w:lastRenderedPageBreak/>
        <w:t xml:space="preserve">Od decyzji Wojewody </w:t>
      </w:r>
      <w:r w:rsidR="00F237D2" w:rsidRPr="001C1C6C">
        <w:rPr>
          <w:rFonts w:ascii="Lato" w:hAnsi="Lato" w:cstheme="minorHAnsi"/>
          <w:spacing w:val="4"/>
          <w:sz w:val="22"/>
          <w:szCs w:val="22"/>
        </w:rPr>
        <w:t>Kujawsko-Pomorskiego</w:t>
      </w:r>
      <w:r w:rsidRPr="001C1C6C">
        <w:rPr>
          <w:rFonts w:ascii="Lato" w:hAnsi="Lato" w:cstheme="minorHAnsi"/>
          <w:spacing w:val="4"/>
          <w:sz w:val="22"/>
          <w:szCs w:val="22"/>
        </w:rPr>
        <w:t xml:space="preserve"> odwołani</w:t>
      </w:r>
      <w:r w:rsidR="00B66591" w:rsidRPr="001C1C6C">
        <w:rPr>
          <w:rFonts w:ascii="Lato" w:hAnsi="Lato" w:cstheme="minorHAnsi"/>
          <w:spacing w:val="4"/>
          <w:sz w:val="22"/>
          <w:szCs w:val="22"/>
        </w:rPr>
        <w:t>a</w:t>
      </w:r>
      <w:r w:rsidRPr="001C1C6C">
        <w:rPr>
          <w:rFonts w:ascii="Lato" w:hAnsi="Lato" w:cstheme="minorHAnsi"/>
          <w:spacing w:val="4"/>
          <w:sz w:val="22"/>
          <w:szCs w:val="22"/>
        </w:rPr>
        <w:t xml:space="preserve">, za pośrednictwem organu pierwszej instancji, </w:t>
      </w:r>
      <w:r w:rsidR="005E6E77" w:rsidRPr="001C1C6C">
        <w:rPr>
          <w:rFonts w:ascii="Lato" w:hAnsi="Lato" w:cstheme="minorHAnsi"/>
          <w:spacing w:val="4"/>
          <w:sz w:val="22"/>
          <w:szCs w:val="22"/>
        </w:rPr>
        <w:t>wni</w:t>
      </w:r>
      <w:r w:rsidR="000E236F" w:rsidRPr="001C1C6C">
        <w:rPr>
          <w:rFonts w:ascii="Lato" w:hAnsi="Lato" w:cstheme="minorHAnsi"/>
          <w:spacing w:val="4"/>
          <w:sz w:val="22"/>
          <w:szCs w:val="22"/>
        </w:rPr>
        <w:t>osły:</w:t>
      </w:r>
      <w:r w:rsidR="00D55C40" w:rsidRPr="001C1C6C">
        <w:rPr>
          <w:rFonts w:ascii="Lato" w:hAnsi="Lato" w:cs="Arial"/>
          <w:bCs/>
          <w:spacing w:val="4"/>
          <w:sz w:val="22"/>
          <w:szCs w:val="22"/>
        </w:rPr>
        <w:t xml:space="preserve"> PKP S.A. z siedzibą w Warszawie, reprezentowana przez r. pr. </w:t>
      </w:r>
      <w:r w:rsidR="0088787D">
        <w:rPr>
          <w:rFonts w:ascii="Lato" w:hAnsi="Lato" w:cs="Arial"/>
          <w:bCs/>
          <w:spacing w:val="4"/>
          <w:sz w:val="22"/>
          <w:szCs w:val="22"/>
        </w:rPr>
        <w:t>N.</w:t>
      </w:r>
      <w:r w:rsidR="00D55C40" w:rsidRPr="001C1C6C">
        <w:rPr>
          <w:rFonts w:ascii="Lato" w:hAnsi="Lato" w:cs="Arial"/>
          <w:bCs/>
          <w:spacing w:val="4"/>
          <w:sz w:val="22"/>
          <w:szCs w:val="22"/>
        </w:rPr>
        <w:t xml:space="preserve"> </w:t>
      </w:r>
      <w:r w:rsidR="0088787D">
        <w:rPr>
          <w:rFonts w:ascii="Lato" w:hAnsi="Lato" w:cs="Arial"/>
          <w:bCs/>
          <w:spacing w:val="4"/>
          <w:sz w:val="22"/>
          <w:szCs w:val="22"/>
        </w:rPr>
        <w:t>P.</w:t>
      </w:r>
      <w:r w:rsidR="00D55C40" w:rsidRPr="001C1C6C">
        <w:rPr>
          <w:rFonts w:ascii="Lato" w:hAnsi="Lato" w:cs="Arial"/>
          <w:bCs/>
          <w:spacing w:val="4"/>
          <w:sz w:val="22"/>
          <w:szCs w:val="22"/>
        </w:rPr>
        <w:t xml:space="preserve"> oraz </w:t>
      </w:r>
      <w:r w:rsidR="0088787D">
        <w:rPr>
          <w:rFonts w:ascii="Lato" w:hAnsi="Lato" w:cs="Arial"/>
          <w:bCs/>
          <w:spacing w:val="4"/>
          <w:sz w:val="22"/>
          <w:szCs w:val="22"/>
        </w:rPr>
        <w:t>E.</w:t>
      </w:r>
      <w:r w:rsidR="00D55C40" w:rsidRPr="001C1C6C">
        <w:rPr>
          <w:rFonts w:ascii="Lato" w:hAnsi="Lato" w:cs="Arial"/>
          <w:bCs/>
          <w:spacing w:val="4"/>
          <w:sz w:val="22"/>
          <w:szCs w:val="22"/>
        </w:rPr>
        <w:t xml:space="preserve"> sp. z o.o. z siedzibą w </w:t>
      </w:r>
      <w:r w:rsidR="0088787D">
        <w:rPr>
          <w:rFonts w:ascii="Lato" w:hAnsi="Lato" w:cs="Arial"/>
          <w:bCs/>
          <w:spacing w:val="4"/>
          <w:sz w:val="22"/>
          <w:szCs w:val="22"/>
        </w:rPr>
        <w:t>B.</w:t>
      </w:r>
      <w:r w:rsidR="00D55C40" w:rsidRPr="001C1C6C">
        <w:rPr>
          <w:rFonts w:ascii="Lato" w:hAnsi="Lato" w:cs="Arial"/>
          <w:bCs/>
          <w:spacing w:val="4"/>
          <w:sz w:val="22"/>
          <w:szCs w:val="22"/>
        </w:rPr>
        <w:t xml:space="preserve">, reprezentowana przez r. pr. </w:t>
      </w:r>
      <w:r w:rsidR="0088787D">
        <w:rPr>
          <w:rFonts w:ascii="Lato" w:hAnsi="Lato" w:cs="Arial"/>
          <w:bCs/>
          <w:spacing w:val="4"/>
          <w:sz w:val="22"/>
          <w:szCs w:val="22"/>
        </w:rPr>
        <w:t>E.</w:t>
      </w:r>
      <w:r w:rsidR="00D55C40" w:rsidRPr="001C1C6C">
        <w:rPr>
          <w:rFonts w:ascii="Lato" w:hAnsi="Lato" w:cs="Arial"/>
          <w:bCs/>
          <w:spacing w:val="4"/>
          <w:sz w:val="22"/>
          <w:szCs w:val="22"/>
        </w:rPr>
        <w:t xml:space="preserve"> </w:t>
      </w:r>
      <w:r w:rsidR="0088787D">
        <w:rPr>
          <w:rFonts w:ascii="Lato" w:hAnsi="Lato" w:cs="Arial"/>
          <w:bCs/>
          <w:spacing w:val="4"/>
          <w:sz w:val="22"/>
          <w:szCs w:val="22"/>
        </w:rPr>
        <w:t>K</w:t>
      </w:r>
      <w:r w:rsidR="00D55C40" w:rsidRPr="001C1C6C">
        <w:rPr>
          <w:rFonts w:ascii="Lato" w:hAnsi="Lato" w:cstheme="minorHAnsi"/>
          <w:spacing w:val="4"/>
          <w:sz w:val="22"/>
          <w:szCs w:val="22"/>
        </w:rPr>
        <w:t>.</w:t>
      </w:r>
      <w:r w:rsidR="00D55C40" w:rsidRPr="001C1C6C">
        <w:rPr>
          <w:rFonts w:ascii="Lato" w:hAnsi="Lato" w:cs="Arial"/>
          <w:spacing w:val="4"/>
          <w:sz w:val="22"/>
          <w:szCs w:val="22"/>
        </w:rPr>
        <w:t xml:space="preserve"> Powyższe odwołania zostały wniesione w terminie. </w:t>
      </w:r>
    </w:p>
    <w:p w14:paraId="551B3BE9" w14:textId="5BF8D09A" w:rsidR="000E236F" w:rsidRPr="001C1C6C" w:rsidRDefault="000E236F" w:rsidP="006B6B99">
      <w:pPr>
        <w:spacing w:after="240" w:line="240" w:lineRule="exact"/>
        <w:jc w:val="both"/>
        <w:outlineLvl w:val="0"/>
        <w:rPr>
          <w:rFonts w:ascii="Lato" w:eastAsiaTheme="minorHAnsi" w:hAnsi="Lato" w:cs="Arial"/>
          <w:spacing w:val="4"/>
          <w:sz w:val="22"/>
          <w:szCs w:val="22"/>
          <w:lang w:eastAsia="en-US"/>
        </w:rPr>
      </w:pPr>
      <w:r w:rsidRPr="001C1C6C">
        <w:rPr>
          <w:rFonts w:ascii="Lato" w:eastAsiaTheme="minorHAnsi" w:hAnsi="Lato" w:cs="Arial"/>
          <w:spacing w:val="4"/>
          <w:sz w:val="22"/>
          <w:szCs w:val="22"/>
          <w:lang w:eastAsia="en-US"/>
        </w:rPr>
        <w:t>Ponadto</w:t>
      </w:r>
      <w:r w:rsidR="008B4B1A" w:rsidRPr="001C1C6C">
        <w:rPr>
          <w:rFonts w:ascii="Lato" w:eastAsiaTheme="minorHAnsi" w:hAnsi="Lato" w:cs="Arial"/>
          <w:spacing w:val="4"/>
          <w:sz w:val="22"/>
          <w:szCs w:val="22"/>
          <w:lang w:eastAsia="en-US"/>
        </w:rPr>
        <w:t xml:space="preserve"> odrębnymi pismami Minister Rozwoju i Technologii, </w:t>
      </w:r>
      <w:r w:rsidRPr="001C1C6C">
        <w:rPr>
          <w:rFonts w:ascii="Lato" w:eastAsiaTheme="minorHAnsi" w:hAnsi="Lato" w:cs="Arial"/>
          <w:spacing w:val="4"/>
          <w:sz w:val="22"/>
          <w:szCs w:val="22"/>
          <w:lang w:eastAsia="en-US"/>
        </w:rPr>
        <w:t xml:space="preserve">działając na podstawie art. 64 § 2 kpa, pozostawił bez rozpoznania odwołania wniesione przez </w:t>
      </w:r>
      <w:r w:rsidR="008B4B1A" w:rsidRPr="001C1C6C">
        <w:rPr>
          <w:rFonts w:ascii="Lato" w:eastAsiaTheme="minorHAnsi" w:hAnsi="Lato" w:cs="Arial"/>
          <w:spacing w:val="4"/>
          <w:sz w:val="22"/>
          <w:szCs w:val="22"/>
          <w:lang w:eastAsia="en-US"/>
        </w:rPr>
        <w:t xml:space="preserve">inne strony postępowania. </w:t>
      </w:r>
    </w:p>
    <w:p w14:paraId="735ABD0D" w14:textId="77777777" w:rsidR="00D55C40" w:rsidRPr="001C1C6C" w:rsidRDefault="00D55C40" w:rsidP="006B6B99">
      <w:pPr>
        <w:spacing w:after="240" w:line="240" w:lineRule="exact"/>
        <w:jc w:val="both"/>
        <w:outlineLvl w:val="0"/>
        <w:rPr>
          <w:rFonts w:ascii="Lato" w:eastAsiaTheme="minorHAnsi" w:hAnsi="Lato" w:cs="Arial"/>
          <w:spacing w:val="4"/>
          <w:sz w:val="22"/>
          <w:szCs w:val="22"/>
          <w:lang w:eastAsia="en-US"/>
        </w:rPr>
      </w:pPr>
      <w:r w:rsidRPr="001C1C6C">
        <w:rPr>
          <w:rFonts w:ascii="Lato" w:eastAsiaTheme="minorHAnsi" w:hAnsi="Lato" w:cs="Arial"/>
          <w:spacing w:val="4"/>
          <w:sz w:val="22"/>
          <w:szCs w:val="22"/>
          <w:lang w:eastAsia="en-US"/>
        </w:rPr>
        <w:t xml:space="preserve">Na wstępie wyjaśnić należy, iż właściwym w przedmiotowej sprawie - stosownie do treści rozporządzenia Prezesa Rady Ministrów z dnia 25 lipca 2025 r. w sprawie szczegółowego zakresu działania Ministra Finansów i Gospodarki (Dz.U. z 2025 r. poz. 997) - jest obecnie Minister Finansów i Gospodarki, zwany dalej „Ministrem”. Natomiast zgodnie § 1 ust. 4 pkt 1 lit. a i b ww. rozporządzenia Prezesa Rady Ministrów z dnia 25 lipca 2025 r. obsługę Ministra zapewnia Ministerstwo Rozwoju i Technologii w zakresie działów administracji rządowej: budownictwo, planowanie i zagospodarowanie przestrzenne oraz mieszkalnictwo; gospodarka. </w:t>
      </w:r>
    </w:p>
    <w:p w14:paraId="6B02A7A5" w14:textId="27DA0E13" w:rsidR="00E215B9" w:rsidRPr="001C1C6C" w:rsidRDefault="00E215B9" w:rsidP="006B6B99">
      <w:pPr>
        <w:spacing w:after="240" w:line="240" w:lineRule="exact"/>
        <w:jc w:val="both"/>
        <w:outlineLvl w:val="0"/>
        <w:rPr>
          <w:rFonts w:ascii="Lato" w:eastAsiaTheme="minorHAnsi" w:hAnsi="Lato" w:cs="Arial"/>
          <w:spacing w:val="4"/>
          <w:sz w:val="22"/>
          <w:szCs w:val="22"/>
          <w:lang w:eastAsia="en-US"/>
        </w:rPr>
      </w:pPr>
      <w:r w:rsidRPr="001C1C6C">
        <w:rPr>
          <w:rFonts w:ascii="Lato" w:eastAsiaTheme="minorHAnsi" w:hAnsi="Lato" w:cs="Arial"/>
          <w:spacing w:val="4"/>
          <w:sz w:val="22"/>
          <w:szCs w:val="22"/>
          <w:lang w:eastAsia="en-US"/>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7F30D6" w:rsidRPr="001C1C6C">
        <w:rPr>
          <w:rFonts w:ascii="Lato" w:eastAsiaTheme="minorHAnsi" w:hAnsi="Lato" w:cs="Arial"/>
          <w:spacing w:val="4"/>
          <w:sz w:val="22"/>
          <w:szCs w:val="22"/>
          <w:lang w:eastAsia="en-US"/>
        </w:rPr>
        <w:br/>
      </w:r>
      <w:r w:rsidRPr="001C1C6C">
        <w:rPr>
          <w:rFonts w:ascii="Lato" w:eastAsiaTheme="minorHAnsi" w:hAnsi="Lato" w:cs="Arial"/>
          <w:spacing w:val="4"/>
          <w:sz w:val="22"/>
          <w:szCs w:val="22"/>
          <w:lang w:eastAsia="en-US"/>
        </w:rPr>
        <w:t xml:space="preserve">na niewłaściwej ocenie okoliczności faktycznych. </w:t>
      </w:r>
      <w:bookmarkStart w:id="4" w:name="_Hlk144798035"/>
      <w:r w:rsidRPr="001C1C6C">
        <w:rPr>
          <w:rFonts w:ascii="Lato" w:eastAsiaTheme="minorHAnsi" w:hAnsi="Lato" w:cs="Arial"/>
          <w:spacing w:val="4"/>
          <w:sz w:val="22"/>
          <w:szCs w:val="22"/>
          <w:lang w:eastAsia="en-US"/>
        </w:rPr>
        <w:t xml:space="preserve">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kpa. Dlatego też trafność rozstrzygnięcia </w:t>
      </w:r>
      <w:r w:rsidR="007F30D6" w:rsidRPr="001C1C6C">
        <w:rPr>
          <w:rFonts w:ascii="Lato" w:eastAsiaTheme="minorHAnsi" w:hAnsi="Lato" w:cs="Arial"/>
          <w:spacing w:val="4"/>
          <w:sz w:val="22"/>
          <w:szCs w:val="22"/>
          <w:lang w:eastAsia="en-US"/>
        </w:rPr>
        <w:br/>
      </w:r>
      <w:r w:rsidRPr="001C1C6C">
        <w:rPr>
          <w:rFonts w:ascii="Lato" w:eastAsiaTheme="minorHAnsi" w:hAnsi="Lato" w:cs="Arial"/>
          <w:spacing w:val="4"/>
          <w:sz w:val="22"/>
          <w:szCs w:val="22"/>
          <w:lang w:eastAsia="en-US"/>
        </w:rPr>
        <w:t xml:space="preserve">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w:t>
      </w:r>
      <w:r w:rsidR="008B4B1A" w:rsidRPr="001C1C6C">
        <w:rPr>
          <w:rFonts w:ascii="Lato" w:eastAsiaTheme="minorHAnsi" w:hAnsi="Lato" w:cs="Arial"/>
          <w:spacing w:val="4"/>
          <w:sz w:val="22"/>
          <w:szCs w:val="22"/>
          <w:lang w:eastAsia="en-US"/>
        </w:rPr>
        <w:t>działań</w:t>
      </w:r>
      <w:r w:rsidRPr="001C1C6C">
        <w:rPr>
          <w:rFonts w:ascii="Lato" w:eastAsiaTheme="minorHAnsi" w:hAnsi="Lato" w:cs="Arial"/>
          <w:spacing w:val="4"/>
          <w:sz w:val="22"/>
          <w:szCs w:val="22"/>
          <w:lang w:eastAsia="en-US"/>
        </w:rPr>
        <w:t xml:space="preserve"> niezbędnych do dokładnego wyjaśnienia stanu faktycznego.</w:t>
      </w:r>
    </w:p>
    <w:bookmarkEnd w:id="4"/>
    <w:p w14:paraId="5FE65867" w14:textId="0B6AA74A" w:rsidR="00E215B9" w:rsidRPr="001C1C6C" w:rsidRDefault="00E215B9" w:rsidP="00F24C6D">
      <w:pPr>
        <w:spacing w:after="240" w:line="240" w:lineRule="exact"/>
        <w:jc w:val="both"/>
        <w:outlineLvl w:val="0"/>
        <w:rPr>
          <w:rFonts w:ascii="Lato" w:eastAsiaTheme="minorHAnsi" w:hAnsi="Lato" w:cs="Arial"/>
          <w:spacing w:val="4"/>
          <w:sz w:val="22"/>
          <w:szCs w:val="22"/>
          <w:lang w:eastAsia="en-US"/>
        </w:rPr>
      </w:pPr>
      <w:r w:rsidRPr="001C1C6C">
        <w:rPr>
          <w:rFonts w:ascii="Lato" w:eastAsiaTheme="minorHAnsi" w:hAnsi="Lato" w:cs="Arial"/>
          <w:spacing w:val="4"/>
          <w:sz w:val="22"/>
          <w:szCs w:val="22"/>
          <w:lang w:eastAsia="en-US"/>
        </w:rPr>
        <w:t xml:space="preserve">Mając na uwadze powyższe, w trakcie przeprowadzonego postępowania odwoławczego Minister rozpatrzył ponownie wniosek inwestora o wydanie przedmiotowej decyzji, przeanalizował materiał dowodowy zgromadzony przez Wojewodę </w:t>
      </w:r>
      <w:r w:rsidR="008B4B1A" w:rsidRPr="001C1C6C">
        <w:rPr>
          <w:rFonts w:ascii="Lato" w:eastAsiaTheme="minorHAnsi" w:hAnsi="Lato" w:cs="Arial"/>
          <w:spacing w:val="4"/>
          <w:sz w:val="22"/>
          <w:szCs w:val="22"/>
          <w:lang w:eastAsia="en-US"/>
        </w:rPr>
        <w:t>Kujawsko-Pomorskiego</w:t>
      </w:r>
      <w:r w:rsidRPr="001C1C6C">
        <w:rPr>
          <w:rFonts w:ascii="Lato" w:eastAsiaTheme="minorHAnsi" w:hAnsi="Lato" w:cs="Arial"/>
          <w:spacing w:val="4"/>
          <w:sz w:val="22"/>
          <w:szCs w:val="22"/>
          <w:lang w:eastAsia="en-US"/>
        </w:rPr>
        <w:t xml:space="preserve">, w tym zbadał poprawność postępowania organu pierwszej instancji oraz poprawność kończącej to postępowanie decyzji Wojewody </w:t>
      </w:r>
      <w:r w:rsidR="008B4B1A" w:rsidRPr="001C1C6C">
        <w:rPr>
          <w:rFonts w:ascii="Lato" w:eastAsiaTheme="minorHAnsi" w:hAnsi="Lato" w:cs="Arial"/>
          <w:spacing w:val="4"/>
          <w:sz w:val="22"/>
          <w:szCs w:val="22"/>
          <w:lang w:eastAsia="en-US"/>
        </w:rPr>
        <w:t>Kujawsko-Pomorskieg</w:t>
      </w:r>
      <w:r w:rsidR="00470295" w:rsidRPr="001C1C6C">
        <w:rPr>
          <w:rFonts w:ascii="Lato" w:eastAsiaTheme="minorHAnsi" w:hAnsi="Lato" w:cs="Arial"/>
          <w:spacing w:val="4"/>
          <w:sz w:val="22"/>
          <w:szCs w:val="22"/>
          <w:lang w:eastAsia="en-US"/>
        </w:rPr>
        <w:t>o</w:t>
      </w:r>
      <w:r w:rsidRPr="001C1C6C">
        <w:rPr>
          <w:rFonts w:ascii="Lato" w:eastAsiaTheme="minorHAnsi" w:hAnsi="Lato" w:cs="Arial"/>
          <w:spacing w:val="4"/>
          <w:sz w:val="22"/>
          <w:szCs w:val="22"/>
          <w:lang w:eastAsia="en-US"/>
        </w:rPr>
        <w:t xml:space="preserve">, jak również rozpatrzył zarzuty </w:t>
      </w:r>
      <w:r w:rsidR="008B4B1A" w:rsidRPr="001C1C6C">
        <w:rPr>
          <w:rFonts w:ascii="Lato" w:eastAsiaTheme="minorHAnsi" w:hAnsi="Lato" w:cs="Arial"/>
          <w:spacing w:val="4"/>
          <w:sz w:val="22"/>
          <w:szCs w:val="22"/>
          <w:lang w:eastAsia="en-US"/>
        </w:rPr>
        <w:t>strony skarżącej</w:t>
      </w:r>
      <w:r w:rsidRPr="001C1C6C">
        <w:rPr>
          <w:rFonts w:ascii="Lato" w:eastAsiaTheme="minorHAnsi" w:hAnsi="Lato" w:cs="Arial"/>
          <w:spacing w:val="4"/>
          <w:sz w:val="22"/>
          <w:szCs w:val="22"/>
          <w:lang w:eastAsia="en-US"/>
        </w:rPr>
        <w:t>.</w:t>
      </w:r>
    </w:p>
    <w:p w14:paraId="3342D704" w14:textId="6DDD0684" w:rsidR="000439C9" w:rsidRPr="001C1C6C" w:rsidRDefault="00470295" w:rsidP="000439C9">
      <w:pPr>
        <w:spacing w:after="240" w:line="240" w:lineRule="exact"/>
        <w:jc w:val="both"/>
        <w:outlineLvl w:val="0"/>
        <w:rPr>
          <w:rFonts w:ascii="Lato" w:eastAsia="Calibri" w:hAnsi="Lato" w:cs="Arial"/>
          <w:spacing w:val="4"/>
          <w:sz w:val="22"/>
          <w:szCs w:val="22"/>
          <w:lang w:eastAsia="en-US"/>
        </w:rPr>
      </w:pPr>
      <w:r w:rsidRPr="001C1C6C">
        <w:rPr>
          <w:rFonts w:ascii="Lato" w:eastAsia="Calibri" w:hAnsi="Lato" w:cs="Arial"/>
          <w:spacing w:val="4"/>
          <w:sz w:val="22"/>
          <w:szCs w:val="22"/>
          <w:lang w:eastAsia="en-US"/>
        </w:rPr>
        <w:t xml:space="preserve">Stosownie do treści art. 3 ust. 1 w zw. z art. 1 ust. 2 pkt 2 specustawy naftowej </w:t>
      </w:r>
      <w:r w:rsidRPr="001C1C6C">
        <w:rPr>
          <w:rFonts w:ascii="Lato" w:eastAsia="Calibri" w:hAnsi="Lato" w:cs="Arial"/>
          <w:spacing w:val="4"/>
          <w:sz w:val="22"/>
          <w:szCs w:val="22"/>
          <w:lang w:eastAsia="en-US"/>
        </w:rPr>
        <w:br/>
        <w:t xml:space="preserve">z wnioskiem do Wojewody </w:t>
      </w:r>
      <w:r w:rsidR="008B4B1A" w:rsidRPr="001C1C6C">
        <w:rPr>
          <w:rFonts w:ascii="Lato" w:eastAsia="Calibri" w:hAnsi="Lato" w:cs="Arial"/>
          <w:spacing w:val="4"/>
          <w:sz w:val="22"/>
          <w:szCs w:val="22"/>
          <w:lang w:eastAsia="en-US"/>
        </w:rPr>
        <w:t>Kujawsko-Pomorskiego</w:t>
      </w:r>
      <w:r w:rsidRPr="001C1C6C">
        <w:rPr>
          <w:rFonts w:ascii="Lato" w:eastAsia="Calibri" w:hAnsi="Lato" w:cs="Arial"/>
          <w:spacing w:val="4"/>
          <w:sz w:val="22"/>
          <w:szCs w:val="22"/>
          <w:lang w:eastAsia="en-US"/>
        </w:rPr>
        <w:t xml:space="preserve"> o wydanie decyzji o ustaleniu lokalizacji strategicznej inwestycji w sektorze naftowym wystąpił uprawniony do tego podmiot, </w:t>
      </w:r>
      <w:r w:rsidR="009E2584" w:rsidRPr="001C1C6C">
        <w:rPr>
          <w:rFonts w:ascii="Lato" w:eastAsia="Calibri" w:hAnsi="Lato" w:cs="Arial"/>
          <w:spacing w:val="4"/>
          <w:sz w:val="22"/>
          <w:szCs w:val="22"/>
          <w:lang w:eastAsia="en-US"/>
        </w:rPr>
        <w:t xml:space="preserve">tj. </w:t>
      </w:r>
      <w:r w:rsidR="009E2584" w:rsidRPr="001C1C6C">
        <w:rPr>
          <w:rFonts w:ascii="Lato" w:hAnsi="Lato" w:cs="Arial"/>
          <w:spacing w:val="4"/>
          <w:sz w:val="22"/>
          <w:szCs w:val="22"/>
        </w:rPr>
        <w:t xml:space="preserve">Inowrocławskie Kopalnie Soli „SOLINO” S.A. z siedzibą w Inowrocławiu. </w:t>
      </w:r>
      <w:r w:rsidR="00B95D3B" w:rsidRPr="001C1C6C">
        <w:rPr>
          <w:rFonts w:ascii="Lato" w:hAnsi="Lato" w:cs="Arial"/>
          <w:spacing w:val="4"/>
          <w:sz w:val="22"/>
          <w:szCs w:val="22"/>
        </w:rPr>
        <w:t>Wyjaśnienia wymaga okoliczność, że</w:t>
      </w:r>
      <w:r w:rsidR="00CD3FC9" w:rsidRPr="001C1C6C">
        <w:rPr>
          <w:rFonts w:ascii="Lato" w:hAnsi="Lato" w:cs="Arial"/>
          <w:spacing w:val="4"/>
          <w:sz w:val="22"/>
          <w:szCs w:val="22"/>
        </w:rPr>
        <w:t xml:space="preserve"> </w:t>
      </w:r>
      <w:r w:rsidR="009E2584" w:rsidRPr="001C1C6C">
        <w:rPr>
          <w:rFonts w:ascii="Lato" w:hAnsi="Lato" w:cs="Arial"/>
          <w:spacing w:val="4"/>
          <w:sz w:val="22"/>
          <w:szCs w:val="22"/>
        </w:rPr>
        <w:t xml:space="preserve">ówczesny Polski Koncern Naftowy Orlen S.A. z siedzibą w Płocku, który posiada status inwestora na gruncie art. 1 ust. 2 pkt 2 lit. b specustawy naftowej jako podmiot prowadzący działalność w zakresie magazynowania produktów naftowych na podstawie koncesji udzielonej zgodnie z ustawą z dnia 10 kwietnia 1997 r. - Prawo energetyczne lub magazynowania ropy naftowej </w:t>
      </w:r>
      <w:r w:rsidR="00D63540">
        <w:rPr>
          <w:rFonts w:ascii="Lato" w:hAnsi="Lato" w:cs="Arial"/>
          <w:spacing w:val="4"/>
          <w:sz w:val="22"/>
          <w:szCs w:val="22"/>
        </w:rPr>
        <w:t>w</w:t>
      </w:r>
      <w:r w:rsidR="009E2584" w:rsidRPr="001C1C6C">
        <w:rPr>
          <w:rFonts w:ascii="Lato" w:hAnsi="Lato" w:cs="Arial"/>
          <w:spacing w:val="4"/>
          <w:sz w:val="22"/>
          <w:szCs w:val="22"/>
        </w:rPr>
        <w:t xml:space="preserve"> bezzbiornikowych pojemnościach wykorzystywanych jako magazyn, o którym mowa w </w:t>
      </w:r>
      <w:hyperlink r:id="rId8" w:history="1">
        <w:r w:rsidR="009E2584" w:rsidRPr="001C1C6C">
          <w:rPr>
            <w:rStyle w:val="Hipercze"/>
            <w:rFonts w:ascii="Lato" w:hAnsi="Lato" w:cs="Arial"/>
            <w:color w:val="auto"/>
            <w:spacing w:val="4"/>
            <w:sz w:val="22"/>
            <w:szCs w:val="22"/>
            <w:u w:val="none"/>
          </w:rPr>
          <w:t>art. 2 ust. 1 pkt 30</w:t>
        </w:r>
      </w:hyperlink>
      <w:r w:rsidR="009E2584" w:rsidRPr="001C1C6C">
        <w:rPr>
          <w:rFonts w:ascii="Lato" w:hAnsi="Lato" w:cs="Arial"/>
          <w:spacing w:val="4"/>
          <w:sz w:val="22"/>
          <w:szCs w:val="22"/>
        </w:rPr>
        <w:t xml:space="preserve"> ustawy z dnia 16 lutego 2007 r. o zapasach ropy naftowej, produktów naftowych i gazu ziemnego oraz zasadach postępowania w sytuacjach zagrożenia bezpieczeństwa paliwowego państwa i zakłóceń na rynku naftowym, powierzył przygotowanie i realizację w części inwestycji w sektorze naftowym podmiotowi Inowrocławskie Kopalnie Soli „SOLINO” S.A. z siedzibą w Inowrocławiu. </w:t>
      </w:r>
      <w:r w:rsidR="000439C9" w:rsidRPr="001C1C6C">
        <w:rPr>
          <w:rFonts w:ascii="Lato" w:hAnsi="Lato" w:cs="Arial"/>
          <w:spacing w:val="4"/>
          <w:sz w:val="22"/>
          <w:szCs w:val="22"/>
        </w:rPr>
        <w:t xml:space="preserve">Zgodnie bowiem </w:t>
      </w:r>
      <w:r w:rsidR="000439C9" w:rsidRPr="001C1C6C">
        <w:rPr>
          <w:rFonts w:ascii="Lato" w:hAnsi="Lato" w:cs="Arial"/>
          <w:spacing w:val="4"/>
          <w:sz w:val="22"/>
          <w:szCs w:val="22"/>
        </w:rPr>
        <w:lastRenderedPageBreak/>
        <w:t xml:space="preserve">z art. 4 ust. 1a specustawy naftowej </w:t>
      </w:r>
      <w:r w:rsidR="000439C9" w:rsidRPr="001C1C6C">
        <w:rPr>
          <w:rFonts w:ascii="Lato" w:eastAsia="Calibri" w:hAnsi="Lato" w:cs="Arial"/>
          <w:spacing w:val="4"/>
          <w:sz w:val="22"/>
          <w:szCs w:val="22"/>
          <w:lang w:eastAsia="en-US"/>
        </w:rPr>
        <w:t xml:space="preserve">w przypadku gdy inwestorem jest jednostka zależna, o której mowa w </w:t>
      </w:r>
      <w:hyperlink r:id="rId9" w:history="1">
        <w:r w:rsidR="000439C9" w:rsidRPr="001C1C6C">
          <w:rPr>
            <w:rStyle w:val="Hipercze"/>
            <w:rFonts w:ascii="Lato" w:eastAsia="Calibri" w:hAnsi="Lato" w:cs="Arial"/>
            <w:color w:val="auto"/>
            <w:spacing w:val="4"/>
            <w:sz w:val="22"/>
            <w:szCs w:val="22"/>
            <w:u w:val="none"/>
            <w:lang w:eastAsia="en-US"/>
          </w:rPr>
          <w:t>art. 1 ust. 2 pkt 2 lit. c</w:t>
        </w:r>
      </w:hyperlink>
      <w:r w:rsidR="000439C9" w:rsidRPr="001C1C6C">
        <w:rPr>
          <w:rFonts w:ascii="Lato" w:eastAsia="Calibri" w:hAnsi="Lato" w:cs="Arial"/>
          <w:spacing w:val="4"/>
          <w:sz w:val="22"/>
          <w:szCs w:val="22"/>
          <w:lang w:eastAsia="en-US"/>
        </w:rPr>
        <w:t xml:space="preserve">, wniosek o wydanie decyzji o ustaleniu lokalizacji strategicznej inwestycji w sektorze naftowym zawiera także listę wspólników albo akcjonariuszy tej jednostki zależnej, wykaz podmiotów sprawujących nad nią kontrolę albo współkontrolę w rozumieniu odpowiednio </w:t>
      </w:r>
      <w:hyperlink r:id="rId10" w:history="1">
        <w:r w:rsidR="000439C9" w:rsidRPr="001C1C6C">
          <w:rPr>
            <w:rStyle w:val="Hipercze"/>
            <w:rFonts w:ascii="Lato" w:eastAsia="Calibri" w:hAnsi="Lato" w:cs="Arial"/>
            <w:color w:val="auto"/>
            <w:spacing w:val="4"/>
            <w:sz w:val="22"/>
            <w:szCs w:val="22"/>
            <w:u w:val="none"/>
            <w:lang w:eastAsia="en-US"/>
          </w:rPr>
          <w:t>art. 3 ust. 1 pkt 34</w:t>
        </w:r>
      </w:hyperlink>
      <w:r w:rsidR="000439C9" w:rsidRPr="001C1C6C">
        <w:rPr>
          <w:rFonts w:ascii="Lato" w:eastAsia="Calibri" w:hAnsi="Lato" w:cs="Arial"/>
          <w:spacing w:val="4"/>
          <w:sz w:val="22"/>
          <w:szCs w:val="22"/>
          <w:lang w:eastAsia="en-US"/>
        </w:rPr>
        <w:t xml:space="preserve"> i </w:t>
      </w:r>
      <w:hyperlink r:id="rId11" w:history="1">
        <w:r w:rsidR="000439C9" w:rsidRPr="001C1C6C">
          <w:rPr>
            <w:rStyle w:val="Hipercze"/>
            <w:rFonts w:ascii="Lato" w:eastAsia="Calibri" w:hAnsi="Lato" w:cs="Arial"/>
            <w:color w:val="auto"/>
            <w:spacing w:val="4"/>
            <w:sz w:val="22"/>
            <w:szCs w:val="22"/>
            <w:u w:val="none"/>
            <w:lang w:eastAsia="en-US"/>
          </w:rPr>
          <w:t>35</w:t>
        </w:r>
      </w:hyperlink>
      <w:r w:rsidR="000439C9" w:rsidRPr="001C1C6C">
        <w:rPr>
          <w:rFonts w:ascii="Lato" w:eastAsia="Calibri" w:hAnsi="Lato" w:cs="Arial"/>
          <w:spacing w:val="4"/>
          <w:sz w:val="22"/>
          <w:szCs w:val="22"/>
          <w:lang w:eastAsia="en-US"/>
        </w:rPr>
        <w:t xml:space="preserve"> ustawy z dnia 29 września 1994 r. o rachunkowości, a także oświadczenie lub inny dokument potwierdzający</w:t>
      </w:r>
      <w:bookmarkStart w:id="5" w:name="mip64039319"/>
      <w:bookmarkEnd w:id="5"/>
      <w:r w:rsidR="000439C9" w:rsidRPr="001C1C6C">
        <w:rPr>
          <w:rFonts w:ascii="Lato" w:eastAsia="Calibri" w:hAnsi="Lato" w:cs="Arial"/>
          <w:spacing w:val="4"/>
          <w:sz w:val="22"/>
          <w:szCs w:val="22"/>
          <w:lang w:eastAsia="en-US"/>
        </w:rPr>
        <w:t xml:space="preserve"> stosunek zależności między tą jednostką a podmiotem, o którym mowa w </w:t>
      </w:r>
      <w:hyperlink r:id="rId12" w:history="1">
        <w:r w:rsidR="000439C9" w:rsidRPr="001C1C6C">
          <w:rPr>
            <w:rStyle w:val="Hipercze"/>
            <w:rFonts w:ascii="Lato" w:eastAsia="Calibri" w:hAnsi="Lato" w:cs="Arial"/>
            <w:color w:val="auto"/>
            <w:spacing w:val="4"/>
            <w:sz w:val="22"/>
            <w:szCs w:val="22"/>
            <w:u w:val="none"/>
            <w:lang w:eastAsia="en-US"/>
          </w:rPr>
          <w:t>art. 1 ust. 2 pkt 2 lit. b</w:t>
        </w:r>
      </w:hyperlink>
      <w:bookmarkStart w:id="6" w:name="mip64039320"/>
      <w:bookmarkEnd w:id="6"/>
      <w:r w:rsidR="000439C9" w:rsidRPr="001C1C6C">
        <w:rPr>
          <w:rFonts w:ascii="Lato" w:eastAsia="Calibri" w:hAnsi="Lato" w:cs="Arial"/>
          <w:spacing w:val="4"/>
          <w:sz w:val="22"/>
          <w:szCs w:val="22"/>
          <w:lang w:eastAsia="en-US"/>
        </w:rPr>
        <w:t xml:space="preserve">, powierzenie przygotowania i realizacji w całości lub części strategicznej inwestycji w sektorze naftowym. </w:t>
      </w:r>
      <w:r w:rsidR="00CD3FC9" w:rsidRPr="001C1C6C">
        <w:rPr>
          <w:rFonts w:ascii="Lato" w:eastAsia="Calibri" w:hAnsi="Lato" w:cs="Arial"/>
          <w:spacing w:val="4"/>
          <w:sz w:val="22"/>
          <w:szCs w:val="22"/>
          <w:lang w:eastAsia="en-US"/>
        </w:rPr>
        <w:t>W niniejszej sprawie do akt administracyjnych załączono komplet dokumentów wymaganych powołanym przepisem, co potwierdza skuteczne wykazanie przez wnioskodawcę posiadania statusu inwestora w rozumieniu przepisów specustawy naftowej.</w:t>
      </w:r>
    </w:p>
    <w:p w14:paraId="7D756848" w14:textId="2D92FB78" w:rsidR="00470295" w:rsidRPr="001C1C6C" w:rsidRDefault="00470295" w:rsidP="00470295">
      <w:pPr>
        <w:spacing w:after="240" w:line="240" w:lineRule="exact"/>
        <w:jc w:val="both"/>
        <w:outlineLvl w:val="0"/>
        <w:rPr>
          <w:rFonts w:ascii="Lato" w:eastAsia="Calibri" w:hAnsi="Lato" w:cs="Arial"/>
          <w:spacing w:val="4"/>
          <w:sz w:val="22"/>
          <w:szCs w:val="22"/>
          <w:lang w:eastAsia="en-US"/>
        </w:rPr>
      </w:pPr>
      <w:r w:rsidRPr="001C1C6C">
        <w:rPr>
          <w:rFonts w:ascii="Lato" w:eastAsia="Calibri" w:hAnsi="Lato" w:cs="Arial"/>
          <w:spacing w:val="4"/>
          <w:sz w:val="22"/>
          <w:szCs w:val="22"/>
          <w:lang w:eastAsia="en-US"/>
        </w:rPr>
        <w:t xml:space="preserve">Projektowana inwestycja mieści się w wykazie strategicznych inwestycji w sektorze naftowym, w pkt </w:t>
      </w:r>
      <w:r w:rsidR="00771651" w:rsidRPr="001C1C6C">
        <w:rPr>
          <w:rFonts w:ascii="Lato" w:eastAsia="Calibri" w:hAnsi="Lato" w:cs="Arial"/>
          <w:spacing w:val="4"/>
          <w:sz w:val="22"/>
          <w:szCs w:val="22"/>
          <w:lang w:eastAsia="en-US"/>
        </w:rPr>
        <w:t>II.3 i II.1d</w:t>
      </w:r>
      <w:r w:rsidRPr="001C1C6C">
        <w:rPr>
          <w:rFonts w:ascii="Lato" w:eastAsia="Calibri" w:hAnsi="Lato" w:cs="Arial"/>
          <w:spacing w:val="4"/>
          <w:sz w:val="22"/>
          <w:szCs w:val="22"/>
          <w:lang w:eastAsia="en-US"/>
        </w:rPr>
        <w:t xml:space="preserve"> załącznika do specustawy naftowej. </w:t>
      </w:r>
    </w:p>
    <w:p w14:paraId="2FFE8D5D" w14:textId="1298BE04" w:rsidR="006312A6" w:rsidRPr="001C1C6C" w:rsidRDefault="006312A6" w:rsidP="006312A6">
      <w:pPr>
        <w:spacing w:after="240" w:line="240" w:lineRule="exact"/>
        <w:jc w:val="both"/>
        <w:outlineLvl w:val="0"/>
        <w:rPr>
          <w:rFonts w:ascii="Lato" w:eastAsiaTheme="minorHAnsi" w:hAnsi="Lato" w:cs="Arial"/>
          <w:spacing w:val="4"/>
          <w:sz w:val="22"/>
          <w:szCs w:val="22"/>
          <w:lang w:eastAsia="en-US"/>
        </w:rPr>
      </w:pPr>
      <w:r w:rsidRPr="001C1C6C">
        <w:rPr>
          <w:rFonts w:ascii="Lato" w:eastAsiaTheme="minorHAnsi" w:hAnsi="Lato" w:cs="Arial"/>
          <w:spacing w:val="4"/>
          <w:sz w:val="22"/>
          <w:szCs w:val="22"/>
          <w:lang w:eastAsia="en-US"/>
        </w:rPr>
        <w:t>Analizując złożony przez inwestora wniosek</w:t>
      </w:r>
      <w:r w:rsidR="00D906A5" w:rsidRPr="001C1C6C">
        <w:rPr>
          <w:rFonts w:ascii="Lato" w:eastAsiaTheme="minorHAnsi" w:hAnsi="Lato" w:cs="Arial"/>
          <w:spacing w:val="4"/>
          <w:sz w:val="22"/>
          <w:szCs w:val="22"/>
          <w:lang w:eastAsia="en-US"/>
        </w:rPr>
        <w:t>,</w:t>
      </w:r>
      <w:r w:rsidRPr="001C1C6C">
        <w:rPr>
          <w:rFonts w:ascii="Lato" w:eastAsiaTheme="minorHAnsi" w:hAnsi="Lato" w:cs="Arial"/>
          <w:spacing w:val="4"/>
          <w:sz w:val="22"/>
          <w:szCs w:val="22"/>
          <w:lang w:eastAsia="en-US"/>
        </w:rPr>
        <w:t xml:space="preserve"> Minister uznał, że zawiera on wszystkie niezbędne w okolicznościach niniejszej sprawy elementy wymagane na podstawie przepisu art. 4 ust. 1 specustawy naftowej.</w:t>
      </w:r>
    </w:p>
    <w:p w14:paraId="30B8C7B1" w14:textId="2DFF228C" w:rsidR="00470295" w:rsidRPr="001C1C6C" w:rsidRDefault="00470295" w:rsidP="00470295">
      <w:pPr>
        <w:pStyle w:val="Tekstpodstawowywcity2"/>
        <w:tabs>
          <w:tab w:val="left" w:pos="7560"/>
        </w:tabs>
        <w:spacing w:after="240" w:line="240" w:lineRule="exact"/>
        <w:ind w:left="0"/>
        <w:jc w:val="both"/>
        <w:rPr>
          <w:rFonts w:ascii="Lato" w:eastAsia="Calibri" w:hAnsi="Lato" w:cs="Arial"/>
          <w:spacing w:val="4"/>
          <w:sz w:val="22"/>
          <w:szCs w:val="22"/>
          <w:lang w:eastAsia="en-US"/>
        </w:rPr>
      </w:pPr>
      <w:r w:rsidRPr="001C1C6C">
        <w:rPr>
          <w:rFonts w:ascii="Lato" w:eastAsia="Calibri" w:hAnsi="Lato" w:cs="Arial"/>
          <w:spacing w:val="4"/>
          <w:sz w:val="22"/>
          <w:szCs w:val="22"/>
          <w:lang w:eastAsia="en-US"/>
        </w:rPr>
        <w:t xml:space="preserve">Następnie organ odwoławczy poddał kontroli przeprowadzone przez Wojewodę </w:t>
      </w:r>
      <w:r w:rsidR="00A02441" w:rsidRPr="001C1C6C">
        <w:rPr>
          <w:rFonts w:ascii="Lato" w:eastAsia="Calibri" w:hAnsi="Lato" w:cs="Arial"/>
          <w:spacing w:val="4"/>
          <w:sz w:val="22"/>
          <w:szCs w:val="22"/>
          <w:lang w:eastAsia="en-US"/>
        </w:rPr>
        <w:t>Kujawsko-Pomorskiego</w:t>
      </w:r>
      <w:r w:rsidRPr="001C1C6C">
        <w:rPr>
          <w:rFonts w:ascii="Lato" w:eastAsia="Calibri" w:hAnsi="Lato" w:cs="Arial"/>
          <w:spacing w:val="4"/>
          <w:sz w:val="22"/>
          <w:szCs w:val="22"/>
          <w:lang w:eastAsia="en-US"/>
        </w:rPr>
        <w:t xml:space="preserve"> postępowanie o wydanie decyzji o ustaleniu lokalizacji </w:t>
      </w:r>
      <w:r w:rsidR="0004209B" w:rsidRPr="001C1C6C">
        <w:rPr>
          <w:rFonts w:ascii="Lato" w:eastAsia="Calibri" w:hAnsi="Lato" w:cs="Arial"/>
          <w:spacing w:val="4"/>
          <w:sz w:val="22"/>
          <w:szCs w:val="22"/>
          <w:lang w:eastAsia="en-US"/>
        </w:rPr>
        <w:br/>
      </w:r>
      <w:r w:rsidRPr="001C1C6C">
        <w:rPr>
          <w:rFonts w:ascii="Lato" w:eastAsia="Calibri" w:hAnsi="Lato" w:cs="Arial"/>
          <w:spacing w:val="4"/>
          <w:sz w:val="22"/>
          <w:szCs w:val="22"/>
          <w:lang w:eastAsia="en-US"/>
        </w:rPr>
        <w:t xml:space="preserve">ww. przedsięwzięcia i stwierdził co następuje. Organ pierwszej instancji poinformował strony o wszczętym postępowaniu, podał jego podstawę prawną, pouczył o prawie </w:t>
      </w:r>
      <w:r w:rsidR="00D771A0" w:rsidRPr="001C1C6C">
        <w:rPr>
          <w:rFonts w:ascii="Lato" w:eastAsia="Calibri" w:hAnsi="Lato" w:cs="Arial"/>
          <w:spacing w:val="4"/>
          <w:sz w:val="22"/>
          <w:szCs w:val="22"/>
          <w:lang w:eastAsia="en-US"/>
        </w:rPr>
        <w:br/>
      </w:r>
      <w:r w:rsidRPr="001C1C6C">
        <w:rPr>
          <w:rFonts w:ascii="Lato" w:eastAsia="Calibri" w:hAnsi="Lato" w:cs="Arial"/>
          <w:spacing w:val="4"/>
          <w:sz w:val="22"/>
          <w:szCs w:val="22"/>
          <w:lang w:eastAsia="en-US"/>
        </w:rPr>
        <w:t xml:space="preserve">do składania wniosków, uwag i zastrzeżeń, a zatem należycie i wyczerpująco poinformował strony o okolicznościach faktycznych i prawnych, będących przedmiotem postępowania administracyjnego, które mogły mieć wpływ na ustalenie ich praw </w:t>
      </w:r>
      <w:r w:rsidR="00010B8F" w:rsidRPr="001C1C6C">
        <w:rPr>
          <w:rFonts w:ascii="Lato" w:eastAsia="Calibri" w:hAnsi="Lato" w:cs="Arial"/>
          <w:spacing w:val="4"/>
          <w:sz w:val="22"/>
          <w:szCs w:val="22"/>
          <w:lang w:eastAsia="en-US"/>
        </w:rPr>
        <w:br/>
      </w:r>
      <w:r w:rsidRPr="001C1C6C">
        <w:rPr>
          <w:rFonts w:ascii="Lato" w:eastAsia="Calibri" w:hAnsi="Lato" w:cs="Arial"/>
          <w:spacing w:val="4"/>
          <w:sz w:val="22"/>
          <w:szCs w:val="22"/>
          <w:lang w:eastAsia="en-US"/>
        </w:rPr>
        <w:t>i obowiązków.</w:t>
      </w:r>
    </w:p>
    <w:p w14:paraId="05E5D62D" w14:textId="311B8D4B" w:rsidR="00F87EF9" w:rsidRPr="001C1C6C" w:rsidRDefault="00470295" w:rsidP="00F87EF9">
      <w:pPr>
        <w:pStyle w:val="Tekstpodstawowywcity2"/>
        <w:tabs>
          <w:tab w:val="left" w:pos="7560"/>
        </w:tabs>
        <w:spacing w:after="240" w:line="240" w:lineRule="exact"/>
        <w:ind w:left="0"/>
        <w:jc w:val="both"/>
        <w:rPr>
          <w:rFonts w:ascii="Lato" w:eastAsia="Calibri" w:hAnsi="Lato" w:cs="Arial"/>
          <w:color w:val="ED7D31" w:themeColor="accent2"/>
          <w:spacing w:val="4"/>
          <w:sz w:val="22"/>
          <w:szCs w:val="22"/>
          <w:lang w:eastAsia="en-US"/>
        </w:rPr>
      </w:pPr>
      <w:r w:rsidRPr="00195579">
        <w:rPr>
          <w:rFonts w:ascii="Lato" w:eastAsia="Calibri" w:hAnsi="Lato" w:cs="Arial"/>
          <w:spacing w:val="4"/>
          <w:sz w:val="22"/>
          <w:szCs w:val="22"/>
          <w:lang w:eastAsia="en-US"/>
        </w:rPr>
        <w:t xml:space="preserve">Wojewoda </w:t>
      </w:r>
      <w:r w:rsidR="00A02441" w:rsidRPr="00195579">
        <w:rPr>
          <w:rFonts w:ascii="Lato" w:eastAsia="Calibri" w:hAnsi="Lato" w:cs="Arial"/>
          <w:spacing w:val="4"/>
          <w:sz w:val="22"/>
          <w:szCs w:val="22"/>
          <w:lang w:eastAsia="en-US"/>
        </w:rPr>
        <w:t>Kujawsko-Pomorski</w:t>
      </w:r>
      <w:r w:rsidRPr="00195579">
        <w:rPr>
          <w:rFonts w:ascii="Lato" w:eastAsia="Calibri" w:hAnsi="Lato" w:cs="Arial"/>
          <w:spacing w:val="4"/>
          <w:sz w:val="22"/>
          <w:szCs w:val="22"/>
          <w:lang w:eastAsia="en-US"/>
        </w:rPr>
        <w:t xml:space="preserve"> pismem z dnia </w:t>
      </w:r>
      <w:r w:rsidR="00F83F12" w:rsidRPr="00195579">
        <w:rPr>
          <w:rFonts w:ascii="Lato" w:eastAsia="Calibri" w:hAnsi="Lato" w:cs="Arial"/>
          <w:spacing w:val="4"/>
          <w:sz w:val="22"/>
          <w:szCs w:val="22"/>
          <w:lang w:eastAsia="en-US"/>
        </w:rPr>
        <w:t>4 października 2022</w:t>
      </w:r>
      <w:r w:rsidRPr="00195579">
        <w:rPr>
          <w:rFonts w:ascii="Lato" w:eastAsia="Calibri" w:hAnsi="Lato" w:cs="Arial"/>
          <w:spacing w:val="4"/>
          <w:sz w:val="22"/>
          <w:szCs w:val="22"/>
          <w:lang w:eastAsia="en-US"/>
        </w:rPr>
        <w:t xml:space="preserve"> r</w:t>
      </w:r>
      <w:r w:rsidRPr="001C1C6C">
        <w:rPr>
          <w:rFonts w:ascii="Lato" w:eastAsia="Calibri" w:hAnsi="Lato" w:cs="Arial"/>
          <w:spacing w:val="4"/>
          <w:sz w:val="22"/>
          <w:szCs w:val="22"/>
          <w:lang w:eastAsia="en-US"/>
        </w:rPr>
        <w:t xml:space="preserve">., znak: </w:t>
      </w:r>
      <w:r w:rsidR="00F83F12" w:rsidRPr="001C1C6C">
        <w:rPr>
          <w:rFonts w:ascii="Lato" w:eastAsia="Calibri" w:hAnsi="Lato" w:cs="Arial"/>
          <w:spacing w:val="4"/>
          <w:sz w:val="22"/>
          <w:szCs w:val="22"/>
          <w:lang w:eastAsia="en-US"/>
        </w:rPr>
        <w:t>WIR.II.747.3.2.2022.EP</w:t>
      </w:r>
      <w:r w:rsidRPr="001C1C6C">
        <w:rPr>
          <w:rFonts w:ascii="Lato" w:eastAsia="Calibri" w:hAnsi="Lato" w:cs="Arial"/>
          <w:spacing w:val="4"/>
          <w:sz w:val="22"/>
          <w:szCs w:val="22"/>
          <w:lang w:eastAsia="en-US"/>
        </w:rPr>
        <w:t>, zawiadomił o wszczęciu postępowania w sprawie wydania decyzji o ustaleniu lokalizacji strategicznej inwestycji w sektorze naftowym wnioskodawcę, właścicieli nieruchomości i użytkowników wieczystych nieruchomości objętych wnioskiem, wysyłając</w:t>
      </w:r>
      <w:r w:rsidR="0004209B" w:rsidRPr="001C1C6C">
        <w:rPr>
          <w:rFonts w:ascii="Lato" w:eastAsia="Calibri" w:hAnsi="Lato" w:cs="Arial"/>
          <w:spacing w:val="4"/>
          <w:sz w:val="22"/>
          <w:szCs w:val="22"/>
          <w:lang w:eastAsia="en-US"/>
        </w:rPr>
        <w:t xml:space="preserve"> </w:t>
      </w:r>
      <w:r w:rsidRPr="001C1C6C">
        <w:rPr>
          <w:rFonts w:ascii="Lato" w:eastAsia="Calibri" w:hAnsi="Lato" w:cs="Arial"/>
          <w:spacing w:val="4"/>
          <w:sz w:val="22"/>
          <w:szCs w:val="22"/>
          <w:lang w:eastAsia="en-US"/>
        </w:rPr>
        <w:t xml:space="preserve">zawiadomienie na adresy wskazane w katastrze nieruchomości. Pozostałe strony postępowania zostały poinformowane o jego wszczęciu w drodze obwieszczeń. W zawiadomieniu i obwieszczeniu organ I instancji poinformował o miejscu, gdzie strony mogą zapoznać się z dokumentacją dotyczącą inwestycji, a także oznaczone zostały nieruchomości objęte wnioskiem. </w:t>
      </w:r>
      <w:r w:rsidR="00F87EF9" w:rsidRPr="001C1C6C">
        <w:rPr>
          <w:rFonts w:ascii="Lato" w:hAnsi="Lato" w:cs="Arial"/>
          <w:spacing w:val="4"/>
          <w:sz w:val="22"/>
          <w:szCs w:val="22"/>
        </w:rPr>
        <w:t>W toku postępowania przed Wojewodą Kujawsko-Pomorskim strony wniosły uwagi i zastrzeżenia do planowanej inwestycji, które organ I instancji przesłał inwestorowi w celu zajęcia stanowiska, a ten ustosunkował się do zagadnień poruszonych przez strony postępowania.</w:t>
      </w:r>
    </w:p>
    <w:p w14:paraId="0D17C3B9" w14:textId="6DD439DD" w:rsidR="00470295" w:rsidRPr="001C1C6C" w:rsidRDefault="00470295" w:rsidP="00470295">
      <w:pPr>
        <w:pStyle w:val="Tekstpodstawowywcity2"/>
        <w:tabs>
          <w:tab w:val="left" w:pos="7560"/>
        </w:tabs>
        <w:spacing w:after="240" w:line="240" w:lineRule="exact"/>
        <w:ind w:left="0"/>
        <w:jc w:val="both"/>
        <w:rPr>
          <w:rFonts w:ascii="Lato" w:eastAsia="Calibri" w:hAnsi="Lato" w:cs="Arial"/>
          <w:spacing w:val="4"/>
          <w:sz w:val="22"/>
          <w:szCs w:val="22"/>
          <w:lang w:eastAsia="en-US"/>
        </w:rPr>
      </w:pPr>
      <w:r w:rsidRPr="001C1C6C">
        <w:rPr>
          <w:rFonts w:ascii="Lato" w:eastAsia="Calibri" w:hAnsi="Lato" w:cs="Arial"/>
          <w:spacing w:val="4"/>
          <w:sz w:val="22"/>
          <w:szCs w:val="22"/>
          <w:lang w:eastAsia="en-US"/>
        </w:rPr>
        <w:t xml:space="preserve">Uznając, że zebrany w sprawie materiał dowodowy pozwala na wydanie rozstrzygnięcia, Wojewoda </w:t>
      </w:r>
      <w:r w:rsidR="00A02441" w:rsidRPr="001C1C6C">
        <w:rPr>
          <w:rFonts w:ascii="Lato" w:eastAsia="Calibri" w:hAnsi="Lato" w:cs="Arial"/>
          <w:spacing w:val="4"/>
          <w:sz w:val="22"/>
          <w:szCs w:val="22"/>
          <w:lang w:eastAsia="en-US"/>
        </w:rPr>
        <w:t xml:space="preserve">Kujawsko-Pomorski </w:t>
      </w:r>
      <w:r w:rsidRPr="001C1C6C">
        <w:rPr>
          <w:rFonts w:ascii="Lato" w:eastAsia="Calibri" w:hAnsi="Lato" w:cs="Arial"/>
          <w:spacing w:val="4"/>
          <w:sz w:val="22"/>
          <w:szCs w:val="22"/>
          <w:lang w:eastAsia="en-US"/>
        </w:rPr>
        <w:t xml:space="preserve">wydał </w:t>
      </w:r>
      <w:r w:rsidR="00347BA3" w:rsidRPr="001C1C6C">
        <w:rPr>
          <w:rFonts w:ascii="Lato" w:eastAsia="Calibri" w:hAnsi="Lato" w:cs="Arial"/>
          <w:spacing w:val="4"/>
          <w:sz w:val="22"/>
          <w:szCs w:val="22"/>
          <w:lang w:eastAsia="en-US"/>
        </w:rPr>
        <w:t xml:space="preserve">w dniu </w:t>
      </w:r>
      <w:r w:rsidR="00A02441" w:rsidRPr="001C1C6C">
        <w:rPr>
          <w:rFonts w:ascii="Lato" w:hAnsi="Lato" w:cs="Arial"/>
          <w:spacing w:val="4"/>
          <w:sz w:val="22"/>
          <w:szCs w:val="22"/>
        </w:rPr>
        <w:t xml:space="preserve">21 grudnia 2022 r. decyzję nr 16/2022, znak: WIR.II.747.3.2.2022.EP, o ustaleniu lokalizacji strategicznej inwestycji w sektorze naftowym dla przedmiotowego zadania. </w:t>
      </w:r>
      <w:r w:rsidRPr="001C1C6C">
        <w:rPr>
          <w:rFonts w:ascii="Lato" w:eastAsia="Calibri" w:hAnsi="Lato" w:cs="Arial"/>
          <w:spacing w:val="4"/>
          <w:sz w:val="22"/>
          <w:szCs w:val="22"/>
          <w:lang w:eastAsia="en-US"/>
        </w:rPr>
        <w:t xml:space="preserve">Stosownie do art. 35 ust. 1 specustawy naftowej decyzja podlega natychmiastowemu wykonaniu. </w:t>
      </w:r>
    </w:p>
    <w:p w14:paraId="63BC49FA" w14:textId="5E000A8C" w:rsidR="00470295" w:rsidRPr="001C1C6C" w:rsidRDefault="00470295" w:rsidP="00470295">
      <w:pPr>
        <w:pStyle w:val="Tekstpodstawowywcity2"/>
        <w:tabs>
          <w:tab w:val="left" w:pos="7560"/>
        </w:tabs>
        <w:spacing w:after="240" w:line="240" w:lineRule="exact"/>
        <w:ind w:left="0"/>
        <w:jc w:val="both"/>
        <w:rPr>
          <w:rFonts w:ascii="Lato" w:eastAsia="Calibri" w:hAnsi="Lato" w:cs="Arial"/>
          <w:spacing w:val="4"/>
          <w:sz w:val="22"/>
          <w:szCs w:val="22"/>
          <w:lang w:eastAsia="en-US"/>
        </w:rPr>
      </w:pPr>
      <w:r w:rsidRPr="001C1C6C">
        <w:rPr>
          <w:rFonts w:ascii="Lato" w:eastAsia="Calibri" w:hAnsi="Lato" w:cs="Arial"/>
          <w:spacing w:val="4"/>
          <w:sz w:val="22"/>
          <w:szCs w:val="22"/>
          <w:lang w:eastAsia="en-US"/>
        </w:rPr>
        <w:t>W myśl art. 10 ust. 1 specustawy naftowe</w:t>
      </w:r>
      <w:r w:rsidR="00571AE8" w:rsidRPr="001C1C6C">
        <w:rPr>
          <w:rFonts w:ascii="Lato" w:eastAsia="Calibri" w:hAnsi="Lato" w:cs="Arial"/>
          <w:spacing w:val="4"/>
          <w:sz w:val="22"/>
          <w:szCs w:val="22"/>
          <w:lang w:eastAsia="en-US"/>
        </w:rPr>
        <w:t xml:space="preserve">j </w:t>
      </w:r>
      <w:r w:rsidRPr="001C1C6C">
        <w:rPr>
          <w:rFonts w:ascii="Lato" w:eastAsia="Calibri" w:hAnsi="Lato" w:cs="Arial"/>
          <w:spacing w:val="4"/>
          <w:sz w:val="22"/>
          <w:szCs w:val="22"/>
          <w:lang w:eastAsia="en-US"/>
        </w:rPr>
        <w:t xml:space="preserve">Wojewoda </w:t>
      </w:r>
      <w:r w:rsidR="00571AE8" w:rsidRPr="001C1C6C">
        <w:rPr>
          <w:rFonts w:ascii="Lato" w:eastAsia="Calibri" w:hAnsi="Lato" w:cs="Arial"/>
          <w:spacing w:val="4"/>
          <w:sz w:val="22"/>
          <w:szCs w:val="22"/>
          <w:lang w:eastAsia="en-US"/>
        </w:rPr>
        <w:t>Kujawsko-Pomorski</w:t>
      </w:r>
      <w:r w:rsidRPr="001C1C6C">
        <w:rPr>
          <w:rFonts w:ascii="Lato" w:eastAsia="Calibri" w:hAnsi="Lato" w:cs="Arial"/>
          <w:spacing w:val="4"/>
          <w:sz w:val="22"/>
          <w:szCs w:val="22"/>
          <w:lang w:eastAsia="en-US"/>
        </w:rPr>
        <w:t xml:space="preserve"> doręczył </w:t>
      </w:r>
      <w:r w:rsidR="00E14BAD" w:rsidRPr="001C1C6C">
        <w:rPr>
          <w:rFonts w:ascii="Lato" w:eastAsia="Calibri" w:hAnsi="Lato" w:cs="Arial"/>
          <w:spacing w:val="4"/>
          <w:sz w:val="22"/>
          <w:szCs w:val="22"/>
          <w:lang w:eastAsia="en-US"/>
        </w:rPr>
        <w:br/>
      </w:r>
      <w:r w:rsidRPr="001C1C6C">
        <w:rPr>
          <w:rFonts w:ascii="Lato" w:eastAsia="Calibri" w:hAnsi="Lato" w:cs="Arial"/>
          <w:spacing w:val="4"/>
          <w:sz w:val="22"/>
          <w:szCs w:val="22"/>
          <w:lang w:eastAsia="en-US"/>
        </w:rPr>
        <w:t>ww. decyzję wnioskodawcy oraz zawiadomił o jej wydaniu pozostałe strony w drodze obwieszczenia w urzędzie wojewódzkim i w urzędach gmin właściwych ze względu na lokalizację inwestycji,</w:t>
      </w:r>
      <w:r w:rsidR="00571AE8" w:rsidRPr="001C1C6C">
        <w:rPr>
          <w:rFonts w:ascii="Lato" w:eastAsia="Calibri" w:hAnsi="Lato" w:cs="Arial"/>
          <w:spacing w:val="4"/>
          <w:sz w:val="22"/>
          <w:szCs w:val="22"/>
          <w:lang w:eastAsia="en-US"/>
        </w:rPr>
        <w:t xml:space="preserve"> </w:t>
      </w:r>
      <w:r w:rsidRPr="001C1C6C">
        <w:rPr>
          <w:rFonts w:ascii="Lato" w:eastAsia="Calibri" w:hAnsi="Lato" w:cs="Arial"/>
          <w:spacing w:val="4"/>
          <w:sz w:val="22"/>
          <w:szCs w:val="22"/>
          <w:lang w:eastAsia="en-US"/>
        </w:rPr>
        <w:t>w Biuletynie Informacji Publicznej, na stronach podmiotowych urzędów gmin oraz urzędu wojewódzkiego, a także w prasie o zasięgu ogólnopolskim.</w:t>
      </w:r>
      <w:r w:rsidR="00571AE8" w:rsidRPr="001C1C6C">
        <w:rPr>
          <w:rFonts w:ascii="Lato" w:eastAsia="Calibri" w:hAnsi="Lato" w:cs="Arial"/>
          <w:spacing w:val="4"/>
          <w:sz w:val="22"/>
          <w:szCs w:val="22"/>
          <w:lang w:eastAsia="en-US"/>
        </w:rPr>
        <w:t xml:space="preserve"> </w:t>
      </w:r>
      <w:r w:rsidRPr="001C1C6C">
        <w:rPr>
          <w:rFonts w:ascii="Lato" w:eastAsia="Calibri" w:hAnsi="Lato" w:cs="Arial"/>
          <w:spacing w:val="4"/>
          <w:sz w:val="22"/>
          <w:szCs w:val="22"/>
          <w:lang w:eastAsia="en-US"/>
        </w:rPr>
        <w:t xml:space="preserve">Właścicieli i użytkowników wieczystych nieruchomości objętej decyzją Wojewody </w:t>
      </w:r>
      <w:r w:rsidR="00571AE8" w:rsidRPr="001C1C6C">
        <w:rPr>
          <w:rFonts w:ascii="Lato" w:eastAsia="Calibri" w:hAnsi="Lato" w:cs="Arial"/>
          <w:spacing w:val="4"/>
          <w:sz w:val="22"/>
          <w:szCs w:val="22"/>
          <w:lang w:eastAsia="en-US"/>
        </w:rPr>
        <w:lastRenderedPageBreak/>
        <w:t>Kujawsko-Pomorskiego</w:t>
      </w:r>
      <w:r w:rsidRPr="001C1C6C">
        <w:rPr>
          <w:rFonts w:ascii="Lato" w:eastAsia="Calibri" w:hAnsi="Lato" w:cs="Arial"/>
          <w:spacing w:val="4"/>
          <w:sz w:val="22"/>
          <w:szCs w:val="22"/>
          <w:lang w:eastAsia="en-US"/>
        </w:rPr>
        <w:t xml:space="preserve">, organ pierwszej instancji poinformował o wydaniu decyzji </w:t>
      </w:r>
      <w:r w:rsidR="00E14BAD" w:rsidRPr="001C1C6C">
        <w:rPr>
          <w:rFonts w:ascii="Lato" w:eastAsia="Calibri" w:hAnsi="Lato" w:cs="Arial"/>
          <w:spacing w:val="4"/>
          <w:sz w:val="22"/>
          <w:szCs w:val="22"/>
          <w:lang w:eastAsia="en-US"/>
        </w:rPr>
        <w:br/>
      </w:r>
      <w:r w:rsidRPr="001C1C6C">
        <w:rPr>
          <w:rFonts w:ascii="Lato" w:eastAsia="Calibri" w:hAnsi="Lato" w:cs="Arial"/>
          <w:spacing w:val="4"/>
          <w:sz w:val="22"/>
          <w:szCs w:val="22"/>
          <w:lang w:eastAsia="en-US"/>
        </w:rPr>
        <w:t xml:space="preserve">w drodze zawiadomienia z dnia </w:t>
      </w:r>
      <w:r w:rsidR="00573B33" w:rsidRPr="009158CE">
        <w:rPr>
          <w:rFonts w:ascii="Lato" w:eastAsia="Calibri" w:hAnsi="Lato" w:cs="Arial"/>
          <w:spacing w:val="4"/>
          <w:sz w:val="22"/>
          <w:szCs w:val="22"/>
          <w:lang w:eastAsia="en-US"/>
        </w:rPr>
        <w:t>21 grudnia 2022</w:t>
      </w:r>
      <w:r w:rsidRPr="009158CE">
        <w:rPr>
          <w:rFonts w:ascii="Lato" w:eastAsia="Calibri" w:hAnsi="Lato" w:cs="Arial"/>
          <w:spacing w:val="4"/>
          <w:sz w:val="22"/>
          <w:szCs w:val="22"/>
          <w:lang w:eastAsia="en-US"/>
        </w:rPr>
        <w:t xml:space="preserve"> r.,</w:t>
      </w:r>
      <w:r w:rsidRPr="001C1C6C">
        <w:rPr>
          <w:rFonts w:ascii="Lato" w:eastAsia="Calibri" w:hAnsi="Lato" w:cs="Arial"/>
          <w:spacing w:val="4"/>
          <w:sz w:val="22"/>
          <w:szCs w:val="22"/>
          <w:lang w:eastAsia="en-US"/>
        </w:rPr>
        <w:t xml:space="preserve"> znak: </w:t>
      </w:r>
      <w:r w:rsidR="00573B33" w:rsidRPr="001C1C6C">
        <w:rPr>
          <w:rFonts w:ascii="Lato" w:eastAsia="Calibri" w:hAnsi="Lato" w:cs="Arial"/>
          <w:spacing w:val="4"/>
          <w:sz w:val="22"/>
          <w:szCs w:val="22"/>
          <w:lang w:eastAsia="en-US"/>
        </w:rPr>
        <w:t>WIR.II.747.3.2.2022.EP</w:t>
      </w:r>
      <w:r w:rsidRPr="001C1C6C">
        <w:rPr>
          <w:rFonts w:ascii="Lato" w:eastAsia="Calibri" w:hAnsi="Lato" w:cs="Arial"/>
          <w:spacing w:val="4"/>
          <w:sz w:val="22"/>
          <w:szCs w:val="22"/>
          <w:lang w:eastAsia="en-US"/>
        </w:rPr>
        <w:t xml:space="preserve">, wysyłanego na adres wskazany w katastrze nieruchomości. W zawiadomieniu oraz </w:t>
      </w:r>
      <w:r w:rsidR="00E14BAD" w:rsidRPr="001C1C6C">
        <w:rPr>
          <w:rFonts w:ascii="Lato" w:eastAsia="Calibri" w:hAnsi="Lato" w:cs="Arial"/>
          <w:spacing w:val="4"/>
          <w:sz w:val="22"/>
          <w:szCs w:val="22"/>
          <w:lang w:eastAsia="en-US"/>
        </w:rPr>
        <w:br/>
      </w:r>
      <w:r w:rsidRPr="001C1C6C">
        <w:rPr>
          <w:rFonts w:ascii="Lato" w:eastAsia="Calibri" w:hAnsi="Lato" w:cs="Arial"/>
          <w:spacing w:val="4"/>
          <w:sz w:val="22"/>
          <w:szCs w:val="22"/>
          <w:lang w:eastAsia="en-US"/>
        </w:rPr>
        <w:t>w obwieszczeniu zamieszczono, informację o miejscu, w którym strony mogą zapoznać się z treścią decyzji.</w:t>
      </w:r>
    </w:p>
    <w:p w14:paraId="496ED762" w14:textId="7F7437B9" w:rsidR="00470295" w:rsidRPr="001C1C6C" w:rsidRDefault="006A2191" w:rsidP="006A2191">
      <w:pPr>
        <w:pStyle w:val="Tekstpodstawowywcity2"/>
        <w:tabs>
          <w:tab w:val="left" w:pos="7560"/>
        </w:tabs>
        <w:spacing w:after="240" w:line="240" w:lineRule="exact"/>
        <w:ind w:left="0"/>
        <w:jc w:val="both"/>
        <w:rPr>
          <w:rFonts w:ascii="Lato" w:eastAsia="Calibri" w:hAnsi="Lato" w:cs="Arial"/>
          <w:spacing w:val="4"/>
          <w:sz w:val="22"/>
          <w:szCs w:val="22"/>
          <w:lang w:eastAsia="en-US"/>
        </w:rPr>
      </w:pPr>
      <w:r w:rsidRPr="001C1C6C">
        <w:rPr>
          <w:rFonts w:ascii="Lato" w:eastAsia="Calibri" w:hAnsi="Lato" w:cs="Arial"/>
          <w:spacing w:val="4"/>
          <w:sz w:val="22"/>
          <w:szCs w:val="22"/>
          <w:lang w:eastAsia="en-US"/>
        </w:rPr>
        <w:t xml:space="preserve">Kontrolowana decyzja Wojewody </w:t>
      </w:r>
      <w:r w:rsidR="00571AE8" w:rsidRPr="001C1C6C">
        <w:rPr>
          <w:rFonts w:ascii="Lato" w:eastAsia="Calibri" w:hAnsi="Lato" w:cs="Arial"/>
          <w:spacing w:val="4"/>
          <w:sz w:val="22"/>
          <w:szCs w:val="22"/>
          <w:lang w:eastAsia="en-US"/>
        </w:rPr>
        <w:t>Kujawsko-Pomorskiego</w:t>
      </w:r>
      <w:r w:rsidRPr="001C1C6C">
        <w:rPr>
          <w:rFonts w:ascii="Lato" w:eastAsia="Calibri" w:hAnsi="Lato" w:cs="Arial"/>
          <w:spacing w:val="4"/>
          <w:sz w:val="22"/>
          <w:szCs w:val="22"/>
          <w:lang w:eastAsia="en-US"/>
        </w:rPr>
        <w:t xml:space="preserve">, z wyjątkiem uchybień omówionych poniżej, czyni zadość wymogom przedstawionym w art. 8 ust. 1 specustawy </w:t>
      </w:r>
      <w:r w:rsidR="00675FC9" w:rsidRPr="001C1C6C">
        <w:rPr>
          <w:rFonts w:ascii="Lato" w:eastAsia="Calibri" w:hAnsi="Lato" w:cs="Arial"/>
          <w:spacing w:val="4"/>
          <w:sz w:val="22"/>
          <w:szCs w:val="22"/>
          <w:lang w:eastAsia="en-US"/>
        </w:rPr>
        <w:t>naftowej</w:t>
      </w:r>
      <w:r w:rsidRPr="001C1C6C">
        <w:rPr>
          <w:rFonts w:ascii="Lato" w:eastAsia="Calibri" w:hAnsi="Lato" w:cs="Arial"/>
          <w:spacing w:val="4"/>
          <w:sz w:val="22"/>
          <w:szCs w:val="22"/>
          <w:lang w:eastAsia="en-US"/>
        </w:rPr>
        <w:t xml:space="preserve">, zawiera bowiem wszystkie niezbędne w okolicznościach niniejszej sprawy elementy określone w tym przepisie. </w:t>
      </w:r>
      <w:r w:rsidR="00470295" w:rsidRPr="001C1C6C">
        <w:rPr>
          <w:rFonts w:ascii="Lato" w:eastAsia="Calibri" w:hAnsi="Lato" w:cs="Arial"/>
          <w:spacing w:val="4"/>
          <w:sz w:val="22"/>
          <w:szCs w:val="22"/>
          <w:lang w:eastAsia="en-US"/>
        </w:rPr>
        <w:t>Zgodnie z art. 8 ust. 2 specustawy naftowej, projekt powyższej decyzji został sporządzony przez osobę, o której mowa w art. 5 ustawy z dnia 27 marca 2003 r. o planowaniu i zagospodarowaniu przestrzennym (t.j. Dz. U. z 202</w:t>
      </w:r>
      <w:r w:rsidR="00CB7CC8" w:rsidRPr="001C1C6C">
        <w:rPr>
          <w:rFonts w:ascii="Lato" w:eastAsia="Calibri" w:hAnsi="Lato" w:cs="Arial"/>
          <w:spacing w:val="4"/>
          <w:sz w:val="22"/>
          <w:szCs w:val="22"/>
          <w:lang w:eastAsia="en-US"/>
        </w:rPr>
        <w:t>4</w:t>
      </w:r>
      <w:r w:rsidR="00470295" w:rsidRPr="001C1C6C">
        <w:rPr>
          <w:rFonts w:ascii="Lato" w:eastAsia="Calibri" w:hAnsi="Lato" w:cs="Arial"/>
          <w:spacing w:val="4"/>
          <w:sz w:val="22"/>
          <w:szCs w:val="22"/>
          <w:lang w:eastAsia="en-US"/>
        </w:rPr>
        <w:t xml:space="preserve"> r. poz. </w:t>
      </w:r>
      <w:r w:rsidR="00CB7CC8" w:rsidRPr="001C1C6C">
        <w:rPr>
          <w:rFonts w:ascii="Lato" w:eastAsia="Calibri" w:hAnsi="Lato" w:cs="Arial"/>
          <w:spacing w:val="4"/>
          <w:sz w:val="22"/>
          <w:szCs w:val="22"/>
          <w:lang w:eastAsia="en-US"/>
        </w:rPr>
        <w:t>1130</w:t>
      </w:r>
      <w:r w:rsidR="00571AE8" w:rsidRPr="001C1C6C">
        <w:rPr>
          <w:rFonts w:ascii="Lato" w:eastAsia="Calibri" w:hAnsi="Lato" w:cs="Arial"/>
          <w:spacing w:val="4"/>
          <w:sz w:val="22"/>
          <w:szCs w:val="22"/>
          <w:lang w:eastAsia="en-US"/>
        </w:rPr>
        <w:t xml:space="preserve"> z późn. zm.</w:t>
      </w:r>
      <w:r w:rsidR="00470295" w:rsidRPr="001C1C6C">
        <w:rPr>
          <w:rFonts w:ascii="Lato" w:eastAsia="Calibri" w:hAnsi="Lato" w:cs="Arial"/>
          <w:spacing w:val="4"/>
          <w:sz w:val="22"/>
          <w:szCs w:val="22"/>
          <w:lang w:eastAsia="en-US"/>
        </w:rPr>
        <w:t>)</w:t>
      </w:r>
      <w:r w:rsidR="00571AE8" w:rsidRPr="001C1C6C">
        <w:rPr>
          <w:rFonts w:ascii="Lato" w:eastAsia="Calibri" w:hAnsi="Lato" w:cs="Arial"/>
          <w:spacing w:val="4"/>
          <w:sz w:val="22"/>
          <w:szCs w:val="22"/>
          <w:lang w:eastAsia="en-US"/>
        </w:rPr>
        <w:t>.</w:t>
      </w:r>
    </w:p>
    <w:p w14:paraId="6C9A7657" w14:textId="77777777" w:rsidR="00A3534B" w:rsidRDefault="004810CD" w:rsidP="00A3534B">
      <w:pPr>
        <w:spacing w:after="240" w:line="240" w:lineRule="exact"/>
        <w:jc w:val="both"/>
        <w:outlineLvl w:val="0"/>
        <w:rPr>
          <w:rFonts w:ascii="Lato" w:eastAsia="Calibri" w:hAnsi="Lato" w:cs="Arial"/>
          <w:bCs/>
          <w:spacing w:val="4"/>
          <w:sz w:val="22"/>
          <w:szCs w:val="22"/>
          <w:lang w:eastAsia="en-US"/>
        </w:rPr>
      </w:pPr>
      <w:r w:rsidRPr="001C1C6C">
        <w:rPr>
          <w:rFonts w:ascii="Lato" w:eastAsia="Calibri" w:hAnsi="Lato" w:cs="Arial"/>
          <w:spacing w:val="4"/>
          <w:sz w:val="22"/>
          <w:szCs w:val="22"/>
          <w:lang w:eastAsia="en-US"/>
        </w:rPr>
        <w:t xml:space="preserve">Odnosząc się do odwołania </w:t>
      </w:r>
      <w:r w:rsidR="00872DCA" w:rsidRPr="001C1C6C">
        <w:rPr>
          <w:rFonts w:ascii="Lato" w:hAnsi="Lato" w:cs="Arial"/>
          <w:bCs/>
          <w:spacing w:val="4"/>
          <w:sz w:val="22"/>
          <w:szCs w:val="22"/>
        </w:rPr>
        <w:t>PKP S.A. z siedzibą w Warszawie</w:t>
      </w:r>
      <w:r w:rsidR="00872DCA" w:rsidRPr="001C1C6C">
        <w:rPr>
          <w:rFonts w:ascii="Lato" w:eastAsia="Calibri" w:hAnsi="Lato" w:cs="Arial"/>
          <w:bCs/>
          <w:spacing w:val="4"/>
          <w:sz w:val="22"/>
          <w:szCs w:val="22"/>
          <w:lang w:eastAsia="en-US"/>
        </w:rPr>
        <w:t xml:space="preserve">, </w:t>
      </w:r>
      <w:r w:rsidRPr="001C1C6C">
        <w:rPr>
          <w:rFonts w:ascii="Lato" w:eastAsia="Calibri" w:hAnsi="Lato" w:cs="Arial"/>
          <w:bCs/>
          <w:spacing w:val="4"/>
          <w:sz w:val="22"/>
          <w:szCs w:val="22"/>
          <w:lang w:eastAsia="en-US"/>
        </w:rPr>
        <w:t xml:space="preserve">Minister stwierdził, </w:t>
      </w:r>
      <w:r w:rsidR="00E14BAD" w:rsidRPr="001C1C6C">
        <w:rPr>
          <w:rFonts w:ascii="Lato" w:eastAsia="Calibri" w:hAnsi="Lato" w:cs="Arial"/>
          <w:bCs/>
          <w:spacing w:val="4"/>
          <w:sz w:val="22"/>
          <w:szCs w:val="22"/>
          <w:lang w:eastAsia="en-US"/>
        </w:rPr>
        <w:br/>
      </w:r>
      <w:r w:rsidRPr="001C1C6C">
        <w:rPr>
          <w:rFonts w:ascii="Lato" w:eastAsia="Calibri" w:hAnsi="Lato" w:cs="Arial"/>
          <w:bCs/>
          <w:spacing w:val="4"/>
          <w:sz w:val="22"/>
          <w:szCs w:val="22"/>
          <w:lang w:eastAsia="en-US"/>
        </w:rPr>
        <w:t>co następuje.</w:t>
      </w:r>
    </w:p>
    <w:p w14:paraId="3EF9B9D2" w14:textId="4C433A50" w:rsidR="00A3534B" w:rsidRDefault="00A3534B" w:rsidP="00A3534B">
      <w:pPr>
        <w:spacing w:after="240" w:line="240" w:lineRule="exact"/>
        <w:jc w:val="both"/>
        <w:outlineLvl w:val="0"/>
        <w:rPr>
          <w:rFonts w:ascii="Lato" w:eastAsia="Calibri" w:hAnsi="Lato" w:cs="Arial"/>
          <w:bCs/>
          <w:spacing w:val="4"/>
          <w:sz w:val="22"/>
          <w:szCs w:val="22"/>
          <w:lang w:eastAsia="en-US"/>
        </w:rPr>
      </w:pPr>
      <w:r>
        <w:rPr>
          <w:rFonts w:ascii="Lato" w:eastAsia="Calibri" w:hAnsi="Lato" w:cs="Arial"/>
          <w:bCs/>
          <w:spacing w:val="4"/>
          <w:sz w:val="22"/>
          <w:szCs w:val="22"/>
          <w:lang w:eastAsia="en-US"/>
        </w:rPr>
        <w:t>Należy przyznać rację zarzutom</w:t>
      </w:r>
      <w:r w:rsidRPr="001C1C6C">
        <w:rPr>
          <w:rFonts w:ascii="Lato" w:eastAsia="Calibri" w:hAnsi="Lato" w:cs="Arial"/>
          <w:bCs/>
          <w:spacing w:val="4"/>
          <w:sz w:val="22"/>
          <w:szCs w:val="22"/>
          <w:lang w:eastAsia="en-US"/>
        </w:rPr>
        <w:t xml:space="preserve"> skarżąc</w:t>
      </w:r>
      <w:r>
        <w:rPr>
          <w:rFonts w:ascii="Lato" w:eastAsia="Calibri" w:hAnsi="Lato" w:cs="Arial"/>
          <w:bCs/>
          <w:spacing w:val="4"/>
          <w:sz w:val="22"/>
          <w:szCs w:val="22"/>
          <w:lang w:eastAsia="en-US"/>
        </w:rPr>
        <w:t>ej</w:t>
      </w:r>
      <w:r w:rsidRPr="001C1C6C">
        <w:rPr>
          <w:rFonts w:ascii="Lato" w:eastAsia="Calibri" w:hAnsi="Lato" w:cs="Arial"/>
          <w:bCs/>
          <w:spacing w:val="4"/>
          <w:sz w:val="22"/>
          <w:szCs w:val="22"/>
          <w:lang w:eastAsia="en-US"/>
        </w:rPr>
        <w:t xml:space="preserve"> spółk</w:t>
      </w:r>
      <w:r>
        <w:rPr>
          <w:rFonts w:ascii="Lato" w:eastAsia="Calibri" w:hAnsi="Lato" w:cs="Arial"/>
          <w:bCs/>
          <w:spacing w:val="4"/>
          <w:sz w:val="22"/>
          <w:szCs w:val="22"/>
          <w:lang w:eastAsia="en-US"/>
        </w:rPr>
        <w:t>i</w:t>
      </w:r>
      <w:r w:rsidRPr="001C1C6C">
        <w:rPr>
          <w:rFonts w:ascii="Lato" w:eastAsia="Calibri" w:hAnsi="Lato" w:cs="Arial"/>
          <w:bCs/>
          <w:spacing w:val="4"/>
          <w:sz w:val="22"/>
          <w:szCs w:val="22"/>
          <w:lang w:eastAsia="en-US"/>
        </w:rPr>
        <w:t>, iż zakwalifikowanie przez organ I instancji dział</w:t>
      </w:r>
      <w:r w:rsidR="007929AF">
        <w:rPr>
          <w:rFonts w:ascii="Lato" w:eastAsia="Calibri" w:hAnsi="Lato" w:cs="Arial"/>
          <w:bCs/>
          <w:spacing w:val="4"/>
          <w:sz w:val="22"/>
          <w:szCs w:val="22"/>
          <w:lang w:eastAsia="en-US"/>
        </w:rPr>
        <w:t>ki</w:t>
      </w:r>
      <w:r w:rsidRPr="001C1C6C">
        <w:rPr>
          <w:rFonts w:ascii="Lato" w:eastAsia="Calibri" w:hAnsi="Lato" w:cs="Arial"/>
          <w:bCs/>
          <w:spacing w:val="4"/>
          <w:sz w:val="22"/>
          <w:szCs w:val="22"/>
          <w:lang w:eastAsia="en-US"/>
        </w:rPr>
        <w:t xml:space="preserve"> </w:t>
      </w:r>
      <w:r>
        <w:rPr>
          <w:rFonts w:ascii="Lato" w:eastAsia="Calibri" w:hAnsi="Lato" w:cs="Arial"/>
          <w:bCs/>
          <w:spacing w:val="4"/>
          <w:sz w:val="22"/>
          <w:szCs w:val="22"/>
          <w:lang w:eastAsia="en-US"/>
        </w:rPr>
        <w:t>nr</w:t>
      </w:r>
      <w:r w:rsidR="0095247C" w:rsidRPr="001C1C6C">
        <w:rPr>
          <w:rFonts w:ascii="Lato" w:eastAsia="Calibri" w:hAnsi="Lato" w:cs="Arial"/>
          <w:bCs/>
          <w:spacing w:val="4"/>
          <w:sz w:val="22"/>
          <w:szCs w:val="22"/>
          <w:lang w:eastAsia="en-US"/>
        </w:rPr>
        <w:t xml:space="preserve"> 46, obręb Sucharzewo oraz dział</w:t>
      </w:r>
      <w:r w:rsidR="007929AF">
        <w:rPr>
          <w:rFonts w:ascii="Lato" w:eastAsia="Calibri" w:hAnsi="Lato" w:cs="Arial"/>
          <w:bCs/>
          <w:spacing w:val="4"/>
          <w:sz w:val="22"/>
          <w:szCs w:val="22"/>
          <w:lang w:eastAsia="en-US"/>
        </w:rPr>
        <w:t>ki</w:t>
      </w:r>
      <w:r w:rsidR="0095247C" w:rsidRPr="001C1C6C">
        <w:rPr>
          <w:rFonts w:ascii="Lato" w:eastAsia="Calibri" w:hAnsi="Lato" w:cs="Arial"/>
          <w:bCs/>
          <w:spacing w:val="4"/>
          <w:sz w:val="22"/>
          <w:szCs w:val="22"/>
          <w:lang w:eastAsia="en-US"/>
        </w:rPr>
        <w:t xml:space="preserve"> nr 182, obręb Sędowo</w:t>
      </w:r>
      <w:r w:rsidR="0095247C">
        <w:rPr>
          <w:rFonts w:ascii="Lato" w:eastAsia="Calibri" w:hAnsi="Lato" w:cs="Arial"/>
          <w:bCs/>
          <w:spacing w:val="4"/>
          <w:sz w:val="22"/>
          <w:szCs w:val="22"/>
          <w:lang w:eastAsia="en-US"/>
        </w:rPr>
        <w:t xml:space="preserve"> </w:t>
      </w:r>
      <w:r w:rsidRPr="001C1C6C">
        <w:rPr>
          <w:rFonts w:ascii="Lato" w:eastAsia="Calibri" w:hAnsi="Lato" w:cs="Arial"/>
          <w:bCs/>
          <w:spacing w:val="4"/>
          <w:sz w:val="22"/>
          <w:szCs w:val="22"/>
          <w:lang w:eastAsia="en-US"/>
        </w:rPr>
        <w:t>jako grunt</w:t>
      </w:r>
      <w:r>
        <w:rPr>
          <w:rFonts w:ascii="Lato" w:eastAsia="Calibri" w:hAnsi="Lato" w:cs="Arial"/>
          <w:bCs/>
          <w:spacing w:val="4"/>
          <w:sz w:val="22"/>
          <w:szCs w:val="22"/>
          <w:lang w:eastAsia="en-US"/>
        </w:rPr>
        <w:t>u</w:t>
      </w:r>
      <w:r w:rsidRPr="001C1C6C">
        <w:rPr>
          <w:rFonts w:ascii="Lato" w:eastAsia="Calibri" w:hAnsi="Lato" w:cs="Arial"/>
          <w:bCs/>
          <w:spacing w:val="4"/>
          <w:sz w:val="22"/>
          <w:szCs w:val="22"/>
          <w:lang w:eastAsia="en-US"/>
        </w:rPr>
        <w:t xml:space="preserve"> stanowiące</w:t>
      </w:r>
      <w:r>
        <w:rPr>
          <w:rFonts w:ascii="Lato" w:eastAsia="Calibri" w:hAnsi="Lato" w:cs="Arial"/>
          <w:bCs/>
          <w:spacing w:val="4"/>
          <w:sz w:val="22"/>
          <w:szCs w:val="22"/>
          <w:lang w:eastAsia="en-US"/>
        </w:rPr>
        <w:t>go</w:t>
      </w:r>
      <w:r w:rsidRPr="001C1C6C">
        <w:rPr>
          <w:rFonts w:ascii="Lato" w:eastAsia="Calibri" w:hAnsi="Lato" w:cs="Arial"/>
          <w:bCs/>
          <w:spacing w:val="4"/>
          <w:sz w:val="22"/>
          <w:szCs w:val="22"/>
          <w:lang w:eastAsia="en-US"/>
        </w:rPr>
        <w:t xml:space="preserve"> obszar kolejowy jest niezgodne z rzeczywistym stanem rzeczy. </w:t>
      </w:r>
    </w:p>
    <w:p w14:paraId="48876E3C" w14:textId="3BD8979F" w:rsidR="005517A5" w:rsidRPr="001C1C6C" w:rsidRDefault="002777FD" w:rsidP="00FA03A5">
      <w:pPr>
        <w:spacing w:after="240" w:line="240" w:lineRule="exact"/>
        <w:jc w:val="both"/>
        <w:rPr>
          <w:rFonts w:ascii="Lato" w:eastAsia="Calibri" w:hAnsi="Lato" w:cs="Arial"/>
          <w:bCs/>
          <w:spacing w:val="4"/>
          <w:sz w:val="22"/>
          <w:szCs w:val="22"/>
          <w:lang w:eastAsia="en-US"/>
        </w:rPr>
      </w:pPr>
      <w:bookmarkStart w:id="7" w:name="_Hlk113285191"/>
      <w:r w:rsidRPr="001C1C6C">
        <w:rPr>
          <w:rFonts w:ascii="Lato" w:eastAsia="Calibri" w:hAnsi="Lato" w:cs="Arial"/>
          <w:bCs/>
          <w:spacing w:val="4"/>
          <w:sz w:val="22"/>
          <w:szCs w:val="22"/>
          <w:lang w:eastAsia="en-US"/>
        </w:rPr>
        <w:t>Analiza kontrolowanej decyzji wykazała, że w</w:t>
      </w:r>
      <w:r w:rsidR="00F524F5" w:rsidRPr="001C1C6C">
        <w:rPr>
          <w:rFonts w:ascii="Lato" w:eastAsia="Calibri" w:hAnsi="Lato" w:cs="Arial"/>
          <w:bCs/>
          <w:spacing w:val="4"/>
          <w:sz w:val="22"/>
          <w:szCs w:val="22"/>
          <w:lang w:eastAsia="en-US"/>
        </w:rPr>
        <w:t xml:space="preserve"> tabeli nr 13</w:t>
      </w:r>
      <w:r w:rsidR="00F524F5" w:rsidRPr="001C1C6C">
        <w:rPr>
          <w:rFonts w:ascii="Lato" w:hAnsi="Lato"/>
          <w:bCs/>
          <w:sz w:val="22"/>
          <w:szCs w:val="22"/>
        </w:rPr>
        <w:t xml:space="preserve"> </w:t>
      </w:r>
      <w:r w:rsidR="00F524F5" w:rsidRPr="001C1C6C">
        <w:rPr>
          <w:rFonts w:ascii="Lato" w:eastAsia="Calibri" w:hAnsi="Lato" w:cs="Arial"/>
          <w:bCs/>
          <w:spacing w:val="4"/>
          <w:sz w:val="22"/>
          <w:szCs w:val="22"/>
          <w:lang w:eastAsia="en-US"/>
        </w:rPr>
        <w:t xml:space="preserve">określającej nieruchomości, </w:t>
      </w:r>
      <w:r w:rsidR="00E14BAD" w:rsidRPr="001C1C6C">
        <w:rPr>
          <w:rFonts w:ascii="Lato" w:eastAsia="Calibri" w:hAnsi="Lato" w:cs="Arial"/>
          <w:bCs/>
          <w:spacing w:val="4"/>
          <w:sz w:val="22"/>
          <w:szCs w:val="22"/>
          <w:lang w:eastAsia="en-US"/>
        </w:rPr>
        <w:br/>
      </w:r>
      <w:r w:rsidR="00F524F5" w:rsidRPr="001C1C6C">
        <w:rPr>
          <w:rFonts w:ascii="Lato" w:eastAsia="Calibri" w:hAnsi="Lato" w:cs="Arial"/>
          <w:bCs/>
          <w:spacing w:val="4"/>
          <w:sz w:val="22"/>
          <w:szCs w:val="22"/>
          <w:lang w:eastAsia="en-US"/>
        </w:rPr>
        <w:t xml:space="preserve">w stosunku do których decyzja o ustaleniu lokalizacji strategicznej inwestycji w sektorze naftowym ma wywołać skutek, o którym mowa w </w:t>
      </w:r>
      <w:hyperlink r:id="rId13" w:history="1">
        <w:r w:rsidR="00F524F5" w:rsidRPr="001C1C6C">
          <w:rPr>
            <w:rStyle w:val="Hipercze"/>
            <w:rFonts w:ascii="Lato" w:eastAsia="Calibri" w:hAnsi="Lato" w:cs="Arial"/>
            <w:bCs/>
            <w:color w:val="auto"/>
            <w:spacing w:val="4"/>
            <w:sz w:val="22"/>
            <w:szCs w:val="22"/>
            <w:u w:val="none"/>
            <w:lang w:eastAsia="en-US"/>
          </w:rPr>
          <w:t>art. 30 ust. 1</w:t>
        </w:r>
      </w:hyperlink>
      <w:r w:rsidR="00F524F5" w:rsidRPr="001C1C6C">
        <w:rPr>
          <w:rFonts w:ascii="Lato" w:eastAsia="Calibri" w:hAnsi="Lato" w:cs="Arial"/>
          <w:bCs/>
          <w:spacing w:val="4"/>
          <w:sz w:val="22"/>
          <w:szCs w:val="22"/>
          <w:lang w:eastAsia="en-US"/>
        </w:rPr>
        <w:t>, w tym m.in. gruntów objętych obszarem kolejowym, działk</w:t>
      </w:r>
      <w:r w:rsidR="00347BA3" w:rsidRPr="001C1C6C">
        <w:rPr>
          <w:rFonts w:ascii="Lato" w:eastAsia="Calibri" w:hAnsi="Lato" w:cs="Arial"/>
          <w:bCs/>
          <w:spacing w:val="4"/>
          <w:sz w:val="22"/>
          <w:szCs w:val="22"/>
          <w:lang w:eastAsia="en-US"/>
        </w:rPr>
        <w:t>a</w:t>
      </w:r>
      <w:r w:rsidR="00F524F5" w:rsidRPr="001C1C6C">
        <w:rPr>
          <w:rFonts w:ascii="Lato" w:eastAsia="Calibri" w:hAnsi="Lato" w:cs="Arial"/>
          <w:bCs/>
          <w:spacing w:val="4"/>
          <w:sz w:val="22"/>
          <w:szCs w:val="22"/>
          <w:lang w:eastAsia="en-US"/>
        </w:rPr>
        <w:t xml:space="preserve"> </w:t>
      </w:r>
      <w:r w:rsidR="00FA03A5" w:rsidRPr="001C1C6C">
        <w:rPr>
          <w:rFonts w:ascii="Lato" w:eastAsia="Calibri" w:hAnsi="Lato" w:cs="Arial"/>
          <w:bCs/>
          <w:spacing w:val="4"/>
          <w:sz w:val="22"/>
          <w:szCs w:val="22"/>
          <w:lang w:eastAsia="en-US"/>
        </w:rPr>
        <w:t xml:space="preserve">nr 46, obręb Sucharzewo oraz działka nr 182, obręb Sędowo zostały </w:t>
      </w:r>
      <w:r w:rsidR="00A3534B">
        <w:rPr>
          <w:rFonts w:ascii="Lato" w:eastAsia="Calibri" w:hAnsi="Lato" w:cs="Arial"/>
          <w:bCs/>
          <w:spacing w:val="4"/>
          <w:sz w:val="22"/>
          <w:szCs w:val="22"/>
          <w:lang w:eastAsia="en-US"/>
        </w:rPr>
        <w:t xml:space="preserve">oznaczone </w:t>
      </w:r>
      <w:r w:rsidR="00FA03A5" w:rsidRPr="001C1C6C">
        <w:rPr>
          <w:rFonts w:ascii="Lato" w:eastAsia="Calibri" w:hAnsi="Lato" w:cs="Arial"/>
          <w:bCs/>
          <w:spacing w:val="4"/>
          <w:sz w:val="22"/>
          <w:szCs w:val="22"/>
          <w:lang w:eastAsia="en-US"/>
        </w:rPr>
        <w:t xml:space="preserve">w kolumnie nr 7 </w:t>
      </w:r>
      <w:r w:rsidR="00A3534B">
        <w:rPr>
          <w:rFonts w:ascii="Lato" w:eastAsia="Calibri" w:hAnsi="Lato" w:cs="Arial"/>
          <w:bCs/>
          <w:spacing w:val="4"/>
          <w:sz w:val="22"/>
          <w:szCs w:val="22"/>
          <w:lang w:eastAsia="en-US"/>
        </w:rPr>
        <w:t xml:space="preserve">pn. </w:t>
      </w:r>
      <w:r w:rsidR="00FA03A5" w:rsidRPr="001C1C6C">
        <w:rPr>
          <w:rFonts w:ascii="Lato" w:eastAsia="Calibri" w:hAnsi="Lato" w:cs="Arial"/>
          <w:bCs/>
          <w:spacing w:val="4"/>
          <w:sz w:val="22"/>
          <w:szCs w:val="22"/>
          <w:lang w:eastAsia="en-US"/>
        </w:rPr>
        <w:t xml:space="preserve">„Grunty stanowiące własność Skarbu Państwa pokryte wodami, grunty stanowiące pas drogowy drogi publicznej, grunty objęte obszarem kolejowym” </w:t>
      </w:r>
      <w:r w:rsidR="00A3534B">
        <w:rPr>
          <w:rFonts w:ascii="Lato" w:eastAsia="Calibri" w:hAnsi="Lato" w:cs="Arial"/>
          <w:bCs/>
          <w:spacing w:val="4"/>
          <w:sz w:val="22"/>
          <w:szCs w:val="22"/>
          <w:lang w:eastAsia="en-US"/>
        </w:rPr>
        <w:t xml:space="preserve">jako </w:t>
      </w:r>
      <w:r w:rsidR="00FA03A5" w:rsidRPr="001C1C6C">
        <w:rPr>
          <w:rFonts w:ascii="Lato" w:eastAsia="Calibri" w:hAnsi="Lato" w:cs="Arial"/>
          <w:bCs/>
          <w:spacing w:val="4"/>
          <w:sz w:val="22"/>
          <w:szCs w:val="22"/>
          <w:lang w:eastAsia="en-US"/>
        </w:rPr>
        <w:t>„Tk”. Dodatkowo</w:t>
      </w:r>
      <w:r w:rsidR="00FA03A5" w:rsidRPr="001C1C6C">
        <w:rPr>
          <w:rFonts w:ascii="Lato" w:hAnsi="Lato"/>
          <w:bCs/>
          <w:sz w:val="22"/>
          <w:szCs w:val="22"/>
        </w:rPr>
        <w:t xml:space="preserve"> </w:t>
      </w:r>
      <w:r w:rsidR="00FA03A5" w:rsidRPr="001C1C6C">
        <w:rPr>
          <w:rFonts w:ascii="Lato" w:eastAsia="Calibri" w:hAnsi="Lato" w:cs="Arial"/>
          <w:bCs/>
          <w:spacing w:val="4"/>
          <w:sz w:val="22"/>
          <w:szCs w:val="22"/>
          <w:lang w:eastAsia="en-US"/>
        </w:rPr>
        <w:t>w</w:t>
      </w:r>
      <w:r w:rsidR="004810CD" w:rsidRPr="001C1C6C">
        <w:rPr>
          <w:rFonts w:ascii="Lato" w:eastAsia="Calibri" w:hAnsi="Lato" w:cs="Arial"/>
          <w:bCs/>
          <w:spacing w:val="4"/>
          <w:sz w:val="22"/>
          <w:szCs w:val="22"/>
          <w:lang w:eastAsia="en-US"/>
        </w:rPr>
        <w:t xml:space="preserve"> tabeli nr </w:t>
      </w:r>
      <w:r w:rsidR="00FA03A5" w:rsidRPr="001C1C6C">
        <w:rPr>
          <w:rFonts w:ascii="Lato" w:eastAsia="Calibri" w:hAnsi="Lato" w:cs="Arial"/>
          <w:bCs/>
          <w:spacing w:val="4"/>
          <w:sz w:val="22"/>
          <w:szCs w:val="22"/>
          <w:lang w:eastAsia="en-US"/>
        </w:rPr>
        <w:t>16</w:t>
      </w:r>
      <w:r w:rsidR="004810CD" w:rsidRPr="001C1C6C">
        <w:rPr>
          <w:rFonts w:ascii="Lato" w:eastAsia="Calibri" w:hAnsi="Lato" w:cs="Arial"/>
          <w:bCs/>
          <w:spacing w:val="4"/>
          <w:sz w:val="22"/>
          <w:szCs w:val="22"/>
          <w:lang w:eastAsia="en-US"/>
        </w:rPr>
        <w:t xml:space="preserve"> </w:t>
      </w:r>
      <w:bookmarkEnd w:id="7"/>
      <w:r w:rsidR="004810CD" w:rsidRPr="001C1C6C">
        <w:rPr>
          <w:rFonts w:ascii="Lato" w:eastAsia="Calibri" w:hAnsi="Lato" w:cs="Arial"/>
          <w:bCs/>
          <w:spacing w:val="4"/>
          <w:sz w:val="22"/>
          <w:szCs w:val="22"/>
          <w:lang w:eastAsia="en-US"/>
        </w:rPr>
        <w:t xml:space="preserve">organ I instancji </w:t>
      </w:r>
      <w:bookmarkStart w:id="8" w:name="_Hlk113288198"/>
      <w:r w:rsidR="002764A5" w:rsidRPr="001C1C6C">
        <w:rPr>
          <w:rFonts w:ascii="Lato" w:eastAsia="Calibri" w:hAnsi="Lato" w:cs="Arial"/>
          <w:bCs/>
          <w:spacing w:val="4"/>
          <w:sz w:val="22"/>
          <w:szCs w:val="22"/>
          <w:lang w:eastAsia="en-US"/>
        </w:rPr>
        <w:t xml:space="preserve">uwzględnił ww. działki jako nieruchomości, na których krzyżują się istniejące </w:t>
      </w:r>
      <w:r w:rsidR="00E14BAD" w:rsidRPr="001C1C6C">
        <w:rPr>
          <w:rFonts w:ascii="Lato" w:eastAsia="Calibri" w:hAnsi="Lato" w:cs="Arial"/>
          <w:bCs/>
          <w:spacing w:val="4"/>
          <w:sz w:val="22"/>
          <w:szCs w:val="22"/>
          <w:lang w:eastAsia="en-US"/>
        </w:rPr>
        <w:br/>
      </w:r>
      <w:r w:rsidR="002764A5" w:rsidRPr="001C1C6C">
        <w:rPr>
          <w:rFonts w:ascii="Lato" w:eastAsia="Calibri" w:hAnsi="Lato" w:cs="Arial"/>
          <w:bCs/>
          <w:spacing w:val="4"/>
          <w:sz w:val="22"/>
          <w:szCs w:val="22"/>
          <w:lang w:eastAsia="en-US"/>
        </w:rPr>
        <w:t xml:space="preserve">i modernizowane rurociągi z obszarem kolejowym, jednocześnie jednak wskazując, </w:t>
      </w:r>
      <w:r w:rsidR="00E14BAD" w:rsidRPr="001C1C6C">
        <w:rPr>
          <w:rFonts w:ascii="Lato" w:eastAsia="Calibri" w:hAnsi="Lato" w:cs="Arial"/>
          <w:bCs/>
          <w:spacing w:val="4"/>
          <w:sz w:val="22"/>
          <w:szCs w:val="22"/>
          <w:lang w:eastAsia="en-US"/>
        </w:rPr>
        <w:br/>
      </w:r>
      <w:r w:rsidR="002764A5" w:rsidRPr="001C1C6C">
        <w:rPr>
          <w:rFonts w:ascii="Lato" w:eastAsia="Calibri" w:hAnsi="Lato" w:cs="Arial"/>
          <w:bCs/>
          <w:spacing w:val="4"/>
          <w:sz w:val="22"/>
          <w:szCs w:val="22"/>
          <w:lang w:eastAsia="en-US"/>
        </w:rPr>
        <w:t>że znajdująca się na nich linia kolejowa została rozebrana.</w:t>
      </w:r>
    </w:p>
    <w:bookmarkEnd w:id="8"/>
    <w:p w14:paraId="449F813E" w14:textId="4DE41831" w:rsidR="002764A5" w:rsidRPr="001C1C6C" w:rsidRDefault="00247F16" w:rsidP="004810CD">
      <w:pPr>
        <w:spacing w:after="240" w:line="240" w:lineRule="exact"/>
        <w:jc w:val="both"/>
        <w:outlineLvl w:val="0"/>
        <w:rPr>
          <w:rFonts w:ascii="Lato" w:eastAsia="Calibri" w:hAnsi="Lato" w:cs="Arial"/>
          <w:bCs/>
          <w:spacing w:val="4"/>
          <w:sz w:val="22"/>
          <w:szCs w:val="22"/>
          <w:lang w:eastAsia="en-US"/>
        </w:rPr>
      </w:pPr>
      <w:r w:rsidRPr="001C1C6C">
        <w:rPr>
          <w:rFonts w:ascii="Lato" w:eastAsia="Calibri" w:hAnsi="Lato" w:cs="Arial"/>
          <w:bCs/>
          <w:spacing w:val="4"/>
          <w:sz w:val="22"/>
          <w:szCs w:val="22"/>
          <w:lang w:eastAsia="en-US"/>
        </w:rPr>
        <w:t>Jak podnosi skarżąca spółka,</w:t>
      </w:r>
      <w:r w:rsidR="004810CD" w:rsidRPr="001C1C6C">
        <w:rPr>
          <w:rFonts w:ascii="Lato" w:eastAsia="Calibri" w:hAnsi="Lato" w:cs="Arial"/>
          <w:bCs/>
          <w:spacing w:val="4"/>
          <w:sz w:val="22"/>
          <w:szCs w:val="22"/>
          <w:lang w:eastAsia="en-US"/>
        </w:rPr>
        <w:t xml:space="preserve"> </w:t>
      </w:r>
      <w:bookmarkStart w:id="9" w:name="_Hlk113277158"/>
      <w:r w:rsidRPr="001C1C6C">
        <w:rPr>
          <w:rFonts w:ascii="Lato" w:eastAsia="Calibri" w:hAnsi="Lato" w:cs="Arial"/>
          <w:bCs/>
          <w:spacing w:val="4"/>
          <w:sz w:val="22"/>
          <w:szCs w:val="22"/>
          <w:lang w:eastAsia="en-US"/>
        </w:rPr>
        <w:t>przez działki nr 46 i 182 dawniej przebiegała linii kolejowa na odcinku Mogilno – Barcin, niemniej jednak ww. odcinek linii kolejowej uległ likwidacji zarówno pod względem prawnym, na mocy decyzji z dnia 14 maja 1993 r., jak i pod względem fizycznym. Jak słusznie zresztą wskazał organ I instancji, na wymienionych gruntach brak jest infrastruktury kolejowej. Linia kolejowa została bowiem fizycznie rozebrana.</w:t>
      </w:r>
    </w:p>
    <w:bookmarkEnd w:id="9"/>
    <w:p w14:paraId="13901D38" w14:textId="02ED426D" w:rsidR="00673D94" w:rsidRPr="001C1C6C" w:rsidRDefault="004810CD" w:rsidP="004810CD">
      <w:pPr>
        <w:spacing w:after="240" w:line="240" w:lineRule="exact"/>
        <w:jc w:val="both"/>
        <w:outlineLvl w:val="0"/>
        <w:rPr>
          <w:rFonts w:ascii="Lato" w:eastAsia="Calibri" w:hAnsi="Lato" w:cs="Arial"/>
          <w:bCs/>
          <w:spacing w:val="4"/>
          <w:sz w:val="22"/>
          <w:szCs w:val="22"/>
          <w:lang w:eastAsia="en-US"/>
        </w:rPr>
      </w:pPr>
      <w:r w:rsidRPr="001C1C6C">
        <w:rPr>
          <w:rFonts w:ascii="Lato" w:eastAsia="Calibri" w:hAnsi="Lato" w:cs="Arial"/>
          <w:bCs/>
          <w:spacing w:val="4"/>
          <w:sz w:val="22"/>
          <w:szCs w:val="22"/>
          <w:lang w:eastAsia="en-US"/>
        </w:rPr>
        <w:t xml:space="preserve">Także inwestor we wniosku </w:t>
      </w:r>
      <w:bookmarkStart w:id="10" w:name="_Hlk113277338"/>
      <w:r w:rsidRPr="001C1C6C">
        <w:rPr>
          <w:rFonts w:ascii="Lato" w:eastAsia="Calibri" w:hAnsi="Lato" w:cs="Arial"/>
          <w:bCs/>
          <w:spacing w:val="4"/>
          <w:sz w:val="22"/>
          <w:szCs w:val="22"/>
          <w:lang w:eastAsia="en-US"/>
        </w:rPr>
        <w:t xml:space="preserve">o wydanie decyzji o ustaleniu lokalizacji strategicznej inwestycji w sektorze naftowym </w:t>
      </w:r>
      <w:bookmarkEnd w:id="10"/>
      <w:r w:rsidR="00083420" w:rsidRPr="001C1C6C">
        <w:rPr>
          <w:rFonts w:ascii="Lato" w:eastAsia="Calibri" w:hAnsi="Lato" w:cs="Arial"/>
          <w:bCs/>
          <w:spacing w:val="4"/>
          <w:sz w:val="22"/>
          <w:szCs w:val="22"/>
          <w:lang w:eastAsia="en-US"/>
        </w:rPr>
        <w:t xml:space="preserve">wskazał, że dotychczasowa linia kolejowa przebiegająca przez ww. działki jest nieczynna, a mimo to nieruchomości te zostały uwzględnione </w:t>
      </w:r>
      <w:r w:rsidR="00E14BAD" w:rsidRPr="001C1C6C">
        <w:rPr>
          <w:rFonts w:ascii="Lato" w:eastAsia="Calibri" w:hAnsi="Lato" w:cs="Arial"/>
          <w:bCs/>
          <w:spacing w:val="4"/>
          <w:sz w:val="22"/>
          <w:szCs w:val="22"/>
          <w:lang w:eastAsia="en-US"/>
        </w:rPr>
        <w:br/>
      </w:r>
      <w:r w:rsidR="00083420" w:rsidRPr="001C1C6C">
        <w:rPr>
          <w:rFonts w:ascii="Lato" w:eastAsia="Calibri" w:hAnsi="Lato" w:cs="Arial"/>
          <w:bCs/>
          <w:spacing w:val="4"/>
          <w:sz w:val="22"/>
          <w:szCs w:val="22"/>
          <w:lang w:eastAsia="en-US"/>
        </w:rPr>
        <w:t xml:space="preserve">w tabeli dotyczącej skrzyżowania z gruntami objętymi obszarem kolejowym. </w:t>
      </w:r>
    </w:p>
    <w:p w14:paraId="3AF5B56B" w14:textId="52BB677F" w:rsidR="007D52FE" w:rsidRPr="001C1C6C" w:rsidRDefault="004810CD" w:rsidP="004810CD">
      <w:pPr>
        <w:spacing w:after="240" w:line="240" w:lineRule="exact"/>
        <w:jc w:val="both"/>
        <w:outlineLvl w:val="0"/>
        <w:rPr>
          <w:rFonts w:ascii="Lato" w:eastAsia="Calibri" w:hAnsi="Lato" w:cs="Arial"/>
          <w:bCs/>
          <w:spacing w:val="4"/>
          <w:sz w:val="22"/>
          <w:szCs w:val="22"/>
          <w:lang w:eastAsia="en-US"/>
        </w:rPr>
      </w:pPr>
      <w:r w:rsidRPr="001C1C6C">
        <w:rPr>
          <w:rFonts w:ascii="Lato" w:eastAsia="Calibri" w:hAnsi="Lato" w:cs="Arial"/>
          <w:bCs/>
          <w:spacing w:val="4"/>
          <w:sz w:val="22"/>
          <w:szCs w:val="22"/>
          <w:lang w:eastAsia="en-US"/>
        </w:rPr>
        <w:t xml:space="preserve">Minister stwierdził, iż zarówno inwestor we wniosku o wydanie decyzji o ustaleniu lokalizacji strategicznej inwestycji w sektorze naftowym, jak i Wojewoda Kujawsko-Pomorski w zaskarżonej decyzji oznaczyli </w:t>
      </w:r>
      <w:bookmarkStart w:id="11" w:name="_Hlk113277751"/>
      <w:r w:rsidRPr="001C1C6C">
        <w:rPr>
          <w:rFonts w:ascii="Lato" w:eastAsia="Calibri" w:hAnsi="Lato" w:cs="Arial"/>
          <w:bCs/>
          <w:spacing w:val="4"/>
          <w:sz w:val="22"/>
          <w:szCs w:val="22"/>
          <w:lang w:eastAsia="en-US"/>
        </w:rPr>
        <w:t xml:space="preserve">ww. </w:t>
      </w:r>
      <w:bookmarkStart w:id="12" w:name="_Hlk113284521"/>
      <w:r w:rsidRPr="001C1C6C">
        <w:rPr>
          <w:rFonts w:ascii="Lato" w:eastAsia="Calibri" w:hAnsi="Lato" w:cs="Arial"/>
          <w:bCs/>
          <w:spacing w:val="4"/>
          <w:sz w:val="22"/>
          <w:szCs w:val="22"/>
          <w:lang w:eastAsia="en-US"/>
        </w:rPr>
        <w:t>działk</w:t>
      </w:r>
      <w:bookmarkStart w:id="13" w:name="_Hlk113277759"/>
      <w:bookmarkEnd w:id="11"/>
      <w:bookmarkEnd w:id="12"/>
      <w:r w:rsidR="00E24789" w:rsidRPr="001C1C6C">
        <w:rPr>
          <w:rFonts w:ascii="Lato" w:eastAsia="Calibri" w:hAnsi="Lato" w:cs="Arial"/>
          <w:bCs/>
          <w:spacing w:val="4"/>
          <w:sz w:val="22"/>
          <w:szCs w:val="22"/>
          <w:lang w:eastAsia="en-US"/>
        </w:rPr>
        <w:t>ę</w:t>
      </w:r>
      <w:r w:rsidR="00673D94" w:rsidRPr="001C1C6C">
        <w:rPr>
          <w:rFonts w:ascii="Lato" w:eastAsia="Calibri" w:hAnsi="Lato" w:cs="Arial"/>
          <w:bCs/>
          <w:spacing w:val="4"/>
          <w:sz w:val="22"/>
          <w:szCs w:val="22"/>
          <w:lang w:eastAsia="en-US"/>
        </w:rPr>
        <w:t xml:space="preserve"> nr 46, obręb Sucharzewo oraz działkę nr 182, obręb Sędowo </w:t>
      </w:r>
      <w:r w:rsidRPr="001C1C6C">
        <w:rPr>
          <w:rFonts w:ascii="Lato" w:eastAsia="Calibri" w:hAnsi="Lato" w:cs="Arial"/>
          <w:bCs/>
          <w:spacing w:val="4"/>
          <w:sz w:val="22"/>
          <w:szCs w:val="22"/>
          <w:lang w:eastAsia="en-US"/>
        </w:rPr>
        <w:t>jako grunt objęty obszarem kolejowym</w:t>
      </w:r>
      <w:bookmarkEnd w:id="13"/>
      <w:r w:rsidRPr="001C1C6C">
        <w:rPr>
          <w:rFonts w:ascii="Lato" w:eastAsia="Calibri" w:hAnsi="Lato" w:cs="Arial"/>
          <w:bCs/>
          <w:spacing w:val="4"/>
          <w:sz w:val="22"/>
          <w:szCs w:val="22"/>
          <w:lang w:eastAsia="en-US"/>
        </w:rPr>
        <w:t xml:space="preserve"> oraz określili sposób, miejsce i warunki umieszczenia </w:t>
      </w:r>
      <w:r w:rsidR="007D52FE" w:rsidRPr="001C1C6C">
        <w:rPr>
          <w:rFonts w:ascii="Lato" w:eastAsia="Calibri" w:hAnsi="Lato" w:cs="Arial"/>
          <w:bCs/>
          <w:spacing w:val="4"/>
          <w:sz w:val="22"/>
          <w:szCs w:val="22"/>
          <w:lang w:eastAsia="en-US"/>
        </w:rPr>
        <w:t>projektowan</w:t>
      </w:r>
      <w:r w:rsidR="00E24789" w:rsidRPr="001C1C6C">
        <w:rPr>
          <w:rFonts w:ascii="Lato" w:eastAsia="Calibri" w:hAnsi="Lato" w:cs="Arial"/>
          <w:bCs/>
          <w:spacing w:val="4"/>
          <w:sz w:val="22"/>
          <w:szCs w:val="22"/>
          <w:lang w:eastAsia="en-US"/>
        </w:rPr>
        <w:t>ych</w:t>
      </w:r>
      <w:r w:rsidR="007D52FE" w:rsidRPr="001C1C6C">
        <w:rPr>
          <w:rFonts w:ascii="Lato" w:eastAsia="Calibri" w:hAnsi="Lato" w:cs="Arial"/>
          <w:bCs/>
          <w:spacing w:val="4"/>
          <w:sz w:val="22"/>
          <w:szCs w:val="22"/>
          <w:lang w:eastAsia="en-US"/>
        </w:rPr>
        <w:t xml:space="preserve"> i modernizowan</w:t>
      </w:r>
      <w:r w:rsidR="00E24789" w:rsidRPr="001C1C6C">
        <w:rPr>
          <w:rFonts w:ascii="Lato" w:eastAsia="Calibri" w:hAnsi="Lato" w:cs="Arial"/>
          <w:bCs/>
          <w:spacing w:val="4"/>
          <w:sz w:val="22"/>
          <w:szCs w:val="22"/>
          <w:lang w:eastAsia="en-US"/>
        </w:rPr>
        <w:t>ych</w:t>
      </w:r>
      <w:r w:rsidR="007D52FE" w:rsidRPr="001C1C6C">
        <w:rPr>
          <w:rFonts w:ascii="Lato" w:eastAsia="Calibri" w:hAnsi="Lato" w:cs="Arial"/>
          <w:bCs/>
          <w:spacing w:val="4"/>
          <w:sz w:val="22"/>
          <w:szCs w:val="22"/>
          <w:lang w:eastAsia="en-US"/>
        </w:rPr>
        <w:t xml:space="preserve"> rurociąg</w:t>
      </w:r>
      <w:r w:rsidR="00E24789" w:rsidRPr="001C1C6C">
        <w:rPr>
          <w:rFonts w:ascii="Lato" w:eastAsia="Calibri" w:hAnsi="Lato" w:cs="Arial"/>
          <w:bCs/>
          <w:spacing w:val="4"/>
          <w:sz w:val="22"/>
          <w:szCs w:val="22"/>
          <w:lang w:eastAsia="en-US"/>
        </w:rPr>
        <w:t>ów</w:t>
      </w:r>
      <w:r w:rsidR="007D52FE" w:rsidRPr="001C1C6C">
        <w:rPr>
          <w:rFonts w:ascii="Lato" w:eastAsia="Calibri" w:hAnsi="Lato" w:cs="Arial"/>
          <w:bCs/>
          <w:spacing w:val="4"/>
          <w:sz w:val="22"/>
          <w:szCs w:val="22"/>
          <w:lang w:eastAsia="en-US"/>
        </w:rPr>
        <w:t xml:space="preserve">. </w:t>
      </w:r>
    </w:p>
    <w:p w14:paraId="292FD271" w14:textId="6DF7FC0A" w:rsidR="007D52FE" w:rsidRPr="001C1C6C" w:rsidRDefault="007D52FE" w:rsidP="007D52FE">
      <w:pPr>
        <w:spacing w:after="240" w:line="240" w:lineRule="exact"/>
        <w:jc w:val="both"/>
        <w:outlineLvl w:val="0"/>
        <w:rPr>
          <w:rFonts w:ascii="Lato" w:eastAsia="Calibri" w:hAnsi="Lato" w:cs="Arial"/>
          <w:bCs/>
          <w:spacing w:val="4"/>
          <w:sz w:val="22"/>
          <w:szCs w:val="22"/>
          <w:lang w:eastAsia="en-US"/>
        </w:rPr>
      </w:pPr>
      <w:r w:rsidRPr="001C1C6C">
        <w:rPr>
          <w:rFonts w:ascii="Lato" w:eastAsia="Calibri" w:hAnsi="Lato" w:cs="Arial"/>
          <w:bCs/>
          <w:spacing w:val="4"/>
          <w:sz w:val="22"/>
          <w:szCs w:val="22"/>
          <w:lang w:eastAsia="en-US"/>
        </w:rPr>
        <w:t xml:space="preserve">W piśmie z dnia 26 kwietnia 2023 r., znak: </w:t>
      </w:r>
      <w:r w:rsidRPr="0088787D">
        <w:rPr>
          <w:rFonts w:ascii="Lato" w:eastAsia="Calibri" w:hAnsi="Lato" w:cs="Arial"/>
          <w:bCs/>
          <w:spacing w:val="4"/>
          <w:sz w:val="22"/>
          <w:szCs w:val="22"/>
          <w:highlight w:val="black"/>
          <w:lang w:eastAsia="en-US"/>
        </w:rPr>
        <w:t>KW/RP3454/23/000027</w:t>
      </w:r>
      <w:r w:rsidRPr="001C1C6C">
        <w:rPr>
          <w:rFonts w:ascii="Lato" w:eastAsia="Calibri" w:hAnsi="Lato" w:cs="Arial"/>
          <w:bCs/>
          <w:spacing w:val="4"/>
          <w:sz w:val="22"/>
          <w:szCs w:val="22"/>
          <w:lang w:eastAsia="en-US"/>
        </w:rPr>
        <w:t>, inwestor wskazał, iż „wg wypisu z rejestru gruntu oraz zgodnie z mapą na wskazanych działkach znajduje się teren kolejowy tzn. przyjęt</w:t>
      </w:r>
      <w:r w:rsidR="007929AF">
        <w:rPr>
          <w:rFonts w:ascii="Lato" w:eastAsia="Calibri" w:hAnsi="Lato" w:cs="Arial"/>
          <w:bCs/>
          <w:spacing w:val="4"/>
          <w:sz w:val="22"/>
          <w:szCs w:val="22"/>
          <w:lang w:eastAsia="en-US"/>
        </w:rPr>
        <w:t>o</w:t>
      </w:r>
      <w:r w:rsidRPr="001C1C6C">
        <w:rPr>
          <w:rFonts w:ascii="Lato" w:eastAsia="Calibri" w:hAnsi="Lato" w:cs="Arial"/>
          <w:bCs/>
          <w:spacing w:val="4"/>
          <w:sz w:val="22"/>
          <w:szCs w:val="22"/>
          <w:lang w:eastAsia="en-US"/>
        </w:rPr>
        <w:t xml:space="preserve"> w ewidencji gruntów i budynków oznaczenie gruntów </w:t>
      </w:r>
      <w:r w:rsidRPr="001C1C6C">
        <w:rPr>
          <w:rFonts w:ascii="Lato" w:eastAsia="Calibri" w:hAnsi="Lato" w:cs="Arial"/>
          <w:bCs/>
          <w:spacing w:val="4"/>
          <w:sz w:val="22"/>
          <w:szCs w:val="22"/>
          <w:lang w:eastAsia="en-US"/>
        </w:rPr>
        <w:lastRenderedPageBreak/>
        <w:t>zajętych pod obiekty, budowle i inne urządzenia przeznaczone do wykonywania i obsługi ruchu kolejowego”.</w:t>
      </w:r>
    </w:p>
    <w:p w14:paraId="09FDDB44" w14:textId="6319F7E8" w:rsidR="00D31B4F" w:rsidRPr="001C1C6C" w:rsidRDefault="004810CD" w:rsidP="004810CD">
      <w:pPr>
        <w:spacing w:after="240" w:line="240" w:lineRule="exact"/>
        <w:jc w:val="both"/>
        <w:outlineLvl w:val="0"/>
        <w:rPr>
          <w:rFonts w:ascii="Lato" w:eastAsia="Calibri" w:hAnsi="Lato" w:cs="Arial"/>
          <w:bCs/>
          <w:spacing w:val="4"/>
          <w:sz w:val="22"/>
          <w:szCs w:val="22"/>
          <w:lang w:eastAsia="en-US"/>
        </w:rPr>
      </w:pPr>
      <w:r w:rsidRPr="001C1C6C">
        <w:rPr>
          <w:rFonts w:ascii="Lato" w:eastAsia="Calibri" w:hAnsi="Lato" w:cs="Arial"/>
          <w:bCs/>
          <w:spacing w:val="4"/>
          <w:sz w:val="22"/>
          <w:szCs w:val="22"/>
          <w:lang w:eastAsia="en-US"/>
        </w:rPr>
        <w:t xml:space="preserve">W kontekście powyższego, zauważyć należy, iż zgodnie z art. 4 ust. 1 pkt 11 specustawy naftowej, wniosek o wydanie decyzji o ustaleniu lokalizacji strategicznej inwestycji </w:t>
      </w:r>
      <w:r w:rsidR="00E14BAD" w:rsidRPr="001C1C6C">
        <w:rPr>
          <w:rFonts w:ascii="Lato" w:eastAsia="Calibri" w:hAnsi="Lato" w:cs="Arial"/>
          <w:bCs/>
          <w:spacing w:val="4"/>
          <w:sz w:val="22"/>
          <w:szCs w:val="22"/>
          <w:lang w:eastAsia="en-US"/>
        </w:rPr>
        <w:br/>
      </w:r>
      <w:r w:rsidRPr="001C1C6C">
        <w:rPr>
          <w:rFonts w:ascii="Lato" w:eastAsia="Calibri" w:hAnsi="Lato" w:cs="Arial"/>
          <w:bCs/>
          <w:spacing w:val="4"/>
          <w:sz w:val="22"/>
          <w:szCs w:val="22"/>
          <w:lang w:eastAsia="en-US"/>
        </w:rPr>
        <w:t>w sektorze naftowym zawiera wskazanie nieruchomości, w tym gruntów (…) objętych obszarem kolejowym, jeżeli strategiczna inwestycja w sektorze naftowym wymaga przejścia przez te grunty (…), w stosunku do których decyzja o ustaleniu lokalizacji strategicznej inwestycji w sektorze naftowym ma wywołać skutek, o którym mowa w art. 30 ust. 1; jeżeli strategiczna inwestycja w sektorze naftowym wymaga przejścia przez (…) grunty objęte obszarem kolejowym, inwestor określa sposób, miejsce i warunki umieszczenia na tych gruntach obiektów lub urządzeń.</w:t>
      </w:r>
    </w:p>
    <w:p w14:paraId="2F905F3D" w14:textId="54B77316" w:rsidR="004810CD" w:rsidRPr="001C1C6C" w:rsidRDefault="004810CD" w:rsidP="004810CD">
      <w:pPr>
        <w:spacing w:after="240" w:line="240" w:lineRule="exact"/>
        <w:jc w:val="both"/>
        <w:outlineLvl w:val="0"/>
        <w:rPr>
          <w:rFonts w:ascii="Lato" w:eastAsia="Calibri" w:hAnsi="Lato" w:cs="Arial"/>
          <w:bCs/>
          <w:spacing w:val="4"/>
          <w:sz w:val="22"/>
          <w:szCs w:val="22"/>
          <w:lang w:eastAsia="en-US"/>
        </w:rPr>
      </w:pPr>
      <w:r w:rsidRPr="001C1C6C">
        <w:rPr>
          <w:rFonts w:ascii="Lato" w:eastAsia="Calibri" w:hAnsi="Lato" w:cs="Arial"/>
          <w:bCs/>
          <w:spacing w:val="4"/>
          <w:sz w:val="22"/>
          <w:szCs w:val="22"/>
          <w:lang w:eastAsia="en-US"/>
        </w:rPr>
        <w:t xml:space="preserve">Zgodnie natomiast art. 8 ust. 1 pkt 9 specustawy naftowej, decyzja o ustaleniu lokalizacji strategicznej inwestycji w sektorze naftowym zawiera oznaczenie nieruchomości, w tym (…) gruntów objętych obszarem kolejowym, jeżeli strategiczna inwestycja w sektorze naftowym wymaga przejścia przez te grunty (…), w stosunku do których decyzja </w:t>
      </w:r>
      <w:r w:rsidR="00E14BAD" w:rsidRPr="001C1C6C">
        <w:rPr>
          <w:rFonts w:ascii="Lato" w:eastAsia="Calibri" w:hAnsi="Lato" w:cs="Arial"/>
          <w:bCs/>
          <w:spacing w:val="4"/>
          <w:sz w:val="22"/>
          <w:szCs w:val="22"/>
          <w:lang w:eastAsia="en-US"/>
        </w:rPr>
        <w:br/>
      </w:r>
      <w:r w:rsidRPr="001C1C6C">
        <w:rPr>
          <w:rFonts w:ascii="Lato" w:eastAsia="Calibri" w:hAnsi="Lato" w:cs="Arial"/>
          <w:bCs/>
          <w:spacing w:val="4"/>
          <w:sz w:val="22"/>
          <w:szCs w:val="22"/>
          <w:lang w:eastAsia="en-US"/>
        </w:rPr>
        <w:t xml:space="preserve">o ustaleniu lokalizacji strategicznej inwestycji w sektorze naftowym ma wywołać skutek, o którym mowa w art. 30 ust. 1 (ograniczenie sposobu korzystania z nieruchomości); jeżeli strategiczna inwestycja w sektorze naftowym wymaga przejścia przez (…) grunty objęte obszarem kolejowym, decyzja o ustaleniu lokalizacji strategicznej inwestycji </w:t>
      </w:r>
      <w:r w:rsidR="00E14BAD" w:rsidRPr="001C1C6C">
        <w:rPr>
          <w:rFonts w:ascii="Lato" w:eastAsia="Calibri" w:hAnsi="Lato" w:cs="Arial"/>
          <w:bCs/>
          <w:spacing w:val="4"/>
          <w:sz w:val="22"/>
          <w:szCs w:val="22"/>
          <w:lang w:eastAsia="en-US"/>
        </w:rPr>
        <w:br/>
      </w:r>
      <w:r w:rsidRPr="001C1C6C">
        <w:rPr>
          <w:rFonts w:ascii="Lato" w:eastAsia="Calibri" w:hAnsi="Lato" w:cs="Arial"/>
          <w:bCs/>
          <w:spacing w:val="4"/>
          <w:sz w:val="22"/>
          <w:szCs w:val="22"/>
          <w:lang w:eastAsia="en-US"/>
        </w:rPr>
        <w:t xml:space="preserve">w sektorze naftowym określa sposób, miejsce i warunki umieszczenia na tych gruntach obiektów lub urządzeń. </w:t>
      </w:r>
    </w:p>
    <w:p w14:paraId="50A264E6" w14:textId="7A7E4E06" w:rsidR="004810CD" w:rsidRPr="001C1C6C" w:rsidRDefault="004810CD" w:rsidP="004810CD">
      <w:pPr>
        <w:spacing w:after="240" w:line="240" w:lineRule="exact"/>
        <w:jc w:val="both"/>
        <w:outlineLvl w:val="0"/>
        <w:rPr>
          <w:rFonts w:ascii="Lato" w:eastAsia="Calibri" w:hAnsi="Lato" w:cs="Arial"/>
          <w:bCs/>
          <w:spacing w:val="4"/>
          <w:sz w:val="22"/>
          <w:szCs w:val="22"/>
          <w:lang w:eastAsia="en-US"/>
        </w:rPr>
      </w:pPr>
      <w:r w:rsidRPr="001C1C6C">
        <w:rPr>
          <w:rFonts w:ascii="Lato" w:eastAsia="Calibri" w:hAnsi="Lato" w:cs="Arial"/>
          <w:bCs/>
          <w:spacing w:val="4"/>
          <w:sz w:val="22"/>
          <w:szCs w:val="22"/>
          <w:lang w:eastAsia="en-US"/>
        </w:rPr>
        <w:t xml:space="preserve">Z treści wyżej wymienionej regulacji wyraźnie wynika, że powołane przepisy art. 4 ust. 1 pkt 11 i art. 8 ust. 1 pkt 9 specustawy naftowej, znajdują zastosowanie jedynie do gruntów objętych obszarem kolejowym, nie zaś do terenów kolejowych. Warto przy tym mieć na uwadze, iż pojęcie terenów kolejowych, jakim posłużono się w ewidencji gruntów </w:t>
      </w:r>
      <w:r w:rsidR="00C57C10" w:rsidRPr="001C1C6C">
        <w:rPr>
          <w:rFonts w:ascii="Lato" w:eastAsia="Calibri" w:hAnsi="Lato" w:cs="Arial"/>
          <w:bCs/>
          <w:spacing w:val="4"/>
          <w:sz w:val="22"/>
          <w:szCs w:val="22"/>
          <w:lang w:eastAsia="en-US"/>
        </w:rPr>
        <w:t xml:space="preserve">i na mapach do celów projektowych </w:t>
      </w:r>
      <w:r w:rsidRPr="001C1C6C">
        <w:rPr>
          <w:rFonts w:ascii="Lato" w:eastAsia="Calibri" w:hAnsi="Lato" w:cs="Arial"/>
          <w:bCs/>
          <w:spacing w:val="4"/>
          <w:sz w:val="22"/>
          <w:szCs w:val="22"/>
          <w:lang w:eastAsia="en-US"/>
        </w:rPr>
        <w:t>dla określenia rodzaju użytku</w:t>
      </w:r>
      <w:r w:rsidR="00C57C10" w:rsidRPr="001C1C6C">
        <w:rPr>
          <w:rFonts w:ascii="Lato" w:eastAsia="Calibri" w:hAnsi="Lato" w:cs="Arial"/>
          <w:bCs/>
          <w:spacing w:val="4"/>
          <w:sz w:val="22"/>
          <w:szCs w:val="22"/>
          <w:lang w:eastAsia="en-US"/>
        </w:rPr>
        <w:t xml:space="preserve"> omawianych działek nr 46 i 182</w:t>
      </w:r>
      <w:r w:rsidRPr="001C1C6C">
        <w:rPr>
          <w:rFonts w:ascii="Lato" w:eastAsia="Calibri" w:hAnsi="Lato" w:cs="Arial"/>
          <w:bCs/>
          <w:spacing w:val="4"/>
          <w:sz w:val="22"/>
          <w:szCs w:val="22"/>
          <w:lang w:eastAsia="en-US"/>
        </w:rPr>
        <w:t xml:space="preserve">, a pojęcie obszaru kolejowego, nie są pojęciami tożsamymi. W świetle tego, brak jest uzasadnienia, aby ww. przepisy specustawy naftowej stosować w odniesieniu do innych terenów, niż do gruntów objętych obszarem kolejowym. </w:t>
      </w:r>
    </w:p>
    <w:p w14:paraId="1F852A84" w14:textId="08BE53A0" w:rsidR="0095593E" w:rsidRPr="001C1C6C" w:rsidRDefault="004810CD" w:rsidP="004810CD">
      <w:pPr>
        <w:spacing w:after="240" w:line="240" w:lineRule="exact"/>
        <w:jc w:val="both"/>
        <w:outlineLvl w:val="0"/>
        <w:rPr>
          <w:rFonts w:ascii="Lato" w:eastAsia="Calibri" w:hAnsi="Lato" w:cs="Arial"/>
          <w:spacing w:val="4"/>
          <w:sz w:val="22"/>
          <w:szCs w:val="22"/>
          <w:lang w:eastAsia="en-US"/>
        </w:rPr>
      </w:pPr>
      <w:r w:rsidRPr="001C1C6C">
        <w:rPr>
          <w:rFonts w:ascii="Lato" w:eastAsia="Calibri" w:hAnsi="Lato" w:cs="Arial"/>
          <w:bCs/>
          <w:spacing w:val="4"/>
          <w:sz w:val="22"/>
          <w:szCs w:val="22"/>
          <w:lang w:eastAsia="en-US"/>
        </w:rPr>
        <w:t xml:space="preserve">Pojęcie obszaru kolejowego ustawodawca wyjaśnił w </w:t>
      </w:r>
      <w:bookmarkStart w:id="14" w:name="_Hlk113286303"/>
      <w:r w:rsidR="00D55CFD" w:rsidRPr="00D55CFD">
        <w:rPr>
          <w:rFonts w:ascii="Lato" w:eastAsia="Calibri" w:hAnsi="Lato" w:cs="Arial"/>
          <w:bCs/>
          <w:spacing w:val="4"/>
          <w:sz w:val="22"/>
          <w:szCs w:val="22"/>
          <w:lang w:eastAsia="en-US"/>
        </w:rPr>
        <w:t>ustaw</w:t>
      </w:r>
      <w:r w:rsidR="00D55CFD">
        <w:rPr>
          <w:rFonts w:ascii="Lato" w:eastAsia="Calibri" w:hAnsi="Lato" w:cs="Arial"/>
          <w:bCs/>
          <w:spacing w:val="4"/>
          <w:sz w:val="22"/>
          <w:szCs w:val="22"/>
          <w:lang w:eastAsia="en-US"/>
        </w:rPr>
        <w:t>ie</w:t>
      </w:r>
      <w:r w:rsidR="00D55CFD" w:rsidRPr="00D55CFD">
        <w:rPr>
          <w:rFonts w:ascii="Lato" w:eastAsia="Calibri" w:hAnsi="Lato" w:cs="Arial"/>
          <w:bCs/>
          <w:spacing w:val="4"/>
          <w:sz w:val="22"/>
          <w:szCs w:val="22"/>
          <w:lang w:eastAsia="en-US"/>
        </w:rPr>
        <w:t xml:space="preserve"> z dnia 28 marca 2003 r. o transporcie kolejowym (t.j. Dz.U. z 2024 r. poz. 697), zwanej dalej „ustawą o transporcie kolejowym”</w:t>
      </w:r>
      <w:bookmarkEnd w:id="14"/>
      <w:r w:rsidR="00D55CFD">
        <w:rPr>
          <w:rFonts w:ascii="Lato" w:eastAsia="Calibri" w:hAnsi="Lato" w:cs="Arial"/>
          <w:bCs/>
          <w:spacing w:val="4"/>
          <w:sz w:val="22"/>
          <w:szCs w:val="22"/>
          <w:lang w:eastAsia="en-US"/>
        </w:rPr>
        <w:t xml:space="preserve">. </w:t>
      </w:r>
      <w:r w:rsidRPr="001C1C6C">
        <w:rPr>
          <w:rFonts w:ascii="Lato" w:eastAsia="Calibri" w:hAnsi="Lato" w:cs="Arial"/>
          <w:bCs/>
          <w:spacing w:val="4"/>
          <w:sz w:val="22"/>
          <w:szCs w:val="22"/>
          <w:lang w:eastAsia="en-US"/>
        </w:rPr>
        <w:t xml:space="preserve">Zgodnie z art. 4 pkt 8 ustawy o transporcie kolejowym obszar kolejowy to powierzchnia gruntu określona działkami ewidencyjnymi, na której znajduje się droga kolejowa, budynki, budowle i urządzenia przeznaczone do zarządzania, eksploatacji i utrzymania linii kolejowej oraz przewozu osób i rzeczy. </w:t>
      </w:r>
      <w:r w:rsidRPr="001C1C6C">
        <w:rPr>
          <w:rFonts w:ascii="Lato" w:eastAsia="Calibri" w:hAnsi="Lato" w:cs="Arial"/>
          <w:spacing w:val="4"/>
          <w:sz w:val="22"/>
          <w:szCs w:val="22"/>
          <w:lang w:eastAsia="en-US"/>
        </w:rPr>
        <w:t>Pod pojęciem linii kolejowej należy rozumieć wyznaczoną przez zarządcę infrastruktury drogę kolejową przystosowaną do prowadzenia ruchu pociągów (art. 4 pkt 2 ustawy o transporcie kolejowym). Droga kolejowa to z kolei tor kolejowy albo tory kolejowe wraz z elementami wymienionymi w pkt 2-12 załącznika nr 1 do ustawy o transporcie kolejowym, o ile są z nimi funkcjonalnie połączone, niezależnie od tego, czy zarządza nimi ten sam podmiot (art. 4 pkt 1a ustawy o transporcie kolejowym). Z wyżej przytoczonych definicji zatem wynika, że ustawa o transporcie kolejowym wyraźnie łączy pojęcie linii kolejowej z możliwością prowadzenia ruchu kolejowego. Zwrócić należy uwagę, że samo oznaczenie w ewidencji gruntów i budynków</w:t>
      </w:r>
      <w:r w:rsidR="00C9650A" w:rsidRPr="001C1C6C">
        <w:rPr>
          <w:rFonts w:ascii="Lato" w:eastAsia="Calibri" w:hAnsi="Lato" w:cs="Arial"/>
          <w:spacing w:val="4"/>
          <w:sz w:val="22"/>
          <w:szCs w:val="22"/>
          <w:lang w:eastAsia="en-US"/>
        </w:rPr>
        <w:t xml:space="preserve"> </w:t>
      </w:r>
      <w:r w:rsidRPr="001C1C6C">
        <w:rPr>
          <w:rFonts w:ascii="Lato" w:eastAsia="Calibri" w:hAnsi="Lato" w:cs="Arial"/>
          <w:spacing w:val="4"/>
          <w:sz w:val="22"/>
          <w:szCs w:val="22"/>
          <w:lang w:eastAsia="en-US"/>
        </w:rPr>
        <w:t xml:space="preserve">czy </w:t>
      </w:r>
      <w:r w:rsidR="00E24789" w:rsidRPr="001C1C6C">
        <w:rPr>
          <w:rFonts w:ascii="Lato" w:eastAsia="Calibri" w:hAnsi="Lato" w:cs="Arial"/>
          <w:spacing w:val="4"/>
          <w:sz w:val="22"/>
          <w:szCs w:val="22"/>
          <w:lang w:eastAsia="en-US"/>
        </w:rPr>
        <w:t xml:space="preserve">w </w:t>
      </w:r>
      <w:r w:rsidRPr="001C1C6C">
        <w:rPr>
          <w:rFonts w:ascii="Lato" w:eastAsia="Calibri" w:hAnsi="Lato" w:cs="Arial"/>
          <w:spacing w:val="4"/>
          <w:sz w:val="22"/>
          <w:szCs w:val="22"/>
          <w:lang w:eastAsia="en-US"/>
        </w:rPr>
        <w:t xml:space="preserve">księdze wieczystej </w:t>
      </w:r>
      <w:r w:rsidR="00C9650A" w:rsidRPr="001C1C6C">
        <w:rPr>
          <w:rFonts w:ascii="Lato" w:eastAsia="Calibri" w:hAnsi="Lato" w:cs="Arial"/>
          <w:spacing w:val="4"/>
          <w:sz w:val="22"/>
          <w:szCs w:val="22"/>
          <w:lang w:eastAsia="en-US"/>
        </w:rPr>
        <w:t>działki</w:t>
      </w:r>
      <w:r w:rsidRPr="001C1C6C">
        <w:rPr>
          <w:rFonts w:ascii="Lato" w:eastAsia="Calibri" w:hAnsi="Lato" w:cs="Arial"/>
          <w:spacing w:val="4"/>
          <w:sz w:val="22"/>
          <w:szCs w:val="22"/>
          <w:lang w:eastAsia="en-US"/>
        </w:rPr>
        <w:t xml:space="preserve"> symbolem „Tk” nie jest wystarczająco miarodajne do uznania danej działki</w:t>
      </w:r>
      <w:r w:rsidR="00C9650A" w:rsidRPr="001C1C6C">
        <w:rPr>
          <w:rFonts w:ascii="Lato" w:eastAsia="Calibri" w:hAnsi="Lato" w:cs="Arial"/>
          <w:spacing w:val="4"/>
          <w:sz w:val="22"/>
          <w:szCs w:val="22"/>
          <w:lang w:eastAsia="en-US"/>
        </w:rPr>
        <w:t xml:space="preserve"> </w:t>
      </w:r>
      <w:r w:rsidRPr="001C1C6C">
        <w:rPr>
          <w:rFonts w:ascii="Lato" w:eastAsia="Calibri" w:hAnsi="Lato" w:cs="Arial"/>
          <w:spacing w:val="4"/>
          <w:sz w:val="22"/>
          <w:szCs w:val="22"/>
          <w:lang w:eastAsia="en-US"/>
        </w:rPr>
        <w:t>za grunt objęty obszarem kolejowym.</w:t>
      </w:r>
    </w:p>
    <w:p w14:paraId="74DA2186" w14:textId="0BD68493" w:rsidR="0095593E" w:rsidRPr="001C1C6C" w:rsidRDefault="004810CD" w:rsidP="004810CD">
      <w:pPr>
        <w:spacing w:after="240" w:line="240" w:lineRule="exact"/>
        <w:jc w:val="both"/>
        <w:outlineLvl w:val="0"/>
        <w:rPr>
          <w:rFonts w:ascii="Lato" w:eastAsia="Calibri" w:hAnsi="Lato" w:cs="Arial"/>
          <w:bCs/>
          <w:spacing w:val="4"/>
          <w:sz w:val="22"/>
          <w:szCs w:val="22"/>
          <w:lang w:eastAsia="en-US"/>
        </w:rPr>
      </w:pPr>
      <w:r w:rsidRPr="001C1C6C">
        <w:rPr>
          <w:rFonts w:ascii="Lato" w:eastAsia="Calibri" w:hAnsi="Lato" w:cs="Arial"/>
          <w:bCs/>
          <w:spacing w:val="4"/>
          <w:sz w:val="22"/>
          <w:szCs w:val="22"/>
          <w:lang w:eastAsia="en-US"/>
        </w:rPr>
        <w:t xml:space="preserve">W świetle powyższego koniecznym było ustalenie, czy </w:t>
      </w:r>
      <w:bookmarkStart w:id="15" w:name="_Hlk113279980"/>
      <w:r w:rsidR="00C9650A" w:rsidRPr="001C1C6C">
        <w:rPr>
          <w:rFonts w:ascii="Lato" w:eastAsia="Calibri" w:hAnsi="Lato" w:cs="Arial"/>
          <w:bCs/>
          <w:spacing w:val="4"/>
          <w:sz w:val="22"/>
          <w:szCs w:val="22"/>
          <w:lang w:eastAsia="en-US"/>
        </w:rPr>
        <w:t xml:space="preserve">działka nr 46, obręb Sucharzewo oraz działka nr 182, obręb Sędowo, </w:t>
      </w:r>
      <w:r w:rsidRPr="001C1C6C">
        <w:rPr>
          <w:rFonts w:ascii="Lato" w:eastAsia="Calibri" w:hAnsi="Lato" w:cs="Arial"/>
          <w:bCs/>
          <w:spacing w:val="4"/>
          <w:sz w:val="22"/>
          <w:szCs w:val="22"/>
          <w:lang w:eastAsia="en-US"/>
        </w:rPr>
        <w:t>stanowi</w:t>
      </w:r>
      <w:r w:rsidR="00C9650A" w:rsidRPr="001C1C6C">
        <w:rPr>
          <w:rFonts w:ascii="Lato" w:eastAsia="Calibri" w:hAnsi="Lato" w:cs="Arial"/>
          <w:bCs/>
          <w:spacing w:val="4"/>
          <w:sz w:val="22"/>
          <w:szCs w:val="22"/>
          <w:lang w:eastAsia="en-US"/>
        </w:rPr>
        <w:t>ą</w:t>
      </w:r>
      <w:r w:rsidRPr="001C1C6C">
        <w:rPr>
          <w:rFonts w:ascii="Lato" w:eastAsia="Calibri" w:hAnsi="Lato" w:cs="Arial"/>
          <w:bCs/>
          <w:spacing w:val="4"/>
          <w:sz w:val="22"/>
          <w:szCs w:val="22"/>
          <w:lang w:eastAsia="en-US"/>
        </w:rPr>
        <w:t xml:space="preserve"> grunt</w:t>
      </w:r>
      <w:r w:rsidR="00E24789" w:rsidRPr="001C1C6C">
        <w:rPr>
          <w:rFonts w:ascii="Lato" w:eastAsia="Calibri" w:hAnsi="Lato" w:cs="Arial"/>
          <w:bCs/>
          <w:spacing w:val="4"/>
          <w:sz w:val="22"/>
          <w:szCs w:val="22"/>
          <w:lang w:eastAsia="en-US"/>
        </w:rPr>
        <w:t>y</w:t>
      </w:r>
      <w:r w:rsidRPr="001C1C6C">
        <w:rPr>
          <w:rFonts w:ascii="Lato" w:eastAsia="Calibri" w:hAnsi="Lato" w:cs="Arial"/>
          <w:bCs/>
          <w:spacing w:val="4"/>
          <w:sz w:val="22"/>
          <w:szCs w:val="22"/>
          <w:lang w:eastAsia="en-US"/>
        </w:rPr>
        <w:t xml:space="preserve"> objęt</w:t>
      </w:r>
      <w:r w:rsidR="00E24789" w:rsidRPr="001C1C6C">
        <w:rPr>
          <w:rFonts w:ascii="Lato" w:eastAsia="Calibri" w:hAnsi="Lato" w:cs="Arial"/>
          <w:bCs/>
          <w:spacing w:val="4"/>
          <w:sz w:val="22"/>
          <w:szCs w:val="22"/>
          <w:lang w:eastAsia="en-US"/>
        </w:rPr>
        <w:t>e</w:t>
      </w:r>
      <w:r w:rsidRPr="001C1C6C">
        <w:rPr>
          <w:rFonts w:ascii="Lato" w:eastAsia="Calibri" w:hAnsi="Lato" w:cs="Arial"/>
          <w:bCs/>
          <w:spacing w:val="4"/>
          <w:sz w:val="22"/>
          <w:szCs w:val="22"/>
          <w:lang w:eastAsia="en-US"/>
        </w:rPr>
        <w:t xml:space="preserve"> obszarem kolejowym, </w:t>
      </w:r>
      <w:bookmarkStart w:id="16" w:name="_Hlk113286337"/>
      <w:bookmarkEnd w:id="15"/>
      <w:r w:rsidR="00E14BAD" w:rsidRPr="001C1C6C">
        <w:rPr>
          <w:rFonts w:ascii="Lato" w:eastAsia="Calibri" w:hAnsi="Lato" w:cs="Arial"/>
          <w:bCs/>
          <w:spacing w:val="4"/>
          <w:sz w:val="22"/>
          <w:szCs w:val="22"/>
          <w:lang w:eastAsia="en-US"/>
        </w:rPr>
        <w:br/>
      </w:r>
      <w:r w:rsidRPr="001C1C6C">
        <w:rPr>
          <w:rFonts w:ascii="Lato" w:eastAsia="Calibri" w:hAnsi="Lato" w:cs="Arial"/>
          <w:bCs/>
          <w:spacing w:val="4"/>
          <w:sz w:val="22"/>
          <w:szCs w:val="22"/>
          <w:lang w:eastAsia="en-US"/>
        </w:rPr>
        <w:t xml:space="preserve">w rozumieniu art. 4 pkt 8 </w:t>
      </w:r>
      <w:bookmarkStart w:id="17" w:name="_Hlk113286186"/>
      <w:r w:rsidRPr="001C1C6C">
        <w:rPr>
          <w:rFonts w:ascii="Lato" w:eastAsia="Calibri" w:hAnsi="Lato" w:cs="Arial"/>
          <w:bCs/>
          <w:spacing w:val="4"/>
          <w:sz w:val="22"/>
          <w:szCs w:val="22"/>
          <w:lang w:eastAsia="en-US"/>
        </w:rPr>
        <w:t>ustawy o transporcie kolejowym</w:t>
      </w:r>
      <w:bookmarkEnd w:id="16"/>
      <w:r w:rsidRPr="001C1C6C">
        <w:rPr>
          <w:rFonts w:ascii="Lato" w:eastAsia="Calibri" w:hAnsi="Lato" w:cs="Arial"/>
          <w:bCs/>
          <w:spacing w:val="4"/>
          <w:sz w:val="22"/>
          <w:szCs w:val="22"/>
          <w:lang w:eastAsia="en-US"/>
        </w:rPr>
        <w:t xml:space="preserve">. </w:t>
      </w:r>
      <w:bookmarkEnd w:id="17"/>
    </w:p>
    <w:p w14:paraId="5483B8E0" w14:textId="01E918D7" w:rsidR="004810CD" w:rsidRPr="001C1C6C" w:rsidRDefault="004810CD" w:rsidP="004810CD">
      <w:pPr>
        <w:spacing w:after="240" w:line="240" w:lineRule="exact"/>
        <w:jc w:val="both"/>
        <w:outlineLvl w:val="0"/>
        <w:rPr>
          <w:rFonts w:ascii="Lato" w:eastAsia="Calibri" w:hAnsi="Lato" w:cs="Arial"/>
          <w:bCs/>
          <w:spacing w:val="4"/>
          <w:sz w:val="22"/>
          <w:szCs w:val="22"/>
          <w:lang w:eastAsia="en-US"/>
        </w:rPr>
      </w:pPr>
      <w:r w:rsidRPr="001C1C6C">
        <w:rPr>
          <w:rFonts w:ascii="Lato" w:eastAsia="Calibri" w:hAnsi="Lato" w:cs="Arial"/>
          <w:bCs/>
          <w:spacing w:val="4"/>
          <w:sz w:val="22"/>
          <w:szCs w:val="22"/>
          <w:lang w:eastAsia="en-US"/>
        </w:rPr>
        <w:lastRenderedPageBreak/>
        <w:t xml:space="preserve">W wyniku przeprowadzonego przez Ministra postępowania wyjaśniającego na etapie odwoławczym ustalono, iż </w:t>
      </w:r>
      <w:r w:rsidR="00A91059" w:rsidRPr="001C1C6C">
        <w:rPr>
          <w:rFonts w:ascii="Lato" w:eastAsia="Calibri" w:hAnsi="Lato" w:cs="Arial"/>
          <w:bCs/>
          <w:spacing w:val="4"/>
          <w:sz w:val="22"/>
          <w:szCs w:val="22"/>
          <w:lang w:eastAsia="en-US"/>
        </w:rPr>
        <w:t>w odniesieniu do omawianych działek występuje brak jakichkolwiek przesłanek, na podstawie których można byłoby określić je jako obszar kolejowy</w:t>
      </w:r>
      <w:bookmarkStart w:id="18" w:name="_Hlk113280364"/>
      <w:r w:rsidRPr="001C1C6C">
        <w:rPr>
          <w:rFonts w:ascii="Lato" w:eastAsia="Calibri" w:hAnsi="Lato" w:cs="Arial"/>
          <w:bCs/>
          <w:spacing w:val="4"/>
          <w:sz w:val="22"/>
          <w:szCs w:val="22"/>
          <w:lang w:eastAsia="en-US"/>
        </w:rPr>
        <w:t xml:space="preserve"> </w:t>
      </w:r>
      <w:bookmarkEnd w:id="18"/>
      <w:r w:rsidRPr="001C1C6C">
        <w:rPr>
          <w:rFonts w:ascii="Lato" w:eastAsia="Calibri" w:hAnsi="Lato" w:cs="Arial"/>
          <w:bCs/>
          <w:spacing w:val="4"/>
          <w:sz w:val="22"/>
          <w:szCs w:val="22"/>
          <w:lang w:eastAsia="en-US"/>
        </w:rPr>
        <w:t>(por. pismo</w:t>
      </w:r>
      <w:r w:rsidR="0095593E" w:rsidRPr="001C1C6C">
        <w:rPr>
          <w:rFonts w:ascii="Lato" w:eastAsia="Calibri" w:hAnsi="Lato" w:cs="Arial"/>
          <w:bCs/>
          <w:spacing w:val="4"/>
          <w:sz w:val="22"/>
          <w:szCs w:val="22"/>
          <w:lang w:eastAsia="en-US"/>
        </w:rPr>
        <w:t xml:space="preserve"> inwestora z dnia 21 sierpnia 2023 r.</w:t>
      </w:r>
      <w:r w:rsidRPr="001C1C6C">
        <w:rPr>
          <w:rFonts w:ascii="Lato" w:eastAsia="Calibri" w:hAnsi="Lato" w:cs="Arial"/>
          <w:bCs/>
          <w:spacing w:val="4"/>
          <w:sz w:val="22"/>
          <w:szCs w:val="22"/>
          <w:lang w:eastAsia="en-US"/>
        </w:rPr>
        <w:t xml:space="preserve">). </w:t>
      </w:r>
      <w:r w:rsidR="00E24789" w:rsidRPr="001C1C6C">
        <w:rPr>
          <w:rFonts w:ascii="Lato" w:eastAsia="Calibri" w:hAnsi="Lato" w:cs="Arial"/>
          <w:bCs/>
          <w:spacing w:val="4"/>
          <w:sz w:val="22"/>
          <w:szCs w:val="22"/>
          <w:lang w:eastAsia="en-US"/>
        </w:rPr>
        <w:t xml:space="preserve"> </w:t>
      </w:r>
    </w:p>
    <w:p w14:paraId="76BD7753" w14:textId="12621E8E" w:rsidR="00A91059" w:rsidRPr="001C1C6C" w:rsidRDefault="004810CD" w:rsidP="004810CD">
      <w:pPr>
        <w:spacing w:after="240" w:line="240" w:lineRule="exact"/>
        <w:jc w:val="both"/>
        <w:outlineLvl w:val="0"/>
        <w:rPr>
          <w:rFonts w:ascii="Lato" w:eastAsia="Calibri" w:hAnsi="Lato" w:cs="Arial"/>
          <w:bCs/>
          <w:spacing w:val="4"/>
          <w:sz w:val="22"/>
          <w:szCs w:val="22"/>
          <w:lang w:eastAsia="en-US"/>
        </w:rPr>
      </w:pPr>
      <w:r w:rsidRPr="001C1C6C">
        <w:rPr>
          <w:rFonts w:ascii="Lato" w:eastAsia="Calibri" w:hAnsi="Lato" w:cs="Arial"/>
          <w:bCs/>
          <w:spacing w:val="4"/>
          <w:sz w:val="22"/>
          <w:szCs w:val="22"/>
          <w:lang w:eastAsia="en-US"/>
        </w:rPr>
        <w:t xml:space="preserve">W konsekwencji stwierdzić należy, iż w decyzji Wojewody Kujawsko-Pomorskiego błędnie </w:t>
      </w:r>
      <w:r w:rsidR="00A91059" w:rsidRPr="001C1C6C">
        <w:rPr>
          <w:rFonts w:ascii="Lato" w:eastAsia="Calibri" w:hAnsi="Lato" w:cs="Arial"/>
          <w:bCs/>
          <w:spacing w:val="4"/>
          <w:sz w:val="22"/>
          <w:szCs w:val="22"/>
          <w:lang w:eastAsia="en-US"/>
        </w:rPr>
        <w:t>zakwalifikowano</w:t>
      </w:r>
      <w:r w:rsidRPr="001C1C6C">
        <w:rPr>
          <w:rFonts w:ascii="Lato" w:eastAsia="Calibri" w:hAnsi="Lato" w:cs="Arial"/>
          <w:bCs/>
          <w:spacing w:val="4"/>
          <w:sz w:val="22"/>
          <w:szCs w:val="22"/>
          <w:lang w:eastAsia="en-US"/>
        </w:rPr>
        <w:t xml:space="preserve"> </w:t>
      </w:r>
      <w:r w:rsidR="00A91059" w:rsidRPr="001C1C6C">
        <w:rPr>
          <w:rFonts w:ascii="Lato" w:eastAsia="Calibri" w:hAnsi="Lato" w:cs="Arial"/>
          <w:bCs/>
          <w:spacing w:val="4"/>
          <w:sz w:val="22"/>
          <w:szCs w:val="22"/>
          <w:lang w:eastAsia="en-US"/>
        </w:rPr>
        <w:t xml:space="preserve">działkę nr 46, obręb Sucharzewo i działkę nr 182, obręb Sędowo, jako </w:t>
      </w:r>
      <w:r w:rsidRPr="001C1C6C">
        <w:rPr>
          <w:rFonts w:ascii="Lato" w:eastAsia="Calibri" w:hAnsi="Lato" w:cs="Arial"/>
          <w:bCs/>
          <w:spacing w:val="4"/>
          <w:sz w:val="22"/>
          <w:szCs w:val="22"/>
          <w:lang w:eastAsia="en-US"/>
        </w:rPr>
        <w:t>grunt</w:t>
      </w:r>
      <w:r w:rsidR="00E24789" w:rsidRPr="001C1C6C">
        <w:rPr>
          <w:rFonts w:ascii="Lato" w:eastAsia="Calibri" w:hAnsi="Lato" w:cs="Arial"/>
          <w:bCs/>
          <w:spacing w:val="4"/>
          <w:sz w:val="22"/>
          <w:szCs w:val="22"/>
          <w:lang w:eastAsia="en-US"/>
        </w:rPr>
        <w:t>y</w:t>
      </w:r>
      <w:r w:rsidRPr="001C1C6C">
        <w:rPr>
          <w:rFonts w:ascii="Lato" w:eastAsia="Calibri" w:hAnsi="Lato" w:cs="Arial"/>
          <w:bCs/>
          <w:spacing w:val="4"/>
          <w:sz w:val="22"/>
          <w:szCs w:val="22"/>
          <w:lang w:eastAsia="en-US"/>
        </w:rPr>
        <w:t xml:space="preserve"> objęt</w:t>
      </w:r>
      <w:r w:rsidR="00E24789" w:rsidRPr="001C1C6C">
        <w:rPr>
          <w:rFonts w:ascii="Lato" w:eastAsia="Calibri" w:hAnsi="Lato" w:cs="Arial"/>
          <w:bCs/>
          <w:spacing w:val="4"/>
          <w:sz w:val="22"/>
          <w:szCs w:val="22"/>
          <w:lang w:eastAsia="en-US"/>
        </w:rPr>
        <w:t>e</w:t>
      </w:r>
      <w:r w:rsidRPr="001C1C6C">
        <w:rPr>
          <w:rFonts w:ascii="Lato" w:eastAsia="Calibri" w:hAnsi="Lato" w:cs="Arial"/>
          <w:bCs/>
          <w:spacing w:val="4"/>
          <w:sz w:val="22"/>
          <w:szCs w:val="22"/>
          <w:lang w:eastAsia="en-US"/>
        </w:rPr>
        <w:t xml:space="preserve"> obszarem kolejowym</w:t>
      </w:r>
      <w:r w:rsidR="00A91059" w:rsidRPr="001C1C6C">
        <w:rPr>
          <w:rFonts w:ascii="Lato" w:eastAsia="Calibri" w:hAnsi="Lato" w:cs="Arial"/>
          <w:bCs/>
          <w:spacing w:val="4"/>
          <w:sz w:val="22"/>
          <w:szCs w:val="22"/>
          <w:lang w:eastAsia="en-US"/>
        </w:rPr>
        <w:t xml:space="preserve">. </w:t>
      </w:r>
      <w:r w:rsidRPr="001C1C6C">
        <w:rPr>
          <w:rFonts w:ascii="Lato" w:eastAsia="Calibri" w:hAnsi="Lato" w:cs="Arial"/>
          <w:bCs/>
          <w:spacing w:val="4"/>
          <w:sz w:val="22"/>
          <w:szCs w:val="22"/>
          <w:lang w:eastAsia="en-US"/>
        </w:rPr>
        <w:t>W świ</w:t>
      </w:r>
      <w:r w:rsidR="00CB70AB" w:rsidRPr="001C1C6C">
        <w:rPr>
          <w:rFonts w:ascii="Lato" w:eastAsia="Calibri" w:hAnsi="Lato" w:cs="Arial"/>
          <w:bCs/>
          <w:spacing w:val="4"/>
          <w:sz w:val="22"/>
          <w:szCs w:val="22"/>
          <w:lang w:eastAsia="en-US"/>
        </w:rPr>
        <w:t>e</w:t>
      </w:r>
      <w:r w:rsidRPr="001C1C6C">
        <w:rPr>
          <w:rFonts w:ascii="Lato" w:eastAsia="Calibri" w:hAnsi="Lato" w:cs="Arial"/>
          <w:bCs/>
          <w:spacing w:val="4"/>
          <w:sz w:val="22"/>
          <w:szCs w:val="22"/>
          <w:lang w:eastAsia="en-US"/>
        </w:rPr>
        <w:t>tle tego</w:t>
      </w:r>
      <w:r w:rsidR="00CB70AB" w:rsidRPr="001C1C6C">
        <w:rPr>
          <w:rFonts w:ascii="Lato" w:eastAsia="Calibri" w:hAnsi="Lato" w:cs="Arial"/>
          <w:bCs/>
          <w:spacing w:val="4"/>
          <w:sz w:val="22"/>
          <w:szCs w:val="22"/>
          <w:lang w:eastAsia="en-US"/>
        </w:rPr>
        <w:t xml:space="preserve"> w tabeli nr 16 organ I instancji mylnie  uwzględnił ww. działki jako nieruchomości, na których krzyżują się istniejące i modernizowane rurociągi z obszarem kolejowym, określając tym samym </w:t>
      </w:r>
      <w:r w:rsidRPr="001C1C6C">
        <w:rPr>
          <w:rFonts w:ascii="Lato" w:eastAsia="Calibri" w:hAnsi="Lato" w:cs="Arial"/>
          <w:bCs/>
          <w:spacing w:val="4"/>
          <w:sz w:val="22"/>
          <w:szCs w:val="22"/>
          <w:lang w:eastAsia="en-US"/>
        </w:rPr>
        <w:t>sposób, miejsce i warunki umieszczenia</w:t>
      </w:r>
      <w:r w:rsidR="00CB70AB" w:rsidRPr="001C1C6C">
        <w:rPr>
          <w:rFonts w:ascii="Lato" w:eastAsia="Calibri" w:hAnsi="Lato" w:cs="Arial"/>
          <w:bCs/>
          <w:spacing w:val="4"/>
          <w:sz w:val="22"/>
          <w:szCs w:val="22"/>
          <w:lang w:eastAsia="en-US"/>
        </w:rPr>
        <w:t>, m.in. na ww. działkach projektowan</w:t>
      </w:r>
      <w:r w:rsidR="00E24789" w:rsidRPr="001C1C6C">
        <w:rPr>
          <w:rFonts w:ascii="Lato" w:eastAsia="Calibri" w:hAnsi="Lato" w:cs="Arial"/>
          <w:bCs/>
          <w:spacing w:val="4"/>
          <w:sz w:val="22"/>
          <w:szCs w:val="22"/>
          <w:lang w:eastAsia="en-US"/>
        </w:rPr>
        <w:t>ych</w:t>
      </w:r>
      <w:r w:rsidR="00CB70AB" w:rsidRPr="001C1C6C">
        <w:rPr>
          <w:rFonts w:ascii="Lato" w:eastAsia="Calibri" w:hAnsi="Lato" w:cs="Arial"/>
          <w:bCs/>
          <w:spacing w:val="4"/>
          <w:sz w:val="22"/>
          <w:szCs w:val="22"/>
          <w:lang w:eastAsia="en-US"/>
        </w:rPr>
        <w:t xml:space="preserve"> i modernizowan</w:t>
      </w:r>
      <w:r w:rsidR="00E24789" w:rsidRPr="001C1C6C">
        <w:rPr>
          <w:rFonts w:ascii="Lato" w:eastAsia="Calibri" w:hAnsi="Lato" w:cs="Arial"/>
          <w:bCs/>
          <w:spacing w:val="4"/>
          <w:sz w:val="22"/>
          <w:szCs w:val="22"/>
          <w:lang w:eastAsia="en-US"/>
        </w:rPr>
        <w:t>ych</w:t>
      </w:r>
      <w:r w:rsidR="00CB70AB" w:rsidRPr="001C1C6C">
        <w:rPr>
          <w:rFonts w:ascii="Lato" w:eastAsia="Calibri" w:hAnsi="Lato" w:cs="Arial"/>
          <w:bCs/>
          <w:spacing w:val="4"/>
          <w:sz w:val="22"/>
          <w:szCs w:val="22"/>
          <w:lang w:eastAsia="en-US"/>
        </w:rPr>
        <w:t xml:space="preserve"> rurociąg</w:t>
      </w:r>
      <w:r w:rsidR="00E24789" w:rsidRPr="001C1C6C">
        <w:rPr>
          <w:rFonts w:ascii="Lato" w:eastAsia="Calibri" w:hAnsi="Lato" w:cs="Arial"/>
          <w:bCs/>
          <w:spacing w:val="4"/>
          <w:sz w:val="22"/>
          <w:szCs w:val="22"/>
          <w:lang w:eastAsia="en-US"/>
        </w:rPr>
        <w:t>ów</w:t>
      </w:r>
      <w:r w:rsidRPr="001C1C6C">
        <w:rPr>
          <w:rFonts w:ascii="Lato" w:eastAsia="Calibri" w:hAnsi="Lato" w:cs="Arial"/>
          <w:bCs/>
          <w:spacing w:val="4"/>
          <w:sz w:val="22"/>
          <w:szCs w:val="22"/>
          <w:lang w:eastAsia="en-US"/>
        </w:rPr>
        <w:t>, skoro działk</w:t>
      </w:r>
      <w:r w:rsidR="00CB70AB" w:rsidRPr="001C1C6C">
        <w:rPr>
          <w:rFonts w:ascii="Lato" w:eastAsia="Calibri" w:hAnsi="Lato" w:cs="Arial"/>
          <w:bCs/>
          <w:spacing w:val="4"/>
          <w:sz w:val="22"/>
          <w:szCs w:val="22"/>
          <w:lang w:eastAsia="en-US"/>
        </w:rPr>
        <w:t>i</w:t>
      </w:r>
      <w:r w:rsidRPr="001C1C6C">
        <w:rPr>
          <w:rFonts w:ascii="Lato" w:eastAsia="Calibri" w:hAnsi="Lato" w:cs="Arial"/>
          <w:bCs/>
          <w:spacing w:val="4"/>
          <w:sz w:val="22"/>
          <w:szCs w:val="22"/>
          <w:lang w:eastAsia="en-US"/>
        </w:rPr>
        <w:t xml:space="preserve"> t</w:t>
      </w:r>
      <w:r w:rsidR="00E24789" w:rsidRPr="001C1C6C">
        <w:rPr>
          <w:rFonts w:ascii="Lato" w:eastAsia="Calibri" w:hAnsi="Lato" w:cs="Arial"/>
          <w:bCs/>
          <w:spacing w:val="4"/>
          <w:sz w:val="22"/>
          <w:szCs w:val="22"/>
          <w:lang w:eastAsia="en-US"/>
        </w:rPr>
        <w:t>e</w:t>
      </w:r>
      <w:r w:rsidRPr="001C1C6C">
        <w:rPr>
          <w:rFonts w:ascii="Lato" w:eastAsia="Calibri" w:hAnsi="Lato" w:cs="Arial"/>
          <w:bCs/>
          <w:spacing w:val="4"/>
          <w:sz w:val="22"/>
          <w:szCs w:val="22"/>
          <w:lang w:eastAsia="en-US"/>
        </w:rPr>
        <w:t xml:space="preserve"> nie stanowi</w:t>
      </w:r>
      <w:r w:rsidR="00CB70AB" w:rsidRPr="001C1C6C">
        <w:rPr>
          <w:rFonts w:ascii="Lato" w:eastAsia="Calibri" w:hAnsi="Lato" w:cs="Arial"/>
          <w:bCs/>
          <w:spacing w:val="4"/>
          <w:sz w:val="22"/>
          <w:szCs w:val="22"/>
          <w:lang w:eastAsia="en-US"/>
        </w:rPr>
        <w:t>ą</w:t>
      </w:r>
      <w:r w:rsidRPr="001C1C6C">
        <w:rPr>
          <w:rFonts w:ascii="Lato" w:eastAsia="Calibri" w:hAnsi="Lato" w:cs="Arial"/>
          <w:bCs/>
          <w:spacing w:val="4"/>
          <w:sz w:val="22"/>
          <w:szCs w:val="22"/>
          <w:lang w:eastAsia="en-US"/>
        </w:rPr>
        <w:t xml:space="preserve"> obszaru kolejowego. </w:t>
      </w:r>
    </w:p>
    <w:p w14:paraId="037AF028" w14:textId="62D9C04A" w:rsidR="00CB70AB" w:rsidRPr="001C1C6C" w:rsidRDefault="00CB70AB" w:rsidP="00CB70AB">
      <w:pPr>
        <w:spacing w:after="240" w:line="240" w:lineRule="exact"/>
        <w:jc w:val="both"/>
        <w:outlineLvl w:val="0"/>
        <w:rPr>
          <w:rFonts w:ascii="Lato" w:eastAsia="Calibri" w:hAnsi="Lato" w:cs="Arial"/>
          <w:bCs/>
          <w:spacing w:val="4"/>
          <w:sz w:val="22"/>
          <w:szCs w:val="22"/>
          <w:lang w:eastAsia="en-US"/>
        </w:rPr>
      </w:pPr>
      <w:r w:rsidRPr="001C1C6C">
        <w:rPr>
          <w:rFonts w:ascii="Lato" w:eastAsia="Calibri" w:hAnsi="Lato" w:cs="Arial"/>
          <w:bCs/>
          <w:spacing w:val="4"/>
          <w:sz w:val="22"/>
          <w:szCs w:val="22"/>
          <w:lang w:eastAsia="en-US"/>
        </w:rPr>
        <w:t xml:space="preserve">Słuszna okazała się również argumentacja strony skarżącej, iż Wojewoda Kujawsko-Pomorski w kontrolowanej decyzji błędnie przyjął, że </w:t>
      </w:r>
      <w:r w:rsidR="00B75FB3">
        <w:rPr>
          <w:rFonts w:ascii="Lato" w:eastAsia="Calibri" w:hAnsi="Lato" w:cs="Arial"/>
          <w:bCs/>
          <w:spacing w:val="4"/>
          <w:sz w:val="22"/>
          <w:szCs w:val="22"/>
          <w:lang w:eastAsia="en-US"/>
        </w:rPr>
        <w:t xml:space="preserve">zajęte pod linie kolejową nr 353: </w:t>
      </w:r>
      <w:r w:rsidRPr="001C1C6C">
        <w:rPr>
          <w:rFonts w:ascii="Lato" w:eastAsia="Calibri" w:hAnsi="Lato" w:cs="Arial"/>
          <w:bCs/>
          <w:spacing w:val="4"/>
          <w:sz w:val="22"/>
          <w:szCs w:val="22"/>
          <w:lang w:eastAsia="en-US"/>
        </w:rPr>
        <w:t xml:space="preserve">działka nr 80/6, obręb Broniewice oraz działka nr 95, obręb Janikowo 4 znajdują się w </w:t>
      </w:r>
      <w:r w:rsidR="00B75FB3">
        <w:rPr>
          <w:rFonts w:ascii="Lato" w:eastAsia="Calibri" w:hAnsi="Lato" w:cs="Arial"/>
          <w:bCs/>
          <w:spacing w:val="4"/>
          <w:sz w:val="22"/>
          <w:szCs w:val="22"/>
          <w:lang w:eastAsia="en-US"/>
        </w:rPr>
        <w:t>„</w:t>
      </w:r>
      <w:r w:rsidRPr="001C1C6C">
        <w:rPr>
          <w:rFonts w:ascii="Lato" w:eastAsia="Calibri" w:hAnsi="Lato" w:cs="Arial"/>
          <w:bCs/>
          <w:spacing w:val="4"/>
          <w:sz w:val="22"/>
          <w:szCs w:val="22"/>
          <w:lang w:eastAsia="en-US"/>
        </w:rPr>
        <w:t>zarządzie</w:t>
      </w:r>
      <w:r w:rsidR="00B75FB3">
        <w:rPr>
          <w:rFonts w:ascii="Lato" w:eastAsia="Calibri" w:hAnsi="Lato" w:cs="Arial"/>
          <w:bCs/>
          <w:spacing w:val="4"/>
          <w:sz w:val="22"/>
          <w:szCs w:val="22"/>
          <w:lang w:eastAsia="en-US"/>
        </w:rPr>
        <w:t>”</w:t>
      </w:r>
      <w:r w:rsidRPr="001C1C6C">
        <w:rPr>
          <w:rFonts w:ascii="Lato" w:eastAsia="Calibri" w:hAnsi="Lato" w:cs="Arial"/>
          <w:bCs/>
          <w:spacing w:val="4"/>
          <w:sz w:val="22"/>
          <w:szCs w:val="22"/>
          <w:lang w:eastAsia="en-US"/>
        </w:rPr>
        <w:t xml:space="preserve"> odwołującej się spółki.</w:t>
      </w:r>
    </w:p>
    <w:p w14:paraId="5BF1DF61" w14:textId="3FD2AD3D" w:rsidR="003609A5" w:rsidRPr="003609A5" w:rsidRDefault="003609A5" w:rsidP="003609A5">
      <w:pPr>
        <w:spacing w:after="240" w:line="240" w:lineRule="exact"/>
        <w:jc w:val="both"/>
        <w:outlineLvl w:val="0"/>
        <w:rPr>
          <w:rFonts w:ascii="Lato" w:eastAsia="Calibri" w:hAnsi="Lato" w:cs="Arial"/>
          <w:spacing w:val="4"/>
          <w:sz w:val="22"/>
          <w:szCs w:val="22"/>
          <w:lang w:eastAsia="en-US"/>
        </w:rPr>
      </w:pPr>
      <w:r w:rsidRPr="003609A5">
        <w:rPr>
          <w:rFonts w:ascii="Lato" w:eastAsia="Calibri" w:hAnsi="Lato" w:cs="Arial"/>
          <w:spacing w:val="4"/>
          <w:sz w:val="22"/>
          <w:szCs w:val="22"/>
          <w:lang w:eastAsia="en-US"/>
        </w:rPr>
        <w:t>Działka nr 80/6, obręb Broniewice, oraz działka nr 95, obręb Janikowo 4, stanowią – zgodnie z wyjaśnieniami inwestora zawartymi w piśmie z dnia 26 kwietnia 2023 r. – własność Skarbu Państwa</w:t>
      </w:r>
      <w:r w:rsidR="00C0347A">
        <w:rPr>
          <w:rFonts w:ascii="Lato" w:eastAsia="Calibri" w:hAnsi="Lato" w:cs="Arial"/>
          <w:spacing w:val="4"/>
          <w:sz w:val="22"/>
          <w:szCs w:val="22"/>
          <w:lang w:eastAsia="en-US"/>
        </w:rPr>
        <w:t xml:space="preserve"> </w:t>
      </w:r>
      <w:r w:rsidR="003801C1">
        <w:rPr>
          <w:rFonts w:ascii="Lato" w:eastAsia="Calibri" w:hAnsi="Lato" w:cs="Arial"/>
          <w:spacing w:val="4"/>
          <w:sz w:val="22"/>
          <w:szCs w:val="22"/>
          <w:lang w:eastAsia="en-US"/>
        </w:rPr>
        <w:t xml:space="preserve">i </w:t>
      </w:r>
      <w:r w:rsidR="00C0347A">
        <w:rPr>
          <w:rFonts w:ascii="Lato" w:eastAsia="Calibri" w:hAnsi="Lato" w:cs="Arial"/>
          <w:spacing w:val="4"/>
          <w:sz w:val="22"/>
          <w:szCs w:val="22"/>
          <w:lang w:eastAsia="en-US"/>
        </w:rPr>
        <w:t>zostały oddane</w:t>
      </w:r>
      <w:r w:rsidRPr="003609A5">
        <w:rPr>
          <w:rFonts w:ascii="Lato" w:eastAsia="Calibri" w:hAnsi="Lato" w:cs="Arial"/>
          <w:spacing w:val="4"/>
          <w:sz w:val="22"/>
          <w:szCs w:val="22"/>
          <w:lang w:eastAsia="en-US"/>
        </w:rPr>
        <w:t xml:space="preserve"> w użytkowanie wieczyste PKP S.A. z siedzibą w Warszawie. Okoliczność ta nie jest jednak równoznaczna z tym, że PKP S.A. jest zarządcą linii kolejowej nr 353.</w:t>
      </w:r>
    </w:p>
    <w:p w14:paraId="69137E80" w14:textId="77777777" w:rsidR="003609A5" w:rsidRPr="003609A5" w:rsidRDefault="003609A5" w:rsidP="003609A5">
      <w:pPr>
        <w:spacing w:after="240" w:line="240" w:lineRule="exact"/>
        <w:jc w:val="both"/>
        <w:outlineLvl w:val="0"/>
        <w:rPr>
          <w:rFonts w:ascii="Lato" w:eastAsia="Calibri" w:hAnsi="Lato" w:cs="Arial"/>
          <w:spacing w:val="4"/>
          <w:sz w:val="22"/>
          <w:szCs w:val="22"/>
          <w:lang w:eastAsia="en-US"/>
        </w:rPr>
      </w:pPr>
      <w:r w:rsidRPr="003609A5">
        <w:rPr>
          <w:rFonts w:ascii="Lato" w:eastAsia="Calibri" w:hAnsi="Lato" w:cs="Arial"/>
          <w:spacing w:val="4"/>
          <w:sz w:val="22"/>
          <w:szCs w:val="22"/>
          <w:lang w:eastAsia="en-US"/>
        </w:rPr>
        <w:t xml:space="preserve">Z pisma PKP Polskie Linie Kolejowe S.A. Zakład Linii Kolejowych w Bydgoszczy z dnia 26 września 2022 r., znak: IZ13DO.2133.1.184.2022.AT1.1, wynika jednoznacznie, że wskazane działki wchodzą w skład obszaru kolejowego linii kolejowej nr 353 relacji Poznań Wschód – Skandawa i pozostają w </w:t>
      </w:r>
      <w:r w:rsidRPr="00AB1A97">
        <w:rPr>
          <w:rFonts w:ascii="Lato" w:eastAsia="Calibri" w:hAnsi="Lato" w:cs="Arial"/>
          <w:spacing w:val="4"/>
          <w:sz w:val="22"/>
          <w:szCs w:val="22"/>
          <w:lang w:eastAsia="en-US"/>
        </w:rPr>
        <w:t>zarządzie</w:t>
      </w:r>
      <w:r w:rsidRPr="003609A5">
        <w:rPr>
          <w:rFonts w:ascii="Lato" w:eastAsia="Calibri" w:hAnsi="Lato" w:cs="Arial"/>
          <w:spacing w:val="4"/>
          <w:sz w:val="22"/>
          <w:szCs w:val="22"/>
          <w:lang w:eastAsia="en-US"/>
        </w:rPr>
        <w:t xml:space="preserve"> PKP Polskie Linie Kolejowe S.A. Zakładu Linii Kolejowych w Bydgoszczy.</w:t>
      </w:r>
    </w:p>
    <w:p w14:paraId="2BE8F4C7" w14:textId="3C42CA73" w:rsidR="003609A5" w:rsidRPr="003609A5" w:rsidRDefault="003609A5" w:rsidP="003609A5">
      <w:pPr>
        <w:spacing w:after="240" w:line="240" w:lineRule="exact"/>
        <w:jc w:val="both"/>
        <w:outlineLvl w:val="0"/>
        <w:rPr>
          <w:rFonts w:ascii="Lato" w:eastAsia="Calibri" w:hAnsi="Lato" w:cs="Arial"/>
          <w:spacing w:val="4"/>
          <w:sz w:val="22"/>
          <w:szCs w:val="22"/>
          <w:lang w:eastAsia="en-US"/>
        </w:rPr>
      </w:pPr>
      <w:r w:rsidRPr="003609A5">
        <w:rPr>
          <w:rFonts w:ascii="Lato" w:eastAsia="Calibri" w:hAnsi="Lato" w:cs="Arial"/>
          <w:spacing w:val="4"/>
          <w:sz w:val="22"/>
          <w:szCs w:val="22"/>
          <w:lang w:eastAsia="en-US"/>
        </w:rPr>
        <w:t xml:space="preserve">Tym samym, wbrew </w:t>
      </w:r>
      <w:r w:rsidR="003801C1">
        <w:rPr>
          <w:rFonts w:ascii="Lato" w:eastAsia="Calibri" w:hAnsi="Lato" w:cs="Arial"/>
          <w:spacing w:val="4"/>
          <w:sz w:val="22"/>
          <w:szCs w:val="22"/>
          <w:lang w:eastAsia="en-US"/>
        </w:rPr>
        <w:t xml:space="preserve">informacją </w:t>
      </w:r>
      <w:r w:rsidRPr="003609A5">
        <w:rPr>
          <w:rFonts w:ascii="Lato" w:eastAsia="Calibri" w:hAnsi="Lato" w:cs="Arial"/>
          <w:spacing w:val="4"/>
          <w:sz w:val="22"/>
          <w:szCs w:val="22"/>
          <w:lang w:eastAsia="en-US"/>
        </w:rPr>
        <w:t>zawartym w tabeli nr 16 na stronie 52 decyzji</w:t>
      </w:r>
      <w:r w:rsidR="003801C1">
        <w:rPr>
          <w:rFonts w:ascii="Lato" w:eastAsia="Calibri" w:hAnsi="Lato" w:cs="Arial"/>
          <w:spacing w:val="4"/>
          <w:sz w:val="22"/>
          <w:szCs w:val="22"/>
          <w:lang w:eastAsia="en-US"/>
        </w:rPr>
        <w:t xml:space="preserve"> Wojewody Kujawsko-Pomorskiego</w:t>
      </w:r>
      <w:r w:rsidRPr="003609A5">
        <w:rPr>
          <w:rFonts w:ascii="Lato" w:eastAsia="Calibri" w:hAnsi="Lato" w:cs="Arial"/>
          <w:spacing w:val="4"/>
          <w:sz w:val="22"/>
          <w:szCs w:val="22"/>
          <w:lang w:eastAsia="en-US"/>
        </w:rPr>
        <w:t>, zarządcą linii kolejowej nr 353 nie jest PKP S.A., lecz PKP Polskie Linie Kolejowe S.A. jako podmiot wykonujący funkcję zarządcy infrastruktury kolejowej.</w:t>
      </w:r>
    </w:p>
    <w:p w14:paraId="23CDDA34" w14:textId="7A91D267" w:rsidR="006F2E00" w:rsidRPr="001C1C6C" w:rsidRDefault="004810CD" w:rsidP="004810CD">
      <w:pPr>
        <w:spacing w:after="240" w:line="240" w:lineRule="exact"/>
        <w:jc w:val="both"/>
        <w:outlineLvl w:val="0"/>
        <w:rPr>
          <w:rFonts w:ascii="Lato" w:eastAsia="Calibri" w:hAnsi="Lato" w:cs="Arial"/>
          <w:bCs/>
          <w:spacing w:val="4"/>
          <w:sz w:val="22"/>
          <w:szCs w:val="22"/>
          <w:lang w:eastAsia="en-US"/>
        </w:rPr>
      </w:pPr>
      <w:r w:rsidRPr="001C1C6C">
        <w:rPr>
          <w:rFonts w:ascii="Lato" w:eastAsia="Calibri" w:hAnsi="Lato" w:cs="Arial"/>
          <w:spacing w:val="4"/>
          <w:sz w:val="22"/>
          <w:szCs w:val="22"/>
          <w:lang w:eastAsia="en-US"/>
        </w:rPr>
        <w:t xml:space="preserve">Konsekwencją powyższych ustaleń i opisanych powyżej błędów w zaskarżonej decyzji są zmiany dokonane przez Ministra, szczegółowo określone w pkt I niniejszej decyzji. Należy bowiem zauważyć, iż przepisy art. 138 § 1 pkt 2 kpa umożliwiają organowi odwoławczemu korektę zaskarżonej decyzji przez jej uchylenie i orzeczenie w tym zakresie, co do istoty sprawy. </w:t>
      </w:r>
      <w:r w:rsidRPr="001C1C6C">
        <w:rPr>
          <w:rFonts w:ascii="Lato" w:eastAsia="Calibri" w:hAnsi="Lato" w:cs="Arial"/>
          <w:bCs/>
          <w:spacing w:val="4"/>
          <w:sz w:val="22"/>
          <w:szCs w:val="22"/>
          <w:lang w:eastAsia="en-US"/>
        </w:rPr>
        <w:t xml:space="preserve">W rozpoznawanej sprawie organ odwoławczy skorzystał </w:t>
      </w:r>
      <w:r w:rsidR="00E14BAD" w:rsidRPr="001C1C6C">
        <w:rPr>
          <w:rFonts w:ascii="Lato" w:eastAsia="Calibri" w:hAnsi="Lato" w:cs="Arial"/>
          <w:bCs/>
          <w:spacing w:val="4"/>
          <w:sz w:val="22"/>
          <w:szCs w:val="22"/>
          <w:lang w:eastAsia="en-US"/>
        </w:rPr>
        <w:br/>
      </w:r>
      <w:r w:rsidRPr="001C1C6C">
        <w:rPr>
          <w:rFonts w:ascii="Lato" w:eastAsia="Calibri" w:hAnsi="Lato" w:cs="Arial"/>
          <w:bCs/>
          <w:spacing w:val="4"/>
          <w:sz w:val="22"/>
          <w:szCs w:val="22"/>
          <w:lang w:eastAsia="en-US"/>
        </w:rPr>
        <w:t xml:space="preserve">z możliwości częściowo merytorycznego i reformatoryjnego załatwienia sprawy po uprzednim przeprowadzeniu uzupełniającego postępowania dowodowego w trybie </w:t>
      </w:r>
      <w:r w:rsidR="00E14BAD" w:rsidRPr="001C1C6C">
        <w:rPr>
          <w:rFonts w:ascii="Lato" w:eastAsia="Calibri" w:hAnsi="Lato" w:cs="Arial"/>
          <w:bCs/>
          <w:spacing w:val="4"/>
          <w:sz w:val="22"/>
          <w:szCs w:val="22"/>
          <w:lang w:eastAsia="en-US"/>
        </w:rPr>
        <w:br/>
      </w:r>
      <w:r w:rsidRPr="001C1C6C">
        <w:rPr>
          <w:rFonts w:ascii="Lato" w:eastAsia="Calibri" w:hAnsi="Lato" w:cs="Arial"/>
          <w:bCs/>
          <w:spacing w:val="4"/>
          <w:sz w:val="22"/>
          <w:szCs w:val="22"/>
          <w:lang w:eastAsia="en-US"/>
        </w:rPr>
        <w:t xml:space="preserve">art. 136 § 1 kpa. </w:t>
      </w:r>
    </w:p>
    <w:p w14:paraId="123243BF" w14:textId="4741AC6F" w:rsidR="006F2E00" w:rsidRPr="001C1C6C" w:rsidRDefault="00747BA5" w:rsidP="006F2E00">
      <w:pPr>
        <w:tabs>
          <w:tab w:val="center" w:pos="1470"/>
          <w:tab w:val="left" w:pos="5387"/>
        </w:tabs>
        <w:spacing w:after="240" w:line="240" w:lineRule="exact"/>
        <w:jc w:val="both"/>
        <w:outlineLvl w:val="0"/>
        <w:rPr>
          <w:rFonts w:ascii="Lato" w:eastAsiaTheme="minorHAnsi" w:hAnsi="Lato"/>
          <w:spacing w:val="4"/>
          <w:sz w:val="22"/>
          <w:szCs w:val="22"/>
          <w:lang w:eastAsia="en-US"/>
        </w:rPr>
      </w:pPr>
      <w:r w:rsidRPr="001C1C6C">
        <w:rPr>
          <w:rFonts w:ascii="Lato" w:eastAsiaTheme="minorHAnsi" w:hAnsi="Lato"/>
          <w:spacing w:val="4"/>
          <w:sz w:val="22"/>
          <w:szCs w:val="22"/>
          <w:lang w:eastAsia="en-US"/>
        </w:rPr>
        <w:t>Niezależnie od zarzutów</w:t>
      </w:r>
      <w:r w:rsidR="00116390" w:rsidRPr="001C1C6C">
        <w:rPr>
          <w:rFonts w:ascii="Lato" w:eastAsiaTheme="minorHAnsi" w:hAnsi="Lato"/>
          <w:spacing w:val="4"/>
          <w:sz w:val="22"/>
          <w:szCs w:val="22"/>
          <w:lang w:eastAsia="en-US"/>
        </w:rPr>
        <w:t xml:space="preserve"> odwołującej się spółki</w:t>
      </w:r>
      <w:r w:rsidRPr="001C1C6C">
        <w:rPr>
          <w:rFonts w:ascii="Lato" w:eastAsiaTheme="minorHAnsi" w:hAnsi="Lato"/>
          <w:spacing w:val="4"/>
          <w:sz w:val="22"/>
          <w:szCs w:val="22"/>
          <w:lang w:eastAsia="en-US"/>
        </w:rPr>
        <w:t>, które skutkowały koniecznością dokonania zmian w kontrolowanym rozstrzygnięciu, a</w:t>
      </w:r>
      <w:r w:rsidR="006F2E00" w:rsidRPr="001C1C6C">
        <w:rPr>
          <w:rFonts w:ascii="Lato" w:eastAsiaTheme="minorHAnsi" w:hAnsi="Lato"/>
          <w:spacing w:val="4"/>
          <w:sz w:val="22"/>
          <w:szCs w:val="22"/>
          <w:lang w:eastAsia="en-US"/>
        </w:rPr>
        <w:t>naliza decyzji Wojewody Kujawsko-Pomorskiego dokonana przez Ministra wykazała</w:t>
      </w:r>
      <w:r w:rsidR="00E24789" w:rsidRPr="001C1C6C">
        <w:rPr>
          <w:rFonts w:ascii="Lato" w:eastAsiaTheme="minorHAnsi" w:hAnsi="Lato"/>
          <w:spacing w:val="4"/>
          <w:sz w:val="22"/>
          <w:szCs w:val="22"/>
          <w:lang w:eastAsia="en-US"/>
        </w:rPr>
        <w:t xml:space="preserve"> ponadto</w:t>
      </w:r>
      <w:r w:rsidR="006F2E00" w:rsidRPr="001C1C6C">
        <w:rPr>
          <w:rFonts w:ascii="Lato" w:eastAsiaTheme="minorHAnsi" w:hAnsi="Lato"/>
          <w:spacing w:val="4"/>
          <w:sz w:val="22"/>
          <w:szCs w:val="22"/>
          <w:lang w:eastAsia="en-US"/>
        </w:rPr>
        <w:t xml:space="preserve">, że organ I instancji nieprawidłowo sformułował treść pkt I kontrolowanego rozstrzygnięcia poprzez określenie granic terenu objętego inwestycją, w tym linii rozgraniczających teren inwestycji. Jak wynika z wniosku inwestora oraz zaskarżonej decyzji, przedmiotowa inwestycja </w:t>
      </w:r>
      <w:r w:rsidR="006F2E00" w:rsidRPr="001C1C6C">
        <w:rPr>
          <w:rFonts w:ascii="Lato" w:hAnsi="Lato" w:cs="Arial"/>
          <w:spacing w:val="4"/>
          <w:sz w:val="22"/>
          <w:szCs w:val="22"/>
        </w:rPr>
        <w:t xml:space="preserve">w sektorze naftowym nie wymaga zatwierdzenia podziałów nieruchomości, </w:t>
      </w:r>
      <w:r w:rsidR="00E14BAD" w:rsidRPr="001C1C6C">
        <w:rPr>
          <w:rFonts w:ascii="Lato" w:hAnsi="Lato" w:cs="Arial"/>
          <w:spacing w:val="4"/>
          <w:sz w:val="22"/>
          <w:szCs w:val="22"/>
        </w:rPr>
        <w:br/>
      </w:r>
      <w:r w:rsidR="006F2E00" w:rsidRPr="001C1C6C">
        <w:rPr>
          <w:rFonts w:ascii="Lato" w:hAnsi="Lato" w:cs="Arial"/>
          <w:spacing w:val="4"/>
          <w:sz w:val="22"/>
          <w:szCs w:val="22"/>
        </w:rPr>
        <w:t xml:space="preserve">o których mowa w art. 26 ust. 1 lub 1a specustawy naftowej. </w:t>
      </w:r>
      <w:r w:rsidR="00E24789" w:rsidRPr="001C1C6C">
        <w:rPr>
          <w:rFonts w:ascii="Lato" w:hAnsi="Lato" w:cs="Arial"/>
          <w:spacing w:val="4"/>
          <w:sz w:val="22"/>
          <w:szCs w:val="22"/>
        </w:rPr>
        <w:t xml:space="preserve"> </w:t>
      </w:r>
    </w:p>
    <w:p w14:paraId="2D5DB57A" w14:textId="77777777" w:rsidR="006F2E00" w:rsidRPr="001C1C6C" w:rsidRDefault="006F2E00" w:rsidP="006F2E00">
      <w:pPr>
        <w:tabs>
          <w:tab w:val="center" w:pos="1470"/>
          <w:tab w:val="left" w:pos="5387"/>
        </w:tabs>
        <w:spacing w:after="240" w:line="240" w:lineRule="exact"/>
        <w:jc w:val="both"/>
        <w:outlineLvl w:val="0"/>
        <w:rPr>
          <w:rFonts w:ascii="Lato" w:eastAsiaTheme="minorHAnsi" w:hAnsi="Lato"/>
          <w:spacing w:val="4"/>
          <w:sz w:val="22"/>
          <w:szCs w:val="22"/>
          <w:lang w:eastAsia="en-US"/>
        </w:rPr>
      </w:pPr>
      <w:r w:rsidRPr="001C1C6C">
        <w:rPr>
          <w:rFonts w:ascii="Lato" w:eastAsiaTheme="minorHAnsi" w:hAnsi="Lato"/>
          <w:spacing w:val="4"/>
          <w:sz w:val="22"/>
          <w:szCs w:val="22"/>
          <w:lang w:eastAsia="en-US"/>
        </w:rPr>
        <w:lastRenderedPageBreak/>
        <w:t xml:space="preserve">W myśl art. 26 ust. 2 ww. ustawy linie rozgraniczające teren inwestycji ustalone decyzją o ustaleniu lokalizacji strategicznej inwestycji w sektorze naftowym stanowią linie podziału nieruchomości w zakresie, w jakim inwestor wystąpił o zatwierdzenie podziału nieruchomości, przedstawiając mapy, o których mowa w </w:t>
      </w:r>
      <w:hyperlink r:id="rId14" w:history="1">
        <w:r w:rsidRPr="001C1C6C">
          <w:rPr>
            <w:rStyle w:val="Hipercze"/>
            <w:rFonts w:ascii="Lato" w:eastAsiaTheme="minorHAnsi" w:hAnsi="Lato"/>
            <w:color w:val="auto"/>
            <w:spacing w:val="4"/>
            <w:sz w:val="22"/>
            <w:szCs w:val="22"/>
            <w:u w:val="none"/>
            <w:lang w:eastAsia="en-US"/>
          </w:rPr>
          <w:t>art. 4 ust. 1 pkt 7</w:t>
        </w:r>
      </w:hyperlink>
      <w:r w:rsidRPr="001C1C6C">
        <w:rPr>
          <w:rFonts w:ascii="Lato" w:eastAsiaTheme="minorHAnsi" w:hAnsi="Lato"/>
          <w:spacing w:val="4"/>
          <w:sz w:val="22"/>
          <w:szCs w:val="22"/>
          <w:lang w:eastAsia="en-US"/>
        </w:rPr>
        <w:t xml:space="preserve">. Biorąc pod uwagę, że niniejszą inwestycją objęte są jedynie nieruchomości, w stosunku do których decyzja o ustaleniu lokalizacji strategicznej inwestycji w sektorze naftowym ma wywołać skutek, o którym mowa w </w:t>
      </w:r>
      <w:hyperlink r:id="rId15" w:history="1">
        <w:r w:rsidRPr="001C1C6C">
          <w:rPr>
            <w:rStyle w:val="Hipercze"/>
            <w:rFonts w:ascii="Lato" w:eastAsiaTheme="minorHAnsi" w:hAnsi="Lato"/>
            <w:color w:val="auto"/>
            <w:spacing w:val="4"/>
            <w:sz w:val="22"/>
            <w:szCs w:val="22"/>
            <w:u w:val="none"/>
            <w:lang w:eastAsia="en-US"/>
          </w:rPr>
          <w:t>art. 30 ust. 1</w:t>
        </w:r>
      </w:hyperlink>
      <w:r w:rsidRPr="001C1C6C">
        <w:rPr>
          <w:rFonts w:ascii="Lato" w:eastAsiaTheme="minorHAnsi" w:hAnsi="Lato"/>
          <w:spacing w:val="4"/>
          <w:sz w:val="22"/>
          <w:szCs w:val="22"/>
          <w:lang w:eastAsia="en-US"/>
        </w:rPr>
        <w:t xml:space="preserve">, to błędnym jest mowa w przedmiotowej sprawie o liniach rozgraniczających teren inwestycji. </w:t>
      </w:r>
    </w:p>
    <w:p w14:paraId="7F07E0E8" w14:textId="3D80F145" w:rsidR="006F2E00" w:rsidRPr="001C1C6C" w:rsidRDefault="006F2E00" w:rsidP="006F2E00">
      <w:pPr>
        <w:tabs>
          <w:tab w:val="center" w:pos="1470"/>
          <w:tab w:val="left" w:pos="5387"/>
        </w:tabs>
        <w:spacing w:after="240" w:line="240" w:lineRule="exact"/>
        <w:jc w:val="both"/>
        <w:outlineLvl w:val="0"/>
        <w:rPr>
          <w:rFonts w:ascii="Lato" w:eastAsiaTheme="minorHAnsi" w:hAnsi="Lato"/>
          <w:spacing w:val="4"/>
          <w:sz w:val="22"/>
          <w:szCs w:val="22"/>
          <w:lang w:eastAsia="en-US"/>
        </w:rPr>
      </w:pPr>
      <w:r w:rsidRPr="001C1C6C">
        <w:rPr>
          <w:rFonts w:ascii="Lato" w:eastAsiaTheme="minorHAnsi" w:hAnsi="Lato"/>
          <w:spacing w:val="4"/>
          <w:sz w:val="22"/>
          <w:szCs w:val="22"/>
          <w:lang w:eastAsia="en-US"/>
        </w:rPr>
        <w:t xml:space="preserve">Następnie zauważenia wymaga, iż zgodnie z art. 4 ust. 1 pkt 13 specustawy naftowej wniosek o wydanie decyzji o ustaleniu lokalizacji strategicznej inwestycji w sektorze naftowym zawiera wskazanie okresu, w jakim decyzja o ustaleniu lokalizacji strategicznej inwestycji w sektorze naftowym ma wywoływać skutek, o którym mowa w art. 30 ust. 1, w przypadku gdy ograniczenie sposobu korzystania z nieruchomości, o którym mowa </w:t>
      </w:r>
      <w:r w:rsidR="00E14BAD" w:rsidRPr="001C1C6C">
        <w:rPr>
          <w:rFonts w:ascii="Lato" w:eastAsiaTheme="minorHAnsi" w:hAnsi="Lato"/>
          <w:spacing w:val="4"/>
          <w:sz w:val="22"/>
          <w:szCs w:val="22"/>
          <w:lang w:eastAsia="en-US"/>
        </w:rPr>
        <w:br/>
      </w:r>
      <w:r w:rsidRPr="001C1C6C">
        <w:rPr>
          <w:rFonts w:ascii="Lato" w:eastAsiaTheme="minorHAnsi" w:hAnsi="Lato"/>
          <w:spacing w:val="4"/>
          <w:sz w:val="22"/>
          <w:szCs w:val="22"/>
          <w:lang w:eastAsia="en-US"/>
        </w:rPr>
        <w:t>w art. 30 ust. 1, ma nastąpić na czas określony.</w:t>
      </w:r>
    </w:p>
    <w:p w14:paraId="6C4C3172" w14:textId="08C1B171" w:rsidR="006F2E00" w:rsidRPr="001C1C6C" w:rsidRDefault="006F2E00" w:rsidP="006F2E00">
      <w:pPr>
        <w:tabs>
          <w:tab w:val="center" w:pos="1470"/>
          <w:tab w:val="left" w:pos="5387"/>
        </w:tabs>
        <w:spacing w:after="240" w:line="240" w:lineRule="exact"/>
        <w:jc w:val="both"/>
        <w:outlineLvl w:val="0"/>
        <w:rPr>
          <w:rFonts w:ascii="Lato" w:eastAsiaTheme="minorHAnsi" w:hAnsi="Lato"/>
          <w:spacing w:val="4"/>
          <w:sz w:val="22"/>
          <w:szCs w:val="22"/>
          <w:lang w:eastAsia="en-US"/>
        </w:rPr>
      </w:pPr>
      <w:r w:rsidRPr="001C1C6C">
        <w:rPr>
          <w:rFonts w:ascii="Lato" w:eastAsiaTheme="minorHAnsi" w:hAnsi="Lato"/>
          <w:spacing w:val="4"/>
          <w:sz w:val="22"/>
          <w:szCs w:val="22"/>
          <w:lang w:eastAsia="en-US"/>
        </w:rPr>
        <w:t xml:space="preserve">W treści kontrolowanej decyzji Wojewoda Kujawsko-Pomorski wskazał, zgodnie </w:t>
      </w:r>
      <w:r w:rsidR="00E14BAD" w:rsidRPr="001C1C6C">
        <w:rPr>
          <w:rFonts w:ascii="Lato" w:eastAsiaTheme="minorHAnsi" w:hAnsi="Lato"/>
          <w:spacing w:val="4"/>
          <w:sz w:val="22"/>
          <w:szCs w:val="22"/>
          <w:lang w:eastAsia="en-US"/>
        </w:rPr>
        <w:br/>
      </w:r>
      <w:r w:rsidRPr="001C1C6C">
        <w:rPr>
          <w:rFonts w:ascii="Lato" w:eastAsiaTheme="minorHAnsi" w:hAnsi="Lato"/>
          <w:spacing w:val="4"/>
          <w:sz w:val="22"/>
          <w:szCs w:val="22"/>
          <w:lang w:eastAsia="en-US"/>
        </w:rPr>
        <w:t xml:space="preserve">z wnioskiem inwestora, czas ograniczenia w korzystaniu z nieruchomości do końca </w:t>
      </w:r>
      <w:r w:rsidR="00E14BAD" w:rsidRPr="001C1C6C">
        <w:rPr>
          <w:rFonts w:ascii="Lato" w:eastAsiaTheme="minorHAnsi" w:hAnsi="Lato"/>
          <w:spacing w:val="4"/>
          <w:sz w:val="22"/>
          <w:szCs w:val="22"/>
          <w:lang w:eastAsia="en-US"/>
        </w:rPr>
        <w:br/>
      </w:r>
      <w:r w:rsidRPr="001C1C6C">
        <w:rPr>
          <w:rFonts w:ascii="Lato" w:eastAsiaTheme="minorHAnsi" w:hAnsi="Lato"/>
          <w:spacing w:val="4"/>
          <w:sz w:val="22"/>
          <w:szCs w:val="22"/>
          <w:lang w:eastAsia="en-US"/>
        </w:rPr>
        <w:t xml:space="preserve">2025 r., po uzyskaniu pozwolenia na użytkowanie inwestycji. W ocenie Ministra powyższy zapis jest nieprecyzyjny i może budzić wątpliwości interpretacyjne, bowiem oba terminy (tj. rok 2025 i termin uzyskania pozwolenia na użytkowanie) nie są w żaden sposób ze sobą skorelowane. W związku z powyższym konieczne było doprecyzowanie powyższej kwestii, co stanowiło przedmiot korespondencji organu II instancji kierowanej do inwestora </w:t>
      </w:r>
      <w:r w:rsidR="00E24789" w:rsidRPr="001C1C6C">
        <w:rPr>
          <w:rFonts w:ascii="Lato" w:eastAsiaTheme="minorHAnsi" w:hAnsi="Lato"/>
          <w:spacing w:val="4"/>
          <w:sz w:val="22"/>
          <w:szCs w:val="22"/>
          <w:lang w:eastAsia="en-US"/>
        </w:rPr>
        <w:t xml:space="preserve">za pismem </w:t>
      </w:r>
      <w:r w:rsidRPr="001C1C6C">
        <w:rPr>
          <w:rFonts w:ascii="Lato" w:eastAsiaTheme="minorHAnsi" w:hAnsi="Lato"/>
          <w:spacing w:val="4"/>
          <w:sz w:val="22"/>
          <w:szCs w:val="22"/>
          <w:lang w:eastAsia="en-US"/>
        </w:rPr>
        <w:t xml:space="preserve">z dnia 30 marca 2023 r., znak: </w:t>
      </w:r>
      <w:r w:rsidRPr="001C1C6C">
        <w:rPr>
          <w:rFonts w:ascii="Lato" w:hAnsi="Lato"/>
          <w:spacing w:val="4"/>
          <w:sz w:val="22"/>
          <w:szCs w:val="22"/>
        </w:rPr>
        <w:t xml:space="preserve">DLI-III.7620.5.2023.AW.4. </w:t>
      </w:r>
    </w:p>
    <w:p w14:paraId="4211C458" w14:textId="77777777" w:rsidR="006F2E00" w:rsidRPr="001C1C6C" w:rsidRDefault="006F2E00" w:rsidP="006F2E00">
      <w:pPr>
        <w:tabs>
          <w:tab w:val="center" w:pos="1470"/>
          <w:tab w:val="left" w:pos="5387"/>
        </w:tabs>
        <w:spacing w:after="240" w:line="240" w:lineRule="exact"/>
        <w:jc w:val="both"/>
        <w:outlineLvl w:val="0"/>
        <w:rPr>
          <w:rFonts w:ascii="Lato" w:eastAsiaTheme="minorHAnsi" w:hAnsi="Lato"/>
          <w:spacing w:val="4"/>
          <w:sz w:val="22"/>
          <w:szCs w:val="22"/>
          <w:lang w:eastAsia="en-US"/>
        </w:rPr>
      </w:pPr>
      <w:r w:rsidRPr="001C1C6C">
        <w:rPr>
          <w:rFonts w:ascii="Lato" w:eastAsiaTheme="minorHAnsi" w:hAnsi="Lato"/>
          <w:spacing w:val="4"/>
          <w:sz w:val="22"/>
          <w:szCs w:val="22"/>
          <w:lang w:eastAsia="en-US"/>
        </w:rPr>
        <w:t>W odpowiedzi na powyższe wezwanie inwestor doprecyzował ww. okres, co zostało skorygowane przez Ministra w pkt I niniejszego rozstrzygnięcia.</w:t>
      </w:r>
    </w:p>
    <w:p w14:paraId="3EA64D65" w14:textId="77777777" w:rsidR="006F2E00" w:rsidRPr="001C1C6C" w:rsidRDefault="006F2E00" w:rsidP="006F2E00">
      <w:pPr>
        <w:tabs>
          <w:tab w:val="center" w:pos="1470"/>
          <w:tab w:val="left" w:pos="5387"/>
        </w:tabs>
        <w:spacing w:after="240" w:line="240" w:lineRule="exact"/>
        <w:jc w:val="both"/>
        <w:outlineLvl w:val="0"/>
        <w:rPr>
          <w:rFonts w:ascii="Lato" w:eastAsiaTheme="minorHAnsi" w:hAnsi="Lato"/>
          <w:spacing w:val="4"/>
          <w:sz w:val="22"/>
          <w:szCs w:val="22"/>
          <w:lang w:eastAsia="en-US"/>
        </w:rPr>
      </w:pPr>
      <w:r w:rsidRPr="001C1C6C">
        <w:rPr>
          <w:rFonts w:ascii="Lato" w:eastAsiaTheme="minorHAnsi" w:hAnsi="Lato"/>
          <w:spacing w:val="4"/>
          <w:sz w:val="22"/>
          <w:szCs w:val="22"/>
          <w:lang w:eastAsia="en-US"/>
        </w:rPr>
        <w:t xml:space="preserve">Po analizie decyzji Wojewody Kujawsko-Pomorskiego Minister stwierdził, iż organ I instancji błędnie określił termin wydania nieruchomości lub opróżnienia lokali i innych pomieszczeń. </w:t>
      </w:r>
    </w:p>
    <w:p w14:paraId="0CF3E4FA" w14:textId="05D12BC6" w:rsidR="006F2E00" w:rsidRPr="00963B2C" w:rsidRDefault="006F2E00" w:rsidP="006F2E00">
      <w:pPr>
        <w:tabs>
          <w:tab w:val="center" w:pos="1470"/>
          <w:tab w:val="left" w:pos="5387"/>
        </w:tabs>
        <w:spacing w:after="240" w:line="240" w:lineRule="exact"/>
        <w:jc w:val="both"/>
        <w:outlineLvl w:val="0"/>
        <w:rPr>
          <w:rFonts w:ascii="Lato" w:eastAsiaTheme="minorHAnsi" w:hAnsi="Lato" w:cs="Arial"/>
          <w:bCs/>
          <w:spacing w:val="4"/>
          <w:sz w:val="22"/>
          <w:szCs w:val="22"/>
          <w:lang w:eastAsia="en-US"/>
        </w:rPr>
      </w:pPr>
      <w:r w:rsidRPr="001C1C6C">
        <w:rPr>
          <w:rFonts w:ascii="Lato" w:eastAsiaTheme="minorHAnsi" w:hAnsi="Lato" w:cs="Arial"/>
          <w:bCs/>
          <w:spacing w:val="4"/>
          <w:sz w:val="22"/>
          <w:szCs w:val="22"/>
          <w:lang w:eastAsia="en-US"/>
        </w:rPr>
        <w:t xml:space="preserve">Zgodnie z orzecznictwem sądowoadministracyjnym – zapadłym wprawdzie </w:t>
      </w:r>
      <w:r w:rsidR="00E14BAD" w:rsidRPr="001C1C6C">
        <w:rPr>
          <w:rFonts w:ascii="Lato" w:eastAsiaTheme="minorHAnsi" w:hAnsi="Lato" w:cs="Arial"/>
          <w:bCs/>
          <w:spacing w:val="4"/>
          <w:sz w:val="22"/>
          <w:szCs w:val="22"/>
          <w:lang w:eastAsia="en-US"/>
        </w:rPr>
        <w:br/>
      </w:r>
      <w:r w:rsidRPr="001C1C6C">
        <w:rPr>
          <w:rFonts w:ascii="Lato" w:eastAsiaTheme="minorHAnsi" w:hAnsi="Lato" w:cs="Arial"/>
          <w:bCs/>
          <w:spacing w:val="4"/>
          <w:sz w:val="22"/>
          <w:szCs w:val="22"/>
          <w:lang w:eastAsia="en-US"/>
        </w:rPr>
        <w:t>w odniesieniu do regula</w:t>
      </w:r>
      <w:r w:rsidR="00963B2C">
        <w:rPr>
          <w:rFonts w:ascii="Lato" w:eastAsiaTheme="minorHAnsi" w:hAnsi="Lato" w:cs="Arial"/>
          <w:bCs/>
          <w:spacing w:val="4"/>
          <w:sz w:val="22"/>
          <w:szCs w:val="22"/>
          <w:lang w:eastAsia="en-US"/>
        </w:rPr>
        <w:t>cji u</w:t>
      </w:r>
      <w:r w:rsidR="00963B2C" w:rsidRPr="00963B2C">
        <w:rPr>
          <w:rFonts w:ascii="Lato" w:eastAsiaTheme="minorHAnsi" w:hAnsi="Lato" w:cs="Arial"/>
          <w:bCs/>
          <w:spacing w:val="4"/>
          <w:sz w:val="22"/>
          <w:szCs w:val="22"/>
          <w:lang w:eastAsia="en-US"/>
        </w:rPr>
        <w:t xml:space="preserve">stawy o przygotowaniu i realizacji strategicznych inwestycji w zakresie sieci przesyłowych </w:t>
      </w:r>
      <w:r w:rsidR="00963B2C">
        <w:rPr>
          <w:rFonts w:ascii="Lato" w:eastAsiaTheme="minorHAnsi" w:hAnsi="Lato" w:cs="Arial"/>
          <w:bCs/>
          <w:spacing w:val="4"/>
          <w:sz w:val="22"/>
          <w:szCs w:val="22"/>
          <w:lang w:eastAsia="en-US"/>
        </w:rPr>
        <w:t>(</w:t>
      </w:r>
      <w:r w:rsidR="00963B2C" w:rsidRPr="00963B2C">
        <w:rPr>
          <w:rFonts w:ascii="Lato" w:eastAsiaTheme="minorHAnsi" w:hAnsi="Lato" w:cs="Arial"/>
          <w:bCs/>
          <w:spacing w:val="4"/>
          <w:sz w:val="22"/>
          <w:szCs w:val="22"/>
          <w:lang w:eastAsia="en-US"/>
        </w:rPr>
        <w:t>Dz.U. z 2015 r. poz. 1265</w:t>
      </w:r>
      <w:r w:rsidR="00963B2C">
        <w:rPr>
          <w:rFonts w:ascii="Lato" w:eastAsiaTheme="minorHAnsi" w:hAnsi="Lato" w:cs="Arial"/>
          <w:bCs/>
          <w:spacing w:val="4"/>
          <w:sz w:val="22"/>
          <w:szCs w:val="22"/>
          <w:lang w:eastAsia="en-US"/>
        </w:rPr>
        <w:t xml:space="preserve"> z poźn. zm.), zwanej dalej specustawa przesyłową</w:t>
      </w:r>
      <w:r w:rsidRPr="001C1C6C">
        <w:rPr>
          <w:rFonts w:ascii="Lato" w:eastAsiaTheme="minorHAnsi" w:hAnsi="Lato" w:cs="Arial"/>
          <w:bCs/>
          <w:spacing w:val="4"/>
          <w:sz w:val="22"/>
          <w:szCs w:val="22"/>
          <w:lang w:eastAsia="en-US"/>
        </w:rPr>
        <w:t>, ale aktualn</w:t>
      </w:r>
      <w:r w:rsidR="00E24789" w:rsidRPr="001C1C6C">
        <w:rPr>
          <w:rFonts w:ascii="Lato" w:eastAsiaTheme="minorHAnsi" w:hAnsi="Lato" w:cs="Arial"/>
          <w:bCs/>
          <w:spacing w:val="4"/>
          <w:sz w:val="22"/>
          <w:szCs w:val="22"/>
          <w:lang w:eastAsia="en-US"/>
        </w:rPr>
        <w:t>ym</w:t>
      </w:r>
      <w:r w:rsidRPr="001C1C6C">
        <w:rPr>
          <w:rFonts w:ascii="Lato" w:eastAsiaTheme="minorHAnsi" w:hAnsi="Lato" w:cs="Arial"/>
          <w:bCs/>
          <w:spacing w:val="4"/>
          <w:sz w:val="22"/>
          <w:szCs w:val="22"/>
          <w:lang w:eastAsia="en-US"/>
        </w:rPr>
        <w:t xml:space="preserve"> w pełni w świetle rozwiązań przyjętych w specustawie naftowej – </w:t>
      </w:r>
      <w:r w:rsidRPr="001C1C6C">
        <w:rPr>
          <w:rFonts w:ascii="Lato" w:eastAsiaTheme="minorHAnsi" w:hAnsi="Lato"/>
          <w:spacing w:val="4"/>
          <w:sz w:val="22"/>
          <w:szCs w:val="22"/>
          <w:lang w:eastAsia="en-US"/>
        </w:rPr>
        <w:t xml:space="preserve">ustanowienie dwóch odrębnych kategorii nieruchomości, na których realizowana jest inwestycja polegająca na budowie sieci przesyłowej, w tym osobnych form władania nimi, nakazuje przyjęcie odmiennych regulacji dotyczących warunków korzystania z nich przez inwestora przy wykonywaniu prac budowlanych. Odnoszą się one m.in. do obowiązku ustanowienia terminu udostępnienia nieruchomości o którym stanowi art. 8 ust. 1 pkt 9 </w:t>
      </w:r>
      <w:r w:rsidR="00963B2C">
        <w:rPr>
          <w:rFonts w:ascii="Lato" w:eastAsiaTheme="minorHAnsi" w:hAnsi="Lato"/>
          <w:spacing w:val="4"/>
          <w:sz w:val="22"/>
          <w:szCs w:val="22"/>
          <w:lang w:eastAsia="en-US"/>
        </w:rPr>
        <w:t xml:space="preserve">specustawy przesyłowej, </w:t>
      </w:r>
      <w:r w:rsidRPr="001C1C6C">
        <w:rPr>
          <w:rFonts w:ascii="Lato" w:eastAsiaTheme="minorHAnsi" w:hAnsi="Lato"/>
          <w:spacing w:val="4"/>
          <w:sz w:val="22"/>
          <w:szCs w:val="22"/>
          <w:lang w:eastAsia="en-US"/>
        </w:rPr>
        <w:t xml:space="preserve">dotyczącego nieruchomości podlegających wydaniu lub opróżnieniu. Błędne jest założenie, że termin z art. 8 ust. 1 pkt 9 specustawy przesyłowej dotyczy wszelkich form przejęcia nieruchomości, zarówno wskazanych w art. 19 ust. 3-5 specustawy przesyłowej, jak i w art. 22 ust. 1 tej ustawy, </w:t>
      </w:r>
      <w:r w:rsidR="00963B2C">
        <w:rPr>
          <w:rFonts w:ascii="Lato" w:eastAsiaTheme="minorHAnsi" w:hAnsi="Lato"/>
          <w:spacing w:val="4"/>
          <w:sz w:val="22"/>
          <w:szCs w:val="22"/>
          <w:lang w:eastAsia="en-US"/>
        </w:rPr>
        <w:t>W</w:t>
      </w:r>
      <w:r w:rsidRPr="001C1C6C">
        <w:rPr>
          <w:rFonts w:ascii="Lato" w:eastAsiaTheme="minorHAnsi" w:hAnsi="Lato"/>
          <w:spacing w:val="4"/>
          <w:sz w:val="22"/>
          <w:szCs w:val="22"/>
          <w:lang w:eastAsia="en-US"/>
        </w:rPr>
        <w:t xml:space="preserve"> orzecznictwie sądowym</w:t>
      </w:r>
      <w:r w:rsidR="00963B2C">
        <w:rPr>
          <w:rFonts w:ascii="Lato" w:eastAsiaTheme="minorHAnsi" w:hAnsi="Lato"/>
          <w:spacing w:val="4"/>
          <w:sz w:val="22"/>
          <w:szCs w:val="22"/>
          <w:lang w:eastAsia="en-US"/>
        </w:rPr>
        <w:t xml:space="preserve"> jednoznacznie</w:t>
      </w:r>
      <w:r w:rsidRPr="001C1C6C">
        <w:rPr>
          <w:rFonts w:ascii="Lato" w:eastAsiaTheme="minorHAnsi" w:hAnsi="Lato"/>
          <w:spacing w:val="4"/>
          <w:sz w:val="22"/>
          <w:szCs w:val="22"/>
          <w:lang w:eastAsia="en-US"/>
        </w:rPr>
        <w:t xml:space="preserve"> wskazano, że wyznaczenie terminu </w:t>
      </w:r>
      <w:r w:rsidR="000D184B">
        <w:rPr>
          <w:rFonts w:ascii="Lato" w:eastAsiaTheme="minorHAnsi" w:hAnsi="Lato"/>
          <w:spacing w:val="4"/>
          <w:sz w:val="22"/>
          <w:szCs w:val="22"/>
          <w:lang w:eastAsia="en-US"/>
        </w:rPr>
        <w:t xml:space="preserve">udostępnienia </w:t>
      </w:r>
      <w:r w:rsidRPr="001C1C6C">
        <w:rPr>
          <w:rFonts w:ascii="Lato" w:eastAsiaTheme="minorHAnsi" w:hAnsi="Lato"/>
          <w:spacing w:val="4"/>
          <w:sz w:val="22"/>
          <w:szCs w:val="22"/>
          <w:lang w:eastAsia="en-US"/>
        </w:rPr>
        <w:t xml:space="preserve">nie znajduje potwierdzenia w przepisach prawa (wyrok NSA z 6 lipca 2016 r., sygn. akt </w:t>
      </w:r>
      <w:bookmarkStart w:id="19" w:name="orz.351423044"/>
      <w:r w:rsidRPr="001C1C6C">
        <w:rPr>
          <w:rFonts w:ascii="Lato" w:eastAsiaTheme="minorHAnsi" w:hAnsi="Lato"/>
          <w:spacing w:val="4"/>
          <w:sz w:val="22"/>
          <w:szCs w:val="22"/>
          <w:lang w:eastAsia="en-US"/>
        </w:rPr>
        <w:fldChar w:fldCharType="begin"/>
      </w:r>
      <w:r w:rsidRPr="001C1C6C">
        <w:rPr>
          <w:rFonts w:ascii="Lato" w:eastAsiaTheme="minorHAnsi" w:hAnsi="Lato"/>
          <w:spacing w:val="4"/>
          <w:sz w:val="22"/>
          <w:szCs w:val="22"/>
          <w:lang w:eastAsia="en-US"/>
        </w:rPr>
        <w:instrText>HYPERLINK "https://sip.legalis.pl/document-view.seam?documentId=mrswglrtguytimrtga2di&amp;refSource=hypdec"</w:instrText>
      </w:r>
      <w:r w:rsidRPr="001C1C6C">
        <w:rPr>
          <w:rFonts w:ascii="Lato" w:eastAsiaTheme="minorHAnsi" w:hAnsi="Lato"/>
          <w:spacing w:val="4"/>
          <w:sz w:val="22"/>
          <w:szCs w:val="22"/>
          <w:lang w:eastAsia="en-US"/>
        </w:rPr>
      </w:r>
      <w:r w:rsidRPr="001C1C6C">
        <w:rPr>
          <w:rFonts w:ascii="Lato" w:eastAsiaTheme="minorHAnsi" w:hAnsi="Lato"/>
          <w:spacing w:val="4"/>
          <w:sz w:val="22"/>
          <w:szCs w:val="22"/>
          <w:lang w:eastAsia="en-US"/>
        </w:rPr>
        <w:fldChar w:fldCharType="separate"/>
      </w:r>
      <w:r w:rsidRPr="001C1C6C">
        <w:rPr>
          <w:rStyle w:val="Hipercze"/>
          <w:rFonts w:ascii="Lato" w:eastAsiaTheme="minorHAnsi" w:hAnsi="Lato"/>
          <w:color w:val="auto"/>
          <w:spacing w:val="4"/>
          <w:sz w:val="22"/>
          <w:szCs w:val="22"/>
          <w:u w:val="none"/>
          <w:lang w:eastAsia="en-US"/>
        </w:rPr>
        <w:t>I OSK 774/15</w:t>
      </w:r>
      <w:r w:rsidRPr="001C1C6C">
        <w:rPr>
          <w:rFonts w:ascii="Lato" w:eastAsiaTheme="minorHAnsi" w:hAnsi="Lato"/>
          <w:spacing w:val="4"/>
          <w:sz w:val="22"/>
          <w:szCs w:val="22"/>
          <w:lang w:eastAsia="en-US"/>
        </w:rPr>
        <w:fldChar w:fldCharType="end"/>
      </w:r>
      <w:bookmarkEnd w:id="19"/>
      <w:r w:rsidRPr="001C1C6C">
        <w:rPr>
          <w:rFonts w:ascii="Lato" w:eastAsiaTheme="minorHAnsi" w:hAnsi="Lato"/>
          <w:spacing w:val="4"/>
          <w:sz w:val="22"/>
          <w:szCs w:val="22"/>
          <w:lang w:eastAsia="en-US"/>
        </w:rPr>
        <w:t xml:space="preserve">, wyrok NSA z 6 lipca 2016 r., sygn. akt </w:t>
      </w:r>
      <w:bookmarkStart w:id="20" w:name="orz.361447933"/>
      <w:r w:rsidRPr="001C1C6C">
        <w:rPr>
          <w:rFonts w:ascii="Lato" w:eastAsiaTheme="minorHAnsi" w:hAnsi="Lato"/>
          <w:spacing w:val="4"/>
          <w:sz w:val="22"/>
          <w:szCs w:val="22"/>
          <w:lang w:eastAsia="en-US"/>
        </w:rPr>
        <w:fldChar w:fldCharType="begin"/>
      </w:r>
      <w:r w:rsidRPr="001C1C6C">
        <w:rPr>
          <w:rFonts w:ascii="Lato" w:eastAsiaTheme="minorHAnsi" w:hAnsi="Lato"/>
          <w:spacing w:val="4"/>
          <w:sz w:val="22"/>
          <w:szCs w:val="22"/>
          <w:lang w:eastAsia="en-US"/>
        </w:rPr>
        <w:instrText>HYPERLINK "https://sip.legalis.pl/document-view.seam?documentId=mrswglrtgyytinbxheztg&amp;refSource=hypdec"</w:instrText>
      </w:r>
      <w:r w:rsidRPr="001C1C6C">
        <w:rPr>
          <w:rFonts w:ascii="Lato" w:eastAsiaTheme="minorHAnsi" w:hAnsi="Lato"/>
          <w:spacing w:val="4"/>
          <w:sz w:val="22"/>
          <w:szCs w:val="22"/>
          <w:lang w:eastAsia="en-US"/>
        </w:rPr>
      </w:r>
      <w:r w:rsidRPr="001C1C6C">
        <w:rPr>
          <w:rFonts w:ascii="Lato" w:eastAsiaTheme="minorHAnsi" w:hAnsi="Lato"/>
          <w:spacing w:val="4"/>
          <w:sz w:val="22"/>
          <w:szCs w:val="22"/>
          <w:lang w:eastAsia="en-US"/>
        </w:rPr>
        <w:fldChar w:fldCharType="separate"/>
      </w:r>
      <w:r w:rsidRPr="001C1C6C">
        <w:rPr>
          <w:rStyle w:val="Hipercze"/>
          <w:rFonts w:ascii="Lato" w:eastAsiaTheme="minorHAnsi" w:hAnsi="Lato"/>
          <w:color w:val="auto"/>
          <w:spacing w:val="4"/>
          <w:sz w:val="22"/>
          <w:szCs w:val="22"/>
          <w:u w:val="none"/>
          <w:lang w:eastAsia="en-US"/>
        </w:rPr>
        <w:t>I OSK 2872/15</w:t>
      </w:r>
      <w:r w:rsidRPr="001C1C6C">
        <w:rPr>
          <w:rFonts w:ascii="Lato" w:eastAsiaTheme="minorHAnsi" w:hAnsi="Lato"/>
          <w:spacing w:val="4"/>
          <w:sz w:val="22"/>
          <w:szCs w:val="22"/>
          <w:lang w:eastAsia="en-US"/>
        </w:rPr>
        <w:fldChar w:fldCharType="end"/>
      </w:r>
      <w:bookmarkEnd w:id="20"/>
      <w:r w:rsidRPr="001C1C6C">
        <w:rPr>
          <w:rFonts w:ascii="Lato" w:eastAsiaTheme="minorHAnsi" w:hAnsi="Lato"/>
          <w:spacing w:val="4"/>
          <w:sz w:val="22"/>
          <w:szCs w:val="22"/>
          <w:lang w:eastAsia="en-US"/>
        </w:rPr>
        <w:t xml:space="preserve">, wyrok NSA z 21 listopada 2017 r., sygn. akt II OSK 1956/17). </w:t>
      </w:r>
    </w:p>
    <w:p w14:paraId="34A1485E" w14:textId="3CA76F9F" w:rsidR="00310EEA" w:rsidRPr="00310EEA" w:rsidRDefault="00C63FC0" w:rsidP="00310EEA">
      <w:pPr>
        <w:tabs>
          <w:tab w:val="center" w:pos="1470"/>
          <w:tab w:val="left" w:pos="5387"/>
        </w:tabs>
        <w:spacing w:after="240" w:line="240" w:lineRule="exact"/>
        <w:jc w:val="both"/>
        <w:outlineLvl w:val="0"/>
        <w:rPr>
          <w:rFonts w:ascii="Lato" w:eastAsiaTheme="minorHAnsi" w:hAnsi="Lato"/>
          <w:spacing w:val="4"/>
          <w:sz w:val="22"/>
          <w:szCs w:val="22"/>
          <w:lang w:eastAsia="en-US"/>
        </w:rPr>
      </w:pPr>
      <w:r>
        <w:rPr>
          <w:rFonts w:ascii="Lato" w:eastAsiaTheme="minorHAnsi" w:hAnsi="Lato"/>
          <w:spacing w:val="4"/>
          <w:sz w:val="22"/>
          <w:szCs w:val="22"/>
          <w:lang w:eastAsia="en-US"/>
        </w:rPr>
        <w:t>Przenosząc powyższe</w:t>
      </w:r>
      <w:r w:rsidR="000D184B">
        <w:rPr>
          <w:rFonts w:ascii="Lato" w:eastAsiaTheme="minorHAnsi" w:hAnsi="Lato"/>
          <w:spacing w:val="4"/>
          <w:sz w:val="22"/>
          <w:szCs w:val="22"/>
          <w:lang w:eastAsia="en-US"/>
        </w:rPr>
        <w:t xml:space="preserve"> wnioski</w:t>
      </w:r>
      <w:r>
        <w:rPr>
          <w:rFonts w:ascii="Lato" w:eastAsiaTheme="minorHAnsi" w:hAnsi="Lato"/>
          <w:spacing w:val="4"/>
          <w:sz w:val="22"/>
          <w:szCs w:val="22"/>
          <w:lang w:eastAsia="en-US"/>
        </w:rPr>
        <w:t xml:space="preserve"> na grunt</w:t>
      </w:r>
      <w:r w:rsidR="00310EEA">
        <w:rPr>
          <w:rFonts w:ascii="Lato" w:eastAsiaTheme="minorHAnsi" w:hAnsi="Lato"/>
          <w:spacing w:val="4"/>
          <w:sz w:val="22"/>
          <w:szCs w:val="22"/>
          <w:lang w:eastAsia="en-US"/>
        </w:rPr>
        <w:t xml:space="preserve"> przepisów</w:t>
      </w:r>
      <w:r w:rsidR="000D184B">
        <w:rPr>
          <w:rFonts w:ascii="Lato" w:eastAsiaTheme="minorHAnsi" w:hAnsi="Lato"/>
          <w:spacing w:val="4"/>
          <w:sz w:val="22"/>
          <w:szCs w:val="22"/>
          <w:lang w:eastAsia="en-US"/>
        </w:rPr>
        <w:t xml:space="preserve"> specustawy naftowej</w:t>
      </w:r>
      <w:r>
        <w:rPr>
          <w:rFonts w:ascii="Lato" w:eastAsiaTheme="minorHAnsi" w:hAnsi="Lato"/>
          <w:spacing w:val="4"/>
          <w:sz w:val="22"/>
          <w:szCs w:val="22"/>
          <w:lang w:eastAsia="en-US"/>
        </w:rPr>
        <w:t>,</w:t>
      </w:r>
      <w:r w:rsidR="00310EEA">
        <w:rPr>
          <w:rFonts w:ascii="Lato" w:eastAsiaTheme="minorHAnsi" w:hAnsi="Lato"/>
          <w:spacing w:val="4"/>
          <w:sz w:val="22"/>
          <w:szCs w:val="22"/>
          <w:lang w:eastAsia="en-US"/>
        </w:rPr>
        <w:t xml:space="preserve"> </w:t>
      </w:r>
      <w:r w:rsidR="000D184B">
        <w:rPr>
          <w:rFonts w:ascii="Lato" w:eastAsiaTheme="minorHAnsi" w:hAnsi="Lato"/>
          <w:spacing w:val="4"/>
          <w:sz w:val="22"/>
          <w:szCs w:val="22"/>
          <w:lang w:eastAsia="en-US"/>
        </w:rPr>
        <w:t xml:space="preserve">w </w:t>
      </w:r>
      <w:r w:rsidR="00310EEA" w:rsidRPr="00310EEA">
        <w:rPr>
          <w:rFonts w:ascii="Lato" w:eastAsiaTheme="minorHAnsi" w:hAnsi="Lato"/>
          <w:spacing w:val="4"/>
          <w:sz w:val="22"/>
          <w:szCs w:val="22"/>
          <w:lang w:eastAsia="en-US"/>
        </w:rPr>
        <w:t xml:space="preserve">przypadku gdy decyzja dotyczy nieruchomości, które mają być udostępnione inwestorowi w celu wykonania konkretnych czynności związanych z inwestycją, bez przejęcia prawa </w:t>
      </w:r>
      <w:r w:rsidR="00310EEA" w:rsidRPr="00310EEA">
        <w:rPr>
          <w:rFonts w:ascii="Lato" w:eastAsiaTheme="minorHAnsi" w:hAnsi="Lato"/>
          <w:spacing w:val="4"/>
          <w:sz w:val="22"/>
          <w:szCs w:val="22"/>
          <w:lang w:eastAsia="en-US"/>
        </w:rPr>
        <w:lastRenderedPageBreak/>
        <w:t xml:space="preserve">własności, nie ma obowiązku określenia terminu </w:t>
      </w:r>
      <w:r w:rsidR="00982C17">
        <w:rPr>
          <w:rFonts w:ascii="Lato" w:eastAsiaTheme="minorHAnsi" w:hAnsi="Lato"/>
          <w:spacing w:val="4"/>
          <w:sz w:val="22"/>
          <w:szCs w:val="22"/>
          <w:lang w:eastAsia="en-US"/>
        </w:rPr>
        <w:t>wydania</w:t>
      </w:r>
      <w:r w:rsidR="00310EEA">
        <w:rPr>
          <w:rFonts w:ascii="Lato" w:eastAsiaTheme="minorHAnsi" w:hAnsi="Lato"/>
          <w:spacing w:val="4"/>
          <w:sz w:val="22"/>
          <w:szCs w:val="22"/>
          <w:lang w:eastAsia="en-US"/>
        </w:rPr>
        <w:t xml:space="preserve"> nieruchomości zgodnie z </w:t>
      </w:r>
      <w:r w:rsidR="00310EEA" w:rsidRPr="00310EEA">
        <w:rPr>
          <w:rFonts w:ascii="Lato" w:eastAsiaTheme="minorHAnsi" w:hAnsi="Lato"/>
          <w:spacing w:val="4"/>
          <w:sz w:val="22"/>
          <w:szCs w:val="22"/>
          <w:lang w:eastAsia="en-US"/>
        </w:rPr>
        <w:t xml:space="preserve">art. 8 </w:t>
      </w:r>
      <w:r w:rsidR="00310EEA">
        <w:rPr>
          <w:rFonts w:ascii="Lato" w:eastAsiaTheme="minorHAnsi" w:hAnsi="Lato"/>
          <w:spacing w:val="4"/>
          <w:sz w:val="22"/>
          <w:szCs w:val="22"/>
          <w:lang w:eastAsia="en-US"/>
        </w:rPr>
        <w:t>ust 1 pkt 12 specustawy naftowej.</w:t>
      </w:r>
    </w:p>
    <w:p w14:paraId="03A3F0AA" w14:textId="2A621631" w:rsidR="006F2E00" w:rsidRPr="001C1C6C" w:rsidRDefault="006F2E00" w:rsidP="006F2E00">
      <w:pPr>
        <w:tabs>
          <w:tab w:val="center" w:pos="1470"/>
          <w:tab w:val="left" w:pos="5387"/>
        </w:tabs>
        <w:spacing w:after="240" w:line="240" w:lineRule="exact"/>
        <w:jc w:val="both"/>
        <w:outlineLvl w:val="0"/>
        <w:rPr>
          <w:rFonts w:ascii="Lato" w:eastAsiaTheme="minorHAnsi" w:hAnsi="Lato"/>
          <w:spacing w:val="4"/>
          <w:sz w:val="22"/>
          <w:szCs w:val="22"/>
          <w:lang w:eastAsia="en-US"/>
        </w:rPr>
      </w:pPr>
      <w:r w:rsidRPr="001C1C6C">
        <w:rPr>
          <w:rFonts w:ascii="Lato" w:eastAsiaTheme="minorHAnsi" w:hAnsi="Lato"/>
          <w:spacing w:val="4"/>
          <w:sz w:val="22"/>
          <w:szCs w:val="22"/>
          <w:lang w:eastAsia="en-US"/>
        </w:rPr>
        <w:t xml:space="preserve">Biorąc pod uwagę fakt, iż wniosek inwestora nie zawierał oznaczenia nieruchomości, </w:t>
      </w:r>
      <w:r w:rsidR="00E14BAD" w:rsidRPr="001C1C6C">
        <w:rPr>
          <w:rFonts w:ascii="Lato" w:eastAsiaTheme="minorHAnsi" w:hAnsi="Lato"/>
          <w:spacing w:val="4"/>
          <w:sz w:val="22"/>
          <w:szCs w:val="22"/>
          <w:lang w:eastAsia="en-US"/>
        </w:rPr>
        <w:br/>
      </w:r>
      <w:r w:rsidRPr="001C1C6C">
        <w:rPr>
          <w:rFonts w:ascii="Lato" w:eastAsiaTheme="minorHAnsi" w:hAnsi="Lato"/>
          <w:spacing w:val="4"/>
          <w:sz w:val="22"/>
          <w:szCs w:val="22"/>
          <w:lang w:eastAsia="en-US"/>
        </w:rPr>
        <w:t xml:space="preserve">w stosunku do których decyzja o ustaleniu lokalizacji strategicznej inwestycji w sektorze naftowym ma wywołać skutek, o którym mowa w </w:t>
      </w:r>
      <w:hyperlink r:id="rId16" w:history="1">
        <w:r w:rsidRPr="001C1C6C">
          <w:rPr>
            <w:rStyle w:val="Hipercze"/>
            <w:rFonts w:ascii="Lato" w:eastAsiaTheme="minorHAnsi" w:hAnsi="Lato"/>
            <w:color w:val="auto"/>
            <w:spacing w:val="4"/>
            <w:sz w:val="22"/>
            <w:szCs w:val="22"/>
            <w:u w:val="none"/>
            <w:lang w:eastAsia="en-US"/>
          </w:rPr>
          <w:t>art. 26 ust. 3 i 6</w:t>
        </w:r>
      </w:hyperlink>
      <w:r w:rsidRPr="001C1C6C">
        <w:rPr>
          <w:rFonts w:ascii="Lato" w:eastAsiaTheme="minorHAnsi" w:hAnsi="Lato"/>
          <w:spacing w:val="4"/>
          <w:sz w:val="22"/>
          <w:szCs w:val="22"/>
          <w:lang w:eastAsia="en-US"/>
        </w:rPr>
        <w:t xml:space="preserve">, w postaci przejścia prawa własności na rzecz Skarbu Państwa w użytkowanie wieczyste inwestora, tym samym brak było podstaw do ustalania terminu wydania nieruchomości lub opróżnienia lokali i innych pomieszczań na podstawie art. 8 ust. 1 pkt 12 specustawy naftowej. </w:t>
      </w:r>
      <w:r w:rsidR="00E14BAD" w:rsidRPr="001C1C6C">
        <w:rPr>
          <w:rFonts w:ascii="Lato" w:eastAsiaTheme="minorHAnsi" w:hAnsi="Lato"/>
          <w:spacing w:val="4"/>
          <w:sz w:val="22"/>
          <w:szCs w:val="22"/>
          <w:lang w:eastAsia="en-US"/>
        </w:rPr>
        <w:br/>
      </w:r>
      <w:r w:rsidRPr="001C1C6C">
        <w:rPr>
          <w:rFonts w:ascii="Lato" w:eastAsiaTheme="minorHAnsi" w:hAnsi="Lato"/>
          <w:spacing w:val="4"/>
          <w:sz w:val="22"/>
          <w:szCs w:val="22"/>
          <w:lang w:eastAsia="en-US"/>
        </w:rPr>
        <w:t xml:space="preserve">W związku z powyższym Minister uchylił zapisy Wojewody Kujawsko-Pomorskiego </w:t>
      </w:r>
      <w:r w:rsidR="00E14BAD" w:rsidRPr="001C1C6C">
        <w:rPr>
          <w:rFonts w:ascii="Lato" w:eastAsiaTheme="minorHAnsi" w:hAnsi="Lato"/>
          <w:spacing w:val="4"/>
          <w:sz w:val="22"/>
          <w:szCs w:val="22"/>
          <w:lang w:eastAsia="en-US"/>
        </w:rPr>
        <w:br/>
      </w:r>
      <w:r w:rsidRPr="001C1C6C">
        <w:rPr>
          <w:rFonts w:ascii="Lato" w:eastAsiaTheme="minorHAnsi" w:hAnsi="Lato"/>
          <w:spacing w:val="4"/>
          <w:sz w:val="22"/>
          <w:szCs w:val="22"/>
          <w:lang w:eastAsia="en-US"/>
        </w:rPr>
        <w:t xml:space="preserve">w tym zakresie. </w:t>
      </w:r>
    </w:p>
    <w:p w14:paraId="542DB303" w14:textId="1587F232" w:rsidR="00310EEA" w:rsidRPr="001C1C6C" w:rsidRDefault="006F2E00" w:rsidP="004810CD">
      <w:pPr>
        <w:spacing w:after="240" w:line="240" w:lineRule="exact"/>
        <w:jc w:val="both"/>
        <w:outlineLvl w:val="0"/>
        <w:rPr>
          <w:rFonts w:ascii="Lato" w:eastAsia="Calibri" w:hAnsi="Lato" w:cs="Arial"/>
          <w:spacing w:val="4"/>
          <w:sz w:val="22"/>
          <w:szCs w:val="22"/>
          <w:lang w:eastAsia="en-US"/>
        </w:rPr>
      </w:pPr>
      <w:r w:rsidRPr="001C1C6C">
        <w:rPr>
          <w:rFonts w:ascii="Lato" w:eastAsia="Calibri" w:hAnsi="Lato" w:cs="Arial"/>
          <w:spacing w:val="4"/>
          <w:sz w:val="22"/>
          <w:szCs w:val="22"/>
          <w:lang w:eastAsia="en-US"/>
        </w:rPr>
        <w:t>Wobec powyższego Minister – korzystając z uprawnień reformatoryjnych wynikających z art. 138 § 1 pkt 2 kpa – dokonał korekty decyzji Wojewody Kujawsko-Pomorskiego, szczegółowo opisanej w pkt I niniejszej decyzji.</w:t>
      </w:r>
    </w:p>
    <w:p w14:paraId="21C34ACE" w14:textId="7230B9B5" w:rsidR="00571AE8" w:rsidRPr="001C1C6C" w:rsidRDefault="004810CD" w:rsidP="00675FC9">
      <w:pPr>
        <w:spacing w:after="240" w:line="240" w:lineRule="exact"/>
        <w:jc w:val="both"/>
        <w:outlineLvl w:val="0"/>
        <w:rPr>
          <w:rFonts w:ascii="Lato" w:eastAsia="Calibri" w:hAnsi="Lato" w:cs="Arial"/>
          <w:bCs/>
          <w:spacing w:val="4"/>
          <w:sz w:val="22"/>
          <w:szCs w:val="22"/>
          <w:lang w:eastAsia="en-US"/>
        </w:rPr>
      </w:pPr>
      <w:r w:rsidRPr="001C1C6C">
        <w:rPr>
          <w:rFonts w:ascii="Lato" w:eastAsia="Calibri" w:hAnsi="Lato" w:cs="Arial"/>
          <w:bCs/>
          <w:spacing w:val="4"/>
          <w:sz w:val="22"/>
          <w:szCs w:val="22"/>
          <w:lang w:eastAsia="en-US" w:bidi="pl-PL"/>
        </w:rPr>
        <w:t>Organ odwoławczy dokonując rozstrzygnięć, o których mowa w pkt I przedmiotowej decyzji, uznał, że nie naruszają one zasady dwuinstancyjności postępowania, o której mowa w art. 15 kpa.</w:t>
      </w:r>
      <w:r w:rsidRPr="001C1C6C">
        <w:rPr>
          <w:rFonts w:ascii="Lato" w:eastAsia="Calibri" w:hAnsi="Lato" w:cs="Arial"/>
          <w:bCs/>
          <w:spacing w:val="4"/>
          <w:sz w:val="22"/>
          <w:szCs w:val="22"/>
          <w:lang w:eastAsia="en-US"/>
        </w:rPr>
        <w:t xml:space="preserve"> </w:t>
      </w:r>
    </w:p>
    <w:p w14:paraId="328F8C75" w14:textId="77777777" w:rsidR="00F22461" w:rsidRPr="001C1C6C" w:rsidRDefault="00174614" w:rsidP="00F22461">
      <w:pPr>
        <w:spacing w:after="240" w:line="240" w:lineRule="exact"/>
        <w:jc w:val="both"/>
        <w:outlineLvl w:val="0"/>
        <w:rPr>
          <w:rFonts w:ascii="Lato" w:eastAsia="Calibri" w:hAnsi="Lato" w:cs="Arial"/>
          <w:bCs/>
          <w:spacing w:val="4"/>
          <w:sz w:val="22"/>
          <w:szCs w:val="22"/>
          <w:lang w:eastAsia="en-US"/>
        </w:rPr>
      </w:pPr>
      <w:r w:rsidRPr="001C1C6C">
        <w:rPr>
          <w:rFonts w:ascii="Lato" w:eastAsia="Calibri" w:hAnsi="Lato" w:cs="Arial"/>
          <w:bCs/>
          <w:spacing w:val="4"/>
          <w:sz w:val="22"/>
          <w:szCs w:val="22"/>
          <w:lang w:eastAsia="en-US"/>
        </w:rPr>
        <w:t>Badając zgodność z prawem pozostałej części zaskarżonej decyzji</w:t>
      </w:r>
      <w:r w:rsidR="00571AE8" w:rsidRPr="001C1C6C">
        <w:rPr>
          <w:rFonts w:ascii="Lato" w:eastAsia="Calibri" w:hAnsi="Lato" w:cs="Arial"/>
          <w:bCs/>
          <w:spacing w:val="4"/>
          <w:sz w:val="22"/>
          <w:szCs w:val="22"/>
          <w:lang w:eastAsia="en-US"/>
        </w:rPr>
        <w:t xml:space="preserve">, </w:t>
      </w:r>
      <w:r w:rsidRPr="001C1C6C">
        <w:rPr>
          <w:rFonts w:ascii="Lato" w:eastAsia="Calibri" w:hAnsi="Lato" w:cs="Arial"/>
          <w:bCs/>
          <w:spacing w:val="4"/>
          <w:sz w:val="22"/>
          <w:szCs w:val="22"/>
          <w:lang w:eastAsia="en-US"/>
        </w:rPr>
        <w:t xml:space="preserve">organ odwoławczy stwierdził, że czyni ona zadość innym wymogom specustawy naftowej </w:t>
      </w:r>
      <w:r w:rsidR="00AF4BC5" w:rsidRPr="001C1C6C">
        <w:rPr>
          <w:rFonts w:ascii="Lato" w:eastAsia="Calibri" w:hAnsi="Lato" w:cs="Arial"/>
          <w:bCs/>
          <w:spacing w:val="4"/>
          <w:sz w:val="22"/>
          <w:szCs w:val="22"/>
          <w:lang w:eastAsia="en-US"/>
        </w:rPr>
        <w:t>oraz</w:t>
      </w:r>
      <w:r w:rsidRPr="001C1C6C">
        <w:rPr>
          <w:rFonts w:ascii="Lato" w:eastAsia="Calibri" w:hAnsi="Lato" w:cs="Arial"/>
          <w:bCs/>
          <w:spacing w:val="4"/>
          <w:sz w:val="22"/>
          <w:szCs w:val="22"/>
          <w:lang w:eastAsia="en-US"/>
        </w:rPr>
        <w:t xml:space="preserve"> że brak było podstaw do zakwestionowania decyzji poza częścią uchyloną i orzeczoną w niniejszej decyzji. W związku z powyższym, w pkt II niniejszej decyzji Minister utrzymał w mocy zaskarżoną decyzję w pozostałym zakresie.</w:t>
      </w:r>
    </w:p>
    <w:p w14:paraId="00276CBF" w14:textId="152C75A9" w:rsidR="00F22461" w:rsidRPr="001C1C6C" w:rsidRDefault="00F22461" w:rsidP="00F22461">
      <w:pPr>
        <w:spacing w:after="240" w:line="240" w:lineRule="exact"/>
        <w:jc w:val="both"/>
        <w:outlineLvl w:val="0"/>
        <w:rPr>
          <w:rFonts w:ascii="Lato" w:eastAsia="Calibri" w:hAnsi="Lato" w:cs="Arial"/>
          <w:bCs/>
          <w:spacing w:val="4"/>
          <w:sz w:val="22"/>
          <w:szCs w:val="22"/>
          <w:lang w:eastAsia="en-US"/>
        </w:rPr>
      </w:pPr>
      <w:r w:rsidRPr="001C1C6C">
        <w:rPr>
          <w:rFonts w:ascii="Lato" w:eastAsiaTheme="minorHAnsi" w:hAnsi="Lato" w:cs="Arial"/>
          <w:bCs/>
          <w:spacing w:val="4"/>
          <w:sz w:val="22"/>
          <w:szCs w:val="22"/>
          <w:lang w:eastAsia="en-US"/>
        </w:rPr>
        <w:t xml:space="preserve">Uzasadniając natomiast rozstrzygnięcie podjęte w pkt III niniejszej decyzji, tj. umorzenie postępowania odwoławczego w zakresie odwołania </w:t>
      </w:r>
      <w:r w:rsidR="0088787D">
        <w:rPr>
          <w:rFonts w:ascii="Lato" w:eastAsiaTheme="minorHAnsi" w:hAnsi="Lato" w:cs="Arial"/>
          <w:bCs/>
          <w:spacing w:val="4"/>
          <w:sz w:val="22"/>
          <w:szCs w:val="22"/>
          <w:lang w:eastAsia="en-US"/>
        </w:rPr>
        <w:t>E.</w:t>
      </w:r>
      <w:r w:rsidRPr="001C1C6C">
        <w:rPr>
          <w:rFonts w:ascii="Lato" w:eastAsiaTheme="minorHAnsi" w:hAnsi="Lato" w:cs="Arial"/>
          <w:bCs/>
          <w:spacing w:val="4"/>
          <w:sz w:val="22"/>
          <w:szCs w:val="22"/>
          <w:lang w:eastAsia="en-US"/>
        </w:rPr>
        <w:t xml:space="preserve"> sp. z o.o. z siedzibą w </w:t>
      </w:r>
      <w:r w:rsidR="0088787D">
        <w:rPr>
          <w:rFonts w:ascii="Lato" w:eastAsiaTheme="minorHAnsi" w:hAnsi="Lato" w:cs="Arial"/>
          <w:bCs/>
          <w:spacing w:val="4"/>
          <w:sz w:val="22"/>
          <w:szCs w:val="22"/>
          <w:lang w:eastAsia="en-US"/>
        </w:rPr>
        <w:t>B.</w:t>
      </w:r>
      <w:r w:rsidRPr="001C1C6C">
        <w:rPr>
          <w:rFonts w:ascii="Lato" w:eastAsiaTheme="minorHAnsi" w:hAnsi="Lato" w:cs="Arial"/>
          <w:bCs/>
          <w:spacing w:val="4"/>
          <w:sz w:val="22"/>
          <w:szCs w:val="22"/>
          <w:lang w:eastAsia="en-US"/>
        </w:rPr>
        <w:t xml:space="preserve">, Minister stwierdził, co następuje. </w:t>
      </w:r>
    </w:p>
    <w:p w14:paraId="598910D0" w14:textId="24E02EB5" w:rsidR="00F22461" w:rsidRPr="001C1C6C" w:rsidRDefault="00F22461" w:rsidP="00F22461">
      <w:pPr>
        <w:tabs>
          <w:tab w:val="left" w:pos="2977"/>
        </w:tabs>
        <w:spacing w:after="240" w:line="240" w:lineRule="exact"/>
        <w:jc w:val="both"/>
        <w:outlineLvl w:val="0"/>
        <w:rPr>
          <w:rFonts w:ascii="Lato" w:eastAsiaTheme="minorHAnsi" w:hAnsi="Lato" w:cs="Arial"/>
          <w:bCs/>
          <w:spacing w:val="4"/>
          <w:sz w:val="22"/>
          <w:szCs w:val="22"/>
          <w:lang w:eastAsia="en-US"/>
        </w:rPr>
      </w:pPr>
      <w:r w:rsidRPr="001C1C6C">
        <w:rPr>
          <w:rFonts w:ascii="Lato" w:eastAsiaTheme="minorHAnsi" w:hAnsi="Lato" w:cs="Arial"/>
          <w:bCs/>
          <w:spacing w:val="4"/>
          <w:sz w:val="22"/>
          <w:szCs w:val="22"/>
          <w:lang w:eastAsia="en-US"/>
        </w:rPr>
        <w:t xml:space="preserve">Zgodnie z dyspozycją art. 137 kpa strona może cofnąć odwołanie przed wydaniem decyzji przez organ odwoławczy. Organ odwoławczy nie uwzględni jednak cofnięcia odwołania, jeżeli prowadziłoby to do utrzymania w mocy decyzji naruszającej prawo lub interes społeczny. Cofnięcie odwołania od decyzji organu I instancji wypełnia przesłankę bezprzedmiotowości postępowania określoną w art. 105 § 1 kpa i skutkuje umorzeniem postępowania odwoławczego w trybie art. 138 § 1 pkt 3 kpa. </w:t>
      </w:r>
    </w:p>
    <w:p w14:paraId="05AE15AF" w14:textId="3D04D968" w:rsidR="00F22461" w:rsidRPr="001C1C6C" w:rsidRDefault="00F22461" w:rsidP="00F22461">
      <w:pPr>
        <w:tabs>
          <w:tab w:val="left" w:pos="2977"/>
        </w:tabs>
        <w:spacing w:after="240" w:line="240" w:lineRule="exact"/>
        <w:jc w:val="both"/>
        <w:outlineLvl w:val="0"/>
        <w:rPr>
          <w:rFonts w:ascii="Lato" w:eastAsiaTheme="minorHAnsi" w:hAnsi="Lato" w:cs="Arial"/>
          <w:bCs/>
          <w:spacing w:val="4"/>
          <w:sz w:val="22"/>
          <w:szCs w:val="22"/>
          <w:lang w:eastAsia="en-US"/>
        </w:rPr>
      </w:pPr>
      <w:r w:rsidRPr="001C1C6C">
        <w:rPr>
          <w:rFonts w:ascii="Lato" w:eastAsiaTheme="minorHAnsi" w:hAnsi="Lato" w:cs="Arial"/>
          <w:bCs/>
          <w:spacing w:val="4"/>
          <w:sz w:val="22"/>
          <w:szCs w:val="22"/>
          <w:lang w:eastAsia="en-US"/>
        </w:rPr>
        <w:t xml:space="preserve">Skuteczne cofnięcie odwołania oznacza niedopuszczalność rozpatrzenia sprawy przez organ odwoławczy. Następstwem skutecznego cofnięcia odwołania przez stronę jest bezprzedmiotowość postępowania odwoławczego, co skutkuje jego umorzeniem </w:t>
      </w:r>
      <w:r w:rsidR="00E14BAD" w:rsidRPr="001C1C6C">
        <w:rPr>
          <w:rFonts w:ascii="Lato" w:eastAsiaTheme="minorHAnsi" w:hAnsi="Lato" w:cs="Arial"/>
          <w:bCs/>
          <w:spacing w:val="4"/>
          <w:sz w:val="22"/>
          <w:szCs w:val="22"/>
          <w:lang w:eastAsia="en-US"/>
        </w:rPr>
        <w:br/>
      </w:r>
      <w:r w:rsidRPr="001C1C6C">
        <w:rPr>
          <w:rFonts w:ascii="Lato" w:eastAsiaTheme="minorHAnsi" w:hAnsi="Lato" w:cs="Arial"/>
          <w:bCs/>
          <w:spacing w:val="4"/>
          <w:sz w:val="22"/>
          <w:szCs w:val="22"/>
          <w:lang w:eastAsia="en-US"/>
        </w:rPr>
        <w:t>(por. A. Wróbel, Komentarz aktualizowany do art. 137 Kodeksu postępowania administracyjnego, [w:] M. Jaśkowska, A. Wróbel, Komentarz aktualizowany do ustawy z dnia 14 czerwca 1960 r. Kodeks postępowania administracyjnego, LEX 2014; wyrok Naczelnego Sądu Administracyjnego z dnia 28 lipca 2004 r., sygn. akt OSK 678/04, wyrok Wojewódzkiego Sądu Administracyjnego w Warszawie z dnia 20 stycznia 2011 r., sygn. akt VIII SA/Wa 815/10).</w:t>
      </w:r>
    </w:p>
    <w:p w14:paraId="19628E51" w14:textId="30479731" w:rsidR="00F22461" w:rsidRPr="001C1C6C" w:rsidRDefault="00F22461" w:rsidP="00F22461">
      <w:pPr>
        <w:tabs>
          <w:tab w:val="left" w:pos="2977"/>
        </w:tabs>
        <w:spacing w:after="240" w:line="240" w:lineRule="exact"/>
        <w:jc w:val="both"/>
        <w:outlineLvl w:val="0"/>
        <w:rPr>
          <w:rFonts w:ascii="Lato" w:eastAsiaTheme="minorHAnsi" w:hAnsi="Lato" w:cs="Arial"/>
          <w:bCs/>
          <w:spacing w:val="4"/>
          <w:sz w:val="22"/>
          <w:szCs w:val="22"/>
          <w:lang w:eastAsia="en-US"/>
        </w:rPr>
      </w:pPr>
      <w:r w:rsidRPr="001C1C6C">
        <w:rPr>
          <w:rFonts w:ascii="Lato" w:eastAsiaTheme="minorHAnsi" w:hAnsi="Lato" w:cs="Arial"/>
          <w:bCs/>
          <w:spacing w:val="4"/>
          <w:sz w:val="22"/>
          <w:szCs w:val="22"/>
          <w:lang w:eastAsia="en-US"/>
        </w:rPr>
        <w:t xml:space="preserve">Cofnięcie odwołania oparte jest na zasadzie rozporządzalności, która jest jednak ograniczona. Podlega ona bowiem kontroli organu wyższego stopnia i w razie oceny, </w:t>
      </w:r>
      <w:r w:rsidR="00E14BAD" w:rsidRPr="001C1C6C">
        <w:rPr>
          <w:rFonts w:ascii="Lato" w:eastAsiaTheme="minorHAnsi" w:hAnsi="Lato" w:cs="Arial"/>
          <w:bCs/>
          <w:spacing w:val="4"/>
          <w:sz w:val="22"/>
          <w:szCs w:val="22"/>
          <w:lang w:eastAsia="en-US"/>
        </w:rPr>
        <w:br/>
      </w:r>
      <w:r w:rsidRPr="001C1C6C">
        <w:rPr>
          <w:rFonts w:ascii="Lato" w:eastAsiaTheme="minorHAnsi" w:hAnsi="Lato" w:cs="Arial"/>
          <w:bCs/>
          <w:spacing w:val="4"/>
          <w:sz w:val="22"/>
          <w:szCs w:val="22"/>
          <w:lang w:eastAsia="en-US"/>
        </w:rPr>
        <w:t xml:space="preserve">że prowadziłaby do utrzymania w mocy rozstrzygnięcia naruszającego prawo lub interes społeczny, cofnięcie nie mogłoby wywołać skutków prawnych. Wprowadzenie do konstrukcji prawnej odwołania ograniczonej rozporządzalności oznacza, że celem tego środka zaskarżenia jest nie tylko ochrona praw podmiotowych jednostki, </w:t>
      </w:r>
      <w:r w:rsidR="00E14BAD" w:rsidRPr="001C1C6C">
        <w:rPr>
          <w:rFonts w:ascii="Lato" w:eastAsiaTheme="minorHAnsi" w:hAnsi="Lato" w:cs="Arial"/>
          <w:bCs/>
          <w:spacing w:val="4"/>
          <w:sz w:val="22"/>
          <w:szCs w:val="22"/>
          <w:lang w:eastAsia="en-US"/>
        </w:rPr>
        <w:br/>
      </w:r>
      <w:r w:rsidRPr="001C1C6C">
        <w:rPr>
          <w:rFonts w:ascii="Lato" w:eastAsiaTheme="minorHAnsi" w:hAnsi="Lato" w:cs="Arial"/>
          <w:bCs/>
          <w:spacing w:val="4"/>
          <w:sz w:val="22"/>
          <w:szCs w:val="22"/>
          <w:lang w:eastAsia="en-US"/>
        </w:rPr>
        <w:t xml:space="preserve">ale i obiektywnego porządku prawnego. Zgodnie ze stanowiskiem Naczelnego Sądu </w:t>
      </w:r>
      <w:r w:rsidRPr="001C1C6C">
        <w:rPr>
          <w:rFonts w:ascii="Lato" w:eastAsiaTheme="minorHAnsi" w:hAnsi="Lato" w:cs="Arial"/>
          <w:bCs/>
          <w:spacing w:val="4"/>
          <w:sz w:val="22"/>
          <w:szCs w:val="22"/>
          <w:lang w:eastAsia="en-US"/>
        </w:rPr>
        <w:lastRenderedPageBreak/>
        <w:t xml:space="preserve">Administracyjnego (wyrok z dnia 3 grudnia 1998 r., sygn. akt I SA 440/98), ograniczona rozporządzalność w postępowaniu odwoławczym nawiązuje do treści decyzji, która narusza prawo lub interes społeczny, a nie do przesłanek, które legły u podstaw wniesienia odwołania. Sam fakt wniesienia odwołania nie ma tu bowiem decydującego znaczenia (por. wyrok Wojewódzkiego Sądu Administracyjnego w Warszawie z dnia </w:t>
      </w:r>
      <w:r w:rsidR="00E14BAD" w:rsidRPr="001C1C6C">
        <w:rPr>
          <w:rFonts w:ascii="Lato" w:eastAsiaTheme="minorHAnsi" w:hAnsi="Lato" w:cs="Arial"/>
          <w:bCs/>
          <w:spacing w:val="4"/>
          <w:sz w:val="22"/>
          <w:szCs w:val="22"/>
          <w:lang w:eastAsia="en-US"/>
        </w:rPr>
        <w:br/>
      </w:r>
      <w:r w:rsidRPr="001C1C6C">
        <w:rPr>
          <w:rFonts w:ascii="Lato" w:eastAsiaTheme="minorHAnsi" w:hAnsi="Lato" w:cs="Arial"/>
          <w:bCs/>
          <w:spacing w:val="4"/>
          <w:sz w:val="22"/>
          <w:szCs w:val="22"/>
          <w:lang w:eastAsia="en-US"/>
        </w:rPr>
        <w:t>21 czerwca 2011 r., sygn. akt VI SA/Wa 2282/10).</w:t>
      </w:r>
    </w:p>
    <w:p w14:paraId="1EE8C117" w14:textId="48B4193D" w:rsidR="00AF5AD4" w:rsidRPr="001C1C6C" w:rsidRDefault="00AF5AD4" w:rsidP="00F22461">
      <w:pPr>
        <w:tabs>
          <w:tab w:val="left" w:pos="2977"/>
        </w:tabs>
        <w:spacing w:after="240" w:line="240" w:lineRule="exact"/>
        <w:jc w:val="both"/>
        <w:outlineLvl w:val="0"/>
        <w:rPr>
          <w:rFonts w:ascii="Lato" w:eastAsiaTheme="minorHAnsi" w:hAnsi="Lato" w:cs="Arial"/>
          <w:bCs/>
          <w:spacing w:val="4"/>
          <w:sz w:val="22"/>
          <w:szCs w:val="22"/>
          <w:lang w:eastAsia="en-US"/>
        </w:rPr>
      </w:pPr>
      <w:r w:rsidRPr="001C1C6C">
        <w:rPr>
          <w:rFonts w:ascii="Lato" w:eastAsiaTheme="minorHAnsi" w:hAnsi="Lato" w:cs="Arial"/>
          <w:bCs/>
          <w:spacing w:val="4"/>
          <w:sz w:val="22"/>
          <w:szCs w:val="22"/>
          <w:lang w:eastAsia="en-US"/>
        </w:rPr>
        <w:t xml:space="preserve">Zauważenia wymaga, iż </w:t>
      </w:r>
      <w:r w:rsidR="008774A3" w:rsidRPr="001C1C6C">
        <w:rPr>
          <w:rFonts w:ascii="Lato" w:eastAsiaTheme="minorHAnsi" w:hAnsi="Lato" w:cs="Arial"/>
          <w:bCs/>
          <w:spacing w:val="4"/>
          <w:sz w:val="22"/>
          <w:szCs w:val="22"/>
          <w:lang w:eastAsia="en-US"/>
        </w:rPr>
        <w:t xml:space="preserve">pismem z dnia 16 czerwca 2023 r. </w:t>
      </w:r>
      <w:r w:rsidR="0088787D">
        <w:rPr>
          <w:rFonts w:ascii="Lato" w:eastAsiaTheme="minorHAnsi" w:hAnsi="Lato" w:cs="Arial"/>
          <w:bCs/>
          <w:spacing w:val="4"/>
          <w:sz w:val="22"/>
          <w:szCs w:val="22"/>
          <w:lang w:eastAsia="en-US"/>
        </w:rPr>
        <w:t>E.</w:t>
      </w:r>
      <w:r w:rsidR="008774A3" w:rsidRPr="001C1C6C">
        <w:rPr>
          <w:rFonts w:ascii="Lato" w:eastAsiaTheme="minorHAnsi" w:hAnsi="Lato" w:cs="Arial"/>
          <w:bCs/>
          <w:spacing w:val="4"/>
          <w:sz w:val="22"/>
          <w:szCs w:val="22"/>
          <w:lang w:eastAsia="en-US"/>
        </w:rPr>
        <w:t xml:space="preserve"> sp. z o.o. z siedzibą w </w:t>
      </w:r>
      <w:r w:rsidR="0088787D">
        <w:rPr>
          <w:rFonts w:ascii="Lato" w:eastAsiaTheme="minorHAnsi" w:hAnsi="Lato" w:cs="Arial"/>
          <w:bCs/>
          <w:spacing w:val="4"/>
          <w:sz w:val="22"/>
          <w:szCs w:val="22"/>
          <w:lang w:eastAsia="en-US"/>
        </w:rPr>
        <w:t>B.</w:t>
      </w:r>
      <w:r w:rsidR="008774A3" w:rsidRPr="001C1C6C">
        <w:rPr>
          <w:rFonts w:ascii="Lato" w:eastAsiaTheme="minorHAnsi" w:hAnsi="Lato" w:cs="Arial"/>
          <w:bCs/>
          <w:spacing w:val="4"/>
          <w:sz w:val="22"/>
          <w:szCs w:val="22"/>
          <w:lang w:eastAsia="en-US"/>
        </w:rPr>
        <w:t xml:space="preserve"> poinformowała o wycofaniu w całości wniesionego odwołania, wnosząc tym samym </w:t>
      </w:r>
      <w:r w:rsidR="0088787D">
        <w:rPr>
          <w:rFonts w:ascii="Lato" w:eastAsiaTheme="minorHAnsi" w:hAnsi="Lato" w:cs="Arial"/>
          <w:bCs/>
          <w:spacing w:val="4"/>
          <w:sz w:val="22"/>
          <w:szCs w:val="22"/>
          <w:lang w:eastAsia="en-US"/>
        </w:rPr>
        <w:br/>
      </w:r>
      <w:r w:rsidR="008774A3" w:rsidRPr="001C1C6C">
        <w:rPr>
          <w:rFonts w:ascii="Lato" w:eastAsiaTheme="minorHAnsi" w:hAnsi="Lato" w:cs="Arial"/>
          <w:bCs/>
          <w:spacing w:val="4"/>
          <w:sz w:val="22"/>
          <w:szCs w:val="22"/>
          <w:lang w:eastAsia="en-US"/>
        </w:rPr>
        <w:t xml:space="preserve">o umorzenie prowadzonego przez Ministra postępowania w sprawie decyzji Wojewody Kujawsko-Pomorskiego w zakresie dotyczącym odwołania złożonego przez ww. spółkę.  </w:t>
      </w:r>
    </w:p>
    <w:p w14:paraId="3079E722" w14:textId="438FF17F" w:rsidR="00F22461" w:rsidRPr="001C1C6C" w:rsidRDefault="00F22461" w:rsidP="00F22461">
      <w:pPr>
        <w:tabs>
          <w:tab w:val="left" w:pos="2977"/>
        </w:tabs>
        <w:spacing w:after="240" w:line="240" w:lineRule="exact"/>
        <w:jc w:val="both"/>
        <w:outlineLvl w:val="0"/>
        <w:rPr>
          <w:rFonts w:ascii="Lato" w:eastAsiaTheme="minorHAnsi" w:hAnsi="Lato" w:cs="Arial"/>
          <w:bCs/>
          <w:spacing w:val="4"/>
          <w:sz w:val="22"/>
          <w:szCs w:val="22"/>
          <w:lang w:eastAsia="en-US"/>
        </w:rPr>
      </w:pPr>
      <w:r w:rsidRPr="001C1C6C">
        <w:rPr>
          <w:rFonts w:ascii="Lato" w:eastAsiaTheme="minorHAnsi" w:hAnsi="Lato" w:cs="Arial"/>
          <w:bCs/>
          <w:spacing w:val="4"/>
          <w:sz w:val="22"/>
          <w:szCs w:val="22"/>
          <w:lang w:eastAsia="en-US"/>
        </w:rPr>
        <w:t>W niniejszej sprawie Minister stwierdził, iż umorzenie postępowania odwoławczego</w:t>
      </w:r>
      <w:r w:rsidR="00AF5AD4" w:rsidRPr="001C1C6C">
        <w:rPr>
          <w:rFonts w:ascii="Lato" w:eastAsiaTheme="minorHAnsi" w:hAnsi="Lato" w:cs="Arial"/>
          <w:bCs/>
          <w:spacing w:val="4"/>
          <w:sz w:val="22"/>
          <w:szCs w:val="22"/>
          <w:lang w:eastAsia="en-US"/>
        </w:rPr>
        <w:t xml:space="preserve"> </w:t>
      </w:r>
      <w:r w:rsidR="00E14BAD" w:rsidRPr="001C1C6C">
        <w:rPr>
          <w:rFonts w:ascii="Lato" w:eastAsiaTheme="minorHAnsi" w:hAnsi="Lato" w:cs="Arial"/>
          <w:bCs/>
          <w:spacing w:val="4"/>
          <w:sz w:val="22"/>
          <w:szCs w:val="22"/>
          <w:lang w:eastAsia="en-US"/>
        </w:rPr>
        <w:br/>
      </w:r>
      <w:r w:rsidR="00AF5AD4" w:rsidRPr="001C1C6C">
        <w:rPr>
          <w:rFonts w:ascii="Lato" w:eastAsiaTheme="minorHAnsi" w:hAnsi="Lato" w:cs="Arial"/>
          <w:bCs/>
          <w:spacing w:val="4"/>
          <w:sz w:val="22"/>
          <w:szCs w:val="22"/>
          <w:lang w:eastAsia="en-US"/>
        </w:rPr>
        <w:t xml:space="preserve">w zakresie odwołania wniesionego przez jedną ze stron skarżących nie prowadzi do utrzymania w mocy decyzji naruszającej prawo lub interes społeczny. Postępowanie odwoławcze w sprawie decyzji Wojewody Kujawsko-Pomorskiego zostało bowiem uruchomione również w wyniku złożenia skutecznego odwołania przez </w:t>
      </w:r>
      <w:r w:rsidRPr="001C1C6C">
        <w:rPr>
          <w:rFonts w:ascii="Lato" w:eastAsiaTheme="minorHAnsi" w:hAnsi="Lato" w:cs="Arial"/>
          <w:bCs/>
          <w:spacing w:val="4"/>
          <w:sz w:val="22"/>
          <w:szCs w:val="22"/>
          <w:lang w:eastAsia="en-US"/>
        </w:rPr>
        <w:t xml:space="preserve">PKP S.A. </w:t>
      </w:r>
      <w:r w:rsidR="00E14BAD" w:rsidRPr="001C1C6C">
        <w:rPr>
          <w:rFonts w:ascii="Lato" w:eastAsiaTheme="minorHAnsi" w:hAnsi="Lato" w:cs="Arial"/>
          <w:bCs/>
          <w:spacing w:val="4"/>
          <w:sz w:val="22"/>
          <w:szCs w:val="22"/>
          <w:lang w:eastAsia="en-US"/>
        </w:rPr>
        <w:br/>
      </w:r>
      <w:r w:rsidRPr="001C1C6C">
        <w:rPr>
          <w:rFonts w:ascii="Lato" w:eastAsiaTheme="minorHAnsi" w:hAnsi="Lato" w:cs="Arial"/>
          <w:bCs/>
          <w:spacing w:val="4"/>
          <w:sz w:val="22"/>
          <w:szCs w:val="22"/>
          <w:lang w:eastAsia="en-US"/>
        </w:rPr>
        <w:t xml:space="preserve">z siedzibą w Warszawie, </w:t>
      </w:r>
      <w:r w:rsidR="00AF5AD4" w:rsidRPr="001C1C6C">
        <w:rPr>
          <w:rFonts w:ascii="Lato" w:eastAsiaTheme="minorHAnsi" w:hAnsi="Lato" w:cs="Arial"/>
          <w:bCs/>
          <w:spacing w:val="4"/>
          <w:sz w:val="22"/>
          <w:szCs w:val="22"/>
          <w:lang w:eastAsia="en-US"/>
        </w:rPr>
        <w:t xml:space="preserve">co pozwoliło na wydanie decyzji, o której mowa </w:t>
      </w:r>
      <w:r w:rsidR="00E14BAD" w:rsidRPr="001C1C6C">
        <w:rPr>
          <w:rFonts w:ascii="Lato" w:eastAsiaTheme="minorHAnsi" w:hAnsi="Lato" w:cs="Arial"/>
          <w:bCs/>
          <w:spacing w:val="4"/>
          <w:sz w:val="22"/>
          <w:szCs w:val="22"/>
          <w:lang w:eastAsia="en-US"/>
        </w:rPr>
        <w:br/>
      </w:r>
      <w:r w:rsidR="00AF5AD4" w:rsidRPr="001C1C6C">
        <w:rPr>
          <w:rFonts w:ascii="Lato" w:eastAsiaTheme="minorHAnsi" w:hAnsi="Lato" w:cs="Arial"/>
          <w:bCs/>
          <w:spacing w:val="4"/>
          <w:sz w:val="22"/>
          <w:szCs w:val="22"/>
          <w:lang w:eastAsia="en-US"/>
        </w:rPr>
        <w:t xml:space="preserve">w </w:t>
      </w:r>
      <w:r w:rsidR="00AF5AD4" w:rsidRPr="001C1C6C">
        <w:rPr>
          <w:rFonts w:ascii="Lato" w:hAnsi="Lato" w:cs="Arial"/>
          <w:spacing w:val="4"/>
          <w:sz w:val="22"/>
          <w:szCs w:val="22"/>
        </w:rPr>
        <w:t xml:space="preserve">art. 138 § 1 pkt 2 kpa. </w:t>
      </w:r>
    </w:p>
    <w:p w14:paraId="04B272B7" w14:textId="59668D55" w:rsidR="00747BA5" w:rsidRPr="001C1C6C" w:rsidRDefault="00712CB3" w:rsidP="00747BA5">
      <w:pPr>
        <w:tabs>
          <w:tab w:val="left" w:pos="2977"/>
        </w:tabs>
        <w:spacing w:after="240" w:line="240" w:lineRule="exact"/>
        <w:jc w:val="both"/>
        <w:outlineLvl w:val="0"/>
        <w:rPr>
          <w:rFonts w:ascii="Lato" w:eastAsiaTheme="minorHAnsi" w:hAnsi="Lato" w:cs="Arial"/>
          <w:bCs/>
          <w:spacing w:val="4"/>
          <w:sz w:val="22"/>
          <w:szCs w:val="22"/>
          <w:lang w:eastAsia="en-US"/>
        </w:rPr>
      </w:pPr>
      <w:r>
        <w:rPr>
          <w:rFonts w:ascii="Lato" w:eastAsiaTheme="minorHAnsi" w:hAnsi="Lato" w:cs="Arial"/>
          <w:bCs/>
          <w:spacing w:val="4"/>
          <w:sz w:val="22"/>
          <w:szCs w:val="22"/>
          <w:lang w:eastAsia="en-US"/>
        </w:rPr>
        <w:t>Jednakże d</w:t>
      </w:r>
      <w:r w:rsidR="00F22461" w:rsidRPr="001C1C6C">
        <w:rPr>
          <w:rFonts w:ascii="Lato" w:eastAsiaTheme="minorHAnsi" w:hAnsi="Lato" w:cs="Arial"/>
          <w:bCs/>
          <w:spacing w:val="4"/>
          <w:sz w:val="22"/>
          <w:szCs w:val="22"/>
          <w:lang w:eastAsia="en-US"/>
        </w:rPr>
        <w:t xml:space="preserve">odać należy, że cofnięcie odwołania czyni bezprzedmiotowym odnoszenie się przez Ministra do zarzutów podniesionych przez skarżącą </w:t>
      </w:r>
      <w:r w:rsidR="008774A3" w:rsidRPr="001C1C6C">
        <w:rPr>
          <w:rFonts w:ascii="Lato" w:eastAsiaTheme="minorHAnsi" w:hAnsi="Lato" w:cs="Arial"/>
          <w:bCs/>
          <w:spacing w:val="4"/>
          <w:sz w:val="22"/>
          <w:szCs w:val="22"/>
          <w:lang w:eastAsia="en-US"/>
        </w:rPr>
        <w:t>s</w:t>
      </w:r>
      <w:r w:rsidR="00F22461" w:rsidRPr="001C1C6C">
        <w:rPr>
          <w:rFonts w:ascii="Lato" w:eastAsiaTheme="minorHAnsi" w:hAnsi="Lato" w:cs="Arial"/>
          <w:bCs/>
          <w:spacing w:val="4"/>
          <w:sz w:val="22"/>
          <w:szCs w:val="22"/>
          <w:lang w:eastAsia="en-US"/>
        </w:rPr>
        <w:t>półkę w odwołaniu</w:t>
      </w:r>
      <w:r w:rsidR="008774A3" w:rsidRPr="001C1C6C">
        <w:rPr>
          <w:rFonts w:ascii="Lato" w:eastAsiaTheme="minorHAnsi" w:hAnsi="Lato" w:cs="Arial"/>
          <w:bCs/>
          <w:spacing w:val="4"/>
          <w:sz w:val="22"/>
          <w:szCs w:val="22"/>
          <w:lang w:eastAsia="en-US"/>
        </w:rPr>
        <w:t>.</w:t>
      </w:r>
    </w:p>
    <w:p w14:paraId="03C21984" w14:textId="378F0E07" w:rsidR="00DF31CF" w:rsidRPr="001C1C6C" w:rsidRDefault="00DF31CF" w:rsidP="0046304B">
      <w:pPr>
        <w:tabs>
          <w:tab w:val="center" w:pos="1470"/>
          <w:tab w:val="left" w:pos="5387"/>
        </w:tabs>
        <w:spacing w:after="240" w:line="240" w:lineRule="exact"/>
        <w:jc w:val="both"/>
        <w:outlineLvl w:val="0"/>
        <w:rPr>
          <w:rFonts w:ascii="Lato" w:eastAsiaTheme="minorHAnsi" w:hAnsi="Lato" w:cstheme="minorBidi"/>
          <w:bCs/>
          <w:spacing w:val="4"/>
          <w:sz w:val="22"/>
          <w:szCs w:val="22"/>
          <w:lang w:eastAsia="en-US" w:bidi="pl-PL"/>
        </w:rPr>
      </w:pPr>
      <w:r w:rsidRPr="001C1C6C">
        <w:rPr>
          <w:rFonts w:ascii="Lato" w:eastAsiaTheme="minorHAnsi" w:hAnsi="Lato" w:cstheme="minorBidi"/>
          <w:bCs/>
          <w:spacing w:val="4"/>
          <w:sz w:val="22"/>
          <w:szCs w:val="22"/>
          <w:lang w:eastAsia="en-US" w:bidi="pl-PL"/>
        </w:rPr>
        <w:t>Wobec powyższego orzeczono jak na wstępie.</w:t>
      </w:r>
    </w:p>
    <w:p w14:paraId="377DC855" w14:textId="77777777" w:rsidR="0017640F" w:rsidRPr="001C1C6C" w:rsidRDefault="0017640F" w:rsidP="0046304B">
      <w:pPr>
        <w:tabs>
          <w:tab w:val="center" w:pos="1470"/>
          <w:tab w:val="left" w:pos="5387"/>
        </w:tabs>
        <w:spacing w:after="240" w:line="240" w:lineRule="exact"/>
        <w:jc w:val="both"/>
        <w:outlineLvl w:val="0"/>
        <w:rPr>
          <w:rFonts w:ascii="Lato" w:eastAsiaTheme="minorHAnsi" w:hAnsi="Lato" w:cstheme="minorBidi"/>
          <w:bCs/>
          <w:spacing w:val="4"/>
          <w:sz w:val="22"/>
          <w:szCs w:val="22"/>
          <w:lang w:eastAsia="en-US" w:bidi="pl-PL"/>
        </w:rPr>
      </w:pPr>
      <w:r w:rsidRPr="001C1C6C">
        <w:rPr>
          <w:rFonts w:ascii="Lato" w:eastAsiaTheme="minorHAnsi" w:hAnsi="Lato" w:cstheme="minorBidi"/>
          <w:bCs/>
          <w:spacing w:val="4"/>
          <w:sz w:val="22"/>
          <w:szCs w:val="22"/>
          <w:lang w:eastAsia="en-US" w:bidi="pl-PL"/>
        </w:rPr>
        <w:t xml:space="preserve">Niniejsza decyzja jest ostateczna. </w:t>
      </w:r>
    </w:p>
    <w:p w14:paraId="6F7B46E2" w14:textId="42536B68" w:rsidR="0017640F" w:rsidRPr="001C1C6C" w:rsidRDefault="0017640F" w:rsidP="0046304B">
      <w:pPr>
        <w:tabs>
          <w:tab w:val="center" w:pos="1470"/>
          <w:tab w:val="left" w:pos="5387"/>
        </w:tabs>
        <w:spacing w:after="240" w:line="240" w:lineRule="exact"/>
        <w:jc w:val="both"/>
        <w:outlineLvl w:val="0"/>
        <w:rPr>
          <w:rFonts w:ascii="Lato" w:eastAsiaTheme="minorHAnsi" w:hAnsi="Lato" w:cstheme="minorBidi"/>
          <w:bCs/>
          <w:spacing w:val="4"/>
          <w:sz w:val="22"/>
          <w:szCs w:val="22"/>
          <w:lang w:eastAsia="en-US" w:bidi="pl-PL"/>
        </w:rPr>
      </w:pPr>
      <w:r w:rsidRPr="001C1C6C">
        <w:rPr>
          <w:rFonts w:ascii="Lato" w:eastAsiaTheme="minorHAnsi" w:hAnsi="Lato" w:cstheme="minorBidi"/>
          <w:bCs/>
          <w:spacing w:val="4"/>
          <w:sz w:val="22"/>
          <w:szCs w:val="22"/>
          <w:lang w:eastAsia="en-US" w:bidi="pl-PL"/>
        </w:rPr>
        <w:t xml:space="preserve">Na podstawie art. 53 § 1 i art. 54 § 1 ustawy z dnia 30 sierpnia 2002 r. – Prawo </w:t>
      </w:r>
      <w:r w:rsidRPr="001C1C6C">
        <w:rPr>
          <w:rFonts w:ascii="Lato" w:eastAsiaTheme="minorHAnsi" w:hAnsi="Lato" w:cstheme="minorBidi"/>
          <w:bCs/>
          <w:spacing w:val="4"/>
          <w:sz w:val="22"/>
          <w:szCs w:val="22"/>
          <w:lang w:eastAsia="en-US" w:bidi="pl-PL"/>
        </w:rPr>
        <w:br/>
        <w:t>o postępowaniu przed sądami administracyjnymi (t.j. Dz. U. z 202</w:t>
      </w:r>
      <w:r w:rsidR="00613D9D" w:rsidRPr="001C1C6C">
        <w:rPr>
          <w:rFonts w:ascii="Lato" w:eastAsiaTheme="minorHAnsi" w:hAnsi="Lato" w:cstheme="minorBidi"/>
          <w:bCs/>
          <w:spacing w:val="4"/>
          <w:sz w:val="22"/>
          <w:szCs w:val="22"/>
          <w:lang w:eastAsia="en-US" w:bidi="pl-PL"/>
        </w:rPr>
        <w:t>4</w:t>
      </w:r>
      <w:r w:rsidRPr="001C1C6C">
        <w:rPr>
          <w:rFonts w:ascii="Lato" w:eastAsiaTheme="minorHAnsi" w:hAnsi="Lato" w:cstheme="minorBidi"/>
          <w:bCs/>
          <w:spacing w:val="4"/>
          <w:sz w:val="22"/>
          <w:szCs w:val="22"/>
          <w:lang w:eastAsia="en-US" w:bidi="pl-PL"/>
        </w:rPr>
        <w:t xml:space="preserve"> r. poz. </w:t>
      </w:r>
      <w:r w:rsidR="00613D9D" w:rsidRPr="001C1C6C">
        <w:rPr>
          <w:rFonts w:ascii="Lato" w:eastAsiaTheme="minorHAnsi" w:hAnsi="Lato" w:cstheme="minorBidi"/>
          <w:bCs/>
          <w:spacing w:val="4"/>
          <w:sz w:val="22"/>
          <w:szCs w:val="22"/>
          <w:lang w:eastAsia="en-US" w:bidi="pl-PL"/>
        </w:rPr>
        <w:t>935</w:t>
      </w:r>
      <w:r w:rsidR="00DF31CF" w:rsidRPr="001C1C6C">
        <w:rPr>
          <w:rFonts w:ascii="Lato" w:eastAsiaTheme="minorHAnsi" w:hAnsi="Lato" w:cstheme="minorBidi"/>
          <w:bCs/>
          <w:spacing w:val="4"/>
          <w:sz w:val="22"/>
          <w:szCs w:val="22"/>
          <w:lang w:eastAsia="en-US" w:bidi="pl-PL"/>
        </w:rPr>
        <w:t xml:space="preserve"> z późn. zm.</w:t>
      </w:r>
      <w:r w:rsidRPr="001C1C6C">
        <w:rPr>
          <w:rFonts w:ascii="Lato" w:eastAsiaTheme="minorHAnsi" w:hAnsi="Lato" w:cstheme="minorBidi"/>
          <w:bCs/>
          <w:spacing w:val="4"/>
          <w:sz w:val="22"/>
          <w:szCs w:val="22"/>
          <w:lang w:eastAsia="en-US" w:bidi="pl-PL"/>
        </w:rPr>
        <w:t xml:space="preserve">), zwanej dalej „ppsa”, na decyzję przysługuje prawo złożenia skargi do Wojewódzkiego Sądu Administracyjnego w Warszawie, za pośrednictwem Ministra </w:t>
      </w:r>
      <w:r w:rsidR="00CB1D10">
        <w:rPr>
          <w:rFonts w:ascii="Lato" w:eastAsiaTheme="minorHAnsi" w:hAnsi="Lato" w:cstheme="minorBidi"/>
          <w:bCs/>
          <w:spacing w:val="4"/>
          <w:sz w:val="22"/>
          <w:szCs w:val="22"/>
          <w:lang w:eastAsia="en-US" w:bidi="pl-PL"/>
        </w:rPr>
        <w:t>Finansów</w:t>
      </w:r>
      <w:r w:rsidR="003815E0">
        <w:rPr>
          <w:rFonts w:ascii="Lato" w:eastAsiaTheme="minorHAnsi" w:hAnsi="Lato" w:cstheme="minorBidi"/>
          <w:bCs/>
          <w:spacing w:val="4"/>
          <w:sz w:val="22"/>
          <w:szCs w:val="22"/>
          <w:lang w:eastAsia="en-US" w:bidi="pl-PL"/>
        </w:rPr>
        <w:t xml:space="preserve"> i Gospodarki </w:t>
      </w:r>
      <w:r w:rsidRPr="001C1C6C">
        <w:rPr>
          <w:rFonts w:ascii="Lato" w:eastAsiaTheme="minorHAnsi" w:hAnsi="Lato" w:cstheme="minorBidi"/>
          <w:bCs/>
          <w:spacing w:val="4"/>
          <w:sz w:val="22"/>
          <w:szCs w:val="22"/>
          <w:lang w:eastAsia="en-US" w:bidi="pl-PL"/>
        </w:rPr>
        <w:t>w terminie 30 dni od dnia doręczenia decyzji.</w:t>
      </w:r>
    </w:p>
    <w:p w14:paraId="1E2290A7" w14:textId="267BE76E" w:rsidR="007F5213" w:rsidRDefault="0017640F" w:rsidP="00F24C6D">
      <w:pPr>
        <w:spacing w:after="240" w:line="240" w:lineRule="exact"/>
        <w:jc w:val="both"/>
        <w:rPr>
          <w:rFonts w:ascii="Lato" w:eastAsiaTheme="minorHAnsi" w:hAnsi="Lato" w:cstheme="minorBidi"/>
          <w:bCs/>
          <w:spacing w:val="4"/>
          <w:sz w:val="22"/>
          <w:szCs w:val="22"/>
          <w:lang w:eastAsia="en-US" w:bidi="pl-PL"/>
        </w:rPr>
      </w:pPr>
      <w:r w:rsidRPr="001C1C6C">
        <w:rPr>
          <w:rFonts w:ascii="Lato" w:eastAsiaTheme="minorHAnsi" w:hAnsi="Lato" w:cstheme="minorBidi"/>
          <w:bCs/>
          <w:spacing w:val="4"/>
          <w:sz w:val="22"/>
          <w:szCs w:val="22"/>
          <w:lang w:eastAsia="en-US" w:bidi="pl-PL"/>
        </w:rPr>
        <w:t xml:space="preserve">Jednocześnie informuję, że do skargi należy załączyć dowód uiszczenia wpisu </w:t>
      </w:r>
      <w:r w:rsidR="005B7BF4" w:rsidRPr="001C1C6C">
        <w:rPr>
          <w:rFonts w:ascii="Lato" w:eastAsiaTheme="minorHAnsi" w:hAnsi="Lato" w:cstheme="minorBidi"/>
          <w:bCs/>
          <w:spacing w:val="4"/>
          <w:sz w:val="22"/>
          <w:szCs w:val="22"/>
          <w:lang w:eastAsia="en-US" w:bidi="pl-PL"/>
        </w:rPr>
        <w:br/>
      </w:r>
      <w:r w:rsidRPr="001C1C6C">
        <w:rPr>
          <w:rFonts w:ascii="Lato" w:eastAsiaTheme="minorHAnsi" w:hAnsi="Lato" w:cstheme="minorBidi"/>
          <w:bCs/>
          <w:spacing w:val="4"/>
          <w:sz w:val="22"/>
          <w:szCs w:val="22"/>
          <w:lang w:eastAsia="en-US" w:bidi="pl-PL"/>
        </w:rPr>
        <w:t>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ppsa.</w:t>
      </w:r>
    </w:p>
    <w:p w14:paraId="2017E7DE" w14:textId="77777777" w:rsidR="00904E4E" w:rsidRPr="00E80162" w:rsidRDefault="00904E4E" w:rsidP="00904E4E">
      <w:pPr>
        <w:spacing w:after="120" w:line="240" w:lineRule="exact"/>
        <w:ind w:left="4253"/>
        <w:rPr>
          <w:rFonts w:ascii="Lato" w:eastAsia="Aptos" w:hAnsi="Lato"/>
          <w:b/>
          <w:bCs/>
          <w:sz w:val="22"/>
          <w:szCs w:val="22"/>
          <w:lang w:eastAsia="en-US"/>
        </w:rPr>
      </w:pPr>
      <w:r w:rsidRPr="00E80162">
        <w:rPr>
          <w:rFonts w:ascii="Lato" w:eastAsia="Aptos" w:hAnsi="Lato"/>
          <w:b/>
          <w:bCs/>
          <w:sz w:val="22"/>
          <w:szCs w:val="22"/>
          <w:lang w:eastAsia="en-US"/>
        </w:rPr>
        <w:t>Z upoważnienia</w:t>
      </w:r>
    </w:p>
    <w:p w14:paraId="5026ED17" w14:textId="77777777" w:rsidR="00904E4E" w:rsidRPr="00E80162" w:rsidRDefault="00904E4E" w:rsidP="00904E4E">
      <w:pPr>
        <w:spacing w:after="120" w:line="240" w:lineRule="exact"/>
        <w:ind w:left="4253"/>
        <w:rPr>
          <w:rFonts w:ascii="Lato" w:eastAsia="Aptos" w:hAnsi="Lato"/>
          <w:sz w:val="22"/>
          <w:szCs w:val="22"/>
          <w:lang w:eastAsia="en-US"/>
        </w:rPr>
      </w:pPr>
      <w:r w:rsidRPr="00E80162">
        <w:rPr>
          <w:rFonts w:ascii="Lato" w:eastAsia="Aptos" w:hAnsi="Lato"/>
          <w:sz w:val="22"/>
          <w:szCs w:val="22"/>
          <w:lang w:eastAsia="en-US"/>
        </w:rPr>
        <w:t>Edyta Lubaszewska</w:t>
      </w:r>
    </w:p>
    <w:p w14:paraId="0062631A" w14:textId="77777777" w:rsidR="00904E4E" w:rsidRPr="00E80162" w:rsidRDefault="00904E4E" w:rsidP="00904E4E">
      <w:pPr>
        <w:spacing w:after="120" w:line="240" w:lineRule="exact"/>
        <w:ind w:left="4253"/>
        <w:rPr>
          <w:rFonts w:ascii="Lato" w:eastAsia="Aptos" w:hAnsi="Lato"/>
          <w:sz w:val="22"/>
          <w:szCs w:val="22"/>
          <w:lang w:eastAsia="en-US"/>
        </w:rPr>
      </w:pPr>
      <w:r w:rsidRPr="00E80162">
        <w:rPr>
          <w:rFonts w:ascii="Lato" w:eastAsia="Aptos" w:hAnsi="Lato"/>
          <w:sz w:val="22"/>
          <w:szCs w:val="22"/>
          <w:lang w:eastAsia="en-US"/>
        </w:rPr>
        <w:t>dyrektor departamentu</w:t>
      </w:r>
    </w:p>
    <w:p w14:paraId="59808475" w14:textId="77777777" w:rsidR="00904E4E" w:rsidRPr="00E80162" w:rsidRDefault="00904E4E" w:rsidP="00904E4E">
      <w:pPr>
        <w:spacing w:after="120" w:line="240" w:lineRule="exact"/>
        <w:ind w:left="4253"/>
        <w:rPr>
          <w:rFonts w:ascii="Lato" w:eastAsia="Aptos" w:hAnsi="Lato"/>
          <w:sz w:val="22"/>
          <w:szCs w:val="22"/>
          <w:lang w:eastAsia="en-US"/>
        </w:rPr>
      </w:pPr>
      <w:r w:rsidRPr="00E80162">
        <w:rPr>
          <w:rFonts w:ascii="Lato" w:eastAsia="Aptos" w:hAnsi="Lato"/>
          <w:sz w:val="22"/>
          <w:szCs w:val="22"/>
          <w:lang w:eastAsia="en-US"/>
        </w:rPr>
        <w:t xml:space="preserve">/ kwalifikowany podpis elektroniczny / </w:t>
      </w:r>
    </w:p>
    <w:p w14:paraId="32665632" w14:textId="77777777" w:rsidR="00904E4E" w:rsidRPr="00E80162" w:rsidRDefault="00904E4E" w:rsidP="00904E4E">
      <w:pPr>
        <w:spacing w:after="120" w:line="240" w:lineRule="exact"/>
        <w:ind w:left="4253"/>
        <w:rPr>
          <w:rFonts w:ascii="Lato" w:eastAsia="Aptos" w:hAnsi="Lato"/>
          <w:sz w:val="22"/>
          <w:szCs w:val="22"/>
          <w:lang w:eastAsia="en-US"/>
        </w:rPr>
      </w:pPr>
      <w:r w:rsidRPr="00E80162">
        <w:rPr>
          <w:rFonts w:ascii="Lato" w:eastAsia="Aptos" w:hAnsi="Lato"/>
          <w:sz w:val="22"/>
          <w:szCs w:val="22"/>
          <w:lang w:eastAsia="en-US"/>
        </w:rPr>
        <w:t>w Ministerstwie Rozwoju i Technologii</w:t>
      </w:r>
    </w:p>
    <w:p w14:paraId="5542868C" w14:textId="77777777" w:rsidR="00E80162" w:rsidRDefault="00E80162" w:rsidP="00F24C6D">
      <w:pPr>
        <w:spacing w:after="240" w:line="240" w:lineRule="exact"/>
        <w:jc w:val="both"/>
        <w:rPr>
          <w:rFonts w:ascii="Lato" w:eastAsia="Aptos" w:hAnsi="Lato"/>
          <w:b/>
          <w:bCs/>
          <w:sz w:val="22"/>
          <w:szCs w:val="22"/>
          <w:lang w:eastAsia="en-US"/>
        </w:rPr>
      </w:pPr>
    </w:p>
    <w:p w14:paraId="52FC714E" w14:textId="40391B51" w:rsidR="00C61A3A" w:rsidRPr="0088787D" w:rsidRDefault="00C61A3A" w:rsidP="0088787D">
      <w:pPr>
        <w:rPr>
          <w:rFonts w:ascii="Lato" w:hAnsi="Lato" w:cs="Arial"/>
          <w:spacing w:val="4"/>
          <w:sz w:val="22"/>
          <w:szCs w:val="22"/>
        </w:rPr>
      </w:pPr>
      <w:r w:rsidRPr="0088787D">
        <w:rPr>
          <w:rFonts w:ascii="Lato" w:hAnsi="Lato" w:cs="Arial"/>
          <w:spacing w:val="4"/>
          <w:sz w:val="22"/>
          <w:szCs w:val="22"/>
        </w:rPr>
        <w:t xml:space="preserve"> </w:t>
      </w:r>
    </w:p>
    <w:sectPr w:rsidR="00C61A3A" w:rsidRPr="0088787D" w:rsidSect="004116FD">
      <w:headerReference w:type="default" r:id="rId17"/>
      <w:footerReference w:type="default" r:id="rId18"/>
      <w:headerReference w:type="first" r:id="rId19"/>
      <w:footerReference w:type="first" r:id="rId20"/>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162D5" w14:textId="77777777" w:rsidR="00662868" w:rsidRDefault="00662868" w:rsidP="009276B2">
      <w:r>
        <w:separator/>
      </w:r>
    </w:p>
  </w:endnote>
  <w:endnote w:type="continuationSeparator" w:id="0">
    <w:p w14:paraId="4064C340" w14:textId="77777777" w:rsidR="00662868" w:rsidRDefault="00662868"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BFDD95BB-8229-45FB-8D69-C70A43715036}"/>
    <w:embedBold r:id="rId2" w:fontKey="{E5D5E803-7E6C-4F39-85BE-29219502A592}"/>
  </w:font>
  <w:font w:name="Calibri Light">
    <w:panose1 w:val="020F0302020204030204"/>
    <w:charset w:val="EE"/>
    <w:family w:val="swiss"/>
    <w:pitch w:val="variable"/>
    <w:sig w:usb0="E4002EFF" w:usb1="C200247B" w:usb2="00000009" w:usb3="00000000" w:csb0="000001FF" w:csb1="00000000"/>
    <w:embedRegular r:id="rId3" w:fontKey="{2ECE9BBB-E184-469C-970B-FA5ED30CD980}"/>
  </w:font>
  <w:font w:name="Lato">
    <w:charset w:val="00"/>
    <w:family w:val="swiss"/>
    <w:pitch w:val="variable"/>
    <w:sig w:usb0="E10002FF" w:usb1="5000ECFF" w:usb2="00000021" w:usb3="00000000" w:csb0="0000019F" w:csb1="00000000"/>
    <w:embedRegular r:id="rId4" w:fontKey="{7C62823F-B633-4B88-ACA6-E0E2F25E400F}"/>
    <w:embedBold r:id="rId5" w:fontKey="{F83D7C8D-7249-47CD-B5D3-8E84EEEC3814}"/>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embedRegular r:id="rId6" w:fontKey="{A4D5A502-4EDD-4ACE-A981-03B758477C22}"/>
    <w:embedBold r:id="rId7" w:fontKey="{118DEB19-1FCE-4A2A-8426-5C2D7F3E04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098595"/>
      <w:docPartObj>
        <w:docPartGallery w:val="Page Numbers (Bottom of Page)"/>
        <w:docPartUnique/>
      </w:docPartObj>
    </w:sdtPr>
    <w:sdtEndPr/>
    <w:sdtContent>
      <w:p w14:paraId="20BF7B85" w14:textId="13D8573C" w:rsidR="00044B94" w:rsidRDefault="00044B94">
        <w:pPr>
          <w:pStyle w:val="Stopka"/>
          <w:jc w:val="center"/>
        </w:pPr>
        <w:r w:rsidRPr="00044B94">
          <w:rPr>
            <w:rFonts w:ascii="Lato" w:hAnsi="Lato"/>
            <w:sz w:val="16"/>
            <w:szCs w:val="16"/>
          </w:rPr>
          <w:fldChar w:fldCharType="begin"/>
        </w:r>
        <w:r w:rsidRPr="00044B94">
          <w:rPr>
            <w:rFonts w:ascii="Lato" w:hAnsi="Lato"/>
            <w:sz w:val="16"/>
            <w:szCs w:val="16"/>
          </w:rPr>
          <w:instrText>PAGE   \* MERGEFORMAT</w:instrText>
        </w:r>
        <w:r w:rsidRPr="00044B94">
          <w:rPr>
            <w:rFonts w:ascii="Lato" w:hAnsi="Lato"/>
            <w:sz w:val="16"/>
            <w:szCs w:val="16"/>
          </w:rPr>
          <w:fldChar w:fldCharType="separate"/>
        </w:r>
        <w:r w:rsidRPr="00044B94">
          <w:rPr>
            <w:rFonts w:ascii="Lato" w:hAnsi="Lato"/>
            <w:sz w:val="16"/>
            <w:szCs w:val="16"/>
          </w:rPr>
          <w:t>2</w:t>
        </w:r>
        <w:r w:rsidRPr="00044B94">
          <w:rPr>
            <w:rFonts w:ascii="Lato" w:hAnsi="Lato"/>
            <w:sz w:val="16"/>
            <w:szCs w:val="16"/>
          </w:rPr>
          <w:fldChar w:fldCharType="end"/>
        </w:r>
        <w:r>
          <w:rPr>
            <w:rFonts w:ascii="Lato" w:hAnsi="Lato"/>
            <w:sz w:val="16"/>
            <w:szCs w:val="16"/>
          </w:rPr>
          <w:t>(</w:t>
        </w:r>
        <w:r w:rsidR="00CB70AB">
          <w:rPr>
            <w:rFonts w:ascii="Lato" w:hAnsi="Lato"/>
            <w:sz w:val="16"/>
            <w:szCs w:val="16"/>
          </w:rPr>
          <w:t>1</w:t>
        </w:r>
        <w:r w:rsidR="0008613B">
          <w:rPr>
            <w:rFonts w:ascii="Lato" w:hAnsi="Lato"/>
            <w:sz w:val="16"/>
            <w:szCs w:val="16"/>
          </w:rPr>
          <w:t>2</w:t>
        </w:r>
        <w:r>
          <w:rPr>
            <w:rFonts w:ascii="Lato" w:hAnsi="Lato"/>
            <w:sz w:val="16"/>
            <w:szCs w:val="16"/>
          </w:rPr>
          <w:t>)</w:t>
        </w:r>
      </w:p>
    </w:sdtContent>
  </w:sdt>
  <w:p w14:paraId="37821F1F" w14:textId="4F7398F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7A7B4339"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09752" w14:textId="77777777" w:rsidR="00662868" w:rsidRDefault="00662868" w:rsidP="009276B2">
      <w:r>
        <w:separator/>
      </w:r>
    </w:p>
  </w:footnote>
  <w:footnote w:type="continuationSeparator" w:id="0">
    <w:p w14:paraId="61307447" w14:textId="77777777" w:rsidR="00662868" w:rsidRDefault="00662868"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6D53A63E" w:rsidR="00947F4D" w:rsidRDefault="0008613B">
    <w:pPr>
      <w:pStyle w:val="Nagwek"/>
    </w:pPr>
    <w:r>
      <w:rPr>
        <w:noProof/>
      </w:rPr>
      <w:drawing>
        <wp:anchor distT="0" distB="0" distL="114300" distR="114300" simplePos="0" relativeHeight="251659264" behindDoc="0" locked="0" layoutInCell="1" allowOverlap="1" wp14:anchorId="3D1D8CD0" wp14:editId="7CFC9619">
          <wp:simplePos x="0" y="0"/>
          <wp:positionH relativeFrom="column">
            <wp:posOffset>-884100</wp:posOffset>
          </wp:positionH>
          <wp:positionV relativeFrom="paragraph">
            <wp:posOffset>419100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41962"/>
    <w:multiLevelType w:val="hybridMultilevel"/>
    <w:tmpl w:val="E99816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7E60E08"/>
    <w:multiLevelType w:val="hybridMultilevel"/>
    <w:tmpl w:val="EB98AEA2"/>
    <w:lvl w:ilvl="0" w:tplc="A7CA944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 w15:restartNumberingAfterBreak="0">
    <w:nsid w:val="306E1F20"/>
    <w:multiLevelType w:val="hybridMultilevel"/>
    <w:tmpl w:val="1D34AF2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CF66D5A"/>
    <w:multiLevelType w:val="hybridMultilevel"/>
    <w:tmpl w:val="BD7AAA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3F8E7AB4"/>
    <w:multiLevelType w:val="hybridMultilevel"/>
    <w:tmpl w:val="6AFA8F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8147794"/>
    <w:multiLevelType w:val="hybridMultilevel"/>
    <w:tmpl w:val="FF9C946A"/>
    <w:lvl w:ilvl="0" w:tplc="B1B0243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4D6F5529"/>
    <w:multiLevelType w:val="hybridMultilevel"/>
    <w:tmpl w:val="BE1A5B0C"/>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D815F07"/>
    <w:multiLevelType w:val="hybridMultilevel"/>
    <w:tmpl w:val="126C1A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DCE549E"/>
    <w:multiLevelType w:val="hybridMultilevel"/>
    <w:tmpl w:val="13B0B618"/>
    <w:lvl w:ilvl="0" w:tplc="AA2858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D1278A2"/>
    <w:multiLevelType w:val="hybridMultilevel"/>
    <w:tmpl w:val="76204B6E"/>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40469650">
    <w:abstractNumId w:val="7"/>
  </w:num>
  <w:num w:numId="2" w16cid:durableId="2112705597">
    <w:abstractNumId w:val="9"/>
  </w:num>
  <w:num w:numId="3" w16cid:durableId="1660232794">
    <w:abstractNumId w:val="6"/>
  </w:num>
  <w:num w:numId="4" w16cid:durableId="912280295">
    <w:abstractNumId w:val="5"/>
  </w:num>
  <w:num w:numId="5" w16cid:durableId="1191845680">
    <w:abstractNumId w:val="2"/>
  </w:num>
  <w:num w:numId="6" w16cid:durableId="675616412">
    <w:abstractNumId w:val="1"/>
  </w:num>
  <w:num w:numId="7" w16cid:durableId="1753041744">
    <w:abstractNumId w:val="8"/>
  </w:num>
  <w:num w:numId="8" w16cid:durableId="840195936">
    <w:abstractNumId w:val="3"/>
  </w:num>
  <w:num w:numId="9" w16cid:durableId="1099912081">
    <w:abstractNumId w:val="4"/>
  </w:num>
  <w:num w:numId="10" w16cid:durableId="14208567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374"/>
    <w:rsid w:val="00000D25"/>
    <w:rsid w:val="000034FF"/>
    <w:rsid w:val="000058A3"/>
    <w:rsid w:val="000068D0"/>
    <w:rsid w:val="00006D74"/>
    <w:rsid w:val="00010B8F"/>
    <w:rsid w:val="00011BA9"/>
    <w:rsid w:val="00011E3F"/>
    <w:rsid w:val="000159C2"/>
    <w:rsid w:val="000178F3"/>
    <w:rsid w:val="00020C84"/>
    <w:rsid w:val="00023090"/>
    <w:rsid w:val="00024A08"/>
    <w:rsid w:val="00024A88"/>
    <w:rsid w:val="000261F7"/>
    <w:rsid w:val="000314F8"/>
    <w:rsid w:val="0004147F"/>
    <w:rsid w:val="00041B79"/>
    <w:rsid w:val="0004209B"/>
    <w:rsid w:val="000426A6"/>
    <w:rsid w:val="000439C9"/>
    <w:rsid w:val="00044B94"/>
    <w:rsid w:val="00046428"/>
    <w:rsid w:val="00051204"/>
    <w:rsid w:val="000524BB"/>
    <w:rsid w:val="00055F10"/>
    <w:rsid w:val="00056DD5"/>
    <w:rsid w:val="00057B57"/>
    <w:rsid w:val="00061FBE"/>
    <w:rsid w:val="0006798B"/>
    <w:rsid w:val="00070140"/>
    <w:rsid w:val="0007247E"/>
    <w:rsid w:val="00073705"/>
    <w:rsid w:val="00074F2C"/>
    <w:rsid w:val="00077558"/>
    <w:rsid w:val="0007787A"/>
    <w:rsid w:val="00077FAB"/>
    <w:rsid w:val="00081C99"/>
    <w:rsid w:val="00082A69"/>
    <w:rsid w:val="00083420"/>
    <w:rsid w:val="0008613B"/>
    <w:rsid w:val="000945F2"/>
    <w:rsid w:val="0009492B"/>
    <w:rsid w:val="000A150D"/>
    <w:rsid w:val="000A2627"/>
    <w:rsid w:val="000B089B"/>
    <w:rsid w:val="000B1CA2"/>
    <w:rsid w:val="000B5191"/>
    <w:rsid w:val="000B6DD6"/>
    <w:rsid w:val="000C0F48"/>
    <w:rsid w:val="000C4E91"/>
    <w:rsid w:val="000C5C29"/>
    <w:rsid w:val="000C6FAC"/>
    <w:rsid w:val="000C70C5"/>
    <w:rsid w:val="000C77AA"/>
    <w:rsid w:val="000D184B"/>
    <w:rsid w:val="000D4D24"/>
    <w:rsid w:val="000D4E90"/>
    <w:rsid w:val="000D73A6"/>
    <w:rsid w:val="000D77EC"/>
    <w:rsid w:val="000E101A"/>
    <w:rsid w:val="000E236F"/>
    <w:rsid w:val="000E33E6"/>
    <w:rsid w:val="000E3C8E"/>
    <w:rsid w:val="000E47B5"/>
    <w:rsid w:val="000E52AE"/>
    <w:rsid w:val="000E603A"/>
    <w:rsid w:val="000E60DA"/>
    <w:rsid w:val="000E6DC0"/>
    <w:rsid w:val="000E718A"/>
    <w:rsid w:val="000F1985"/>
    <w:rsid w:val="000F22B9"/>
    <w:rsid w:val="000F3B68"/>
    <w:rsid w:val="000F5C21"/>
    <w:rsid w:val="000F7C89"/>
    <w:rsid w:val="00100315"/>
    <w:rsid w:val="0010190A"/>
    <w:rsid w:val="00103258"/>
    <w:rsid w:val="001035E5"/>
    <w:rsid w:val="001114B2"/>
    <w:rsid w:val="00111E70"/>
    <w:rsid w:val="00113528"/>
    <w:rsid w:val="00114E27"/>
    <w:rsid w:val="0011621E"/>
    <w:rsid w:val="00116390"/>
    <w:rsid w:val="001236B0"/>
    <w:rsid w:val="00123D18"/>
    <w:rsid w:val="001266EB"/>
    <w:rsid w:val="00126CE3"/>
    <w:rsid w:val="00126D9C"/>
    <w:rsid w:val="001315CD"/>
    <w:rsid w:val="001353FC"/>
    <w:rsid w:val="00135F54"/>
    <w:rsid w:val="00143AD4"/>
    <w:rsid w:val="0014781E"/>
    <w:rsid w:val="00150DC6"/>
    <w:rsid w:val="0015109A"/>
    <w:rsid w:val="00151312"/>
    <w:rsid w:val="00153253"/>
    <w:rsid w:val="00154B5E"/>
    <w:rsid w:val="00156EF8"/>
    <w:rsid w:val="00156F06"/>
    <w:rsid w:val="0016490B"/>
    <w:rsid w:val="00165BD6"/>
    <w:rsid w:val="00166A88"/>
    <w:rsid w:val="00166B41"/>
    <w:rsid w:val="00167DFD"/>
    <w:rsid w:val="001703B8"/>
    <w:rsid w:val="00173BB2"/>
    <w:rsid w:val="0017431E"/>
    <w:rsid w:val="00174513"/>
    <w:rsid w:val="00174614"/>
    <w:rsid w:val="0017640F"/>
    <w:rsid w:val="00177629"/>
    <w:rsid w:val="00177C27"/>
    <w:rsid w:val="0018343C"/>
    <w:rsid w:val="00183B62"/>
    <w:rsid w:val="001867A6"/>
    <w:rsid w:val="001871FB"/>
    <w:rsid w:val="00190231"/>
    <w:rsid w:val="00190641"/>
    <w:rsid w:val="00194542"/>
    <w:rsid w:val="00195579"/>
    <w:rsid w:val="00195765"/>
    <w:rsid w:val="001A04BF"/>
    <w:rsid w:val="001A4889"/>
    <w:rsid w:val="001A500B"/>
    <w:rsid w:val="001A56D2"/>
    <w:rsid w:val="001A6C9B"/>
    <w:rsid w:val="001A75F6"/>
    <w:rsid w:val="001B0061"/>
    <w:rsid w:val="001B3670"/>
    <w:rsid w:val="001B4169"/>
    <w:rsid w:val="001B5AED"/>
    <w:rsid w:val="001B5E1D"/>
    <w:rsid w:val="001B70EB"/>
    <w:rsid w:val="001C1C6C"/>
    <w:rsid w:val="001C2B37"/>
    <w:rsid w:val="001C2BD3"/>
    <w:rsid w:val="001C3B6F"/>
    <w:rsid w:val="001C4461"/>
    <w:rsid w:val="001C4C9D"/>
    <w:rsid w:val="001C68F5"/>
    <w:rsid w:val="001C6FDD"/>
    <w:rsid w:val="001C71DF"/>
    <w:rsid w:val="001D0D44"/>
    <w:rsid w:val="001D27FF"/>
    <w:rsid w:val="001D4DFA"/>
    <w:rsid w:val="001D5F9C"/>
    <w:rsid w:val="001E03A4"/>
    <w:rsid w:val="001E394B"/>
    <w:rsid w:val="001E3C5D"/>
    <w:rsid w:val="001F165E"/>
    <w:rsid w:val="001F63BD"/>
    <w:rsid w:val="001F7CA9"/>
    <w:rsid w:val="002038A8"/>
    <w:rsid w:val="00203BDE"/>
    <w:rsid w:val="00206466"/>
    <w:rsid w:val="00211759"/>
    <w:rsid w:val="0021369E"/>
    <w:rsid w:val="00213D18"/>
    <w:rsid w:val="00214178"/>
    <w:rsid w:val="002179E3"/>
    <w:rsid w:val="00220572"/>
    <w:rsid w:val="00223890"/>
    <w:rsid w:val="00233EE5"/>
    <w:rsid w:val="0023423F"/>
    <w:rsid w:val="00235BB4"/>
    <w:rsid w:val="00240AD6"/>
    <w:rsid w:val="002410D8"/>
    <w:rsid w:val="00246144"/>
    <w:rsid w:val="00247F16"/>
    <w:rsid w:val="00253FED"/>
    <w:rsid w:val="00254F51"/>
    <w:rsid w:val="00260269"/>
    <w:rsid w:val="00260F36"/>
    <w:rsid w:val="00266020"/>
    <w:rsid w:val="0026700A"/>
    <w:rsid w:val="0026744F"/>
    <w:rsid w:val="002725BB"/>
    <w:rsid w:val="00273874"/>
    <w:rsid w:val="002748BD"/>
    <w:rsid w:val="00274D44"/>
    <w:rsid w:val="002764A5"/>
    <w:rsid w:val="00276E53"/>
    <w:rsid w:val="002777FD"/>
    <w:rsid w:val="00281EF4"/>
    <w:rsid w:val="002830CF"/>
    <w:rsid w:val="002838D7"/>
    <w:rsid w:val="00284E0D"/>
    <w:rsid w:val="00287406"/>
    <w:rsid w:val="00292821"/>
    <w:rsid w:val="00295D0C"/>
    <w:rsid w:val="002A1F17"/>
    <w:rsid w:val="002A22D3"/>
    <w:rsid w:val="002A2F6B"/>
    <w:rsid w:val="002A4B08"/>
    <w:rsid w:val="002A4E9C"/>
    <w:rsid w:val="002B5C23"/>
    <w:rsid w:val="002C2C47"/>
    <w:rsid w:val="002C5A06"/>
    <w:rsid w:val="002C6FB5"/>
    <w:rsid w:val="002D0C9A"/>
    <w:rsid w:val="002D1BFF"/>
    <w:rsid w:val="002D2B6E"/>
    <w:rsid w:val="002D34AA"/>
    <w:rsid w:val="002D367A"/>
    <w:rsid w:val="002E0C9D"/>
    <w:rsid w:val="002E7C9C"/>
    <w:rsid w:val="002F3031"/>
    <w:rsid w:val="002F53DC"/>
    <w:rsid w:val="003000F2"/>
    <w:rsid w:val="0030474D"/>
    <w:rsid w:val="00307668"/>
    <w:rsid w:val="00310EEA"/>
    <w:rsid w:val="003131D7"/>
    <w:rsid w:val="00320816"/>
    <w:rsid w:val="003257D4"/>
    <w:rsid w:val="00330F64"/>
    <w:rsid w:val="003310C5"/>
    <w:rsid w:val="00332651"/>
    <w:rsid w:val="003335CD"/>
    <w:rsid w:val="00341547"/>
    <w:rsid w:val="00341994"/>
    <w:rsid w:val="00341BF8"/>
    <w:rsid w:val="00342351"/>
    <w:rsid w:val="00343330"/>
    <w:rsid w:val="00343A14"/>
    <w:rsid w:val="00345C8C"/>
    <w:rsid w:val="00347BA3"/>
    <w:rsid w:val="00350165"/>
    <w:rsid w:val="00357FCB"/>
    <w:rsid w:val="0036042A"/>
    <w:rsid w:val="003609A5"/>
    <w:rsid w:val="003619EA"/>
    <w:rsid w:val="00362CAD"/>
    <w:rsid w:val="00363198"/>
    <w:rsid w:val="0036375E"/>
    <w:rsid w:val="0036564F"/>
    <w:rsid w:val="00365CBF"/>
    <w:rsid w:val="00367017"/>
    <w:rsid w:val="00367E9F"/>
    <w:rsid w:val="003704A7"/>
    <w:rsid w:val="0037622A"/>
    <w:rsid w:val="003801C1"/>
    <w:rsid w:val="00380A1C"/>
    <w:rsid w:val="003815E0"/>
    <w:rsid w:val="003821B4"/>
    <w:rsid w:val="003832FD"/>
    <w:rsid w:val="00385EDA"/>
    <w:rsid w:val="003878E6"/>
    <w:rsid w:val="00391386"/>
    <w:rsid w:val="003914DC"/>
    <w:rsid w:val="003938FF"/>
    <w:rsid w:val="003A1976"/>
    <w:rsid w:val="003A3E3B"/>
    <w:rsid w:val="003A493C"/>
    <w:rsid w:val="003A4B15"/>
    <w:rsid w:val="003A6BAF"/>
    <w:rsid w:val="003A706C"/>
    <w:rsid w:val="003B1E5C"/>
    <w:rsid w:val="003B2059"/>
    <w:rsid w:val="003B2D5D"/>
    <w:rsid w:val="003B34B8"/>
    <w:rsid w:val="003B5801"/>
    <w:rsid w:val="003B5D5C"/>
    <w:rsid w:val="003C123B"/>
    <w:rsid w:val="003C25F0"/>
    <w:rsid w:val="003C328E"/>
    <w:rsid w:val="003C5031"/>
    <w:rsid w:val="003C7B66"/>
    <w:rsid w:val="003D0B7B"/>
    <w:rsid w:val="003D17EF"/>
    <w:rsid w:val="003D2AD6"/>
    <w:rsid w:val="003D5B08"/>
    <w:rsid w:val="003E1865"/>
    <w:rsid w:val="003E2D7F"/>
    <w:rsid w:val="003E391F"/>
    <w:rsid w:val="003E3FE5"/>
    <w:rsid w:val="003E480D"/>
    <w:rsid w:val="003F0446"/>
    <w:rsid w:val="003F27C2"/>
    <w:rsid w:val="003F2B07"/>
    <w:rsid w:val="003F3B2A"/>
    <w:rsid w:val="00401B27"/>
    <w:rsid w:val="00404D38"/>
    <w:rsid w:val="00406555"/>
    <w:rsid w:val="00406BA8"/>
    <w:rsid w:val="004116FD"/>
    <w:rsid w:val="004141B5"/>
    <w:rsid w:val="00416811"/>
    <w:rsid w:val="00416BF7"/>
    <w:rsid w:val="004178BC"/>
    <w:rsid w:val="00420B65"/>
    <w:rsid w:val="00421CDD"/>
    <w:rsid w:val="00422BF1"/>
    <w:rsid w:val="00423144"/>
    <w:rsid w:val="00425977"/>
    <w:rsid w:val="00430031"/>
    <w:rsid w:val="00430DB0"/>
    <w:rsid w:val="004361C7"/>
    <w:rsid w:val="00437284"/>
    <w:rsid w:val="00442488"/>
    <w:rsid w:val="00446C53"/>
    <w:rsid w:val="00452FC6"/>
    <w:rsid w:val="00456390"/>
    <w:rsid w:val="004563F1"/>
    <w:rsid w:val="00456B4E"/>
    <w:rsid w:val="0046304B"/>
    <w:rsid w:val="00466288"/>
    <w:rsid w:val="00470044"/>
    <w:rsid w:val="00470295"/>
    <w:rsid w:val="00472C79"/>
    <w:rsid w:val="00474BAE"/>
    <w:rsid w:val="00475A9A"/>
    <w:rsid w:val="00476409"/>
    <w:rsid w:val="00476548"/>
    <w:rsid w:val="00477188"/>
    <w:rsid w:val="00480BB1"/>
    <w:rsid w:val="004810CD"/>
    <w:rsid w:val="00485122"/>
    <w:rsid w:val="00491F0C"/>
    <w:rsid w:val="0049272C"/>
    <w:rsid w:val="00493031"/>
    <w:rsid w:val="00495C60"/>
    <w:rsid w:val="00496AE1"/>
    <w:rsid w:val="004A091E"/>
    <w:rsid w:val="004A2223"/>
    <w:rsid w:val="004A267A"/>
    <w:rsid w:val="004A3F2D"/>
    <w:rsid w:val="004A4AE9"/>
    <w:rsid w:val="004A7B3C"/>
    <w:rsid w:val="004B5B58"/>
    <w:rsid w:val="004C220F"/>
    <w:rsid w:val="004C3032"/>
    <w:rsid w:val="004C4633"/>
    <w:rsid w:val="004C4E3E"/>
    <w:rsid w:val="004C5CB7"/>
    <w:rsid w:val="004C61B6"/>
    <w:rsid w:val="004C7160"/>
    <w:rsid w:val="004D1E8D"/>
    <w:rsid w:val="004E106E"/>
    <w:rsid w:val="004E256E"/>
    <w:rsid w:val="004E4A8A"/>
    <w:rsid w:val="004F10FB"/>
    <w:rsid w:val="004F3E6D"/>
    <w:rsid w:val="004F5D02"/>
    <w:rsid w:val="004F6532"/>
    <w:rsid w:val="004F6D40"/>
    <w:rsid w:val="00500167"/>
    <w:rsid w:val="005001B2"/>
    <w:rsid w:val="00501A90"/>
    <w:rsid w:val="005027AA"/>
    <w:rsid w:val="005043A3"/>
    <w:rsid w:val="00507EA8"/>
    <w:rsid w:val="005107B1"/>
    <w:rsid w:val="005122FD"/>
    <w:rsid w:val="00513A8B"/>
    <w:rsid w:val="0051478E"/>
    <w:rsid w:val="00515C02"/>
    <w:rsid w:val="00515F1E"/>
    <w:rsid w:val="00516D3D"/>
    <w:rsid w:val="0051735B"/>
    <w:rsid w:val="005200AF"/>
    <w:rsid w:val="005227DC"/>
    <w:rsid w:val="00522809"/>
    <w:rsid w:val="005254C5"/>
    <w:rsid w:val="00525ED1"/>
    <w:rsid w:val="0053058D"/>
    <w:rsid w:val="00531922"/>
    <w:rsid w:val="00532197"/>
    <w:rsid w:val="0053239F"/>
    <w:rsid w:val="0053393F"/>
    <w:rsid w:val="005341C8"/>
    <w:rsid w:val="00540AC2"/>
    <w:rsid w:val="005451F6"/>
    <w:rsid w:val="00546068"/>
    <w:rsid w:val="00546184"/>
    <w:rsid w:val="0054644D"/>
    <w:rsid w:val="00551014"/>
    <w:rsid w:val="005517A5"/>
    <w:rsid w:val="00553AF2"/>
    <w:rsid w:val="005569CD"/>
    <w:rsid w:val="00557545"/>
    <w:rsid w:val="00557D28"/>
    <w:rsid w:val="00561421"/>
    <w:rsid w:val="0056418E"/>
    <w:rsid w:val="0056425F"/>
    <w:rsid w:val="0056498C"/>
    <w:rsid w:val="0056514E"/>
    <w:rsid w:val="005659E4"/>
    <w:rsid w:val="00565D32"/>
    <w:rsid w:val="00566B1D"/>
    <w:rsid w:val="00567746"/>
    <w:rsid w:val="00570174"/>
    <w:rsid w:val="00571AE8"/>
    <w:rsid w:val="005733C0"/>
    <w:rsid w:val="00573B33"/>
    <w:rsid w:val="00574FFA"/>
    <w:rsid w:val="00582A89"/>
    <w:rsid w:val="00582ECE"/>
    <w:rsid w:val="00584CC7"/>
    <w:rsid w:val="005872CB"/>
    <w:rsid w:val="005902F7"/>
    <w:rsid w:val="00590C4E"/>
    <w:rsid w:val="00590EF6"/>
    <w:rsid w:val="0059434A"/>
    <w:rsid w:val="00594854"/>
    <w:rsid w:val="00594BA0"/>
    <w:rsid w:val="00595E37"/>
    <w:rsid w:val="005971C1"/>
    <w:rsid w:val="005A13E7"/>
    <w:rsid w:val="005A1B75"/>
    <w:rsid w:val="005A3CC9"/>
    <w:rsid w:val="005B0DB7"/>
    <w:rsid w:val="005B0E82"/>
    <w:rsid w:val="005B7BF4"/>
    <w:rsid w:val="005C1960"/>
    <w:rsid w:val="005C1A89"/>
    <w:rsid w:val="005C2BCD"/>
    <w:rsid w:val="005C3212"/>
    <w:rsid w:val="005C51D5"/>
    <w:rsid w:val="005C565F"/>
    <w:rsid w:val="005C6C68"/>
    <w:rsid w:val="005C749E"/>
    <w:rsid w:val="005D01A8"/>
    <w:rsid w:val="005D5386"/>
    <w:rsid w:val="005D54BA"/>
    <w:rsid w:val="005D5B7D"/>
    <w:rsid w:val="005E1C0A"/>
    <w:rsid w:val="005E1D0E"/>
    <w:rsid w:val="005E287C"/>
    <w:rsid w:val="005E56C6"/>
    <w:rsid w:val="005E6E77"/>
    <w:rsid w:val="005F1F0B"/>
    <w:rsid w:val="005F32BA"/>
    <w:rsid w:val="005F3538"/>
    <w:rsid w:val="005F4256"/>
    <w:rsid w:val="0060163E"/>
    <w:rsid w:val="00601D47"/>
    <w:rsid w:val="00602AE6"/>
    <w:rsid w:val="00605528"/>
    <w:rsid w:val="006068BD"/>
    <w:rsid w:val="00613D9D"/>
    <w:rsid w:val="00616EAC"/>
    <w:rsid w:val="006202BB"/>
    <w:rsid w:val="00623068"/>
    <w:rsid w:val="0062318B"/>
    <w:rsid w:val="006256A5"/>
    <w:rsid w:val="00625B62"/>
    <w:rsid w:val="00627036"/>
    <w:rsid w:val="0062778C"/>
    <w:rsid w:val="00627D68"/>
    <w:rsid w:val="006307AA"/>
    <w:rsid w:val="00630F21"/>
    <w:rsid w:val="006312A6"/>
    <w:rsid w:val="00636951"/>
    <w:rsid w:val="00637300"/>
    <w:rsid w:val="00640588"/>
    <w:rsid w:val="006410DE"/>
    <w:rsid w:val="00643AA8"/>
    <w:rsid w:val="00644150"/>
    <w:rsid w:val="006452C0"/>
    <w:rsid w:val="00645452"/>
    <w:rsid w:val="00645999"/>
    <w:rsid w:val="00646929"/>
    <w:rsid w:val="00647AF4"/>
    <w:rsid w:val="0065078B"/>
    <w:rsid w:val="00655015"/>
    <w:rsid w:val="006575E5"/>
    <w:rsid w:val="00662868"/>
    <w:rsid w:val="006649E2"/>
    <w:rsid w:val="00664EAC"/>
    <w:rsid w:val="00673D94"/>
    <w:rsid w:val="00673E82"/>
    <w:rsid w:val="00675188"/>
    <w:rsid w:val="00675FC9"/>
    <w:rsid w:val="00680BEB"/>
    <w:rsid w:val="006834C5"/>
    <w:rsid w:val="00684438"/>
    <w:rsid w:val="0068535A"/>
    <w:rsid w:val="00686800"/>
    <w:rsid w:val="00690AE9"/>
    <w:rsid w:val="006930F3"/>
    <w:rsid w:val="00695E07"/>
    <w:rsid w:val="0069659C"/>
    <w:rsid w:val="006A1D23"/>
    <w:rsid w:val="006A2191"/>
    <w:rsid w:val="006A5FCC"/>
    <w:rsid w:val="006B0665"/>
    <w:rsid w:val="006B13C7"/>
    <w:rsid w:val="006B1C04"/>
    <w:rsid w:val="006B48F3"/>
    <w:rsid w:val="006B4F31"/>
    <w:rsid w:val="006B50E3"/>
    <w:rsid w:val="006B5736"/>
    <w:rsid w:val="006B6B99"/>
    <w:rsid w:val="006C0EC3"/>
    <w:rsid w:val="006C11ED"/>
    <w:rsid w:val="006C1662"/>
    <w:rsid w:val="006C5025"/>
    <w:rsid w:val="006C616E"/>
    <w:rsid w:val="006C66EF"/>
    <w:rsid w:val="006C7E10"/>
    <w:rsid w:val="006D0FFD"/>
    <w:rsid w:val="006D26CC"/>
    <w:rsid w:val="006D5806"/>
    <w:rsid w:val="006D6750"/>
    <w:rsid w:val="006D79BC"/>
    <w:rsid w:val="006E3137"/>
    <w:rsid w:val="006E4C7C"/>
    <w:rsid w:val="006E6A2F"/>
    <w:rsid w:val="006E6E81"/>
    <w:rsid w:val="006F0B12"/>
    <w:rsid w:val="006F1A38"/>
    <w:rsid w:val="006F2E00"/>
    <w:rsid w:val="006F6943"/>
    <w:rsid w:val="00701B69"/>
    <w:rsid w:val="00701DB7"/>
    <w:rsid w:val="00703063"/>
    <w:rsid w:val="00704881"/>
    <w:rsid w:val="00705CC3"/>
    <w:rsid w:val="00706289"/>
    <w:rsid w:val="0070631E"/>
    <w:rsid w:val="00707E98"/>
    <w:rsid w:val="007108D5"/>
    <w:rsid w:val="00712CB3"/>
    <w:rsid w:val="00712D1B"/>
    <w:rsid w:val="00713FB4"/>
    <w:rsid w:val="00714532"/>
    <w:rsid w:val="0071498E"/>
    <w:rsid w:val="00715088"/>
    <w:rsid w:val="00716214"/>
    <w:rsid w:val="007163C0"/>
    <w:rsid w:val="00716ADC"/>
    <w:rsid w:val="007231E2"/>
    <w:rsid w:val="00724332"/>
    <w:rsid w:val="00725D13"/>
    <w:rsid w:val="007277A5"/>
    <w:rsid w:val="00727814"/>
    <w:rsid w:val="00730E59"/>
    <w:rsid w:val="00732FB5"/>
    <w:rsid w:val="00734D72"/>
    <w:rsid w:val="007354BC"/>
    <w:rsid w:val="00741D5C"/>
    <w:rsid w:val="007444D4"/>
    <w:rsid w:val="00745175"/>
    <w:rsid w:val="00745F39"/>
    <w:rsid w:val="007467A9"/>
    <w:rsid w:val="007475AB"/>
    <w:rsid w:val="00747B9E"/>
    <w:rsid w:val="00747BA5"/>
    <w:rsid w:val="00750B11"/>
    <w:rsid w:val="007518D3"/>
    <w:rsid w:val="007527E9"/>
    <w:rsid w:val="00757262"/>
    <w:rsid w:val="0076094C"/>
    <w:rsid w:val="00761C1D"/>
    <w:rsid w:val="00763C50"/>
    <w:rsid w:val="00763D93"/>
    <w:rsid w:val="007641EF"/>
    <w:rsid w:val="007673F5"/>
    <w:rsid w:val="00771651"/>
    <w:rsid w:val="00771CDC"/>
    <w:rsid w:val="00772445"/>
    <w:rsid w:val="00772D59"/>
    <w:rsid w:val="00773F03"/>
    <w:rsid w:val="007752C1"/>
    <w:rsid w:val="007763FB"/>
    <w:rsid w:val="007770D9"/>
    <w:rsid w:val="00780E1D"/>
    <w:rsid w:val="00782214"/>
    <w:rsid w:val="007822FB"/>
    <w:rsid w:val="00785976"/>
    <w:rsid w:val="0078758E"/>
    <w:rsid w:val="007929AF"/>
    <w:rsid w:val="00793CBF"/>
    <w:rsid w:val="007961E1"/>
    <w:rsid w:val="00797577"/>
    <w:rsid w:val="00797A37"/>
    <w:rsid w:val="007A1C5F"/>
    <w:rsid w:val="007A3CAD"/>
    <w:rsid w:val="007B2192"/>
    <w:rsid w:val="007B371C"/>
    <w:rsid w:val="007B4367"/>
    <w:rsid w:val="007B4F7F"/>
    <w:rsid w:val="007B7FE7"/>
    <w:rsid w:val="007C0044"/>
    <w:rsid w:val="007C1543"/>
    <w:rsid w:val="007C59C2"/>
    <w:rsid w:val="007C6DEA"/>
    <w:rsid w:val="007C7203"/>
    <w:rsid w:val="007C7E50"/>
    <w:rsid w:val="007D2D31"/>
    <w:rsid w:val="007D52FE"/>
    <w:rsid w:val="007D72E3"/>
    <w:rsid w:val="007D7AAA"/>
    <w:rsid w:val="007E2237"/>
    <w:rsid w:val="007E3ABD"/>
    <w:rsid w:val="007E6E92"/>
    <w:rsid w:val="007E7885"/>
    <w:rsid w:val="007F0754"/>
    <w:rsid w:val="007F21E5"/>
    <w:rsid w:val="007F30D6"/>
    <w:rsid w:val="007F4BE5"/>
    <w:rsid w:val="007F5213"/>
    <w:rsid w:val="0080020B"/>
    <w:rsid w:val="008036F8"/>
    <w:rsid w:val="00803B9C"/>
    <w:rsid w:val="00804F06"/>
    <w:rsid w:val="008066B1"/>
    <w:rsid w:val="00815826"/>
    <w:rsid w:val="00815CA1"/>
    <w:rsid w:val="00820AAC"/>
    <w:rsid w:val="00820CC0"/>
    <w:rsid w:val="00824133"/>
    <w:rsid w:val="00824F89"/>
    <w:rsid w:val="00827EE9"/>
    <w:rsid w:val="00832F60"/>
    <w:rsid w:val="00833F81"/>
    <w:rsid w:val="00836578"/>
    <w:rsid w:val="00841349"/>
    <w:rsid w:val="008417F2"/>
    <w:rsid w:val="00841AFD"/>
    <w:rsid w:val="00841F98"/>
    <w:rsid w:val="00842198"/>
    <w:rsid w:val="008434AC"/>
    <w:rsid w:val="008434CC"/>
    <w:rsid w:val="00844110"/>
    <w:rsid w:val="0084475C"/>
    <w:rsid w:val="00850283"/>
    <w:rsid w:val="00852E50"/>
    <w:rsid w:val="008539FA"/>
    <w:rsid w:val="00853BAA"/>
    <w:rsid w:val="00855053"/>
    <w:rsid w:val="008565AA"/>
    <w:rsid w:val="00862488"/>
    <w:rsid w:val="00862EAB"/>
    <w:rsid w:val="008662A7"/>
    <w:rsid w:val="0086630F"/>
    <w:rsid w:val="00866A99"/>
    <w:rsid w:val="00871F33"/>
    <w:rsid w:val="008728F8"/>
    <w:rsid w:val="00872DCA"/>
    <w:rsid w:val="00874C1B"/>
    <w:rsid w:val="008774A3"/>
    <w:rsid w:val="0087755B"/>
    <w:rsid w:val="00880739"/>
    <w:rsid w:val="00880C5F"/>
    <w:rsid w:val="00882574"/>
    <w:rsid w:val="00882CB0"/>
    <w:rsid w:val="00886A3B"/>
    <w:rsid w:val="0088787D"/>
    <w:rsid w:val="008900C1"/>
    <w:rsid w:val="008903BA"/>
    <w:rsid w:val="00890A45"/>
    <w:rsid w:val="008947AE"/>
    <w:rsid w:val="00895273"/>
    <w:rsid w:val="00895564"/>
    <w:rsid w:val="0089695D"/>
    <w:rsid w:val="008A26CE"/>
    <w:rsid w:val="008A3AE2"/>
    <w:rsid w:val="008A6EE5"/>
    <w:rsid w:val="008B10E0"/>
    <w:rsid w:val="008B2C0E"/>
    <w:rsid w:val="008B4B1A"/>
    <w:rsid w:val="008B4BFF"/>
    <w:rsid w:val="008B5BBB"/>
    <w:rsid w:val="008C151E"/>
    <w:rsid w:val="008C21FA"/>
    <w:rsid w:val="008C47C6"/>
    <w:rsid w:val="008C5360"/>
    <w:rsid w:val="008C5916"/>
    <w:rsid w:val="008D14D1"/>
    <w:rsid w:val="008D1E87"/>
    <w:rsid w:val="008D2565"/>
    <w:rsid w:val="008D2762"/>
    <w:rsid w:val="008D2964"/>
    <w:rsid w:val="008D2EFC"/>
    <w:rsid w:val="008E0475"/>
    <w:rsid w:val="008E0A67"/>
    <w:rsid w:val="008E18FE"/>
    <w:rsid w:val="008E29BC"/>
    <w:rsid w:val="008E3CCB"/>
    <w:rsid w:val="008E598C"/>
    <w:rsid w:val="008E6508"/>
    <w:rsid w:val="008E709F"/>
    <w:rsid w:val="008F0E2F"/>
    <w:rsid w:val="008F363D"/>
    <w:rsid w:val="008F3AC6"/>
    <w:rsid w:val="008F5152"/>
    <w:rsid w:val="008F5398"/>
    <w:rsid w:val="008F5691"/>
    <w:rsid w:val="008F7FB6"/>
    <w:rsid w:val="0090054B"/>
    <w:rsid w:val="00902E05"/>
    <w:rsid w:val="00903D73"/>
    <w:rsid w:val="00904E4E"/>
    <w:rsid w:val="00904E71"/>
    <w:rsid w:val="00907653"/>
    <w:rsid w:val="009158CE"/>
    <w:rsid w:val="009215FC"/>
    <w:rsid w:val="009218FC"/>
    <w:rsid w:val="00926270"/>
    <w:rsid w:val="00926882"/>
    <w:rsid w:val="00927191"/>
    <w:rsid w:val="009276B2"/>
    <w:rsid w:val="00931782"/>
    <w:rsid w:val="00932E23"/>
    <w:rsid w:val="0093525C"/>
    <w:rsid w:val="009357E7"/>
    <w:rsid w:val="00936918"/>
    <w:rsid w:val="00940C53"/>
    <w:rsid w:val="00944E9F"/>
    <w:rsid w:val="009456F3"/>
    <w:rsid w:val="00945FC7"/>
    <w:rsid w:val="0094751D"/>
    <w:rsid w:val="00947F4D"/>
    <w:rsid w:val="00950ECA"/>
    <w:rsid w:val="0095247C"/>
    <w:rsid w:val="00954954"/>
    <w:rsid w:val="009554A5"/>
    <w:rsid w:val="0095593E"/>
    <w:rsid w:val="00955F46"/>
    <w:rsid w:val="00960594"/>
    <w:rsid w:val="00960835"/>
    <w:rsid w:val="009619E4"/>
    <w:rsid w:val="00962B51"/>
    <w:rsid w:val="00963B2C"/>
    <w:rsid w:val="009673DD"/>
    <w:rsid w:val="00970F7C"/>
    <w:rsid w:val="009715EC"/>
    <w:rsid w:val="00971810"/>
    <w:rsid w:val="00974302"/>
    <w:rsid w:val="00974D38"/>
    <w:rsid w:val="00975E1D"/>
    <w:rsid w:val="00977482"/>
    <w:rsid w:val="009775C7"/>
    <w:rsid w:val="00980F82"/>
    <w:rsid w:val="00982C17"/>
    <w:rsid w:val="00987549"/>
    <w:rsid w:val="00987730"/>
    <w:rsid w:val="009903C5"/>
    <w:rsid w:val="0099041C"/>
    <w:rsid w:val="0099135F"/>
    <w:rsid w:val="00991767"/>
    <w:rsid w:val="00992B5B"/>
    <w:rsid w:val="00992FCD"/>
    <w:rsid w:val="00993033"/>
    <w:rsid w:val="009961A4"/>
    <w:rsid w:val="00996F08"/>
    <w:rsid w:val="00996FB1"/>
    <w:rsid w:val="009A1AA4"/>
    <w:rsid w:val="009A4320"/>
    <w:rsid w:val="009B0198"/>
    <w:rsid w:val="009B2146"/>
    <w:rsid w:val="009B2188"/>
    <w:rsid w:val="009B2355"/>
    <w:rsid w:val="009B42F0"/>
    <w:rsid w:val="009B51E8"/>
    <w:rsid w:val="009B5892"/>
    <w:rsid w:val="009C18DC"/>
    <w:rsid w:val="009C2D8F"/>
    <w:rsid w:val="009C4255"/>
    <w:rsid w:val="009C47EF"/>
    <w:rsid w:val="009C6C7D"/>
    <w:rsid w:val="009C7EF8"/>
    <w:rsid w:val="009D2647"/>
    <w:rsid w:val="009D7B12"/>
    <w:rsid w:val="009D7E23"/>
    <w:rsid w:val="009E0982"/>
    <w:rsid w:val="009E246D"/>
    <w:rsid w:val="009E2584"/>
    <w:rsid w:val="009E3E40"/>
    <w:rsid w:val="009E4833"/>
    <w:rsid w:val="009E4999"/>
    <w:rsid w:val="009E5E84"/>
    <w:rsid w:val="009E6BE9"/>
    <w:rsid w:val="009F1DC3"/>
    <w:rsid w:val="009F21F0"/>
    <w:rsid w:val="009F6C53"/>
    <w:rsid w:val="00A005C5"/>
    <w:rsid w:val="00A014CA"/>
    <w:rsid w:val="00A02441"/>
    <w:rsid w:val="00A032A2"/>
    <w:rsid w:val="00A043BE"/>
    <w:rsid w:val="00A04E65"/>
    <w:rsid w:val="00A05416"/>
    <w:rsid w:val="00A07591"/>
    <w:rsid w:val="00A10471"/>
    <w:rsid w:val="00A13288"/>
    <w:rsid w:val="00A1542B"/>
    <w:rsid w:val="00A15527"/>
    <w:rsid w:val="00A21071"/>
    <w:rsid w:val="00A21355"/>
    <w:rsid w:val="00A21446"/>
    <w:rsid w:val="00A234F6"/>
    <w:rsid w:val="00A236F7"/>
    <w:rsid w:val="00A24732"/>
    <w:rsid w:val="00A24F22"/>
    <w:rsid w:val="00A261C7"/>
    <w:rsid w:val="00A31501"/>
    <w:rsid w:val="00A32177"/>
    <w:rsid w:val="00A33F42"/>
    <w:rsid w:val="00A34305"/>
    <w:rsid w:val="00A3534B"/>
    <w:rsid w:val="00A36A99"/>
    <w:rsid w:val="00A500D6"/>
    <w:rsid w:val="00A530DC"/>
    <w:rsid w:val="00A552FD"/>
    <w:rsid w:val="00A558D2"/>
    <w:rsid w:val="00A5686D"/>
    <w:rsid w:val="00A60FF2"/>
    <w:rsid w:val="00A61C2B"/>
    <w:rsid w:val="00A6530A"/>
    <w:rsid w:val="00A702B9"/>
    <w:rsid w:val="00A707E4"/>
    <w:rsid w:val="00A71E2C"/>
    <w:rsid w:val="00A72DD0"/>
    <w:rsid w:val="00A73834"/>
    <w:rsid w:val="00A75E3E"/>
    <w:rsid w:val="00A824BC"/>
    <w:rsid w:val="00A827E3"/>
    <w:rsid w:val="00A82BD6"/>
    <w:rsid w:val="00A83C65"/>
    <w:rsid w:val="00A84267"/>
    <w:rsid w:val="00A85713"/>
    <w:rsid w:val="00A86B86"/>
    <w:rsid w:val="00A91059"/>
    <w:rsid w:val="00A91437"/>
    <w:rsid w:val="00A9269A"/>
    <w:rsid w:val="00A93EA3"/>
    <w:rsid w:val="00A9405C"/>
    <w:rsid w:val="00A9463B"/>
    <w:rsid w:val="00A95767"/>
    <w:rsid w:val="00A97D88"/>
    <w:rsid w:val="00AA0500"/>
    <w:rsid w:val="00AA2261"/>
    <w:rsid w:val="00AA3667"/>
    <w:rsid w:val="00AA577B"/>
    <w:rsid w:val="00AA5DBB"/>
    <w:rsid w:val="00AB12FA"/>
    <w:rsid w:val="00AB1A97"/>
    <w:rsid w:val="00AB3E06"/>
    <w:rsid w:val="00AB49C5"/>
    <w:rsid w:val="00AB521F"/>
    <w:rsid w:val="00AC0339"/>
    <w:rsid w:val="00AC1F57"/>
    <w:rsid w:val="00AC47A6"/>
    <w:rsid w:val="00AC696E"/>
    <w:rsid w:val="00AD0345"/>
    <w:rsid w:val="00AD0834"/>
    <w:rsid w:val="00AD3FB2"/>
    <w:rsid w:val="00AD65A5"/>
    <w:rsid w:val="00AD6984"/>
    <w:rsid w:val="00AE46FD"/>
    <w:rsid w:val="00AE63AF"/>
    <w:rsid w:val="00AE6415"/>
    <w:rsid w:val="00AF22B7"/>
    <w:rsid w:val="00AF2C75"/>
    <w:rsid w:val="00AF33FE"/>
    <w:rsid w:val="00AF4BC5"/>
    <w:rsid w:val="00AF5034"/>
    <w:rsid w:val="00AF5138"/>
    <w:rsid w:val="00AF56BD"/>
    <w:rsid w:val="00AF5AD4"/>
    <w:rsid w:val="00B02E8F"/>
    <w:rsid w:val="00B06652"/>
    <w:rsid w:val="00B06E81"/>
    <w:rsid w:val="00B07337"/>
    <w:rsid w:val="00B103C7"/>
    <w:rsid w:val="00B13111"/>
    <w:rsid w:val="00B14C5D"/>
    <w:rsid w:val="00B156D6"/>
    <w:rsid w:val="00B15849"/>
    <w:rsid w:val="00B20AD8"/>
    <w:rsid w:val="00B21B79"/>
    <w:rsid w:val="00B22111"/>
    <w:rsid w:val="00B227B1"/>
    <w:rsid w:val="00B22E3F"/>
    <w:rsid w:val="00B232E0"/>
    <w:rsid w:val="00B24A13"/>
    <w:rsid w:val="00B30680"/>
    <w:rsid w:val="00B309DC"/>
    <w:rsid w:val="00B36262"/>
    <w:rsid w:val="00B3772B"/>
    <w:rsid w:val="00B4419C"/>
    <w:rsid w:val="00B479CA"/>
    <w:rsid w:val="00B47DBB"/>
    <w:rsid w:val="00B515EF"/>
    <w:rsid w:val="00B52BE3"/>
    <w:rsid w:val="00B55613"/>
    <w:rsid w:val="00B574B6"/>
    <w:rsid w:val="00B61594"/>
    <w:rsid w:val="00B6538E"/>
    <w:rsid w:val="00B66591"/>
    <w:rsid w:val="00B71B53"/>
    <w:rsid w:val="00B722D9"/>
    <w:rsid w:val="00B751C1"/>
    <w:rsid w:val="00B75FB3"/>
    <w:rsid w:val="00B8027A"/>
    <w:rsid w:val="00B809CB"/>
    <w:rsid w:val="00B8126E"/>
    <w:rsid w:val="00B8143A"/>
    <w:rsid w:val="00B82421"/>
    <w:rsid w:val="00B8265B"/>
    <w:rsid w:val="00B82951"/>
    <w:rsid w:val="00B84D3E"/>
    <w:rsid w:val="00B87744"/>
    <w:rsid w:val="00B87FB8"/>
    <w:rsid w:val="00B90498"/>
    <w:rsid w:val="00B92E2A"/>
    <w:rsid w:val="00B932A3"/>
    <w:rsid w:val="00B95D3B"/>
    <w:rsid w:val="00B97815"/>
    <w:rsid w:val="00BA0BEF"/>
    <w:rsid w:val="00BA4A2E"/>
    <w:rsid w:val="00BA63BC"/>
    <w:rsid w:val="00BA7425"/>
    <w:rsid w:val="00BB0C59"/>
    <w:rsid w:val="00BB170E"/>
    <w:rsid w:val="00BB51D8"/>
    <w:rsid w:val="00BB5C6B"/>
    <w:rsid w:val="00BB61EE"/>
    <w:rsid w:val="00BB6793"/>
    <w:rsid w:val="00BB67EC"/>
    <w:rsid w:val="00BB6934"/>
    <w:rsid w:val="00BB6A8A"/>
    <w:rsid w:val="00BB6F4C"/>
    <w:rsid w:val="00BB7C51"/>
    <w:rsid w:val="00BC1545"/>
    <w:rsid w:val="00BC5AC7"/>
    <w:rsid w:val="00BD1152"/>
    <w:rsid w:val="00BD3132"/>
    <w:rsid w:val="00BD3614"/>
    <w:rsid w:val="00BD49E0"/>
    <w:rsid w:val="00BD6E58"/>
    <w:rsid w:val="00BD7B05"/>
    <w:rsid w:val="00BE1CD8"/>
    <w:rsid w:val="00BE2624"/>
    <w:rsid w:val="00BE2AD3"/>
    <w:rsid w:val="00BE48C9"/>
    <w:rsid w:val="00BE6444"/>
    <w:rsid w:val="00BE77FE"/>
    <w:rsid w:val="00BF120A"/>
    <w:rsid w:val="00BF2434"/>
    <w:rsid w:val="00BF24BF"/>
    <w:rsid w:val="00BF3EE5"/>
    <w:rsid w:val="00BF46BF"/>
    <w:rsid w:val="00BF552A"/>
    <w:rsid w:val="00BF6425"/>
    <w:rsid w:val="00C00069"/>
    <w:rsid w:val="00C0347A"/>
    <w:rsid w:val="00C051C8"/>
    <w:rsid w:val="00C06F1F"/>
    <w:rsid w:val="00C10A17"/>
    <w:rsid w:val="00C10D68"/>
    <w:rsid w:val="00C14BD9"/>
    <w:rsid w:val="00C163DF"/>
    <w:rsid w:val="00C16CAA"/>
    <w:rsid w:val="00C227DA"/>
    <w:rsid w:val="00C236D5"/>
    <w:rsid w:val="00C23919"/>
    <w:rsid w:val="00C23B92"/>
    <w:rsid w:val="00C244F9"/>
    <w:rsid w:val="00C25A83"/>
    <w:rsid w:val="00C26C84"/>
    <w:rsid w:val="00C41CAA"/>
    <w:rsid w:val="00C42286"/>
    <w:rsid w:val="00C423D9"/>
    <w:rsid w:val="00C43B00"/>
    <w:rsid w:val="00C43FBE"/>
    <w:rsid w:val="00C44309"/>
    <w:rsid w:val="00C44652"/>
    <w:rsid w:val="00C44F50"/>
    <w:rsid w:val="00C454E3"/>
    <w:rsid w:val="00C46371"/>
    <w:rsid w:val="00C46DD3"/>
    <w:rsid w:val="00C47E7B"/>
    <w:rsid w:val="00C510B2"/>
    <w:rsid w:val="00C5130B"/>
    <w:rsid w:val="00C52239"/>
    <w:rsid w:val="00C53583"/>
    <w:rsid w:val="00C53987"/>
    <w:rsid w:val="00C53B17"/>
    <w:rsid w:val="00C54FFF"/>
    <w:rsid w:val="00C55F15"/>
    <w:rsid w:val="00C56EB0"/>
    <w:rsid w:val="00C57C10"/>
    <w:rsid w:val="00C606C5"/>
    <w:rsid w:val="00C60F6F"/>
    <w:rsid w:val="00C61A3A"/>
    <w:rsid w:val="00C62F11"/>
    <w:rsid w:val="00C63FC0"/>
    <w:rsid w:val="00C66A03"/>
    <w:rsid w:val="00C7270D"/>
    <w:rsid w:val="00C73E7E"/>
    <w:rsid w:val="00C75859"/>
    <w:rsid w:val="00C7636C"/>
    <w:rsid w:val="00C77DAA"/>
    <w:rsid w:val="00C8064A"/>
    <w:rsid w:val="00C8157C"/>
    <w:rsid w:val="00C82F34"/>
    <w:rsid w:val="00C84C6F"/>
    <w:rsid w:val="00C852DE"/>
    <w:rsid w:val="00C85D56"/>
    <w:rsid w:val="00C9124B"/>
    <w:rsid w:val="00C91738"/>
    <w:rsid w:val="00C918D5"/>
    <w:rsid w:val="00C92871"/>
    <w:rsid w:val="00C93C57"/>
    <w:rsid w:val="00C946EB"/>
    <w:rsid w:val="00C95F60"/>
    <w:rsid w:val="00C9650A"/>
    <w:rsid w:val="00C97D25"/>
    <w:rsid w:val="00CA0596"/>
    <w:rsid w:val="00CA4E84"/>
    <w:rsid w:val="00CA732F"/>
    <w:rsid w:val="00CA7AE6"/>
    <w:rsid w:val="00CB1D10"/>
    <w:rsid w:val="00CB2A1B"/>
    <w:rsid w:val="00CB2E0C"/>
    <w:rsid w:val="00CB32DB"/>
    <w:rsid w:val="00CB59EB"/>
    <w:rsid w:val="00CB70AB"/>
    <w:rsid w:val="00CB7CC8"/>
    <w:rsid w:val="00CC3F2B"/>
    <w:rsid w:val="00CC407C"/>
    <w:rsid w:val="00CC4167"/>
    <w:rsid w:val="00CC5A46"/>
    <w:rsid w:val="00CC5E94"/>
    <w:rsid w:val="00CC7761"/>
    <w:rsid w:val="00CD0E98"/>
    <w:rsid w:val="00CD3F18"/>
    <w:rsid w:val="00CD3FC9"/>
    <w:rsid w:val="00CE2C7D"/>
    <w:rsid w:val="00CE438C"/>
    <w:rsid w:val="00CE4ED9"/>
    <w:rsid w:val="00CE6710"/>
    <w:rsid w:val="00CF102A"/>
    <w:rsid w:val="00CF1D4C"/>
    <w:rsid w:val="00CF21C3"/>
    <w:rsid w:val="00CF2CC4"/>
    <w:rsid w:val="00CF4A4C"/>
    <w:rsid w:val="00CF7FE5"/>
    <w:rsid w:val="00D070E0"/>
    <w:rsid w:val="00D07F68"/>
    <w:rsid w:val="00D132C0"/>
    <w:rsid w:val="00D23219"/>
    <w:rsid w:val="00D23D74"/>
    <w:rsid w:val="00D242E1"/>
    <w:rsid w:val="00D27431"/>
    <w:rsid w:val="00D31B4F"/>
    <w:rsid w:val="00D31EB1"/>
    <w:rsid w:val="00D31ECE"/>
    <w:rsid w:val="00D3578F"/>
    <w:rsid w:val="00D3617C"/>
    <w:rsid w:val="00D37348"/>
    <w:rsid w:val="00D47AED"/>
    <w:rsid w:val="00D50422"/>
    <w:rsid w:val="00D54744"/>
    <w:rsid w:val="00D55407"/>
    <w:rsid w:val="00D5598E"/>
    <w:rsid w:val="00D55C40"/>
    <w:rsid w:val="00D55CFD"/>
    <w:rsid w:val="00D60284"/>
    <w:rsid w:val="00D61726"/>
    <w:rsid w:val="00D62318"/>
    <w:rsid w:val="00D63540"/>
    <w:rsid w:val="00D635A2"/>
    <w:rsid w:val="00D64D13"/>
    <w:rsid w:val="00D66090"/>
    <w:rsid w:val="00D6672F"/>
    <w:rsid w:val="00D723B5"/>
    <w:rsid w:val="00D72415"/>
    <w:rsid w:val="00D72472"/>
    <w:rsid w:val="00D73437"/>
    <w:rsid w:val="00D7376F"/>
    <w:rsid w:val="00D739C6"/>
    <w:rsid w:val="00D7712D"/>
    <w:rsid w:val="00D771A0"/>
    <w:rsid w:val="00D77201"/>
    <w:rsid w:val="00D773D6"/>
    <w:rsid w:val="00D81349"/>
    <w:rsid w:val="00D820CD"/>
    <w:rsid w:val="00D82B24"/>
    <w:rsid w:val="00D83006"/>
    <w:rsid w:val="00D84FC0"/>
    <w:rsid w:val="00D8551C"/>
    <w:rsid w:val="00D87AB3"/>
    <w:rsid w:val="00D90563"/>
    <w:rsid w:val="00D906A5"/>
    <w:rsid w:val="00D95857"/>
    <w:rsid w:val="00D963DA"/>
    <w:rsid w:val="00DA1A85"/>
    <w:rsid w:val="00DA2527"/>
    <w:rsid w:val="00DA386A"/>
    <w:rsid w:val="00DA46CC"/>
    <w:rsid w:val="00DA65F4"/>
    <w:rsid w:val="00DB3C54"/>
    <w:rsid w:val="00DB6B6E"/>
    <w:rsid w:val="00DC339B"/>
    <w:rsid w:val="00DC3C8E"/>
    <w:rsid w:val="00DC4FCC"/>
    <w:rsid w:val="00DD10C2"/>
    <w:rsid w:val="00DD163A"/>
    <w:rsid w:val="00DE2FF6"/>
    <w:rsid w:val="00DE3777"/>
    <w:rsid w:val="00DE5003"/>
    <w:rsid w:val="00DF1194"/>
    <w:rsid w:val="00DF1DED"/>
    <w:rsid w:val="00DF31CF"/>
    <w:rsid w:val="00DF6EFD"/>
    <w:rsid w:val="00E01C9D"/>
    <w:rsid w:val="00E042D4"/>
    <w:rsid w:val="00E05CB5"/>
    <w:rsid w:val="00E07294"/>
    <w:rsid w:val="00E14456"/>
    <w:rsid w:val="00E14BAD"/>
    <w:rsid w:val="00E2096B"/>
    <w:rsid w:val="00E215B9"/>
    <w:rsid w:val="00E22609"/>
    <w:rsid w:val="00E24454"/>
    <w:rsid w:val="00E24789"/>
    <w:rsid w:val="00E2539E"/>
    <w:rsid w:val="00E270CB"/>
    <w:rsid w:val="00E32991"/>
    <w:rsid w:val="00E3400A"/>
    <w:rsid w:val="00E35176"/>
    <w:rsid w:val="00E35519"/>
    <w:rsid w:val="00E358FA"/>
    <w:rsid w:val="00E36B04"/>
    <w:rsid w:val="00E3742E"/>
    <w:rsid w:val="00E50952"/>
    <w:rsid w:val="00E51077"/>
    <w:rsid w:val="00E52328"/>
    <w:rsid w:val="00E5442F"/>
    <w:rsid w:val="00E570FC"/>
    <w:rsid w:val="00E579DD"/>
    <w:rsid w:val="00E62DEF"/>
    <w:rsid w:val="00E62F85"/>
    <w:rsid w:val="00E64EE8"/>
    <w:rsid w:val="00E6732F"/>
    <w:rsid w:val="00E67B10"/>
    <w:rsid w:val="00E70B58"/>
    <w:rsid w:val="00E71EC3"/>
    <w:rsid w:val="00E73BB5"/>
    <w:rsid w:val="00E7403B"/>
    <w:rsid w:val="00E77021"/>
    <w:rsid w:val="00E80162"/>
    <w:rsid w:val="00E83BBD"/>
    <w:rsid w:val="00E83E20"/>
    <w:rsid w:val="00E850E5"/>
    <w:rsid w:val="00E85AD9"/>
    <w:rsid w:val="00E953DB"/>
    <w:rsid w:val="00E965A8"/>
    <w:rsid w:val="00EA5982"/>
    <w:rsid w:val="00EA74BF"/>
    <w:rsid w:val="00EA7579"/>
    <w:rsid w:val="00EB222C"/>
    <w:rsid w:val="00EB3B09"/>
    <w:rsid w:val="00EB4A91"/>
    <w:rsid w:val="00EB4EA7"/>
    <w:rsid w:val="00EB56AC"/>
    <w:rsid w:val="00EB776E"/>
    <w:rsid w:val="00EC316C"/>
    <w:rsid w:val="00EC6598"/>
    <w:rsid w:val="00EC6A19"/>
    <w:rsid w:val="00ED08A2"/>
    <w:rsid w:val="00ED08FB"/>
    <w:rsid w:val="00ED0A4E"/>
    <w:rsid w:val="00ED19E6"/>
    <w:rsid w:val="00ED34E3"/>
    <w:rsid w:val="00ED56DC"/>
    <w:rsid w:val="00ED5F33"/>
    <w:rsid w:val="00EE21F7"/>
    <w:rsid w:val="00EE28A4"/>
    <w:rsid w:val="00EE34A9"/>
    <w:rsid w:val="00EE3E95"/>
    <w:rsid w:val="00EE570D"/>
    <w:rsid w:val="00EF0177"/>
    <w:rsid w:val="00EF0A82"/>
    <w:rsid w:val="00EF3544"/>
    <w:rsid w:val="00F024AF"/>
    <w:rsid w:val="00F036ED"/>
    <w:rsid w:val="00F042A3"/>
    <w:rsid w:val="00F05F16"/>
    <w:rsid w:val="00F06F77"/>
    <w:rsid w:val="00F104F0"/>
    <w:rsid w:val="00F10B9F"/>
    <w:rsid w:val="00F1322C"/>
    <w:rsid w:val="00F13890"/>
    <w:rsid w:val="00F148EF"/>
    <w:rsid w:val="00F14AB8"/>
    <w:rsid w:val="00F16F03"/>
    <w:rsid w:val="00F21115"/>
    <w:rsid w:val="00F214B0"/>
    <w:rsid w:val="00F21553"/>
    <w:rsid w:val="00F22461"/>
    <w:rsid w:val="00F22982"/>
    <w:rsid w:val="00F237D2"/>
    <w:rsid w:val="00F24C6D"/>
    <w:rsid w:val="00F2687C"/>
    <w:rsid w:val="00F301A0"/>
    <w:rsid w:val="00F321F5"/>
    <w:rsid w:val="00F33ABC"/>
    <w:rsid w:val="00F33D1B"/>
    <w:rsid w:val="00F40743"/>
    <w:rsid w:val="00F46BAA"/>
    <w:rsid w:val="00F47534"/>
    <w:rsid w:val="00F47DA4"/>
    <w:rsid w:val="00F51E83"/>
    <w:rsid w:val="00F524F5"/>
    <w:rsid w:val="00F52E5A"/>
    <w:rsid w:val="00F54FAF"/>
    <w:rsid w:val="00F57063"/>
    <w:rsid w:val="00F57159"/>
    <w:rsid w:val="00F61CD7"/>
    <w:rsid w:val="00F626C2"/>
    <w:rsid w:val="00F6452A"/>
    <w:rsid w:val="00F65242"/>
    <w:rsid w:val="00F716AB"/>
    <w:rsid w:val="00F71B9C"/>
    <w:rsid w:val="00F721C1"/>
    <w:rsid w:val="00F73556"/>
    <w:rsid w:val="00F74A8F"/>
    <w:rsid w:val="00F771CF"/>
    <w:rsid w:val="00F80AC2"/>
    <w:rsid w:val="00F83F12"/>
    <w:rsid w:val="00F85CC2"/>
    <w:rsid w:val="00F87373"/>
    <w:rsid w:val="00F87EF9"/>
    <w:rsid w:val="00F90B07"/>
    <w:rsid w:val="00F92314"/>
    <w:rsid w:val="00F93925"/>
    <w:rsid w:val="00F94734"/>
    <w:rsid w:val="00F948E7"/>
    <w:rsid w:val="00F94C69"/>
    <w:rsid w:val="00F95BDF"/>
    <w:rsid w:val="00F967AB"/>
    <w:rsid w:val="00F9689C"/>
    <w:rsid w:val="00FA03A5"/>
    <w:rsid w:val="00FA109D"/>
    <w:rsid w:val="00FA4811"/>
    <w:rsid w:val="00FA66B6"/>
    <w:rsid w:val="00FA6BD4"/>
    <w:rsid w:val="00FA76E5"/>
    <w:rsid w:val="00FB3C84"/>
    <w:rsid w:val="00FB5003"/>
    <w:rsid w:val="00FB5DA8"/>
    <w:rsid w:val="00FC0A70"/>
    <w:rsid w:val="00FC498E"/>
    <w:rsid w:val="00FC5DAD"/>
    <w:rsid w:val="00FD328B"/>
    <w:rsid w:val="00FE21C0"/>
    <w:rsid w:val="00FE6A6B"/>
    <w:rsid w:val="00FE6C58"/>
    <w:rsid w:val="00FF01B3"/>
    <w:rsid w:val="00FF3177"/>
    <w:rsid w:val="00FF3B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5104DAAD-E0FF-4E17-ABDC-C9BD8713B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75C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8221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50165"/>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50165"/>
    <w:rPr>
      <w:rFonts w:ascii="Times New Roman" w:eastAsia="Times New Roman" w:hAnsi="Times New Roman" w:cs="Times New Roman"/>
      <w:sz w:val="24"/>
      <w:szCs w:val="24"/>
      <w:lang w:eastAsia="pl-PL"/>
    </w:rPr>
  </w:style>
  <w:style w:type="paragraph" w:styleId="Bezodstpw">
    <w:name w:val="No Spacing"/>
    <w:uiPriority w:val="1"/>
    <w:qFormat/>
    <w:rsid w:val="000C77AA"/>
    <w:pPr>
      <w:spacing w:after="0" w:line="240" w:lineRule="auto"/>
    </w:pPr>
    <w:rPr>
      <w:rFonts w:ascii="Calibri" w:eastAsia="Calibri" w:hAnsi="Calibri" w:cs="Times New Roman"/>
    </w:rPr>
  </w:style>
  <w:style w:type="table" w:styleId="Tabela-Siatka">
    <w:name w:val="Table Grid"/>
    <w:basedOn w:val="Standardowy"/>
    <w:rsid w:val="000058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D08A2"/>
    <w:rPr>
      <w:sz w:val="20"/>
      <w:szCs w:val="20"/>
    </w:rPr>
  </w:style>
  <w:style w:type="character" w:customStyle="1" w:styleId="TekstprzypisukocowegoZnak">
    <w:name w:val="Tekst przypisu końcowego Znak"/>
    <w:basedOn w:val="Domylnaczcionkaakapitu"/>
    <w:link w:val="Tekstprzypisukocowego"/>
    <w:uiPriority w:val="99"/>
    <w:semiHidden/>
    <w:rsid w:val="00ED08A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D08A2"/>
    <w:rPr>
      <w:vertAlign w:val="superscript"/>
    </w:rPr>
  </w:style>
  <w:style w:type="paragraph" w:styleId="NormalnyWeb">
    <w:name w:val="Normal (Web)"/>
    <w:basedOn w:val="Normalny"/>
    <w:uiPriority w:val="99"/>
    <w:semiHidden/>
    <w:unhideWhenUsed/>
    <w:rsid w:val="00153253"/>
  </w:style>
  <w:style w:type="character" w:customStyle="1" w:styleId="Nagwek1Znak">
    <w:name w:val="Nagłówek 1 Znak"/>
    <w:basedOn w:val="Domylnaczcionkaakapitu"/>
    <w:link w:val="Nagwek1"/>
    <w:uiPriority w:val="9"/>
    <w:rsid w:val="00782214"/>
    <w:rPr>
      <w:rFonts w:asciiTheme="majorHAnsi" w:eastAsiaTheme="majorEastAsia" w:hAnsiTheme="majorHAnsi" w:cstheme="majorBidi"/>
      <w:color w:val="2E74B5" w:themeColor="accent1" w:themeShade="BF"/>
      <w:sz w:val="32"/>
      <w:szCs w:val="32"/>
      <w:lang w:eastAsia="pl-PL"/>
    </w:rPr>
  </w:style>
  <w:style w:type="paragraph" w:styleId="Poprawka">
    <w:name w:val="Revision"/>
    <w:hidden/>
    <w:uiPriority w:val="99"/>
    <w:semiHidden/>
    <w:rsid w:val="007444D4"/>
    <w:p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7444D4"/>
    <w:rPr>
      <w:sz w:val="16"/>
      <w:szCs w:val="16"/>
    </w:rPr>
  </w:style>
  <w:style w:type="paragraph" w:styleId="Tekstkomentarza">
    <w:name w:val="annotation text"/>
    <w:basedOn w:val="Normalny"/>
    <w:link w:val="TekstkomentarzaZnak"/>
    <w:uiPriority w:val="99"/>
    <w:unhideWhenUsed/>
    <w:rsid w:val="007444D4"/>
    <w:rPr>
      <w:sz w:val="20"/>
      <w:szCs w:val="20"/>
    </w:rPr>
  </w:style>
  <w:style w:type="character" w:customStyle="1" w:styleId="TekstkomentarzaZnak">
    <w:name w:val="Tekst komentarza Znak"/>
    <w:basedOn w:val="Domylnaczcionkaakapitu"/>
    <w:link w:val="Tekstkomentarza"/>
    <w:uiPriority w:val="99"/>
    <w:rsid w:val="007444D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444D4"/>
    <w:rPr>
      <w:b/>
      <w:bCs/>
    </w:rPr>
  </w:style>
  <w:style w:type="character" w:customStyle="1" w:styleId="TematkomentarzaZnak">
    <w:name w:val="Temat komentarza Znak"/>
    <w:basedOn w:val="TekstkomentarzaZnak"/>
    <w:link w:val="Tematkomentarza"/>
    <w:uiPriority w:val="99"/>
    <w:semiHidden/>
    <w:rsid w:val="007444D4"/>
    <w:rPr>
      <w:rFonts w:ascii="Times New Roman" w:eastAsia="Times New Roman" w:hAnsi="Times New Roman" w:cs="Times New Roman"/>
      <w:b/>
      <w:bCs/>
      <w:sz w:val="20"/>
      <w:szCs w:val="20"/>
      <w:lang w:eastAsia="pl-PL"/>
    </w:rPr>
  </w:style>
  <w:style w:type="paragraph" w:styleId="Tekstpodstawowywcity2">
    <w:name w:val="Body Text Indent 2"/>
    <w:basedOn w:val="Normalny"/>
    <w:link w:val="Tekstpodstawowywcity2Znak"/>
    <w:unhideWhenUsed/>
    <w:rsid w:val="005569CD"/>
    <w:pPr>
      <w:spacing w:after="120" w:line="480" w:lineRule="auto"/>
      <w:ind w:left="283"/>
    </w:pPr>
  </w:style>
  <w:style w:type="character" w:customStyle="1" w:styleId="Tekstpodstawowywcity2Znak">
    <w:name w:val="Tekst podstawowy wcięty 2 Znak"/>
    <w:basedOn w:val="Domylnaczcionkaakapitu"/>
    <w:link w:val="Tekstpodstawowywcity2"/>
    <w:rsid w:val="005569CD"/>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741D5C"/>
  </w:style>
  <w:style w:type="paragraph" w:customStyle="1" w:styleId="Default">
    <w:name w:val="Default"/>
    <w:rsid w:val="00797A37"/>
    <w:pPr>
      <w:autoSpaceDE w:val="0"/>
      <w:autoSpaceDN w:val="0"/>
      <w:adjustRightInd w:val="0"/>
      <w:spacing w:after="0" w:line="240" w:lineRule="auto"/>
    </w:pPr>
    <w:rPr>
      <w:rFonts w:ascii="Lato" w:hAnsi="Lato" w:cs="La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228">
      <w:bodyDiv w:val="1"/>
      <w:marLeft w:val="0"/>
      <w:marRight w:val="0"/>
      <w:marTop w:val="0"/>
      <w:marBottom w:val="0"/>
      <w:divBdr>
        <w:top w:val="none" w:sz="0" w:space="0" w:color="auto"/>
        <w:left w:val="none" w:sz="0" w:space="0" w:color="auto"/>
        <w:bottom w:val="none" w:sz="0" w:space="0" w:color="auto"/>
        <w:right w:val="none" w:sz="0" w:space="0" w:color="auto"/>
      </w:divBdr>
    </w:div>
    <w:div w:id="14157313">
      <w:bodyDiv w:val="1"/>
      <w:marLeft w:val="0"/>
      <w:marRight w:val="0"/>
      <w:marTop w:val="0"/>
      <w:marBottom w:val="0"/>
      <w:divBdr>
        <w:top w:val="none" w:sz="0" w:space="0" w:color="auto"/>
        <w:left w:val="none" w:sz="0" w:space="0" w:color="auto"/>
        <w:bottom w:val="none" w:sz="0" w:space="0" w:color="auto"/>
        <w:right w:val="none" w:sz="0" w:space="0" w:color="auto"/>
      </w:divBdr>
      <w:divsChild>
        <w:div w:id="1186480880">
          <w:marLeft w:val="0"/>
          <w:marRight w:val="0"/>
          <w:marTop w:val="0"/>
          <w:marBottom w:val="0"/>
          <w:divBdr>
            <w:top w:val="none" w:sz="0" w:space="0" w:color="auto"/>
            <w:left w:val="none" w:sz="0" w:space="0" w:color="auto"/>
            <w:bottom w:val="none" w:sz="0" w:space="0" w:color="auto"/>
            <w:right w:val="none" w:sz="0" w:space="0" w:color="auto"/>
          </w:divBdr>
        </w:div>
        <w:div w:id="1082413207">
          <w:marLeft w:val="0"/>
          <w:marRight w:val="0"/>
          <w:marTop w:val="0"/>
          <w:marBottom w:val="0"/>
          <w:divBdr>
            <w:top w:val="none" w:sz="0" w:space="0" w:color="auto"/>
            <w:left w:val="none" w:sz="0" w:space="0" w:color="auto"/>
            <w:bottom w:val="none" w:sz="0" w:space="0" w:color="auto"/>
            <w:right w:val="none" w:sz="0" w:space="0" w:color="auto"/>
          </w:divBdr>
          <w:divsChild>
            <w:div w:id="223179836">
              <w:marLeft w:val="0"/>
              <w:marRight w:val="0"/>
              <w:marTop w:val="0"/>
              <w:marBottom w:val="0"/>
              <w:divBdr>
                <w:top w:val="none" w:sz="0" w:space="0" w:color="auto"/>
                <w:left w:val="none" w:sz="0" w:space="0" w:color="auto"/>
                <w:bottom w:val="none" w:sz="0" w:space="0" w:color="auto"/>
                <w:right w:val="none" w:sz="0" w:space="0" w:color="auto"/>
              </w:divBdr>
              <w:divsChild>
                <w:div w:id="43741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960090">
          <w:marLeft w:val="0"/>
          <w:marRight w:val="0"/>
          <w:marTop w:val="0"/>
          <w:marBottom w:val="0"/>
          <w:divBdr>
            <w:top w:val="none" w:sz="0" w:space="0" w:color="auto"/>
            <w:left w:val="none" w:sz="0" w:space="0" w:color="auto"/>
            <w:bottom w:val="none" w:sz="0" w:space="0" w:color="auto"/>
            <w:right w:val="none" w:sz="0" w:space="0" w:color="auto"/>
          </w:divBdr>
          <w:divsChild>
            <w:div w:id="1014965256">
              <w:marLeft w:val="0"/>
              <w:marRight w:val="0"/>
              <w:marTop w:val="0"/>
              <w:marBottom w:val="0"/>
              <w:divBdr>
                <w:top w:val="none" w:sz="0" w:space="0" w:color="auto"/>
                <w:left w:val="none" w:sz="0" w:space="0" w:color="auto"/>
                <w:bottom w:val="none" w:sz="0" w:space="0" w:color="auto"/>
                <w:right w:val="none" w:sz="0" w:space="0" w:color="auto"/>
              </w:divBdr>
              <w:divsChild>
                <w:div w:id="141971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2198">
      <w:bodyDiv w:val="1"/>
      <w:marLeft w:val="0"/>
      <w:marRight w:val="0"/>
      <w:marTop w:val="0"/>
      <w:marBottom w:val="0"/>
      <w:divBdr>
        <w:top w:val="none" w:sz="0" w:space="0" w:color="auto"/>
        <w:left w:val="none" w:sz="0" w:space="0" w:color="auto"/>
        <w:bottom w:val="none" w:sz="0" w:space="0" w:color="auto"/>
        <w:right w:val="none" w:sz="0" w:space="0" w:color="auto"/>
      </w:divBdr>
    </w:div>
    <w:div w:id="135807110">
      <w:bodyDiv w:val="1"/>
      <w:marLeft w:val="0"/>
      <w:marRight w:val="0"/>
      <w:marTop w:val="0"/>
      <w:marBottom w:val="0"/>
      <w:divBdr>
        <w:top w:val="none" w:sz="0" w:space="0" w:color="auto"/>
        <w:left w:val="none" w:sz="0" w:space="0" w:color="auto"/>
        <w:bottom w:val="none" w:sz="0" w:space="0" w:color="auto"/>
        <w:right w:val="none" w:sz="0" w:space="0" w:color="auto"/>
      </w:divBdr>
    </w:div>
    <w:div w:id="139689168">
      <w:bodyDiv w:val="1"/>
      <w:marLeft w:val="0"/>
      <w:marRight w:val="0"/>
      <w:marTop w:val="0"/>
      <w:marBottom w:val="0"/>
      <w:divBdr>
        <w:top w:val="none" w:sz="0" w:space="0" w:color="auto"/>
        <w:left w:val="none" w:sz="0" w:space="0" w:color="auto"/>
        <w:bottom w:val="none" w:sz="0" w:space="0" w:color="auto"/>
        <w:right w:val="none" w:sz="0" w:space="0" w:color="auto"/>
      </w:divBdr>
    </w:div>
    <w:div w:id="224150553">
      <w:bodyDiv w:val="1"/>
      <w:marLeft w:val="0"/>
      <w:marRight w:val="0"/>
      <w:marTop w:val="0"/>
      <w:marBottom w:val="0"/>
      <w:divBdr>
        <w:top w:val="none" w:sz="0" w:space="0" w:color="auto"/>
        <w:left w:val="none" w:sz="0" w:space="0" w:color="auto"/>
        <w:bottom w:val="none" w:sz="0" w:space="0" w:color="auto"/>
        <w:right w:val="none" w:sz="0" w:space="0" w:color="auto"/>
      </w:divBdr>
    </w:div>
    <w:div w:id="261958770">
      <w:bodyDiv w:val="1"/>
      <w:marLeft w:val="0"/>
      <w:marRight w:val="0"/>
      <w:marTop w:val="0"/>
      <w:marBottom w:val="0"/>
      <w:divBdr>
        <w:top w:val="none" w:sz="0" w:space="0" w:color="auto"/>
        <w:left w:val="none" w:sz="0" w:space="0" w:color="auto"/>
        <w:bottom w:val="none" w:sz="0" w:space="0" w:color="auto"/>
        <w:right w:val="none" w:sz="0" w:space="0" w:color="auto"/>
      </w:divBdr>
    </w:div>
    <w:div w:id="269435305">
      <w:bodyDiv w:val="1"/>
      <w:marLeft w:val="0"/>
      <w:marRight w:val="0"/>
      <w:marTop w:val="0"/>
      <w:marBottom w:val="0"/>
      <w:divBdr>
        <w:top w:val="none" w:sz="0" w:space="0" w:color="auto"/>
        <w:left w:val="none" w:sz="0" w:space="0" w:color="auto"/>
        <w:bottom w:val="none" w:sz="0" w:space="0" w:color="auto"/>
        <w:right w:val="none" w:sz="0" w:space="0" w:color="auto"/>
      </w:divBdr>
    </w:div>
    <w:div w:id="322048200">
      <w:bodyDiv w:val="1"/>
      <w:marLeft w:val="0"/>
      <w:marRight w:val="0"/>
      <w:marTop w:val="0"/>
      <w:marBottom w:val="0"/>
      <w:divBdr>
        <w:top w:val="none" w:sz="0" w:space="0" w:color="auto"/>
        <w:left w:val="none" w:sz="0" w:space="0" w:color="auto"/>
        <w:bottom w:val="none" w:sz="0" w:space="0" w:color="auto"/>
        <w:right w:val="none" w:sz="0" w:space="0" w:color="auto"/>
      </w:divBdr>
    </w:div>
    <w:div w:id="326448500">
      <w:bodyDiv w:val="1"/>
      <w:marLeft w:val="0"/>
      <w:marRight w:val="0"/>
      <w:marTop w:val="0"/>
      <w:marBottom w:val="0"/>
      <w:divBdr>
        <w:top w:val="none" w:sz="0" w:space="0" w:color="auto"/>
        <w:left w:val="none" w:sz="0" w:space="0" w:color="auto"/>
        <w:bottom w:val="none" w:sz="0" w:space="0" w:color="auto"/>
        <w:right w:val="none" w:sz="0" w:space="0" w:color="auto"/>
      </w:divBdr>
      <w:divsChild>
        <w:div w:id="2063362297">
          <w:marLeft w:val="0"/>
          <w:marRight w:val="0"/>
          <w:marTop w:val="0"/>
          <w:marBottom w:val="0"/>
          <w:divBdr>
            <w:top w:val="none" w:sz="0" w:space="0" w:color="auto"/>
            <w:left w:val="none" w:sz="0" w:space="0" w:color="auto"/>
            <w:bottom w:val="none" w:sz="0" w:space="0" w:color="auto"/>
            <w:right w:val="none" w:sz="0" w:space="0" w:color="auto"/>
          </w:divBdr>
        </w:div>
        <w:div w:id="723873493">
          <w:marLeft w:val="0"/>
          <w:marRight w:val="0"/>
          <w:marTop w:val="0"/>
          <w:marBottom w:val="0"/>
          <w:divBdr>
            <w:top w:val="none" w:sz="0" w:space="0" w:color="auto"/>
            <w:left w:val="none" w:sz="0" w:space="0" w:color="auto"/>
            <w:bottom w:val="none" w:sz="0" w:space="0" w:color="auto"/>
            <w:right w:val="none" w:sz="0" w:space="0" w:color="auto"/>
          </w:divBdr>
          <w:divsChild>
            <w:div w:id="108819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3112">
      <w:bodyDiv w:val="1"/>
      <w:marLeft w:val="0"/>
      <w:marRight w:val="0"/>
      <w:marTop w:val="0"/>
      <w:marBottom w:val="0"/>
      <w:divBdr>
        <w:top w:val="none" w:sz="0" w:space="0" w:color="auto"/>
        <w:left w:val="none" w:sz="0" w:space="0" w:color="auto"/>
        <w:bottom w:val="none" w:sz="0" w:space="0" w:color="auto"/>
        <w:right w:val="none" w:sz="0" w:space="0" w:color="auto"/>
      </w:divBdr>
    </w:div>
    <w:div w:id="452023369">
      <w:bodyDiv w:val="1"/>
      <w:marLeft w:val="0"/>
      <w:marRight w:val="0"/>
      <w:marTop w:val="0"/>
      <w:marBottom w:val="0"/>
      <w:divBdr>
        <w:top w:val="none" w:sz="0" w:space="0" w:color="auto"/>
        <w:left w:val="none" w:sz="0" w:space="0" w:color="auto"/>
        <w:bottom w:val="none" w:sz="0" w:space="0" w:color="auto"/>
        <w:right w:val="none" w:sz="0" w:space="0" w:color="auto"/>
      </w:divBdr>
    </w:div>
    <w:div w:id="481624621">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34781294">
      <w:bodyDiv w:val="1"/>
      <w:marLeft w:val="0"/>
      <w:marRight w:val="0"/>
      <w:marTop w:val="0"/>
      <w:marBottom w:val="0"/>
      <w:divBdr>
        <w:top w:val="none" w:sz="0" w:space="0" w:color="auto"/>
        <w:left w:val="none" w:sz="0" w:space="0" w:color="auto"/>
        <w:bottom w:val="none" w:sz="0" w:space="0" w:color="auto"/>
        <w:right w:val="none" w:sz="0" w:space="0" w:color="auto"/>
      </w:divBdr>
    </w:div>
    <w:div w:id="547690416">
      <w:bodyDiv w:val="1"/>
      <w:marLeft w:val="0"/>
      <w:marRight w:val="0"/>
      <w:marTop w:val="0"/>
      <w:marBottom w:val="0"/>
      <w:divBdr>
        <w:top w:val="none" w:sz="0" w:space="0" w:color="auto"/>
        <w:left w:val="none" w:sz="0" w:space="0" w:color="auto"/>
        <w:bottom w:val="none" w:sz="0" w:space="0" w:color="auto"/>
        <w:right w:val="none" w:sz="0" w:space="0" w:color="auto"/>
      </w:divBdr>
    </w:div>
    <w:div w:id="552081234">
      <w:bodyDiv w:val="1"/>
      <w:marLeft w:val="0"/>
      <w:marRight w:val="0"/>
      <w:marTop w:val="0"/>
      <w:marBottom w:val="0"/>
      <w:divBdr>
        <w:top w:val="none" w:sz="0" w:space="0" w:color="auto"/>
        <w:left w:val="none" w:sz="0" w:space="0" w:color="auto"/>
        <w:bottom w:val="none" w:sz="0" w:space="0" w:color="auto"/>
        <w:right w:val="none" w:sz="0" w:space="0" w:color="auto"/>
      </w:divBdr>
    </w:div>
    <w:div w:id="664864657">
      <w:bodyDiv w:val="1"/>
      <w:marLeft w:val="0"/>
      <w:marRight w:val="0"/>
      <w:marTop w:val="0"/>
      <w:marBottom w:val="0"/>
      <w:divBdr>
        <w:top w:val="none" w:sz="0" w:space="0" w:color="auto"/>
        <w:left w:val="none" w:sz="0" w:space="0" w:color="auto"/>
        <w:bottom w:val="none" w:sz="0" w:space="0" w:color="auto"/>
        <w:right w:val="none" w:sz="0" w:space="0" w:color="auto"/>
      </w:divBdr>
    </w:div>
    <w:div w:id="665937350">
      <w:bodyDiv w:val="1"/>
      <w:marLeft w:val="0"/>
      <w:marRight w:val="0"/>
      <w:marTop w:val="0"/>
      <w:marBottom w:val="0"/>
      <w:divBdr>
        <w:top w:val="none" w:sz="0" w:space="0" w:color="auto"/>
        <w:left w:val="none" w:sz="0" w:space="0" w:color="auto"/>
        <w:bottom w:val="none" w:sz="0" w:space="0" w:color="auto"/>
        <w:right w:val="none" w:sz="0" w:space="0" w:color="auto"/>
      </w:divBdr>
    </w:div>
    <w:div w:id="797258316">
      <w:bodyDiv w:val="1"/>
      <w:marLeft w:val="0"/>
      <w:marRight w:val="0"/>
      <w:marTop w:val="0"/>
      <w:marBottom w:val="0"/>
      <w:divBdr>
        <w:top w:val="none" w:sz="0" w:space="0" w:color="auto"/>
        <w:left w:val="none" w:sz="0" w:space="0" w:color="auto"/>
        <w:bottom w:val="none" w:sz="0" w:space="0" w:color="auto"/>
        <w:right w:val="none" w:sz="0" w:space="0" w:color="auto"/>
      </w:divBdr>
      <w:divsChild>
        <w:div w:id="1812139822">
          <w:marLeft w:val="0"/>
          <w:marRight w:val="0"/>
          <w:marTop w:val="0"/>
          <w:marBottom w:val="0"/>
          <w:divBdr>
            <w:top w:val="none" w:sz="0" w:space="0" w:color="auto"/>
            <w:left w:val="none" w:sz="0" w:space="0" w:color="auto"/>
            <w:bottom w:val="none" w:sz="0" w:space="0" w:color="auto"/>
            <w:right w:val="none" w:sz="0" w:space="0" w:color="auto"/>
          </w:divBdr>
        </w:div>
        <w:div w:id="1054357153">
          <w:marLeft w:val="0"/>
          <w:marRight w:val="0"/>
          <w:marTop w:val="0"/>
          <w:marBottom w:val="0"/>
          <w:divBdr>
            <w:top w:val="none" w:sz="0" w:space="0" w:color="auto"/>
            <w:left w:val="none" w:sz="0" w:space="0" w:color="auto"/>
            <w:bottom w:val="none" w:sz="0" w:space="0" w:color="auto"/>
            <w:right w:val="none" w:sz="0" w:space="0" w:color="auto"/>
          </w:divBdr>
          <w:divsChild>
            <w:div w:id="202981926">
              <w:marLeft w:val="0"/>
              <w:marRight w:val="0"/>
              <w:marTop w:val="0"/>
              <w:marBottom w:val="0"/>
              <w:divBdr>
                <w:top w:val="none" w:sz="0" w:space="0" w:color="auto"/>
                <w:left w:val="none" w:sz="0" w:space="0" w:color="auto"/>
                <w:bottom w:val="none" w:sz="0" w:space="0" w:color="auto"/>
                <w:right w:val="none" w:sz="0" w:space="0" w:color="auto"/>
              </w:divBdr>
              <w:divsChild>
                <w:div w:id="194283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15394">
          <w:marLeft w:val="0"/>
          <w:marRight w:val="0"/>
          <w:marTop w:val="0"/>
          <w:marBottom w:val="0"/>
          <w:divBdr>
            <w:top w:val="none" w:sz="0" w:space="0" w:color="auto"/>
            <w:left w:val="none" w:sz="0" w:space="0" w:color="auto"/>
            <w:bottom w:val="none" w:sz="0" w:space="0" w:color="auto"/>
            <w:right w:val="none" w:sz="0" w:space="0" w:color="auto"/>
          </w:divBdr>
          <w:divsChild>
            <w:div w:id="297077068">
              <w:marLeft w:val="0"/>
              <w:marRight w:val="0"/>
              <w:marTop w:val="0"/>
              <w:marBottom w:val="0"/>
              <w:divBdr>
                <w:top w:val="none" w:sz="0" w:space="0" w:color="auto"/>
                <w:left w:val="none" w:sz="0" w:space="0" w:color="auto"/>
                <w:bottom w:val="none" w:sz="0" w:space="0" w:color="auto"/>
                <w:right w:val="none" w:sz="0" w:space="0" w:color="auto"/>
              </w:divBdr>
              <w:divsChild>
                <w:div w:id="143774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0702">
      <w:bodyDiv w:val="1"/>
      <w:marLeft w:val="0"/>
      <w:marRight w:val="0"/>
      <w:marTop w:val="0"/>
      <w:marBottom w:val="0"/>
      <w:divBdr>
        <w:top w:val="none" w:sz="0" w:space="0" w:color="auto"/>
        <w:left w:val="none" w:sz="0" w:space="0" w:color="auto"/>
        <w:bottom w:val="none" w:sz="0" w:space="0" w:color="auto"/>
        <w:right w:val="none" w:sz="0" w:space="0" w:color="auto"/>
      </w:divBdr>
    </w:div>
    <w:div w:id="808085210">
      <w:bodyDiv w:val="1"/>
      <w:marLeft w:val="0"/>
      <w:marRight w:val="0"/>
      <w:marTop w:val="0"/>
      <w:marBottom w:val="0"/>
      <w:divBdr>
        <w:top w:val="none" w:sz="0" w:space="0" w:color="auto"/>
        <w:left w:val="none" w:sz="0" w:space="0" w:color="auto"/>
        <w:bottom w:val="none" w:sz="0" w:space="0" w:color="auto"/>
        <w:right w:val="none" w:sz="0" w:space="0" w:color="auto"/>
      </w:divBdr>
    </w:div>
    <w:div w:id="861282509">
      <w:bodyDiv w:val="1"/>
      <w:marLeft w:val="0"/>
      <w:marRight w:val="0"/>
      <w:marTop w:val="0"/>
      <w:marBottom w:val="0"/>
      <w:divBdr>
        <w:top w:val="none" w:sz="0" w:space="0" w:color="auto"/>
        <w:left w:val="none" w:sz="0" w:space="0" w:color="auto"/>
        <w:bottom w:val="none" w:sz="0" w:space="0" w:color="auto"/>
        <w:right w:val="none" w:sz="0" w:space="0" w:color="auto"/>
      </w:divBdr>
    </w:div>
    <w:div w:id="876308125">
      <w:bodyDiv w:val="1"/>
      <w:marLeft w:val="0"/>
      <w:marRight w:val="0"/>
      <w:marTop w:val="0"/>
      <w:marBottom w:val="0"/>
      <w:divBdr>
        <w:top w:val="none" w:sz="0" w:space="0" w:color="auto"/>
        <w:left w:val="none" w:sz="0" w:space="0" w:color="auto"/>
        <w:bottom w:val="none" w:sz="0" w:space="0" w:color="auto"/>
        <w:right w:val="none" w:sz="0" w:space="0" w:color="auto"/>
      </w:divBdr>
    </w:div>
    <w:div w:id="962423199">
      <w:bodyDiv w:val="1"/>
      <w:marLeft w:val="0"/>
      <w:marRight w:val="0"/>
      <w:marTop w:val="0"/>
      <w:marBottom w:val="0"/>
      <w:divBdr>
        <w:top w:val="none" w:sz="0" w:space="0" w:color="auto"/>
        <w:left w:val="none" w:sz="0" w:space="0" w:color="auto"/>
        <w:bottom w:val="none" w:sz="0" w:space="0" w:color="auto"/>
        <w:right w:val="none" w:sz="0" w:space="0" w:color="auto"/>
      </w:divBdr>
    </w:div>
    <w:div w:id="1024672154">
      <w:bodyDiv w:val="1"/>
      <w:marLeft w:val="0"/>
      <w:marRight w:val="0"/>
      <w:marTop w:val="0"/>
      <w:marBottom w:val="0"/>
      <w:divBdr>
        <w:top w:val="none" w:sz="0" w:space="0" w:color="auto"/>
        <w:left w:val="none" w:sz="0" w:space="0" w:color="auto"/>
        <w:bottom w:val="none" w:sz="0" w:space="0" w:color="auto"/>
        <w:right w:val="none" w:sz="0" w:space="0" w:color="auto"/>
      </w:divBdr>
    </w:div>
    <w:div w:id="1026256356">
      <w:bodyDiv w:val="1"/>
      <w:marLeft w:val="0"/>
      <w:marRight w:val="0"/>
      <w:marTop w:val="0"/>
      <w:marBottom w:val="0"/>
      <w:divBdr>
        <w:top w:val="none" w:sz="0" w:space="0" w:color="auto"/>
        <w:left w:val="none" w:sz="0" w:space="0" w:color="auto"/>
        <w:bottom w:val="none" w:sz="0" w:space="0" w:color="auto"/>
        <w:right w:val="none" w:sz="0" w:space="0" w:color="auto"/>
      </w:divBdr>
    </w:div>
    <w:div w:id="1124276380">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4661267">
      <w:bodyDiv w:val="1"/>
      <w:marLeft w:val="0"/>
      <w:marRight w:val="0"/>
      <w:marTop w:val="0"/>
      <w:marBottom w:val="0"/>
      <w:divBdr>
        <w:top w:val="none" w:sz="0" w:space="0" w:color="auto"/>
        <w:left w:val="none" w:sz="0" w:space="0" w:color="auto"/>
        <w:bottom w:val="none" w:sz="0" w:space="0" w:color="auto"/>
        <w:right w:val="none" w:sz="0" w:space="0" w:color="auto"/>
      </w:divBdr>
    </w:div>
    <w:div w:id="1317567834">
      <w:bodyDiv w:val="1"/>
      <w:marLeft w:val="0"/>
      <w:marRight w:val="0"/>
      <w:marTop w:val="0"/>
      <w:marBottom w:val="0"/>
      <w:divBdr>
        <w:top w:val="none" w:sz="0" w:space="0" w:color="auto"/>
        <w:left w:val="none" w:sz="0" w:space="0" w:color="auto"/>
        <w:bottom w:val="none" w:sz="0" w:space="0" w:color="auto"/>
        <w:right w:val="none" w:sz="0" w:space="0" w:color="auto"/>
      </w:divBdr>
    </w:div>
    <w:div w:id="1337269885">
      <w:bodyDiv w:val="1"/>
      <w:marLeft w:val="0"/>
      <w:marRight w:val="0"/>
      <w:marTop w:val="0"/>
      <w:marBottom w:val="0"/>
      <w:divBdr>
        <w:top w:val="none" w:sz="0" w:space="0" w:color="auto"/>
        <w:left w:val="none" w:sz="0" w:space="0" w:color="auto"/>
        <w:bottom w:val="none" w:sz="0" w:space="0" w:color="auto"/>
        <w:right w:val="none" w:sz="0" w:space="0" w:color="auto"/>
      </w:divBdr>
    </w:div>
    <w:div w:id="1339431817">
      <w:bodyDiv w:val="1"/>
      <w:marLeft w:val="0"/>
      <w:marRight w:val="0"/>
      <w:marTop w:val="0"/>
      <w:marBottom w:val="0"/>
      <w:divBdr>
        <w:top w:val="none" w:sz="0" w:space="0" w:color="auto"/>
        <w:left w:val="none" w:sz="0" w:space="0" w:color="auto"/>
        <w:bottom w:val="none" w:sz="0" w:space="0" w:color="auto"/>
        <w:right w:val="none" w:sz="0" w:space="0" w:color="auto"/>
      </w:divBdr>
    </w:div>
    <w:div w:id="1376198091">
      <w:bodyDiv w:val="1"/>
      <w:marLeft w:val="0"/>
      <w:marRight w:val="0"/>
      <w:marTop w:val="0"/>
      <w:marBottom w:val="0"/>
      <w:divBdr>
        <w:top w:val="none" w:sz="0" w:space="0" w:color="auto"/>
        <w:left w:val="none" w:sz="0" w:space="0" w:color="auto"/>
        <w:bottom w:val="none" w:sz="0" w:space="0" w:color="auto"/>
        <w:right w:val="none" w:sz="0" w:space="0" w:color="auto"/>
      </w:divBdr>
      <w:divsChild>
        <w:div w:id="1340963874">
          <w:marLeft w:val="0"/>
          <w:marRight w:val="0"/>
          <w:marTop w:val="0"/>
          <w:marBottom w:val="0"/>
          <w:divBdr>
            <w:top w:val="none" w:sz="0" w:space="0" w:color="auto"/>
            <w:left w:val="none" w:sz="0" w:space="0" w:color="auto"/>
            <w:bottom w:val="none" w:sz="0" w:space="0" w:color="auto"/>
            <w:right w:val="none" w:sz="0" w:space="0" w:color="auto"/>
          </w:divBdr>
          <w:divsChild>
            <w:div w:id="6146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8372">
      <w:bodyDiv w:val="1"/>
      <w:marLeft w:val="0"/>
      <w:marRight w:val="0"/>
      <w:marTop w:val="0"/>
      <w:marBottom w:val="0"/>
      <w:divBdr>
        <w:top w:val="none" w:sz="0" w:space="0" w:color="auto"/>
        <w:left w:val="none" w:sz="0" w:space="0" w:color="auto"/>
        <w:bottom w:val="none" w:sz="0" w:space="0" w:color="auto"/>
        <w:right w:val="none" w:sz="0" w:space="0" w:color="auto"/>
      </w:divBdr>
    </w:div>
    <w:div w:id="1429546527">
      <w:bodyDiv w:val="1"/>
      <w:marLeft w:val="0"/>
      <w:marRight w:val="0"/>
      <w:marTop w:val="0"/>
      <w:marBottom w:val="0"/>
      <w:divBdr>
        <w:top w:val="none" w:sz="0" w:space="0" w:color="auto"/>
        <w:left w:val="none" w:sz="0" w:space="0" w:color="auto"/>
        <w:bottom w:val="none" w:sz="0" w:space="0" w:color="auto"/>
        <w:right w:val="none" w:sz="0" w:space="0" w:color="auto"/>
      </w:divBdr>
      <w:divsChild>
        <w:div w:id="321276001">
          <w:marLeft w:val="0"/>
          <w:marRight w:val="0"/>
          <w:marTop w:val="0"/>
          <w:marBottom w:val="0"/>
          <w:divBdr>
            <w:top w:val="none" w:sz="0" w:space="0" w:color="auto"/>
            <w:left w:val="none" w:sz="0" w:space="0" w:color="auto"/>
            <w:bottom w:val="none" w:sz="0" w:space="0" w:color="auto"/>
            <w:right w:val="none" w:sz="0" w:space="0" w:color="auto"/>
          </w:divBdr>
        </w:div>
        <w:div w:id="1832672882">
          <w:marLeft w:val="0"/>
          <w:marRight w:val="0"/>
          <w:marTop w:val="0"/>
          <w:marBottom w:val="0"/>
          <w:divBdr>
            <w:top w:val="none" w:sz="0" w:space="0" w:color="auto"/>
            <w:left w:val="none" w:sz="0" w:space="0" w:color="auto"/>
            <w:bottom w:val="none" w:sz="0" w:space="0" w:color="auto"/>
            <w:right w:val="none" w:sz="0" w:space="0" w:color="auto"/>
          </w:divBdr>
          <w:divsChild>
            <w:div w:id="627785201">
              <w:marLeft w:val="0"/>
              <w:marRight w:val="0"/>
              <w:marTop w:val="0"/>
              <w:marBottom w:val="0"/>
              <w:divBdr>
                <w:top w:val="none" w:sz="0" w:space="0" w:color="auto"/>
                <w:left w:val="none" w:sz="0" w:space="0" w:color="auto"/>
                <w:bottom w:val="none" w:sz="0" w:space="0" w:color="auto"/>
                <w:right w:val="none" w:sz="0" w:space="0" w:color="auto"/>
              </w:divBdr>
              <w:divsChild>
                <w:div w:id="1032803424">
                  <w:marLeft w:val="0"/>
                  <w:marRight w:val="0"/>
                  <w:marTop w:val="0"/>
                  <w:marBottom w:val="0"/>
                  <w:divBdr>
                    <w:top w:val="none" w:sz="0" w:space="0" w:color="auto"/>
                    <w:left w:val="none" w:sz="0" w:space="0" w:color="auto"/>
                    <w:bottom w:val="none" w:sz="0" w:space="0" w:color="auto"/>
                    <w:right w:val="none" w:sz="0" w:space="0" w:color="auto"/>
                  </w:divBdr>
                </w:div>
                <w:div w:id="720522530">
                  <w:marLeft w:val="0"/>
                  <w:marRight w:val="0"/>
                  <w:marTop w:val="0"/>
                  <w:marBottom w:val="0"/>
                  <w:divBdr>
                    <w:top w:val="none" w:sz="0" w:space="0" w:color="auto"/>
                    <w:left w:val="none" w:sz="0" w:space="0" w:color="auto"/>
                    <w:bottom w:val="none" w:sz="0" w:space="0" w:color="auto"/>
                    <w:right w:val="none" w:sz="0" w:space="0" w:color="auto"/>
                  </w:divBdr>
                  <w:divsChild>
                    <w:div w:id="302319264">
                      <w:marLeft w:val="0"/>
                      <w:marRight w:val="0"/>
                      <w:marTop w:val="0"/>
                      <w:marBottom w:val="0"/>
                      <w:divBdr>
                        <w:top w:val="none" w:sz="0" w:space="0" w:color="auto"/>
                        <w:left w:val="none" w:sz="0" w:space="0" w:color="auto"/>
                        <w:bottom w:val="none" w:sz="0" w:space="0" w:color="auto"/>
                        <w:right w:val="none" w:sz="0" w:space="0" w:color="auto"/>
                      </w:divBdr>
                    </w:div>
                  </w:divsChild>
                </w:div>
                <w:div w:id="812911864">
                  <w:marLeft w:val="0"/>
                  <w:marRight w:val="0"/>
                  <w:marTop w:val="0"/>
                  <w:marBottom w:val="0"/>
                  <w:divBdr>
                    <w:top w:val="none" w:sz="0" w:space="0" w:color="auto"/>
                    <w:left w:val="none" w:sz="0" w:space="0" w:color="auto"/>
                    <w:bottom w:val="none" w:sz="0" w:space="0" w:color="auto"/>
                    <w:right w:val="none" w:sz="0" w:space="0" w:color="auto"/>
                  </w:divBdr>
                  <w:divsChild>
                    <w:div w:id="809055954">
                      <w:marLeft w:val="0"/>
                      <w:marRight w:val="0"/>
                      <w:marTop w:val="0"/>
                      <w:marBottom w:val="0"/>
                      <w:divBdr>
                        <w:top w:val="none" w:sz="0" w:space="0" w:color="auto"/>
                        <w:left w:val="none" w:sz="0" w:space="0" w:color="auto"/>
                        <w:bottom w:val="none" w:sz="0" w:space="0" w:color="auto"/>
                        <w:right w:val="none" w:sz="0" w:space="0" w:color="auto"/>
                      </w:divBdr>
                    </w:div>
                  </w:divsChild>
                </w:div>
                <w:div w:id="1298143361">
                  <w:marLeft w:val="0"/>
                  <w:marRight w:val="0"/>
                  <w:marTop w:val="0"/>
                  <w:marBottom w:val="0"/>
                  <w:divBdr>
                    <w:top w:val="none" w:sz="0" w:space="0" w:color="auto"/>
                    <w:left w:val="none" w:sz="0" w:space="0" w:color="auto"/>
                    <w:bottom w:val="none" w:sz="0" w:space="0" w:color="auto"/>
                    <w:right w:val="none" w:sz="0" w:space="0" w:color="auto"/>
                  </w:divBdr>
                  <w:divsChild>
                    <w:div w:id="30451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444195">
      <w:bodyDiv w:val="1"/>
      <w:marLeft w:val="0"/>
      <w:marRight w:val="0"/>
      <w:marTop w:val="0"/>
      <w:marBottom w:val="0"/>
      <w:divBdr>
        <w:top w:val="none" w:sz="0" w:space="0" w:color="auto"/>
        <w:left w:val="none" w:sz="0" w:space="0" w:color="auto"/>
        <w:bottom w:val="none" w:sz="0" w:space="0" w:color="auto"/>
        <w:right w:val="none" w:sz="0" w:space="0" w:color="auto"/>
      </w:divBdr>
    </w:div>
    <w:div w:id="1498108679">
      <w:bodyDiv w:val="1"/>
      <w:marLeft w:val="0"/>
      <w:marRight w:val="0"/>
      <w:marTop w:val="0"/>
      <w:marBottom w:val="0"/>
      <w:divBdr>
        <w:top w:val="none" w:sz="0" w:space="0" w:color="auto"/>
        <w:left w:val="none" w:sz="0" w:space="0" w:color="auto"/>
        <w:bottom w:val="none" w:sz="0" w:space="0" w:color="auto"/>
        <w:right w:val="none" w:sz="0" w:space="0" w:color="auto"/>
      </w:divBdr>
    </w:div>
    <w:div w:id="1519931512">
      <w:bodyDiv w:val="1"/>
      <w:marLeft w:val="0"/>
      <w:marRight w:val="0"/>
      <w:marTop w:val="0"/>
      <w:marBottom w:val="0"/>
      <w:divBdr>
        <w:top w:val="none" w:sz="0" w:space="0" w:color="auto"/>
        <w:left w:val="none" w:sz="0" w:space="0" w:color="auto"/>
        <w:bottom w:val="none" w:sz="0" w:space="0" w:color="auto"/>
        <w:right w:val="none" w:sz="0" w:space="0" w:color="auto"/>
      </w:divBdr>
    </w:div>
    <w:div w:id="1552955427">
      <w:bodyDiv w:val="1"/>
      <w:marLeft w:val="0"/>
      <w:marRight w:val="0"/>
      <w:marTop w:val="0"/>
      <w:marBottom w:val="0"/>
      <w:divBdr>
        <w:top w:val="none" w:sz="0" w:space="0" w:color="auto"/>
        <w:left w:val="none" w:sz="0" w:space="0" w:color="auto"/>
        <w:bottom w:val="none" w:sz="0" w:space="0" w:color="auto"/>
        <w:right w:val="none" w:sz="0" w:space="0" w:color="auto"/>
      </w:divBdr>
      <w:divsChild>
        <w:div w:id="766267454">
          <w:marLeft w:val="0"/>
          <w:marRight w:val="0"/>
          <w:marTop w:val="0"/>
          <w:marBottom w:val="0"/>
          <w:divBdr>
            <w:top w:val="none" w:sz="0" w:space="0" w:color="auto"/>
            <w:left w:val="none" w:sz="0" w:space="0" w:color="auto"/>
            <w:bottom w:val="none" w:sz="0" w:space="0" w:color="auto"/>
            <w:right w:val="none" w:sz="0" w:space="0" w:color="auto"/>
          </w:divBdr>
        </w:div>
        <w:div w:id="1711802744">
          <w:marLeft w:val="0"/>
          <w:marRight w:val="0"/>
          <w:marTop w:val="0"/>
          <w:marBottom w:val="0"/>
          <w:divBdr>
            <w:top w:val="none" w:sz="0" w:space="0" w:color="auto"/>
            <w:left w:val="none" w:sz="0" w:space="0" w:color="auto"/>
            <w:bottom w:val="none" w:sz="0" w:space="0" w:color="auto"/>
            <w:right w:val="none" w:sz="0" w:space="0" w:color="auto"/>
          </w:divBdr>
          <w:divsChild>
            <w:div w:id="1584608386">
              <w:marLeft w:val="0"/>
              <w:marRight w:val="0"/>
              <w:marTop w:val="0"/>
              <w:marBottom w:val="0"/>
              <w:divBdr>
                <w:top w:val="none" w:sz="0" w:space="0" w:color="auto"/>
                <w:left w:val="none" w:sz="0" w:space="0" w:color="auto"/>
                <w:bottom w:val="none" w:sz="0" w:space="0" w:color="auto"/>
                <w:right w:val="none" w:sz="0" w:space="0" w:color="auto"/>
              </w:divBdr>
              <w:divsChild>
                <w:div w:id="1885367271">
                  <w:marLeft w:val="0"/>
                  <w:marRight w:val="0"/>
                  <w:marTop w:val="0"/>
                  <w:marBottom w:val="0"/>
                  <w:divBdr>
                    <w:top w:val="none" w:sz="0" w:space="0" w:color="auto"/>
                    <w:left w:val="none" w:sz="0" w:space="0" w:color="auto"/>
                    <w:bottom w:val="none" w:sz="0" w:space="0" w:color="auto"/>
                    <w:right w:val="none" w:sz="0" w:space="0" w:color="auto"/>
                  </w:divBdr>
                </w:div>
                <w:div w:id="142894311">
                  <w:marLeft w:val="0"/>
                  <w:marRight w:val="0"/>
                  <w:marTop w:val="0"/>
                  <w:marBottom w:val="0"/>
                  <w:divBdr>
                    <w:top w:val="none" w:sz="0" w:space="0" w:color="auto"/>
                    <w:left w:val="none" w:sz="0" w:space="0" w:color="auto"/>
                    <w:bottom w:val="none" w:sz="0" w:space="0" w:color="auto"/>
                    <w:right w:val="none" w:sz="0" w:space="0" w:color="auto"/>
                  </w:divBdr>
                  <w:divsChild>
                    <w:div w:id="642932963">
                      <w:marLeft w:val="0"/>
                      <w:marRight w:val="0"/>
                      <w:marTop w:val="0"/>
                      <w:marBottom w:val="0"/>
                      <w:divBdr>
                        <w:top w:val="none" w:sz="0" w:space="0" w:color="auto"/>
                        <w:left w:val="none" w:sz="0" w:space="0" w:color="auto"/>
                        <w:bottom w:val="none" w:sz="0" w:space="0" w:color="auto"/>
                        <w:right w:val="none" w:sz="0" w:space="0" w:color="auto"/>
                      </w:divBdr>
                    </w:div>
                  </w:divsChild>
                </w:div>
                <w:div w:id="1453481447">
                  <w:marLeft w:val="0"/>
                  <w:marRight w:val="0"/>
                  <w:marTop w:val="0"/>
                  <w:marBottom w:val="0"/>
                  <w:divBdr>
                    <w:top w:val="none" w:sz="0" w:space="0" w:color="auto"/>
                    <w:left w:val="none" w:sz="0" w:space="0" w:color="auto"/>
                    <w:bottom w:val="none" w:sz="0" w:space="0" w:color="auto"/>
                    <w:right w:val="none" w:sz="0" w:space="0" w:color="auto"/>
                  </w:divBdr>
                  <w:divsChild>
                    <w:div w:id="140005047">
                      <w:marLeft w:val="0"/>
                      <w:marRight w:val="0"/>
                      <w:marTop w:val="0"/>
                      <w:marBottom w:val="0"/>
                      <w:divBdr>
                        <w:top w:val="none" w:sz="0" w:space="0" w:color="auto"/>
                        <w:left w:val="none" w:sz="0" w:space="0" w:color="auto"/>
                        <w:bottom w:val="none" w:sz="0" w:space="0" w:color="auto"/>
                        <w:right w:val="none" w:sz="0" w:space="0" w:color="auto"/>
                      </w:divBdr>
                    </w:div>
                  </w:divsChild>
                </w:div>
                <w:div w:id="763917763">
                  <w:marLeft w:val="0"/>
                  <w:marRight w:val="0"/>
                  <w:marTop w:val="0"/>
                  <w:marBottom w:val="0"/>
                  <w:divBdr>
                    <w:top w:val="none" w:sz="0" w:space="0" w:color="auto"/>
                    <w:left w:val="none" w:sz="0" w:space="0" w:color="auto"/>
                    <w:bottom w:val="none" w:sz="0" w:space="0" w:color="auto"/>
                    <w:right w:val="none" w:sz="0" w:space="0" w:color="auto"/>
                  </w:divBdr>
                  <w:divsChild>
                    <w:div w:id="39092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094426">
      <w:bodyDiv w:val="1"/>
      <w:marLeft w:val="0"/>
      <w:marRight w:val="0"/>
      <w:marTop w:val="0"/>
      <w:marBottom w:val="0"/>
      <w:divBdr>
        <w:top w:val="none" w:sz="0" w:space="0" w:color="auto"/>
        <w:left w:val="none" w:sz="0" w:space="0" w:color="auto"/>
        <w:bottom w:val="none" w:sz="0" w:space="0" w:color="auto"/>
        <w:right w:val="none" w:sz="0" w:space="0" w:color="auto"/>
      </w:divBdr>
    </w:div>
    <w:div w:id="1692992026">
      <w:bodyDiv w:val="1"/>
      <w:marLeft w:val="0"/>
      <w:marRight w:val="0"/>
      <w:marTop w:val="0"/>
      <w:marBottom w:val="0"/>
      <w:divBdr>
        <w:top w:val="none" w:sz="0" w:space="0" w:color="auto"/>
        <w:left w:val="none" w:sz="0" w:space="0" w:color="auto"/>
        <w:bottom w:val="none" w:sz="0" w:space="0" w:color="auto"/>
        <w:right w:val="none" w:sz="0" w:space="0" w:color="auto"/>
      </w:divBdr>
    </w:div>
    <w:div w:id="1718822144">
      <w:bodyDiv w:val="1"/>
      <w:marLeft w:val="0"/>
      <w:marRight w:val="0"/>
      <w:marTop w:val="0"/>
      <w:marBottom w:val="0"/>
      <w:divBdr>
        <w:top w:val="none" w:sz="0" w:space="0" w:color="auto"/>
        <w:left w:val="none" w:sz="0" w:space="0" w:color="auto"/>
        <w:bottom w:val="none" w:sz="0" w:space="0" w:color="auto"/>
        <w:right w:val="none" w:sz="0" w:space="0" w:color="auto"/>
      </w:divBdr>
      <w:divsChild>
        <w:div w:id="1502311991">
          <w:marLeft w:val="0"/>
          <w:marRight w:val="0"/>
          <w:marTop w:val="0"/>
          <w:marBottom w:val="0"/>
          <w:divBdr>
            <w:top w:val="none" w:sz="0" w:space="0" w:color="auto"/>
            <w:left w:val="none" w:sz="0" w:space="0" w:color="auto"/>
            <w:bottom w:val="none" w:sz="0" w:space="0" w:color="auto"/>
            <w:right w:val="none" w:sz="0" w:space="0" w:color="auto"/>
          </w:divBdr>
          <w:divsChild>
            <w:div w:id="79639244">
              <w:marLeft w:val="0"/>
              <w:marRight w:val="0"/>
              <w:marTop w:val="0"/>
              <w:marBottom w:val="0"/>
              <w:divBdr>
                <w:top w:val="none" w:sz="0" w:space="0" w:color="auto"/>
                <w:left w:val="none" w:sz="0" w:space="0" w:color="auto"/>
                <w:bottom w:val="none" w:sz="0" w:space="0" w:color="auto"/>
                <w:right w:val="none" w:sz="0" w:space="0" w:color="auto"/>
              </w:divBdr>
            </w:div>
          </w:divsChild>
        </w:div>
        <w:div w:id="1741244794">
          <w:marLeft w:val="0"/>
          <w:marRight w:val="0"/>
          <w:marTop w:val="0"/>
          <w:marBottom w:val="0"/>
          <w:divBdr>
            <w:top w:val="none" w:sz="0" w:space="0" w:color="auto"/>
            <w:left w:val="none" w:sz="0" w:space="0" w:color="auto"/>
            <w:bottom w:val="none" w:sz="0" w:space="0" w:color="auto"/>
            <w:right w:val="none" w:sz="0" w:space="0" w:color="auto"/>
          </w:divBdr>
          <w:divsChild>
            <w:div w:id="10172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34994">
      <w:bodyDiv w:val="1"/>
      <w:marLeft w:val="0"/>
      <w:marRight w:val="0"/>
      <w:marTop w:val="0"/>
      <w:marBottom w:val="0"/>
      <w:divBdr>
        <w:top w:val="none" w:sz="0" w:space="0" w:color="auto"/>
        <w:left w:val="none" w:sz="0" w:space="0" w:color="auto"/>
        <w:bottom w:val="none" w:sz="0" w:space="0" w:color="auto"/>
        <w:right w:val="none" w:sz="0" w:space="0" w:color="auto"/>
      </w:divBdr>
    </w:div>
    <w:div w:id="1783842453">
      <w:bodyDiv w:val="1"/>
      <w:marLeft w:val="0"/>
      <w:marRight w:val="0"/>
      <w:marTop w:val="0"/>
      <w:marBottom w:val="0"/>
      <w:divBdr>
        <w:top w:val="none" w:sz="0" w:space="0" w:color="auto"/>
        <w:left w:val="none" w:sz="0" w:space="0" w:color="auto"/>
        <w:bottom w:val="none" w:sz="0" w:space="0" w:color="auto"/>
        <w:right w:val="none" w:sz="0" w:space="0" w:color="auto"/>
      </w:divBdr>
    </w:div>
    <w:div w:id="1796295668">
      <w:bodyDiv w:val="1"/>
      <w:marLeft w:val="0"/>
      <w:marRight w:val="0"/>
      <w:marTop w:val="0"/>
      <w:marBottom w:val="0"/>
      <w:divBdr>
        <w:top w:val="none" w:sz="0" w:space="0" w:color="auto"/>
        <w:left w:val="none" w:sz="0" w:space="0" w:color="auto"/>
        <w:bottom w:val="none" w:sz="0" w:space="0" w:color="auto"/>
        <w:right w:val="none" w:sz="0" w:space="0" w:color="auto"/>
      </w:divBdr>
    </w:div>
    <w:div w:id="1975136053">
      <w:bodyDiv w:val="1"/>
      <w:marLeft w:val="0"/>
      <w:marRight w:val="0"/>
      <w:marTop w:val="0"/>
      <w:marBottom w:val="0"/>
      <w:divBdr>
        <w:top w:val="none" w:sz="0" w:space="0" w:color="auto"/>
        <w:left w:val="none" w:sz="0" w:space="0" w:color="auto"/>
        <w:bottom w:val="none" w:sz="0" w:space="0" w:color="auto"/>
        <w:right w:val="none" w:sz="0" w:space="0" w:color="auto"/>
      </w:divBdr>
    </w:div>
    <w:div w:id="1980986846">
      <w:bodyDiv w:val="1"/>
      <w:marLeft w:val="0"/>
      <w:marRight w:val="0"/>
      <w:marTop w:val="0"/>
      <w:marBottom w:val="0"/>
      <w:divBdr>
        <w:top w:val="none" w:sz="0" w:space="0" w:color="auto"/>
        <w:left w:val="none" w:sz="0" w:space="0" w:color="auto"/>
        <w:bottom w:val="none" w:sz="0" w:space="0" w:color="auto"/>
        <w:right w:val="none" w:sz="0" w:space="0" w:color="auto"/>
      </w:divBdr>
    </w:div>
    <w:div w:id="1981223710">
      <w:bodyDiv w:val="1"/>
      <w:marLeft w:val="0"/>
      <w:marRight w:val="0"/>
      <w:marTop w:val="0"/>
      <w:marBottom w:val="0"/>
      <w:divBdr>
        <w:top w:val="none" w:sz="0" w:space="0" w:color="auto"/>
        <w:left w:val="none" w:sz="0" w:space="0" w:color="auto"/>
        <w:bottom w:val="none" w:sz="0" w:space="0" w:color="auto"/>
        <w:right w:val="none" w:sz="0" w:space="0" w:color="auto"/>
      </w:divBdr>
    </w:div>
    <w:div w:id="2058502781">
      <w:bodyDiv w:val="1"/>
      <w:marLeft w:val="0"/>
      <w:marRight w:val="0"/>
      <w:marTop w:val="0"/>
      <w:marBottom w:val="0"/>
      <w:divBdr>
        <w:top w:val="none" w:sz="0" w:space="0" w:color="auto"/>
        <w:left w:val="none" w:sz="0" w:space="0" w:color="auto"/>
        <w:bottom w:val="none" w:sz="0" w:space="0" w:color="auto"/>
        <w:right w:val="none" w:sz="0" w:space="0" w:color="auto"/>
      </w:divBdr>
    </w:div>
    <w:div w:id="2068458247">
      <w:bodyDiv w:val="1"/>
      <w:marLeft w:val="0"/>
      <w:marRight w:val="0"/>
      <w:marTop w:val="0"/>
      <w:marBottom w:val="0"/>
      <w:divBdr>
        <w:top w:val="none" w:sz="0" w:space="0" w:color="auto"/>
        <w:left w:val="none" w:sz="0" w:space="0" w:color="auto"/>
        <w:bottom w:val="none" w:sz="0" w:space="0" w:color="auto"/>
        <w:right w:val="none" w:sz="0" w:space="0" w:color="auto"/>
      </w:divBdr>
    </w:div>
    <w:div w:id="2096856227">
      <w:bodyDiv w:val="1"/>
      <w:marLeft w:val="0"/>
      <w:marRight w:val="0"/>
      <w:marTop w:val="0"/>
      <w:marBottom w:val="0"/>
      <w:divBdr>
        <w:top w:val="none" w:sz="0" w:space="0" w:color="auto"/>
        <w:left w:val="none" w:sz="0" w:space="0" w:color="auto"/>
        <w:bottom w:val="none" w:sz="0" w:space="0" w:color="auto"/>
        <w:right w:val="none" w:sz="0" w:space="0" w:color="auto"/>
      </w:divBdr>
    </w:div>
    <w:div w:id="2112163061">
      <w:bodyDiv w:val="1"/>
      <w:marLeft w:val="0"/>
      <w:marRight w:val="0"/>
      <w:marTop w:val="0"/>
      <w:marBottom w:val="0"/>
      <w:divBdr>
        <w:top w:val="none" w:sz="0" w:space="0" w:color="auto"/>
        <w:left w:val="none" w:sz="0" w:space="0" w:color="auto"/>
        <w:bottom w:val="none" w:sz="0" w:space="0" w:color="auto"/>
        <w:right w:val="none" w:sz="0" w:space="0" w:color="auto"/>
      </w:divBdr>
    </w:div>
    <w:div w:id="211736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mojvgezdmltqmfyc4nrrgqztgmrvg4&amp;refSource=hyp" TargetMode="External"/><Relationship Id="rId13" Type="http://schemas.openxmlformats.org/officeDocument/2006/relationships/hyperlink" Target="https://sip.legalis.pl/document-view.seam?documentId=mfrxilrtg4ytkobrga4toltqmfyc4njwhe4tonzzgm&amp;refSource=hyp"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ip.legalis.pl/document-view.seam?documentId=mfrxilrtg4ytmnzvg43tsltqmfyc4nrqg42dqmrxgm&amp;refSource=hy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ip.legalis.pl/document-view.seam?documentId=mfrxilrtg4ytgnbzhe2dmltqmfyc4nbygi2dcojvha&amp;refSource=hy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kojvg42dmltqmfyc4njxgu4dcnjuga&amp;refSource=hyp"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kobrga4toltqmfyc4njwhe4tonzzgm&amp;refSource=hyp" TargetMode="External"/><Relationship Id="rId10" Type="http://schemas.openxmlformats.org/officeDocument/2006/relationships/hyperlink" Target="https://sip.legalis.pl/document-view.seam?documentId=mfrxilrtg4ytkojvg42dmltqmfyc4njxgu4dcmbwha&amp;refSource=hyp"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ip.legalis.pl/document-view.seam?documentId=mfrxilrtg4ytmnzvg43tsltqmfyc4nrqg42dqmrxgm&amp;refSource=hyp" TargetMode="External"/><Relationship Id="rId14" Type="http://schemas.openxmlformats.org/officeDocument/2006/relationships/hyperlink" Target="https://sip.legalis.pl/document-view.seam?documentId=mfrxilrtg4ytkobrga4toltqmfyc4njwhe4tonjxge&amp;refSource=hyp"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5103</Words>
  <Characters>30621</Characters>
  <Application>Microsoft Office Word</Application>
  <DocSecurity>0</DocSecurity>
  <Lines>255</Lines>
  <Paragraphs>71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35653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Wikalińska Barbara</cp:lastModifiedBy>
  <cp:revision>3</cp:revision>
  <cp:lastPrinted>2026-02-20T13:30:00Z</cp:lastPrinted>
  <dcterms:created xsi:type="dcterms:W3CDTF">2026-03-11T15:46:00Z</dcterms:created>
  <dcterms:modified xsi:type="dcterms:W3CDTF">2026-03-11T15:54:00Z</dcterms:modified>
</cp:coreProperties>
</file>