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Eminenza, Reverendo Signor Cardinale Arciprete della Pontificia Basilica di Santa Maria Maggiore,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Eccellenza, Reverendo Arcivescovo di Vilnius, Presidente del Consiglio delle Conferenze Episcopali dell’Europa, 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Eccellenza, Reverendo Arcivescovo di Cracovia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Reverendi concelebranti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Reverende Suore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Egregi Signori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Cari polacchi e lituani e amici di entrambi gli stati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Quest’anno la Polonia e la Lituania festeggiano il </w:t>
      </w:r>
      <w:r w:rsidR="005545D7">
        <w:rPr>
          <w:sz w:val="24"/>
          <w:szCs w:val="24"/>
          <w:lang w:val="it-IT"/>
        </w:rPr>
        <w:t xml:space="preserve">230 ° anniversario </w:t>
      </w:r>
      <w:r w:rsidRPr="000A49B9">
        <w:rPr>
          <w:sz w:val="24"/>
          <w:szCs w:val="24"/>
          <w:lang w:val="it-IT"/>
        </w:rPr>
        <w:t xml:space="preserve">della proclamazione da parte della Dieta del Regno di Polonia e del Granducato della Lituania della Costituzione del Tre Maggio e dei principi di esecuzione di essa, approvati il </w:t>
      </w:r>
      <w:r w:rsidR="005545D7">
        <w:rPr>
          <w:sz w:val="24"/>
          <w:szCs w:val="24"/>
          <w:lang w:val="it-IT"/>
        </w:rPr>
        <w:t xml:space="preserve">20 </w:t>
      </w:r>
      <w:r w:rsidRPr="000A49B9">
        <w:rPr>
          <w:sz w:val="24"/>
          <w:szCs w:val="24"/>
          <w:lang w:val="it-IT"/>
        </w:rPr>
        <w:t xml:space="preserve">ottobre dello stesso anno, ovvero </w:t>
      </w:r>
      <w:r>
        <w:rPr>
          <w:sz w:val="24"/>
          <w:szCs w:val="24"/>
          <w:lang w:val="it-IT"/>
        </w:rPr>
        <w:t>1791</w:t>
      </w:r>
      <w:r w:rsidRPr="000A49B9">
        <w:rPr>
          <w:sz w:val="24"/>
          <w:szCs w:val="24"/>
          <w:lang w:val="it-IT"/>
        </w:rPr>
        <w:t xml:space="preserve">, chiamati appunto la Garanzia Reciproca di Due Nazioni. 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Ricordiamo un evento di </w:t>
      </w:r>
      <w:r w:rsidR="002E4A32">
        <w:rPr>
          <w:sz w:val="24"/>
          <w:szCs w:val="24"/>
          <w:lang w:val="it-IT"/>
        </w:rPr>
        <w:t xml:space="preserve">230 anni </w:t>
      </w:r>
      <w:bookmarkStart w:id="0" w:name="_GoBack"/>
      <w:bookmarkEnd w:id="0"/>
      <w:r w:rsidRPr="000A49B9">
        <w:rPr>
          <w:sz w:val="24"/>
          <w:szCs w:val="24"/>
          <w:lang w:val="it-IT"/>
        </w:rPr>
        <w:t xml:space="preserve">fa, ma i legami tra i due paesi risalgono all’anno </w:t>
      </w:r>
      <w:r>
        <w:rPr>
          <w:sz w:val="24"/>
          <w:szCs w:val="24"/>
          <w:lang w:val="it-IT"/>
        </w:rPr>
        <w:t>1385</w:t>
      </w:r>
      <w:r w:rsidRPr="000A49B9">
        <w:rPr>
          <w:sz w:val="24"/>
          <w:szCs w:val="24"/>
          <w:lang w:val="it-IT"/>
        </w:rPr>
        <w:t xml:space="preserve">, all’Unione di </w:t>
      </w:r>
      <w:proofErr w:type="spellStart"/>
      <w:r w:rsidRPr="000A49B9">
        <w:rPr>
          <w:sz w:val="24"/>
          <w:szCs w:val="24"/>
          <w:lang w:val="it-IT"/>
        </w:rPr>
        <w:t>Krewo</w:t>
      </w:r>
      <w:proofErr w:type="spellEnd"/>
      <w:r w:rsidRPr="000A49B9">
        <w:rPr>
          <w:sz w:val="24"/>
          <w:szCs w:val="24"/>
          <w:lang w:val="it-IT"/>
        </w:rPr>
        <w:t xml:space="preserve"> che ha sigillato un’unione personale tra i due popoli. L’anno seguente la Lituania ricevette il battesimo.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Ma il ruolo fondamentale per la nostra comune storia ebbe l’unione stipulata nel </w:t>
      </w:r>
      <w:r>
        <w:rPr>
          <w:sz w:val="24"/>
          <w:szCs w:val="24"/>
          <w:lang w:val="it-IT"/>
        </w:rPr>
        <w:t xml:space="preserve">1569 </w:t>
      </w:r>
      <w:r w:rsidRPr="000A49B9">
        <w:rPr>
          <w:sz w:val="24"/>
          <w:szCs w:val="24"/>
          <w:lang w:val="it-IT"/>
        </w:rPr>
        <w:t xml:space="preserve">a Lublino, con cui fu creata la federazione, la cosiddetta Repubblica dei due Popoli (in latino si chiamava Res </w:t>
      </w:r>
      <w:proofErr w:type="spellStart"/>
      <w:r w:rsidRPr="000A49B9">
        <w:rPr>
          <w:sz w:val="24"/>
          <w:szCs w:val="24"/>
          <w:lang w:val="it-IT"/>
        </w:rPr>
        <w:t>Publica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Utriusque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Nationis</w:t>
      </w:r>
      <w:proofErr w:type="spellEnd"/>
      <w:r w:rsidRPr="000A49B9">
        <w:rPr>
          <w:sz w:val="24"/>
          <w:szCs w:val="24"/>
          <w:lang w:val="it-IT"/>
        </w:rPr>
        <w:t xml:space="preserve">, mentre in lituano </w:t>
      </w:r>
      <w:proofErr w:type="spellStart"/>
      <w:r w:rsidRPr="000A49B9">
        <w:rPr>
          <w:sz w:val="24"/>
          <w:szCs w:val="24"/>
          <w:lang w:val="it-IT"/>
        </w:rPr>
        <w:t>Abiejų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Tautų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Respublika</w:t>
      </w:r>
      <w:proofErr w:type="spellEnd"/>
      <w:r w:rsidRPr="000A49B9">
        <w:rPr>
          <w:sz w:val="24"/>
          <w:szCs w:val="24"/>
          <w:lang w:val="it-IT"/>
        </w:rPr>
        <w:t>) con un comune monarca, dieta, moneta, politica estera e di difesa. Il nome ufficiale fu: Regno di Polonia e del Granducato di Lituania.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***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A nome dell’Ambasciatore </w:t>
      </w:r>
      <w:proofErr w:type="spellStart"/>
      <w:r w:rsidRPr="000A49B9">
        <w:rPr>
          <w:sz w:val="24"/>
          <w:szCs w:val="24"/>
          <w:lang w:val="it-IT"/>
        </w:rPr>
        <w:t>Zapolskas</w:t>
      </w:r>
      <w:proofErr w:type="spellEnd"/>
      <w:r w:rsidRPr="000A49B9">
        <w:rPr>
          <w:sz w:val="24"/>
          <w:szCs w:val="24"/>
          <w:lang w:val="it-IT"/>
        </w:rPr>
        <w:t xml:space="preserve"> e mio, vorrei ringraziare calorosamente Sua Eminenza il Cardinale </w:t>
      </w:r>
      <w:proofErr w:type="spellStart"/>
      <w:r w:rsidRPr="000A49B9">
        <w:rPr>
          <w:sz w:val="24"/>
          <w:szCs w:val="24"/>
          <w:lang w:val="it-IT"/>
        </w:rPr>
        <w:t>Stanisław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Ryłko</w:t>
      </w:r>
      <w:proofErr w:type="spellEnd"/>
      <w:r w:rsidRPr="000A49B9">
        <w:rPr>
          <w:sz w:val="24"/>
          <w:szCs w:val="24"/>
          <w:lang w:val="it-IT"/>
        </w:rPr>
        <w:t xml:space="preserve">, Arciprete di questa venerata Basilica, per aver reso possibile la partecipazione all’odierna solenne Santa Messa da lui presieduta, affinché possiamo festeggiare entrambe le ricorrenze legate all’anno </w:t>
      </w:r>
      <w:r>
        <w:rPr>
          <w:sz w:val="24"/>
          <w:szCs w:val="24"/>
          <w:lang w:val="it-IT"/>
        </w:rPr>
        <w:t xml:space="preserve">1791  </w:t>
      </w:r>
      <w:r w:rsidRPr="000A49B9">
        <w:rPr>
          <w:sz w:val="24"/>
          <w:szCs w:val="24"/>
          <w:lang w:val="it-IT"/>
        </w:rPr>
        <w:t>e pregare insieme per le nostre nazioni e ringraziare la Provvidenza per il dono dell'amicizia tra i vicini.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Come eredi della Confederazione Polacco-Lituana, abbiamo il diritto e il dovere di ricordare all'Europa odierna che proprio all'interno dei suoi confini, </w:t>
      </w:r>
      <w:r>
        <w:rPr>
          <w:sz w:val="24"/>
          <w:szCs w:val="24"/>
          <w:lang w:val="it-IT"/>
        </w:rPr>
        <w:t xml:space="preserve">450 anni </w:t>
      </w:r>
      <w:r w:rsidRPr="000A49B9">
        <w:rPr>
          <w:sz w:val="24"/>
          <w:szCs w:val="24"/>
          <w:lang w:val="it-IT"/>
        </w:rPr>
        <w:t>fa fummo capaci di costruire insieme: la libertà, la tolleranza, il parlamentarismo e una cultura ricca nella sua diversità. E, soprattutto, mantenere la propria individualità. L'Unione polacco-lituana dovrebbe essere di ispirazione per l'intera comunità europea. “I liberi con i liberi, gli uguali con gli uguali” - questo fu il suo nobile obbiettivo che venne realizzato.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Nella Repubblica dei due Popoli abitavano anche i rappresentanti di altre nazioni, si parlava diverse lingue ed erano in uso sia l’alfabeto latino sia il cirillico. Il modello della democrazia nobiliare è stato attuato con successo.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Quindi </w:t>
      </w:r>
      <w:r w:rsidR="00506536">
        <w:rPr>
          <w:sz w:val="24"/>
          <w:szCs w:val="24"/>
          <w:lang w:val="it-IT"/>
        </w:rPr>
        <w:t xml:space="preserve">450 </w:t>
      </w:r>
      <w:r w:rsidRPr="000A49B9">
        <w:rPr>
          <w:sz w:val="24"/>
          <w:szCs w:val="24"/>
          <w:lang w:val="it-IT"/>
        </w:rPr>
        <w:t>anni fa, insieme creammo una sorta di enclave di libertà tra le monarchie assolute, e la democrazia nobiliare introdusse il principio dell'inviolabilità personale. Fu un cambiamento rivoluzionario.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Fu allora che ebbe luogo un grande incontro tra Oriente e Occidente, un processo di reciproca penetrazione della cultura cristiana – latina e quella bizantina - rutena.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Diverse confessioni cristiane convivevano fianco a fianco: il cattolicesimo, la religione ortodossa e il protestantesimo. I fedeli ebrei e islamici potevano liberamente professare le loro religioni. Un fenomeno non solo su scala europea, ma addirittura mondiale.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lastRenderedPageBreak/>
        <w:t xml:space="preserve">Varie influenze, idee e correnti si mescolavano in quel </w:t>
      </w:r>
      <w:proofErr w:type="spellStart"/>
      <w:r w:rsidRPr="000A49B9">
        <w:rPr>
          <w:sz w:val="24"/>
          <w:szCs w:val="24"/>
          <w:lang w:val="it-IT"/>
        </w:rPr>
        <w:t>melting</w:t>
      </w:r>
      <w:proofErr w:type="spellEnd"/>
      <w:r w:rsidRPr="000A49B9">
        <w:rPr>
          <w:sz w:val="24"/>
          <w:szCs w:val="24"/>
          <w:lang w:val="it-IT"/>
        </w:rPr>
        <w:t xml:space="preserve"> </w:t>
      </w:r>
      <w:proofErr w:type="spellStart"/>
      <w:r w:rsidRPr="000A49B9">
        <w:rPr>
          <w:sz w:val="24"/>
          <w:szCs w:val="24"/>
          <w:lang w:val="it-IT"/>
        </w:rPr>
        <w:t>pot</w:t>
      </w:r>
      <w:proofErr w:type="spellEnd"/>
      <w:r w:rsidRPr="000A49B9">
        <w:rPr>
          <w:sz w:val="24"/>
          <w:szCs w:val="24"/>
          <w:lang w:val="it-IT"/>
        </w:rPr>
        <w:t>, e grazie a ciò furono create delle opere magnifiche e nacquero delle bellissime iniziative. Penso all'arte: all’architettura, pittura, letteratura, al generoso mecenatismo di grandi famiglie aristocratiche.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Infine, si trattò dell'unione più duratura dell'Europa. Rimase in vigore per oltre </w:t>
      </w:r>
      <w:r w:rsidR="00506536">
        <w:rPr>
          <w:sz w:val="24"/>
          <w:szCs w:val="24"/>
          <w:lang w:val="it-IT"/>
        </w:rPr>
        <w:t xml:space="preserve">200 </w:t>
      </w:r>
      <w:r w:rsidRPr="000A49B9">
        <w:rPr>
          <w:sz w:val="24"/>
          <w:szCs w:val="24"/>
          <w:lang w:val="it-IT"/>
        </w:rPr>
        <w:t>anni - e si sciolse non per volontà dei suoi membri, ma a causa di spartizioni fatte dalle monarchie assolute vicine.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Nel 1791, i cittadini della Repubblica di Polonia adottarono e stilarono la prima costituzione in Europa e la seconda nel mondo (dopo quella americana).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San Giovanni Paolo II ha affermato che: "L’unione stupisce per la maturità della verità e della saggezza in essa contenute" sottolineando "il suo spirito di giustizia e di amore sociale". Ricordiamo le sue famose parole: “Dall'Unione di Lublino all'Unione Europea”. Ci motivava allora a "tenere viva questa eredità in modo creativo" ed egli stesso partecipava in modo attivo a questo processo.</w:t>
      </w:r>
    </w:p>
    <w:p w:rsidR="000A49B9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>L'Unione cessò di esistere alla fine del XVIII secolo, ma il ricordo di essa rimase vivo durante le rivolte nazionali del 1830 e 1863, quando i lituani e i polacchi combatterono insieme contro l'invasore russo. E questo ricordo - delle grandi conquiste dei nostri antenati – desideriamo mantenere vivo tutt’oggi.</w:t>
      </w:r>
    </w:p>
    <w:p w:rsidR="0097570E" w:rsidRPr="000A49B9" w:rsidRDefault="000A49B9" w:rsidP="000A49B9">
      <w:pPr>
        <w:spacing w:line="240" w:lineRule="auto"/>
        <w:contextualSpacing/>
        <w:jc w:val="both"/>
        <w:rPr>
          <w:sz w:val="24"/>
          <w:szCs w:val="24"/>
          <w:lang w:val="it-IT"/>
        </w:rPr>
      </w:pPr>
      <w:r w:rsidRPr="000A49B9">
        <w:rPr>
          <w:sz w:val="24"/>
          <w:szCs w:val="24"/>
          <w:lang w:val="it-IT"/>
        </w:rPr>
        <w:t xml:space="preserve">Sono commosso dall'omelia di Sua Eminenza Cardinale </w:t>
      </w:r>
      <w:proofErr w:type="spellStart"/>
      <w:r w:rsidRPr="000A49B9">
        <w:rPr>
          <w:sz w:val="24"/>
          <w:szCs w:val="24"/>
          <w:lang w:val="it-IT"/>
        </w:rPr>
        <w:t>Ryłko</w:t>
      </w:r>
      <w:proofErr w:type="spellEnd"/>
      <w:r w:rsidRPr="000A49B9">
        <w:rPr>
          <w:sz w:val="24"/>
          <w:szCs w:val="24"/>
          <w:lang w:val="it-IT"/>
        </w:rPr>
        <w:t xml:space="preserve"> e desidero ringraziarlo per le belle parole su Madonna Nera di </w:t>
      </w:r>
      <w:proofErr w:type="spellStart"/>
      <w:r w:rsidRPr="000A49B9">
        <w:rPr>
          <w:sz w:val="24"/>
          <w:szCs w:val="24"/>
          <w:lang w:val="it-IT"/>
        </w:rPr>
        <w:t>Częstochowa</w:t>
      </w:r>
      <w:proofErr w:type="spellEnd"/>
      <w:r w:rsidRPr="000A49B9">
        <w:rPr>
          <w:sz w:val="24"/>
          <w:szCs w:val="24"/>
          <w:lang w:val="it-IT"/>
        </w:rPr>
        <w:t xml:space="preserve"> e Nostra Signora della Porta dell'Aurora, pronunciate qui nella Basilica di Santa Maria Maggiore, davanti al</w:t>
      </w:r>
      <w:r w:rsidR="00380567">
        <w:rPr>
          <w:sz w:val="24"/>
          <w:szCs w:val="24"/>
          <w:lang w:val="it-IT"/>
        </w:rPr>
        <w:t xml:space="preserve">la Madonna </w:t>
      </w:r>
      <w:proofErr w:type="spellStart"/>
      <w:r w:rsidR="00380567">
        <w:rPr>
          <w:sz w:val="24"/>
          <w:szCs w:val="24"/>
          <w:lang w:val="it-IT"/>
        </w:rPr>
        <w:t>Salus</w:t>
      </w:r>
      <w:proofErr w:type="spellEnd"/>
      <w:r w:rsidR="00380567">
        <w:rPr>
          <w:sz w:val="24"/>
          <w:szCs w:val="24"/>
          <w:lang w:val="it-IT"/>
        </w:rPr>
        <w:t xml:space="preserve"> </w:t>
      </w:r>
      <w:proofErr w:type="spellStart"/>
      <w:r w:rsidR="00380567">
        <w:rPr>
          <w:sz w:val="24"/>
          <w:szCs w:val="24"/>
          <w:lang w:val="it-IT"/>
        </w:rPr>
        <w:t>Populi</w:t>
      </w:r>
      <w:proofErr w:type="spellEnd"/>
      <w:r w:rsidR="00380567">
        <w:rPr>
          <w:sz w:val="24"/>
          <w:szCs w:val="24"/>
          <w:lang w:val="it-IT"/>
        </w:rPr>
        <w:t xml:space="preserve"> Romani.</w:t>
      </w:r>
    </w:p>
    <w:sectPr w:rsidR="0097570E" w:rsidRPr="000A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B9"/>
    <w:rsid w:val="000A49B9"/>
    <w:rsid w:val="000B4E3B"/>
    <w:rsid w:val="002E4A32"/>
    <w:rsid w:val="00380567"/>
    <w:rsid w:val="00506536"/>
    <w:rsid w:val="005545D7"/>
    <w:rsid w:val="00581CC6"/>
    <w:rsid w:val="00F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6A6"/>
  <w15:chartTrackingRefBased/>
  <w15:docId w15:val="{FE15583D-3AC9-42E2-B59F-D9CD3871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Niewojt Monika</dc:creator>
  <cp:keywords/>
  <dc:description/>
  <cp:lastModifiedBy>Niewojt Monika</cp:lastModifiedBy>
  <cp:revision>5</cp:revision>
  <dcterms:created xsi:type="dcterms:W3CDTF">2021-11-03T11:44:00Z</dcterms:created>
  <dcterms:modified xsi:type="dcterms:W3CDTF">2021-11-03T11:57:00Z</dcterms:modified>
</cp:coreProperties>
</file>