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160" w:rsidRPr="00F74496" w:rsidRDefault="002D01C4" w:rsidP="00AD2160">
      <w:pPr>
        <w:tabs>
          <w:tab w:val="left" w:pos="7621"/>
        </w:tabs>
        <w:jc w:val="right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Załącznik nr 2</w:t>
      </w:r>
    </w:p>
    <w:p w:rsidR="00B878C4" w:rsidRPr="00F74496" w:rsidRDefault="00B878C4" w:rsidP="00B878C4">
      <w:pPr>
        <w:tabs>
          <w:tab w:val="left" w:pos="7621"/>
        </w:tabs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</w:t>
      </w:r>
    </w:p>
    <w:p w:rsidR="00AD2160" w:rsidRPr="00F74496" w:rsidRDefault="00AD2160" w:rsidP="00AD2160">
      <w:pPr>
        <w:spacing w:before="360" w:after="240" w:line="276" w:lineRule="auto"/>
        <w:jc w:val="center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Opis </w:t>
      </w:r>
      <w:r w:rsidRPr="00F74496">
        <w:rPr>
          <w:rFonts w:ascii="Arial" w:eastAsia="Times New Roman" w:hAnsi="Arial" w:cs="Arial"/>
          <w:b/>
          <w:bCs/>
          <w:i/>
          <w:color w:val="000000" w:themeColor="text1"/>
          <w:lang w:eastAsia="pl-PL"/>
        </w:rPr>
        <w:t>Programu kontroli jakości w diagnostyce chłoniaków złośliwych u dzieci</w:t>
      </w: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</w:t>
      </w: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br/>
        <w:t>na lata 2019-2021:</w:t>
      </w:r>
    </w:p>
    <w:p w:rsidR="00AD2160" w:rsidRPr="00F74496" w:rsidRDefault="00AD2160" w:rsidP="00AD2160">
      <w:pPr>
        <w:spacing w:after="12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ogólne Programu:</w:t>
      </w:r>
    </w:p>
    <w:p w:rsidR="00AD2160" w:rsidRPr="00F74496" w:rsidRDefault="00AD2160" w:rsidP="00AD2160">
      <w:pPr>
        <w:spacing w:before="120" w:after="0" w:line="276" w:lineRule="auto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Poprawa wyników leczenia dzieci z chłoniakami nieziarniczymi (NHL) i chłoniakiem Hodgkina (HL).</w:t>
      </w:r>
      <w:bookmarkStart w:id="0" w:name="_GoBack"/>
      <w:bookmarkEnd w:id="0"/>
    </w:p>
    <w:p w:rsidR="00AD2160" w:rsidRPr="00F74496" w:rsidRDefault="00AD2160" w:rsidP="00AD2160">
      <w:pPr>
        <w:spacing w:before="240" w:after="120" w:line="276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Cele szczegółowe Programu:</w:t>
      </w:r>
    </w:p>
    <w:p w:rsidR="00AD2160" w:rsidRPr="00F74496" w:rsidRDefault="00AD2160" w:rsidP="00AD216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1. Zmniejszenie liczby błędów diagnostycznych poprzez zwiększenie precyzji klasyfikacji poszczególnych pacjentów do grup ryzyka.</w:t>
      </w:r>
    </w:p>
    <w:p w:rsidR="00AD2160" w:rsidRPr="00F74496" w:rsidRDefault="00AD2160" w:rsidP="00AD216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2.</w:t>
      </w:r>
      <w:r w:rsidRPr="00F74496">
        <w:rPr>
          <w:rFonts w:ascii="Arial" w:eastAsia="Times New Roman" w:hAnsi="Arial" w:cs="Arial"/>
          <w:color w:val="000000" w:themeColor="text1"/>
          <w:lang w:eastAsia="pl-PL"/>
        </w:rPr>
        <w:tab/>
        <w:t>Zastosowanie bardziej intensywnego leczenia u dzieci z cechami niekorzystnymi rokowniczo.</w:t>
      </w:r>
    </w:p>
    <w:p w:rsidR="00AD2160" w:rsidRPr="00F74496" w:rsidRDefault="00AD2160" w:rsidP="00AD216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3.</w:t>
      </w:r>
      <w:r w:rsidRPr="00F74496">
        <w:rPr>
          <w:rFonts w:ascii="Arial" w:eastAsia="Times New Roman" w:hAnsi="Arial" w:cs="Arial"/>
          <w:color w:val="000000" w:themeColor="text1"/>
          <w:lang w:eastAsia="pl-PL"/>
        </w:rPr>
        <w:tab/>
        <w:t>Zwiększenie liczby przypadków całkowitych wyleczeń u dzieci z NHL i HL, u których z dużą wiarygodnością można wykluczyć obecność cech niekorzystnych rokowniczo przy zredukowanej intensywności chemioterapii.</w:t>
      </w:r>
    </w:p>
    <w:p w:rsidR="00AD2160" w:rsidRPr="00F74496" w:rsidRDefault="00AD2160" w:rsidP="00AD216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4.</w:t>
      </w:r>
      <w:r w:rsidRPr="00F74496">
        <w:rPr>
          <w:rFonts w:ascii="Arial" w:eastAsia="Times New Roman" w:hAnsi="Arial" w:cs="Arial"/>
          <w:color w:val="000000" w:themeColor="text1"/>
          <w:lang w:eastAsia="pl-PL"/>
        </w:rPr>
        <w:tab/>
        <w:t>Zmniejszenie toksyczności i późnych następstw leczenia.</w:t>
      </w:r>
    </w:p>
    <w:p w:rsidR="00AD2160" w:rsidRPr="00F74496" w:rsidRDefault="00AD2160" w:rsidP="00AD2160">
      <w:pPr>
        <w:spacing w:after="0" w:line="276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color w:val="000000" w:themeColor="text1"/>
          <w:lang w:eastAsia="pl-PL"/>
        </w:rPr>
        <w:t>5.</w:t>
      </w:r>
      <w:r w:rsidRPr="00F74496">
        <w:rPr>
          <w:rFonts w:ascii="Arial" w:eastAsia="Times New Roman" w:hAnsi="Arial" w:cs="Arial"/>
          <w:color w:val="000000" w:themeColor="text1"/>
          <w:lang w:eastAsia="pl-PL"/>
        </w:rPr>
        <w:tab/>
        <w:t>Zredukowanie kosztów leczenia.</w:t>
      </w:r>
    </w:p>
    <w:p w:rsidR="00AD2160" w:rsidRPr="00F74496" w:rsidRDefault="00AD2160" w:rsidP="00AD2160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Opis Programu: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Chłoniaki to bardzo niejednorodna grupa chorób obejmująca różne podtypy histopatologiczne. Diagnostyka tych schorzeń wymaga dobrze rozwiniętego zaplecza laboratoryjnego oraz dużego doświadczenia. Z powodu różnych przyczyn może dochodzić do postawienia nieprawidłowego rozpoznania, co ma zasadniczy wpływ na rokowanie pacjenta. W Polsce chłoniaki rozpoznawane są zbyt późno – gdy znajdują się w stadiach zaawansowanych. Wyniki wyleczalności niektórych podtypów chłoniaków są o kilkanaście procent niższe niż w europejskich ośrodkach wiodących. Dzięki doskonaleniu i koordynacji diagnostyki i leczenia chłoniaków można zwiększyć odsetek dzieci całkowicie wyleczonych.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W ostatnich latach, poziom wyleczalności dzieci z chłoniakami nieziarniczymi (NHL) w Europie i na świecie jest bardzo wysoki, co oznacza, że 80-90% dzieci może być całkowicie wyleczonych. Warunkiem wysokiej skuteczności leczenia jest szybkie rozpoznanie chłoniaka na wczesnym etapie jego zaawansowania i wdrożenie właściwego leczenia. Podstawą prawidłowej diagnostyki jest zasada centralnej weryfikacji badań histopatologicznych przez ośrodek referencyjny, dysponujący bogatymi możliwościami diagnostycznymi (szerokie badania immunocytochemiczne, cytometryczne, molekularne) i dużym doświadczeniem laboratoryjno-naukowym, natomiast istotnym elementem wpływającym na zwiększenie wyleczalności u dzieci, jest stosowanie ujednoliconych i nowoczesnych programów terapeutycznych w ośrodkach leczących.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Wprowadzane przez Polską Pediatryczną Grupę Leczenia Białaczek i Chłoniaków kolejne modyfikacje terapii, przyczyniły się do poprawy wyleczalności HL - uzyskano istotnie wyższe wskaźniki przeżyć 5-letnich. Kolejne modyfikacje terapii powinny dążyć do zwiększenia wyleczalności z równoczesnym zmniejszeniem ryzyka wystąpienia późnych powikłań. Obecna strategia diagnozowania i leczenia HL zmierza do zachowania równowagi między uzyskiwaniem maksymalnego odsetka wyleczeń, a ryzykiem występowania ciężkich powikłań. W celu dalszej poprawy wyników leczenia oraz zmniejszenia ryzyka występowania późnych powikłań u wszystkich dzieci, w 2009 r. wprowadzono w naszym kraju kolejny protokół terapeutyczny, w którym prowadzona jest centralna weryfikacja badań.</w:t>
      </w:r>
    </w:p>
    <w:p w:rsidR="00AD2160" w:rsidRPr="00F74496" w:rsidRDefault="00AD2160" w:rsidP="00AD2160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lastRenderedPageBreak/>
        <w:t>Działania do realizacji: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1. Prowadzenie centralnej weryfikacji badań patomorfologicznych/histopatologicznych. 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2. Prowadzenie centralnej weryfikacji badań immunohistochemicznych/immunofenotypu.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3. Prowadzenie centralnej weryfikacji badań molekularnych.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>4. Prowadzenie centralnej weryfikacji badań obrazowych w HL.</w:t>
      </w:r>
    </w:p>
    <w:p w:rsidR="00AD2160" w:rsidRPr="00F74496" w:rsidRDefault="00AD2160" w:rsidP="00AD2160">
      <w:pPr>
        <w:tabs>
          <w:tab w:val="left" w:pos="426"/>
        </w:tabs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F74496">
        <w:rPr>
          <w:rFonts w:ascii="Arial" w:eastAsia="Times New Roman" w:hAnsi="Arial" w:cs="Arial"/>
          <w:bCs/>
          <w:lang w:eastAsia="pl-PL"/>
        </w:rPr>
        <w:t xml:space="preserve">5. Organizacja 2 sesji weryfikacyjnych dla NHL, z udziałem przedstawicieli 14 ośrodków diagnostycznych, w czasie których omawiane będą wyniki zweryfikowanych badań. Finansowaniu podlegać będą </w:t>
      </w:r>
      <w:r w:rsidRPr="00F74496">
        <w:rPr>
          <w:rFonts w:ascii="Arial" w:eastAsia="Times New Roman" w:hAnsi="Arial" w:cs="Arial"/>
          <w:bCs/>
          <w:u w:val="single"/>
          <w:lang w:eastAsia="pl-PL"/>
        </w:rPr>
        <w:t>wyłącznie</w:t>
      </w:r>
      <w:r w:rsidRPr="00F74496">
        <w:rPr>
          <w:rFonts w:ascii="Arial" w:eastAsia="Times New Roman" w:hAnsi="Arial" w:cs="Arial"/>
          <w:bCs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zakupu materiałów do badań, wydruku/zakupu materiałów konferencyjnych/szkoleniowych, prowadzenia wykładów, obsługi administracyjnej.</w:t>
      </w:r>
    </w:p>
    <w:p w:rsidR="00AD2160" w:rsidRPr="00F74496" w:rsidRDefault="00AD2160" w:rsidP="00AD2160">
      <w:pPr>
        <w:tabs>
          <w:tab w:val="left" w:pos="426"/>
        </w:tabs>
        <w:spacing w:after="120" w:line="360" w:lineRule="auto"/>
        <w:jc w:val="both"/>
        <w:rPr>
          <w:rFonts w:ascii="Arial" w:eastAsia="Times New Roman" w:hAnsi="Arial" w:cs="Arial"/>
          <w:bCs/>
          <w:lang w:eastAsia="pl-PL"/>
        </w:rPr>
      </w:pPr>
      <w:r w:rsidRPr="00F74496">
        <w:rPr>
          <w:rFonts w:ascii="Arial" w:eastAsia="Times New Roman" w:hAnsi="Arial" w:cs="Arial"/>
          <w:bCs/>
          <w:lang w:eastAsia="pl-PL"/>
        </w:rPr>
        <w:t xml:space="preserve">6. Organizacja 2 sesji weryfikacyjnych dla HL, z udziałem przedstawicieli 14 ośrodków diagnostycznych, w czasie których omawiane będą wyniki zweryfikowanych badań. Finansowaniu podlegać będą </w:t>
      </w:r>
      <w:r w:rsidRPr="00F74496">
        <w:rPr>
          <w:rFonts w:ascii="Arial" w:eastAsia="Times New Roman" w:hAnsi="Arial" w:cs="Arial"/>
          <w:bCs/>
          <w:u w:val="single"/>
          <w:lang w:eastAsia="pl-PL"/>
        </w:rPr>
        <w:t>wyłącznie</w:t>
      </w:r>
      <w:r w:rsidRPr="00F74496">
        <w:rPr>
          <w:rFonts w:ascii="Arial" w:eastAsia="Times New Roman" w:hAnsi="Arial" w:cs="Arial"/>
          <w:bCs/>
          <w:lang w:eastAsia="pl-PL"/>
        </w:rPr>
        <w:t xml:space="preserve"> następujące koszty: podróży uczestników najbardziej ekonomicznym środkiem transportu, noclegów uczestników, wynajmu sali, usługi gastronomicznej (cateringu), wynajmu sprzętu medycznego (np. mikroskopów), zakupu materiałów do badań, wydruku/zakupu materiałów konferencyjnych/szkoleniowych, prowadzenia wykładów, obsługi administracyjnej.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:rsidR="00AD2160" w:rsidRPr="00F74496" w:rsidRDefault="00AD2160" w:rsidP="00AD2160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Populacja badana:</w:t>
      </w:r>
    </w:p>
    <w:p w:rsidR="00AD2160" w:rsidRPr="00F74496" w:rsidRDefault="00AD2160" w:rsidP="00AD2160">
      <w:pPr>
        <w:spacing w:after="120" w:line="240" w:lineRule="auto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Cs/>
          <w:color w:val="000000" w:themeColor="text1"/>
          <w:lang w:eastAsia="pl-PL"/>
        </w:rPr>
        <w:t xml:space="preserve">Dzieci i młodzież do 18 r.ż., u których zdiagnozowano chłoniaka złośliwego. </w:t>
      </w:r>
    </w:p>
    <w:p w:rsidR="00AD2160" w:rsidRPr="00F74496" w:rsidRDefault="00AD2160" w:rsidP="00AD2160">
      <w:pPr>
        <w:spacing w:before="240"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F74496">
        <w:rPr>
          <w:rFonts w:ascii="Arial" w:eastAsia="Times New Roman" w:hAnsi="Arial" w:cs="Arial"/>
          <w:b/>
          <w:bCs/>
          <w:color w:val="000000" w:themeColor="text1"/>
          <w:lang w:eastAsia="pl-PL"/>
        </w:rPr>
        <w:t>Ogólne warunki realizacji zadania:</w:t>
      </w:r>
    </w:p>
    <w:p w:rsidR="00AD2160" w:rsidRPr="00F74496" w:rsidRDefault="00AD2160" w:rsidP="00AD2160">
      <w:pPr>
        <w:spacing w:before="240" w:after="0" w:line="240" w:lineRule="auto"/>
        <w:jc w:val="both"/>
        <w:rPr>
          <w:rFonts w:ascii="Arial" w:eastAsia="Times New Roman" w:hAnsi="Arial" w:cs="Arial"/>
          <w:color w:val="000000" w:themeColor="text1"/>
          <w:highlight w:val="cyan"/>
          <w:lang w:eastAsia="pl-PL"/>
        </w:rPr>
      </w:pPr>
      <w:r w:rsidRPr="00F74496">
        <w:rPr>
          <w:rFonts w:ascii="Arial" w:hAnsi="Arial" w:cs="Arial"/>
          <w:bCs/>
          <w:color w:val="000000" w:themeColor="text1"/>
        </w:rPr>
        <w:t>Wykaz limitów kosztów, możliwych do rozliczania w ramach organizacji sesji weryfikacyjnych:</w:t>
      </w:r>
    </w:p>
    <w:p w:rsidR="00AD2160" w:rsidRPr="00F74496" w:rsidRDefault="00AD2160" w:rsidP="00AD2160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>Koszty wynajęcia sal wykładowych (cena max. na osobę – 40 zł, jednak nie więcej niż 3 500 zł za dzień). W przypadku, gdy realizator zorganizuje spotkanie w swojej siedzibie, koszty wynajmu sali nie będą refundowane,</w:t>
      </w:r>
    </w:p>
    <w:p w:rsidR="00AD2160" w:rsidRPr="00F74496" w:rsidRDefault="00AD2160" w:rsidP="00AD2160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>Koszty wynagrodzenia wykładowców – max. 500 zł dla osoby posiadającej co najmniej stopień naukowy doktora oraz max. 300 zł dla pozostałych osób (za godzinę wykładową tj. min. 45 min.),</w:t>
      </w:r>
    </w:p>
    <w:p w:rsidR="00AD2160" w:rsidRPr="00F74496" w:rsidRDefault="00AD2160" w:rsidP="00AD2160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357" w:hanging="357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>Koszty  dojazdów (najbardziej ekonomicznym środkiem transportu):</w:t>
      </w:r>
    </w:p>
    <w:p w:rsidR="00AD2160" w:rsidRPr="00F74496" w:rsidRDefault="00AD2160" w:rsidP="00AD2160">
      <w:pPr>
        <w:pStyle w:val="Akapitzlist"/>
        <w:tabs>
          <w:tab w:val="left" w:pos="0"/>
          <w:tab w:val="left" w:pos="284"/>
        </w:tabs>
        <w:spacing w:after="120"/>
        <w:ind w:left="357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 xml:space="preserve">Pod pojęciem podróży najbardziej ekonomicznym środkiem transportu Zleceniodawca rozumie podróż za pośrednictwem PKP – 2 klasą, PKS lub miejskiego zakładu komunikacji. W przypadku braku możliwości wykorzystania powyższych środków transportu na trasie dojazdu na spotkanie, </w:t>
      </w:r>
      <w:r w:rsidR="006773B5" w:rsidRPr="00F74496">
        <w:rPr>
          <w:rFonts w:ascii="Arial" w:hAnsi="Arial" w:cs="Arial"/>
          <w:bCs/>
          <w:color w:val="000000" w:themeColor="text1"/>
        </w:rPr>
        <w:t>Realizator</w:t>
      </w:r>
      <w:r w:rsidRPr="00F74496">
        <w:rPr>
          <w:rFonts w:ascii="Arial" w:hAnsi="Arial" w:cs="Arial"/>
          <w:bCs/>
          <w:color w:val="000000" w:themeColor="text1"/>
        </w:rPr>
        <w:t xml:space="preserve"> może wykorzystać jako środek transportu samochód osobowy zgodnie z rozporządzeniem Ministra Pracy i Polityki Społecznej z dnia 29 stycznia 2013 r. w sprawie należności przysługujących pracownikowi zatrudnionemu w państwowej lub samorządowej jednostce sfery budżetowej z tytułu podróży służbowej (Dz. U. 2013 r. poz. 167). W przypadku konieczności wykorzystania </w:t>
      </w:r>
      <w:r w:rsidRPr="00F74496">
        <w:rPr>
          <w:rFonts w:ascii="Arial" w:hAnsi="Arial" w:cs="Arial"/>
          <w:bCs/>
          <w:color w:val="000000" w:themeColor="text1"/>
        </w:rPr>
        <w:lastRenderedPageBreak/>
        <w:t>innego, niż wymienione środka transportu, należy przedstawić stosowne uzasadnienie dlaczego konieczne jest jego wykorzystanie, wraz z analizą kosztów podróży pozostałymi środkami (PKP, PKS, MZK, samochód osobowy) w tym samym terminie. W przypadku, jeżeli koszty podróży środkiem transportu innym niż wskazane będzie wyższy, wówczas przysługuje rozliczenie kosztów podróży do wysokości kwoty najbardziej ekonomicznego z nich.</w:t>
      </w:r>
    </w:p>
    <w:p w:rsidR="00AD2160" w:rsidRPr="00F74496" w:rsidRDefault="00AD2160" w:rsidP="00AD2160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>Koszty usługi gastronomicznej (cateringu) - max. 35 zł za osobę na dzień,</w:t>
      </w:r>
    </w:p>
    <w:p w:rsidR="00AD2160" w:rsidRPr="00F74496" w:rsidRDefault="00AD2160" w:rsidP="00AD2160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120"/>
        <w:ind w:left="284" w:hanging="284"/>
        <w:contextualSpacing w:val="0"/>
        <w:jc w:val="both"/>
        <w:rPr>
          <w:rFonts w:ascii="Arial" w:hAnsi="Arial" w:cs="Arial"/>
          <w:bCs/>
          <w:color w:val="000000" w:themeColor="text1"/>
        </w:rPr>
      </w:pPr>
      <w:r w:rsidRPr="00F74496">
        <w:rPr>
          <w:rFonts w:ascii="Arial" w:hAnsi="Arial" w:cs="Arial"/>
          <w:bCs/>
          <w:color w:val="000000" w:themeColor="text1"/>
        </w:rPr>
        <w:t>Koszty noclegów dla wykładowców i uczestników sesji – max. 220 zł za osobę za dzień</w:t>
      </w:r>
    </w:p>
    <w:p w:rsidR="00AD2160" w:rsidRPr="00F74496" w:rsidRDefault="00AD2160" w:rsidP="00AD2160">
      <w:pPr>
        <w:numPr>
          <w:ilvl w:val="0"/>
          <w:numId w:val="1"/>
        </w:numPr>
        <w:tabs>
          <w:tab w:val="left" w:pos="0"/>
          <w:tab w:val="left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bCs/>
        </w:rPr>
      </w:pPr>
      <w:r w:rsidRPr="00F74496">
        <w:rPr>
          <w:rFonts w:ascii="Arial" w:eastAsia="Times New Roman" w:hAnsi="Arial" w:cs="Arial"/>
          <w:bCs/>
        </w:rPr>
        <w:t>Koszty obsługi administracyjnej – max. 10% łącznej kwoty środków przeznaczonych na organizację sesji weryfikacyjnych,</w:t>
      </w:r>
    </w:p>
    <w:p w:rsidR="00AD2160" w:rsidRPr="00F74496" w:rsidRDefault="00AD2160" w:rsidP="00AD2160">
      <w:pPr>
        <w:numPr>
          <w:ilvl w:val="0"/>
          <w:numId w:val="1"/>
        </w:numPr>
        <w:tabs>
          <w:tab w:val="left" w:pos="0"/>
          <w:tab w:val="left" w:pos="284"/>
        </w:tabs>
        <w:spacing w:after="120" w:line="360" w:lineRule="auto"/>
        <w:ind w:left="284" w:hanging="284"/>
        <w:jc w:val="both"/>
        <w:rPr>
          <w:rFonts w:ascii="Arial" w:eastAsia="Times New Roman" w:hAnsi="Arial" w:cs="Arial"/>
          <w:bCs/>
        </w:rPr>
      </w:pPr>
      <w:r w:rsidRPr="00F74496">
        <w:rPr>
          <w:rFonts w:ascii="Arial" w:eastAsia="Times New Roman" w:hAnsi="Arial" w:cs="Arial"/>
          <w:bCs/>
        </w:rPr>
        <w:t>Nie podlegają refundacji koszty wynajmu sprzętu medycznego, w przypadku, gdy jest on własnością realizatora Programu.</w:t>
      </w:r>
    </w:p>
    <w:p w:rsidR="00A62D4D" w:rsidRPr="00F74496" w:rsidRDefault="00C430E5">
      <w:pPr>
        <w:rPr>
          <w:rFonts w:ascii="Arial" w:hAnsi="Arial" w:cs="Arial"/>
        </w:rPr>
      </w:pPr>
    </w:p>
    <w:sectPr w:rsidR="00A62D4D" w:rsidRPr="00F744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6C5B99"/>
    <w:multiLevelType w:val="hybridMultilevel"/>
    <w:tmpl w:val="86447BEA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2A8"/>
    <w:rsid w:val="00157264"/>
    <w:rsid w:val="002323D2"/>
    <w:rsid w:val="002D01C4"/>
    <w:rsid w:val="00557695"/>
    <w:rsid w:val="005822A8"/>
    <w:rsid w:val="006773B5"/>
    <w:rsid w:val="00AD2160"/>
    <w:rsid w:val="00B878C4"/>
    <w:rsid w:val="00C430E5"/>
    <w:rsid w:val="00F7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90C91-ACCA-4844-A983-005DA7CF9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1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D216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2019-05-07T09:39:00Z</dcterms:created>
  <dcterms:modified xsi:type="dcterms:W3CDTF">2019-05-07T09:39:00Z</dcterms:modified>
</cp:coreProperties>
</file>