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60" w:rsidRPr="00F74496" w:rsidRDefault="002D01C4" w:rsidP="00AD2160">
      <w:pPr>
        <w:tabs>
          <w:tab w:val="left" w:pos="7621"/>
        </w:tabs>
        <w:jc w:val="right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t>Załącznik nr 2</w:t>
      </w:r>
    </w:p>
    <w:p w:rsidR="00B878C4" w:rsidRPr="00F74496" w:rsidRDefault="00B878C4" w:rsidP="00B878C4">
      <w:pPr>
        <w:tabs>
          <w:tab w:val="left" w:pos="7621"/>
        </w:tabs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</w:t>
      </w:r>
    </w:p>
    <w:p w:rsidR="00AD2160" w:rsidRPr="00F74496" w:rsidRDefault="00AD2160" w:rsidP="00AD2160">
      <w:pPr>
        <w:spacing w:before="360" w:after="24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Opis </w:t>
      </w:r>
      <w:r w:rsidRPr="00F74496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Programu kontroli jakości w diagnostyce chłoniaków złośliwych u dzieci</w:t>
      </w: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  <w:t>na lata 2019-2021:</w:t>
      </w:r>
    </w:p>
    <w:p w:rsidR="00AD2160" w:rsidRPr="00F74496" w:rsidRDefault="00AD2160" w:rsidP="00AD2160">
      <w:pPr>
        <w:spacing w:after="12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ogólne Programu:</w:t>
      </w:r>
    </w:p>
    <w:p w:rsidR="00AD2160" w:rsidRPr="00F74496" w:rsidRDefault="00AD2160" w:rsidP="00AD2160">
      <w:pPr>
        <w:spacing w:before="120"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color w:val="000000" w:themeColor="text1"/>
          <w:lang w:eastAsia="pl-PL"/>
        </w:rPr>
        <w:t>Poprawa wyników leczenia dzieci z chłoniakami nieziarniczymi (NHL) i chłoniakiem Hodgkina (HL).</w:t>
      </w:r>
      <w:bookmarkStart w:id="0" w:name="_GoBack"/>
      <w:bookmarkEnd w:id="0"/>
    </w:p>
    <w:p w:rsidR="00AD2160" w:rsidRPr="00F74496" w:rsidRDefault="00AD2160" w:rsidP="00AD2160">
      <w:pPr>
        <w:spacing w:before="240" w:after="12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szczegółowe Programu:</w:t>
      </w:r>
    </w:p>
    <w:p w:rsidR="00AD2160" w:rsidRPr="00F74496" w:rsidRDefault="00AD2160" w:rsidP="00AD216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color w:val="000000" w:themeColor="text1"/>
          <w:lang w:eastAsia="pl-PL"/>
        </w:rPr>
        <w:t>1. Zmniejszenie liczby błędów diagnostycznych poprzez zwiększenie precyzji klasyfikacji poszczególnych pacjentów do grup ryzyka.</w:t>
      </w:r>
    </w:p>
    <w:p w:rsidR="00AD2160" w:rsidRPr="00F74496" w:rsidRDefault="00AD2160" w:rsidP="00AD216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color w:val="000000" w:themeColor="text1"/>
          <w:lang w:eastAsia="pl-PL"/>
        </w:rPr>
        <w:t>2.</w:t>
      </w:r>
      <w:r w:rsidRPr="00F74496">
        <w:rPr>
          <w:rFonts w:ascii="Arial" w:eastAsia="Times New Roman" w:hAnsi="Arial" w:cs="Arial"/>
          <w:color w:val="000000" w:themeColor="text1"/>
          <w:lang w:eastAsia="pl-PL"/>
        </w:rPr>
        <w:tab/>
        <w:t>Zastosowanie bardziej intensywnego leczenia u dzieci z cechami niekorzystnymi rokowniczo.</w:t>
      </w:r>
    </w:p>
    <w:p w:rsidR="00AD2160" w:rsidRPr="00F74496" w:rsidRDefault="00AD2160" w:rsidP="00AD216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color w:val="000000" w:themeColor="text1"/>
          <w:lang w:eastAsia="pl-PL"/>
        </w:rPr>
        <w:t>3.</w:t>
      </w:r>
      <w:r w:rsidRPr="00F74496">
        <w:rPr>
          <w:rFonts w:ascii="Arial" w:eastAsia="Times New Roman" w:hAnsi="Arial" w:cs="Arial"/>
          <w:color w:val="000000" w:themeColor="text1"/>
          <w:lang w:eastAsia="pl-PL"/>
        </w:rPr>
        <w:tab/>
        <w:t>Zwiększenie liczby przypadków całkowitych wyleczeń u dzieci z NHL i HL, u których z dużą wiarygodnością można wykluczyć obecność cech niekorzystnych rokowniczo przy zredukowanej intensywności chemioterapii.</w:t>
      </w:r>
    </w:p>
    <w:p w:rsidR="00AD2160" w:rsidRPr="00F74496" w:rsidRDefault="00AD2160" w:rsidP="00AD216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color w:val="000000" w:themeColor="text1"/>
          <w:lang w:eastAsia="pl-PL"/>
        </w:rPr>
        <w:t>4.</w:t>
      </w:r>
      <w:r w:rsidRPr="00F74496">
        <w:rPr>
          <w:rFonts w:ascii="Arial" w:eastAsia="Times New Roman" w:hAnsi="Arial" w:cs="Arial"/>
          <w:color w:val="000000" w:themeColor="text1"/>
          <w:lang w:eastAsia="pl-PL"/>
        </w:rPr>
        <w:tab/>
        <w:t>Zmniejszenie toksyczności i późnych następstw leczenia.</w:t>
      </w:r>
    </w:p>
    <w:p w:rsidR="00AD2160" w:rsidRPr="00F74496" w:rsidRDefault="00AD2160" w:rsidP="00AD216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color w:val="000000" w:themeColor="text1"/>
          <w:lang w:eastAsia="pl-PL"/>
        </w:rPr>
        <w:t>5.</w:t>
      </w:r>
      <w:r w:rsidRPr="00F74496">
        <w:rPr>
          <w:rFonts w:ascii="Arial" w:eastAsia="Times New Roman" w:hAnsi="Arial" w:cs="Arial"/>
          <w:color w:val="000000" w:themeColor="text1"/>
          <w:lang w:eastAsia="pl-PL"/>
        </w:rPr>
        <w:tab/>
        <w:t>Zredukowanie kosztów leczenia.</w:t>
      </w:r>
    </w:p>
    <w:p w:rsidR="00AD2160" w:rsidRPr="00F74496" w:rsidRDefault="00AD2160" w:rsidP="00AD2160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Programu:</w:t>
      </w:r>
    </w:p>
    <w:p w:rsidR="00AD2160" w:rsidRPr="00F74496" w:rsidRDefault="00AD2160" w:rsidP="00AD2160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Cs/>
          <w:color w:val="000000" w:themeColor="text1"/>
          <w:lang w:eastAsia="pl-PL"/>
        </w:rPr>
        <w:t>Chłoniaki to bardzo niejednorodna grupa chorób obejmująca różne podtypy histopatologiczne. Diagnostyka tych schorzeń wymaga dobrze rozwiniętego zaplecza laboratoryjnego oraz dużego doświadczenia. Z powodu różnych przyczyn może dochodzić do postawienia nieprawidłowego rozpoznania, co ma zasadniczy wpływ na rokowanie pacjenta. W Polsce chłoniaki rozpoznawane są zbyt późno – gdy znajdują się w stadiach zaawansowanych. Wyniki wyleczalności niektórych podtypów chłoniaków są o kilkanaście procent niższe niż w europejskich ośrodkach wiodących. Dzięki doskonaleniu i koordynacji diagnostyki i leczenia chłoniaków można zwiększyć odsetek dzieci całkowicie wyleczonych.</w:t>
      </w:r>
    </w:p>
    <w:p w:rsidR="00AD2160" w:rsidRPr="00F74496" w:rsidRDefault="00AD2160" w:rsidP="00AD2160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Cs/>
          <w:color w:val="000000" w:themeColor="text1"/>
          <w:lang w:eastAsia="pl-PL"/>
        </w:rPr>
        <w:t>W ostatnich latach, poziom wyleczalności dzieci z chłoniakami nieziarniczymi (NHL) w Europie i na świecie jest bardzo wysoki, co oznacza, że 80-90% dzieci może być całkowicie wyleczonych. Warunkiem wysokiej skuteczności leczenia jest szybkie rozpoznanie chłoniaka na wczesnym etapie jego zaawansowania i wdrożenie właściwego leczenia. Podstawą prawidłowej diagnostyki jest zasada centralnej weryfikacji badań histopatologicznych przez ośrodek referencyjny, dysponujący bogatymi możliwościami diagnostycznymi (szerokie badania immunocytochemiczne, cytometryczne, molekularne) i dużym doświadczeniem laboratoryjno-naukowym, natomiast istotnym elementem wpływającym na zwiększenie wyleczalności u dzieci, jest stosowanie ujednoliconych i nowoczesnych programów terapeutycznych w ośrodkach leczących.</w:t>
      </w:r>
    </w:p>
    <w:p w:rsidR="00AD2160" w:rsidRPr="00F74496" w:rsidRDefault="00AD2160" w:rsidP="00AD2160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Cs/>
          <w:color w:val="000000" w:themeColor="text1"/>
          <w:lang w:eastAsia="pl-PL"/>
        </w:rPr>
        <w:t>Wprowadzane przez Polską Pediatryczną Grupę Leczenia Białaczek i Chłoniaków kolejne modyfikacje terapii, przyczyniły się do poprawy wyleczalności HL - uzyskano istotnie wyższe wskaźniki przeżyć 5-letnich. Kolejne modyfikacje terapii powinny dążyć do zwiększenia wyleczalności z równoczesnym zmniejszeniem ryzyka wystąpienia późnych powikłań. Obecna strategia diagnozowania i leczenia HL zmierza do zachowania równowagi między uzyskiwaniem maksymalnego odsetka wyleczeń, a ryzykiem występowania ciężkich powikłań. W celu dalszej poprawy wyników leczenia oraz zmniejszenia ryzyka występowania późnych powikłań u wszystkich dzieci, w 2009 r. wprowadzono w naszym kraju kolejny protokół terapeutyczny, w którym prowadzona jest centralna weryfikacja badań.</w:t>
      </w:r>
    </w:p>
    <w:p w:rsidR="00AD2160" w:rsidRPr="00F74496" w:rsidRDefault="00AD2160" w:rsidP="00AD2160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Działania do realizacji:</w:t>
      </w:r>
    </w:p>
    <w:p w:rsidR="00AD2160" w:rsidRPr="00F74496" w:rsidRDefault="00AD2160" w:rsidP="00AD2160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1. Prowadzenie centralnej weryfikacji badań patomorfologicznych/histopatologicznych. </w:t>
      </w:r>
    </w:p>
    <w:p w:rsidR="00AD2160" w:rsidRPr="00F74496" w:rsidRDefault="00AD2160" w:rsidP="00AD2160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Cs/>
          <w:color w:val="000000" w:themeColor="text1"/>
          <w:lang w:eastAsia="pl-PL"/>
        </w:rPr>
        <w:t>2. Prowadzenie centralnej weryfikacji badań immunohistochemicznych/immunofenotypu.</w:t>
      </w:r>
    </w:p>
    <w:p w:rsidR="00AD2160" w:rsidRPr="00F74496" w:rsidRDefault="00AD2160" w:rsidP="00AD2160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Cs/>
          <w:color w:val="000000" w:themeColor="text1"/>
          <w:lang w:eastAsia="pl-PL"/>
        </w:rPr>
        <w:t>3. Prowadzenie centralnej weryfikacji badań molekularnych.</w:t>
      </w:r>
    </w:p>
    <w:p w:rsidR="00AD2160" w:rsidRPr="00F74496" w:rsidRDefault="00AD2160" w:rsidP="00AD2160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Cs/>
          <w:color w:val="000000" w:themeColor="text1"/>
          <w:lang w:eastAsia="pl-PL"/>
        </w:rPr>
        <w:t>4. Prowadzenie centralnej weryfikacji badań obrazowych w HL.</w:t>
      </w:r>
    </w:p>
    <w:p w:rsidR="00AD2160" w:rsidRPr="00F74496" w:rsidRDefault="00AD2160" w:rsidP="00AD2160">
      <w:pPr>
        <w:tabs>
          <w:tab w:val="left" w:pos="426"/>
        </w:tabs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F74496">
        <w:rPr>
          <w:rFonts w:ascii="Arial" w:eastAsia="Times New Roman" w:hAnsi="Arial" w:cs="Arial"/>
          <w:bCs/>
          <w:lang w:eastAsia="pl-PL"/>
        </w:rPr>
        <w:t xml:space="preserve">5. Organizacja 2 sesji weryfikacyjnych dla NHL, z udziałem przedstawicieli 14 ośrodków diagnostycznych, w czasie których omawiane będą wyniki zweryfikowanych badań. Finansowaniu podlegać będą </w:t>
      </w:r>
      <w:r w:rsidRPr="00F74496">
        <w:rPr>
          <w:rFonts w:ascii="Arial" w:eastAsia="Times New Roman" w:hAnsi="Arial" w:cs="Arial"/>
          <w:bCs/>
          <w:u w:val="single"/>
          <w:lang w:eastAsia="pl-PL"/>
        </w:rPr>
        <w:t>wyłącznie</w:t>
      </w:r>
      <w:r w:rsidRPr="00F74496">
        <w:rPr>
          <w:rFonts w:ascii="Arial" w:eastAsia="Times New Roman" w:hAnsi="Arial" w:cs="Arial"/>
          <w:bCs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zakupu materiałów do badań, wydruku/zakupu materiałów konferencyjnych/szkoleniowych, prowadzenia wykładów, obsługi administracyjnej.</w:t>
      </w:r>
    </w:p>
    <w:p w:rsidR="00AD2160" w:rsidRPr="00F74496" w:rsidRDefault="00AD2160" w:rsidP="00AD2160">
      <w:pPr>
        <w:tabs>
          <w:tab w:val="left" w:pos="426"/>
        </w:tabs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F74496">
        <w:rPr>
          <w:rFonts w:ascii="Arial" w:eastAsia="Times New Roman" w:hAnsi="Arial" w:cs="Arial"/>
          <w:bCs/>
          <w:lang w:eastAsia="pl-PL"/>
        </w:rPr>
        <w:t xml:space="preserve">6. Organizacja 2 sesji weryfikacyjnych dla HL, z udziałem przedstawicieli 14 ośrodków diagnostycznych, w czasie których omawiane będą wyniki zweryfikowanych badań. Finansowaniu podlegać będą </w:t>
      </w:r>
      <w:r w:rsidRPr="00F74496">
        <w:rPr>
          <w:rFonts w:ascii="Arial" w:eastAsia="Times New Roman" w:hAnsi="Arial" w:cs="Arial"/>
          <w:bCs/>
          <w:u w:val="single"/>
          <w:lang w:eastAsia="pl-PL"/>
        </w:rPr>
        <w:t>wyłącznie</w:t>
      </w:r>
      <w:r w:rsidRPr="00F74496">
        <w:rPr>
          <w:rFonts w:ascii="Arial" w:eastAsia="Times New Roman" w:hAnsi="Arial" w:cs="Arial"/>
          <w:bCs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zakupu materiałów do badań, wydruku/zakupu materiałów konferencyjnych/szkoleniowych, prowadzenia wykładów, obsługi administracyjnej.</w:t>
      </w:r>
    </w:p>
    <w:p w:rsidR="00AD2160" w:rsidRPr="00F74496" w:rsidRDefault="00AD2160" w:rsidP="00AD2160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AD2160" w:rsidRPr="00F74496" w:rsidRDefault="00AD2160" w:rsidP="00AD2160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t>Populacja badana:</w:t>
      </w:r>
    </w:p>
    <w:p w:rsidR="00AD2160" w:rsidRPr="00F74496" w:rsidRDefault="00AD2160" w:rsidP="00AD2160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Dzieci i młodzież do 18 r.ż., u których zdiagnozowano chłoniaka złośliwego. </w:t>
      </w:r>
    </w:p>
    <w:p w:rsidR="00AD2160" w:rsidRPr="00F74496" w:rsidRDefault="00AD2160" w:rsidP="00AD2160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74496">
        <w:rPr>
          <w:rFonts w:ascii="Arial" w:eastAsia="Times New Roman" w:hAnsi="Arial" w:cs="Arial"/>
          <w:b/>
          <w:bCs/>
          <w:color w:val="000000" w:themeColor="text1"/>
          <w:lang w:eastAsia="pl-PL"/>
        </w:rPr>
        <w:t>Ogólne warunki realizacji zadania:</w:t>
      </w:r>
    </w:p>
    <w:p w:rsidR="00AD2160" w:rsidRPr="00F74496" w:rsidRDefault="00AD2160" w:rsidP="00AD2160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highlight w:val="cyan"/>
          <w:lang w:eastAsia="pl-PL"/>
        </w:rPr>
      </w:pPr>
      <w:r w:rsidRPr="00F74496">
        <w:rPr>
          <w:rFonts w:ascii="Arial" w:hAnsi="Arial" w:cs="Arial"/>
          <w:bCs/>
          <w:color w:val="000000" w:themeColor="text1"/>
        </w:rPr>
        <w:t>Wykaz limitów kosztów, możliwych do rozliczania w ramach organizacji sesji weryfikacyjnych:</w:t>
      </w:r>
    </w:p>
    <w:p w:rsidR="00AD2160" w:rsidRPr="00F74496" w:rsidRDefault="00AD2160" w:rsidP="00AD2160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F74496">
        <w:rPr>
          <w:rFonts w:ascii="Arial" w:hAnsi="Arial" w:cs="Arial"/>
          <w:bCs/>
          <w:color w:val="000000" w:themeColor="text1"/>
        </w:rPr>
        <w:t>Koszty wynajęcia sal wykładowych (cena max. na osobę – 40 zł, jednak nie więcej niż 3 500 zł za dzień). W przypadku, gdy realizator zorganizuje spotkanie w swojej siedzibie, koszty wynajmu sali nie będą refundowane,</w:t>
      </w:r>
    </w:p>
    <w:p w:rsidR="00AD2160" w:rsidRPr="00F74496" w:rsidRDefault="00AD2160" w:rsidP="00AD2160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F74496">
        <w:rPr>
          <w:rFonts w:ascii="Arial" w:hAnsi="Arial" w:cs="Arial"/>
          <w:bCs/>
          <w:color w:val="000000" w:themeColor="text1"/>
        </w:rPr>
        <w:t>Koszty wynagrodzenia wykładowców – max. 500 zł dla osoby posiadającej co najmniej stopień naukowy doktora oraz max. 300 zł dla pozostałych osób (za godzinę wykładową tj. min. 45 min.),</w:t>
      </w:r>
    </w:p>
    <w:p w:rsidR="00AD2160" w:rsidRPr="00F74496" w:rsidRDefault="00AD2160" w:rsidP="00AD2160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357" w:hanging="357"/>
        <w:jc w:val="both"/>
        <w:rPr>
          <w:rFonts w:ascii="Arial" w:hAnsi="Arial" w:cs="Arial"/>
          <w:bCs/>
          <w:color w:val="000000" w:themeColor="text1"/>
        </w:rPr>
      </w:pPr>
      <w:r w:rsidRPr="00F74496">
        <w:rPr>
          <w:rFonts w:ascii="Arial" w:hAnsi="Arial" w:cs="Arial"/>
          <w:bCs/>
          <w:color w:val="000000" w:themeColor="text1"/>
        </w:rPr>
        <w:t>Koszty  dojazdów (najbardziej ekonomicznym środkiem transportu):</w:t>
      </w:r>
    </w:p>
    <w:p w:rsidR="00AD2160" w:rsidRPr="00F74496" w:rsidRDefault="00AD2160" w:rsidP="00AD2160">
      <w:pPr>
        <w:pStyle w:val="Akapitzlist"/>
        <w:tabs>
          <w:tab w:val="left" w:pos="0"/>
          <w:tab w:val="left" w:pos="284"/>
        </w:tabs>
        <w:spacing w:after="120"/>
        <w:ind w:left="357"/>
        <w:jc w:val="both"/>
        <w:rPr>
          <w:rFonts w:ascii="Arial" w:hAnsi="Arial" w:cs="Arial"/>
          <w:bCs/>
          <w:color w:val="000000" w:themeColor="text1"/>
        </w:rPr>
      </w:pPr>
      <w:r w:rsidRPr="00F74496">
        <w:rPr>
          <w:rFonts w:ascii="Arial" w:hAnsi="Arial" w:cs="Arial"/>
          <w:bCs/>
          <w:color w:val="000000" w:themeColor="text1"/>
        </w:rPr>
        <w:t xml:space="preserve">Pod pojęciem podróży najbardziej ekonomicznym środkiem transportu Zleceniodawca rozumie podróż za pośrednictwem PKP – 2 klasą, PKS lub miejskiego zakładu komunikacji. W przypadku braku możliwości wykorzystania powyższych środków transportu na trasie dojazdu na spotkanie, </w:t>
      </w:r>
      <w:r w:rsidR="006773B5" w:rsidRPr="00F74496">
        <w:rPr>
          <w:rFonts w:ascii="Arial" w:hAnsi="Arial" w:cs="Arial"/>
          <w:bCs/>
          <w:color w:val="000000" w:themeColor="text1"/>
        </w:rPr>
        <w:t>Realizator</w:t>
      </w:r>
      <w:r w:rsidRPr="00F74496">
        <w:rPr>
          <w:rFonts w:ascii="Arial" w:hAnsi="Arial" w:cs="Arial"/>
          <w:bCs/>
          <w:color w:val="000000" w:themeColor="text1"/>
        </w:rPr>
        <w:t xml:space="preserve"> może wykorzystać jako środek transportu samochód osobowy zgodnie z rozporządzeniem Ministra Pracy i Polityki Społecznej z dnia 29 stycznia 2013 r. w sprawie należności przysługujących pracownikowi zatrudnionemu w państwowej lub samorządowej jednostce sfery budżetowej z tytułu podróży służbowej (Dz. U. 2013 r. poz. 167). W przypadku konieczności wykorzystania </w:t>
      </w:r>
      <w:r w:rsidRPr="00F74496">
        <w:rPr>
          <w:rFonts w:ascii="Arial" w:hAnsi="Arial" w:cs="Arial"/>
          <w:bCs/>
          <w:color w:val="000000" w:themeColor="text1"/>
        </w:rPr>
        <w:lastRenderedPageBreak/>
        <w:t>innego, niż wymienione środka transportu, należy przedstawić stosowne uzasadnienie dlaczego konieczne jest jego wykorzystanie, wraz z analizą kosztów podróży pozostałymi środkami (PKP, PKS, MZK, samochód osobowy) w tym samym terminie. W przypadku, jeżeli koszty podróży środkiem transportu innym niż wskazane będzie wyższy, wówczas przysługuje rozliczenie kosztów podróży do wysokości kwoty najbardziej ekonomicznego z nich.</w:t>
      </w:r>
    </w:p>
    <w:p w:rsidR="00AD2160" w:rsidRPr="00F74496" w:rsidRDefault="00AD2160" w:rsidP="00AD2160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F74496">
        <w:rPr>
          <w:rFonts w:ascii="Arial" w:hAnsi="Arial" w:cs="Arial"/>
          <w:bCs/>
          <w:color w:val="000000" w:themeColor="text1"/>
        </w:rPr>
        <w:t>Koszty usługi gastronomicznej (cateringu) - max. 35 zł za osobę na dzień,</w:t>
      </w:r>
    </w:p>
    <w:p w:rsidR="00AD2160" w:rsidRPr="00F74496" w:rsidRDefault="00AD2160" w:rsidP="00AD2160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F74496">
        <w:rPr>
          <w:rFonts w:ascii="Arial" w:hAnsi="Arial" w:cs="Arial"/>
          <w:bCs/>
          <w:color w:val="000000" w:themeColor="text1"/>
        </w:rPr>
        <w:t>Koszty noclegów dla wykładowców i uczestników sesji – max. 220 zł za osobę za dzień</w:t>
      </w:r>
    </w:p>
    <w:p w:rsidR="00AD2160" w:rsidRPr="00F74496" w:rsidRDefault="00AD2160" w:rsidP="00AD2160">
      <w:pPr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</w:rPr>
      </w:pPr>
      <w:r w:rsidRPr="00F74496">
        <w:rPr>
          <w:rFonts w:ascii="Arial" w:eastAsia="Times New Roman" w:hAnsi="Arial" w:cs="Arial"/>
          <w:bCs/>
        </w:rPr>
        <w:t>Koszty obsługi administracyjnej – max. 10% łącznej kwoty środków przeznaczonych na organizację sesji weryfikacyjnych,</w:t>
      </w:r>
    </w:p>
    <w:p w:rsidR="00AD2160" w:rsidRPr="00F74496" w:rsidRDefault="00AD2160" w:rsidP="00AD2160">
      <w:pPr>
        <w:numPr>
          <w:ilvl w:val="0"/>
          <w:numId w:val="1"/>
        </w:numPr>
        <w:tabs>
          <w:tab w:val="left" w:pos="0"/>
          <w:tab w:val="left" w:pos="284"/>
        </w:tabs>
        <w:spacing w:after="120" w:line="360" w:lineRule="auto"/>
        <w:ind w:left="284" w:hanging="284"/>
        <w:jc w:val="both"/>
        <w:rPr>
          <w:rFonts w:ascii="Arial" w:eastAsia="Times New Roman" w:hAnsi="Arial" w:cs="Arial"/>
          <w:bCs/>
        </w:rPr>
      </w:pPr>
      <w:r w:rsidRPr="00F74496">
        <w:rPr>
          <w:rFonts w:ascii="Arial" w:eastAsia="Times New Roman" w:hAnsi="Arial" w:cs="Arial"/>
          <w:bCs/>
        </w:rPr>
        <w:t>Nie podlegają refundacji koszty wynajmu sprzętu medycznego, w przypadku, gdy jest on własnością realizatora Programu.</w:t>
      </w:r>
    </w:p>
    <w:p w:rsidR="00A62D4D" w:rsidRPr="00F74496" w:rsidRDefault="00C430E5">
      <w:pPr>
        <w:rPr>
          <w:rFonts w:ascii="Arial" w:hAnsi="Arial" w:cs="Arial"/>
        </w:rPr>
      </w:pPr>
    </w:p>
    <w:sectPr w:rsidR="00A62D4D" w:rsidRPr="00F7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C5B99"/>
    <w:multiLevelType w:val="hybridMultilevel"/>
    <w:tmpl w:val="86447BEA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A8"/>
    <w:rsid w:val="00157264"/>
    <w:rsid w:val="002323D2"/>
    <w:rsid w:val="002D01C4"/>
    <w:rsid w:val="00557695"/>
    <w:rsid w:val="005822A8"/>
    <w:rsid w:val="006773B5"/>
    <w:rsid w:val="00AD2160"/>
    <w:rsid w:val="00B878C4"/>
    <w:rsid w:val="00C430E5"/>
    <w:rsid w:val="00F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90C91-ACCA-4844-A983-005DA7C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D216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2019-05-07T09:39:00Z</dcterms:created>
  <dcterms:modified xsi:type="dcterms:W3CDTF">2019-05-07T09:39:00Z</dcterms:modified>
</cp:coreProperties>
</file>