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9E6" w:rsidRDefault="009D337C">
      <w:pPr>
        <w:pStyle w:val="TYTUAKTUprzedmiotregulacjiustawylubrozporzdzenia"/>
        <w:rPr>
          <w:rFonts w:ascii="Arial" w:hAnsi="Arial"/>
          <w:sz w:val="20"/>
          <w:szCs w:val="20"/>
        </w:rPr>
      </w:pPr>
      <w:bookmarkStart w:id="0" w:name="_GoBack"/>
      <w:r>
        <w:rPr>
          <w:rFonts w:ascii="Arial" w:hAnsi="Arial"/>
          <w:sz w:val="20"/>
          <w:szCs w:val="20"/>
        </w:rPr>
        <w:t xml:space="preserve">Zarządzenie </w:t>
      </w:r>
      <w:r>
        <w:rPr>
          <w:rFonts w:ascii="Arial" w:hAnsi="Arial"/>
          <w:sz w:val="20"/>
          <w:szCs w:val="20"/>
        </w:rPr>
        <w:br/>
        <w:t xml:space="preserve">Dyrektora Generalnego </w:t>
      </w:r>
    </w:p>
    <w:p w:rsidR="007F09E6" w:rsidRDefault="009D337C">
      <w:pPr>
        <w:pStyle w:val="TYTUAKTUprzedmiotregulacjiustawylubrozporzdzenia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Łódzkiego Urzędu Wojewódzkiego w Łodzi</w:t>
      </w:r>
      <w:r>
        <w:rPr>
          <w:rFonts w:ascii="Arial" w:hAnsi="Arial"/>
          <w:sz w:val="20"/>
          <w:szCs w:val="20"/>
        </w:rPr>
        <w:br/>
        <w:t xml:space="preserve">z dnia </w:t>
      </w:r>
      <w:bookmarkStart w:id="1" w:name="ezdDataPodpisu"/>
      <w:r>
        <w:rPr>
          <w:rFonts w:ascii="Arial" w:hAnsi="Arial"/>
          <w:sz w:val="20"/>
          <w:szCs w:val="20"/>
        </w:rPr>
        <w:t>27 czerwca 2025</w:t>
      </w:r>
      <w:bookmarkEnd w:id="1"/>
      <w:r>
        <w:rPr>
          <w:rFonts w:ascii="Arial" w:hAnsi="Arial"/>
          <w:sz w:val="20"/>
          <w:szCs w:val="20"/>
        </w:rPr>
        <w:t xml:space="preserve"> r.</w:t>
      </w:r>
    </w:p>
    <w:p w:rsidR="007F09E6" w:rsidRDefault="009D337C">
      <w:pPr>
        <w:pStyle w:val="TYTUAKTUprzedmiotregulacjiustawylubrozporzdzenia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zmieniające zarządzenie w sprawie zasad wydawania zezwoleń na korzystanie z miejsc postojowych na dziedzińcach Łódzkiego Urzędu Wojewódzkiego w Łodzi</w:t>
      </w:r>
    </w:p>
    <w:bookmarkEnd w:id="0"/>
    <w:p w:rsidR="007F09E6" w:rsidRDefault="009D337C">
      <w:pPr>
        <w:spacing w:line="360" w:lineRule="auto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Na </w:t>
      </w:r>
      <w:r>
        <w:rPr>
          <w:rFonts w:ascii="Arial" w:hAnsi="Arial" w:cs="Arial"/>
          <w:color w:val="000000"/>
          <w:sz w:val="20"/>
          <w:szCs w:val="20"/>
        </w:rPr>
        <w:t>podstawie art. 25 ust. 4 pkt 1 ustawy z dnia 21 listopada 2008 r. o służbie cywilnej (Dz. U. z 2024 r. poz. 409, z 2025 r. poz. 620), zarządza się, co następuje:</w:t>
      </w:r>
    </w:p>
    <w:p w:rsidR="007F09E6" w:rsidRDefault="007F09E6">
      <w:pPr>
        <w:spacing w:line="36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:rsidR="007F09E6" w:rsidRDefault="009D337C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 xml:space="preserve">§ 1. </w:t>
      </w:r>
      <w:r>
        <w:rPr>
          <w:rFonts w:ascii="Arial" w:hAnsi="Arial" w:cs="Arial"/>
          <w:color w:val="000000"/>
          <w:sz w:val="20"/>
          <w:szCs w:val="20"/>
        </w:rPr>
        <w:t>W zarządzeniu Nr 34/2024 Dyrektora Generalnego Łódzkiego Urzędu Wojewódzkiego w Łodzi z</w:t>
      </w:r>
      <w:r>
        <w:rPr>
          <w:rFonts w:ascii="Arial" w:hAnsi="Arial" w:cs="Arial"/>
          <w:color w:val="000000"/>
          <w:sz w:val="20"/>
          <w:szCs w:val="20"/>
        </w:rPr>
        <w:t xml:space="preserve"> dnia 4 listopada 2024 roku w sprawie zasad wydawania zezwoleń na korzystanie z miejsc postojowych na dziedzińcach Łódzkiego Urzędu Wojewódzkiego w Łodzi, wprowadza się następujące zmiany:</w:t>
      </w:r>
    </w:p>
    <w:p w:rsidR="007F09E6" w:rsidRDefault="009D337C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§ 4 uchyla się ust. 7;</w:t>
      </w:r>
    </w:p>
    <w:p w:rsidR="007F09E6" w:rsidRDefault="009D337C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załącznik Nr 1 otrzymuje brzmienie określo</w:t>
      </w:r>
      <w:r>
        <w:rPr>
          <w:rFonts w:ascii="Arial" w:hAnsi="Arial" w:cs="Arial"/>
          <w:color w:val="000000"/>
          <w:sz w:val="20"/>
          <w:szCs w:val="20"/>
        </w:rPr>
        <w:t>ne w załączniku Nr 1 do niniejszego zarządzenia.</w:t>
      </w:r>
    </w:p>
    <w:p w:rsidR="007F09E6" w:rsidRDefault="007F09E6">
      <w:pPr>
        <w:pStyle w:val="Tekstpodstawowy2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F09E6" w:rsidRDefault="009D337C">
      <w:pPr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ab/>
        <w:t xml:space="preserve">§ 2. </w:t>
      </w:r>
      <w:r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7F09E6" w:rsidRDefault="007F09E6">
      <w:pPr>
        <w:spacing w:after="120" w:line="360" w:lineRule="auto"/>
        <w:jc w:val="both"/>
        <w:rPr>
          <w:color w:val="000000"/>
        </w:rPr>
      </w:pPr>
    </w:p>
    <w:p w:rsidR="007F09E6" w:rsidRDefault="009D337C">
      <w:pPr>
        <w:pStyle w:val="Nagwek20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7F09E6" w:rsidRDefault="007F09E6"/>
    <w:sectPr w:rsidR="007F09E6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092EB"/>
    <w:multiLevelType w:val="hybridMultilevel"/>
    <w:tmpl w:val="00000000"/>
    <w:lvl w:ilvl="0" w:tplc="24425F64">
      <w:start w:val="1"/>
      <w:numFmt w:val="none"/>
      <w:suff w:val="nothing"/>
      <w:lvlText w:val=""/>
      <w:lvlJc w:val="left"/>
      <w:pPr>
        <w:ind w:left="0" w:firstLine="0"/>
      </w:pPr>
    </w:lvl>
    <w:lvl w:ilvl="1" w:tplc="0DC6E920">
      <w:start w:val="1"/>
      <w:numFmt w:val="none"/>
      <w:suff w:val="nothing"/>
      <w:lvlText w:val=""/>
      <w:lvlJc w:val="left"/>
      <w:pPr>
        <w:ind w:left="0" w:firstLine="0"/>
      </w:pPr>
    </w:lvl>
    <w:lvl w:ilvl="2" w:tplc="0A8881E2">
      <w:start w:val="1"/>
      <w:numFmt w:val="none"/>
      <w:suff w:val="nothing"/>
      <w:lvlText w:val=""/>
      <w:lvlJc w:val="left"/>
      <w:pPr>
        <w:ind w:left="0" w:firstLine="0"/>
      </w:pPr>
    </w:lvl>
    <w:lvl w:ilvl="3" w:tplc="49060274">
      <w:start w:val="1"/>
      <w:numFmt w:val="none"/>
      <w:suff w:val="nothing"/>
      <w:lvlText w:val=""/>
      <w:lvlJc w:val="left"/>
      <w:pPr>
        <w:ind w:left="0" w:firstLine="0"/>
      </w:pPr>
    </w:lvl>
    <w:lvl w:ilvl="4" w:tplc="700C0024">
      <w:start w:val="1"/>
      <w:numFmt w:val="none"/>
      <w:suff w:val="nothing"/>
      <w:lvlText w:val=""/>
      <w:lvlJc w:val="left"/>
      <w:pPr>
        <w:ind w:left="0" w:firstLine="0"/>
      </w:pPr>
    </w:lvl>
    <w:lvl w:ilvl="5" w:tplc="D9F2BC46">
      <w:start w:val="1"/>
      <w:numFmt w:val="none"/>
      <w:suff w:val="nothing"/>
      <w:lvlText w:val=""/>
      <w:lvlJc w:val="left"/>
      <w:pPr>
        <w:ind w:left="0" w:firstLine="0"/>
      </w:pPr>
    </w:lvl>
    <w:lvl w:ilvl="6" w:tplc="39BA25D0">
      <w:start w:val="1"/>
      <w:numFmt w:val="none"/>
      <w:suff w:val="nothing"/>
      <w:lvlText w:val=""/>
      <w:lvlJc w:val="left"/>
      <w:pPr>
        <w:ind w:left="0" w:firstLine="0"/>
      </w:pPr>
    </w:lvl>
    <w:lvl w:ilvl="7" w:tplc="027E079E">
      <w:start w:val="1"/>
      <w:numFmt w:val="none"/>
      <w:suff w:val="nothing"/>
      <w:lvlText w:val=""/>
      <w:lvlJc w:val="left"/>
      <w:pPr>
        <w:ind w:left="0" w:firstLine="0"/>
      </w:pPr>
    </w:lvl>
    <w:lvl w:ilvl="8" w:tplc="9D5660A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ED57431"/>
    <w:multiLevelType w:val="hybridMultilevel"/>
    <w:tmpl w:val="00000000"/>
    <w:lvl w:ilvl="0" w:tplc="B8BEF6C0">
      <w:start w:val="1"/>
      <w:numFmt w:val="decimal"/>
      <w:suff w:val="space"/>
      <w:lvlText w:val="%1)"/>
      <w:lvlJc w:val="left"/>
      <w:pPr>
        <w:ind w:left="8157" w:hanging="360"/>
      </w:pPr>
    </w:lvl>
    <w:lvl w:ilvl="1" w:tplc="C1C64276">
      <w:start w:val="1"/>
      <w:numFmt w:val="lowerLetter"/>
      <w:lvlText w:val="%2."/>
      <w:lvlJc w:val="left"/>
      <w:pPr>
        <w:ind w:left="8877" w:hanging="360"/>
      </w:pPr>
    </w:lvl>
    <w:lvl w:ilvl="2" w:tplc="1156794C">
      <w:start w:val="1"/>
      <w:numFmt w:val="lowerRoman"/>
      <w:lvlText w:val="%3."/>
      <w:lvlJc w:val="right"/>
      <w:pPr>
        <w:ind w:left="9597" w:hanging="180"/>
      </w:pPr>
    </w:lvl>
    <w:lvl w:ilvl="3" w:tplc="CFE63D18">
      <w:start w:val="1"/>
      <w:numFmt w:val="decimal"/>
      <w:lvlText w:val="%4."/>
      <w:lvlJc w:val="left"/>
      <w:pPr>
        <w:ind w:left="10317" w:hanging="360"/>
      </w:pPr>
    </w:lvl>
    <w:lvl w:ilvl="4" w:tplc="1A9C3714">
      <w:start w:val="1"/>
      <w:numFmt w:val="lowerLetter"/>
      <w:lvlText w:val="%5."/>
      <w:lvlJc w:val="left"/>
      <w:pPr>
        <w:ind w:left="11037" w:hanging="360"/>
      </w:pPr>
    </w:lvl>
    <w:lvl w:ilvl="5" w:tplc="83E8F1FC">
      <w:start w:val="1"/>
      <w:numFmt w:val="lowerRoman"/>
      <w:lvlText w:val="%6."/>
      <w:lvlJc w:val="right"/>
      <w:pPr>
        <w:ind w:left="11757" w:hanging="180"/>
      </w:pPr>
    </w:lvl>
    <w:lvl w:ilvl="6" w:tplc="F9780E18">
      <w:start w:val="1"/>
      <w:numFmt w:val="decimal"/>
      <w:lvlText w:val="%7."/>
      <w:lvlJc w:val="left"/>
      <w:pPr>
        <w:ind w:left="12477" w:hanging="360"/>
      </w:pPr>
    </w:lvl>
    <w:lvl w:ilvl="7" w:tplc="F4D2D532">
      <w:start w:val="1"/>
      <w:numFmt w:val="lowerLetter"/>
      <w:lvlText w:val="%8."/>
      <w:lvlJc w:val="left"/>
      <w:pPr>
        <w:ind w:left="13197" w:hanging="360"/>
      </w:pPr>
    </w:lvl>
    <w:lvl w:ilvl="8" w:tplc="7B700236">
      <w:start w:val="1"/>
      <w:numFmt w:val="lowerRoman"/>
      <w:lvlText w:val="%9."/>
      <w:lvlJc w:val="right"/>
      <w:pPr>
        <w:ind w:left="1391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E6"/>
    <w:rsid w:val="007F09E6"/>
    <w:rsid w:val="009D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43F97-94FD-4127-ACA1-77FA2468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pPr>
      <w:suppressAutoHyphens/>
    </w:pPr>
    <w:rPr>
      <w:rFonts w:ascii="Calibri" w:eastAsiaTheme="minorHAns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NagwekZnak">
    <w:name w:val="Nagłówek Znak"/>
    <w:link w:val="Nagwek1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1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964620"/>
    <w:rPr>
      <w:rFonts w:ascii="Times New Roman" w:hAnsi="Times New Roman" w:cs="Courier New"/>
      <w:lang w:eastAsia="ar-SA"/>
    </w:rPr>
  </w:style>
  <w:style w:type="paragraph" w:customStyle="1" w:styleId="Nagwek1">
    <w:name w:val="Nagłówek1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 w:firstLine="0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 w:firstLine="0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 w:firstLine="0"/>
    </w:pPr>
  </w:style>
  <w:style w:type="paragraph" w:customStyle="1" w:styleId="Stopka1">
    <w:name w:val="Stopka1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spacing w:before="120" w:line="360" w:lineRule="auto"/>
      <w:ind w:firstLine="510"/>
      <w:jc w:val="both"/>
    </w:pPr>
    <w:rPr>
      <w:rFonts w:eastAsiaTheme="minorEastAsia" w:cs="Arial"/>
      <w:sz w:val="22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uppressAutoHyphens/>
      <w:spacing w:line="360" w:lineRule="auto"/>
    </w:pPr>
    <w:rPr>
      <w:kern w:val="2"/>
      <w:sz w:val="2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 w:firstLine="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eastAsiaTheme="minorEastAsia" w:cs="Arial"/>
      <w:bCs/>
      <w:sz w:val="22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eastAsiaTheme="minorEastAsia" w:cs="Arial"/>
      <w:b/>
      <w:bCs/>
      <w:sz w:val="22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"/>
      <w:sz w:val="2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"/>
      <w:sz w:val="2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uppressAutoHyphens/>
      <w:spacing w:line="360" w:lineRule="auto"/>
      <w:ind w:left="510" w:hanging="510"/>
      <w:jc w:val="both"/>
    </w:pPr>
    <w:rPr>
      <w:rFonts w:eastAsiaTheme="minorEastAsia" w:cs="Arial"/>
      <w:bCs/>
      <w:sz w:val="22"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eastAsiaTheme="minorEastAsia"/>
      <w:b/>
      <w:bCs/>
      <w:sz w:val="22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uppressAutoHyphens/>
      <w:spacing w:before="120" w:line="360" w:lineRule="auto"/>
      <w:jc w:val="center"/>
    </w:pPr>
    <w:rPr>
      <w:rFonts w:eastAsiaTheme="minorEastAsia" w:cs="Arial"/>
      <w:bCs/>
      <w:caps/>
      <w:kern w:val="2"/>
      <w:sz w:val="2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2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eastAsiaTheme="minorEastAsia" w:cs="Arial"/>
      <w:bCs/>
      <w:kern w:val="2"/>
      <w:sz w:val="2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uppressAutoHyphens/>
      <w:ind w:left="284" w:hanging="284"/>
      <w:jc w:val="both"/>
    </w:pPr>
    <w:rPr>
      <w:rFonts w:ascii="Times New Roman" w:eastAsiaTheme="minorEastAsia" w:hAnsi="Times New Roman" w:cs="Arial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eastAsiaTheme="minorEastAsia" w:cs="Arial"/>
      <w:bCs/>
      <w:kern w:val="2"/>
      <w:sz w:val="2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2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uppressAutoHyphens/>
      <w:spacing w:line="360" w:lineRule="auto"/>
      <w:jc w:val="right"/>
    </w:pPr>
    <w:rPr>
      <w:rFonts w:ascii="Times New Roman" w:eastAsiaTheme="minorEastAsia" w:hAnsi="Times New Roman" w:cs="Arial"/>
      <w:sz w:val="22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uppressAutoHyphens/>
      <w:spacing w:line="360" w:lineRule="auto"/>
    </w:pPr>
    <w:rPr>
      <w:rFonts w:ascii="Times New Roman" w:eastAsiaTheme="minorEastAsia" w:hAnsi="Times New Roman" w:cs="Arial"/>
      <w:b/>
      <w:sz w:val="22"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2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uppressAutoHyphens/>
      <w:spacing w:line="360" w:lineRule="auto"/>
      <w:jc w:val="center"/>
    </w:pPr>
    <w:rPr>
      <w:rFonts w:ascii="Times New Roman" w:eastAsiaTheme="minorEastAsia" w:hAnsi="Times New Roman" w:cs="Arial"/>
      <w:sz w:val="22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pPr>
      <w:suppressAutoHyphens/>
    </w:pPr>
    <w:rPr>
      <w:rFonts w:ascii="Times New Roman" w:eastAsia="Cambria Math" w:hAnsi="Times New Roman"/>
      <w:szCs w:val="20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964620"/>
    <w:pPr>
      <w:spacing w:after="120" w:line="480" w:lineRule="auto"/>
    </w:pPr>
    <w:rPr>
      <w:rFonts w:ascii="Times New Roman" w:eastAsia="Times New Roman" w:hAnsi="Times New Roman" w:cs="Courier New"/>
      <w:sz w:val="24"/>
      <w:szCs w:val="24"/>
      <w:lang w:eastAsia="ar-SA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CED2B-52B6-4387-9CE5-CEB4D9D7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2025-07-01T08:09:00Z</dcterms:created>
  <dcterms:modified xsi:type="dcterms:W3CDTF">2025-07-01T08:09:00Z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ategory">
    <vt:lpwstr>000</vt:lpwstr>
  </property>
  <property fmtid="{D5CDD505-2E9C-101B-9397-08002B2CF9AE}" pid="4" name="Company">
    <vt:lpwstr>&lt;nazwa organu&gt;</vt:lpwstr>
  </property>
  <property fmtid="{D5CDD505-2E9C-101B-9397-08002B2CF9AE}" pid="5" name="Data og?oszenia">
    <vt:lpwstr>&lt;data ogłoszenia&gt;</vt:lpwstr>
  </property>
  <property fmtid="{D5CDD505-2E9C-101B-9397-08002B2CF9AE}" pid="6" name="Data wydania obwieszczenia">
    <vt:lpwstr>&lt;data wydania obwieszczenia&gt;</vt:lpwstr>
  </property>
  <property fmtid="{D5CDD505-2E9C-101B-9397-08002B2CF9AE}" pid="7" name="DocSecurity">
    <vt:i4>0</vt:i4>
  </property>
  <property fmtid="{D5CDD505-2E9C-101B-9397-08002B2CF9AE}" pid="8" name="HyperlinksChanged">
    <vt:bool>false</vt:bool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