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E6" w:rsidRDefault="009D337C">
      <w:pPr>
        <w:pStyle w:val="TYTUAKTUprzedmiotregulacjiustawylubrozporzdzenia"/>
        <w:rPr>
          <w:rFonts w:ascii="Arial" w:hAnsi="Arial"/>
          <w:sz w:val="20"/>
          <w:szCs w:val="20"/>
        </w:rPr>
      </w:pPr>
      <w:bookmarkStart w:id="0" w:name="_GoBack"/>
      <w:r>
        <w:rPr>
          <w:rFonts w:ascii="Arial" w:hAnsi="Arial"/>
          <w:sz w:val="20"/>
          <w:szCs w:val="20"/>
        </w:rPr>
        <w:t xml:space="preserve">Zarządzenie </w:t>
      </w:r>
      <w:r>
        <w:rPr>
          <w:rFonts w:ascii="Arial" w:hAnsi="Arial"/>
          <w:sz w:val="20"/>
          <w:szCs w:val="20"/>
        </w:rPr>
        <w:br/>
        <w:t xml:space="preserve">Dyrektora Generalnego </w:t>
      </w:r>
    </w:p>
    <w:p w:rsidR="007F09E6" w:rsidRDefault="009D337C">
      <w:pPr>
        <w:pStyle w:val="TYTUAKTUprzedmiotregulacjiustawylubrozporzdzenia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Łódzkiego Urzędu Wojewódzkiego w Łodzi</w:t>
      </w:r>
      <w:r>
        <w:rPr>
          <w:rFonts w:ascii="Arial" w:hAnsi="Arial"/>
          <w:sz w:val="20"/>
          <w:szCs w:val="20"/>
        </w:rPr>
        <w:br/>
        <w:t xml:space="preserve">z dnia </w:t>
      </w:r>
      <w:bookmarkStart w:id="1" w:name="ezdDataPodpisu"/>
      <w:r>
        <w:rPr>
          <w:rFonts w:ascii="Arial" w:hAnsi="Arial"/>
          <w:sz w:val="20"/>
          <w:szCs w:val="20"/>
        </w:rPr>
        <w:t>27 czerwca 2025</w:t>
      </w:r>
      <w:bookmarkEnd w:id="1"/>
      <w:r>
        <w:rPr>
          <w:rFonts w:ascii="Arial" w:hAnsi="Arial"/>
          <w:sz w:val="20"/>
          <w:szCs w:val="20"/>
        </w:rPr>
        <w:t xml:space="preserve"> r.</w:t>
      </w:r>
    </w:p>
    <w:p w:rsidR="007F09E6" w:rsidRDefault="009D337C">
      <w:pPr>
        <w:pStyle w:val="TYTUAKTUprzedmiotregulacjiustawylubrozporzdzenia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zmieniające zarządzenie w sprawie zasad wydawania zezwoleń na korzystanie z miejsc postojowych na dziedzińcach Łódzkiego Urzędu Wojewódzkiego w Łodzi</w:t>
      </w:r>
    </w:p>
    <w:bookmarkEnd w:id="0"/>
    <w:p w:rsidR="007F09E6" w:rsidRDefault="009D337C">
      <w:pPr>
        <w:spacing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Na </w:t>
      </w:r>
      <w:r>
        <w:rPr>
          <w:rFonts w:ascii="Arial" w:hAnsi="Arial" w:cs="Arial"/>
          <w:color w:val="000000"/>
          <w:sz w:val="20"/>
          <w:szCs w:val="20"/>
        </w:rPr>
        <w:t>podstawie art. 25 ust. 4 pkt 1 ustawy z dnia 21 listopada 2008 r. o służbie cywilnej (Dz. U. z 2024 r. poz. 409, z 2025 r. poz. 620), zarządza się, co następuje:</w:t>
      </w:r>
    </w:p>
    <w:p w:rsidR="007F09E6" w:rsidRDefault="007F09E6">
      <w:pPr>
        <w:spacing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7F09E6" w:rsidRDefault="009D337C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 xml:space="preserve">§ 1. </w:t>
      </w:r>
      <w:r>
        <w:rPr>
          <w:rFonts w:ascii="Arial" w:hAnsi="Arial" w:cs="Arial"/>
          <w:color w:val="000000"/>
          <w:sz w:val="20"/>
          <w:szCs w:val="20"/>
        </w:rPr>
        <w:t>W zarządzeniu Nr 34/2024 Dyrektora Generalnego Łódzkiego Urzędu Wojewódzkiego w Łodzi z</w:t>
      </w:r>
      <w:r>
        <w:rPr>
          <w:rFonts w:ascii="Arial" w:hAnsi="Arial" w:cs="Arial"/>
          <w:color w:val="000000"/>
          <w:sz w:val="20"/>
          <w:szCs w:val="20"/>
        </w:rPr>
        <w:t xml:space="preserve"> dnia 4 listopada 2024 roku w sprawie zasad wydawania zezwoleń na korzystanie z miejsc postojowych na dziedzińcach Łódzkiego Urzędu Wojewódzkiego w Łodzi, wprowadza się następujące zmiany:</w:t>
      </w:r>
    </w:p>
    <w:p w:rsidR="007F09E6" w:rsidRDefault="009D337C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§ 4 uchyla się ust. 7;</w:t>
      </w:r>
    </w:p>
    <w:p w:rsidR="007F09E6" w:rsidRDefault="009D337C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załącznik Nr 1 otrzymuje brzmienie określo</w:t>
      </w:r>
      <w:r>
        <w:rPr>
          <w:rFonts w:ascii="Arial" w:hAnsi="Arial" w:cs="Arial"/>
          <w:color w:val="000000"/>
          <w:sz w:val="20"/>
          <w:szCs w:val="20"/>
        </w:rPr>
        <w:t>ne w załączniku Nr 1 do niniejszego zarządzenia.</w:t>
      </w:r>
    </w:p>
    <w:p w:rsidR="007F09E6" w:rsidRDefault="007F09E6">
      <w:pPr>
        <w:pStyle w:val="Tekstpodstawowy2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F09E6" w:rsidRDefault="009D337C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  <w:t xml:space="preserve">§ 2. </w:t>
      </w:r>
      <w:r>
        <w:rPr>
          <w:rFonts w:ascii="Arial" w:hAnsi="Arial" w:cs="Arial"/>
          <w:color w:val="000000"/>
          <w:sz w:val="20"/>
          <w:szCs w:val="20"/>
        </w:rPr>
        <w:t>Zarządzenie wchodzi w życie z dniem podpisania.</w:t>
      </w:r>
    </w:p>
    <w:p w:rsidR="007F09E6" w:rsidRDefault="007F09E6">
      <w:pPr>
        <w:spacing w:after="120" w:line="360" w:lineRule="auto"/>
        <w:jc w:val="both"/>
        <w:rPr>
          <w:color w:val="000000"/>
        </w:rPr>
      </w:pPr>
    </w:p>
    <w:p w:rsidR="007F09E6" w:rsidRDefault="009D337C">
      <w:pPr>
        <w:pStyle w:val="Nagwek20"/>
        <w:spacing w:before="0" w:after="0"/>
        <w:ind w:left="5595"/>
        <w:jc w:val="center"/>
      </w:pPr>
      <w:bookmarkStart w:id="2" w:name="ezdPracownikAtrybut2"/>
      <w:r>
        <w:rPr>
          <w:rFonts w:cs="Times New Roman"/>
          <w:b/>
          <w:bCs/>
          <w:color w:val="000000"/>
          <w:sz w:val="26"/>
          <w:szCs w:val="26"/>
        </w:rPr>
        <w:t>DYREKTOR GENERALNY URZĘDU</w:t>
      </w:r>
      <w:bookmarkEnd w:id="2"/>
      <w:r>
        <w:rPr>
          <w:rFonts w:cs="Times New Roman"/>
          <w:b/>
          <w:bCs/>
          <w:color w:val="000000"/>
          <w:sz w:val="26"/>
          <w:szCs w:val="26"/>
        </w:rPr>
        <w:br/>
      </w:r>
      <w:r>
        <w:rPr>
          <w:rFonts w:cs="Times New Roman"/>
          <w:b/>
          <w:bCs/>
          <w:color w:val="000000"/>
          <w:sz w:val="26"/>
          <w:szCs w:val="26"/>
        </w:rPr>
        <w:br/>
      </w:r>
      <w:bookmarkStart w:id="3" w:name="ezdPracownikNazwa"/>
      <w:r>
        <w:rPr>
          <w:rFonts w:cs="Times New Roman"/>
          <w:b/>
          <w:bCs/>
          <w:i/>
          <w:iCs/>
          <w:color w:val="000000"/>
          <w:sz w:val="26"/>
          <w:szCs w:val="26"/>
        </w:rPr>
        <w:t>Aleksandra Sowińska-Banaszkiewicz</w:t>
      </w:r>
      <w:bookmarkEnd w:id="3"/>
    </w:p>
    <w:p w:rsidR="007F09E6" w:rsidRDefault="007F09E6"/>
    <w:sectPr w:rsidR="007F09E6">
      <w:pgSz w:w="11906" w:h="16838"/>
      <w:pgMar w:top="1560" w:right="1434" w:bottom="1560" w:left="1418" w:header="0" w:footer="0" w:gutter="0"/>
      <w:cols w:space="708"/>
      <w:formProt w:val="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pitch w:val="variable"/>
  </w:font>
  <w:font w:name="Lucida Sans Unicode">
    <w:panose1 w:val="020B0602030504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092EB"/>
    <w:multiLevelType w:val="hybridMultilevel"/>
    <w:tmpl w:val="00000000"/>
    <w:lvl w:ilvl="0" w:tplc="24425F64">
      <w:start w:val="1"/>
      <w:numFmt w:val="none"/>
      <w:suff w:val="nothing"/>
      <w:lvlText w:val=""/>
      <w:lvlJc w:val="left"/>
      <w:pPr>
        <w:ind w:left="0" w:firstLine="0"/>
      </w:pPr>
    </w:lvl>
    <w:lvl w:ilvl="1" w:tplc="0DC6E920">
      <w:start w:val="1"/>
      <w:numFmt w:val="none"/>
      <w:suff w:val="nothing"/>
      <w:lvlText w:val=""/>
      <w:lvlJc w:val="left"/>
      <w:pPr>
        <w:ind w:left="0" w:firstLine="0"/>
      </w:pPr>
    </w:lvl>
    <w:lvl w:ilvl="2" w:tplc="0A8881E2">
      <w:start w:val="1"/>
      <w:numFmt w:val="none"/>
      <w:suff w:val="nothing"/>
      <w:lvlText w:val=""/>
      <w:lvlJc w:val="left"/>
      <w:pPr>
        <w:ind w:left="0" w:firstLine="0"/>
      </w:pPr>
    </w:lvl>
    <w:lvl w:ilvl="3" w:tplc="49060274">
      <w:start w:val="1"/>
      <w:numFmt w:val="none"/>
      <w:suff w:val="nothing"/>
      <w:lvlText w:val=""/>
      <w:lvlJc w:val="left"/>
      <w:pPr>
        <w:ind w:left="0" w:firstLine="0"/>
      </w:pPr>
    </w:lvl>
    <w:lvl w:ilvl="4" w:tplc="700C0024">
      <w:start w:val="1"/>
      <w:numFmt w:val="none"/>
      <w:suff w:val="nothing"/>
      <w:lvlText w:val=""/>
      <w:lvlJc w:val="left"/>
      <w:pPr>
        <w:ind w:left="0" w:firstLine="0"/>
      </w:pPr>
    </w:lvl>
    <w:lvl w:ilvl="5" w:tplc="D9F2BC46">
      <w:start w:val="1"/>
      <w:numFmt w:val="none"/>
      <w:suff w:val="nothing"/>
      <w:lvlText w:val=""/>
      <w:lvlJc w:val="left"/>
      <w:pPr>
        <w:ind w:left="0" w:firstLine="0"/>
      </w:pPr>
    </w:lvl>
    <w:lvl w:ilvl="6" w:tplc="39BA25D0">
      <w:start w:val="1"/>
      <w:numFmt w:val="none"/>
      <w:suff w:val="nothing"/>
      <w:lvlText w:val=""/>
      <w:lvlJc w:val="left"/>
      <w:pPr>
        <w:ind w:left="0" w:firstLine="0"/>
      </w:pPr>
    </w:lvl>
    <w:lvl w:ilvl="7" w:tplc="027E079E">
      <w:start w:val="1"/>
      <w:numFmt w:val="none"/>
      <w:suff w:val="nothing"/>
      <w:lvlText w:val=""/>
      <w:lvlJc w:val="left"/>
      <w:pPr>
        <w:ind w:left="0" w:firstLine="0"/>
      </w:pPr>
    </w:lvl>
    <w:lvl w:ilvl="8" w:tplc="9D5660A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ED57431"/>
    <w:multiLevelType w:val="hybridMultilevel"/>
    <w:tmpl w:val="00000000"/>
    <w:lvl w:ilvl="0" w:tplc="B8BEF6C0">
      <w:start w:val="1"/>
      <w:numFmt w:val="decimal"/>
      <w:suff w:val="space"/>
      <w:lvlText w:val="%1)"/>
      <w:lvlJc w:val="left"/>
      <w:pPr>
        <w:ind w:left="8157" w:hanging="360"/>
      </w:pPr>
    </w:lvl>
    <w:lvl w:ilvl="1" w:tplc="C1C64276">
      <w:start w:val="1"/>
      <w:numFmt w:val="lowerLetter"/>
      <w:lvlText w:val="%2."/>
      <w:lvlJc w:val="left"/>
      <w:pPr>
        <w:ind w:left="8877" w:hanging="360"/>
      </w:pPr>
    </w:lvl>
    <w:lvl w:ilvl="2" w:tplc="1156794C">
      <w:start w:val="1"/>
      <w:numFmt w:val="lowerRoman"/>
      <w:lvlText w:val="%3."/>
      <w:lvlJc w:val="right"/>
      <w:pPr>
        <w:ind w:left="9597" w:hanging="180"/>
      </w:pPr>
    </w:lvl>
    <w:lvl w:ilvl="3" w:tplc="CFE63D18">
      <w:start w:val="1"/>
      <w:numFmt w:val="decimal"/>
      <w:lvlText w:val="%4."/>
      <w:lvlJc w:val="left"/>
      <w:pPr>
        <w:ind w:left="10317" w:hanging="360"/>
      </w:pPr>
    </w:lvl>
    <w:lvl w:ilvl="4" w:tplc="1A9C3714">
      <w:start w:val="1"/>
      <w:numFmt w:val="lowerLetter"/>
      <w:lvlText w:val="%5."/>
      <w:lvlJc w:val="left"/>
      <w:pPr>
        <w:ind w:left="11037" w:hanging="360"/>
      </w:pPr>
    </w:lvl>
    <w:lvl w:ilvl="5" w:tplc="83E8F1FC">
      <w:start w:val="1"/>
      <w:numFmt w:val="lowerRoman"/>
      <w:lvlText w:val="%6."/>
      <w:lvlJc w:val="right"/>
      <w:pPr>
        <w:ind w:left="11757" w:hanging="180"/>
      </w:pPr>
    </w:lvl>
    <w:lvl w:ilvl="6" w:tplc="F9780E18">
      <w:start w:val="1"/>
      <w:numFmt w:val="decimal"/>
      <w:lvlText w:val="%7."/>
      <w:lvlJc w:val="left"/>
      <w:pPr>
        <w:ind w:left="12477" w:hanging="360"/>
      </w:pPr>
    </w:lvl>
    <w:lvl w:ilvl="7" w:tplc="F4D2D532">
      <w:start w:val="1"/>
      <w:numFmt w:val="lowerLetter"/>
      <w:lvlText w:val="%8."/>
      <w:lvlJc w:val="left"/>
      <w:pPr>
        <w:ind w:left="13197" w:hanging="360"/>
      </w:pPr>
    </w:lvl>
    <w:lvl w:ilvl="8" w:tplc="7B700236">
      <w:start w:val="1"/>
      <w:numFmt w:val="lowerRoman"/>
      <w:lvlText w:val="%9."/>
      <w:lvlJc w:val="right"/>
      <w:pPr>
        <w:ind w:left="139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E6"/>
    <w:rsid w:val="007F09E6"/>
    <w:rsid w:val="009D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43F97-94FD-4127-ACA1-77FA2468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587E2A"/>
    <w:pPr>
      <w:suppressAutoHyphens/>
    </w:pPr>
    <w:rPr>
      <w:rFonts w:ascii="Calibri" w:eastAsiaTheme="minorHAns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Znakiprzypiswdolnych">
    <w:name w:val="Znaki przypisów dolnych"/>
    <w:uiPriority w:val="99"/>
    <w:semiHidden/>
    <w:qFormat/>
    <w:rsid w:val="004C3F97"/>
    <w:rPr>
      <w:rFonts w:cs="Times New Roman"/>
      <w:vertAlign w:val="superscript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NagwekZnak">
    <w:name w:val="Nagłówek Znak"/>
    <w:link w:val="Nagwek1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1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kstpodstawowyZnak">
    <w:name w:val="Tekst podstawowy Znak"/>
    <w:basedOn w:val="Domylnaczcionkaakapitu"/>
    <w:qFormat/>
    <w:rPr>
      <w:sz w:val="24"/>
      <w:szCs w:val="24"/>
    </w:rPr>
  </w:style>
  <w:style w:type="character" w:customStyle="1" w:styleId="Znakinumeracji">
    <w:name w:val="Znaki numeracji"/>
    <w:qFormat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964620"/>
    <w:rPr>
      <w:rFonts w:ascii="Times New Roman" w:hAnsi="Times New Roman" w:cs="Courier New"/>
      <w:lang w:eastAsia="ar-SA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 w:firstLine="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 w:firstLine="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 w:firstLine="0"/>
    </w:pPr>
  </w:style>
  <w:style w:type="paragraph" w:customStyle="1" w:styleId="Stopka1">
    <w:name w:val="Stopka1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spacing w:before="120" w:line="360" w:lineRule="auto"/>
      <w:ind w:firstLine="510"/>
      <w:jc w:val="both"/>
    </w:pPr>
    <w:rPr>
      <w:rFonts w:eastAsiaTheme="minorEastAsia" w:cs="Arial"/>
      <w:sz w:val="22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uppressAutoHyphens/>
      <w:spacing w:line="360" w:lineRule="auto"/>
    </w:pPr>
    <w:rPr>
      <w:kern w:val="2"/>
      <w:sz w:val="2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 w:firstLine="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eastAsiaTheme="minorEastAsia" w:cs="Arial"/>
      <w:bCs/>
      <w:sz w:val="22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eastAsiaTheme="minorEastAsia" w:cs="Arial"/>
      <w:b/>
      <w:bCs/>
      <w:sz w:val="22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"/>
      <w:sz w:val="2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"/>
      <w:sz w:val="2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uppressAutoHyphens/>
      <w:spacing w:line="360" w:lineRule="auto"/>
      <w:ind w:left="510" w:hanging="510"/>
      <w:jc w:val="both"/>
    </w:pPr>
    <w:rPr>
      <w:rFonts w:eastAsiaTheme="minorEastAsia" w:cs="Arial"/>
      <w:bCs/>
      <w:sz w:val="22"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eastAsiaTheme="minorEastAsia"/>
      <w:b/>
      <w:bCs/>
      <w:sz w:val="22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uppressAutoHyphens/>
      <w:spacing w:before="120" w:line="360" w:lineRule="auto"/>
      <w:jc w:val="center"/>
    </w:pPr>
    <w:rPr>
      <w:rFonts w:eastAsiaTheme="minorEastAsia" w:cs="Arial"/>
      <w:bCs/>
      <w:caps/>
      <w:kern w:val="2"/>
      <w:sz w:val="2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2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eastAsiaTheme="minorEastAsia" w:cs="Arial"/>
      <w:bCs/>
      <w:kern w:val="2"/>
      <w:sz w:val="2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uppressAutoHyphens/>
      <w:ind w:left="284" w:hanging="284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eastAsiaTheme="minorEastAsia" w:cs="Arial"/>
      <w:bCs/>
      <w:kern w:val="2"/>
      <w:sz w:val="2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2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uppressAutoHyphens/>
      <w:spacing w:line="360" w:lineRule="auto"/>
      <w:jc w:val="right"/>
    </w:pPr>
    <w:rPr>
      <w:rFonts w:ascii="Times New Roman" w:eastAsiaTheme="minorEastAsia" w:hAnsi="Times New Roman" w:cs="Arial"/>
      <w:sz w:val="22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uppressAutoHyphens/>
      <w:spacing w:line="360" w:lineRule="auto"/>
    </w:pPr>
    <w:rPr>
      <w:rFonts w:ascii="Times New Roman" w:eastAsiaTheme="minorEastAsia" w:hAnsi="Times New Roman" w:cs="Arial"/>
      <w:b/>
      <w:sz w:val="22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uppressAutoHyphens/>
      <w:spacing w:after="240"/>
      <w:ind w:left="5670"/>
      <w:contextualSpacing/>
    </w:pPr>
    <w:rPr>
      <w:rFonts w:ascii="Times New Roman" w:eastAsiaTheme="minorEastAsia" w:hAnsi="Times New Roman" w:cs="Arial"/>
      <w:sz w:val="22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pacing w:line="360" w:lineRule="auto"/>
      <w:ind w:firstLine="510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pacing w:line="360" w:lineRule="auto"/>
      <w:jc w:val="center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uppressAutoHyphens/>
      <w:spacing w:line="360" w:lineRule="auto"/>
      <w:jc w:val="center"/>
    </w:pPr>
    <w:rPr>
      <w:rFonts w:ascii="Times New Roman" w:eastAsiaTheme="minorEastAsia" w:hAnsi="Times New Roman" w:cs="Arial"/>
      <w:sz w:val="22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pPr>
      <w:suppressAutoHyphens/>
    </w:pPr>
    <w:rPr>
      <w:rFonts w:ascii="Times New Roman" w:eastAsia="Cambria Math" w:hAnsi="Times New Roman"/>
      <w:szCs w:val="20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964620"/>
    <w:pPr>
      <w:spacing w:after="120" w:line="48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ED2B-52B6-4387-9CE5-CEB4D9D7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Agnieszka Rosiak (arosiak)</cp:lastModifiedBy>
  <cp:revision>2</cp:revision>
  <cp:lastPrinted>2012-04-23T06:39:00Z</cp:lastPrinted>
  <dcterms:created xsi:type="dcterms:W3CDTF">2025-07-01T08:09:00Z</dcterms:created>
  <dcterms:modified xsi:type="dcterms:W3CDTF">2025-07-01T08:09:00Z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ategory">
    <vt:lpwstr>000</vt:lpwstr>
  </property>
  <property fmtid="{D5CDD505-2E9C-101B-9397-08002B2CF9AE}" pid="4" name="Company">
    <vt:lpwstr>&lt;nazwa organu&gt;</vt:lpwstr>
  </property>
  <property fmtid="{D5CDD505-2E9C-101B-9397-08002B2CF9AE}" pid="5" name="Data og?oszenia">
    <vt:lpwstr>&lt;data ogłoszenia&gt;</vt:lpwstr>
  </property>
  <property fmtid="{D5CDD505-2E9C-101B-9397-08002B2CF9AE}" pid="6" name="Data wydania obwieszczenia">
    <vt:lpwstr>&lt;data wydania obwieszczenia&gt;</vt:lpwstr>
  </property>
  <property fmtid="{D5CDD505-2E9C-101B-9397-08002B2CF9AE}" pid="7" name="DocSecurity">
    <vt:i4>0</vt:i4>
  </property>
  <property fmtid="{D5CDD505-2E9C-101B-9397-08002B2CF9AE}" pid="8" name="HyperlinksChanged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