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FA" w:rsidRPr="00585534" w:rsidRDefault="005413FA" w:rsidP="00554414">
      <w:pPr>
        <w:spacing w:after="120" w:line="264" w:lineRule="atLeast"/>
        <w:ind w:left="40"/>
        <w:jc w:val="center"/>
        <w:outlineLvl w:val="1"/>
        <w:rPr>
          <w:rFonts w:ascii="Arial" w:hAnsi="Arial" w:cs="Arial"/>
          <w:color w:val="000000"/>
          <w:sz w:val="29"/>
          <w:szCs w:val="29"/>
          <w:lang w:eastAsia="pl-PL"/>
        </w:rPr>
      </w:pPr>
      <w:r w:rsidRPr="00643BDC">
        <w:rPr>
          <w:rFonts w:ascii="Arial" w:hAnsi="Arial" w:cs="Arial"/>
          <w:b/>
          <w:bCs/>
          <w:color w:val="000000"/>
          <w:sz w:val="29"/>
          <w:szCs w:val="29"/>
          <w:lang w:eastAsia="pl-PL"/>
        </w:rPr>
        <w:t xml:space="preserve">OGŁOSZENIE O NABORZE WNIOSKÓW nr </w:t>
      </w:r>
      <w:r w:rsidR="00087CAA" w:rsidRPr="00643BDC">
        <w:rPr>
          <w:rFonts w:ascii="Arial" w:hAnsi="Arial" w:cs="Arial"/>
          <w:b/>
          <w:bCs/>
          <w:color w:val="000000"/>
          <w:sz w:val="29"/>
          <w:szCs w:val="29"/>
          <w:lang w:eastAsia="pl-PL"/>
        </w:rPr>
        <w:t>4</w:t>
      </w:r>
      <w:r w:rsidRPr="00643BDC">
        <w:rPr>
          <w:rFonts w:ascii="Arial" w:hAnsi="Arial" w:cs="Arial"/>
          <w:b/>
          <w:bCs/>
          <w:color w:val="000000"/>
          <w:sz w:val="29"/>
          <w:szCs w:val="29"/>
          <w:lang w:eastAsia="pl-PL"/>
        </w:rPr>
        <w:t>/2016</w:t>
      </w:r>
    </w:p>
    <w:p w:rsidR="005413FA" w:rsidRPr="00643BDC" w:rsidRDefault="005413FA" w:rsidP="00554414">
      <w:pPr>
        <w:spacing w:after="120" w:line="264" w:lineRule="atLeast"/>
        <w:ind w:left="40"/>
        <w:jc w:val="center"/>
        <w:outlineLvl w:val="1"/>
        <w:rPr>
          <w:rFonts w:ascii="Arial" w:hAnsi="Arial" w:cs="Arial"/>
          <w:color w:val="000000"/>
          <w:sz w:val="29"/>
          <w:szCs w:val="29"/>
          <w:lang w:eastAsia="pl-PL"/>
        </w:rPr>
      </w:pPr>
      <w:r w:rsidRPr="00643BDC">
        <w:rPr>
          <w:rFonts w:ascii="Arial" w:hAnsi="Arial" w:cs="Arial"/>
          <w:b/>
          <w:bCs/>
          <w:color w:val="000000"/>
          <w:sz w:val="29"/>
          <w:szCs w:val="29"/>
          <w:lang w:eastAsia="pl-PL"/>
        </w:rPr>
        <w:t>OTWARTY KONKURS W RAMACH FUNDUSZU AZYLU, MIGRACJI I INTEGRACJI</w:t>
      </w:r>
    </w:p>
    <w:p w:rsidR="00883F46" w:rsidRPr="00AB7A7C" w:rsidRDefault="00883F46" w:rsidP="00AB7A7C">
      <w:pPr>
        <w:spacing w:after="0" w:line="0" w:lineRule="atLeast"/>
        <w:ind w:left="40"/>
        <w:jc w:val="center"/>
        <w:rPr>
          <w:rFonts w:ascii="Arial" w:hAnsi="Arial" w:cs="Arial"/>
          <w:b/>
          <w:bCs/>
          <w:color w:val="010101"/>
          <w:sz w:val="24"/>
          <w:szCs w:val="18"/>
          <w:lang w:eastAsia="pl-PL"/>
        </w:rPr>
      </w:pPr>
      <w:r w:rsidRPr="00AB7A7C">
        <w:rPr>
          <w:rFonts w:ascii="Arial" w:hAnsi="Arial" w:cs="Arial"/>
          <w:b/>
          <w:bCs/>
          <w:color w:val="010101"/>
          <w:sz w:val="24"/>
          <w:szCs w:val="18"/>
          <w:lang w:eastAsia="pl-PL"/>
        </w:rPr>
        <w:t>MINISTERSTWO SPRAW WEWNĘTRZNYCH I ADMIN</w:t>
      </w:r>
      <w:r w:rsidR="00300E86">
        <w:rPr>
          <w:rFonts w:ascii="Arial" w:hAnsi="Arial" w:cs="Arial"/>
          <w:b/>
          <w:bCs/>
          <w:color w:val="010101"/>
          <w:sz w:val="24"/>
          <w:szCs w:val="18"/>
          <w:lang w:eastAsia="pl-PL"/>
        </w:rPr>
        <w:t>I</w:t>
      </w:r>
      <w:r w:rsidRPr="00AB7A7C">
        <w:rPr>
          <w:rFonts w:ascii="Arial" w:hAnsi="Arial" w:cs="Arial"/>
          <w:b/>
          <w:bCs/>
          <w:color w:val="010101"/>
          <w:sz w:val="24"/>
          <w:szCs w:val="18"/>
          <w:lang w:eastAsia="pl-PL"/>
        </w:rPr>
        <w:t>STRACJI</w:t>
      </w:r>
    </w:p>
    <w:p w:rsidR="00883F46" w:rsidRPr="00585534" w:rsidRDefault="00883F46" w:rsidP="00AB7A7C">
      <w:pPr>
        <w:spacing w:after="0" w:line="160" w:lineRule="atLeast"/>
        <w:ind w:left="40"/>
        <w:jc w:val="center"/>
        <w:rPr>
          <w:rFonts w:ascii="Arial" w:hAnsi="Arial" w:cs="Arial"/>
          <w:b/>
          <w:bCs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(</w:t>
      </w:r>
      <w:r w:rsidR="005413FA"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ORGAN ODPOWIEDZIALNY</w:t>
      </w: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)</w:t>
      </w:r>
    </w:p>
    <w:p w:rsidR="005413FA" w:rsidRPr="00643BDC" w:rsidRDefault="005413FA" w:rsidP="00554414">
      <w:pPr>
        <w:spacing w:before="100" w:beforeAutospacing="1" w:after="100" w:afterAutospacing="1" w:line="336" w:lineRule="atLeast"/>
        <w:ind w:left="40"/>
        <w:jc w:val="center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OGŁASZA NABÓR</w:t>
      </w: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br/>
        <w:t>WNIOSKÓW W TRYBIE KONKURSOWYM NA DOFINANSOWANIE PROJEKTÓW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br/>
      </w:r>
      <w:r w:rsidRPr="00643BDC">
        <w:rPr>
          <w:rFonts w:ascii="Arial" w:hAnsi="Arial" w:cs="Arial"/>
          <w:b/>
          <w:color w:val="010101"/>
          <w:sz w:val="18"/>
          <w:szCs w:val="18"/>
          <w:lang w:eastAsia="pl-PL"/>
        </w:rPr>
        <w:t xml:space="preserve">na kwotę </w:t>
      </w:r>
      <w:r w:rsidR="009716B0" w:rsidRPr="004A2B7B">
        <w:rPr>
          <w:rFonts w:ascii="Arial" w:hAnsi="Arial"/>
          <w:b/>
          <w:sz w:val="18"/>
        </w:rPr>
        <w:t xml:space="preserve">500 000 EUR = </w:t>
      </w:r>
      <w:r w:rsidR="004A2B7B" w:rsidRPr="004A2B7B">
        <w:rPr>
          <w:rFonts w:ascii="Arial" w:hAnsi="Arial"/>
          <w:b/>
          <w:sz w:val="18"/>
        </w:rPr>
        <w:t>2 15</w:t>
      </w:r>
      <w:r w:rsidR="00226928">
        <w:rPr>
          <w:rFonts w:ascii="Arial" w:hAnsi="Arial"/>
          <w:b/>
          <w:sz w:val="18"/>
        </w:rPr>
        <w:t>9</w:t>
      </w:r>
      <w:r w:rsidR="004A2B7B" w:rsidRPr="004A2B7B">
        <w:rPr>
          <w:rFonts w:ascii="Arial" w:hAnsi="Arial"/>
          <w:b/>
          <w:sz w:val="18"/>
        </w:rPr>
        <w:t xml:space="preserve"> </w:t>
      </w:r>
      <w:r w:rsidR="00226928">
        <w:rPr>
          <w:rFonts w:ascii="Arial" w:hAnsi="Arial"/>
          <w:b/>
          <w:sz w:val="18"/>
        </w:rPr>
        <w:t>0</w:t>
      </w:r>
      <w:r w:rsidR="004A2B7B" w:rsidRPr="004A2B7B">
        <w:rPr>
          <w:rFonts w:ascii="Arial" w:hAnsi="Arial"/>
          <w:b/>
          <w:sz w:val="18"/>
        </w:rPr>
        <w:t>50</w:t>
      </w:r>
      <w:r w:rsidR="009716B0" w:rsidRPr="004A2B7B">
        <w:rPr>
          <w:rFonts w:ascii="Arial" w:hAnsi="Arial"/>
          <w:b/>
          <w:sz w:val="18"/>
        </w:rPr>
        <w:t xml:space="preserve"> PLN</w:t>
      </w:r>
      <w:r w:rsidRPr="00643BDC">
        <w:rPr>
          <w:rFonts w:ascii="Arial" w:hAnsi="Arial" w:cs="Arial"/>
          <w:b/>
          <w:color w:val="010101"/>
          <w:sz w:val="18"/>
          <w:szCs w:val="18"/>
          <w:lang w:eastAsia="pl-PL"/>
        </w:rPr>
        <w:t>*</w:t>
      </w:r>
    </w:p>
    <w:p w:rsidR="005413FA" w:rsidRPr="00643BDC" w:rsidRDefault="005413FA" w:rsidP="00BD0AA0">
      <w:pPr>
        <w:jc w:val="both"/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*liczone wg średniego miesięcznego kursu publikowanego w serii C Oficjalnego Dziennika Unii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br/>
        <w:t>Europejskiego, liczonego dla 6 miesięcznego okresu sprzed miesiąca publikacji ogłoszenia, tj. 1 EUR = </w:t>
      </w:r>
      <w:r w:rsidR="004A2B7B" w:rsidRPr="004A2B7B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4.31</w:t>
      </w:r>
      <w:r w:rsidR="00226928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81</w:t>
      </w:r>
      <w:r w:rsidRPr="00643BDC">
        <w:t xml:space="preserve"> PLN</w:t>
      </w:r>
    </w:p>
    <w:p w:rsidR="005413FA" w:rsidRPr="00643BDC" w:rsidRDefault="005413FA" w:rsidP="00554414">
      <w:pPr>
        <w:spacing w:before="100" w:beforeAutospacing="1" w:after="100" w:afterAutospacing="1" w:line="336" w:lineRule="atLeast"/>
        <w:ind w:left="40"/>
        <w:jc w:val="center"/>
        <w:rPr>
          <w:rFonts w:ascii="Arial" w:hAnsi="Arial" w:cs="Arial"/>
          <w:b/>
          <w:color w:val="010101"/>
          <w:sz w:val="24"/>
          <w:szCs w:val="24"/>
          <w:lang w:eastAsia="pl-PL"/>
        </w:rPr>
      </w:pPr>
      <w:r w:rsidRPr="00643BDC">
        <w:rPr>
          <w:rFonts w:ascii="Arial" w:hAnsi="Arial" w:cs="Arial"/>
          <w:b/>
          <w:color w:val="010101"/>
          <w:sz w:val="24"/>
          <w:szCs w:val="24"/>
          <w:lang w:eastAsia="pl-PL"/>
        </w:rPr>
        <w:t xml:space="preserve">Szczegółowy zakres naboru nr </w:t>
      </w:r>
      <w:r w:rsidR="00087CAA" w:rsidRPr="00643BDC">
        <w:rPr>
          <w:rFonts w:ascii="Arial" w:hAnsi="Arial" w:cs="Arial"/>
          <w:b/>
          <w:color w:val="010101"/>
          <w:sz w:val="24"/>
          <w:szCs w:val="24"/>
          <w:lang w:eastAsia="pl-PL"/>
        </w:rPr>
        <w:t>4</w:t>
      </w:r>
      <w:r w:rsidRPr="00643BDC">
        <w:rPr>
          <w:rFonts w:ascii="Arial" w:hAnsi="Arial" w:cs="Arial"/>
          <w:b/>
          <w:color w:val="010101"/>
          <w:sz w:val="24"/>
          <w:szCs w:val="24"/>
          <w:lang w:eastAsia="pl-PL"/>
        </w:rPr>
        <w:t>/2016</w:t>
      </w:r>
    </w:p>
    <w:p w:rsidR="005413FA" w:rsidRPr="00643BDC" w:rsidRDefault="005413FA" w:rsidP="00554414">
      <w:pPr>
        <w:spacing w:after="120" w:line="312" w:lineRule="atLeast"/>
        <w:ind w:left="40"/>
        <w:jc w:val="center"/>
        <w:outlineLvl w:val="2"/>
        <w:rPr>
          <w:rFonts w:ascii="Arial" w:hAnsi="Arial" w:cs="Arial"/>
          <w:b/>
          <w:bCs/>
          <w:color w:val="4C4C4C"/>
          <w:sz w:val="29"/>
          <w:szCs w:val="29"/>
          <w:lang w:eastAsia="pl-PL"/>
        </w:rPr>
      </w:pPr>
      <w:r w:rsidRPr="00643BDC">
        <w:rPr>
          <w:rFonts w:ascii="Arial" w:hAnsi="Arial" w:cs="Arial"/>
          <w:b/>
          <w:bCs/>
          <w:color w:val="4C4C4C"/>
          <w:sz w:val="29"/>
          <w:szCs w:val="29"/>
          <w:lang w:eastAsia="pl-PL"/>
        </w:rPr>
        <w:t>Cel szczegółowy: Azyl</w:t>
      </w:r>
    </w:p>
    <w:p w:rsidR="005413FA" w:rsidRPr="00643BDC" w:rsidRDefault="005413FA" w:rsidP="00554414">
      <w:pPr>
        <w:spacing w:after="120" w:line="312" w:lineRule="atLeast"/>
        <w:ind w:left="40"/>
        <w:jc w:val="center"/>
        <w:outlineLvl w:val="2"/>
        <w:rPr>
          <w:rFonts w:ascii="Arial" w:hAnsi="Arial" w:cs="Arial"/>
          <w:color w:val="4C4C4C"/>
          <w:sz w:val="29"/>
          <w:szCs w:val="29"/>
          <w:lang w:eastAsia="pl-PL"/>
        </w:rPr>
      </w:pPr>
      <w:r w:rsidRPr="00643BDC">
        <w:rPr>
          <w:rFonts w:ascii="Arial" w:hAnsi="Arial" w:cs="Arial"/>
          <w:b/>
          <w:bCs/>
          <w:color w:val="4C4C4C"/>
          <w:sz w:val="29"/>
          <w:szCs w:val="29"/>
          <w:lang w:eastAsia="pl-PL"/>
        </w:rPr>
        <w:t>Cel krajowy: Przyjęcie/ Azyl</w:t>
      </w:r>
    </w:p>
    <w:p w:rsidR="005413FA" w:rsidRPr="00643BDC" w:rsidRDefault="005413FA" w:rsidP="00061875">
      <w:pPr>
        <w:spacing w:after="0" w:line="336" w:lineRule="atLeast"/>
        <w:ind w:right="240"/>
        <w:jc w:val="both"/>
        <w:rPr>
          <w:rFonts w:ascii="Arial" w:hAnsi="Arial" w:cs="Arial"/>
          <w:b/>
          <w:bCs/>
          <w:color w:val="010101"/>
          <w:sz w:val="18"/>
          <w:szCs w:val="18"/>
          <w:lang w:eastAsia="pl-PL"/>
        </w:rPr>
      </w:pPr>
    </w:p>
    <w:p w:rsidR="005413FA" w:rsidRPr="00643BDC" w:rsidRDefault="005413FA" w:rsidP="00061875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u w:val="single"/>
          <w:lang w:eastAsia="pl-PL"/>
        </w:rPr>
      </w:pPr>
      <w:r w:rsidRPr="00643BDC">
        <w:rPr>
          <w:rFonts w:ascii="Arial" w:hAnsi="Arial" w:cs="Arial"/>
          <w:bCs/>
          <w:color w:val="010101"/>
          <w:sz w:val="18"/>
          <w:szCs w:val="18"/>
          <w:u w:val="single"/>
          <w:lang w:eastAsia="pl-PL"/>
        </w:rPr>
        <w:t>Zakres naboru,</w:t>
      </w:r>
      <w:r w:rsidRPr="00643BDC">
        <w:rPr>
          <w:rFonts w:ascii="Arial" w:hAnsi="Arial" w:cs="Arial"/>
          <w:color w:val="010101"/>
          <w:sz w:val="18"/>
          <w:szCs w:val="18"/>
          <w:u w:val="single"/>
          <w:lang w:eastAsia="pl-PL"/>
        </w:rPr>
        <w:t xml:space="preserve"> stanowi katalog zamknięty działań kwalifikujących się do dofinansowania w naborze nr </w:t>
      </w:r>
      <w:r w:rsidR="009737E5" w:rsidRPr="00643BDC">
        <w:rPr>
          <w:rFonts w:ascii="Arial" w:hAnsi="Arial" w:cs="Arial"/>
          <w:color w:val="010101"/>
          <w:sz w:val="18"/>
          <w:szCs w:val="18"/>
          <w:u w:val="single"/>
          <w:lang w:eastAsia="pl-PL"/>
        </w:rPr>
        <w:t>4</w:t>
      </w:r>
      <w:r w:rsidRPr="00643BDC">
        <w:rPr>
          <w:rFonts w:ascii="Arial" w:hAnsi="Arial" w:cs="Arial"/>
          <w:color w:val="010101"/>
          <w:sz w:val="18"/>
          <w:szCs w:val="18"/>
          <w:u w:val="single"/>
          <w:lang w:eastAsia="pl-PL"/>
        </w:rPr>
        <w:t>/2016:</w:t>
      </w:r>
    </w:p>
    <w:p w:rsidR="005413FA" w:rsidRPr="00440C81" w:rsidRDefault="005413FA" w:rsidP="006D427E">
      <w:pPr>
        <w:numPr>
          <w:ilvl w:val="0"/>
          <w:numId w:val="1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sz w:val="18"/>
          <w:szCs w:val="18"/>
          <w:lang w:eastAsia="pl-PL"/>
        </w:rPr>
        <w:t>Zapewnienie pomocy materialnej, pomocy na granicy, usług pomocniczych (tłumaczenia pisemne i ustne, kształcenie, szkolenia, w tym językowe, działania preintegracyjne), opieki zdrowotnej i psychologicznej, pomocy socjalnej,</w:t>
      </w:r>
      <w:r w:rsidR="00BC076B" w:rsidRPr="00643BDC">
        <w:rPr>
          <w:rFonts w:ascii="Arial" w:hAnsi="Arial" w:cs="Arial"/>
          <w:b/>
          <w:bCs/>
          <w:sz w:val="18"/>
          <w:szCs w:val="18"/>
          <w:lang w:eastAsia="pl-PL"/>
        </w:rPr>
        <w:t xml:space="preserve"> skierowane do osób ubiegających się o objęcie ochroną </w:t>
      </w:r>
      <w:r w:rsidR="008112E3" w:rsidRPr="00643BDC">
        <w:rPr>
          <w:rFonts w:ascii="Arial" w:hAnsi="Arial" w:cs="Arial"/>
          <w:b/>
          <w:bCs/>
          <w:sz w:val="18"/>
          <w:szCs w:val="18"/>
          <w:lang w:eastAsia="pl-PL"/>
        </w:rPr>
        <w:t xml:space="preserve">międzynarodową </w:t>
      </w:r>
      <w:r w:rsidR="00BC076B" w:rsidRPr="00585534">
        <w:rPr>
          <w:rFonts w:ascii="Arial" w:hAnsi="Arial" w:cs="Arial"/>
          <w:b/>
          <w:bCs/>
          <w:sz w:val="18"/>
          <w:szCs w:val="18"/>
          <w:lang w:eastAsia="pl-PL"/>
        </w:rPr>
        <w:t>na terenie Polski</w:t>
      </w:r>
      <w:r w:rsidRPr="00585534">
        <w:rPr>
          <w:rFonts w:ascii="Arial" w:hAnsi="Arial" w:cs="Arial"/>
          <w:b/>
          <w:bCs/>
          <w:sz w:val="18"/>
          <w:szCs w:val="18"/>
          <w:lang w:eastAsia="pl-PL"/>
        </w:rPr>
        <w:t xml:space="preserve"> </w:t>
      </w:r>
      <w:r w:rsidRPr="00585534">
        <w:rPr>
          <w:rFonts w:ascii="Arial" w:hAnsi="Arial" w:cs="Arial"/>
          <w:bCs/>
          <w:color w:val="010101"/>
          <w:sz w:val="18"/>
          <w:szCs w:val="18"/>
          <w:lang w:eastAsia="pl-PL"/>
        </w:rPr>
        <w:t>(</w:t>
      </w:r>
      <w:r w:rsidR="00C358FB">
        <w:rPr>
          <w:rFonts w:ascii="Arial" w:hAnsi="Arial" w:cs="Arial"/>
          <w:bCs/>
          <w:color w:val="010101"/>
          <w:sz w:val="18"/>
          <w:szCs w:val="18"/>
          <w:lang w:eastAsia="pl-PL"/>
        </w:rPr>
        <w:t xml:space="preserve">w ramach </w:t>
      </w:r>
      <w:r w:rsidRPr="00585534">
        <w:rPr>
          <w:rFonts w:ascii="Arial" w:hAnsi="Arial" w:cs="Arial"/>
          <w:bCs/>
          <w:color w:val="010101"/>
          <w:sz w:val="18"/>
          <w:szCs w:val="18"/>
          <w:lang w:eastAsia="pl-PL"/>
        </w:rPr>
        <w:t>działani</w:t>
      </w:r>
      <w:r w:rsidR="00C358FB">
        <w:rPr>
          <w:rFonts w:ascii="Arial" w:hAnsi="Arial" w:cs="Arial"/>
          <w:bCs/>
          <w:color w:val="010101"/>
          <w:sz w:val="18"/>
          <w:szCs w:val="18"/>
          <w:lang w:eastAsia="pl-PL"/>
        </w:rPr>
        <w:t>a</w:t>
      </w:r>
      <w:r w:rsidRPr="00585534">
        <w:rPr>
          <w:rFonts w:ascii="Arial" w:hAnsi="Arial" w:cs="Arial"/>
          <w:bCs/>
          <w:color w:val="010101"/>
          <w:sz w:val="18"/>
          <w:szCs w:val="18"/>
          <w:lang w:eastAsia="pl-PL"/>
        </w:rPr>
        <w:t xml:space="preserve"> nr 1</w:t>
      </w:r>
      <w:r w:rsidRPr="00300E86">
        <w:rPr>
          <w:rFonts w:ascii="Arial" w:hAnsi="Arial" w:cs="Arial"/>
          <w:bCs/>
          <w:color w:val="010101"/>
          <w:sz w:val="18"/>
          <w:szCs w:val="18"/>
          <w:lang w:eastAsia="pl-PL"/>
        </w:rPr>
        <w:t xml:space="preserve"> z Programu Krajowego FAMI, cel krajowy: </w:t>
      </w:r>
      <w:r w:rsidRPr="00440C81">
        <w:rPr>
          <w:rFonts w:ascii="Arial" w:hAnsi="Arial" w:cs="Arial"/>
          <w:bCs/>
          <w:color w:val="010101"/>
          <w:sz w:val="18"/>
          <w:szCs w:val="18"/>
          <w:lang w:eastAsia="pl-PL"/>
        </w:rPr>
        <w:t>Przyjęcie/Azyl)</w:t>
      </w:r>
    </w:p>
    <w:p w:rsidR="005413FA" w:rsidRDefault="005413FA" w:rsidP="004F7422">
      <w:p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</w:p>
    <w:p w:rsidR="00020E54" w:rsidRPr="00AB7A7C" w:rsidRDefault="00020E54" w:rsidP="00AB7A7C">
      <w:pPr>
        <w:numPr>
          <w:ilvl w:val="0"/>
          <w:numId w:val="1"/>
        </w:numPr>
        <w:spacing w:after="0" w:line="336" w:lineRule="atLeast"/>
        <w:ind w:left="240" w:right="240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  <w:r w:rsidRPr="00AB7A7C">
        <w:rPr>
          <w:rFonts w:ascii="Arial" w:hAnsi="Arial" w:cs="Arial"/>
          <w:b/>
          <w:bCs/>
          <w:sz w:val="18"/>
          <w:szCs w:val="18"/>
          <w:lang w:eastAsia="pl-PL"/>
        </w:rPr>
        <w:t xml:space="preserve">Działania informacyjne skierowane do lokalnych społeczności dotyczące osób ubiegających się o ochronę międzynarodową w Polsce </w:t>
      </w:r>
      <w:r w:rsidRPr="00AB7A7C">
        <w:rPr>
          <w:rFonts w:ascii="Arial" w:hAnsi="Arial" w:cs="Arial"/>
          <w:bCs/>
          <w:sz w:val="18"/>
          <w:szCs w:val="18"/>
          <w:lang w:eastAsia="pl-PL"/>
        </w:rPr>
        <w:t>(</w:t>
      </w:r>
      <w:r w:rsidR="00C358FB">
        <w:rPr>
          <w:rFonts w:ascii="Arial" w:hAnsi="Arial" w:cs="Arial"/>
          <w:bCs/>
          <w:sz w:val="18"/>
          <w:szCs w:val="18"/>
          <w:lang w:eastAsia="pl-PL"/>
        </w:rPr>
        <w:t xml:space="preserve">w ramach </w:t>
      </w:r>
      <w:r w:rsidR="00C358FB" w:rsidRPr="00440C81">
        <w:rPr>
          <w:rFonts w:ascii="Arial" w:hAnsi="Arial" w:cs="Arial"/>
          <w:bCs/>
          <w:sz w:val="18"/>
          <w:szCs w:val="18"/>
          <w:lang w:eastAsia="pl-PL"/>
        </w:rPr>
        <w:t>działania</w:t>
      </w:r>
      <w:r w:rsidRPr="00AB7A7C">
        <w:rPr>
          <w:rFonts w:ascii="Arial" w:hAnsi="Arial" w:cs="Arial"/>
          <w:bCs/>
          <w:sz w:val="18"/>
          <w:szCs w:val="18"/>
          <w:lang w:eastAsia="pl-PL"/>
        </w:rPr>
        <w:t xml:space="preserve"> nr 7 z Programu Krajowego FAMI, cel krajowy: </w:t>
      </w:r>
      <w:r w:rsidR="001E3042">
        <w:rPr>
          <w:rFonts w:ascii="Arial" w:hAnsi="Arial" w:cs="Arial"/>
          <w:bCs/>
          <w:sz w:val="18"/>
          <w:szCs w:val="18"/>
          <w:lang w:eastAsia="pl-PL"/>
        </w:rPr>
        <w:t>P</w:t>
      </w:r>
      <w:r w:rsidRPr="00AB7A7C">
        <w:rPr>
          <w:rFonts w:ascii="Arial" w:hAnsi="Arial" w:cs="Arial"/>
          <w:bCs/>
          <w:sz w:val="18"/>
          <w:szCs w:val="18"/>
          <w:lang w:eastAsia="pl-PL"/>
        </w:rPr>
        <w:t>rzyjęcie/</w:t>
      </w:r>
      <w:r w:rsidR="001E3042">
        <w:rPr>
          <w:rFonts w:ascii="Arial" w:hAnsi="Arial" w:cs="Arial"/>
          <w:bCs/>
          <w:sz w:val="18"/>
          <w:szCs w:val="18"/>
          <w:lang w:eastAsia="pl-PL"/>
        </w:rPr>
        <w:t>A</w:t>
      </w:r>
      <w:r w:rsidRPr="00AB7A7C">
        <w:rPr>
          <w:rFonts w:ascii="Arial" w:hAnsi="Arial" w:cs="Arial"/>
          <w:bCs/>
          <w:sz w:val="18"/>
          <w:szCs w:val="18"/>
          <w:lang w:eastAsia="pl-PL"/>
        </w:rPr>
        <w:t>zyl)</w:t>
      </w:r>
    </w:p>
    <w:p w:rsidR="00020E54" w:rsidRPr="00585534" w:rsidRDefault="00020E54" w:rsidP="004F7422">
      <w:p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</w:p>
    <w:p w:rsidR="005413FA" w:rsidRPr="00643BDC" w:rsidRDefault="005413FA" w:rsidP="005B76C2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W naborze </w:t>
      </w:r>
      <w:r w:rsidR="00643BDC">
        <w:rPr>
          <w:rFonts w:ascii="Arial" w:hAnsi="Arial" w:cs="Arial"/>
          <w:color w:val="010101"/>
          <w:sz w:val="18"/>
          <w:szCs w:val="18"/>
          <w:lang w:eastAsia="pl-PL"/>
        </w:rPr>
        <w:t>4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/2016</w:t>
      </w: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 preferowane będą przede wszystkim projekty </w:t>
      </w:r>
      <w:r w:rsidR="00020E54">
        <w:rPr>
          <w:rFonts w:ascii="Arial" w:hAnsi="Arial" w:cs="Arial"/>
          <w:color w:val="010101"/>
          <w:sz w:val="18"/>
          <w:szCs w:val="18"/>
          <w:lang w:eastAsia="pl-PL"/>
        </w:rPr>
        <w:t xml:space="preserve">kompleksowe, </w:t>
      </w: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>obejmujące różnorodne uzupełniające się działa</w:t>
      </w:r>
      <w:r w:rsidRPr="00300E86">
        <w:rPr>
          <w:rFonts w:ascii="Arial" w:hAnsi="Arial" w:cs="Arial"/>
          <w:color w:val="010101"/>
          <w:sz w:val="18"/>
          <w:szCs w:val="18"/>
          <w:lang w:eastAsia="pl-PL"/>
        </w:rPr>
        <w:t>nia preintegracyjne</w:t>
      </w:r>
      <w:r w:rsidR="00020E54">
        <w:rPr>
          <w:rFonts w:ascii="Arial" w:hAnsi="Arial" w:cs="Arial"/>
          <w:color w:val="010101"/>
          <w:sz w:val="18"/>
          <w:szCs w:val="18"/>
          <w:lang w:eastAsia="pl-PL"/>
        </w:rPr>
        <w:t xml:space="preserve"> i skierowane do społeczności lokalnej</w:t>
      </w: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, uwzględniające w 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szczególności: </w:t>
      </w:r>
    </w:p>
    <w:p w:rsidR="005413FA" w:rsidRPr="00643BDC" w:rsidRDefault="005413FA" w:rsidP="005B76C2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- </w:t>
      </w:r>
      <w:r w:rsidR="00643BDC">
        <w:rPr>
          <w:rFonts w:ascii="Arial" w:hAnsi="Arial" w:cs="Arial"/>
          <w:color w:val="010101"/>
          <w:sz w:val="18"/>
          <w:szCs w:val="18"/>
          <w:lang w:eastAsia="pl-PL"/>
        </w:rPr>
        <w:t>działania</w:t>
      </w:r>
      <w:r w:rsidRPr="00440C81">
        <w:rPr>
          <w:rFonts w:ascii="Arial" w:hAnsi="Arial" w:cs="Arial"/>
          <w:color w:val="010101"/>
          <w:sz w:val="18"/>
          <w:szCs w:val="18"/>
          <w:lang w:eastAsia="pl-PL"/>
        </w:rPr>
        <w:t xml:space="preserve"> z zakresu edukacji</w:t>
      </w:r>
      <w:r w:rsidR="00020E54">
        <w:rPr>
          <w:rFonts w:ascii="Arial" w:hAnsi="Arial" w:cs="Arial"/>
          <w:color w:val="010101"/>
          <w:sz w:val="18"/>
          <w:szCs w:val="18"/>
          <w:lang w:eastAsia="pl-PL"/>
        </w:rPr>
        <w:t xml:space="preserve"> skierowane do osób ubiegają</w:t>
      </w:r>
      <w:r w:rsidR="009A4F15">
        <w:rPr>
          <w:rFonts w:ascii="Arial" w:hAnsi="Arial" w:cs="Arial"/>
          <w:color w:val="010101"/>
          <w:sz w:val="18"/>
          <w:szCs w:val="18"/>
          <w:lang w:eastAsia="pl-PL"/>
        </w:rPr>
        <w:t>cych się o ochronę międzynarodową</w:t>
      </w: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>, w tym kurs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y i szkolenia, dostępne zarówno dla dorosłych jak i dzieci;</w:t>
      </w:r>
    </w:p>
    <w:p w:rsidR="005413FA" w:rsidRPr="00643BDC" w:rsidRDefault="005413FA" w:rsidP="005B76C2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-  </w:t>
      </w:r>
      <w:r w:rsidR="009A4F15">
        <w:rPr>
          <w:rFonts w:ascii="Arial" w:hAnsi="Arial" w:cs="Arial"/>
          <w:color w:val="010101"/>
          <w:sz w:val="18"/>
          <w:szCs w:val="18"/>
          <w:lang w:eastAsia="pl-PL"/>
        </w:rPr>
        <w:t>skierowane do osób ubiegających się o ochronę międzynarodową</w:t>
      </w:r>
      <w:r w:rsidR="009A4F15"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>informacje na temat zasad funkcjonowania w polskim społeczeństwie (system prawny, kultura, normy i zwyczaje), w tym materiały edukacyj</w:t>
      </w:r>
      <w:r w:rsidRPr="00300E86">
        <w:rPr>
          <w:rFonts w:ascii="Arial" w:hAnsi="Arial" w:cs="Arial"/>
          <w:color w:val="010101"/>
          <w:sz w:val="18"/>
          <w:szCs w:val="18"/>
          <w:lang w:eastAsia="pl-PL"/>
        </w:rPr>
        <w:t>ne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;</w:t>
      </w:r>
    </w:p>
    <w:p w:rsidR="005413FA" w:rsidRPr="00585534" w:rsidRDefault="005413FA" w:rsidP="005B76C2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- aktywizację </w:t>
      </w:r>
      <w:r w:rsidR="009A4F15">
        <w:rPr>
          <w:rFonts w:ascii="Arial" w:hAnsi="Arial" w:cs="Arial"/>
          <w:color w:val="010101"/>
          <w:sz w:val="18"/>
          <w:szCs w:val="18"/>
          <w:lang w:eastAsia="pl-PL"/>
        </w:rPr>
        <w:t>osób ubiegających się o ochronę międzynarodową</w:t>
      </w:r>
      <w:r w:rsidR="009A4F15"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>w kierunku zwiększonej liczby kontaktów ze społeczeństwem polskim;</w:t>
      </w:r>
    </w:p>
    <w:p w:rsidR="005413FA" w:rsidRPr="00643BDC" w:rsidRDefault="005413FA" w:rsidP="005B76C2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- tworzenia wspólnych inicjatyw, wydarzeń kulturalnych i sportowych; </w:t>
      </w:r>
    </w:p>
    <w:p w:rsidR="005413FA" w:rsidRDefault="005413FA" w:rsidP="005B76C2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- pomoc i wsparcie psychologiczne i pedagogiczne</w:t>
      </w:r>
      <w:r w:rsidR="009A4F15" w:rsidRPr="009A4F15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  <w:r w:rsidR="009A4F15">
        <w:rPr>
          <w:rFonts w:ascii="Arial" w:hAnsi="Arial" w:cs="Arial"/>
          <w:color w:val="010101"/>
          <w:sz w:val="18"/>
          <w:szCs w:val="18"/>
          <w:lang w:eastAsia="pl-PL"/>
        </w:rPr>
        <w:t>dla osób ubiegających się o ochronę międzynarodową</w:t>
      </w:r>
      <w:r w:rsidR="00C979C4">
        <w:rPr>
          <w:rFonts w:ascii="Arial" w:hAnsi="Arial" w:cs="Arial"/>
          <w:color w:val="010101"/>
          <w:sz w:val="18"/>
          <w:szCs w:val="18"/>
          <w:lang w:eastAsia="pl-PL"/>
        </w:rPr>
        <w:t>;</w:t>
      </w:r>
    </w:p>
    <w:p w:rsidR="00020E54" w:rsidRPr="00AB7A7C" w:rsidRDefault="00815D3A" w:rsidP="00AB7A7C">
      <w:pPr>
        <w:suppressAutoHyphens/>
        <w:autoSpaceDN w:val="0"/>
        <w:spacing w:before="120" w:after="120" w:line="360" w:lineRule="auto"/>
        <w:ind w:right="240"/>
        <w:jc w:val="both"/>
        <w:textAlignment w:val="baseline"/>
        <w:rPr>
          <w:rFonts w:ascii="Arial" w:hAnsi="Arial" w:cs="Arial"/>
          <w:color w:val="010101"/>
          <w:sz w:val="18"/>
          <w:szCs w:val="18"/>
          <w:lang w:eastAsia="pl-PL"/>
        </w:rPr>
      </w:pPr>
      <w:r>
        <w:rPr>
          <w:rFonts w:ascii="Arial" w:hAnsi="Arial" w:cs="Arial"/>
          <w:color w:val="010101"/>
          <w:sz w:val="18"/>
          <w:szCs w:val="18"/>
          <w:lang w:eastAsia="pl-PL"/>
        </w:rPr>
        <w:lastRenderedPageBreak/>
        <w:t>- l</w:t>
      </w:r>
      <w:r w:rsidR="00020E54" w:rsidRPr="00AB7A7C">
        <w:rPr>
          <w:rFonts w:ascii="Arial" w:hAnsi="Arial" w:cs="Arial"/>
          <w:color w:val="010101"/>
          <w:sz w:val="18"/>
          <w:szCs w:val="18"/>
          <w:lang w:eastAsia="pl-PL"/>
        </w:rPr>
        <w:t xml:space="preserve">ekcje/warsztaty dla dzieci i dorosłych ze społeczności lokalnych, w tym pracowników szkół oraz dla cudzoziemców </w:t>
      </w:r>
      <w:r>
        <w:rPr>
          <w:rFonts w:ascii="Arial" w:hAnsi="Arial" w:cs="Arial"/>
          <w:color w:val="010101"/>
          <w:sz w:val="18"/>
          <w:szCs w:val="18"/>
          <w:lang w:eastAsia="pl-PL"/>
        </w:rPr>
        <w:t>ubiegających się o ochronę międzynarodową</w:t>
      </w: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  <w:r w:rsidR="00020E54" w:rsidRPr="00AB7A7C">
        <w:rPr>
          <w:rFonts w:ascii="Arial" w:hAnsi="Arial" w:cs="Arial"/>
          <w:color w:val="010101"/>
          <w:sz w:val="18"/>
          <w:szCs w:val="18"/>
          <w:lang w:eastAsia="pl-PL"/>
        </w:rPr>
        <w:t>(wzajemne poznanie się):</w:t>
      </w:r>
    </w:p>
    <w:p w:rsidR="00020E54" w:rsidRPr="009214DB" w:rsidRDefault="00020E54" w:rsidP="00020E54">
      <w:pPr>
        <w:numPr>
          <w:ilvl w:val="0"/>
          <w:numId w:val="26"/>
        </w:numPr>
        <w:suppressAutoHyphens/>
        <w:autoSpaceDN w:val="0"/>
        <w:spacing w:before="120" w:after="120" w:line="240" w:lineRule="auto"/>
        <w:ind w:right="240"/>
        <w:jc w:val="both"/>
        <w:textAlignment w:val="baseline"/>
        <w:rPr>
          <w:rFonts w:ascii="Arial" w:hAnsi="Arial" w:cs="Arial"/>
          <w:color w:val="010101"/>
          <w:sz w:val="18"/>
          <w:szCs w:val="18"/>
          <w:lang w:eastAsia="pl-PL"/>
        </w:rPr>
      </w:pPr>
      <w:r w:rsidRPr="009214DB">
        <w:rPr>
          <w:rFonts w:ascii="Arial" w:hAnsi="Arial" w:cs="Arial"/>
          <w:color w:val="010101"/>
          <w:sz w:val="18"/>
          <w:szCs w:val="18"/>
          <w:lang w:eastAsia="pl-PL"/>
        </w:rPr>
        <w:t>Skierowane do dzieci</w:t>
      </w:r>
      <w:r w:rsidR="00C979C4">
        <w:rPr>
          <w:rFonts w:ascii="Arial" w:hAnsi="Arial" w:cs="Arial"/>
          <w:color w:val="010101"/>
          <w:sz w:val="18"/>
          <w:szCs w:val="18"/>
          <w:lang w:eastAsia="pl-PL"/>
        </w:rPr>
        <w:t>:</w:t>
      </w:r>
    </w:p>
    <w:p w:rsidR="00020E54" w:rsidRPr="009214DB" w:rsidRDefault="00020E54" w:rsidP="00020E54">
      <w:pPr>
        <w:spacing w:before="120" w:after="120"/>
        <w:ind w:right="240" w:firstLine="708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9214DB">
        <w:rPr>
          <w:rFonts w:ascii="Arial" w:hAnsi="Arial" w:cs="Arial"/>
          <w:color w:val="010101"/>
          <w:sz w:val="18"/>
          <w:szCs w:val="18"/>
          <w:lang w:eastAsia="pl-PL"/>
        </w:rPr>
        <w:t xml:space="preserve">- spotkania integracyjne; </w:t>
      </w:r>
    </w:p>
    <w:p w:rsidR="00020E54" w:rsidRPr="009214DB" w:rsidRDefault="00020E54" w:rsidP="00020E54">
      <w:pPr>
        <w:spacing w:before="120" w:after="120"/>
        <w:ind w:right="240" w:firstLine="709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9214DB">
        <w:rPr>
          <w:rFonts w:ascii="Arial" w:hAnsi="Arial" w:cs="Arial"/>
          <w:color w:val="010101"/>
          <w:sz w:val="18"/>
          <w:szCs w:val="18"/>
          <w:lang w:eastAsia="pl-PL"/>
        </w:rPr>
        <w:t xml:space="preserve">- warsztaty </w:t>
      </w:r>
      <w:r>
        <w:rPr>
          <w:rFonts w:ascii="Arial" w:hAnsi="Arial" w:cs="Arial"/>
          <w:color w:val="010101"/>
          <w:sz w:val="18"/>
          <w:szCs w:val="18"/>
          <w:lang w:eastAsia="pl-PL"/>
        </w:rPr>
        <w:t xml:space="preserve">i lekcje nt. uchodźstwa i </w:t>
      </w:r>
      <w:r w:rsidRPr="009214DB">
        <w:rPr>
          <w:rFonts w:ascii="Arial" w:hAnsi="Arial" w:cs="Arial"/>
          <w:color w:val="010101"/>
          <w:sz w:val="18"/>
          <w:szCs w:val="18"/>
          <w:lang w:eastAsia="pl-PL"/>
        </w:rPr>
        <w:t>kompetencji międzykulturowych;</w:t>
      </w:r>
    </w:p>
    <w:p w:rsidR="00020E54" w:rsidRPr="009214DB" w:rsidRDefault="00020E54" w:rsidP="00020E54">
      <w:pPr>
        <w:numPr>
          <w:ilvl w:val="0"/>
          <w:numId w:val="26"/>
        </w:numPr>
        <w:suppressAutoHyphens/>
        <w:autoSpaceDN w:val="0"/>
        <w:spacing w:before="120" w:after="120" w:line="240" w:lineRule="auto"/>
        <w:ind w:right="240"/>
        <w:jc w:val="both"/>
        <w:textAlignment w:val="baseline"/>
        <w:rPr>
          <w:rFonts w:ascii="Arial" w:hAnsi="Arial" w:cs="Arial"/>
          <w:color w:val="010101"/>
          <w:sz w:val="18"/>
          <w:szCs w:val="18"/>
          <w:lang w:eastAsia="pl-PL"/>
        </w:rPr>
      </w:pPr>
      <w:r w:rsidRPr="009214DB">
        <w:rPr>
          <w:rFonts w:ascii="Arial" w:hAnsi="Arial" w:cs="Arial"/>
          <w:color w:val="010101"/>
          <w:sz w:val="18"/>
          <w:szCs w:val="18"/>
          <w:lang w:eastAsia="pl-PL"/>
        </w:rPr>
        <w:t>Skierowane do personelu szkół – „</w:t>
      </w:r>
      <w:r w:rsidR="00815D3A">
        <w:rPr>
          <w:rFonts w:ascii="Arial" w:hAnsi="Arial" w:cs="Arial"/>
          <w:color w:val="010101"/>
          <w:sz w:val="18"/>
          <w:szCs w:val="18"/>
          <w:lang w:eastAsia="pl-PL"/>
        </w:rPr>
        <w:t>jak pracować z cudzoziemcami?”;</w:t>
      </w:r>
    </w:p>
    <w:p w:rsidR="00020E54" w:rsidRPr="009214DB" w:rsidRDefault="00020E54" w:rsidP="00020E54">
      <w:pPr>
        <w:numPr>
          <w:ilvl w:val="0"/>
          <w:numId w:val="26"/>
        </w:numPr>
        <w:suppressAutoHyphens/>
        <w:autoSpaceDN w:val="0"/>
        <w:spacing w:before="120" w:after="120" w:line="240" w:lineRule="auto"/>
        <w:ind w:left="714" w:right="240" w:hanging="357"/>
        <w:jc w:val="both"/>
        <w:textAlignment w:val="baseline"/>
        <w:rPr>
          <w:rFonts w:ascii="Arial" w:hAnsi="Arial" w:cs="Arial"/>
          <w:color w:val="010101"/>
          <w:sz w:val="18"/>
          <w:szCs w:val="18"/>
          <w:lang w:eastAsia="pl-PL"/>
        </w:rPr>
      </w:pPr>
      <w:r w:rsidRPr="009214DB">
        <w:rPr>
          <w:rFonts w:ascii="Arial" w:hAnsi="Arial" w:cs="Arial"/>
          <w:color w:val="010101"/>
          <w:sz w:val="18"/>
          <w:szCs w:val="18"/>
          <w:lang w:eastAsia="pl-PL"/>
        </w:rPr>
        <w:t>Skierowane do rodziców:</w:t>
      </w:r>
    </w:p>
    <w:p w:rsidR="00020E54" w:rsidRPr="009214DB" w:rsidRDefault="00020E54" w:rsidP="00020E54">
      <w:pPr>
        <w:spacing w:before="120" w:after="120"/>
        <w:ind w:right="240" w:firstLine="709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9214DB">
        <w:rPr>
          <w:rFonts w:ascii="Arial" w:hAnsi="Arial" w:cs="Arial"/>
          <w:color w:val="010101"/>
          <w:sz w:val="18"/>
          <w:szCs w:val="18"/>
          <w:lang w:eastAsia="pl-PL"/>
        </w:rPr>
        <w:t>- spotkania informacyjne;</w:t>
      </w:r>
    </w:p>
    <w:p w:rsidR="00020E54" w:rsidRPr="009214DB" w:rsidRDefault="00020E54" w:rsidP="00020E54">
      <w:pPr>
        <w:spacing w:before="120" w:after="120"/>
        <w:ind w:right="240" w:firstLine="708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9214DB">
        <w:rPr>
          <w:rFonts w:ascii="Arial" w:hAnsi="Arial" w:cs="Arial"/>
          <w:color w:val="010101"/>
          <w:sz w:val="18"/>
          <w:szCs w:val="18"/>
          <w:lang w:eastAsia="pl-PL"/>
        </w:rPr>
        <w:t>- wspólne warsztaty</w:t>
      </w:r>
      <w:r>
        <w:rPr>
          <w:rFonts w:ascii="Arial" w:hAnsi="Arial" w:cs="Arial"/>
          <w:color w:val="010101"/>
          <w:sz w:val="18"/>
          <w:szCs w:val="18"/>
          <w:lang w:eastAsia="pl-PL"/>
        </w:rPr>
        <w:t>.</w:t>
      </w:r>
    </w:p>
    <w:p w:rsidR="00020E54" w:rsidRPr="00AB7A7C" w:rsidRDefault="00815D3A" w:rsidP="00AB7A7C">
      <w:pPr>
        <w:suppressAutoHyphens/>
        <w:autoSpaceDN w:val="0"/>
        <w:spacing w:before="120" w:after="120" w:line="240" w:lineRule="auto"/>
        <w:ind w:right="240"/>
        <w:jc w:val="both"/>
        <w:textAlignment w:val="baseline"/>
        <w:rPr>
          <w:rFonts w:ascii="Arial" w:hAnsi="Arial" w:cs="Arial"/>
          <w:color w:val="010101"/>
          <w:sz w:val="18"/>
          <w:szCs w:val="18"/>
          <w:lang w:eastAsia="pl-PL"/>
        </w:rPr>
      </w:pPr>
      <w:r>
        <w:rPr>
          <w:rFonts w:ascii="Arial" w:hAnsi="Arial" w:cs="Arial"/>
          <w:color w:val="010101"/>
          <w:sz w:val="18"/>
          <w:szCs w:val="18"/>
          <w:lang w:eastAsia="pl-PL"/>
        </w:rPr>
        <w:t>- p</w:t>
      </w:r>
      <w:r w:rsidR="00020E54" w:rsidRPr="00AB7A7C">
        <w:rPr>
          <w:rFonts w:ascii="Arial" w:hAnsi="Arial" w:cs="Arial"/>
          <w:color w:val="010101"/>
          <w:sz w:val="18"/>
          <w:szCs w:val="18"/>
          <w:lang w:eastAsia="pl-PL"/>
        </w:rPr>
        <w:t>rzygotowanie materiałów edukacyjnych:</w:t>
      </w:r>
    </w:p>
    <w:p w:rsidR="00020E54" w:rsidRPr="009214DB" w:rsidRDefault="00020E54" w:rsidP="00AB7A7C">
      <w:pPr>
        <w:numPr>
          <w:ilvl w:val="0"/>
          <w:numId w:val="29"/>
        </w:numPr>
        <w:suppressAutoHyphens/>
        <w:autoSpaceDN w:val="0"/>
        <w:spacing w:before="120" w:after="120" w:line="240" w:lineRule="auto"/>
        <w:ind w:right="240"/>
        <w:jc w:val="both"/>
        <w:textAlignment w:val="baseline"/>
        <w:rPr>
          <w:rFonts w:ascii="Arial" w:hAnsi="Arial" w:cs="Arial"/>
          <w:color w:val="010101"/>
          <w:sz w:val="18"/>
          <w:szCs w:val="18"/>
          <w:lang w:eastAsia="pl-PL"/>
        </w:rPr>
      </w:pPr>
      <w:r w:rsidRPr="009214DB">
        <w:rPr>
          <w:rFonts w:ascii="Arial" w:hAnsi="Arial" w:cs="Arial"/>
          <w:color w:val="010101"/>
          <w:sz w:val="18"/>
          <w:szCs w:val="18"/>
          <w:lang w:eastAsia="pl-PL"/>
        </w:rPr>
        <w:t>materiały pomocnicze do nauki języka polskiego jako obcego dla nauczycieli (tzw. „ćwiczenia”)</w:t>
      </w:r>
      <w:r w:rsidR="00C979C4">
        <w:rPr>
          <w:rFonts w:ascii="Arial" w:hAnsi="Arial" w:cs="Arial"/>
          <w:color w:val="010101"/>
          <w:sz w:val="18"/>
          <w:szCs w:val="18"/>
          <w:lang w:eastAsia="pl-PL"/>
        </w:rPr>
        <w:t>;</w:t>
      </w:r>
    </w:p>
    <w:p w:rsidR="00020E54" w:rsidRPr="009214DB" w:rsidRDefault="00020E54" w:rsidP="00AB7A7C">
      <w:pPr>
        <w:numPr>
          <w:ilvl w:val="0"/>
          <w:numId w:val="29"/>
        </w:numPr>
        <w:suppressAutoHyphens/>
        <w:autoSpaceDN w:val="0"/>
        <w:spacing w:before="120" w:after="120" w:line="240" w:lineRule="auto"/>
        <w:ind w:right="240"/>
        <w:jc w:val="both"/>
        <w:textAlignment w:val="baseline"/>
        <w:rPr>
          <w:rFonts w:ascii="Arial" w:hAnsi="Arial" w:cs="Arial"/>
          <w:color w:val="010101"/>
          <w:sz w:val="18"/>
          <w:szCs w:val="18"/>
          <w:lang w:eastAsia="pl-PL"/>
        </w:rPr>
      </w:pPr>
      <w:r w:rsidRPr="009214DB">
        <w:rPr>
          <w:rFonts w:ascii="Arial" w:hAnsi="Arial" w:cs="Arial"/>
          <w:color w:val="010101"/>
          <w:sz w:val="18"/>
          <w:szCs w:val="18"/>
          <w:lang w:eastAsia="pl-PL"/>
        </w:rPr>
        <w:t>materiały pomocnicze do prowadzenia lekcji/warsztatów</w:t>
      </w:r>
      <w:r w:rsidR="00C979C4">
        <w:rPr>
          <w:rFonts w:ascii="Arial" w:hAnsi="Arial" w:cs="Arial"/>
          <w:color w:val="010101"/>
          <w:sz w:val="18"/>
          <w:szCs w:val="18"/>
          <w:lang w:eastAsia="pl-PL"/>
        </w:rPr>
        <w:t>;</w:t>
      </w:r>
    </w:p>
    <w:p w:rsidR="00020E54" w:rsidRPr="009214DB" w:rsidRDefault="00020E54" w:rsidP="00AB7A7C">
      <w:pPr>
        <w:numPr>
          <w:ilvl w:val="0"/>
          <w:numId w:val="29"/>
        </w:numPr>
        <w:suppressAutoHyphens/>
        <w:autoSpaceDN w:val="0"/>
        <w:spacing w:before="120" w:after="120" w:line="240" w:lineRule="auto"/>
        <w:ind w:right="240"/>
        <w:jc w:val="both"/>
        <w:textAlignment w:val="baseline"/>
        <w:rPr>
          <w:rFonts w:ascii="Arial" w:hAnsi="Arial" w:cs="Arial"/>
          <w:color w:val="010101"/>
          <w:sz w:val="18"/>
          <w:szCs w:val="18"/>
          <w:lang w:eastAsia="pl-PL"/>
        </w:rPr>
      </w:pPr>
      <w:r w:rsidRPr="009214DB">
        <w:rPr>
          <w:rFonts w:ascii="Arial" w:hAnsi="Arial" w:cs="Arial"/>
          <w:color w:val="010101"/>
          <w:sz w:val="18"/>
          <w:szCs w:val="18"/>
          <w:lang w:eastAsia="pl-PL"/>
        </w:rPr>
        <w:t>materiały szkoleniowe na szkolenie dla asystentów.</w:t>
      </w:r>
    </w:p>
    <w:p w:rsidR="00020E54" w:rsidRPr="00585534" w:rsidRDefault="00020E54" w:rsidP="005B76C2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</w:p>
    <w:p w:rsidR="00EF672E" w:rsidRDefault="005413FA" w:rsidP="004F7D3B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Proponowane działania </w:t>
      </w:r>
      <w:r w:rsidR="001E3042">
        <w:rPr>
          <w:rFonts w:ascii="Arial" w:hAnsi="Arial" w:cs="Arial"/>
          <w:color w:val="010101"/>
          <w:sz w:val="18"/>
          <w:szCs w:val="18"/>
          <w:lang w:eastAsia="pl-PL"/>
        </w:rPr>
        <w:t>muszą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 być realizowane na terenach, gdzie zlokalizowane są w Polsce ośrodki dla osób ubiegających się o ochronę międzynarodową</w:t>
      </w:r>
      <w:r w:rsid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 lub znajdują się </w:t>
      </w:r>
      <w:r w:rsidR="00020E54">
        <w:rPr>
          <w:rFonts w:ascii="Arial" w:hAnsi="Arial" w:cs="Arial"/>
          <w:color w:val="010101"/>
          <w:sz w:val="18"/>
          <w:szCs w:val="18"/>
          <w:lang w:eastAsia="pl-PL"/>
        </w:rPr>
        <w:t xml:space="preserve">skupiska cudzoziemców </w:t>
      </w:r>
      <w:r w:rsidR="00020E54" w:rsidRPr="004B372E">
        <w:rPr>
          <w:rFonts w:ascii="Arial" w:hAnsi="Arial" w:cs="Arial"/>
          <w:color w:val="010101"/>
          <w:sz w:val="18"/>
          <w:szCs w:val="18"/>
          <w:lang w:eastAsia="pl-PL"/>
        </w:rPr>
        <w:t>ubiegających się o ochronę międzynarodową</w:t>
      </w:r>
      <w:r w:rsidR="00020E54">
        <w:rPr>
          <w:rFonts w:ascii="Arial" w:hAnsi="Arial" w:cs="Arial"/>
          <w:color w:val="010101"/>
          <w:sz w:val="18"/>
          <w:szCs w:val="18"/>
          <w:lang w:eastAsia="pl-PL"/>
        </w:rPr>
        <w:t xml:space="preserve"> zamieszkujących poza ośrodkami (</w:t>
      </w:r>
      <w:r w:rsid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tj. </w:t>
      </w:r>
      <w:r w:rsidR="00020E54">
        <w:rPr>
          <w:rFonts w:ascii="Arial" w:hAnsi="Arial" w:cs="Arial"/>
          <w:color w:val="010101"/>
          <w:sz w:val="18"/>
          <w:szCs w:val="18"/>
          <w:lang w:eastAsia="pl-PL"/>
        </w:rPr>
        <w:t>Lublin, Łomża, Łódź, Pruszków, Błonie, Piastów, Piaseczno, Wołomin, Zielonka, Kraków, Gdańsk, Gdynia, Wrocław)</w:t>
      </w: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. Potrzeby uchodźców i społeczeństwa przyjmującego 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mus</w:t>
      </w:r>
      <w:r w:rsidR="00815D3A">
        <w:rPr>
          <w:rFonts w:ascii="Arial" w:hAnsi="Arial" w:cs="Arial"/>
          <w:color w:val="010101"/>
          <w:sz w:val="18"/>
          <w:szCs w:val="18"/>
          <w:lang w:eastAsia="pl-PL"/>
        </w:rPr>
        <w:t>zą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 zostać opisan</w:t>
      </w:r>
      <w:r w:rsidR="00815D3A">
        <w:rPr>
          <w:rFonts w:ascii="Arial" w:hAnsi="Arial" w:cs="Arial"/>
          <w:color w:val="010101"/>
          <w:sz w:val="18"/>
          <w:szCs w:val="18"/>
          <w:lang w:eastAsia="pl-PL"/>
        </w:rPr>
        <w:t xml:space="preserve">e </w:t>
      </w: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>przez wnioskodawcę, zaś zasadność realizacji projektu w miejscach/okolicach lokalizacji ośrodków</w:t>
      </w:r>
      <w:r w:rsidR="00585534">
        <w:rPr>
          <w:rFonts w:ascii="Arial" w:hAnsi="Arial" w:cs="Arial"/>
          <w:color w:val="010101"/>
          <w:sz w:val="18"/>
          <w:szCs w:val="18"/>
          <w:lang w:eastAsia="pl-PL"/>
        </w:rPr>
        <w:t>/ww. miejscowościach</w:t>
      </w: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 dobrze uzasadniona w pkt. II.4 Formularza wniosku o przyznanie dofinansowania.</w:t>
      </w:r>
    </w:p>
    <w:p w:rsidR="005413FA" w:rsidRPr="00643BDC" w:rsidRDefault="005413FA" w:rsidP="004F7D3B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</w:p>
    <w:p w:rsidR="005413FA" w:rsidRPr="00643BDC" w:rsidRDefault="005413FA" w:rsidP="00A73718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W niniejszym naborze dodatkowo premiowane będzie partnerstwo z Urzędem do Spraw Cudzoziemców</w:t>
      </w:r>
      <w:r w:rsidR="00300E86">
        <w:rPr>
          <w:rFonts w:ascii="Arial" w:hAnsi="Arial" w:cs="Arial"/>
          <w:color w:val="010101"/>
          <w:sz w:val="18"/>
          <w:szCs w:val="18"/>
          <w:lang w:eastAsia="pl-PL"/>
        </w:rPr>
        <w:t>.</w:t>
      </w:r>
      <w:r w:rsidR="00C979C4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  <w:r w:rsidR="00EA2D87" w:rsidRPr="00643BDC">
        <w:rPr>
          <w:rFonts w:ascii="Arial" w:hAnsi="Arial" w:cs="Arial"/>
          <w:color w:val="010101"/>
          <w:sz w:val="18"/>
          <w:szCs w:val="18"/>
          <w:lang w:eastAsia="pl-PL"/>
        </w:rPr>
        <w:t>W przypadku, gdy</w:t>
      </w:r>
      <w:r w:rsidR="00EA2D87"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 realizacja projektu miałaby odbywać się na terenie ośrodka dla cudzoziemców prowadzonego przez Urząd ds. Cudzoziemców do</w:t>
      </w:r>
      <w:r w:rsidR="00815D3A">
        <w:rPr>
          <w:rFonts w:ascii="Arial" w:hAnsi="Arial" w:cs="Arial"/>
          <w:color w:val="010101"/>
          <w:sz w:val="18"/>
          <w:szCs w:val="18"/>
          <w:lang w:eastAsia="pl-PL"/>
        </w:rPr>
        <w:t>datkowe</w:t>
      </w:r>
      <w:r w:rsidR="00815D3A"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 punkty przyznawane są za</w:t>
      </w:r>
      <w:r w:rsidR="00BF30F0"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 dołączenie</w:t>
      </w:r>
      <w:r w:rsidR="00815D3A"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 potwierdzenia</w:t>
      </w:r>
      <w:r w:rsidR="00EA2D87"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 UdSC</w:t>
      </w:r>
      <w:r w:rsidR="00815D3A">
        <w:rPr>
          <w:rFonts w:ascii="Arial" w:hAnsi="Arial" w:cs="Arial"/>
          <w:color w:val="010101"/>
          <w:sz w:val="18"/>
          <w:szCs w:val="18"/>
          <w:lang w:eastAsia="pl-PL"/>
        </w:rPr>
        <w:t>, iż wyraża</w:t>
      </w:r>
      <w:r w:rsidR="00EA2D87"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 zgod</w:t>
      </w:r>
      <w:r w:rsidR="00815D3A" w:rsidRPr="00585534">
        <w:rPr>
          <w:rFonts w:ascii="Arial" w:hAnsi="Arial" w:cs="Arial"/>
          <w:color w:val="010101"/>
          <w:sz w:val="18"/>
          <w:szCs w:val="18"/>
          <w:lang w:eastAsia="pl-PL"/>
        </w:rPr>
        <w:t>ę</w:t>
      </w:r>
      <w:r w:rsidR="00EA2D87"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 na prowadzenie działań na terenie ośrodka</w:t>
      </w:r>
      <w:r w:rsidR="00815D3A">
        <w:rPr>
          <w:rFonts w:ascii="Arial" w:hAnsi="Arial" w:cs="Arial"/>
          <w:color w:val="010101"/>
          <w:sz w:val="18"/>
          <w:szCs w:val="18"/>
          <w:lang w:eastAsia="pl-PL"/>
        </w:rPr>
        <w:t xml:space="preserve"> (patrz: punkt V. Kryteria wyboru projektów)</w:t>
      </w:r>
      <w:r w:rsidR="00EA2D87" w:rsidRPr="00585534">
        <w:rPr>
          <w:rFonts w:ascii="Arial" w:hAnsi="Arial" w:cs="Arial"/>
          <w:color w:val="010101"/>
          <w:sz w:val="18"/>
          <w:szCs w:val="18"/>
          <w:lang w:eastAsia="pl-PL"/>
        </w:rPr>
        <w:t xml:space="preserve">. </w:t>
      </w:r>
    </w:p>
    <w:p w:rsidR="005413FA" w:rsidRPr="00643BDC" w:rsidRDefault="005413FA" w:rsidP="00192F9F">
      <w:pPr>
        <w:spacing w:after="0" w:line="336" w:lineRule="atLeast"/>
        <w:ind w:right="240"/>
        <w:jc w:val="both"/>
        <w:rPr>
          <w:rFonts w:ascii="Arial" w:hAnsi="Arial" w:cs="Arial"/>
          <w:b/>
          <w:bCs/>
          <w:color w:val="010101"/>
          <w:sz w:val="18"/>
          <w:szCs w:val="18"/>
          <w:lang w:eastAsia="pl-PL"/>
        </w:rPr>
      </w:pPr>
    </w:p>
    <w:p w:rsidR="005413FA" w:rsidRPr="00643BDC" w:rsidRDefault="005413FA" w:rsidP="00192F9F">
      <w:pPr>
        <w:spacing w:after="0" w:line="336" w:lineRule="atLeast"/>
        <w:ind w:right="240"/>
        <w:jc w:val="both"/>
        <w:rPr>
          <w:rFonts w:ascii="Arial" w:hAnsi="Arial" w:cs="Arial"/>
          <w:b/>
          <w:bCs/>
          <w:color w:val="FF0000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FF0000"/>
          <w:sz w:val="18"/>
          <w:szCs w:val="18"/>
          <w:lang w:eastAsia="pl-PL"/>
        </w:rPr>
        <w:t>UWAGA!</w:t>
      </w:r>
    </w:p>
    <w:p w:rsidR="005413FA" w:rsidRPr="00643BDC" w:rsidRDefault="005413FA" w:rsidP="007F7A0A">
      <w:pPr>
        <w:pStyle w:val="Akapitzlist"/>
        <w:numPr>
          <w:ilvl w:val="0"/>
          <w:numId w:val="18"/>
        </w:numPr>
        <w:spacing w:after="0" w:line="336" w:lineRule="atLeast"/>
        <w:ind w:right="240"/>
        <w:jc w:val="both"/>
        <w:rPr>
          <w:rFonts w:ascii="Arial" w:hAnsi="Arial" w:cs="Arial"/>
          <w:b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W ramach naboru nr </w:t>
      </w:r>
      <w:r w:rsidR="00144D44"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4</w:t>
      </w: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/2016 wnioskodawca może złożyć tylko jeden wniosek. </w:t>
      </w:r>
      <w:r w:rsidRPr="00643BDC">
        <w:rPr>
          <w:rFonts w:ascii="Arial" w:hAnsi="Arial" w:cs="Arial"/>
          <w:b/>
          <w:color w:val="010101"/>
          <w:sz w:val="18"/>
          <w:szCs w:val="18"/>
          <w:lang w:eastAsia="pl-PL"/>
        </w:rPr>
        <w:t>Jednocześnie organizacja, która składa wniosek jako wnioskodawca może figurować jako partner tylko w jednym projekcie innej organizacji/instytucji (ogr</w:t>
      </w:r>
      <w:r w:rsidR="00C979C4">
        <w:rPr>
          <w:rFonts w:ascii="Arial" w:hAnsi="Arial" w:cs="Arial"/>
          <w:b/>
          <w:color w:val="010101"/>
          <w:sz w:val="18"/>
          <w:szCs w:val="18"/>
          <w:lang w:eastAsia="pl-PL"/>
        </w:rPr>
        <w:t>aniczenie dotyczące partnerstwa</w:t>
      </w:r>
      <w:r w:rsidRPr="00643BDC">
        <w:rPr>
          <w:rFonts w:ascii="Arial" w:hAnsi="Arial" w:cs="Arial"/>
          <w:b/>
          <w:color w:val="010101"/>
          <w:sz w:val="18"/>
          <w:szCs w:val="18"/>
          <w:lang w:eastAsia="pl-PL"/>
        </w:rPr>
        <w:t xml:space="preserve"> nie dotyczy państwowych jednostek budżetowych).</w:t>
      </w:r>
    </w:p>
    <w:p w:rsidR="005413FA" w:rsidRPr="00643BDC" w:rsidRDefault="00144D44" w:rsidP="00580B98">
      <w:pPr>
        <w:pStyle w:val="Akapitzlist"/>
        <w:numPr>
          <w:ilvl w:val="0"/>
          <w:numId w:val="18"/>
        </w:numPr>
        <w:spacing w:after="0" w:line="336" w:lineRule="atLeast"/>
        <w:ind w:right="240"/>
        <w:jc w:val="both"/>
        <w:rPr>
          <w:rFonts w:ascii="Arial" w:hAnsi="Arial" w:cs="Arial"/>
          <w:b/>
          <w:color w:val="010101"/>
          <w:sz w:val="18"/>
          <w:szCs w:val="18"/>
          <w:lang w:eastAsia="pl-PL"/>
        </w:rPr>
      </w:pPr>
      <w:r w:rsidRPr="00585534">
        <w:rPr>
          <w:rFonts w:ascii="Arial" w:hAnsi="Arial" w:cs="Arial"/>
          <w:b/>
          <w:color w:val="010101"/>
          <w:sz w:val="18"/>
          <w:szCs w:val="18"/>
          <w:lang w:eastAsia="pl-PL"/>
        </w:rPr>
        <w:t>M</w:t>
      </w:r>
      <w:r w:rsidR="005413FA" w:rsidRPr="00585534">
        <w:rPr>
          <w:rFonts w:ascii="Arial" w:hAnsi="Arial" w:cs="Arial"/>
          <w:b/>
          <w:color w:val="010101"/>
          <w:sz w:val="18"/>
          <w:szCs w:val="18"/>
          <w:lang w:eastAsia="pl-PL"/>
        </w:rPr>
        <w:t xml:space="preserve">inimalna całkowita wartość </w:t>
      </w:r>
      <w:r w:rsidR="005413FA" w:rsidRPr="00643BDC">
        <w:rPr>
          <w:rFonts w:ascii="Arial" w:hAnsi="Arial" w:cs="Arial"/>
          <w:b/>
          <w:color w:val="010101"/>
          <w:sz w:val="18"/>
          <w:szCs w:val="18"/>
          <w:lang w:eastAsia="pl-PL"/>
        </w:rPr>
        <w:t xml:space="preserve">projektu musi wynieść 100 000 PLN </w:t>
      </w:r>
    </w:p>
    <w:p w:rsidR="005413FA" w:rsidRPr="00643BDC" w:rsidRDefault="005413FA" w:rsidP="007F7A0A">
      <w:pPr>
        <w:pStyle w:val="Akapitzlist"/>
        <w:numPr>
          <w:ilvl w:val="0"/>
          <w:numId w:val="18"/>
        </w:numPr>
        <w:spacing w:after="0" w:line="336" w:lineRule="atLeast"/>
        <w:ind w:right="240"/>
        <w:jc w:val="both"/>
        <w:rPr>
          <w:rFonts w:ascii="Arial" w:hAnsi="Arial" w:cs="Arial"/>
          <w:b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color w:val="010101"/>
          <w:sz w:val="18"/>
          <w:szCs w:val="18"/>
          <w:lang w:eastAsia="pl-PL"/>
        </w:rPr>
        <w:t xml:space="preserve">Redukcja wartości projektu podczas oceny wniosków do kwoty poniżej </w:t>
      </w:r>
      <w:r w:rsidRPr="00643BDC">
        <w:rPr>
          <w:rFonts w:ascii="Arial" w:hAnsi="Arial" w:cs="Arial"/>
          <w:b/>
          <w:sz w:val="18"/>
          <w:szCs w:val="18"/>
          <w:lang w:eastAsia="pl-PL"/>
        </w:rPr>
        <w:t>100 000 PLN</w:t>
      </w:r>
      <w:r w:rsidRPr="00643BDC">
        <w:rPr>
          <w:rFonts w:ascii="Arial" w:hAnsi="Arial" w:cs="Arial"/>
          <w:b/>
          <w:color w:val="010101"/>
          <w:sz w:val="18"/>
          <w:szCs w:val="18"/>
          <w:lang w:eastAsia="pl-PL"/>
        </w:rPr>
        <w:t xml:space="preserve"> nie spowoduje odrzucenia wniosku.</w:t>
      </w:r>
    </w:p>
    <w:p w:rsidR="005413FA" w:rsidRPr="00643BDC" w:rsidRDefault="005413FA" w:rsidP="003171E7">
      <w:pPr>
        <w:spacing w:after="0" w:line="336" w:lineRule="atLeast"/>
        <w:ind w:right="240"/>
        <w:rPr>
          <w:rFonts w:ascii="Arial" w:hAnsi="Arial" w:cs="Arial"/>
          <w:color w:val="010101"/>
          <w:sz w:val="18"/>
          <w:szCs w:val="18"/>
          <w:lang w:eastAsia="pl-PL"/>
        </w:rPr>
      </w:pPr>
    </w:p>
    <w:p w:rsidR="005413FA" w:rsidRPr="00643BDC" w:rsidRDefault="005413FA" w:rsidP="00554414">
      <w:pPr>
        <w:numPr>
          <w:ilvl w:val="0"/>
          <w:numId w:val="6"/>
        </w:numPr>
        <w:spacing w:after="120" w:line="312" w:lineRule="atLeast"/>
        <w:ind w:left="240" w:right="240"/>
        <w:outlineLvl w:val="2"/>
        <w:rPr>
          <w:rFonts w:ascii="Arial" w:hAnsi="Arial" w:cs="Arial"/>
          <w:color w:val="4C4C4C"/>
          <w:sz w:val="29"/>
          <w:szCs w:val="29"/>
          <w:lang w:eastAsia="pl-PL"/>
        </w:rPr>
      </w:pPr>
      <w:r w:rsidRPr="00643BDC">
        <w:rPr>
          <w:rFonts w:ascii="Arial" w:hAnsi="Arial" w:cs="Arial"/>
          <w:color w:val="4C4C4C"/>
          <w:sz w:val="29"/>
          <w:szCs w:val="29"/>
          <w:lang w:eastAsia="pl-PL"/>
        </w:rPr>
        <w:t>Wartość dofinansowania</w:t>
      </w:r>
    </w:p>
    <w:p w:rsidR="005413FA" w:rsidRPr="00643BDC" w:rsidRDefault="005413FA" w:rsidP="001A673C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W przypadku projektów wybranych w otwartym naborze, w tym projektów organizacji pozarządowych, dofinansowanie z Funduszu nie przekroczy 75% całkowitych kosztów kwalifikowanych projektu. Pozostałe 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lastRenderedPageBreak/>
        <w:t>dofinansowanie projektów musi być zapewnione przez beneficjentów/partnerów projektów. Organizacje pozarządowe mogą wnioskować o dodatkowe dofinansowanie z budżetu państwa w wysokości max. 10%.</w:t>
      </w:r>
    </w:p>
    <w:p w:rsidR="005413FA" w:rsidRPr="00643BDC" w:rsidRDefault="005413FA" w:rsidP="00554414">
      <w:pPr>
        <w:spacing w:before="100" w:beforeAutospacing="1" w:after="100" w:afterAutospacing="1" w:line="264" w:lineRule="atLeast"/>
        <w:outlineLvl w:val="3"/>
        <w:rPr>
          <w:rFonts w:ascii="Arial" w:hAnsi="Arial" w:cs="Arial"/>
          <w:b/>
          <w:bCs/>
          <w:color w:val="00B0E5"/>
          <w:lang w:eastAsia="pl-PL"/>
        </w:rPr>
      </w:pPr>
      <w:r w:rsidRPr="00643BDC">
        <w:rPr>
          <w:rFonts w:ascii="Arial" w:hAnsi="Arial" w:cs="Arial"/>
          <w:b/>
          <w:bCs/>
          <w:color w:val="00B0E5"/>
          <w:lang w:eastAsia="pl-PL"/>
        </w:rPr>
        <w:t>Wydatki kwalifikowane i niekwalifikowane</w:t>
      </w:r>
    </w:p>
    <w:p w:rsidR="005413FA" w:rsidRPr="00643BDC" w:rsidRDefault="005413FA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Dokładny katalog i opis wydatków kwalifikowalnych zawiera Podręcznik dla Beneficjenta.</w:t>
      </w:r>
    </w:p>
    <w:p w:rsidR="005413FA" w:rsidRPr="00643BDC" w:rsidRDefault="005413FA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Kwalifikowalne są poniższe kategorie wydatków:</w:t>
      </w:r>
    </w:p>
    <w:p w:rsidR="005413FA" w:rsidRPr="00643BDC" w:rsidRDefault="005413FA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koszty personelu (z wyłączeniem kosztów zarządzania projektem)</w:t>
      </w:r>
    </w:p>
    <w:p w:rsidR="005413FA" w:rsidRPr="00643BDC" w:rsidRDefault="005413FA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koszty transportu, podróży i utrzymania</w:t>
      </w:r>
    </w:p>
    <w:p w:rsidR="005413FA" w:rsidRPr="00643BDC" w:rsidRDefault="005413FA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sprzęt i wyposażenie</w:t>
      </w:r>
    </w:p>
    <w:p w:rsidR="005413FA" w:rsidRPr="00643BDC" w:rsidRDefault="005413FA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nieruchomości (zakup, budowa, remont, najem, usługi ogólne)</w:t>
      </w:r>
    </w:p>
    <w:p w:rsidR="005413FA" w:rsidRPr="00643BDC" w:rsidRDefault="005413FA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towary zużywające się i zaopatrzenie, inne wydatki drobne</w:t>
      </w:r>
    </w:p>
    <w:p w:rsidR="005413FA" w:rsidRPr="00643BDC" w:rsidRDefault="005413FA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usługi </w:t>
      </w:r>
      <w:r w:rsidRPr="00643BDC">
        <w:rPr>
          <w:rFonts w:ascii="Arial" w:hAnsi="Arial" w:cs="Arial"/>
          <w:sz w:val="18"/>
          <w:szCs w:val="18"/>
          <w:lang w:eastAsia="pl-PL"/>
        </w:rPr>
        <w:t>zewnętrzne (podwykonawstwo)</w:t>
      </w:r>
    </w:p>
    <w:p w:rsidR="005413FA" w:rsidRPr="00643BDC" w:rsidRDefault="005413FA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informacje, publikacje i promocja</w:t>
      </w:r>
    </w:p>
    <w:p w:rsidR="005413FA" w:rsidRPr="00643BDC" w:rsidRDefault="005413FA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inne koszy bezpośrednie</w:t>
      </w:r>
    </w:p>
    <w:p w:rsidR="005413FA" w:rsidRPr="00643BDC" w:rsidRDefault="005413FA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koszty niestanowiące podstawy obliczenia kosztów pośrednich</w:t>
      </w:r>
    </w:p>
    <w:p w:rsidR="005413FA" w:rsidRPr="00300E86" w:rsidRDefault="005413FA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koszty pośrednie</w:t>
      </w:r>
      <w:r w:rsidR="00300E86">
        <w:rPr>
          <w:rFonts w:ascii="Arial" w:hAnsi="Arial" w:cs="Arial"/>
          <w:color w:val="010101"/>
          <w:sz w:val="18"/>
          <w:szCs w:val="18"/>
          <w:lang w:eastAsia="pl-PL"/>
        </w:rPr>
        <w:t>.</w:t>
      </w:r>
    </w:p>
    <w:p w:rsidR="005413FA" w:rsidRPr="00643BDC" w:rsidRDefault="005413FA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Koszty pośrednie</w:t>
      </w:r>
    </w:p>
    <w:p w:rsidR="005413FA" w:rsidRPr="00643BDC" w:rsidRDefault="005413FA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Kalkulację kosztów pośrednich w projektach dokonuje się w sposób określony w rozdziale 3.12 Podręcznika dla Beneficjenta.</w:t>
      </w:r>
    </w:p>
    <w:p w:rsidR="005413FA" w:rsidRPr="00643BDC" w:rsidRDefault="005413FA" w:rsidP="00554414">
      <w:pPr>
        <w:numPr>
          <w:ilvl w:val="0"/>
          <w:numId w:val="8"/>
        </w:numPr>
        <w:spacing w:after="120" w:line="312" w:lineRule="atLeast"/>
        <w:ind w:left="240" w:right="240"/>
        <w:outlineLvl w:val="2"/>
        <w:rPr>
          <w:rFonts w:ascii="Arial" w:hAnsi="Arial" w:cs="Arial"/>
          <w:color w:val="4C4C4C"/>
          <w:sz w:val="29"/>
          <w:szCs w:val="29"/>
          <w:lang w:eastAsia="pl-PL"/>
        </w:rPr>
      </w:pPr>
      <w:r w:rsidRPr="00643BDC">
        <w:rPr>
          <w:rFonts w:ascii="Arial" w:hAnsi="Arial" w:cs="Arial"/>
          <w:color w:val="4C4C4C"/>
          <w:sz w:val="29"/>
          <w:szCs w:val="29"/>
          <w:lang w:eastAsia="pl-PL"/>
        </w:rPr>
        <w:t>System przepływów finansowych</w:t>
      </w:r>
    </w:p>
    <w:p w:rsidR="005413FA" w:rsidRPr="00643BDC" w:rsidRDefault="005413FA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i/>
          <w:iCs/>
          <w:color w:val="010101"/>
          <w:sz w:val="18"/>
          <w:szCs w:val="18"/>
          <w:lang w:eastAsia="pl-PL"/>
        </w:rPr>
        <w:t>Państwowe Jednostki Budżetowe</w:t>
      </w:r>
    </w:p>
    <w:p w:rsidR="005413FA" w:rsidRPr="00643BDC" w:rsidRDefault="005413FA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Wydatki państwowych jednostek budżetowych objęte zostaną w całości prefinansowaniem z budżetu państwa.</w:t>
      </w:r>
    </w:p>
    <w:p w:rsidR="005413FA" w:rsidRPr="00643BDC" w:rsidRDefault="005413FA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i/>
          <w:iCs/>
          <w:color w:val="010101"/>
          <w:sz w:val="18"/>
          <w:szCs w:val="18"/>
          <w:lang w:eastAsia="pl-PL"/>
        </w:rPr>
        <w:t>Podmioty niebędące państwowymi jednostkami budżetowymi</w:t>
      </w:r>
    </w:p>
    <w:p w:rsidR="005413FA" w:rsidRPr="00643BDC" w:rsidRDefault="005413FA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Pierwsza płatność zaliczki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 – Beneficjent składa wniosek o pierwszą zaliczkę do Organu Delegowanego w terminach określonych w zawartej Umowie.</w:t>
      </w:r>
    </w:p>
    <w:p w:rsidR="005413FA" w:rsidRPr="00643BDC" w:rsidRDefault="005413FA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Druga płatność zaliczki –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 może być przekazana, jeżeli Beneficjent rozliczy w raporcie kwartalnym za pierwszy kwartał realizacji Projektu min. 70% wydatków planowanych w pierwszym kwartale. Jeżeli wydatki rozliczone w pierwszym kwartale realizacji Projektu nie osiągną progu 70% wydatków planowanych w tym kwartale Beneficjent może złożyć raport dodatkowy za kolejne miesiące realizacji Projektu, jeżeli w tym okresie osiągnie próg 70% wydatków planowanych w pierwszym kwartale.</w:t>
      </w:r>
    </w:p>
    <w:p w:rsidR="005413FA" w:rsidRPr="00643BDC" w:rsidRDefault="005413FA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Trzecia płatność zaliczki –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 może być przekazana, jeżeli Beneficjent rozliczy w raportach kwartalnych za drugi i trzeci kwartał realizacji Projektu min. 70% wydatków planowanych w tych kwartałach.</w:t>
      </w:r>
    </w:p>
    <w:p w:rsidR="005413FA" w:rsidRPr="00643BDC" w:rsidRDefault="005413FA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lastRenderedPageBreak/>
        <w:t>Jeżeli wydatki rozliczone w drugim i trzecim kwartale realizacji Projektu nie osiągną progu 70% wydatków planowanych w tych kwartałach Beneficjent może złożyć raport dodatkowy za kolejne miesiące realizacji Projektu, jeżeli w tym okresie osiągnie próg 70% wydatków planowanych w kwartałach drugim i trzecim.</w:t>
      </w:r>
    </w:p>
    <w:p w:rsidR="005413FA" w:rsidRPr="00643BDC" w:rsidRDefault="005413FA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Czwarta i następne płatności zaliczki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 – czwarta i następne płatności zaliczki wypłacane są w sposób analogiczny do zaliczki trzeciej, tj. zaliczka na kwartały n i n+1 może być przekazana, jeżeli Beneficjent rozliczy w raportach kwartalnych za kwartały n-2 i n-3 realizacji Projektu min. 70% wydatków planowanych w tych kwartałach, z uwzględnieniem możliwości składania raportów dodatkowych.</w:t>
      </w:r>
    </w:p>
    <w:p w:rsidR="005413FA" w:rsidRPr="00643BDC" w:rsidRDefault="005413FA" w:rsidP="00837079">
      <w:pPr>
        <w:numPr>
          <w:ilvl w:val="0"/>
          <w:numId w:val="9"/>
        </w:numPr>
        <w:spacing w:after="120" w:line="312" w:lineRule="atLeast"/>
        <w:ind w:left="240" w:right="240"/>
        <w:outlineLvl w:val="2"/>
        <w:rPr>
          <w:rFonts w:ascii="Arial" w:hAnsi="Arial" w:cs="Arial"/>
          <w:color w:val="4C4C4C"/>
          <w:sz w:val="29"/>
          <w:szCs w:val="29"/>
          <w:lang w:eastAsia="pl-PL"/>
        </w:rPr>
      </w:pPr>
      <w:r w:rsidRPr="00643BDC">
        <w:rPr>
          <w:rFonts w:ascii="Arial" w:hAnsi="Arial" w:cs="Arial"/>
          <w:color w:val="4C4C4C"/>
          <w:sz w:val="29"/>
          <w:szCs w:val="29"/>
          <w:lang w:eastAsia="pl-PL"/>
        </w:rPr>
        <w:t>Okres kwalifikowalności wydatków w naborze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rPr>
          <w:rFonts w:ascii="Arial" w:hAnsi="Arial" w:cs="Arial"/>
          <w:b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Początkowa data kwalifikowalności wydatków to </w:t>
      </w:r>
      <w:r w:rsidRPr="00643BDC">
        <w:rPr>
          <w:rFonts w:ascii="Arial" w:hAnsi="Arial" w:cs="Arial"/>
          <w:b/>
          <w:color w:val="010101"/>
          <w:sz w:val="18"/>
          <w:szCs w:val="18"/>
          <w:lang w:eastAsia="pl-PL"/>
        </w:rPr>
        <w:t>1 sierpnia 2016 r.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Końcowa data kwalifikowalności wydatków nie może wykraczać poza dzień </w:t>
      </w:r>
      <w:r w:rsidRPr="00643BDC">
        <w:rPr>
          <w:rFonts w:ascii="Arial" w:hAnsi="Arial" w:cs="Arial"/>
          <w:b/>
          <w:color w:val="010101"/>
          <w:sz w:val="18"/>
          <w:szCs w:val="18"/>
          <w:lang w:eastAsia="pl-PL"/>
        </w:rPr>
        <w:t>31 grudnia 2018 r.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rPr>
          <w:rFonts w:ascii="Arial" w:hAnsi="Arial" w:cs="Arial"/>
          <w:b/>
          <w:bCs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Uwaga! Maksymalny czas realizacji projektu dla tego naboru to 24 miesiące.</w:t>
      </w:r>
    </w:p>
    <w:p w:rsidR="005413FA" w:rsidRPr="00643BDC" w:rsidRDefault="005413FA" w:rsidP="00837079">
      <w:pPr>
        <w:numPr>
          <w:ilvl w:val="0"/>
          <w:numId w:val="10"/>
        </w:numPr>
        <w:spacing w:after="120" w:line="312" w:lineRule="atLeast"/>
        <w:ind w:left="240" w:right="240"/>
        <w:outlineLvl w:val="2"/>
        <w:rPr>
          <w:rFonts w:ascii="Arial" w:hAnsi="Arial" w:cs="Arial"/>
          <w:color w:val="4C4C4C"/>
          <w:sz w:val="29"/>
          <w:szCs w:val="29"/>
          <w:lang w:eastAsia="pl-PL"/>
        </w:rPr>
      </w:pPr>
      <w:r w:rsidRPr="00643BDC">
        <w:rPr>
          <w:rFonts w:ascii="Arial" w:hAnsi="Arial" w:cs="Arial"/>
          <w:color w:val="4C4C4C"/>
          <w:sz w:val="29"/>
          <w:szCs w:val="29"/>
          <w:lang w:eastAsia="pl-PL"/>
        </w:rPr>
        <w:t>Ocena projektów</w:t>
      </w:r>
    </w:p>
    <w:p w:rsidR="005413FA" w:rsidRPr="00643BDC" w:rsidRDefault="005413FA" w:rsidP="00837079">
      <w:pPr>
        <w:spacing w:before="100" w:beforeAutospacing="1" w:after="100" w:afterAutospacing="1" w:line="264" w:lineRule="atLeast"/>
        <w:outlineLvl w:val="3"/>
        <w:rPr>
          <w:rFonts w:ascii="Arial" w:hAnsi="Arial" w:cs="Arial"/>
          <w:b/>
          <w:bCs/>
          <w:color w:val="00B0E5"/>
          <w:lang w:eastAsia="pl-PL"/>
        </w:rPr>
      </w:pPr>
      <w:r w:rsidRPr="00643BDC">
        <w:rPr>
          <w:rFonts w:ascii="Arial" w:hAnsi="Arial" w:cs="Arial"/>
          <w:b/>
          <w:bCs/>
          <w:color w:val="00B0E5"/>
          <w:u w:val="single"/>
          <w:lang w:eastAsia="pl-PL"/>
        </w:rPr>
        <w:t>Ocena formalna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Wnioski o dofinansowanie podlegają ocenie formalnej niezwłocznie po ich złożeniu do </w:t>
      </w:r>
      <w:r w:rsidR="0083707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MSWiA</w:t>
      </w:r>
      <w:r w:rsidR="00837079" w:rsidRPr="00DA11F5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</w:t>
      </w:r>
      <w:r w:rsidR="00837079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przez ekspertów </w:t>
      </w:r>
      <w:r w:rsidR="0083707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DPGIFM</w:t>
      </w:r>
      <w:r w:rsidR="00837079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="0083707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MSWiA</w:t>
      </w:r>
      <w:r w:rsidR="009716B0" w:rsidRPr="00473846">
        <w:rPr>
          <w:rFonts w:ascii="Arial" w:hAnsi="Arial"/>
          <w:color w:val="010101"/>
          <w:sz w:val="18"/>
        </w:rPr>
        <w:t xml:space="preserve"> 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przy użyciu Arkusza oceny formalnej, którego wzór został załączony do niniejszego ogłoszenia.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Po stwierdzeniu braków lub błędów </w:t>
      </w:r>
      <w:r w:rsidRPr="00643BDC">
        <w:rPr>
          <w:rFonts w:ascii="Arial" w:hAnsi="Arial" w:cs="Arial"/>
          <w:sz w:val="18"/>
          <w:szCs w:val="18"/>
          <w:lang w:eastAsia="pl-PL"/>
        </w:rPr>
        <w:t>formalnych podlegających procedurze uzupełnień, wskazanych w pkt</w:t>
      </w:r>
      <w:r w:rsidRPr="00440C81">
        <w:rPr>
          <w:rFonts w:ascii="Arial" w:hAnsi="Arial" w:cs="Arial"/>
          <w:sz w:val="18"/>
          <w:szCs w:val="18"/>
          <w:lang w:eastAsia="pl-PL"/>
        </w:rPr>
        <w:t xml:space="preserve"> 5 niniejszego ogłoszenia, do wnioskodawcy wysyłane jest pismo z prośbą o korektę wniosku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. Przesłana przez wnioskodawcę korekta nie może powodować zmiany merytorycznej zawartości wniosku. Wprowadzenie we wniosku zmian wykraczających poza prośbę o korektę skierowaną do wnioskodawcy może zostać potraktowane, jako niedopuszczalna modyfikacja wniosku i skutkować jego odrzuceniem.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Uwaga! Jeżeli uzupełnienie wniosku nie zmieni ogólnego układu dokumentu należy przysyłać jedynie zmienioną część wniosku.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Jeżeli w terminie określonym w piśmie do wnioskodawcy korekta nie zostanie przesłana wniosek zostanie odrzucony. </w:t>
      </w:r>
      <w:r w:rsidRPr="00643BDC">
        <w:rPr>
          <w:rFonts w:ascii="Arial" w:hAnsi="Arial" w:cs="Arial"/>
          <w:sz w:val="18"/>
          <w:szCs w:val="18"/>
          <w:lang w:eastAsia="pl-PL"/>
        </w:rPr>
        <w:t>W przypadku przesyłania poprawionych dokumentów pocztą, o dochowaniu terminu decyduje data stempla pocztowego.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u w:val="single"/>
          <w:lang w:eastAsia="pl-PL"/>
        </w:rPr>
        <w:t>Odwołanie od oceny formalnej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Wnioskodawca ma prawo do złożenia odwołania na tym etapie oceny.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Odwołanie będzie rozpatrywane przez eksperta wybranego w drodze losowania z puli ekspertów wybranych do oceny projektów dla przedmiotowego naboru.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lastRenderedPageBreak/>
        <w:t xml:space="preserve">W celu rozpatrzenia odwołania </w:t>
      </w:r>
      <w:r w:rsidR="0083707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DPGIFM</w:t>
      </w:r>
      <w:r w:rsidR="00293FFE"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 MSW</w:t>
      </w:r>
      <w:r w:rsidR="0083707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iA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 analizuje wniosek pod względem kryteriów formalnych, biorąc pod uwagę argumentację Wnioskodawcy zawartą w odwołaniu. Po zakończonej ponownej ocenie Wnioskodawca jest informowany o wyniku rozpatrzenia odwołania. W przypadku uznania odwołania Wnioskodawcy i pozytywnej oceny wniosku pod względem kryteriów formalnych, wniosek podlega ocenie merytorycznej.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Odwołanie powinno zostać złożone do </w:t>
      </w:r>
      <w:r w:rsidR="0083707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MSWiA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 w ciągu 10 dni kalendarzowych od daty otrzymania przez Wnioskodawcę pisma zawiadamiającego o odrzuceniu wniosku na etapie oceny formalnej.</w:t>
      </w:r>
    </w:p>
    <w:p w:rsidR="005413FA" w:rsidRPr="00643BDC" w:rsidRDefault="005413FA" w:rsidP="00837079">
      <w:pPr>
        <w:spacing w:before="100" w:beforeAutospacing="1" w:after="100" w:afterAutospacing="1" w:line="264" w:lineRule="atLeast"/>
        <w:outlineLvl w:val="3"/>
        <w:rPr>
          <w:rFonts w:ascii="Arial" w:hAnsi="Arial" w:cs="Arial"/>
          <w:b/>
          <w:bCs/>
          <w:color w:val="00B0E5"/>
          <w:lang w:eastAsia="pl-PL"/>
        </w:rPr>
      </w:pPr>
      <w:r w:rsidRPr="00643BDC">
        <w:rPr>
          <w:rFonts w:ascii="Arial" w:hAnsi="Arial" w:cs="Arial"/>
          <w:b/>
          <w:bCs/>
          <w:color w:val="00B0E5"/>
          <w:u w:val="single"/>
          <w:lang w:eastAsia="pl-PL"/>
        </w:rPr>
        <w:t>Ocena merytoryczna projektów</w:t>
      </w:r>
    </w:p>
    <w:p w:rsidR="005413FA" w:rsidRPr="00300E86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Oceny merytorycznej projektów dokonuje Komisja Oceny Projektów (KOP), w skład której wchodzą przedstawiciele Organu Odpowiedzialnego (Departament Polityki Granicznej i Funduszy Międzynarodowych Ministerstwa Spraw Wewnętrznych </w:t>
      </w:r>
      <w:r w:rsidR="009716B0" w:rsidRPr="009716B0">
        <w:rPr>
          <w:rFonts w:ascii="Arial" w:hAnsi="Arial"/>
          <w:sz w:val="18"/>
        </w:rPr>
        <w:t>i Administracji</w:t>
      </w:r>
      <w:r w:rsidR="00837079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), Organu Delegowanego (COPE </w:t>
      </w:r>
      <w:r w:rsidR="0083707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MSWIA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) </w:t>
      </w:r>
      <w:r w:rsidRPr="00AB7A7C">
        <w:rPr>
          <w:rFonts w:ascii="Arial" w:hAnsi="Arial" w:cs="Arial"/>
          <w:color w:val="010101"/>
          <w:sz w:val="18"/>
          <w:szCs w:val="18"/>
          <w:lang w:eastAsia="pl-PL"/>
        </w:rPr>
        <w:t xml:space="preserve">oraz eksperci Ministerstwa </w:t>
      </w:r>
      <w:r w:rsidR="00060B03" w:rsidRPr="00AB7A7C">
        <w:rPr>
          <w:rFonts w:ascii="Arial" w:hAnsi="Arial" w:cs="Arial"/>
          <w:color w:val="010101"/>
          <w:sz w:val="18"/>
          <w:szCs w:val="18"/>
          <w:lang w:eastAsia="pl-PL"/>
        </w:rPr>
        <w:t xml:space="preserve">Rodziny, </w:t>
      </w:r>
      <w:r w:rsidRPr="00AB7A7C">
        <w:rPr>
          <w:rFonts w:ascii="Arial" w:hAnsi="Arial" w:cs="Arial"/>
          <w:color w:val="010101"/>
          <w:sz w:val="18"/>
          <w:szCs w:val="18"/>
          <w:lang w:eastAsia="pl-PL"/>
        </w:rPr>
        <w:t xml:space="preserve">Pracy i Polityki Społecznej. </w:t>
      </w:r>
      <w:r w:rsidRPr="00300E86">
        <w:rPr>
          <w:rFonts w:ascii="Arial" w:hAnsi="Arial" w:cs="Arial"/>
          <w:color w:val="010101"/>
          <w:sz w:val="18"/>
          <w:szCs w:val="18"/>
          <w:lang w:eastAsia="pl-PL"/>
        </w:rPr>
        <w:t xml:space="preserve">Zadaniem osób oceniających jest dokonanie niezależnej i bezstronnej oceny zgłoszonych przez wnioskodawców 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projektów wg kryteriów zestawionych w formularzu Arkusz Oceny Merytorycznej Wniosku, którego wzór został załączony do niniejszego ogłoszenia.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Ocena merytoryczna odbywa się w ciągu maks. 45 dni po zakończeniu oceny formalnej. Osoby oceniające zobowiązują się do przestrzegania zasad bezstronności i poufności.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Podczas spotkania KOP Przewodniczący losuje osoby oceniające poszczególne projekty.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W przypadku, gdy rozbieżność punktowa między osobami oceniającymi dany wniosek wynosi min. 30 punktów lub gdy ogólna punktacja przyznana przez jednego z oceniających jest poniżej progu kwalifikującego do dofinansowania, zaś punktacja przyznana przez drugiego z oceniających jest powyżej progu kwalifikującego do dofinansowania (pod warunkiem, że w żadnej z kategorii B, C lub D obaj oceniający jednocześnie nie zdyskwalifikowali wniosku) wniosek podlega dodatkowej ocenie przez trzeciego oceniającego, wyznaczanego przez Przewodniczącego KOP.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W takiej sytuacji ostateczną oceną wniosku jest ocena trzeciego oceniającego oraz tego z pierwotnych oceniających, którego ocena jest bliższa punktowo ocenie trzeciego oceniającego. W przypadku, gdy ocena trzeciego oceniającego jest punktowo jednakowo oddalona od ocen obu pierwotnych oceniających pod uwagę bierze się ocenę z większą liczbą punktów.</w:t>
      </w:r>
    </w:p>
    <w:p w:rsidR="005413FA" w:rsidRPr="00643BDC" w:rsidRDefault="005413FA" w:rsidP="00837079">
      <w:pPr>
        <w:spacing w:before="100" w:beforeAutospacing="1" w:after="100" w:afterAutospacing="1" w:line="264" w:lineRule="atLeast"/>
        <w:outlineLvl w:val="3"/>
        <w:rPr>
          <w:rFonts w:ascii="Arial" w:hAnsi="Arial" w:cs="Arial"/>
          <w:b/>
          <w:bCs/>
          <w:color w:val="00B0E5"/>
          <w:lang w:eastAsia="pl-PL"/>
        </w:rPr>
      </w:pPr>
      <w:r w:rsidRPr="00643BDC">
        <w:rPr>
          <w:rFonts w:ascii="Arial" w:hAnsi="Arial" w:cs="Arial"/>
          <w:b/>
          <w:bCs/>
          <w:color w:val="00B0E5"/>
          <w:u w:val="single"/>
          <w:lang w:eastAsia="pl-PL"/>
        </w:rPr>
        <w:t>Wybór wniosków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Na podstawie rekomendacji KOP, wyboru wniosków dokonuje Międzyresortowy Zespół ds. Europejskich Funduszy Spraw Wewnętrznych (dalej: Międzyresortowy Zespół).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Decyzja Międzyresortowego Zespołu jest ostateczna.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Akceptację Międzyresortowego Zespołu mogą uzyskać jedynie wnioski, które otrzymały co najmniej 65 punktów oraz minimum 50% punktów możliwych do uzyskania w kategorii B, C i D „Arkusza Oceny Merytorycznej 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lastRenderedPageBreak/>
        <w:t>Wniosku”. Kolejność akceptacji wniosków do finansowania jest zgodna z liczbą punktów przyznanych podczas oceny merytorycznej.</w:t>
      </w:r>
    </w:p>
    <w:p w:rsidR="005413FA" w:rsidRPr="00643BDC" w:rsidRDefault="005413FA" w:rsidP="00837079">
      <w:pPr>
        <w:numPr>
          <w:ilvl w:val="0"/>
          <w:numId w:val="11"/>
        </w:numPr>
        <w:spacing w:after="120" w:line="312" w:lineRule="atLeast"/>
        <w:ind w:left="240" w:right="240"/>
        <w:outlineLvl w:val="2"/>
        <w:rPr>
          <w:rFonts w:ascii="Arial" w:hAnsi="Arial" w:cs="Arial"/>
          <w:color w:val="4C4C4C"/>
          <w:sz w:val="29"/>
          <w:szCs w:val="29"/>
          <w:lang w:eastAsia="pl-PL"/>
        </w:rPr>
      </w:pPr>
      <w:r w:rsidRPr="00643BDC">
        <w:rPr>
          <w:rFonts w:ascii="Arial" w:hAnsi="Arial" w:cs="Arial"/>
          <w:color w:val="4C4C4C"/>
          <w:sz w:val="29"/>
          <w:szCs w:val="29"/>
          <w:lang w:eastAsia="pl-PL"/>
        </w:rPr>
        <w:t>Kryteria wyboru projektów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Kryteria formalne dla naboru wniosków są następujące: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Cs/>
          <w:color w:val="010101"/>
          <w:sz w:val="18"/>
          <w:szCs w:val="18"/>
          <w:lang w:eastAsia="pl-PL"/>
        </w:rPr>
        <w:t>KRYTERIA OCENY FORMALNEJ NIEPODLEGAJĄCE TRYBOWI UZUPEŁNIEŃ</w:t>
      </w:r>
    </w:p>
    <w:p w:rsidR="005413FA" w:rsidRPr="00643BDC" w:rsidRDefault="005413FA" w:rsidP="00837079">
      <w:pPr>
        <w:numPr>
          <w:ilvl w:val="0"/>
          <w:numId w:val="12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Kryteria administracyjne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</w:p>
    <w:p w:rsidR="005413FA" w:rsidRPr="00643BDC" w:rsidRDefault="005413FA" w:rsidP="00837079">
      <w:pPr>
        <w:numPr>
          <w:ilvl w:val="1"/>
          <w:numId w:val="12"/>
        </w:numPr>
        <w:spacing w:after="0" w:line="336" w:lineRule="atLeast"/>
        <w:ind w:left="480" w:right="48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Wniosek wpłynął do </w:t>
      </w:r>
      <w:r w:rsidR="0083707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MSWiA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 w wyznaczonym terminie</w:t>
      </w:r>
    </w:p>
    <w:p w:rsidR="005413FA" w:rsidRPr="00643BDC" w:rsidRDefault="005413FA" w:rsidP="00837079">
      <w:pPr>
        <w:numPr>
          <w:ilvl w:val="1"/>
          <w:numId w:val="12"/>
        </w:numPr>
        <w:spacing w:after="0" w:line="336" w:lineRule="atLeast"/>
        <w:ind w:left="480" w:right="48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Wniosek został przygotowany na odpowiednim formularzu</w:t>
      </w:r>
    </w:p>
    <w:p w:rsidR="005413FA" w:rsidRPr="00643BDC" w:rsidRDefault="005413FA" w:rsidP="00837079">
      <w:pPr>
        <w:numPr>
          <w:ilvl w:val="0"/>
          <w:numId w:val="12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Kryteria kwalifikacji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</w:p>
    <w:p w:rsidR="005413FA" w:rsidRPr="00643BDC" w:rsidRDefault="005413FA" w:rsidP="00837079">
      <w:pPr>
        <w:numPr>
          <w:ilvl w:val="1"/>
          <w:numId w:val="13"/>
        </w:numPr>
        <w:spacing w:after="0" w:line="336" w:lineRule="atLeast"/>
        <w:ind w:left="480" w:right="48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Wnioskodawca jest uprawniony do ubiegania się o dofinansowanie w ramach Funduszu</w:t>
      </w:r>
    </w:p>
    <w:p w:rsidR="005413FA" w:rsidRPr="00643BDC" w:rsidRDefault="005413FA" w:rsidP="00837079">
      <w:pPr>
        <w:numPr>
          <w:ilvl w:val="1"/>
          <w:numId w:val="13"/>
        </w:numPr>
        <w:spacing w:after="0" w:line="336" w:lineRule="atLeast"/>
        <w:ind w:left="480" w:right="48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Czas realizacji projektu nie przekracza 24 miesięcy</w:t>
      </w:r>
    </w:p>
    <w:p w:rsidR="005413FA" w:rsidRPr="00643BDC" w:rsidRDefault="005413FA" w:rsidP="00837079">
      <w:pPr>
        <w:numPr>
          <w:ilvl w:val="1"/>
          <w:numId w:val="13"/>
        </w:numPr>
        <w:spacing w:after="0" w:line="336" w:lineRule="atLeast"/>
        <w:ind w:left="480" w:right="48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Wartość projektu nie jest niższa niż minimalna wartość projektu określona w naborze </w:t>
      </w:r>
    </w:p>
    <w:p w:rsidR="005413FA" w:rsidRPr="00643BDC" w:rsidRDefault="005413FA" w:rsidP="00837079">
      <w:pPr>
        <w:numPr>
          <w:ilvl w:val="1"/>
          <w:numId w:val="13"/>
        </w:numPr>
        <w:spacing w:after="0" w:line="336" w:lineRule="atLeast"/>
        <w:ind w:left="480" w:right="48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Daty rozpoczęcia i zakończenia projektu nie wykraczają poza dopuszczalny termin kwalifikowalności wydatków ustalony dla naboru 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KRYTERIA OCENY FORMALNEJ PODLEGAJĄCE PROCEDURZE UZUPEŁNIEŃ W TRYBIE 3 DNI ROBOCZYCH</w:t>
      </w:r>
    </w:p>
    <w:p w:rsidR="005413FA" w:rsidRPr="00643BDC" w:rsidRDefault="005413FA" w:rsidP="00837079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Złożono 2 wymagane egzemplarze wniosku (dwa oryginały albo jeden oryginał i kopia potwierdzona za zgodność z oryginałem). Wniosek wraz z załącznikami został złożony w formie papierowej (dokumentom nie brakuje żadnej ze stron)</w:t>
      </w:r>
    </w:p>
    <w:p w:rsidR="005413FA" w:rsidRPr="00643BDC" w:rsidRDefault="005413FA" w:rsidP="00837079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hAnsi="Arial" w:cs="Arial"/>
          <w:sz w:val="18"/>
          <w:szCs w:val="18"/>
          <w:lang w:eastAsia="pl-PL"/>
        </w:rPr>
      </w:pPr>
      <w:r w:rsidRPr="00643BDC">
        <w:rPr>
          <w:rFonts w:ascii="Arial" w:hAnsi="Arial" w:cs="Arial"/>
          <w:sz w:val="18"/>
          <w:szCs w:val="18"/>
          <w:lang w:eastAsia="pl-PL"/>
        </w:rPr>
        <w:t>Złożono wszystkie obowiązkowe załączniki w 2 egzemplarzach w formie papierowej (dwa oryginały albo jeden oryginał i kopia potwierdzona za zgodność z oryginałem; bilans oraz rachunek zysków i strat, lub inny dokument umożliwiający ocenę kondycji finansowej wnioskodawcy mogą zostać złożone jako kopie potwierdzone za zgodność z oryginałem przez upoważnione do tego osoby), dokumentom nie brakuje żadnej ze stron</w:t>
      </w:r>
    </w:p>
    <w:p w:rsidR="005413FA" w:rsidRPr="00643BDC" w:rsidRDefault="005413FA" w:rsidP="00837079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hAnsi="Arial" w:cs="Arial"/>
          <w:sz w:val="18"/>
          <w:szCs w:val="18"/>
          <w:lang w:eastAsia="pl-PL"/>
        </w:rPr>
      </w:pPr>
      <w:r w:rsidRPr="00643BDC">
        <w:rPr>
          <w:rFonts w:ascii="Arial" w:hAnsi="Arial" w:cs="Arial"/>
          <w:sz w:val="18"/>
          <w:szCs w:val="18"/>
          <w:lang w:eastAsia="pl-PL"/>
        </w:rPr>
        <w:t xml:space="preserve">Złożono płytę CD/DVD zawierającą edytowalną wersję wniosku i wszystkich obowiązkowych załączników </w:t>
      </w:r>
    </w:p>
    <w:p w:rsidR="005413FA" w:rsidRPr="00643BDC" w:rsidRDefault="005413FA" w:rsidP="00837079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hAnsi="Arial" w:cs="Arial"/>
          <w:sz w:val="18"/>
          <w:szCs w:val="18"/>
          <w:lang w:eastAsia="pl-PL"/>
        </w:rPr>
      </w:pPr>
      <w:r w:rsidRPr="00643BDC">
        <w:rPr>
          <w:rFonts w:ascii="Arial" w:hAnsi="Arial" w:cs="Arial"/>
          <w:sz w:val="18"/>
          <w:szCs w:val="18"/>
          <w:lang w:eastAsia="pl-PL"/>
        </w:rPr>
        <w:t xml:space="preserve">Wnioskodawca zadeklarował identyczność wersji papierowej z elektroniczną wersją złożonej dokumentacji </w:t>
      </w:r>
    </w:p>
    <w:p w:rsidR="005413FA" w:rsidRPr="00643BDC" w:rsidRDefault="005413FA" w:rsidP="00837079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hAnsi="Arial" w:cs="Arial"/>
          <w:sz w:val="18"/>
          <w:szCs w:val="18"/>
          <w:lang w:eastAsia="pl-PL"/>
        </w:rPr>
      </w:pPr>
      <w:r w:rsidRPr="00643BDC">
        <w:rPr>
          <w:rFonts w:ascii="Arial" w:hAnsi="Arial" w:cs="Arial"/>
          <w:sz w:val="18"/>
          <w:szCs w:val="18"/>
          <w:lang w:eastAsia="pl-PL"/>
        </w:rPr>
        <w:t>Podpisy i pieczęci (niezbędne jeśli podpis jest nieczytelny) Wnioskodawcy pod wnioskiem i obowiązkowymi załącznikami oraz Partnera/ów pod Deklaracją Partnerstwa (jeśli dotyczy)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KRYTERIA MERYTORYCZNE dla naboru wniosków są następujące:</w:t>
      </w:r>
    </w:p>
    <w:p w:rsidR="005413FA" w:rsidRPr="00643BDC" w:rsidRDefault="005413FA" w:rsidP="00837079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projekt jest zgodny z zakresem ogłoszonego konkursu? TAK/NIE</w:t>
      </w:r>
    </w:p>
    <w:p w:rsidR="005413FA" w:rsidRPr="00643BDC" w:rsidRDefault="005413FA" w:rsidP="00837079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Sytuacja i wymogi w Państwie Członkowskim 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projekt jest spójny w zakresie celów, oczekiwanych rezultatów, uzasadnienia, opisu działań, harmonogramu, budżetu i formularza wskaźników? – max 5 pkt.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Wnioskodawca przedstawił projekt w sposób wyczerpujący? – max 5 pkt.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lastRenderedPageBreak/>
        <w:t>Czy i w jakim stopniu projekt stanowi kompleksową odpowiedź na zidentyfikowane problemy? – max.12 pkt.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i w jakim stopniu projekt odpowiada na istniejące problemy i przyczynia się do polepszenia sytuacji grupy docelowej? – max. 13 pkt.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i w jakim stopniu projekt bierze pod uwagę sytuację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lub nadużyć w tym zakresie, ofiary handlu ludźmi oraz osoby potrzebujące natychmiastowej opieki i niezbędnego leczenia chorób? – max. 5 pkt.</w:t>
      </w:r>
    </w:p>
    <w:p w:rsidR="005413FA" w:rsidRPr="00643BDC" w:rsidRDefault="005413FA" w:rsidP="00837079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Efektywność kosztowa i trwałość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i w jakim stopniu ogólny stosunek między szacowanymi kosztami a oczekiwanymi rezultatami jest zadowalający? – max 7 pkt.</w:t>
      </w:r>
    </w:p>
    <w:p w:rsidR="005413FA" w:rsidRPr="00440C81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Czy i w jakim stopniu poszczególne wydatki (w tym ich wysokość) są konieczne i adekwatne do realizacji działań przewidzianych w projekcie? – max </w:t>
      </w:r>
      <w:r w:rsidR="00440C81">
        <w:rPr>
          <w:rFonts w:ascii="Arial" w:hAnsi="Arial" w:cs="Arial"/>
          <w:color w:val="010101"/>
          <w:sz w:val="18"/>
          <w:szCs w:val="18"/>
          <w:lang w:eastAsia="pl-PL"/>
        </w:rPr>
        <w:t>10</w:t>
      </w:r>
      <w:r w:rsidRPr="00440C81">
        <w:rPr>
          <w:rFonts w:ascii="Arial" w:hAnsi="Arial" w:cs="Arial"/>
          <w:color w:val="010101"/>
          <w:sz w:val="18"/>
          <w:szCs w:val="18"/>
          <w:lang w:eastAsia="pl-PL"/>
        </w:rPr>
        <w:t xml:space="preserve"> pkt.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i w jakim stopniu projekt zawiera obiektywnie sprawdzalne i możliwe do osiągnięcia wskaźniki dla zakładanych celów? – max 6 pkt.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projekt spełnia kryterium trwałości rezultatów (czy rezultaty będą miały długofalowy wpływ na grupę docelową i/lub społeczeństwo przyjmujące)? – max 5 pkt.</w:t>
      </w:r>
    </w:p>
    <w:p w:rsidR="005413FA" w:rsidRPr="00643BDC" w:rsidRDefault="005413FA" w:rsidP="00837079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Doświadczenie, wiedza fachowa, wiarygodność i wkład finansowy wnioskodawcy i partnera/ów 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i na ile doświadczenie wnioskodawcy oraz partnerów w zarządzaniu projektami o tematyce odpowiadającej przedmiotowemu projektowi jest wystarczające? – max 3 pkt.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i na ile kompetencje merytoryczne wnioskodawcy oraz partnerów, a także zaproponowana kadra specjalistów zaangażowanych w projekt są wystarczające? – max 5 pkt.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i na ile zasoby techniczne i rzeczowe wnioskodawcy oraz partnerów umożliwiają realizację projektu? – max 3 pkt.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i w jakim stopniu źródła finansowania wnioskodawcy oraz partnerów zapewniają ciągłość realizacji projektu? – max 3 pkt.</w:t>
      </w:r>
    </w:p>
    <w:p w:rsidR="005413FA" w:rsidRPr="00440C81" w:rsidRDefault="005413FA" w:rsidP="00837079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440C81">
        <w:rPr>
          <w:rFonts w:ascii="Arial" w:hAnsi="Arial" w:cs="Arial"/>
          <w:color w:val="010101"/>
          <w:sz w:val="18"/>
          <w:szCs w:val="18"/>
          <w:lang w:eastAsia="pl-PL"/>
        </w:rPr>
        <w:t xml:space="preserve">Zapewnienie widoczności finansowania </w:t>
      </w:r>
    </w:p>
    <w:p w:rsidR="005413FA" w:rsidRPr="006F2CF4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440C81">
        <w:rPr>
          <w:rFonts w:ascii="Arial" w:hAnsi="Arial" w:cs="Arial"/>
          <w:color w:val="010101"/>
          <w:sz w:val="18"/>
          <w:szCs w:val="18"/>
          <w:lang w:eastAsia="pl-PL"/>
        </w:rPr>
        <w:t>Czy i w jakim stopniu projekt przyczyni się do rozpowszechnienia informacji na temat FAMI? – max 1</w:t>
      </w:r>
      <w:r w:rsidRPr="00F120F5">
        <w:rPr>
          <w:rFonts w:ascii="Arial" w:hAnsi="Arial" w:cs="Arial"/>
          <w:color w:val="010101"/>
          <w:sz w:val="18"/>
          <w:szCs w:val="18"/>
          <w:lang w:eastAsia="pl-PL"/>
        </w:rPr>
        <w:t xml:space="preserve"> pkt.</w:t>
      </w:r>
    </w:p>
    <w:p w:rsidR="005413FA" w:rsidRPr="00643BDC" w:rsidRDefault="005413FA" w:rsidP="00837079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Zakres, w jakim projekt uzupełnia inne działania finansowane z budżetu Unii Europejskiej lub stanowi część programów krajowych </w:t>
      </w:r>
    </w:p>
    <w:p w:rsidR="005413FA" w:rsidRPr="00643BDC" w:rsidRDefault="005413FA" w:rsidP="00837079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Czy i w jakim stopniu proponowane działania są kompatybilne z innymi działaniami na poziomie regionalnym, krajowym i/lub unijnym – max 2 pkt.</w:t>
      </w:r>
    </w:p>
    <w:p w:rsidR="005413FA" w:rsidRPr="00643BDC" w:rsidRDefault="005413FA" w:rsidP="00837079">
      <w:pPr>
        <w:numPr>
          <w:ilvl w:val="0"/>
          <w:numId w:val="15"/>
        </w:numPr>
        <w:tabs>
          <w:tab w:val="clear" w:pos="720"/>
          <w:tab w:val="num" w:pos="426"/>
        </w:tabs>
        <w:spacing w:after="0" w:line="336" w:lineRule="atLeast"/>
        <w:ind w:right="480" w:hanging="72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Partnerstwo z Urzędem do spraw Cudzoziemców </w:t>
      </w:r>
      <w:r w:rsidR="00AA4D6A" w:rsidRPr="00643BDC">
        <w:rPr>
          <w:rFonts w:ascii="Arial" w:hAnsi="Arial" w:cs="Arial"/>
          <w:color w:val="010101"/>
          <w:sz w:val="18"/>
          <w:szCs w:val="18"/>
          <w:lang w:eastAsia="pl-PL"/>
        </w:rPr>
        <w:t>(załączenie do wniosku potwierdzenia UdSC o zgodzie na prowadzenie działań na terenie ośrodka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  <w:r w:rsidR="00AA4D6A" w:rsidRPr="00643BDC">
        <w:rPr>
          <w:rFonts w:ascii="Arial" w:hAnsi="Arial" w:cs="Arial"/>
          <w:color w:val="010101"/>
          <w:sz w:val="18"/>
          <w:szCs w:val="18"/>
          <w:lang w:eastAsia="pl-PL"/>
        </w:rPr>
        <w:t>umożliwia uzyskanie 5 pkt w tym kryterium)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– 15 pkt.</w:t>
      </w:r>
    </w:p>
    <w:p w:rsidR="00DC619C" w:rsidRDefault="00DC619C">
      <w:pPr>
        <w:spacing w:after="0" w:line="336" w:lineRule="atLeast"/>
        <w:ind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</w:p>
    <w:p w:rsidR="005413FA" w:rsidRPr="00440C81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00E86">
        <w:rPr>
          <w:rFonts w:ascii="Arial" w:hAnsi="Arial" w:cs="Arial"/>
          <w:color w:val="010101"/>
          <w:sz w:val="18"/>
          <w:szCs w:val="18"/>
          <w:lang w:eastAsia="pl-PL"/>
        </w:rPr>
        <w:lastRenderedPageBreak/>
        <w:t xml:space="preserve">Projekty, które uzyskają co najmniej 65 punktów na ocenie merytorycznej </w:t>
      </w:r>
      <w:r w:rsidRPr="00C358FB">
        <w:rPr>
          <w:rFonts w:ascii="Arial" w:hAnsi="Arial" w:cs="Arial"/>
          <w:color w:val="010101"/>
          <w:sz w:val="18"/>
          <w:szCs w:val="18"/>
          <w:lang w:eastAsia="pl-PL"/>
        </w:rPr>
        <w:t>(w tym minimum 50% punktacji w ramach kategorii B, C i D) zostaną umieszczone na liście rankingowej. Projekty, które ze względu na niewystarczającą ilość środków nie uzyskały</w:t>
      </w:r>
      <w:r w:rsidRPr="00440C81">
        <w:rPr>
          <w:rFonts w:ascii="Arial" w:hAnsi="Arial" w:cs="Arial"/>
          <w:color w:val="010101"/>
          <w:sz w:val="18"/>
          <w:szCs w:val="18"/>
          <w:lang w:eastAsia="pl-PL"/>
        </w:rPr>
        <w:t xml:space="preserve"> dofinansowania, będą umieszczone na liście rezerwowej.</w:t>
      </w:r>
    </w:p>
    <w:p w:rsidR="005413FA" w:rsidRPr="00440C81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440C81">
        <w:rPr>
          <w:rFonts w:ascii="Arial" w:hAnsi="Arial" w:cs="Arial"/>
          <w:color w:val="010101"/>
          <w:sz w:val="18"/>
          <w:szCs w:val="18"/>
          <w:lang w:eastAsia="pl-PL"/>
        </w:rPr>
        <w:t>Karty oceny formalnej i merytorycznej zawierające kryteria wyboru projektów znajdują się w załączniku do ogłoszenia.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Ostatecznej rekomendacji projektów do dofinansowania dokonuje </w:t>
      </w:r>
      <w:r w:rsidRPr="00643BDC">
        <w:rPr>
          <w:rFonts w:ascii="Arial" w:hAnsi="Arial" w:cs="Arial"/>
          <w:b/>
          <w:bCs/>
          <w:i/>
          <w:iCs/>
          <w:color w:val="010101"/>
          <w:sz w:val="18"/>
          <w:szCs w:val="18"/>
          <w:lang w:eastAsia="pl-PL"/>
        </w:rPr>
        <w:t>Międzyresortowy Zespół</w:t>
      </w: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Termin, miejsce i sposób składania wniosków o dofinansowanie projektów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Nabór projektów odbywa się w okresie od dnia </w:t>
      </w:r>
      <w:r w:rsidR="002A52A5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68541B">
        <w:rPr>
          <w:rFonts w:ascii="Arial" w:hAnsi="Arial" w:cs="Arial"/>
          <w:b/>
          <w:bCs/>
          <w:sz w:val="18"/>
          <w:szCs w:val="18"/>
          <w:lang w:eastAsia="pl-PL"/>
        </w:rPr>
        <w:t>5</w:t>
      </w:r>
      <w:r w:rsidR="002A52A5">
        <w:rPr>
          <w:rFonts w:ascii="Arial" w:hAnsi="Arial" w:cs="Arial"/>
          <w:b/>
          <w:bCs/>
          <w:sz w:val="18"/>
          <w:szCs w:val="18"/>
          <w:lang w:eastAsia="pl-PL"/>
        </w:rPr>
        <w:t xml:space="preserve"> kwietnia</w:t>
      </w:r>
      <w:r w:rsidRPr="00643BDC">
        <w:rPr>
          <w:rFonts w:ascii="Arial" w:hAnsi="Arial" w:cs="Arial"/>
          <w:b/>
          <w:bCs/>
          <w:sz w:val="18"/>
          <w:szCs w:val="18"/>
          <w:lang w:eastAsia="pl-PL"/>
        </w:rPr>
        <w:t xml:space="preserve"> 2016 r. do </w:t>
      </w:r>
      <w:r w:rsidRPr="00473846">
        <w:rPr>
          <w:rFonts w:ascii="Arial" w:hAnsi="Arial" w:cs="Arial"/>
          <w:b/>
          <w:bCs/>
          <w:sz w:val="18"/>
          <w:szCs w:val="18"/>
          <w:lang w:eastAsia="pl-PL"/>
        </w:rPr>
        <w:t xml:space="preserve">dnia </w:t>
      </w:r>
      <w:r w:rsidR="0068541B">
        <w:rPr>
          <w:rFonts w:ascii="Arial" w:hAnsi="Arial" w:cs="Arial"/>
          <w:b/>
          <w:bCs/>
          <w:sz w:val="18"/>
          <w:szCs w:val="18"/>
          <w:lang w:eastAsia="pl-PL"/>
        </w:rPr>
        <w:t>20</w:t>
      </w:r>
      <w:r w:rsidR="002A52A5">
        <w:rPr>
          <w:rFonts w:ascii="Arial" w:hAnsi="Arial" w:cs="Arial"/>
          <w:b/>
          <w:bCs/>
          <w:sz w:val="18"/>
          <w:szCs w:val="18"/>
          <w:lang w:eastAsia="pl-PL"/>
        </w:rPr>
        <w:t xml:space="preserve"> czerwca</w:t>
      </w:r>
      <w:r w:rsidRPr="00473846">
        <w:rPr>
          <w:rFonts w:ascii="Arial" w:hAnsi="Arial" w:cs="Arial"/>
          <w:b/>
          <w:bCs/>
          <w:sz w:val="18"/>
          <w:szCs w:val="18"/>
          <w:lang w:eastAsia="pl-PL"/>
        </w:rPr>
        <w:t xml:space="preserve"> 20</w:t>
      </w:r>
      <w:r w:rsidRPr="00643BDC">
        <w:rPr>
          <w:rFonts w:ascii="Arial" w:hAnsi="Arial" w:cs="Arial"/>
          <w:b/>
          <w:bCs/>
          <w:sz w:val="18"/>
          <w:szCs w:val="18"/>
          <w:lang w:eastAsia="pl-PL"/>
        </w:rPr>
        <w:t xml:space="preserve">16 r., </w:t>
      </w: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do godz. 16.00.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2 komplety dokumentów w języku polskim (dwa oryginały albo jeden oryginał i kopia potwierdzona za zgodność z oryginałem) w wersji papierowej wraz z 2 egzemplarzami załączników oraz wersjami edytowalnymi Wniosku i załączników obowiązkowych na płycie CD/DVD powinny być dostarczone w kopercie lub paczce, drogą pocztową, przesyłką kurierską (w tych przypadkach decyduje data stempla pocztowego lub dowodu nadania) lub osobiście do Ministerstwa Spraw </w:t>
      </w:r>
      <w:r w:rsidRPr="00473846">
        <w:rPr>
          <w:rFonts w:ascii="Arial" w:hAnsi="Arial" w:cs="Arial"/>
          <w:sz w:val="18"/>
          <w:szCs w:val="18"/>
          <w:lang w:eastAsia="pl-PL"/>
        </w:rPr>
        <w:t>Wewnętrznych</w:t>
      </w:r>
      <w:r w:rsidR="00837079" w:rsidRPr="00473846">
        <w:rPr>
          <w:rFonts w:ascii="Arial" w:eastAsia="Times New Roman" w:hAnsi="Arial" w:cs="Arial"/>
          <w:sz w:val="18"/>
          <w:szCs w:val="18"/>
          <w:lang w:eastAsia="pl-PL"/>
        </w:rPr>
        <w:t xml:space="preserve"> i Administracji</w:t>
      </w:r>
      <w:r w:rsidR="009716B0" w:rsidRPr="00473846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na adres:</w:t>
      </w:r>
    </w:p>
    <w:p w:rsidR="005413FA" w:rsidRPr="00473846" w:rsidRDefault="00837079" w:rsidP="00837079">
      <w:pPr>
        <w:spacing w:before="100" w:beforeAutospacing="1" w:after="100" w:afterAutospacing="1" w:line="336" w:lineRule="atLeast"/>
        <w:rPr>
          <w:rFonts w:ascii="Arial" w:hAnsi="Arial"/>
          <w:color w:val="010101"/>
          <w:sz w:val="18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Ministerstwo</w:t>
      </w:r>
      <w:r w:rsidR="00883F46" w:rsidRPr="00AB7A7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 Spraw Wewnętrznyc</w:t>
      </w:r>
      <w:r w:rsidR="00883F46" w:rsidRPr="00473846">
        <w:rPr>
          <w:rFonts w:ascii="Arial" w:hAnsi="Arial" w:cs="Arial"/>
          <w:b/>
          <w:bCs/>
          <w:sz w:val="18"/>
          <w:szCs w:val="18"/>
          <w:lang w:eastAsia="pl-PL"/>
        </w:rPr>
        <w:t>h</w:t>
      </w:r>
      <w:r w:rsidRPr="0047384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i Administracji</w:t>
      </w:r>
    </w:p>
    <w:p w:rsidR="00837079" w:rsidRPr="00554414" w:rsidRDefault="00837079" w:rsidP="00837079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Departament Polityki Granicznej i Funduszy Międzynarodowych </w:t>
      </w:r>
    </w:p>
    <w:p w:rsidR="005413FA" w:rsidRPr="00300E86" w:rsidRDefault="005413FA" w:rsidP="00837079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585534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ul. </w:t>
      </w:r>
      <w:r w:rsidR="00837079"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Batorego 5</w:t>
      </w:r>
    </w:p>
    <w:p w:rsidR="005413FA" w:rsidRPr="00C358FB" w:rsidRDefault="005413FA" w:rsidP="00837079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00E86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02-</w:t>
      </w:r>
      <w:r w:rsidR="00837079"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591</w:t>
      </w:r>
      <w:r w:rsidRPr="00C358FB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 Warszawa</w:t>
      </w:r>
    </w:p>
    <w:p w:rsidR="005413FA" w:rsidRPr="00440C81" w:rsidRDefault="005413FA" w:rsidP="00837079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440C81">
        <w:rPr>
          <w:rFonts w:ascii="Arial" w:hAnsi="Arial" w:cs="Arial"/>
          <w:color w:val="010101"/>
          <w:sz w:val="18"/>
          <w:szCs w:val="18"/>
          <w:lang w:eastAsia="pl-PL"/>
        </w:rPr>
        <w:t>Koperta lub paczka zawierająca kompletną dokumentację aplikacyjną powinna być opatrzona następującymi sformułowaniami:</w:t>
      </w:r>
    </w:p>
    <w:p w:rsidR="005413FA" w:rsidRPr="00F120F5" w:rsidRDefault="005413FA" w:rsidP="00837079">
      <w:pPr>
        <w:numPr>
          <w:ilvl w:val="0"/>
          <w:numId w:val="16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440C81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Wniosek o dofinansowanie</w:t>
      </w:r>
      <w:r w:rsidR="009716B0" w:rsidRPr="00473846">
        <w:rPr>
          <w:rFonts w:ascii="Arial" w:hAnsi="Arial"/>
          <w:b/>
          <w:color w:val="010101"/>
          <w:sz w:val="18"/>
        </w:rPr>
        <w:t xml:space="preserve"> projektu w ramach naboru nr </w:t>
      </w:r>
      <w:r w:rsidR="00EA5178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4</w:t>
      </w:r>
      <w:r w:rsidR="009716B0" w:rsidRPr="00473846">
        <w:rPr>
          <w:rFonts w:ascii="Arial" w:hAnsi="Arial"/>
          <w:b/>
          <w:color w:val="010101"/>
          <w:sz w:val="18"/>
        </w:rPr>
        <w:t>/2016</w:t>
      </w:r>
      <w:r w:rsidRPr="00F120F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 Funduszu Azylu, Migracji i Integracji</w:t>
      </w:r>
    </w:p>
    <w:p w:rsidR="005413FA" w:rsidRPr="00643BDC" w:rsidRDefault="005413FA" w:rsidP="00837079">
      <w:pPr>
        <w:numPr>
          <w:ilvl w:val="0"/>
          <w:numId w:val="16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pełna nazwa Wnioskodawcy</w:t>
      </w:r>
    </w:p>
    <w:p w:rsidR="005413FA" w:rsidRPr="00643BDC" w:rsidRDefault="005413FA" w:rsidP="00837079">
      <w:pPr>
        <w:numPr>
          <w:ilvl w:val="0"/>
          <w:numId w:val="16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adres Wnioskodawcy</w:t>
      </w:r>
    </w:p>
    <w:p w:rsidR="005413FA" w:rsidRPr="00643BDC" w:rsidRDefault="005413FA" w:rsidP="00837079">
      <w:pPr>
        <w:numPr>
          <w:ilvl w:val="0"/>
          <w:numId w:val="16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tytuł projektu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Termin </w:t>
      </w:r>
      <w:r w:rsidR="00837079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dostarczenia</w:t>
      </w:r>
      <w:r w:rsidRPr="00F120F5">
        <w:rPr>
          <w:rFonts w:ascii="Arial" w:hAnsi="Arial" w:cs="Arial"/>
          <w:color w:val="010101"/>
          <w:sz w:val="18"/>
          <w:szCs w:val="18"/>
          <w:lang w:eastAsia="pl-PL"/>
        </w:rPr>
        <w:t xml:space="preserve"> wniosku </w:t>
      </w:r>
      <w:r w:rsidR="00837079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nie może być późniejszy niż 10 dni kalendarzowych następujących po </w:t>
      </w:r>
      <w:r w:rsidR="00F120F5">
        <w:rPr>
          <w:rFonts w:ascii="Arial" w:hAnsi="Arial" w:cs="Arial"/>
          <w:color w:val="010101"/>
          <w:sz w:val="18"/>
          <w:szCs w:val="18"/>
          <w:lang w:eastAsia="pl-PL"/>
        </w:rPr>
        <w:t>dniu zakończenia naboru</w:t>
      </w:r>
      <w:r w:rsidR="00837079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. </w:t>
      </w:r>
      <w:r w:rsidR="00837079" w:rsidRPr="006D427E">
        <w:rPr>
          <w:rFonts w:ascii="Arial" w:eastAsia="Times New Roman" w:hAnsi="Arial" w:cs="Arial"/>
          <w:sz w:val="18"/>
          <w:szCs w:val="18"/>
          <w:lang w:eastAsia="pl-PL"/>
        </w:rPr>
        <w:t>O dochowaniu terminu decyduje data stempla pocztowego</w:t>
      </w:r>
      <w:r w:rsidR="00F120F5">
        <w:rPr>
          <w:rFonts w:ascii="Arial" w:hAnsi="Arial" w:cs="Arial"/>
          <w:sz w:val="18"/>
          <w:szCs w:val="18"/>
          <w:lang w:eastAsia="pl-PL"/>
        </w:rPr>
        <w:t>.</w:t>
      </w:r>
    </w:p>
    <w:p w:rsidR="005413FA" w:rsidRPr="00585534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585534">
        <w:rPr>
          <w:rFonts w:ascii="Arial" w:hAnsi="Arial" w:cs="Arial"/>
          <w:color w:val="010101"/>
          <w:sz w:val="18"/>
          <w:szCs w:val="18"/>
          <w:lang w:eastAsia="pl-PL"/>
        </w:rPr>
        <w:t>Dodatkowe informacje dot. naboru udzielane są w formie pisemnej.</w:t>
      </w:r>
    </w:p>
    <w:p w:rsidR="005413FA" w:rsidRPr="00440C81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00E86">
        <w:rPr>
          <w:rFonts w:ascii="Arial" w:hAnsi="Arial" w:cs="Arial"/>
          <w:color w:val="010101"/>
          <w:sz w:val="18"/>
          <w:szCs w:val="18"/>
          <w:lang w:eastAsia="pl-PL"/>
        </w:rPr>
        <w:t xml:space="preserve">Korespondencja w sprawie złożonych wniosków przekazywana jest wnioskodawcy przez </w:t>
      </w:r>
      <w:r w:rsidR="0083707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DPGIFM</w:t>
      </w:r>
      <w:r w:rsidR="00837079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="0083707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MSWIA</w:t>
      </w:r>
      <w:r w:rsidRPr="00C358FB">
        <w:rPr>
          <w:rFonts w:ascii="Arial" w:hAnsi="Arial" w:cs="Arial"/>
          <w:color w:val="010101"/>
          <w:sz w:val="18"/>
          <w:szCs w:val="18"/>
          <w:lang w:eastAsia="pl-PL"/>
        </w:rPr>
        <w:t xml:space="preserve"> faksem lub pocztą elektroniczną – zgodnie z danymi podanymi przez wnioskodawcę we wniosku aplikacyjnym. 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440C81">
        <w:rPr>
          <w:rFonts w:ascii="Arial" w:hAnsi="Arial" w:cs="Arial"/>
          <w:color w:val="010101"/>
          <w:sz w:val="18"/>
          <w:szCs w:val="18"/>
          <w:lang w:eastAsia="pl-PL"/>
        </w:rPr>
        <w:lastRenderedPageBreak/>
        <w:t>Terminy liczone</w:t>
      </w:r>
      <w:r w:rsidRPr="00F120F5">
        <w:rPr>
          <w:rFonts w:ascii="Arial" w:hAnsi="Arial" w:cs="Arial"/>
          <w:color w:val="010101"/>
          <w:sz w:val="18"/>
          <w:szCs w:val="18"/>
          <w:lang w:eastAsia="pl-PL"/>
        </w:rPr>
        <w:t xml:space="preserve"> są od terminu przekazania wnioskodawcy informacji faksem (data liczona od potwierdzenia przesłania faksu) lub terminu przesłania wiadomości pocztą elektroniczną za potwierdzeniem odbioru.</w:t>
      </w:r>
    </w:p>
    <w:p w:rsidR="005413FA" w:rsidRPr="00643BDC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>Odpowiedź na zapytanie wnioskodawcy przekazywana jest w terminie 5 dni roboczych.</w:t>
      </w:r>
    </w:p>
    <w:p w:rsidR="005413FA" w:rsidRPr="00837079" w:rsidRDefault="005413FA" w:rsidP="00837079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Zapytania należy kierować na adres poczty elektronicznej: </w:t>
      </w:r>
      <w:hyperlink r:id="rId8" w:history="1">
        <w:r w:rsidRPr="00643BDC">
          <w:rPr>
            <w:rFonts w:ascii="Arial" w:hAnsi="Arial" w:cs="Arial"/>
            <w:b/>
            <w:bCs/>
            <w:color w:val="16377C"/>
            <w:sz w:val="18"/>
            <w:szCs w:val="18"/>
            <w:u w:val="single"/>
            <w:lang w:eastAsia="pl-PL"/>
          </w:rPr>
          <w:t>fundusze.kontakt@</w:t>
        </w:r>
        <w:r w:rsidRPr="00585534">
          <w:rPr>
            <w:rFonts w:ascii="Arial" w:hAnsi="Arial" w:cs="Arial"/>
            <w:b/>
            <w:bCs/>
            <w:color w:val="16377C"/>
            <w:sz w:val="18"/>
            <w:szCs w:val="18"/>
            <w:u w:val="single"/>
            <w:lang w:eastAsia="pl-PL"/>
          </w:rPr>
          <w:t>MSWiA.gov.pl</w:t>
        </w:r>
      </w:hyperlink>
    </w:p>
    <w:sectPr w:rsidR="005413FA" w:rsidRPr="00837079" w:rsidSect="00DE02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CC7" w:rsidRDefault="00DC7CC7" w:rsidP="009F1EE2">
      <w:pPr>
        <w:spacing w:after="0" w:line="240" w:lineRule="auto"/>
      </w:pPr>
      <w:r>
        <w:separator/>
      </w:r>
    </w:p>
  </w:endnote>
  <w:endnote w:type="continuationSeparator" w:id="1">
    <w:p w:rsidR="00DC7CC7" w:rsidRDefault="00DC7CC7" w:rsidP="009F1EE2">
      <w:pPr>
        <w:spacing w:after="0" w:line="240" w:lineRule="auto"/>
      </w:pPr>
      <w:r>
        <w:continuationSeparator/>
      </w:r>
    </w:p>
  </w:endnote>
  <w:endnote w:type="continuationNotice" w:id="2">
    <w:p w:rsidR="00DC7CC7" w:rsidRDefault="00DC7CC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945861"/>
      <w:docPartObj>
        <w:docPartGallery w:val="Page Numbers (Bottom of Page)"/>
        <w:docPartUnique/>
      </w:docPartObj>
    </w:sdtPr>
    <w:sdtContent>
      <w:p w:rsidR="002A52A5" w:rsidRDefault="00732C88">
        <w:pPr>
          <w:pStyle w:val="Stopka"/>
          <w:jc w:val="right"/>
        </w:pPr>
        <w:fldSimple w:instr=" PAGE   \* MERGEFORMAT ">
          <w:r w:rsidR="0068541B">
            <w:rPr>
              <w:noProof/>
            </w:rPr>
            <w:t>8</w:t>
          </w:r>
        </w:fldSimple>
      </w:p>
    </w:sdtContent>
  </w:sdt>
  <w:p w:rsidR="00D17B80" w:rsidRDefault="00D17B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CC7" w:rsidRDefault="00DC7CC7" w:rsidP="009F1EE2">
      <w:pPr>
        <w:spacing w:after="0" w:line="240" w:lineRule="auto"/>
      </w:pPr>
      <w:r>
        <w:separator/>
      </w:r>
    </w:p>
  </w:footnote>
  <w:footnote w:type="continuationSeparator" w:id="1">
    <w:p w:rsidR="00DC7CC7" w:rsidRDefault="00DC7CC7" w:rsidP="009F1EE2">
      <w:pPr>
        <w:spacing w:after="0" w:line="240" w:lineRule="auto"/>
      </w:pPr>
      <w:r>
        <w:continuationSeparator/>
      </w:r>
    </w:p>
  </w:footnote>
  <w:footnote w:type="continuationNotice" w:id="2">
    <w:p w:rsidR="00DC7CC7" w:rsidRDefault="00DC7CC7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"/>
      </v:shape>
    </w:pict>
  </w:numPicBullet>
  <w:abstractNum w:abstractNumId="0">
    <w:nsid w:val="00BF40E1"/>
    <w:multiLevelType w:val="multilevel"/>
    <w:tmpl w:val="4CEECD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EE4CC3"/>
    <w:multiLevelType w:val="multilevel"/>
    <w:tmpl w:val="2452EA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4170641"/>
    <w:multiLevelType w:val="singleLevel"/>
    <w:tmpl w:val="5F30BB1E"/>
    <w:lvl w:ilvl="0">
      <w:start w:val="3"/>
      <w:numFmt w:val="decimal"/>
      <w:lvlText w:val="%1."/>
      <w:lvlJc w:val="left"/>
      <w:pPr>
        <w:tabs>
          <w:tab w:val="num" w:pos="360"/>
        </w:tabs>
        <w:ind w:left="1512" w:hanging="360"/>
      </w:pPr>
      <w:rPr>
        <w:rFonts w:cs="Times New Roman"/>
        <w:snapToGrid/>
        <w:spacing w:val="-1"/>
        <w:sz w:val="24"/>
        <w:szCs w:val="24"/>
      </w:rPr>
    </w:lvl>
  </w:abstractNum>
  <w:abstractNum w:abstractNumId="3">
    <w:nsid w:val="068C5D8A"/>
    <w:multiLevelType w:val="multilevel"/>
    <w:tmpl w:val="90F48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A008D7"/>
    <w:multiLevelType w:val="multilevel"/>
    <w:tmpl w:val="83BEAD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C07032"/>
    <w:multiLevelType w:val="multilevel"/>
    <w:tmpl w:val="E7CE832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F82CE4"/>
    <w:multiLevelType w:val="multilevel"/>
    <w:tmpl w:val="CB6C9D6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92D7F8B"/>
    <w:multiLevelType w:val="hybridMultilevel"/>
    <w:tmpl w:val="BDAC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A3174"/>
    <w:multiLevelType w:val="multilevel"/>
    <w:tmpl w:val="E7BA7B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1C6A91"/>
    <w:multiLevelType w:val="hybridMultilevel"/>
    <w:tmpl w:val="9C4C8E54"/>
    <w:lvl w:ilvl="0" w:tplc="5D480C06">
      <w:start w:val="1"/>
      <w:numFmt w:val="decimal"/>
      <w:lvlText w:val="%1."/>
      <w:lvlJc w:val="left"/>
      <w:pPr>
        <w:ind w:left="600" w:hanging="360"/>
      </w:pPr>
      <w:rPr>
        <w:rFonts w:eastAsia="Times New Roman" w:cs="Times New Roman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0">
    <w:nsid w:val="3942676C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946735A"/>
    <w:multiLevelType w:val="multilevel"/>
    <w:tmpl w:val="176A8BC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D6D309A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DA40671"/>
    <w:multiLevelType w:val="multilevel"/>
    <w:tmpl w:val="99002A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246CD"/>
    <w:multiLevelType w:val="hybridMultilevel"/>
    <w:tmpl w:val="E6E686B8"/>
    <w:lvl w:ilvl="0" w:tplc="EB98D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F8042E"/>
    <w:multiLevelType w:val="multilevel"/>
    <w:tmpl w:val="0F5A688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6CD5F13"/>
    <w:multiLevelType w:val="multilevel"/>
    <w:tmpl w:val="7256CA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>
    <w:nsid w:val="4FE36BEA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5DE7829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8A630C5"/>
    <w:multiLevelType w:val="multilevel"/>
    <w:tmpl w:val="72A81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F463AB4"/>
    <w:multiLevelType w:val="multilevel"/>
    <w:tmpl w:val="8954FA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69189B"/>
    <w:multiLevelType w:val="multilevel"/>
    <w:tmpl w:val="701C65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5FD6C94"/>
    <w:multiLevelType w:val="multilevel"/>
    <w:tmpl w:val="576E9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80549F3"/>
    <w:multiLevelType w:val="multilevel"/>
    <w:tmpl w:val="7256CA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>
    <w:nsid w:val="72267061"/>
    <w:multiLevelType w:val="multilevel"/>
    <w:tmpl w:val="1982FB5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2947465"/>
    <w:multiLevelType w:val="multilevel"/>
    <w:tmpl w:val="1C7405A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B4442A8"/>
    <w:multiLevelType w:val="multilevel"/>
    <w:tmpl w:val="BC74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23"/>
  </w:num>
  <w:num w:numId="5">
    <w:abstractNumId w:val="19"/>
  </w:num>
  <w:num w:numId="6">
    <w:abstractNumId w:val="8"/>
  </w:num>
  <w:num w:numId="7">
    <w:abstractNumId w:val="27"/>
  </w:num>
  <w:num w:numId="8">
    <w:abstractNumId w:val="21"/>
  </w:num>
  <w:num w:numId="9">
    <w:abstractNumId w:val="4"/>
  </w:num>
  <w:num w:numId="10">
    <w:abstractNumId w:val="5"/>
  </w:num>
  <w:num w:numId="11">
    <w:abstractNumId w:val="25"/>
  </w:num>
  <w:num w:numId="12">
    <w:abstractNumId w:val="12"/>
  </w:num>
  <w:num w:numId="13">
    <w:abstractNumId w:val="12"/>
    <w:lvlOverride w:ilvl="0"/>
    <w:lvlOverride w:ilvl="1">
      <w:startOverride w:val="1"/>
    </w:lvlOverride>
  </w:num>
  <w:num w:numId="14">
    <w:abstractNumId w:val="22"/>
  </w:num>
  <w:num w:numId="15">
    <w:abstractNumId w:val="0"/>
  </w:num>
  <w:num w:numId="16">
    <w:abstractNumId w:val="13"/>
  </w:num>
  <w:num w:numId="17">
    <w:abstractNumId w:val="2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584" w:hanging="432"/>
        </w:pPr>
        <w:rPr>
          <w:rFonts w:cs="Times New Roman"/>
          <w:snapToGrid/>
          <w:spacing w:val="-2"/>
          <w:sz w:val="24"/>
          <w:szCs w:val="24"/>
        </w:rPr>
      </w:lvl>
    </w:lvlOverride>
  </w:num>
  <w:num w:numId="18">
    <w:abstractNumId w:val="7"/>
  </w:num>
  <w:num w:numId="19">
    <w:abstractNumId w:val="9"/>
  </w:num>
  <w:num w:numId="20">
    <w:abstractNumId w:val="10"/>
  </w:num>
  <w:num w:numId="21">
    <w:abstractNumId w:val="14"/>
  </w:num>
  <w:num w:numId="22">
    <w:abstractNumId w:val="17"/>
  </w:num>
  <w:num w:numId="23">
    <w:abstractNumId w:val="6"/>
  </w:num>
  <w:num w:numId="24">
    <w:abstractNumId w:val="1"/>
  </w:num>
  <w:num w:numId="25">
    <w:abstractNumId w:val="11"/>
  </w:num>
  <w:num w:numId="26">
    <w:abstractNumId w:val="16"/>
  </w:num>
  <w:num w:numId="27">
    <w:abstractNumId w:val="15"/>
  </w:num>
  <w:num w:numId="28">
    <w:abstractNumId w:val="26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54414"/>
    <w:rsid w:val="000065BC"/>
    <w:rsid w:val="00020E54"/>
    <w:rsid w:val="000470D3"/>
    <w:rsid w:val="00060B03"/>
    <w:rsid w:val="00061875"/>
    <w:rsid w:val="00087CAA"/>
    <w:rsid w:val="000A2A1D"/>
    <w:rsid w:val="000A5D12"/>
    <w:rsid w:val="000A62EC"/>
    <w:rsid w:val="000C64C5"/>
    <w:rsid w:val="000C6807"/>
    <w:rsid w:val="000E63D6"/>
    <w:rsid w:val="000F545B"/>
    <w:rsid w:val="001077C1"/>
    <w:rsid w:val="00111B14"/>
    <w:rsid w:val="001151B7"/>
    <w:rsid w:val="001177C1"/>
    <w:rsid w:val="00124FB6"/>
    <w:rsid w:val="0014310F"/>
    <w:rsid w:val="00144D44"/>
    <w:rsid w:val="0015746A"/>
    <w:rsid w:val="00192F9F"/>
    <w:rsid w:val="001A673C"/>
    <w:rsid w:val="001C4A7B"/>
    <w:rsid w:val="001E3042"/>
    <w:rsid w:val="001F241A"/>
    <w:rsid w:val="00226928"/>
    <w:rsid w:val="002834D2"/>
    <w:rsid w:val="00286342"/>
    <w:rsid w:val="00293FFE"/>
    <w:rsid w:val="002A52A5"/>
    <w:rsid w:val="002C1682"/>
    <w:rsid w:val="002C364C"/>
    <w:rsid w:val="00300E86"/>
    <w:rsid w:val="003171E7"/>
    <w:rsid w:val="00332B66"/>
    <w:rsid w:val="00364B64"/>
    <w:rsid w:val="0039203D"/>
    <w:rsid w:val="003A37FB"/>
    <w:rsid w:val="003A5AA6"/>
    <w:rsid w:val="003D0C51"/>
    <w:rsid w:val="00432CF8"/>
    <w:rsid w:val="00440C81"/>
    <w:rsid w:val="00441653"/>
    <w:rsid w:val="004552F4"/>
    <w:rsid w:val="00473846"/>
    <w:rsid w:val="004A2B7B"/>
    <w:rsid w:val="004A39AE"/>
    <w:rsid w:val="004C2FE4"/>
    <w:rsid w:val="004D6AA2"/>
    <w:rsid w:val="004F1089"/>
    <w:rsid w:val="004F2521"/>
    <w:rsid w:val="004F7422"/>
    <w:rsid w:val="004F7D3B"/>
    <w:rsid w:val="00504D08"/>
    <w:rsid w:val="005413FA"/>
    <w:rsid w:val="00543FED"/>
    <w:rsid w:val="00544B72"/>
    <w:rsid w:val="00546BFA"/>
    <w:rsid w:val="00554414"/>
    <w:rsid w:val="00580B98"/>
    <w:rsid w:val="00585534"/>
    <w:rsid w:val="005B0F2E"/>
    <w:rsid w:val="005B76C2"/>
    <w:rsid w:val="005D475C"/>
    <w:rsid w:val="00643BDC"/>
    <w:rsid w:val="0065429F"/>
    <w:rsid w:val="006632BE"/>
    <w:rsid w:val="00667595"/>
    <w:rsid w:val="00671BF4"/>
    <w:rsid w:val="0068541B"/>
    <w:rsid w:val="006D427E"/>
    <w:rsid w:val="006E00A5"/>
    <w:rsid w:val="006E390F"/>
    <w:rsid w:val="006F2CF4"/>
    <w:rsid w:val="006F7F27"/>
    <w:rsid w:val="00732C88"/>
    <w:rsid w:val="00767B7D"/>
    <w:rsid w:val="007B4DDD"/>
    <w:rsid w:val="007F7A0A"/>
    <w:rsid w:val="00801CC3"/>
    <w:rsid w:val="008112E3"/>
    <w:rsid w:val="00815D3A"/>
    <w:rsid w:val="00825653"/>
    <w:rsid w:val="00827DE4"/>
    <w:rsid w:val="00837079"/>
    <w:rsid w:val="008549E6"/>
    <w:rsid w:val="008550DB"/>
    <w:rsid w:val="0085518C"/>
    <w:rsid w:val="0086048C"/>
    <w:rsid w:val="00863EFC"/>
    <w:rsid w:val="00883F46"/>
    <w:rsid w:val="008E5BD8"/>
    <w:rsid w:val="008F0748"/>
    <w:rsid w:val="0091757D"/>
    <w:rsid w:val="00931909"/>
    <w:rsid w:val="00931B9B"/>
    <w:rsid w:val="00941296"/>
    <w:rsid w:val="00944742"/>
    <w:rsid w:val="0094662F"/>
    <w:rsid w:val="0095065E"/>
    <w:rsid w:val="00961FB0"/>
    <w:rsid w:val="009716B0"/>
    <w:rsid w:val="009737E5"/>
    <w:rsid w:val="00986C85"/>
    <w:rsid w:val="009A4F15"/>
    <w:rsid w:val="009D3018"/>
    <w:rsid w:val="009F1EE2"/>
    <w:rsid w:val="00A10842"/>
    <w:rsid w:val="00A23D20"/>
    <w:rsid w:val="00A36508"/>
    <w:rsid w:val="00A5246C"/>
    <w:rsid w:val="00A6651B"/>
    <w:rsid w:val="00A6722E"/>
    <w:rsid w:val="00A73718"/>
    <w:rsid w:val="00A7742E"/>
    <w:rsid w:val="00A92061"/>
    <w:rsid w:val="00AA4D6A"/>
    <w:rsid w:val="00AB02D2"/>
    <w:rsid w:val="00AB7A7C"/>
    <w:rsid w:val="00AD05CB"/>
    <w:rsid w:val="00B15833"/>
    <w:rsid w:val="00B8273C"/>
    <w:rsid w:val="00B85F13"/>
    <w:rsid w:val="00B91BFE"/>
    <w:rsid w:val="00B95CE5"/>
    <w:rsid w:val="00BC076B"/>
    <w:rsid w:val="00BC4451"/>
    <w:rsid w:val="00BC5A73"/>
    <w:rsid w:val="00BD063B"/>
    <w:rsid w:val="00BD0AA0"/>
    <w:rsid w:val="00BD23F5"/>
    <w:rsid w:val="00BE0EAF"/>
    <w:rsid w:val="00BF30F0"/>
    <w:rsid w:val="00C358FB"/>
    <w:rsid w:val="00C47924"/>
    <w:rsid w:val="00C82DA2"/>
    <w:rsid w:val="00C9344B"/>
    <w:rsid w:val="00C979C4"/>
    <w:rsid w:val="00CA6414"/>
    <w:rsid w:val="00CC412A"/>
    <w:rsid w:val="00CC616A"/>
    <w:rsid w:val="00CC7F04"/>
    <w:rsid w:val="00CD0F21"/>
    <w:rsid w:val="00CE668F"/>
    <w:rsid w:val="00D02B46"/>
    <w:rsid w:val="00D04DDD"/>
    <w:rsid w:val="00D130B8"/>
    <w:rsid w:val="00D17B80"/>
    <w:rsid w:val="00D7404A"/>
    <w:rsid w:val="00D818A5"/>
    <w:rsid w:val="00D95154"/>
    <w:rsid w:val="00D97892"/>
    <w:rsid w:val="00DA11F5"/>
    <w:rsid w:val="00DB00A4"/>
    <w:rsid w:val="00DC619C"/>
    <w:rsid w:val="00DC7CC7"/>
    <w:rsid w:val="00DE02E7"/>
    <w:rsid w:val="00DF0765"/>
    <w:rsid w:val="00E162EE"/>
    <w:rsid w:val="00E24E53"/>
    <w:rsid w:val="00E32C65"/>
    <w:rsid w:val="00E37353"/>
    <w:rsid w:val="00E61F26"/>
    <w:rsid w:val="00E67F75"/>
    <w:rsid w:val="00EA2D87"/>
    <w:rsid w:val="00EA5178"/>
    <w:rsid w:val="00EF672E"/>
    <w:rsid w:val="00F061AB"/>
    <w:rsid w:val="00F120F5"/>
    <w:rsid w:val="00F26A6A"/>
    <w:rsid w:val="00F506B5"/>
    <w:rsid w:val="00F67659"/>
    <w:rsid w:val="00F86961"/>
    <w:rsid w:val="00F926C1"/>
    <w:rsid w:val="00F96BE7"/>
    <w:rsid w:val="00FF3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B8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3171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17B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F1EE2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D17B8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17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77C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D17B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17B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4165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17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41653"/>
    <w:rPr>
      <w:b/>
      <w:bCs/>
    </w:rPr>
  </w:style>
  <w:style w:type="paragraph" w:styleId="Akapitzlist">
    <w:name w:val="List Paragraph"/>
    <w:basedOn w:val="Normalny"/>
    <w:qFormat/>
    <w:rsid w:val="00D17B80"/>
    <w:pPr>
      <w:ind w:left="720"/>
      <w:contextualSpacing/>
    </w:pPr>
  </w:style>
  <w:style w:type="paragraph" w:customStyle="1" w:styleId="Default">
    <w:name w:val="Default"/>
    <w:rsid w:val="00332B6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D17B80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B8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B80"/>
    <w:rPr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A2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B80"/>
    <w:pPr>
      <w:spacing w:after="200" w:line="276" w:lineRule="auto"/>
      <w:pPrChange w:id="9" w:author="mswia" w:date="2016-04-21T13:24:00Z">
        <w:pPr>
          <w:spacing w:after="200" w:line="276" w:lineRule="auto"/>
        </w:pPr>
      </w:pPrChange>
    </w:pPr>
    <w:rPr>
      <w:lang w:eastAsia="en-US"/>
      <w:rPrChange w:id="9" w:author="mswia" w:date="2016-04-21T13:24:00Z">
        <w:rPr>
          <w:rFonts w:asciiTheme="minorHAnsi" w:eastAsiaTheme="minorHAnsi" w:hAnsiTheme="minorHAnsi" w:cstheme="minorBidi"/>
          <w:sz w:val="22"/>
          <w:szCs w:val="22"/>
          <w:lang w:val="pl-PL" w:eastAsia="en-US" w:bidi="ar-SA"/>
        </w:rPr>
      </w:rPrChang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3171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17B80"/>
    <w:pPr>
      <w:spacing w:after="0" w:line="240" w:lineRule="auto"/>
      <w:pPrChange w:id="10" w:author="mswia" w:date="2016-04-21T13:24:00Z">
        <w:pPr/>
      </w:pPrChange>
    </w:pPr>
    <w:rPr>
      <w:sz w:val="20"/>
      <w:szCs w:val="20"/>
      <w:rPrChange w:id="10" w:author="mswia" w:date="2016-04-21T13:24:00Z">
        <w:rPr>
          <w:rFonts w:asciiTheme="minorHAnsi" w:eastAsiaTheme="minorHAnsi" w:hAnsiTheme="minorHAnsi" w:cstheme="minorBidi"/>
          <w:lang w:val="pl-PL" w:eastAsia="en-US" w:bidi="ar-SA"/>
        </w:rPr>
      </w:rPrChange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F1EE2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D17B80"/>
    <w:rPr>
      <w:rFonts w:cs="Times New Roman"/>
      <w:vertAlign w:val="superscript"/>
      <w:rPrChange w:id="11" w:author="mswia" w:date="2016-04-21T13:24:00Z">
        <w:rPr>
          <w:vertAlign w:val="superscript"/>
        </w:rPr>
      </w:rPrChange>
    </w:rPr>
  </w:style>
  <w:style w:type="paragraph" w:styleId="Tekstdymka">
    <w:name w:val="Balloon Text"/>
    <w:basedOn w:val="Normalny"/>
    <w:link w:val="TekstdymkaZnak"/>
    <w:uiPriority w:val="99"/>
    <w:semiHidden/>
    <w:rsid w:val="00D17B80"/>
    <w:pPr>
      <w:spacing w:after="0" w:line="240" w:lineRule="auto"/>
      <w:pPrChange w:id="12" w:author="mswia" w:date="2016-04-21T13:24:00Z">
        <w:pPr/>
      </w:pPrChange>
    </w:pPr>
    <w:rPr>
      <w:rFonts w:ascii="Tahoma" w:hAnsi="Tahoma" w:cs="Tahoma"/>
      <w:sz w:val="16"/>
      <w:szCs w:val="16"/>
      <w:rPrChange w:id="12" w:author="mswia" w:date="2016-04-21T13:24:00Z">
        <w:rPr>
          <w:rFonts w:ascii="Tahoma" w:eastAsiaTheme="minorHAnsi" w:hAnsi="Tahoma" w:cs="Tahoma"/>
          <w:sz w:val="16"/>
          <w:szCs w:val="16"/>
          <w:lang w:val="pl-PL" w:eastAsia="en-US" w:bidi="ar-SA"/>
        </w:rPr>
      </w:rPrChange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77C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D17B80"/>
    <w:rPr>
      <w:rFonts w:cs="Times New Roman"/>
      <w:sz w:val="16"/>
      <w:szCs w:val="16"/>
      <w:rPrChange w:id="13" w:author="mswia" w:date="2016-04-21T13:24:00Z">
        <w:rPr>
          <w:sz w:val="16"/>
          <w:szCs w:val="16"/>
        </w:rPr>
      </w:rPrChange>
    </w:rPr>
  </w:style>
  <w:style w:type="paragraph" w:styleId="Tekstkomentarza">
    <w:name w:val="annotation text"/>
    <w:basedOn w:val="Normalny"/>
    <w:link w:val="TekstkomentarzaZnak"/>
    <w:uiPriority w:val="99"/>
    <w:semiHidden/>
    <w:rsid w:val="00D17B80"/>
    <w:pPr>
      <w:spacing w:line="240" w:lineRule="auto"/>
      <w:pPrChange w:id="14" w:author="mswia" w:date="2016-04-21T13:24:00Z">
        <w:pPr>
          <w:spacing w:after="200"/>
        </w:pPr>
      </w:pPrChange>
    </w:pPr>
    <w:rPr>
      <w:sz w:val="20"/>
      <w:szCs w:val="20"/>
      <w:rPrChange w:id="14" w:author="mswia" w:date="2016-04-21T13:24:00Z">
        <w:rPr>
          <w:rFonts w:asciiTheme="minorHAnsi" w:eastAsiaTheme="minorHAnsi" w:hAnsiTheme="minorHAnsi" w:cstheme="minorBidi"/>
          <w:lang w:val="pl-PL" w:eastAsia="en-US" w:bidi="ar-SA"/>
        </w:rPr>
      </w:rPrChange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4165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17B80"/>
    <w:pPr>
      <w:pPrChange w:id="15" w:author="mswia" w:date="2016-04-21T13:24:00Z">
        <w:pPr>
          <w:spacing w:after="200"/>
        </w:pPr>
      </w:pPrChange>
    </w:pPr>
    <w:rPr>
      <w:b/>
      <w:bCs/>
      <w:rPrChange w:id="15" w:author="mswia" w:date="2016-04-21T13:24:00Z">
        <w:rPr>
          <w:rFonts w:asciiTheme="minorHAnsi" w:eastAsiaTheme="minorHAnsi" w:hAnsiTheme="minorHAnsi" w:cstheme="minorBidi"/>
          <w:b/>
          <w:bCs/>
          <w:lang w:val="pl-PL" w:eastAsia="en-US" w:bidi="ar-SA"/>
        </w:rPr>
      </w:rPrChange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41653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qFormat/>
    <w:rsid w:val="00D17B80"/>
    <w:pPr>
      <w:ind w:left="720"/>
      <w:contextualSpacing/>
      <w:pPrChange w:id="16" w:author="mswia" w:date="2016-04-21T13:24:00Z">
        <w:pPr>
          <w:spacing w:after="200" w:line="276" w:lineRule="auto"/>
          <w:ind w:left="720"/>
          <w:contextualSpacing/>
        </w:pPr>
      </w:pPrChange>
    </w:pPr>
    <w:rPr>
      <w:rPrChange w:id="16" w:author="mswia" w:date="2016-04-21T13:24:00Z">
        <w:rPr>
          <w:rFonts w:asciiTheme="minorHAnsi" w:eastAsiaTheme="minorHAnsi" w:hAnsiTheme="minorHAnsi" w:cstheme="minorBidi"/>
          <w:sz w:val="22"/>
          <w:szCs w:val="22"/>
          <w:lang w:val="pl-PL" w:eastAsia="en-US" w:bidi="ar-SA"/>
        </w:rPr>
      </w:rPrChange>
    </w:rPr>
  </w:style>
  <w:style w:type="paragraph" w:customStyle="1" w:styleId="Default">
    <w:name w:val="Default"/>
    <w:rsid w:val="00332B6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D17B80"/>
    <w:pPr>
      <w:pPrChange w:id="17" w:author="mswia" w:date="2016-04-21T13:24:00Z">
        <w:pPr/>
      </w:pPrChange>
    </w:pPr>
    <w:rPr>
      <w:lang w:eastAsia="en-US"/>
      <w:rPrChange w:id="17" w:author="mswia" w:date="2016-04-21T13:24:00Z">
        <w:rPr>
          <w:rFonts w:asciiTheme="minorHAnsi" w:eastAsiaTheme="minorHAnsi" w:hAnsiTheme="minorHAnsi" w:cstheme="minorBidi"/>
          <w:sz w:val="22"/>
          <w:szCs w:val="22"/>
          <w:lang w:val="pl-PL" w:eastAsia="en-US" w:bidi="ar-SA"/>
        </w:rPr>
      </w:rPrChange>
    </w:rPr>
  </w:style>
  <w:style w:type="paragraph" w:styleId="Nagwek">
    <w:name w:val="header"/>
    <w:basedOn w:val="Normalny"/>
    <w:link w:val="NagwekZnak"/>
    <w:uiPriority w:val="99"/>
    <w:unhideWhenUsed/>
    <w:rsid w:val="00D1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B8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B8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66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.kontakt@msw.gov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8CC2-A6BD-4F9C-BBFA-49DC0995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2699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 nr 1/2016</vt:lpstr>
    </vt:vector>
  </TitlesOfParts>
  <Company>MSWIA</Company>
  <LinksUpToDate>false</LinksUpToDate>
  <CharactersWithSpaces>18856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nr 1/2016</dc:title>
  <dc:creator>Majewska Marta</dc:creator>
  <cp:lastModifiedBy>wkrawczyk</cp:lastModifiedBy>
  <cp:revision>3</cp:revision>
  <cp:lastPrinted>2016-04-19T12:27:00Z</cp:lastPrinted>
  <dcterms:created xsi:type="dcterms:W3CDTF">2016-04-25T08:40:00Z</dcterms:created>
  <dcterms:modified xsi:type="dcterms:W3CDTF">2016-04-25T08:41:00Z</dcterms:modified>
</cp:coreProperties>
</file>