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2B2F5B8D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</w:pPr>
      <w:r w:rsidRPr="00D052C4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  <w:t>REGULAMIN</w:t>
      </w:r>
    </w:p>
    <w:p w14:paraId="52D7FCF3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052C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konkursu plastycznego </w:t>
      </w:r>
    </w:p>
    <w:p w14:paraId="430FD01E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</w:pPr>
      <w:r w:rsidRPr="00D052C4">
        <w:rPr>
          <w:rFonts w:ascii="Arial" w:eastAsia="Times New Roman" w:hAnsi="Arial" w:cs="Arial"/>
          <w:smallCaps/>
          <w:color w:val="000000"/>
          <w:sz w:val="28"/>
          <w:szCs w:val="28"/>
          <w:lang w:eastAsia="pl-PL"/>
        </w:rPr>
        <w:t xml:space="preserve"> </w:t>
      </w:r>
      <w:r w:rsidRPr="00D052C4"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  <w:t>kaliskiego tygodnia zdrowia – 2024</w:t>
      </w:r>
    </w:p>
    <w:p w14:paraId="06471A6F" w14:textId="054B7CDB" w:rsidR="00D052C4" w:rsidRPr="00D052C4" w:rsidRDefault="00D052C4" w:rsidP="00D052C4">
      <w:pPr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</w:pPr>
      <w:r w:rsidRPr="00D052C4"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  <w:t>,,Ilustracje do Kalendarza Profilaktycznego na rok 2025”</w:t>
      </w:r>
    </w:p>
    <w:p w14:paraId="70CDBC2F" w14:textId="77777777" w:rsidR="00D052C4" w:rsidRPr="00D052C4" w:rsidRDefault="00D052C4" w:rsidP="00D052C4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I. Postanowienia ogólne:</w:t>
      </w:r>
    </w:p>
    <w:p w14:paraId="1FB94931" w14:textId="77777777" w:rsidR="00D052C4" w:rsidRPr="00D052C4" w:rsidRDefault="00D052C4" w:rsidP="00D052C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Organizatorem konkursu jest </w:t>
      </w:r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Powiatowa Stacja </w:t>
      </w:r>
      <w:proofErr w:type="spellStart"/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–Epidemiologiczna w Kaliszu.</w:t>
      </w:r>
    </w:p>
    <w:p w14:paraId="2239A8DB" w14:textId="77777777" w:rsidR="00D052C4" w:rsidRPr="00D052C4" w:rsidRDefault="00D052C4" w:rsidP="00D052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Patronat honorowy: </w:t>
      </w: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Marek Woźniak - Marszałek </w:t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Województwa Wielkopolskiego Agata Sobczyk – Wojewoda Wielkopolski</w:t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Krzysztof Nosal - Starosta Kaliski,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Krystian </w:t>
      </w:r>
      <w:proofErr w:type="spellStart"/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Kinastowski</w:t>
      </w:r>
      <w:proofErr w:type="spellEnd"/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-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Prezydent Miasta Kalisza,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  <w:t xml:space="preserve">Igor Bykowski - Wielkopolski Kurator Oświaty </w:t>
      </w:r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w Poznaniu.</w:t>
      </w:r>
    </w:p>
    <w:p w14:paraId="190F9B0C" w14:textId="77777777" w:rsidR="00D052C4" w:rsidRPr="00D052C4" w:rsidRDefault="00D052C4" w:rsidP="00D052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right="-142" w:hanging="284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Partnerzy: |</w:t>
      </w: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Urząd Marszałkowski Województwa Wielkopolskiego,</w:t>
      </w:r>
    </w:p>
    <w:p w14:paraId="6F549B68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Urząd Wojewódzki Województwa Wielkopolskiego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Wojewódzka Stacja </w:t>
      </w:r>
      <w:proofErr w:type="spellStart"/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– Epidemiologiczna w Poznaniu,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Urząd Miasta Kalisza, Starostwo Powiatowe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Kuratorium Oświaty Delegatura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Młodzieżowy Dom Kultury w Kaliszu, </w:t>
      </w:r>
    </w:p>
    <w:p w14:paraId="7250477E" w14:textId="59E84D4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pl-PL"/>
        </w:rPr>
        <w:t>Technikum im. św. Józefa w Kaliszu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Książnica Pedagogiczna im. Alfonsa Parczewskiego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Kaliski Szkolny Związek Sportowy,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Komenda Miejska Policji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Straż Miejska Kalisz,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Uniwersytet Kaliski,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Akademia Wymiaru Sprawiedliwości </w:t>
      </w:r>
    </w:p>
    <w:p w14:paraId="0CD39AB2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II. Zasięg i warunki uczestnictwa w konkursie:</w:t>
      </w:r>
    </w:p>
    <w:p w14:paraId="2CE26420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709" w:hanging="425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Konkurs skierowany jest do </w:t>
      </w:r>
      <w:r w:rsidRPr="00D052C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uczniów szkół średnich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oraz </w:t>
      </w:r>
      <w:r w:rsidRPr="00D052C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klas VII-VIII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szkół podstawowych 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br/>
        <w:t>z terenu miasta Kalisza i powiatu kaliskiego.</w:t>
      </w:r>
    </w:p>
    <w:p w14:paraId="0427E1B7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5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Do konkursu mogą być zgłaszane wyłącznie samodzielne prace nienaruszające prawa osób trzecich (w szczególności autorskich praw osobistych i majątkowych osób trzecich), nigdzie poprzednio niepublikowane, do których uczestnicy konkursu posiadają wyłączne i nieograniczone prawa.</w:t>
      </w:r>
    </w:p>
    <w:p w14:paraId="090AE4E7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76" w:lineRule="auto"/>
        <w:ind w:left="644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Zgłoszona praca nie może zawierać lokowania produktów, leków, nazw i logo producentów.</w:t>
      </w:r>
    </w:p>
    <w:p w14:paraId="01FC26F9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76" w:lineRule="auto"/>
        <w:ind w:left="644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Każdy uczestnik może zgłosić do konkursu od 1 do 12 prac, przy czym każda praca powinna przedstawiać inny miesiąc.</w:t>
      </w:r>
    </w:p>
    <w:p w14:paraId="416FC2A6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Autorem pracy może być tylko jedna osoba.</w:t>
      </w:r>
    </w:p>
    <w:p w14:paraId="30D289D6" w14:textId="7539D51D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Udział w konkursie jest dobrowolny.</w:t>
      </w:r>
    </w:p>
    <w:p w14:paraId="17FE9C34" w14:textId="5ED572C2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III. Ramy czasowe</w:t>
      </w:r>
      <w:r w:rsidRPr="00D052C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: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08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4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.2024 r. - 14.06.2024 r.</w:t>
      </w:r>
    </w:p>
    <w:p w14:paraId="1DBB38FB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  <w:t xml:space="preserve">Czas trwania konkursu: </w:t>
      </w:r>
    </w:p>
    <w:p w14:paraId="3285B09A" w14:textId="77777777" w:rsidR="00D052C4" w:rsidRPr="00D052C4" w:rsidRDefault="00D052C4" w:rsidP="00D052C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 xml:space="preserve">termin dostarczenia pracy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4DD4DF5B" w14:textId="365FC95C" w:rsidR="00D052C4" w:rsidRPr="00D052C4" w:rsidRDefault="00D052C4" w:rsidP="00D052C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08</w:t>
      </w:r>
      <w:r w:rsidR="00FE628D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.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05</w:t>
      </w:r>
      <w:r w:rsidR="00FE6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– 02.06.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2024 r. </w:t>
      </w:r>
    </w:p>
    <w:p w14:paraId="7A8996F9" w14:textId="77777777" w:rsidR="00D052C4" w:rsidRPr="00D052C4" w:rsidRDefault="00D052C4" w:rsidP="00D052C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D0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0B71C466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14:paraId="7F65F3EB" w14:textId="77777777" w:rsid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30ED8FA" w14:textId="77777777" w:rsid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6882CF0" w14:textId="3C01906F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Zasady udziału w konkursie. Zadania dla uczestnika</w:t>
      </w:r>
    </w:p>
    <w:p w14:paraId="5130A949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D052C4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wykonanie </w:t>
      </w: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pracy płaskiej z wykorzystaniem dowolnych trwałych technik malarskich, rysunkowych, graficznych – barwnych (kredki, flamastry, farby, kolorowe tusze, collage)</w:t>
      </w:r>
    </w:p>
    <w:p w14:paraId="52DB34E7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iCs/>
          <w:kern w:val="1"/>
          <w:lang w:eastAsia="ar-SA"/>
        </w:rPr>
        <w:t xml:space="preserve">Na pracy nie należy umieszczać napisów i kalendarium! </w:t>
      </w:r>
    </w:p>
    <w:p w14:paraId="3E896486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Cs/>
          <w:kern w:val="1"/>
          <w:lang w:eastAsia="ar-SA"/>
        </w:rPr>
        <w:t>Format A3 w układzie poziomym</w:t>
      </w:r>
      <w:r w:rsidRPr="00D052C4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</w:p>
    <w:p w14:paraId="37E24405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TEMATYKA prac powinna być ściśle związana z ideą konkursu i poświęcona jednemu z haseł</w:t>
      </w:r>
      <w:r w:rsidRPr="00D052C4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 </w:t>
      </w: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przypisanych do ilustrowanego miesiąca:</w:t>
      </w:r>
    </w:p>
    <w:p w14:paraId="7E583766" w14:textId="77777777" w:rsidR="00D052C4" w:rsidRPr="00D052C4" w:rsidRDefault="00D052C4" w:rsidP="00D052C4">
      <w:pPr>
        <w:tabs>
          <w:tab w:val="left" w:pos="284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9523E1E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STYCZEŃ - Wybierz życie pierwszy krok ( Europejski Tydzień Profilaktyki Raka Szyjki Macicy)</w:t>
      </w:r>
    </w:p>
    <w:p w14:paraId="0325B455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LUTY – HIV – Walentynki  lub Ogólnopolski Dzień Walki z Depresją</w:t>
      </w:r>
    </w:p>
    <w:p w14:paraId="5883D387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MARZEC – ARS, czyli jak dbać o miłość lub Ogólnopolski Dzień Trzeźwości lub Dzień Kobiet i Dzień Mężczyzn</w:t>
      </w:r>
    </w:p>
    <w:p w14:paraId="5456DA28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KWIECIEŃ – Światowy Dzień Zdrowia</w:t>
      </w:r>
    </w:p>
    <w:p w14:paraId="22FC0188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MAJ – Światowy Dzień bez Tytoniu (31 maj)</w:t>
      </w:r>
    </w:p>
    <w:p w14:paraId="38D37F72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CZERWIEC – Kaliski Tydzień Zdrowia</w:t>
      </w:r>
    </w:p>
    <w:p w14:paraId="24CD055E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LIPIEC – Bezpieczne Wakacje lub Znamię? Znam je! (profilaktyka czerniaka)</w:t>
      </w:r>
    </w:p>
    <w:p w14:paraId="6853AF87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SIERPIEŃ - Bezpieczne Wakacje lub Znamię? Znam je! (profilaktyka czerniaka)</w:t>
      </w:r>
    </w:p>
    <w:p w14:paraId="6D81B9B6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- WRZESIEŃ – Szczepimy się!  lub Światowy Dzień Pierwszej Pomocy lub </w:t>
      </w:r>
      <w:r w:rsidRPr="00D052C4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pl-PL"/>
        </w:rPr>
        <w:t xml:space="preserve"> Światowy Dzień Zdrowia Jamy Ustnej </w:t>
      </w:r>
    </w:p>
    <w:p w14:paraId="24BE7BFF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PAŹDZIERNIK – Co kryją twoje piersi lub Grypa</w:t>
      </w:r>
    </w:p>
    <w:p w14:paraId="3AA7A94C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- LISTOPAD – Światowy Dzień Rzucania Palenia </w:t>
      </w:r>
    </w:p>
    <w:p w14:paraId="4D16A346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GRUDZIEŃ – Światowy Dzień Walki z AIDS</w:t>
      </w:r>
    </w:p>
    <w:p w14:paraId="78828606" w14:textId="77777777" w:rsidR="00D052C4" w:rsidRPr="00D052C4" w:rsidRDefault="00D052C4" w:rsidP="00D052C4">
      <w:pPr>
        <w:tabs>
          <w:tab w:val="left" w:pos="284"/>
        </w:tabs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25C8CF7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lang w:eastAsia="ar-SA"/>
        </w:rPr>
        <w:t>Sposób przesyłania prac: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z każdej szkoły / placówki / dostarczane są osobiście lub przesyłane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prace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ww. terminie na adres: 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lub na e-mail: 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u w:val="single"/>
          <w:lang w:eastAsia="ar-SA"/>
        </w:rPr>
        <w:t>oswiata_zdrowotna.psse.kalisz@sanepid.gov.pl</w:t>
      </w:r>
    </w:p>
    <w:p w14:paraId="7398B213" w14:textId="77777777" w:rsidR="00D052C4" w:rsidRPr="00D052C4" w:rsidRDefault="00D052C4" w:rsidP="00D052C4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</w:p>
    <w:p w14:paraId="43F474A5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Sposób opisania prac konkursowych i wymagane dokumenty:</w:t>
      </w:r>
    </w:p>
    <w:p w14:paraId="142BAD98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na odwrocie </w:t>
      </w: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 oraz </w:t>
      </w: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nazwę placówki oświatowej jeśli jest z niej przesłana </w:t>
      </w:r>
    </w:p>
    <w:p w14:paraId="6AAF56EA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pracę na odwrocie należy zatytułować nazwą miesiąca i hasłem do niego przypisanym</w:t>
      </w:r>
    </w:p>
    <w:p w14:paraId="63A63FC6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7BE976ED" w14:textId="77777777" w:rsidR="00D052C4" w:rsidRPr="00D052C4" w:rsidRDefault="00D052C4" w:rsidP="00D052C4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 konkursu,</w:t>
      </w:r>
    </w:p>
    <w:p w14:paraId="468466CC" w14:textId="77777777" w:rsidR="00D052C4" w:rsidRPr="00D052C4" w:rsidRDefault="00D052C4" w:rsidP="00D052C4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niepełnoletniego uczestnika konkursu. </w:t>
      </w:r>
    </w:p>
    <w:p w14:paraId="60686DF5" w14:textId="77777777" w:rsidR="00D052C4" w:rsidRPr="00D052C4" w:rsidRDefault="00D052C4" w:rsidP="00D052C4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14F45A5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Zasady oceniania prac konkursowych</w:t>
      </w:r>
    </w:p>
    <w:p w14:paraId="792F852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1. Przy ocenie prac plastycznych będą brane następujące elementy:</w:t>
      </w:r>
    </w:p>
    <w:p w14:paraId="2F1454E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zgodność z tematem,</w:t>
      </w:r>
    </w:p>
    <w:p w14:paraId="3A0A080C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atrakcyjna oraz czytelna i nowatorska  forma przekazu,</w:t>
      </w:r>
    </w:p>
    <w:p w14:paraId="2DE37DF1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estetyka pracy</w:t>
      </w:r>
    </w:p>
    <w:p w14:paraId="0B634844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AD817A4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052C4">
        <w:rPr>
          <w:rFonts w:ascii="Times New Roman" w:eastAsia="Times New Roman" w:hAnsi="Times New Roman" w:cs="Times New Roman"/>
          <w:lang w:eastAsia="pl-PL"/>
        </w:rPr>
        <w:t>2. W skład komisji konkursowej wchodzą pracownicy PSSE w Kaliszu oraz przedstawiciele jednostek partnerskich.</w:t>
      </w:r>
    </w:p>
    <w:p w14:paraId="4F0FDE9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EDB5C57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 Zasady nagradzania prac konkursowych</w:t>
      </w:r>
    </w:p>
    <w:p w14:paraId="30723765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Komisja konkursowa wybierze i nagrodzi 12 prac ilustrujących dany miesiąc i 1 pracę na okładkę.</w:t>
      </w:r>
    </w:p>
    <w:p w14:paraId="28C3E39A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Wybrane / nagrodzone prace – dodatkowo - zostaną umieszczone w Kalendarzu Profilaktycznym, który Organizatorzy planuję wydać na 2025 rok</w:t>
      </w:r>
    </w:p>
    <w:p w14:paraId="7DFF507A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Pozostałe prace zgłoszone do konkursu mogą zostać wyróżnione i wykorzystane w ulotkach, folderach lub innych publikacjach oraz na stronach internetowych Organizatorów, a także w ich serwisach społecznościowych.</w:t>
      </w: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br/>
      </w:r>
    </w:p>
    <w:p w14:paraId="46BF47BD" w14:textId="77777777" w:rsidR="00D052C4" w:rsidRPr="00D052C4" w:rsidRDefault="00D052C4" w:rsidP="00D052C4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VII. Postanowienia końcowe:</w:t>
      </w:r>
    </w:p>
    <w:p w14:paraId="332FFB6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bookmarkStart w:id="1" w:name="_Hlk96670784"/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52CC3472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7F04E2AF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79795BA4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3FBD9D63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684BADB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3A541BA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D052C4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1"/>
    </w:p>
    <w:p w14:paraId="44281844" w14:textId="2D262392" w:rsidR="004E702B" w:rsidRPr="000368C1" w:rsidRDefault="004E702B" w:rsidP="00D052C4">
      <w:pPr>
        <w:ind w:left="4956" w:hanging="4956"/>
        <w:rPr>
          <w:sz w:val="16"/>
          <w:szCs w:val="16"/>
        </w:rPr>
      </w:pPr>
    </w:p>
    <w:sectPr w:rsidR="004E702B" w:rsidRPr="000368C1" w:rsidSect="00510793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D462C"/>
    <w:multiLevelType w:val="hybridMultilevel"/>
    <w:tmpl w:val="25CA23A8"/>
    <w:lvl w:ilvl="0" w:tplc="70CA91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543AD"/>
    <w:multiLevelType w:val="hybridMultilevel"/>
    <w:tmpl w:val="ACBC2F5A"/>
    <w:lvl w:ilvl="0" w:tplc="E53E39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113435">
    <w:abstractNumId w:val="0"/>
  </w:num>
  <w:num w:numId="2" w16cid:durableId="1233665418">
    <w:abstractNumId w:val="1"/>
  </w:num>
  <w:num w:numId="3" w16cid:durableId="1991909779">
    <w:abstractNumId w:val="4"/>
  </w:num>
  <w:num w:numId="4" w16cid:durableId="1083138887">
    <w:abstractNumId w:val="3"/>
  </w:num>
  <w:num w:numId="5" w16cid:durableId="1785146669">
    <w:abstractNumId w:val="2"/>
  </w:num>
  <w:num w:numId="6" w16cid:durableId="240414744">
    <w:abstractNumId w:val="6"/>
  </w:num>
  <w:num w:numId="7" w16cid:durableId="806707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B7E3E"/>
    <w:rsid w:val="003B09E7"/>
    <w:rsid w:val="0040758D"/>
    <w:rsid w:val="004D226D"/>
    <w:rsid w:val="004E702B"/>
    <w:rsid w:val="00510793"/>
    <w:rsid w:val="0054766F"/>
    <w:rsid w:val="0062342E"/>
    <w:rsid w:val="006862CC"/>
    <w:rsid w:val="006B3BC1"/>
    <w:rsid w:val="006B60C9"/>
    <w:rsid w:val="00737E4F"/>
    <w:rsid w:val="007B6D09"/>
    <w:rsid w:val="00823E63"/>
    <w:rsid w:val="00926A24"/>
    <w:rsid w:val="00A66631"/>
    <w:rsid w:val="00A953F8"/>
    <w:rsid w:val="00AC2A44"/>
    <w:rsid w:val="00B4279B"/>
    <w:rsid w:val="00C500F1"/>
    <w:rsid w:val="00C6572C"/>
    <w:rsid w:val="00D052C4"/>
    <w:rsid w:val="00D933F3"/>
    <w:rsid w:val="00DA399F"/>
    <w:rsid w:val="00F016BB"/>
    <w:rsid w:val="00F651F4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2024-04-08T07:48:00Z</dcterms:created>
  <dcterms:modified xsi:type="dcterms:W3CDTF">2024-04-08T09:35:00Z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