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2820A" w14:textId="77777777" w:rsidR="00782109" w:rsidRPr="00506C28" w:rsidRDefault="00782109" w:rsidP="004E75AD">
      <w:pPr>
        <w:spacing w:before="30" w:line="1" w:lineRule="exact"/>
        <w:rPr>
          <w:rFonts w:ascii="Arial" w:hAnsi="Arial" w:cs="Arial"/>
        </w:rPr>
        <w:sectPr w:rsidR="00782109" w:rsidRPr="00506C28" w:rsidSect="004E75AD">
          <w:headerReference w:type="even" r:id="rId8"/>
          <w:headerReference w:type="default" r:id="rId9"/>
          <w:pgSz w:w="11900" w:h="16840"/>
          <w:pgMar w:top="1417" w:right="1417" w:bottom="1417" w:left="1417" w:header="0" w:footer="38" w:gutter="0"/>
          <w:pgNumType w:start="1"/>
          <w:cols w:space="720"/>
          <w:noEndnote/>
          <w:docGrid w:linePitch="360"/>
        </w:sectPr>
      </w:pPr>
    </w:p>
    <w:p w14:paraId="17C0B1DF" w14:textId="7E136EB8" w:rsidR="006B7C2C" w:rsidRPr="00506C28" w:rsidRDefault="006B7C2C" w:rsidP="004E75AD">
      <w:pPr>
        <w:pStyle w:val="Bodytext50"/>
        <w:spacing w:before="30"/>
        <w:rPr>
          <w:rFonts w:ascii="Arial" w:hAnsi="Arial" w:cs="Arial"/>
          <w:lang w:val="pl-PL"/>
        </w:rPr>
      </w:pPr>
      <w:r w:rsidRPr="004E75AD">
        <w:rPr>
          <w:rStyle w:val="Bodytext3"/>
          <w:rFonts w:ascii="Arial" w:hAnsi="Arial" w:cs="Arial"/>
          <w:noProof/>
          <w:color w:val="EB7E12"/>
        </w:rPr>
        <w:drawing>
          <wp:inline distT="0" distB="0" distL="0" distR="0" wp14:anchorId="2E251935" wp14:editId="0B4CFDD7">
            <wp:extent cx="2091168" cy="767751"/>
            <wp:effectExtent l="0" t="0" r="4445" b="0"/>
            <wp:docPr id="1081634643"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7356" cy="777366"/>
                    </a:xfrm>
                    <a:prstGeom prst="rect">
                      <a:avLst/>
                    </a:prstGeom>
                    <a:noFill/>
                    <a:ln>
                      <a:noFill/>
                    </a:ln>
                  </pic:spPr>
                </pic:pic>
              </a:graphicData>
            </a:graphic>
          </wp:inline>
        </w:drawing>
      </w:r>
    </w:p>
    <w:p w14:paraId="188ECFC5" w14:textId="77777777" w:rsidR="00782109" w:rsidRPr="00506C28" w:rsidRDefault="009130BA" w:rsidP="004E75AD">
      <w:pPr>
        <w:pStyle w:val="Bodytext30"/>
        <w:spacing w:before="30" w:after="40" w:line="240" w:lineRule="auto"/>
        <w:ind w:right="1160"/>
        <w:jc w:val="right"/>
        <w:rPr>
          <w:rFonts w:ascii="Arial" w:hAnsi="Arial" w:cs="Arial"/>
        </w:rPr>
      </w:pPr>
      <w:r w:rsidRPr="00506C28">
        <w:rPr>
          <w:rStyle w:val="Bodytext3"/>
          <w:rFonts w:ascii="Arial" w:hAnsi="Arial" w:cs="Arial"/>
          <w:color w:val="EB7E12"/>
        </w:rPr>
        <w:t>Luty 2022</w:t>
      </w:r>
    </w:p>
    <w:p w14:paraId="39C56AB2" w14:textId="7F9A7387" w:rsidR="00782109" w:rsidRPr="00506C28" w:rsidRDefault="009130BA" w:rsidP="004E75AD">
      <w:pPr>
        <w:pStyle w:val="Bodytext30"/>
        <w:spacing w:before="30" w:after="220" w:line="240" w:lineRule="auto"/>
        <w:ind w:left="3620"/>
        <w:rPr>
          <w:rFonts w:ascii="Arial" w:hAnsi="Arial" w:cs="Arial"/>
        </w:rPr>
      </w:pPr>
      <w:r w:rsidRPr="00506C28">
        <w:rPr>
          <w:rStyle w:val="Bodytext3"/>
          <w:rFonts w:ascii="Arial" w:hAnsi="Arial" w:cs="Arial"/>
          <w:color w:val="EB7E12"/>
        </w:rPr>
        <w:t>Niniejsza nota informacyjna nie jest wiążąca dla Trybunału i nie ma charakteru wyczerpującego.</w:t>
      </w:r>
    </w:p>
    <w:p w14:paraId="5D9C4E2F" w14:textId="64FBAFC7" w:rsidR="006B7C2C" w:rsidRPr="00506C28" w:rsidRDefault="004F170C" w:rsidP="004E75AD">
      <w:pPr>
        <w:pStyle w:val="Tekstpodstawowy"/>
        <w:spacing w:before="30" w:after="40"/>
        <w:jc w:val="both"/>
        <w:rPr>
          <w:rFonts w:ascii="Arial" w:hAnsi="Arial" w:cs="Arial"/>
          <w:sz w:val="46"/>
          <w:szCs w:val="46"/>
        </w:rPr>
      </w:pPr>
      <w:bookmarkStart w:id="0" w:name="bookmark22"/>
      <w:r w:rsidRPr="00506C28">
        <w:rPr>
          <w:rStyle w:val="Heading1"/>
          <w:rFonts w:ascii="Arial" w:hAnsi="Arial" w:cs="Arial"/>
        </w:rPr>
        <w:t>Uchylanie stosowania zobowiązań w stanie niebezpieczeństwa publicznego</w:t>
      </w:r>
      <w:r w:rsidR="00742684" w:rsidRPr="00506C28">
        <w:rPr>
          <w:rStyle w:val="Heading1"/>
          <w:rFonts w:ascii="Arial" w:hAnsi="Arial" w:cs="Arial"/>
        </w:rPr>
        <w:t xml:space="preserve"> </w:t>
      </w:r>
      <w:bookmarkEnd w:id="0"/>
    </w:p>
    <w:p w14:paraId="04DC0E7C" w14:textId="319DAD7B" w:rsidR="00782109" w:rsidRPr="004E75AD" w:rsidRDefault="009130BA" w:rsidP="004E75AD">
      <w:pPr>
        <w:pStyle w:val="Tekstpodstawowy"/>
        <w:spacing w:before="30" w:after="40"/>
        <w:jc w:val="both"/>
        <w:rPr>
          <w:rFonts w:ascii="Arial" w:hAnsi="Arial" w:cs="Arial"/>
          <w:b/>
          <w:bCs/>
          <w:color w:val="404040"/>
        </w:rPr>
      </w:pPr>
      <w:r w:rsidRPr="00506C28">
        <w:rPr>
          <w:rStyle w:val="TekstpodstawowyZnak"/>
          <w:rFonts w:ascii="Arial" w:hAnsi="Arial" w:cs="Arial"/>
          <w:b/>
          <w:bCs/>
          <w:color w:val="404040"/>
        </w:rPr>
        <w:t>Artykuł 15 (</w:t>
      </w:r>
      <w:r w:rsidR="004F170C" w:rsidRPr="00506C28">
        <w:rPr>
          <w:rStyle w:val="TekstpodstawowyZnak"/>
          <w:rFonts w:ascii="Arial" w:hAnsi="Arial" w:cs="Arial"/>
          <w:b/>
          <w:bCs/>
          <w:color w:val="404040"/>
        </w:rPr>
        <w:t>Uchylanie stosowania zobowiązań w stanie niebezpieczeństwa publicznego)</w:t>
      </w:r>
      <w:r w:rsidR="00734D77" w:rsidRPr="00506C28">
        <w:rPr>
          <w:rStyle w:val="TekstpodstawowyZnak"/>
          <w:rFonts w:ascii="Arial" w:hAnsi="Arial" w:cs="Arial"/>
          <w:b/>
          <w:bCs/>
          <w:color w:val="404040"/>
        </w:rPr>
        <w:t xml:space="preserve"> </w:t>
      </w:r>
      <w:r w:rsidR="00734D77" w:rsidRPr="00506C28">
        <w:rPr>
          <w:rStyle w:val="TekstpodstawowyZnak"/>
          <w:rFonts w:ascii="Arial" w:hAnsi="Arial" w:cs="Arial"/>
          <w:b/>
          <w:bCs/>
          <w:u w:val="single"/>
        </w:rPr>
        <w:t xml:space="preserve">Europejskiej </w:t>
      </w:r>
      <w:r w:rsidR="00202DF8" w:rsidRPr="00506C28">
        <w:rPr>
          <w:rStyle w:val="TekstpodstawowyZnak"/>
          <w:rFonts w:ascii="Arial" w:hAnsi="Arial" w:cs="Arial"/>
          <w:b/>
          <w:bCs/>
          <w:u w:val="single"/>
        </w:rPr>
        <w:t>k</w:t>
      </w:r>
      <w:r w:rsidR="00734D77" w:rsidRPr="00506C28">
        <w:rPr>
          <w:rStyle w:val="TekstpodstawowyZnak"/>
          <w:rFonts w:ascii="Arial" w:hAnsi="Arial" w:cs="Arial"/>
          <w:b/>
          <w:bCs/>
          <w:u w:val="single"/>
        </w:rPr>
        <w:t xml:space="preserve">onwencji </w:t>
      </w:r>
      <w:r w:rsidR="00202DF8" w:rsidRPr="00506C28">
        <w:rPr>
          <w:rStyle w:val="TekstpodstawowyZnak"/>
          <w:rFonts w:ascii="Arial" w:hAnsi="Arial" w:cs="Arial"/>
          <w:b/>
          <w:bCs/>
          <w:u w:val="single"/>
        </w:rPr>
        <w:t>p</w:t>
      </w:r>
      <w:r w:rsidR="00734D77" w:rsidRPr="00506C28">
        <w:rPr>
          <w:rStyle w:val="TekstpodstawowyZnak"/>
          <w:rFonts w:ascii="Arial" w:hAnsi="Arial" w:cs="Arial"/>
          <w:b/>
          <w:bCs/>
          <w:u w:val="single"/>
        </w:rPr>
        <w:t xml:space="preserve">raw </w:t>
      </w:r>
      <w:hyperlink r:id="rId11" w:history="1">
        <w:r w:rsidR="00202DF8" w:rsidRPr="00506C28">
          <w:rPr>
            <w:rStyle w:val="TekstpodstawowyZnak"/>
            <w:rFonts w:ascii="Arial" w:hAnsi="Arial" w:cs="Arial"/>
            <w:b/>
            <w:bCs/>
            <w:u w:val="single"/>
          </w:rPr>
          <w:t>c</w:t>
        </w:r>
        <w:r w:rsidRPr="00506C28">
          <w:rPr>
            <w:rStyle w:val="TekstpodstawowyZnak"/>
            <w:rFonts w:ascii="Arial" w:hAnsi="Arial" w:cs="Arial"/>
            <w:b/>
            <w:bCs/>
            <w:u w:val="single"/>
          </w:rPr>
          <w:t>złowieka</w:t>
        </w:r>
      </w:hyperlink>
      <w:hyperlink w:anchor="bookmark24" w:tooltip="Current Document">
        <w:r w:rsidR="00782109" w:rsidRPr="00506C28">
          <w:rPr>
            <w:rStyle w:val="TekstpodstawowyZnak"/>
            <w:rFonts w:ascii="Arial" w:hAnsi="Arial" w:cs="Arial"/>
            <w:color w:val="404040"/>
            <w:vertAlign w:val="superscript"/>
          </w:rPr>
          <w:t>1</w:t>
        </w:r>
        <w:r w:rsidR="00782109" w:rsidRPr="00506C28">
          <w:rPr>
            <w:rStyle w:val="TekstpodstawowyZnak"/>
            <w:rFonts w:ascii="Arial" w:hAnsi="Arial" w:cs="Arial"/>
            <w:color w:val="404040"/>
          </w:rPr>
          <w:t xml:space="preserve"> </w:t>
        </w:r>
      </w:hyperlink>
      <w:r w:rsidRPr="00506C28">
        <w:rPr>
          <w:rStyle w:val="TekstpodstawowyZnak"/>
          <w:rFonts w:ascii="Arial" w:hAnsi="Arial" w:cs="Arial"/>
          <w:color w:val="404040"/>
        </w:rPr>
        <w:t>daje rządom państw-stron,</w:t>
      </w:r>
      <w:r w:rsidR="00756078" w:rsidRPr="00506C28">
        <w:rPr>
          <w:rStyle w:val="TekstpodstawowyZnak"/>
          <w:rFonts w:ascii="Arial" w:hAnsi="Arial" w:cs="Arial"/>
          <w:color w:val="404040"/>
        </w:rPr>
        <w:t xml:space="preserve"> </w:t>
      </w:r>
      <w:r w:rsidRPr="00506C28">
        <w:rPr>
          <w:rStyle w:val="TekstpodstawowyZnak"/>
          <w:rFonts w:ascii="Arial" w:hAnsi="Arial" w:cs="Arial"/>
          <w:color w:val="404040"/>
        </w:rPr>
        <w:t xml:space="preserve">w wyjątkowych okolicznościach, możliwość tymczasowego, ograniczonego i </w:t>
      </w:r>
      <w:r w:rsidR="00DE6462" w:rsidRPr="00506C28">
        <w:rPr>
          <w:rStyle w:val="TekstpodstawowyZnak"/>
          <w:rFonts w:ascii="Arial" w:hAnsi="Arial" w:cs="Arial"/>
          <w:color w:val="404040"/>
        </w:rPr>
        <w:t xml:space="preserve">podlegającego nadzorowi </w:t>
      </w:r>
      <w:r w:rsidRPr="00506C28">
        <w:rPr>
          <w:rStyle w:val="TekstpodstawowyZnak"/>
          <w:rFonts w:ascii="Arial" w:hAnsi="Arial" w:cs="Arial"/>
          <w:color w:val="404040"/>
        </w:rPr>
        <w:t xml:space="preserve">odstąpienia od obowiązku zapewnienia </w:t>
      </w:r>
      <w:r w:rsidR="00DE6462" w:rsidRPr="00506C28">
        <w:rPr>
          <w:rStyle w:val="TekstpodstawowyZnak"/>
          <w:rFonts w:ascii="Arial" w:hAnsi="Arial" w:cs="Arial"/>
          <w:color w:val="404040"/>
        </w:rPr>
        <w:t xml:space="preserve">określonych </w:t>
      </w:r>
      <w:r w:rsidRPr="00506C28">
        <w:rPr>
          <w:rStyle w:val="TekstpodstawowyZnak"/>
          <w:rFonts w:ascii="Arial" w:hAnsi="Arial" w:cs="Arial"/>
          <w:color w:val="404040"/>
        </w:rPr>
        <w:t xml:space="preserve">praw i wolności wynikających z </w:t>
      </w:r>
      <w:r w:rsidR="00BC153E" w:rsidRPr="00506C28">
        <w:rPr>
          <w:rStyle w:val="TekstpodstawowyZnak"/>
          <w:rFonts w:ascii="Arial" w:hAnsi="Arial" w:cs="Arial"/>
          <w:color w:val="404040"/>
        </w:rPr>
        <w:t>K</w:t>
      </w:r>
      <w:r w:rsidRPr="00506C28">
        <w:rPr>
          <w:rStyle w:val="TekstpodstawowyZnak"/>
          <w:rFonts w:ascii="Arial" w:hAnsi="Arial" w:cs="Arial"/>
          <w:color w:val="404040"/>
        </w:rPr>
        <w:t>onwencji. Skorzystanie z tego przepisu podlega następującym warunkom proceduralnym i merytorycznym</w:t>
      </w:r>
      <w:hyperlink w:anchor="bookmark25" w:tooltip="Current Document">
        <w:r w:rsidR="00782109" w:rsidRPr="00506C28">
          <w:rPr>
            <w:rStyle w:val="TekstpodstawowyZnak"/>
            <w:rFonts w:ascii="Arial" w:hAnsi="Arial" w:cs="Arial"/>
            <w:color w:val="404040"/>
            <w:vertAlign w:val="superscript"/>
          </w:rPr>
          <w:t>2</w:t>
        </w:r>
      </w:hyperlink>
      <w:r w:rsidRPr="00506C28">
        <w:rPr>
          <w:rStyle w:val="TekstpodstawowyZnak"/>
          <w:rFonts w:ascii="Arial" w:hAnsi="Arial" w:cs="Arial"/>
          <w:color w:val="404040"/>
        </w:rPr>
        <w:t xml:space="preserve"> :</w:t>
      </w:r>
    </w:p>
    <w:p w14:paraId="09244C2B" w14:textId="7EDFEED1" w:rsidR="00782109" w:rsidRPr="00506C28" w:rsidRDefault="009130BA" w:rsidP="004E75AD">
      <w:pPr>
        <w:pStyle w:val="Tekstpodstawowy"/>
        <w:numPr>
          <w:ilvl w:val="0"/>
          <w:numId w:val="5"/>
        </w:numPr>
        <w:spacing w:before="30" w:after="40" w:line="228" w:lineRule="auto"/>
        <w:ind w:left="0" w:firstLine="0"/>
        <w:jc w:val="both"/>
        <w:rPr>
          <w:rFonts w:ascii="Arial" w:hAnsi="Arial" w:cs="Arial"/>
        </w:rPr>
      </w:pPr>
      <w:r w:rsidRPr="00506C28">
        <w:rPr>
          <w:rStyle w:val="TekstpodstawowyZnak"/>
          <w:rFonts w:ascii="Arial" w:hAnsi="Arial" w:cs="Arial"/>
          <w:color w:val="404040"/>
        </w:rPr>
        <w:t xml:space="preserve">prawo do </w:t>
      </w:r>
      <w:r w:rsidR="005C6EBB" w:rsidRPr="00506C28">
        <w:rPr>
          <w:rStyle w:val="TekstpodstawowyZnak"/>
          <w:rFonts w:ascii="Arial" w:hAnsi="Arial" w:cs="Arial"/>
          <w:color w:val="404040"/>
        </w:rPr>
        <w:t>uchylenia</w:t>
      </w:r>
      <w:r w:rsidRPr="00506C28">
        <w:rPr>
          <w:rStyle w:val="TekstpodstawowyZnak"/>
          <w:rFonts w:ascii="Arial" w:hAnsi="Arial" w:cs="Arial"/>
          <w:color w:val="404040"/>
        </w:rPr>
        <w:t xml:space="preserve"> może być powołane wyłącznie w czasie wojny lub innego </w:t>
      </w:r>
      <w:r w:rsidR="00096A3F" w:rsidRPr="00506C28">
        <w:rPr>
          <w:rStyle w:val="TekstpodstawowyZnak"/>
          <w:rFonts w:ascii="Arial" w:hAnsi="Arial" w:cs="Arial"/>
          <w:color w:val="404040"/>
        </w:rPr>
        <w:t>niebezpieczeństwa publicznego</w:t>
      </w:r>
      <w:r w:rsidR="00DE6462" w:rsidRPr="00506C28">
        <w:rPr>
          <w:rStyle w:val="TekstpodstawowyZnak"/>
          <w:rFonts w:ascii="Arial" w:hAnsi="Arial" w:cs="Arial"/>
          <w:color w:val="404040"/>
        </w:rPr>
        <w:t>,</w:t>
      </w:r>
      <w:r w:rsidRPr="00506C28">
        <w:rPr>
          <w:rStyle w:val="TekstpodstawowyZnak"/>
          <w:rFonts w:ascii="Arial" w:hAnsi="Arial" w:cs="Arial"/>
          <w:color w:val="404040"/>
        </w:rPr>
        <w:t xml:space="preserve"> zagrażającego życiu narodu;</w:t>
      </w:r>
    </w:p>
    <w:p w14:paraId="77C25ADF" w14:textId="6FD9CB1F" w:rsidR="00782109" w:rsidRPr="00506C28" w:rsidRDefault="009130BA" w:rsidP="004E75AD">
      <w:pPr>
        <w:pStyle w:val="Tekstpodstawowy"/>
        <w:numPr>
          <w:ilvl w:val="0"/>
          <w:numId w:val="5"/>
        </w:numPr>
        <w:spacing w:before="30" w:after="0" w:line="228" w:lineRule="auto"/>
        <w:ind w:left="0" w:firstLine="0"/>
        <w:jc w:val="both"/>
        <w:rPr>
          <w:rFonts w:ascii="Arial" w:hAnsi="Arial" w:cs="Arial"/>
        </w:rPr>
      </w:pPr>
      <w:r w:rsidRPr="00506C28">
        <w:rPr>
          <w:rStyle w:val="TekstpodstawowyZnak"/>
          <w:rFonts w:ascii="Arial" w:hAnsi="Arial" w:cs="Arial"/>
          <w:color w:val="404040"/>
        </w:rPr>
        <w:t xml:space="preserve">państwo może podjąć środki stanowiące </w:t>
      </w:r>
      <w:r w:rsidR="005C6EBB" w:rsidRPr="00506C28">
        <w:rPr>
          <w:rStyle w:val="TekstpodstawowyZnak"/>
          <w:rFonts w:ascii="Arial" w:hAnsi="Arial" w:cs="Arial"/>
          <w:color w:val="404040"/>
        </w:rPr>
        <w:t>uchylenie</w:t>
      </w:r>
      <w:r w:rsidRPr="00506C28">
        <w:rPr>
          <w:rStyle w:val="TekstpodstawowyZnak"/>
          <w:rFonts w:ascii="Arial" w:hAnsi="Arial" w:cs="Arial"/>
          <w:color w:val="404040"/>
        </w:rPr>
        <w:t xml:space="preserve"> od zobowiązań wynikających z </w:t>
      </w:r>
      <w:r w:rsidR="00BC153E" w:rsidRPr="00506C28">
        <w:rPr>
          <w:rStyle w:val="TekstpodstawowyZnak"/>
          <w:rFonts w:ascii="Arial" w:hAnsi="Arial" w:cs="Arial"/>
          <w:color w:val="404040"/>
        </w:rPr>
        <w:t>K</w:t>
      </w:r>
      <w:r w:rsidRPr="00506C28">
        <w:rPr>
          <w:rStyle w:val="TekstpodstawowyZnak"/>
          <w:rFonts w:ascii="Arial" w:hAnsi="Arial" w:cs="Arial"/>
          <w:color w:val="404040"/>
        </w:rPr>
        <w:t>onwencji</w:t>
      </w:r>
      <w:r w:rsidR="00100BB3" w:rsidRPr="00506C28">
        <w:rPr>
          <w:rFonts w:ascii="Arial" w:hAnsi="Arial" w:cs="Arial"/>
        </w:rPr>
        <w:t xml:space="preserve"> </w:t>
      </w:r>
      <w:r w:rsidRPr="00506C28">
        <w:rPr>
          <w:rStyle w:val="TekstpodstawowyZnak"/>
          <w:rFonts w:ascii="Arial" w:hAnsi="Arial" w:cs="Arial"/>
          <w:color w:val="404040"/>
        </w:rPr>
        <w:t>wyłącznie w zakresie ściśle wymaganym przez sytuację;</w:t>
      </w:r>
    </w:p>
    <w:p w14:paraId="76250289" w14:textId="11526691" w:rsidR="00782109" w:rsidRPr="00506C28" w:rsidRDefault="009130BA" w:rsidP="004E75AD">
      <w:pPr>
        <w:pStyle w:val="Tekstpodstawowy"/>
        <w:numPr>
          <w:ilvl w:val="0"/>
          <w:numId w:val="6"/>
        </w:numPr>
        <w:spacing w:before="30" w:after="40" w:line="233" w:lineRule="auto"/>
        <w:ind w:left="0" w:firstLine="0"/>
        <w:jc w:val="both"/>
        <w:rPr>
          <w:rFonts w:ascii="Arial" w:hAnsi="Arial" w:cs="Arial"/>
        </w:rPr>
      </w:pPr>
      <w:r w:rsidRPr="00506C28">
        <w:rPr>
          <w:rStyle w:val="TekstpodstawowyZnak"/>
          <w:rFonts w:ascii="Arial" w:hAnsi="Arial" w:cs="Arial"/>
          <w:color w:val="404040"/>
        </w:rPr>
        <w:t xml:space="preserve">żadne </w:t>
      </w:r>
      <w:r w:rsidR="005C6EBB" w:rsidRPr="00506C28">
        <w:rPr>
          <w:rStyle w:val="TekstpodstawowyZnak"/>
          <w:rFonts w:ascii="Arial" w:hAnsi="Arial" w:cs="Arial"/>
          <w:color w:val="404040"/>
        </w:rPr>
        <w:t>uchylenia</w:t>
      </w:r>
      <w:r w:rsidRPr="00506C28">
        <w:rPr>
          <w:rStyle w:val="TekstpodstawowyZnak"/>
          <w:rFonts w:ascii="Arial" w:hAnsi="Arial" w:cs="Arial"/>
          <w:color w:val="404040"/>
        </w:rPr>
        <w:t xml:space="preserve"> nie mogą być sprzeczne z innymi zobowiązaniami państwa wynikającymi z prawa międzynarodowego;</w:t>
      </w:r>
    </w:p>
    <w:p w14:paraId="04DF46C5" w14:textId="1D6F36EE" w:rsidR="00782109" w:rsidRPr="00506C28" w:rsidRDefault="009130BA" w:rsidP="004E75AD">
      <w:pPr>
        <w:pStyle w:val="Tekstpodstawowy"/>
        <w:numPr>
          <w:ilvl w:val="0"/>
          <w:numId w:val="6"/>
        </w:numPr>
        <w:spacing w:before="30" w:after="40"/>
        <w:ind w:left="0" w:firstLine="0"/>
        <w:jc w:val="both"/>
        <w:rPr>
          <w:rFonts w:ascii="Arial" w:hAnsi="Arial" w:cs="Arial"/>
        </w:rPr>
      </w:pPr>
      <w:r w:rsidRPr="00506C28">
        <w:rPr>
          <w:rStyle w:val="TekstpodstawowyZnak"/>
          <w:rFonts w:ascii="Arial" w:hAnsi="Arial" w:cs="Arial"/>
          <w:color w:val="404040"/>
        </w:rPr>
        <w:t xml:space="preserve">niektóre prawa wynikające z </w:t>
      </w:r>
      <w:r w:rsidR="00FB3C5B" w:rsidRPr="00506C28">
        <w:rPr>
          <w:rStyle w:val="TekstpodstawowyZnak"/>
          <w:rFonts w:ascii="Arial" w:hAnsi="Arial" w:cs="Arial"/>
          <w:color w:val="404040"/>
        </w:rPr>
        <w:t>K</w:t>
      </w:r>
      <w:r w:rsidRPr="00506C28">
        <w:rPr>
          <w:rStyle w:val="TekstpodstawowyZnak"/>
          <w:rFonts w:ascii="Arial" w:hAnsi="Arial" w:cs="Arial"/>
          <w:color w:val="404040"/>
        </w:rPr>
        <w:t xml:space="preserve">onwencji nie dopuszczają żadnych odstępstw: art. 15 ust. 2 zabrania zatem wszelkich odstępstw w odniesieniu do prawa do życia, z wyjątkiem przypadków zgodnych z prawem działań wojennych, zakazu tortur i nieludzkiego lub poniżającego traktowania lub karania, zakazu niewolnictwa i poddaństwa oraz zasady </w:t>
      </w:r>
      <w:r w:rsidR="00D04DF0" w:rsidRPr="00506C28">
        <w:rPr>
          <w:rStyle w:val="TekstpodstawowyZnak"/>
          <w:rFonts w:ascii="Arial" w:hAnsi="Arial" w:cs="Arial"/>
          <w:color w:val="404040"/>
        </w:rPr>
        <w:t>nie ma kary</w:t>
      </w:r>
      <w:r w:rsidRPr="00506C28">
        <w:rPr>
          <w:rStyle w:val="TekstpodstawowyZnak"/>
          <w:rFonts w:ascii="Arial" w:hAnsi="Arial" w:cs="Arial"/>
          <w:color w:val="404040"/>
        </w:rPr>
        <w:t xml:space="preserve"> bez ustawy; podobnie nie można </w:t>
      </w:r>
      <w:r w:rsidR="0009352F" w:rsidRPr="00506C28">
        <w:rPr>
          <w:rStyle w:val="TekstpodstawowyZnak"/>
          <w:rFonts w:ascii="Arial" w:hAnsi="Arial" w:cs="Arial"/>
          <w:color w:val="404040"/>
        </w:rPr>
        <w:t xml:space="preserve">dokonać </w:t>
      </w:r>
      <w:r w:rsidR="005C6EBB" w:rsidRPr="00506C28">
        <w:rPr>
          <w:rStyle w:val="TekstpodstawowyZnak"/>
          <w:rFonts w:ascii="Arial" w:hAnsi="Arial" w:cs="Arial"/>
          <w:color w:val="404040"/>
        </w:rPr>
        <w:t>uchylenia</w:t>
      </w:r>
      <w:r w:rsidR="0009352F" w:rsidRPr="00506C28">
        <w:rPr>
          <w:rStyle w:val="TekstpodstawowyZnak"/>
          <w:rFonts w:ascii="Arial" w:hAnsi="Arial" w:cs="Arial"/>
          <w:color w:val="404040"/>
        </w:rPr>
        <w:t xml:space="preserve"> </w:t>
      </w:r>
      <w:r w:rsidRPr="00506C28">
        <w:rPr>
          <w:rStyle w:val="TekstpodstawowyZnak"/>
          <w:rFonts w:ascii="Arial" w:hAnsi="Arial" w:cs="Arial"/>
          <w:color w:val="404040"/>
        </w:rPr>
        <w:t xml:space="preserve">od art. 1 protokołu nr 6 (znoszącego karę śmierci w czasie pokoju) do </w:t>
      </w:r>
      <w:r w:rsidR="0009352F" w:rsidRPr="00506C28">
        <w:rPr>
          <w:rStyle w:val="TekstpodstawowyZnak"/>
          <w:rFonts w:ascii="Arial" w:hAnsi="Arial" w:cs="Arial"/>
          <w:color w:val="404040"/>
        </w:rPr>
        <w:t>K</w:t>
      </w:r>
      <w:r w:rsidRPr="00506C28">
        <w:rPr>
          <w:rStyle w:val="TekstpodstawowyZnak"/>
          <w:rFonts w:ascii="Arial" w:hAnsi="Arial" w:cs="Arial"/>
          <w:color w:val="404040"/>
        </w:rPr>
        <w:t>onwencji, art. 1 protokołu nr 13 (znoszącego karę śmierci w</w:t>
      </w:r>
      <w:r w:rsidR="0009352F" w:rsidRPr="00506C28">
        <w:rPr>
          <w:rStyle w:val="TekstpodstawowyZnak"/>
          <w:rFonts w:ascii="Arial" w:hAnsi="Arial" w:cs="Arial"/>
          <w:color w:val="404040"/>
        </w:rPr>
        <w:t>e wszystkich</w:t>
      </w:r>
      <w:r w:rsidR="00742684" w:rsidRPr="00506C28">
        <w:rPr>
          <w:rStyle w:val="TekstpodstawowyZnak"/>
          <w:rFonts w:ascii="Arial" w:hAnsi="Arial" w:cs="Arial"/>
          <w:color w:val="404040"/>
        </w:rPr>
        <w:t xml:space="preserve"> </w:t>
      </w:r>
      <w:r w:rsidRPr="00506C28">
        <w:rPr>
          <w:rStyle w:val="TekstpodstawowyZnak"/>
          <w:rFonts w:ascii="Arial" w:hAnsi="Arial" w:cs="Arial"/>
          <w:color w:val="404040"/>
        </w:rPr>
        <w:t xml:space="preserve">okolicznościach) do </w:t>
      </w:r>
      <w:r w:rsidR="0009352F" w:rsidRPr="00506C28">
        <w:rPr>
          <w:rStyle w:val="TekstpodstawowyZnak"/>
          <w:rFonts w:ascii="Arial" w:hAnsi="Arial" w:cs="Arial"/>
          <w:color w:val="404040"/>
        </w:rPr>
        <w:t>K</w:t>
      </w:r>
      <w:r w:rsidRPr="00506C28">
        <w:rPr>
          <w:rStyle w:val="TekstpodstawowyZnak"/>
          <w:rFonts w:ascii="Arial" w:hAnsi="Arial" w:cs="Arial"/>
          <w:color w:val="404040"/>
        </w:rPr>
        <w:t xml:space="preserve">onwencji oraz art. 4 (prawo do niebycia sądzonym </w:t>
      </w:r>
      <w:r w:rsidR="0009352F" w:rsidRPr="00506C28">
        <w:rPr>
          <w:rStyle w:val="TekstpodstawowyZnak"/>
          <w:rFonts w:ascii="Arial" w:hAnsi="Arial" w:cs="Arial"/>
          <w:color w:val="404040"/>
        </w:rPr>
        <w:t xml:space="preserve">ani </w:t>
      </w:r>
      <w:r w:rsidRPr="00506C28">
        <w:rPr>
          <w:rStyle w:val="TekstpodstawowyZnak"/>
          <w:rFonts w:ascii="Arial" w:hAnsi="Arial" w:cs="Arial"/>
          <w:color w:val="404040"/>
        </w:rPr>
        <w:t xml:space="preserve">karanym dwukrotnie) protokołu nr 7 do </w:t>
      </w:r>
      <w:r w:rsidR="0009352F" w:rsidRPr="00506C28">
        <w:rPr>
          <w:rStyle w:val="TekstpodstawowyZnak"/>
          <w:rFonts w:ascii="Arial" w:hAnsi="Arial" w:cs="Arial"/>
          <w:color w:val="404040"/>
        </w:rPr>
        <w:t>K</w:t>
      </w:r>
      <w:r w:rsidRPr="00506C28">
        <w:rPr>
          <w:rStyle w:val="TekstpodstawowyZnak"/>
          <w:rFonts w:ascii="Arial" w:hAnsi="Arial" w:cs="Arial"/>
          <w:color w:val="404040"/>
        </w:rPr>
        <w:t>onwencji;</w:t>
      </w:r>
    </w:p>
    <w:p w14:paraId="24388741" w14:textId="2B4711C8" w:rsidR="00782109" w:rsidRPr="00506C28" w:rsidRDefault="009130BA" w:rsidP="004E75AD">
      <w:pPr>
        <w:pStyle w:val="Tekstpodstawowy"/>
        <w:numPr>
          <w:ilvl w:val="0"/>
          <w:numId w:val="6"/>
        </w:numPr>
        <w:spacing w:before="30" w:after="0"/>
        <w:ind w:left="0" w:firstLine="0"/>
        <w:jc w:val="both"/>
        <w:rPr>
          <w:rStyle w:val="TekstpodstawowyZnak"/>
          <w:rFonts w:ascii="Arial" w:hAnsi="Arial" w:cs="Arial"/>
        </w:rPr>
      </w:pPr>
      <w:r w:rsidRPr="00506C28">
        <w:rPr>
          <w:rStyle w:val="TekstpodstawowyZnak"/>
          <w:rFonts w:ascii="Arial" w:hAnsi="Arial" w:cs="Arial"/>
          <w:color w:val="404040"/>
        </w:rPr>
        <w:t xml:space="preserve">Wreszcie, na poziomie proceduralnym, państwo korzystające z tego prawa do </w:t>
      </w:r>
      <w:r w:rsidR="005C6EBB" w:rsidRPr="00506C28">
        <w:rPr>
          <w:rStyle w:val="TekstpodstawowyZnak"/>
          <w:rFonts w:ascii="Arial" w:hAnsi="Arial" w:cs="Arial"/>
          <w:color w:val="404040"/>
        </w:rPr>
        <w:t>uchylenia</w:t>
      </w:r>
      <w:r w:rsidRPr="00506C28">
        <w:rPr>
          <w:rStyle w:val="TekstpodstawowyZnak"/>
          <w:rFonts w:ascii="Arial" w:hAnsi="Arial" w:cs="Arial"/>
          <w:color w:val="404040"/>
        </w:rPr>
        <w:t xml:space="preserve"> musi</w:t>
      </w:r>
      <w:r w:rsidR="00100BB3" w:rsidRPr="00506C28">
        <w:rPr>
          <w:rFonts w:ascii="Arial" w:hAnsi="Arial" w:cs="Arial"/>
        </w:rPr>
        <w:t xml:space="preserve"> </w:t>
      </w:r>
      <w:r w:rsidR="0009352F" w:rsidRPr="00506C28">
        <w:rPr>
          <w:rStyle w:val="TekstpodstawowyZnak"/>
          <w:rFonts w:ascii="Arial" w:hAnsi="Arial" w:cs="Arial"/>
          <w:color w:val="404040"/>
        </w:rPr>
        <w:t>po</w:t>
      </w:r>
      <w:r w:rsidRPr="00506C28">
        <w:rPr>
          <w:rStyle w:val="TekstpodstawowyZnak"/>
          <w:rFonts w:ascii="Arial" w:hAnsi="Arial" w:cs="Arial"/>
          <w:color w:val="404040"/>
        </w:rPr>
        <w:t>informować</w:t>
      </w:r>
      <w:r w:rsidR="0009352F" w:rsidRPr="00506C28">
        <w:rPr>
          <w:rStyle w:val="TekstpodstawowyZnak"/>
          <w:rFonts w:ascii="Arial" w:hAnsi="Arial" w:cs="Arial"/>
          <w:color w:val="404040"/>
        </w:rPr>
        <w:t xml:space="preserve"> o t</w:t>
      </w:r>
      <w:r w:rsidR="00D7009B" w:rsidRPr="00506C28">
        <w:rPr>
          <w:rStyle w:val="TekstpodstawowyZnak"/>
          <w:rFonts w:ascii="Arial" w:hAnsi="Arial" w:cs="Arial"/>
          <w:color w:val="404040"/>
        </w:rPr>
        <w:t>ym</w:t>
      </w:r>
      <w:r w:rsidRPr="00506C28">
        <w:rPr>
          <w:rStyle w:val="TekstpodstawowyZnak"/>
          <w:rFonts w:ascii="Arial" w:hAnsi="Arial" w:cs="Arial"/>
          <w:color w:val="404040"/>
        </w:rPr>
        <w:t xml:space="preserve"> Sekretarza Generalnego Rady Europy.</w:t>
      </w:r>
    </w:p>
    <w:p w14:paraId="3741D54E" w14:textId="77777777" w:rsidR="001F7115" w:rsidRPr="00506C28" w:rsidRDefault="001F7115" w:rsidP="004E75AD">
      <w:pPr>
        <w:pStyle w:val="Tekstpodstawowy"/>
        <w:spacing w:before="30" w:after="0"/>
        <w:ind w:left="960"/>
        <w:rPr>
          <w:rFonts w:ascii="Arial" w:hAnsi="Arial" w:cs="Arial"/>
        </w:rPr>
      </w:pPr>
    </w:p>
    <w:p w14:paraId="62CB3B05" w14:textId="77777777" w:rsidR="0077761C" w:rsidRPr="00506C28" w:rsidRDefault="0077761C" w:rsidP="004E75AD">
      <w:pPr>
        <w:pStyle w:val="Bodytext20"/>
        <w:tabs>
          <w:tab w:val="left" w:pos="215"/>
        </w:tabs>
        <w:spacing w:before="30"/>
        <w:jc w:val="both"/>
        <w:rPr>
          <w:rStyle w:val="Bodytext2"/>
          <w:rFonts w:ascii="Arial" w:hAnsi="Arial" w:cs="Arial"/>
          <w:color w:val="0071BB"/>
          <w:vertAlign w:val="superscript"/>
        </w:rPr>
      </w:pPr>
      <w:bookmarkStart w:id="1" w:name="bookmark24"/>
    </w:p>
    <w:p w14:paraId="1848600A" w14:textId="77777777" w:rsidR="0077761C" w:rsidRPr="00506C28" w:rsidRDefault="0077761C" w:rsidP="004E75AD">
      <w:pPr>
        <w:pStyle w:val="Bodytext20"/>
        <w:tabs>
          <w:tab w:val="left" w:pos="215"/>
        </w:tabs>
        <w:spacing w:before="30"/>
        <w:jc w:val="both"/>
        <w:rPr>
          <w:rStyle w:val="Bodytext2"/>
          <w:rFonts w:ascii="Arial" w:hAnsi="Arial" w:cs="Arial"/>
          <w:vertAlign w:val="superscript"/>
        </w:rPr>
      </w:pPr>
    </w:p>
    <w:p w14:paraId="24CF55DC" w14:textId="77777777" w:rsidR="00CB1741" w:rsidRPr="00506C28" w:rsidRDefault="00CB1741" w:rsidP="004E75AD">
      <w:pPr>
        <w:pStyle w:val="Bodytext20"/>
        <w:tabs>
          <w:tab w:val="left" w:pos="215"/>
        </w:tabs>
        <w:spacing w:before="30"/>
        <w:jc w:val="both"/>
        <w:rPr>
          <w:rStyle w:val="Bodytext2"/>
          <w:rFonts w:ascii="Arial" w:hAnsi="Arial" w:cs="Arial"/>
          <w:vertAlign w:val="superscript"/>
        </w:rPr>
      </w:pPr>
    </w:p>
    <w:p w14:paraId="5BE2C57E" w14:textId="77777777" w:rsidR="0077761C" w:rsidRPr="00506C28" w:rsidRDefault="0077761C" w:rsidP="004E75AD">
      <w:pPr>
        <w:pStyle w:val="Bodytext20"/>
        <w:tabs>
          <w:tab w:val="left" w:pos="215"/>
        </w:tabs>
        <w:spacing w:before="30"/>
        <w:jc w:val="both"/>
        <w:rPr>
          <w:rStyle w:val="Bodytext2"/>
          <w:rFonts w:ascii="Arial" w:hAnsi="Arial" w:cs="Arial"/>
          <w:vertAlign w:val="superscript"/>
        </w:rPr>
      </w:pPr>
    </w:p>
    <w:p w14:paraId="5C8C41B9" w14:textId="6BC1BAF1" w:rsidR="00A33243" w:rsidRPr="00506C28" w:rsidRDefault="00A06437" w:rsidP="004E75AD">
      <w:pPr>
        <w:pStyle w:val="Bodytext20"/>
        <w:tabs>
          <w:tab w:val="left" w:pos="215"/>
        </w:tabs>
        <w:spacing w:before="30"/>
        <w:jc w:val="both"/>
        <w:rPr>
          <w:rStyle w:val="Bodytext2"/>
          <w:rFonts w:ascii="Arial" w:hAnsi="Arial" w:cs="Arial"/>
        </w:rPr>
      </w:pPr>
      <w:r w:rsidRPr="00506C28">
        <w:rPr>
          <w:rStyle w:val="Bodytext2"/>
          <w:rFonts w:ascii="Arial" w:hAnsi="Arial" w:cs="Arial"/>
          <w:vertAlign w:val="superscript"/>
        </w:rPr>
        <w:t>1</w:t>
      </w:r>
      <w:r w:rsidRPr="00506C28">
        <w:rPr>
          <w:rStyle w:val="Bodytext2"/>
          <w:rFonts w:ascii="Arial" w:hAnsi="Arial" w:cs="Arial"/>
        </w:rPr>
        <w:t>. Artykuł 15 (</w:t>
      </w:r>
      <w:r w:rsidR="005C6EBB" w:rsidRPr="00506C28">
        <w:rPr>
          <w:rStyle w:val="Bodytext2"/>
          <w:rFonts w:ascii="Arial" w:hAnsi="Arial" w:cs="Arial"/>
        </w:rPr>
        <w:t>uchylenia</w:t>
      </w:r>
      <w:r w:rsidRPr="00506C28">
        <w:rPr>
          <w:rStyle w:val="Bodytext2"/>
          <w:rFonts w:ascii="Arial" w:hAnsi="Arial" w:cs="Arial"/>
        </w:rPr>
        <w:t xml:space="preserve"> w sytuacjach nadzwyczajnych)</w:t>
      </w:r>
      <w:hyperlink r:id="rId12" w:history="1">
        <w:r w:rsidRPr="00506C28">
          <w:rPr>
            <w:rStyle w:val="Bodytext2"/>
            <w:rFonts w:ascii="Arial" w:hAnsi="Arial" w:cs="Arial"/>
          </w:rPr>
          <w:t xml:space="preserve"> </w:t>
        </w:r>
        <w:r w:rsidRPr="00506C28">
          <w:rPr>
            <w:rStyle w:val="Bodytext2"/>
            <w:rFonts w:ascii="Arial" w:hAnsi="Arial" w:cs="Arial"/>
            <w:color w:val="0071BB"/>
            <w:u w:val="single"/>
          </w:rPr>
          <w:t xml:space="preserve">Europejskiej </w:t>
        </w:r>
        <w:r w:rsidR="00202DF8" w:rsidRPr="00506C28">
          <w:rPr>
            <w:rStyle w:val="Bodytext2"/>
            <w:rFonts w:ascii="Arial" w:hAnsi="Arial" w:cs="Arial"/>
            <w:color w:val="0071BB"/>
            <w:u w:val="single"/>
          </w:rPr>
          <w:t>k</w:t>
        </w:r>
        <w:r w:rsidRPr="00506C28">
          <w:rPr>
            <w:rStyle w:val="Bodytext2"/>
            <w:rFonts w:ascii="Arial" w:hAnsi="Arial" w:cs="Arial"/>
            <w:color w:val="0071BB"/>
            <w:u w:val="single"/>
          </w:rPr>
          <w:t xml:space="preserve">onwencji </w:t>
        </w:r>
        <w:r w:rsidR="00202DF8" w:rsidRPr="00506C28">
          <w:rPr>
            <w:rStyle w:val="Bodytext2"/>
            <w:rFonts w:ascii="Arial" w:hAnsi="Arial" w:cs="Arial"/>
            <w:color w:val="0071BB"/>
            <w:u w:val="single"/>
          </w:rPr>
          <w:t>p</w:t>
        </w:r>
        <w:r w:rsidRPr="00506C28">
          <w:rPr>
            <w:rStyle w:val="Bodytext2"/>
            <w:rFonts w:ascii="Arial" w:hAnsi="Arial" w:cs="Arial"/>
            <w:color w:val="0071BB"/>
            <w:u w:val="single"/>
          </w:rPr>
          <w:t xml:space="preserve">raw </w:t>
        </w:r>
        <w:r w:rsidR="00202DF8" w:rsidRPr="00506C28">
          <w:rPr>
            <w:rStyle w:val="Bodytext2"/>
            <w:rFonts w:ascii="Arial" w:hAnsi="Arial" w:cs="Arial"/>
            <w:color w:val="0071BB"/>
            <w:u w:val="single"/>
          </w:rPr>
          <w:t>c</w:t>
        </w:r>
        <w:r w:rsidRPr="00506C28">
          <w:rPr>
            <w:rStyle w:val="Bodytext2"/>
            <w:rFonts w:ascii="Arial" w:hAnsi="Arial" w:cs="Arial"/>
            <w:color w:val="0071BB"/>
            <w:u w:val="single"/>
          </w:rPr>
          <w:t>złowieka</w:t>
        </w:r>
        <w:r w:rsidRPr="00506C28">
          <w:rPr>
            <w:rStyle w:val="Bodytext2"/>
            <w:rFonts w:ascii="Arial" w:hAnsi="Arial" w:cs="Arial"/>
            <w:color w:val="0071BB"/>
          </w:rPr>
          <w:t xml:space="preserve"> </w:t>
        </w:r>
      </w:hyperlink>
      <w:r w:rsidRPr="00506C28">
        <w:rPr>
          <w:rStyle w:val="Bodytext2"/>
          <w:rFonts w:ascii="Arial" w:hAnsi="Arial" w:cs="Arial"/>
        </w:rPr>
        <w:t xml:space="preserve">stanowi, że: </w:t>
      </w:r>
    </w:p>
    <w:p w14:paraId="27A98455" w14:textId="483EE66E" w:rsidR="00782109" w:rsidRPr="00506C28" w:rsidRDefault="00A06437" w:rsidP="004E75AD">
      <w:pPr>
        <w:pStyle w:val="Bodytext20"/>
        <w:numPr>
          <w:ilvl w:val="0"/>
          <w:numId w:val="8"/>
        </w:numPr>
        <w:tabs>
          <w:tab w:val="left" w:pos="215"/>
        </w:tabs>
        <w:spacing w:before="30"/>
        <w:ind w:left="142" w:firstLine="0"/>
        <w:jc w:val="both"/>
        <w:rPr>
          <w:rFonts w:ascii="Arial" w:hAnsi="Arial" w:cs="Arial"/>
        </w:rPr>
      </w:pPr>
      <w:r w:rsidRPr="00506C28">
        <w:rPr>
          <w:rStyle w:val="Bodytext2"/>
          <w:rFonts w:ascii="Arial" w:hAnsi="Arial" w:cs="Arial"/>
        </w:rPr>
        <w:t xml:space="preserve">„W czasie wojny lub innego </w:t>
      </w:r>
      <w:r w:rsidR="00096A3F" w:rsidRPr="00506C28">
        <w:rPr>
          <w:rStyle w:val="Bodytext2"/>
          <w:rFonts w:ascii="Arial" w:hAnsi="Arial" w:cs="Arial"/>
        </w:rPr>
        <w:t xml:space="preserve">niebezpieczeństwa publicznego </w:t>
      </w:r>
      <w:r w:rsidRPr="00506C28">
        <w:rPr>
          <w:rStyle w:val="Bodytext2"/>
          <w:rFonts w:ascii="Arial" w:hAnsi="Arial" w:cs="Arial"/>
        </w:rPr>
        <w:t>zagrażającego życiu narodu</w:t>
      </w:r>
      <w:r w:rsidR="00096A3F" w:rsidRPr="00506C28">
        <w:rPr>
          <w:rStyle w:val="Bodytext2"/>
          <w:rFonts w:ascii="Arial" w:hAnsi="Arial" w:cs="Arial"/>
        </w:rPr>
        <w:t>,</w:t>
      </w:r>
      <w:r w:rsidRPr="00506C28">
        <w:rPr>
          <w:rStyle w:val="Bodytext2"/>
          <w:rFonts w:ascii="Arial" w:hAnsi="Arial" w:cs="Arial"/>
        </w:rPr>
        <w:t xml:space="preserve"> każda </w:t>
      </w:r>
      <w:r w:rsidR="00096A3F" w:rsidRPr="00506C28">
        <w:rPr>
          <w:rStyle w:val="Bodytext2"/>
          <w:rFonts w:ascii="Arial" w:hAnsi="Arial" w:cs="Arial"/>
        </w:rPr>
        <w:t xml:space="preserve">z </w:t>
      </w:r>
      <w:r w:rsidRPr="00506C28">
        <w:rPr>
          <w:rStyle w:val="Bodytext2"/>
          <w:rFonts w:ascii="Arial" w:hAnsi="Arial" w:cs="Arial"/>
        </w:rPr>
        <w:t>Wysok</w:t>
      </w:r>
      <w:r w:rsidR="00096A3F" w:rsidRPr="00506C28">
        <w:rPr>
          <w:rStyle w:val="Bodytext2"/>
          <w:rFonts w:ascii="Arial" w:hAnsi="Arial" w:cs="Arial"/>
        </w:rPr>
        <w:t>ich</w:t>
      </w:r>
      <w:r w:rsidRPr="00506C28">
        <w:rPr>
          <w:rStyle w:val="Bodytext2"/>
          <w:rFonts w:ascii="Arial" w:hAnsi="Arial" w:cs="Arial"/>
        </w:rPr>
        <w:t xml:space="preserve"> </w:t>
      </w:r>
      <w:r w:rsidR="00096A3F" w:rsidRPr="00506C28">
        <w:rPr>
          <w:rStyle w:val="Bodytext2"/>
          <w:rFonts w:ascii="Arial" w:hAnsi="Arial" w:cs="Arial"/>
        </w:rPr>
        <w:t>Układających</w:t>
      </w:r>
      <w:r w:rsidRPr="00506C28">
        <w:rPr>
          <w:rStyle w:val="Bodytext2"/>
          <w:rFonts w:ascii="Arial" w:hAnsi="Arial" w:cs="Arial"/>
        </w:rPr>
        <w:t xml:space="preserve"> się Stron</w:t>
      </w:r>
      <w:r w:rsidR="006115A6">
        <w:rPr>
          <w:rStyle w:val="Bodytext2"/>
          <w:rFonts w:ascii="Arial" w:hAnsi="Arial" w:cs="Arial"/>
        </w:rPr>
        <w:t xml:space="preserve"> </w:t>
      </w:r>
      <w:r w:rsidR="006115A6" w:rsidRPr="00506C28">
        <w:rPr>
          <w:rStyle w:val="Bodytext2"/>
          <w:rFonts w:ascii="Arial" w:hAnsi="Arial" w:cs="Arial"/>
        </w:rPr>
        <w:t>może podjąć środki uchylające stosowanie zobowiązań wynikających z niniejszej Konwencji w zakresie ściśle odpowiadającym wymogom sytuacji, pod warunkiem, że środki te nie są sprzeczne z innymi zobowiązaniami wynikającymi z prawa międzynarodowego</w:t>
      </w:r>
      <w:r w:rsidR="006115A6">
        <w:rPr>
          <w:rStyle w:val="Bodytext2"/>
          <w:rFonts w:ascii="Arial" w:hAnsi="Arial" w:cs="Arial"/>
        </w:rPr>
        <w:t>.</w:t>
      </w:r>
      <w:bookmarkEnd w:id="1"/>
    </w:p>
    <w:p w14:paraId="04EE75E9" w14:textId="409AF141" w:rsidR="00782109" w:rsidRPr="00506C28" w:rsidRDefault="009130BA" w:rsidP="004E75AD">
      <w:pPr>
        <w:pStyle w:val="Bodytext20"/>
        <w:numPr>
          <w:ilvl w:val="0"/>
          <w:numId w:val="8"/>
        </w:numPr>
        <w:tabs>
          <w:tab w:val="left" w:pos="595"/>
        </w:tabs>
        <w:spacing w:before="30" w:line="233" w:lineRule="auto"/>
        <w:ind w:left="142" w:firstLine="0"/>
        <w:jc w:val="both"/>
        <w:rPr>
          <w:rFonts w:ascii="Arial" w:hAnsi="Arial" w:cs="Arial"/>
        </w:rPr>
      </w:pPr>
      <w:r w:rsidRPr="00506C28">
        <w:rPr>
          <w:rStyle w:val="Bodytext2"/>
          <w:rFonts w:ascii="Arial" w:hAnsi="Arial" w:cs="Arial"/>
        </w:rPr>
        <w:t>Na</w:t>
      </w:r>
      <w:r w:rsidR="00A33243" w:rsidRPr="00506C28">
        <w:rPr>
          <w:rStyle w:val="Bodytext2"/>
          <w:rFonts w:ascii="Arial" w:hAnsi="Arial" w:cs="Arial"/>
        </w:rPr>
        <w:t xml:space="preserve"> </w:t>
      </w:r>
      <w:r w:rsidR="001217B4" w:rsidRPr="00506C28">
        <w:rPr>
          <w:rStyle w:val="Bodytext2"/>
          <w:rFonts w:ascii="Arial" w:hAnsi="Arial" w:cs="Arial"/>
        </w:rPr>
        <w:t>podstawie powyższego przepisu</w:t>
      </w:r>
      <w:r w:rsidRPr="00506C28">
        <w:rPr>
          <w:rStyle w:val="Bodytext2"/>
          <w:rFonts w:ascii="Arial" w:hAnsi="Arial" w:cs="Arial"/>
        </w:rPr>
        <w:t xml:space="preserve"> nie można </w:t>
      </w:r>
      <w:r w:rsidR="001217B4" w:rsidRPr="00506C28">
        <w:rPr>
          <w:rStyle w:val="Bodytext2"/>
          <w:rFonts w:ascii="Arial" w:hAnsi="Arial" w:cs="Arial"/>
        </w:rPr>
        <w:t xml:space="preserve">uchylić zobowiązań wynikających z </w:t>
      </w:r>
      <w:r w:rsidRPr="00506C28">
        <w:rPr>
          <w:rStyle w:val="Bodytext2"/>
          <w:rFonts w:ascii="Arial" w:hAnsi="Arial" w:cs="Arial"/>
        </w:rPr>
        <w:t xml:space="preserve">artykułu 2 [prawo do życia], z wyjątkiem przypadków śmierci </w:t>
      </w:r>
      <w:r w:rsidR="001217B4" w:rsidRPr="00506C28">
        <w:rPr>
          <w:rStyle w:val="Bodytext2"/>
          <w:rFonts w:ascii="Arial" w:hAnsi="Arial" w:cs="Arial"/>
        </w:rPr>
        <w:t>będących wynikiem</w:t>
      </w:r>
      <w:r w:rsidRPr="00506C28">
        <w:rPr>
          <w:rStyle w:val="Bodytext2"/>
          <w:rFonts w:ascii="Arial" w:hAnsi="Arial" w:cs="Arial"/>
        </w:rPr>
        <w:t xml:space="preserve"> </w:t>
      </w:r>
      <w:r w:rsidR="001217B4" w:rsidRPr="00506C28">
        <w:rPr>
          <w:rStyle w:val="Bodytext2"/>
          <w:rFonts w:ascii="Arial" w:hAnsi="Arial" w:cs="Arial"/>
        </w:rPr>
        <w:t xml:space="preserve">zgodnych z prawem </w:t>
      </w:r>
      <w:r w:rsidRPr="00506C28">
        <w:rPr>
          <w:rStyle w:val="Bodytext2"/>
          <w:rFonts w:ascii="Arial" w:hAnsi="Arial" w:cs="Arial"/>
        </w:rPr>
        <w:t xml:space="preserve">działań </w:t>
      </w:r>
      <w:r w:rsidR="00A33243" w:rsidRPr="00506C28">
        <w:rPr>
          <w:rStyle w:val="Bodytext2"/>
          <w:rFonts w:ascii="Arial" w:hAnsi="Arial" w:cs="Arial"/>
        </w:rPr>
        <w:t>wojennych</w:t>
      </w:r>
      <w:r w:rsidR="001217B4" w:rsidRPr="00506C28">
        <w:rPr>
          <w:rStyle w:val="Bodytext2"/>
          <w:rFonts w:ascii="Arial" w:hAnsi="Arial" w:cs="Arial"/>
        </w:rPr>
        <w:t xml:space="preserve"> oraz zobowiązań zawartych w artykułach</w:t>
      </w:r>
      <w:r w:rsidRPr="00506C28">
        <w:rPr>
          <w:rStyle w:val="Bodytext2"/>
          <w:rFonts w:ascii="Arial" w:hAnsi="Arial" w:cs="Arial"/>
        </w:rPr>
        <w:t xml:space="preserve"> 3 [zakaz tortur i nieludzkiego lub poniżającego traktowania lub karania], 4 (ustęp 1) [zakaz niewolnictwa i poddaństwa] oraz 7 [zakaz karania bez ustawy].</w:t>
      </w:r>
    </w:p>
    <w:p w14:paraId="27D33D15" w14:textId="225539B4" w:rsidR="001217B4" w:rsidRPr="00506C28" w:rsidRDefault="001217B4" w:rsidP="004E75AD">
      <w:pPr>
        <w:pStyle w:val="Bodytext20"/>
        <w:numPr>
          <w:ilvl w:val="0"/>
          <w:numId w:val="8"/>
        </w:numPr>
        <w:tabs>
          <w:tab w:val="left" w:pos="595"/>
        </w:tabs>
        <w:spacing w:before="30" w:line="233" w:lineRule="auto"/>
        <w:ind w:left="142" w:firstLine="0"/>
        <w:jc w:val="both"/>
        <w:rPr>
          <w:rStyle w:val="Bodytext2"/>
          <w:rFonts w:ascii="Arial" w:hAnsi="Arial" w:cs="Arial"/>
        </w:rPr>
      </w:pPr>
      <w:bookmarkStart w:id="2" w:name="bookmark25"/>
      <w:r w:rsidRPr="00506C28">
        <w:rPr>
          <w:rStyle w:val="Bodytext2"/>
          <w:rFonts w:ascii="Arial" w:hAnsi="Arial" w:cs="Arial"/>
        </w:rPr>
        <w:t xml:space="preserve">Każda z Wysokich Układających się Stron, korzystając z prawa do uchylenia zobowiązań, poinformuje wyczerpująco </w:t>
      </w:r>
      <w:r w:rsidR="007646B7" w:rsidRPr="00506C28">
        <w:rPr>
          <w:rStyle w:val="Bodytext2"/>
          <w:rFonts w:ascii="Arial" w:hAnsi="Arial" w:cs="Arial"/>
        </w:rPr>
        <w:t>S</w:t>
      </w:r>
      <w:r w:rsidRPr="00506C28">
        <w:rPr>
          <w:rStyle w:val="Bodytext2"/>
          <w:rFonts w:ascii="Arial" w:hAnsi="Arial" w:cs="Arial"/>
        </w:rPr>
        <w:t xml:space="preserve">ekretarza Generalnego Rady Europy o środkach, które </w:t>
      </w:r>
      <w:r w:rsidR="00C54D14" w:rsidRPr="00506C28">
        <w:rPr>
          <w:rStyle w:val="Bodytext2"/>
          <w:rFonts w:ascii="Arial" w:hAnsi="Arial" w:cs="Arial"/>
        </w:rPr>
        <w:t>podjęła</w:t>
      </w:r>
      <w:r w:rsidRPr="00506C28">
        <w:rPr>
          <w:rStyle w:val="Bodytext2"/>
          <w:rFonts w:ascii="Arial" w:hAnsi="Arial" w:cs="Arial"/>
        </w:rPr>
        <w:t xml:space="preserve"> oraz powodach ich zastosowania. Informować będzie również </w:t>
      </w:r>
      <w:r w:rsidR="007646B7" w:rsidRPr="00506C28">
        <w:rPr>
          <w:rStyle w:val="Bodytext2"/>
          <w:rFonts w:ascii="Arial" w:hAnsi="Arial" w:cs="Arial"/>
        </w:rPr>
        <w:t>S</w:t>
      </w:r>
      <w:r w:rsidRPr="00506C28">
        <w:rPr>
          <w:rStyle w:val="Bodytext2"/>
          <w:rFonts w:ascii="Arial" w:hAnsi="Arial" w:cs="Arial"/>
        </w:rPr>
        <w:t>ekretarza Generalnego Rady Europy, kiedy podjęte środki przestaną działać, a przepisy konwencji będą ponownie w pełni stosowane.</w:t>
      </w:r>
    </w:p>
    <w:bookmarkEnd w:id="2"/>
    <w:p w14:paraId="0C07C84E" w14:textId="47076579" w:rsidR="006115A6" w:rsidRPr="006C4A5F" w:rsidRDefault="007118FC" w:rsidP="006115A6">
      <w:pPr>
        <w:pStyle w:val="Bodytext20"/>
        <w:spacing w:before="30" w:after="40"/>
        <w:ind w:left="142"/>
        <w:jc w:val="both"/>
        <w:rPr>
          <w:rFonts w:ascii="Arial" w:hAnsi="Arial" w:cs="Arial"/>
        </w:rPr>
      </w:pPr>
      <w:r w:rsidRPr="00506C28">
        <w:rPr>
          <w:rStyle w:val="Bodytext2"/>
          <w:rFonts w:ascii="Arial" w:hAnsi="Arial" w:cs="Arial"/>
          <w:vertAlign w:val="superscript"/>
        </w:rPr>
        <w:t>2</w:t>
      </w:r>
      <w:r w:rsidRPr="00506C28">
        <w:rPr>
          <w:rStyle w:val="Bodytext2"/>
          <w:rFonts w:ascii="Arial" w:hAnsi="Arial" w:cs="Arial"/>
        </w:rPr>
        <w:t>. Zob. w szczególności</w:t>
      </w:r>
      <w:hyperlink r:id="rId13" w:history="1">
        <w:r w:rsidRPr="00506C28">
          <w:rPr>
            <w:rStyle w:val="Bodytext2"/>
            <w:rFonts w:ascii="Arial" w:hAnsi="Arial" w:cs="Arial"/>
          </w:rPr>
          <w:t xml:space="preserve"> </w:t>
        </w:r>
        <w:r w:rsidRPr="00506C28">
          <w:rPr>
            <w:rStyle w:val="Bodytext2"/>
            <w:rFonts w:ascii="Arial" w:hAnsi="Arial" w:cs="Arial"/>
            <w:i/>
            <w:iCs/>
            <w:color w:val="0071BB"/>
            <w:u w:val="single"/>
          </w:rPr>
          <w:t>Lawless przeciwko Irlandii (nr 3)</w:t>
        </w:r>
      </w:hyperlink>
      <w:r w:rsidRPr="00506C28">
        <w:rPr>
          <w:rStyle w:val="Bodytext2"/>
          <w:rFonts w:ascii="Arial" w:hAnsi="Arial" w:cs="Arial"/>
        </w:rPr>
        <w:t>, wyrok z dnia 1 lipca 1961 r., [część prawna] § 22: „... Rząd każdej z</w:t>
      </w:r>
      <w:r w:rsidR="00A33243" w:rsidRPr="00506C28">
        <w:rPr>
          <w:rStyle w:val="Bodytext2"/>
          <w:rFonts w:ascii="Arial" w:hAnsi="Arial" w:cs="Arial"/>
        </w:rPr>
        <w:t xml:space="preserve"> </w:t>
      </w:r>
      <w:r w:rsidR="009130BA" w:rsidRPr="00506C28">
        <w:rPr>
          <w:rStyle w:val="Bodytext2"/>
          <w:rFonts w:ascii="Arial" w:hAnsi="Arial" w:cs="Arial"/>
        </w:rPr>
        <w:t xml:space="preserve">Wysokich </w:t>
      </w:r>
      <w:r w:rsidR="00056CC3" w:rsidRPr="00506C28">
        <w:rPr>
          <w:rStyle w:val="Bodytext2"/>
          <w:rFonts w:ascii="Arial" w:hAnsi="Arial" w:cs="Arial"/>
        </w:rPr>
        <w:t xml:space="preserve">Układających </w:t>
      </w:r>
      <w:r w:rsidR="009130BA" w:rsidRPr="00506C28">
        <w:rPr>
          <w:rStyle w:val="Bodytext2"/>
          <w:rFonts w:ascii="Arial" w:hAnsi="Arial" w:cs="Arial"/>
        </w:rPr>
        <w:t xml:space="preserve">się Stron ma prawo, w przypadku wojny lub </w:t>
      </w:r>
      <w:r w:rsidR="00056CC3" w:rsidRPr="00506C28">
        <w:rPr>
          <w:rStyle w:val="Bodytext2"/>
          <w:rFonts w:ascii="Arial" w:hAnsi="Arial" w:cs="Arial"/>
        </w:rPr>
        <w:t>niebezpieczeństwa publicznego</w:t>
      </w:r>
      <w:r w:rsidR="009130BA" w:rsidRPr="00506C28">
        <w:rPr>
          <w:rStyle w:val="Bodytext2"/>
          <w:rFonts w:ascii="Arial" w:hAnsi="Arial" w:cs="Arial"/>
        </w:rPr>
        <w:t xml:space="preserve"> zagrażającego życiu narodu,</w:t>
      </w:r>
      <w:r w:rsidR="00056CC3" w:rsidRPr="00506C28">
        <w:rPr>
          <w:rStyle w:val="Bodytext2"/>
          <w:rFonts w:ascii="Arial" w:hAnsi="Arial" w:cs="Arial"/>
        </w:rPr>
        <w:t xml:space="preserve"> </w:t>
      </w:r>
      <w:r w:rsidR="009130BA" w:rsidRPr="00506C28">
        <w:rPr>
          <w:rStyle w:val="Bodytext2"/>
          <w:rFonts w:ascii="Arial" w:hAnsi="Arial" w:cs="Arial"/>
        </w:rPr>
        <w:t xml:space="preserve">podjąć środki </w:t>
      </w:r>
      <w:r w:rsidR="00056CC3" w:rsidRPr="00506C28">
        <w:rPr>
          <w:rStyle w:val="Bodytext2"/>
          <w:rFonts w:ascii="Arial" w:hAnsi="Arial" w:cs="Arial"/>
        </w:rPr>
        <w:t>uchylające stosowanie</w:t>
      </w:r>
      <w:r w:rsidR="009130BA" w:rsidRPr="00506C28">
        <w:rPr>
          <w:rStyle w:val="Bodytext2"/>
          <w:rFonts w:ascii="Arial" w:hAnsi="Arial" w:cs="Arial"/>
        </w:rPr>
        <w:t xml:space="preserve"> zobowiązań wynikających z niniejszej Konwencji, inne niż wymienione w art. 15 ust. 2, pod </w:t>
      </w:r>
      <w:r w:rsidR="00B3780D" w:rsidRPr="00506C28">
        <w:rPr>
          <w:rStyle w:val="Bodytext2"/>
          <w:rFonts w:ascii="Arial" w:hAnsi="Arial" w:cs="Arial"/>
        </w:rPr>
        <w:t>warunkiem,</w:t>
      </w:r>
      <w:r w:rsidR="009130BA" w:rsidRPr="00506C28">
        <w:rPr>
          <w:rStyle w:val="Bodytext2"/>
          <w:rFonts w:ascii="Arial" w:hAnsi="Arial" w:cs="Arial"/>
        </w:rPr>
        <w:t xml:space="preserve"> że środki te są ściśle ograniczone do tego, co </w:t>
      </w:r>
      <w:r w:rsidR="00056CC3" w:rsidRPr="00506C28">
        <w:rPr>
          <w:rStyle w:val="Bodytext2"/>
          <w:rFonts w:ascii="Arial" w:hAnsi="Arial" w:cs="Arial"/>
        </w:rPr>
        <w:t>odpowiada wymogom</w:t>
      </w:r>
      <w:r w:rsidR="009130BA" w:rsidRPr="00506C28">
        <w:rPr>
          <w:rStyle w:val="Bodytext2"/>
          <w:rFonts w:ascii="Arial" w:hAnsi="Arial" w:cs="Arial"/>
        </w:rPr>
        <w:t xml:space="preserve"> sytuacj</w:t>
      </w:r>
      <w:r w:rsidR="00056CC3" w:rsidRPr="00506C28">
        <w:rPr>
          <w:rStyle w:val="Bodytext2"/>
          <w:rFonts w:ascii="Arial" w:hAnsi="Arial" w:cs="Arial"/>
        </w:rPr>
        <w:t>i</w:t>
      </w:r>
      <w:r w:rsidR="009130BA" w:rsidRPr="00506C28">
        <w:rPr>
          <w:rStyle w:val="Bodytext2"/>
          <w:rFonts w:ascii="Arial" w:hAnsi="Arial" w:cs="Arial"/>
        </w:rPr>
        <w:t>, i nie są sprzeczne z innymi zobowiązaniami</w:t>
      </w:r>
      <w:r w:rsidR="006115A6" w:rsidRPr="006115A6">
        <w:rPr>
          <w:rStyle w:val="Bodytext2"/>
          <w:rFonts w:ascii="Arial" w:hAnsi="Arial" w:cs="Arial"/>
        </w:rPr>
        <w:t xml:space="preserve"> </w:t>
      </w:r>
      <w:r w:rsidR="006115A6" w:rsidRPr="00506C28">
        <w:rPr>
          <w:rStyle w:val="Bodytext2"/>
          <w:rFonts w:ascii="Arial" w:hAnsi="Arial" w:cs="Arial"/>
        </w:rPr>
        <w:t>wynikającymi z prawa międzynarodowego...”.</w:t>
      </w:r>
    </w:p>
    <w:p w14:paraId="6F10677B" w14:textId="219C14BB" w:rsidR="00782109" w:rsidRPr="00506C28" w:rsidRDefault="00782109" w:rsidP="004E75AD">
      <w:pPr>
        <w:pStyle w:val="Bodytext20"/>
        <w:tabs>
          <w:tab w:val="left" w:pos="595"/>
        </w:tabs>
        <w:spacing w:before="30" w:line="233" w:lineRule="auto"/>
        <w:ind w:left="142" w:hanging="142"/>
        <w:jc w:val="both"/>
        <w:rPr>
          <w:rFonts w:ascii="Arial" w:hAnsi="Arial" w:cs="Arial"/>
        </w:rPr>
      </w:pPr>
    </w:p>
    <w:p w14:paraId="453EF4CD" w14:textId="77777777" w:rsidR="00782109" w:rsidRPr="00506C28" w:rsidRDefault="009130BA" w:rsidP="004E75AD">
      <w:pPr>
        <w:spacing w:before="30"/>
        <w:jc w:val="center"/>
        <w:rPr>
          <w:rFonts w:ascii="Arial" w:hAnsi="Arial" w:cs="Arial"/>
          <w:sz w:val="2"/>
          <w:szCs w:val="2"/>
        </w:rPr>
        <w:sectPr w:rsidR="00782109" w:rsidRPr="00506C28" w:rsidSect="004E75AD">
          <w:type w:val="continuous"/>
          <w:pgSz w:w="11900" w:h="16840"/>
          <w:pgMar w:top="1417" w:right="1417" w:bottom="1417" w:left="1417" w:header="0" w:footer="3" w:gutter="0"/>
          <w:cols w:space="720"/>
          <w:noEndnote/>
          <w:docGrid w:linePitch="360"/>
        </w:sectPr>
      </w:pPr>
      <w:r w:rsidRPr="004E75AD">
        <w:rPr>
          <w:rFonts w:ascii="Arial" w:hAnsi="Arial" w:cs="Arial"/>
          <w:noProof/>
        </w:rPr>
        <w:drawing>
          <wp:inline distT="0" distB="0" distL="0" distR="0" wp14:anchorId="2C63E335" wp14:editId="0F102D44">
            <wp:extent cx="743585" cy="59753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stretch/>
                  </pic:blipFill>
                  <pic:spPr>
                    <a:xfrm>
                      <a:off x="0" y="0"/>
                      <a:ext cx="743585" cy="597535"/>
                    </a:xfrm>
                    <a:prstGeom prst="rect">
                      <a:avLst/>
                    </a:prstGeom>
                  </pic:spPr>
                </pic:pic>
              </a:graphicData>
            </a:graphic>
          </wp:inline>
        </w:drawing>
      </w:r>
    </w:p>
    <w:p w14:paraId="553617BA" w14:textId="77777777" w:rsidR="00782109" w:rsidRPr="00506C28" w:rsidRDefault="009130BA" w:rsidP="004E75AD">
      <w:pPr>
        <w:pStyle w:val="Heading20"/>
        <w:keepNext/>
        <w:keepLines/>
        <w:pBdr>
          <w:bottom w:val="single" w:sz="6" w:space="3" w:color="auto"/>
        </w:pBdr>
        <w:spacing w:before="30" w:after="200"/>
        <w:rPr>
          <w:rStyle w:val="Heading2"/>
          <w:rFonts w:ascii="Arial" w:hAnsi="Arial" w:cs="Arial"/>
          <w:color w:val="0071BB"/>
        </w:rPr>
      </w:pPr>
      <w:bookmarkStart w:id="3" w:name="bookmark26"/>
      <w:r w:rsidRPr="00506C28">
        <w:rPr>
          <w:rStyle w:val="Heading2"/>
          <w:rFonts w:ascii="Arial" w:hAnsi="Arial" w:cs="Arial"/>
          <w:color w:val="0071BB"/>
        </w:rPr>
        <w:lastRenderedPageBreak/>
        <w:t>Fakty i liczby</w:t>
      </w:r>
      <w:bookmarkEnd w:id="3"/>
    </w:p>
    <w:p w14:paraId="173918FC" w14:textId="2500C4D1" w:rsidR="00782109" w:rsidRPr="00506C28" w:rsidRDefault="009130BA" w:rsidP="004E75AD">
      <w:pPr>
        <w:pStyle w:val="Tekstpodstawowy"/>
        <w:spacing w:before="30"/>
        <w:jc w:val="both"/>
        <w:rPr>
          <w:rFonts w:ascii="Arial" w:hAnsi="Arial" w:cs="Arial"/>
        </w:rPr>
      </w:pPr>
      <w:r w:rsidRPr="00506C28">
        <w:rPr>
          <w:rStyle w:val="TekstpodstawowyZnak"/>
          <w:rFonts w:ascii="Arial" w:hAnsi="Arial" w:cs="Arial"/>
          <w:color w:val="000000"/>
        </w:rPr>
        <w:t xml:space="preserve">W dniu 5 czerwca 2015 r. Ukraina powiadomiła Sekretarza Generalnego Rady Europy, że w związku </w:t>
      </w:r>
      <w:r w:rsidR="006115A6">
        <w:rPr>
          <w:rStyle w:val="TekstpodstawowyZnak"/>
          <w:rFonts w:ascii="Arial" w:hAnsi="Arial" w:cs="Arial"/>
          <w:color w:val="000000"/>
        </w:rPr>
        <w:br/>
      </w:r>
      <w:r w:rsidRPr="00506C28">
        <w:rPr>
          <w:rStyle w:val="TekstpodstawowyZnak"/>
          <w:rFonts w:ascii="Arial" w:hAnsi="Arial" w:cs="Arial"/>
          <w:color w:val="000000"/>
        </w:rPr>
        <w:t xml:space="preserve">z sytuacją nadzwyczajną w kraju władze Ukrainy podjęły decyzję o zastosowaniu art. 15 </w:t>
      </w:r>
      <w:r w:rsidR="00D7009B" w:rsidRPr="00506C28">
        <w:rPr>
          <w:rStyle w:val="TekstpodstawowyZnak"/>
          <w:rFonts w:ascii="Arial" w:hAnsi="Arial" w:cs="Arial"/>
          <w:color w:val="000000"/>
        </w:rPr>
        <w:t>E</w:t>
      </w:r>
      <w:r w:rsidRPr="00506C28">
        <w:rPr>
          <w:rStyle w:val="TekstpodstawowyZnak"/>
          <w:rFonts w:ascii="Arial" w:hAnsi="Arial" w:cs="Arial"/>
          <w:color w:val="000000"/>
        </w:rPr>
        <w:t xml:space="preserve">uropejskiej konwencji praw człowieka w celu odstąpienia od niektórych praw zapisanych w </w:t>
      </w:r>
      <w:r w:rsidR="0065342B" w:rsidRPr="00506C28">
        <w:rPr>
          <w:rStyle w:val="TekstpodstawowyZnak"/>
          <w:rFonts w:ascii="Arial" w:hAnsi="Arial" w:cs="Arial"/>
          <w:color w:val="000000"/>
        </w:rPr>
        <w:t>K</w:t>
      </w:r>
      <w:r w:rsidRPr="00506C28">
        <w:rPr>
          <w:rStyle w:val="TekstpodstawowyZnak"/>
          <w:rFonts w:ascii="Arial" w:hAnsi="Arial" w:cs="Arial"/>
          <w:color w:val="000000"/>
        </w:rPr>
        <w:t>onwencji</w:t>
      </w:r>
      <w:hyperlink w:anchor="bookmark0" w:tooltip="Current Document">
        <w:r w:rsidR="00782109" w:rsidRPr="00506C28">
          <w:rPr>
            <w:rStyle w:val="TekstpodstawowyZnak"/>
            <w:rFonts w:ascii="Arial" w:hAnsi="Arial" w:cs="Arial"/>
            <w:color w:val="000000"/>
            <w:vertAlign w:val="superscript"/>
          </w:rPr>
          <w:footnoteReference w:id="1"/>
        </w:r>
      </w:hyperlink>
      <w:r w:rsidRPr="00506C28">
        <w:rPr>
          <w:rStyle w:val="TekstpodstawowyZnak"/>
          <w:rFonts w:ascii="Arial" w:hAnsi="Arial" w:cs="Arial"/>
          <w:color w:val="000000"/>
        </w:rPr>
        <w:t>.</w:t>
      </w:r>
    </w:p>
    <w:p w14:paraId="048029EE" w14:textId="0356DC20" w:rsidR="00782109" w:rsidRPr="00506C28" w:rsidRDefault="009130BA" w:rsidP="004E75AD">
      <w:pPr>
        <w:pStyle w:val="Tekstpodstawowy"/>
        <w:spacing w:before="30" w:line="233" w:lineRule="auto"/>
        <w:jc w:val="both"/>
        <w:rPr>
          <w:rFonts w:ascii="Arial" w:hAnsi="Arial" w:cs="Arial"/>
        </w:rPr>
      </w:pPr>
      <w:r w:rsidRPr="00506C28">
        <w:rPr>
          <w:rStyle w:val="TekstpodstawowyZnak"/>
          <w:rFonts w:ascii="Arial" w:hAnsi="Arial" w:cs="Arial"/>
          <w:color w:val="000000"/>
        </w:rPr>
        <w:t>W marcu i kwietniu 2020 r., w związku z kryzysem zdrowotnym związanym z COVID-19, Łotwa</w:t>
      </w:r>
      <w:hyperlink w:anchor="bookmark1" w:tooltip="Current Document">
        <w:r w:rsidR="00782109" w:rsidRPr="00506C28">
          <w:rPr>
            <w:rStyle w:val="TekstpodstawowyZnak"/>
            <w:rFonts w:ascii="Arial" w:hAnsi="Arial" w:cs="Arial"/>
            <w:color w:val="000000"/>
            <w:vertAlign w:val="superscript"/>
          </w:rPr>
          <w:footnoteReference w:id="2"/>
        </w:r>
      </w:hyperlink>
      <w:r w:rsidRPr="00506C28">
        <w:rPr>
          <w:rStyle w:val="TekstpodstawowyZnak"/>
          <w:rFonts w:ascii="Arial" w:hAnsi="Arial" w:cs="Arial"/>
          <w:color w:val="000000"/>
        </w:rPr>
        <w:t>, Rumunia</w:t>
      </w:r>
      <w:hyperlink w:anchor="bookmark2" w:tooltip="Current Document">
        <w:r w:rsidR="00782109" w:rsidRPr="00506C28">
          <w:rPr>
            <w:rStyle w:val="TekstpodstawowyZnak"/>
            <w:rFonts w:ascii="Arial" w:hAnsi="Arial" w:cs="Arial"/>
            <w:color w:val="000000"/>
            <w:vertAlign w:val="superscript"/>
          </w:rPr>
          <w:footnoteReference w:id="3"/>
        </w:r>
      </w:hyperlink>
      <w:r w:rsidRPr="00506C28">
        <w:rPr>
          <w:rStyle w:val="TekstpodstawowyZnak"/>
          <w:rFonts w:ascii="Arial" w:hAnsi="Arial" w:cs="Arial"/>
          <w:color w:val="000000"/>
        </w:rPr>
        <w:t>, Armenia</w:t>
      </w:r>
      <w:hyperlink w:anchor="bookmark3" w:tooltip="Current Document">
        <w:r w:rsidR="00782109" w:rsidRPr="00506C28">
          <w:rPr>
            <w:rStyle w:val="TekstpodstawowyZnak"/>
            <w:rFonts w:ascii="Arial" w:hAnsi="Arial" w:cs="Arial"/>
            <w:color w:val="000000"/>
            <w:vertAlign w:val="superscript"/>
          </w:rPr>
          <w:footnoteReference w:id="4"/>
        </w:r>
      </w:hyperlink>
      <w:r w:rsidRPr="00506C28">
        <w:rPr>
          <w:rStyle w:val="TekstpodstawowyZnak"/>
          <w:rFonts w:ascii="Arial" w:hAnsi="Arial" w:cs="Arial"/>
          <w:color w:val="000000"/>
        </w:rPr>
        <w:t>, Republika Mołdawii</w:t>
      </w:r>
      <w:hyperlink w:anchor="bookmark4" w:tooltip="Current Document">
        <w:r w:rsidR="00782109" w:rsidRPr="00506C28">
          <w:rPr>
            <w:rStyle w:val="TekstpodstawowyZnak"/>
            <w:rFonts w:ascii="Arial" w:hAnsi="Arial" w:cs="Arial"/>
            <w:color w:val="000000"/>
            <w:vertAlign w:val="superscript"/>
          </w:rPr>
          <w:footnoteReference w:id="5"/>
        </w:r>
      </w:hyperlink>
      <w:r w:rsidRPr="00506C28">
        <w:rPr>
          <w:rStyle w:val="TekstpodstawowyZnak"/>
          <w:rFonts w:ascii="Arial" w:hAnsi="Arial" w:cs="Arial"/>
          <w:color w:val="000000"/>
        </w:rPr>
        <w:t xml:space="preserve"> , Estonia</w:t>
      </w:r>
      <w:hyperlink w:anchor="bookmark5" w:tooltip="Current Document">
        <w:r w:rsidR="00782109" w:rsidRPr="00506C28">
          <w:rPr>
            <w:rStyle w:val="TekstpodstawowyZnak"/>
            <w:rFonts w:ascii="Arial" w:hAnsi="Arial" w:cs="Arial"/>
            <w:color w:val="000000"/>
            <w:vertAlign w:val="superscript"/>
          </w:rPr>
          <w:footnoteReference w:id="6"/>
        </w:r>
      </w:hyperlink>
      <w:r w:rsidRPr="00506C28">
        <w:rPr>
          <w:rStyle w:val="TekstpodstawowyZnak"/>
          <w:rFonts w:ascii="Arial" w:hAnsi="Arial" w:cs="Arial"/>
          <w:color w:val="000000"/>
        </w:rPr>
        <w:t xml:space="preserve"> , Gruzja</w:t>
      </w:r>
      <w:hyperlink w:anchor="bookmark6" w:tooltip="Current Document">
        <w:r w:rsidR="00782109" w:rsidRPr="00506C28">
          <w:rPr>
            <w:rStyle w:val="TekstpodstawowyZnak"/>
            <w:rFonts w:ascii="Arial" w:hAnsi="Arial" w:cs="Arial"/>
            <w:color w:val="000000"/>
            <w:vertAlign w:val="superscript"/>
          </w:rPr>
          <w:footnoteReference w:id="7"/>
        </w:r>
        <w:r w:rsidR="00782109" w:rsidRPr="00506C28">
          <w:rPr>
            <w:rStyle w:val="TekstpodstawowyZnak"/>
            <w:rFonts w:ascii="Arial" w:hAnsi="Arial" w:cs="Arial"/>
            <w:color w:val="000000"/>
          </w:rPr>
          <w:t xml:space="preserve"> </w:t>
        </w:r>
      </w:hyperlink>
      <w:r w:rsidRPr="00506C28">
        <w:rPr>
          <w:rStyle w:val="TekstpodstawowyZnak"/>
          <w:rFonts w:ascii="Arial" w:hAnsi="Arial" w:cs="Arial"/>
          <w:color w:val="000000"/>
        </w:rPr>
        <w:t>, Albania</w:t>
      </w:r>
      <w:hyperlink w:anchor="bookmark7" w:tooltip="Current Document">
        <w:r w:rsidR="00782109" w:rsidRPr="00506C28">
          <w:rPr>
            <w:rStyle w:val="TekstpodstawowyZnak"/>
            <w:rFonts w:ascii="Arial" w:hAnsi="Arial" w:cs="Arial"/>
            <w:color w:val="000000"/>
            <w:vertAlign w:val="superscript"/>
          </w:rPr>
          <w:footnoteReference w:id="8"/>
        </w:r>
      </w:hyperlink>
      <w:r w:rsidRPr="00506C28">
        <w:rPr>
          <w:rStyle w:val="TekstpodstawowyZnak"/>
          <w:rFonts w:ascii="Arial" w:hAnsi="Arial" w:cs="Arial"/>
          <w:color w:val="000000"/>
        </w:rPr>
        <w:t xml:space="preserve"> , Macedonia Północna</w:t>
      </w:r>
      <w:hyperlink w:anchor="bookmark8" w:tooltip="Current Document">
        <w:r w:rsidR="00782109" w:rsidRPr="00506C28">
          <w:rPr>
            <w:rStyle w:val="TekstpodstawowyZnak"/>
            <w:rFonts w:ascii="Arial" w:hAnsi="Arial" w:cs="Arial"/>
            <w:color w:val="000000"/>
            <w:vertAlign w:val="superscript"/>
          </w:rPr>
          <w:footnoteReference w:id="9"/>
        </w:r>
      </w:hyperlink>
      <w:r w:rsidRPr="00506C28">
        <w:rPr>
          <w:rStyle w:val="TekstpodstawowyZnak"/>
          <w:rFonts w:ascii="Arial" w:hAnsi="Arial" w:cs="Arial"/>
          <w:color w:val="000000"/>
          <w:vertAlign w:val="superscript"/>
        </w:rPr>
        <w:t xml:space="preserve"> </w:t>
      </w:r>
      <w:r w:rsidRPr="00506C28">
        <w:rPr>
          <w:rStyle w:val="TekstpodstawowyZnak"/>
          <w:rFonts w:ascii="Arial" w:hAnsi="Arial" w:cs="Arial"/>
          <w:color w:val="000000"/>
        </w:rPr>
        <w:t>, Serbia</w:t>
      </w:r>
      <w:hyperlink w:anchor="bookmark9" w:tooltip="Current Document">
        <w:r w:rsidR="00782109" w:rsidRPr="00506C28">
          <w:rPr>
            <w:rStyle w:val="TekstpodstawowyZnak"/>
            <w:rFonts w:ascii="Arial" w:hAnsi="Arial" w:cs="Arial"/>
            <w:color w:val="000000"/>
            <w:vertAlign w:val="superscript"/>
          </w:rPr>
          <w:footnoteReference w:id="10"/>
        </w:r>
        <w:r w:rsidR="00782109" w:rsidRPr="00506C28">
          <w:rPr>
            <w:rStyle w:val="TekstpodstawowyZnak"/>
            <w:rFonts w:ascii="Arial" w:hAnsi="Arial" w:cs="Arial"/>
            <w:color w:val="000000"/>
          </w:rPr>
          <w:t xml:space="preserve"> </w:t>
        </w:r>
      </w:hyperlink>
      <w:r w:rsidRPr="00506C28">
        <w:rPr>
          <w:rStyle w:val="TekstpodstawowyZnak"/>
          <w:rFonts w:ascii="Arial" w:hAnsi="Arial" w:cs="Arial"/>
          <w:color w:val="000000"/>
        </w:rPr>
        <w:t>i San Marino</w:t>
      </w:r>
      <w:hyperlink w:anchor="bookmark10" w:tooltip="Current Document">
        <w:r w:rsidR="00782109" w:rsidRPr="00506C28">
          <w:rPr>
            <w:rStyle w:val="TekstpodstawowyZnak"/>
            <w:rFonts w:ascii="Arial" w:hAnsi="Arial" w:cs="Arial"/>
            <w:color w:val="000000"/>
            <w:vertAlign w:val="superscript"/>
          </w:rPr>
          <w:footnoteReference w:id="11"/>
        </w:r>
        <w:r w:rsidR="00782109" w:rsidRPr="00506C28">
          <w:rPr>
            <w:rStyle w:val="TekstpodstawowyZnak"/>
            <w:rFonts w:ascii="Arial" w:hAnsi="Arial" w:cs="Arial"/>
            <w:color w:val="000000"/>
          </w:rPr>
          <w:t xml:space="preserve"> </w:t>
        </w:r>
      </w:hyperlink>
      <w:r w:rsidRPr="00506C28">
        <w:rPr>
          <w:rStyle w:val="TekstpodstawowyZnak"/>
          <w:rFonts w:ascii="Arial" w:hAnsi="Arial" w:cs="Arial"/>
          <w:color w:val="000000"/>
        </w:rPr>
        <w:t xml:space="preserve">powiadomiły Sekretarza Generalnego Rady Europy o swojej decyzji o skorzystaniu z art. 15 </w:t>
      </w:r>
      <w:r w:rsidR="00244D56" w:rsidRPr="00506C28">
        <w:rPr>
          <w:rStyle w:val="TekstpodstawowyZnak"/>
          <w:rFonts w:ascii="Arial" w:hAnsi="Arial" w:cs="Arial"/>
          <w:color w:val="000000"/>
        </w:rPr>
        <w:t>K</w:t>
      </w:r>
      <w:r w:rsidRPr="00506C28">
        <w:rPr>
          <w:rStyle w:val="TekstpodstawowyZnak"/>
          <w:rFonts w:ascii="Arial" w:hAnsi="Arial" w:cs="Arial"/>
          <w:color w:val="000000"/>
        </w:rPr>
        <w:t>onwencji.</w:t>
      </w:r>
    </w:p>
    <w:p w14:paraId="43D553A5" w14:textId="6BDC2203" w:rsidR="0062187E" w:rsidRPr="00506C28" w:rsidRDefault="009130BA" w:rsidP="004E75AD">
      <w:pPr>
        <w:pStyle w:val="Tekstpodstawowy"/>
        <w:spacing w:before="30"/>
        <w:jc w:val="both"/>
        <w:rPr>
          <w:rFonts w:ascii="Arial" w:hAnsi="Arial" w:cs="Arial"/>
          <w:color w:val="000000"/>
        </w:rPr>
        <w:sectPr w:rsidR="0062187E" w:rsidRPr="00506C28" w:rsidSect="004E75AD">
          <w:headerReference w:type="even" r:id="rId15"/>
          <w:headerReference w:type="default" r:id="rId16"/>
          <w:footerReference w:type="even" r:id="rId17"/>
          <w:footerReference w:type="default" r:id="rId18"/>
          <w:footnotePr>
            <w:numStart w:val="3"/>
          </w:footnotePr>
          <w:pgSz w:w="11900" w:h="16840"/>
          <w:pgMar w:top="1417" w:right="1417" w:bottom="1417" w:left="1417" w:header="0" w:footer="3" w:gutter="0"/>
          <w:cols w:space="720"/>
          <w:noEndnote/>
          <w:docGrid w:linePitch="360"/>
          <w15:footnoteColumns w:val="1"/>
        </w:sectPr>
      </w:pPr>
      <w:r w:rsidRPr="00506C28">
        <w:rPr>
          <w:rStyle w:val="TekstpodstawowyZnak"/>
          <w:rFonts w:ascii="Arial" w:hAnsi="Arial" w:cs="Arial"/>
          <w:color w:val="000000"/>
        </w:rPr>
        <w:t xml:space="preserve">Do tej pory osiem innych państw-stron Europejskiej konwencji praw człowieka – Albania, Armenia, Francja, Gruzja, Grecja, Irlandia, Turcja i Wielka Brytania – skorzystało z prawa do </w:t>
      </w:r>
      <w:r w:rsidR="005C6EBB" w:rsidRPr="00506C28">
        <w:rPr>
          <w:rStyle w:val="TekstpodstawowyZnak"/>
          <w:rFonts w:ascii="Arial" w:hAnsi="Arial" w:cs="Arial"/>
          <w:color w:val="000000"/>
        </w:rPr>
        <w:t>uchylenia</w:t>
      </w:r>
      <w:hyperlink w:anchor="bookmark11" w:tooltip="Current Document">
        <w:r w:rsidR="00782109" w:rsidRPr="00506C28">
          <w:rPr>
            <w:rStyle w:val="TekstpodstawowyZnak"/>
            <w:rFonts w:ascii="Arial" w:hAnsi="Arial" w:cs="Arial"/>
            <w:color w:val="000000"/>
            <w:vertAlign w:val="superscript"/>
          </w:rPr>
          <w:footnoteReference w:id="12"/>
        </w:r>
      </w:hyperlink>
      <w:r w:rsidRPr="00506C28">
        <w:rPr>
          <w:rStyle w:val="TekstpodstawowyZnak"/>
          <w:rFonts w:ascii="Arial" w:hAnsi="Arial" w:cs="Arial"/>
          <w:color w:val="000000"/>
        </w:rPr>
        <w:t xml:space="preserve">. Cztery z tych państw musiały uzasadnić podjęte środki w świetle wymogów </w:t>
      </w:r>
      <w:r w:rsidR="0065342B" w:rsidRPr="00506C28">
        <w:rPr>
          <w:rStyle w:val="TekstpodstawowyZnak"/>
          <w:rFonts w:ascii="Arial" w:hAnsi="Arial" w:cs="Arial"/>
          <w:color w:val="000000"/>
        </w:rPr>
        <w:t>K</w:t>
      </w:r>
      <w:r w:rsidRPr="00506C28">
        <w:rPr>
          <w:rStyle w:val="TekstpodstawowyZnak"/>
          <w:rFonts w:ascii="Arial" w:hAnsi="Arial" w:cs="Arial"/>
          <w:color w:val="000000"/>
        </w:rPr>
        <w:t>onwencji, a mianowicie Grecja, Irlandia, Wielka Brytania i Turcja (zob. poniżej).</w:t>
      </w:r>
    </w:p>
    <w:p w14:paraId="69F6C604" w14:textId="71A0D11D" w:rsidR="00782109" w:rsidRPr="00506C28" w:rsidRDefault="00782109" w:rsidP="004E75AD">
      <w:pPr>
        <w:pStyle w:val="Tekstpodstawowy"/>
        <w:spacing w:before="30" w:after="80"/>
        <w:ind w:left="-720"/>
        <w:rPr>
          <w:rFonts w:ascii="Arial" w:hAnsi="Arial" w:cs="Arial"/>
        </w:rPr>
      </w:pPr>
    </w:p>
    <w:p w14:paraId="3B1788EE" w14:textId="77777777" w:rsidR="00782109" w:rsidRPr="00506C28" w:rsidRDefault="009130BA" w:rsidP="004E75AD">
      <w:pPr>
        <w:pStyle w:val="Heading20"/>
        <w:keepNext/>
        <w:keepLines/>
        <w:spacing w:before="30" w:after="400"/>
        <w:jc w:val="both"/>
        <w:rPr>
          <w:rFonts w:ascii="Arial" w:hAnsi="Arial" w:cs="Arial"/>
        </w:rPr>
      </w:pPr>
      <w:bookmarkStart w:id="27" w:name="bookmark28"/>
      <w:r w:rsidRPr="00506C28">
        <w:rPr>
          <w:rStyle w:val="Heading2"/>
          <w:rFonts w:ascii="Arial" w:hAnsi="Arial" w:cs="Arial"/>
          <w:color w:val="0071BB"/>
        </w:rPr>
        <w:t>Wymogi merytoryczne</w:t>
      </w:r>
      <w:bookmarkEnd w:id="27"/>
    </w:p>
    <w:p w14:paraId="10ECE782" w14:textId="003FD088" w:rsidR="00782109" w:rsidRPr="00506C28" w:rsidRDefault="009130BA" w:rsidP="004E75AD">
      <w:pPr>
        <w:pStyle w:val="Heading20"/>
        <w:keepNext/>
        <w:keepLines/>
        <w:numPr>
          <w:ilvl w:val="0"/>
          <w:numId w:val="2"/>
        </w:numPr>
        <w:tabs>
          <w:tab w:val="left" w:pos="528"/>
        </w:tabs>
        <w:spacing w:before="30"/>
        <w:jc w:val="both"/>
        <w:rPr>
          <w:rFonts w:ascii="Arial" w:hAnsi="Arial" w:cs="Arial"/>
        </w:rPr>
      </w:pPr>
      <w:bookmarkStart w:id="28" w:name="bookmark30"/>
      <w:r w:rsidRPr="00506C28">
        <w:rPr>
          <w:rStyle w:val="Heading2"/>
          <w:rFonts w:ascii="Arial" w:hAnsi="Arial" w:cs="Arial"/>
        </w:rPr>
        <w:t xml:space="preserve">Z prawa do </w:t>
      </w:r>
      <w:r w:rsidR="005C6EBB" w:rsidRPr="00506C28">
        <w:rPr>
          <w:rStyle w:val="Heading2"/>
          <w:rFonts w:ascii="Arial" w:hAnsi="Arial" w:cs="Arial"/>
        </w:rPr>
        <w:t>uchylenia</w:t>
      </w:r>
      <w:r w:rsidRPr="00506C28">
        <w:rPr>
          <w:rStyle w:val="Heading2"/>
          <w:rFonts w:ascii="Arial" w:hAnsi="Arial" w:cs="Arial"/>
        </w:rPr>
        <w:t xml:space="preserve"> można skorzystać wyłącznie w czasie wojny lub innego </w:t>
      </w:r>
      <w:r w:rsidR="00056CC3" w:rsidRPr="00506C28">
        <w:rPr>
          <w:rStyle w:val="Heading2"/>
          <w:rFonts w:ascii="Arial" w:hAnsi="Arial" w:cs="Arial"/>
        </w:rPr>
        <w:t>niebezpieczeństwa</w:t>
      </w:r>
      <w:r w:rsidRPr="00506C28">
        <w:rPr>
          <w:rStyle w:val="Heading2"/>
          <w:rFonts w:ascii="Arial" w:hAnsi="Arial" w:cs="Arial"/>
        </w:rPr>
        <w:t xml:space="preserve"> publicznego zagrażającego życiu narodu.</w:t>
      </w:r>
      <w:bookmarkEnd w:id="28"/>
    </w:p>
    <w:p w14:paraId="6B7A1FEB" w14:textId="2B2FAEED" w:rsidR="00782109" w:rsidRPr="00506C28" w:rsidRDefault="009130BA" w:rsidP="004E75AD">
      <w:pPr>
        <w:pStyle w:val="Bodytext40"/>
        <w:spacing w:before="30"/>
        <w:jc w:val="both"/>
      </w:pPr>
      <w:r w:rsidRPr="00506C28">
        <w:rPr>
          <w:rStyle w:val="Bodytext4"/>
          <w:b/>
          <w:bCs/>
          <w:i/>
          <w:iCs/>
        </w:rPr>
        <w:t xml:space="preserve">Środki </w:t>
      </w:r>
      <w:r w:rsidR="005C6EBB" w:rsidRPr="00506C28">
        <w:rPr>
          <w:rStyle w:val="Bodytext4"/>
          <w:b/>
          <w:bCs/>
          <w:i/>
          <w:iCs/>
        </w:rPr>
        <w:t>uchylenia</w:t>
      </w:r>
      <w:r w:rsidRPr="00506C28">
        <w:rPr>
          <w:rStyle w:val="Bodytext4"/>
          <w:b/>
          <w:bCs/>
          <w:i/>
          <w:iCs/>
        </w:rPr>
        <w:t xml:space="preserve"> przyjęte przez Irlandię w 1957 r. w celu przeciwdziałania działalności IRA (Irlandzkiej Armii Republikańskiej) i jej grup dysydenckich</w:t>
      </w:r>
    </w:p>
    <w:p w14:paraId="47277554" w14:textId="77777777" w:rsidR="00782109" w:rsidRPr="00506C28" w:rsidRDefault="00782109" w:rsidP="004E75AD">
      <w:pPr>
        <w:pStyle w:val="Bodytext20"/>
        <w:spacing w:before="30" w:after="80"/>
        <w:jc w:val="both"/>
        <w:rPr>
          <w:rFonts w:ascii="Arial" w:hAnsi="Arial" w:cs="Arial"/>
        </w:rPr>
      </w:pPr>
      <w:hyperlink r:id="rId19" w:history="1">
        <w:r w:rsidRPr="00506C28">
          <w:rPr>
            <w:rStyle w:val="Bodytext2"/>
            <w:rFonts w:ascii="Arial" w:hAnsi="Arial" w:cs="Arial"/>
            <w:b/>
            <w:bCs/>
            <w:color w:val="0071BB"/>
            <w:sz w:val="18"/>
            <w:szCs w:val="18"/>
            <w:u w:val="single"/>
          </w:rPr>
          <w:t>Lawless przeciwko Irlandii (nr 3)</w:t>
        </w:r>
        <w:r w:rsidRPr="00506C28">
          <w:rPr>
            <w:rStyle w:val="Bodytext2"/>
            <w:rFonts w:ascii="Arial" w:hAnsi="Arial" w:cs="Arial"/>
            <w:b/>
            <w:bCs/>
            <w:color w:val="0071BB"/>
            <w:sz w:val="18"/>
            <w:szCs w:val="18"/>
          </w:rPr>
          <w:t xml:space="preserve"> </w:t>
        </w:r>
      </w:hyperlink>
      <w:r w:rsidRPr="00506C28">
        <w:rPr>
          <w:rStyle w:val="Bodytext2"/>
          <w:rFonts w:ascii="Arial" w:hAnsi="Arial" w:cs="Arial"/>
          <w:color w:val="808080"/>
        </w:rPr>
        <w:t>(zob. również poniżej, s. 6 i 12)</w:t>
      </w:r>
    </w:p>
    <w:p w14:paraId="4FCCF434"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1 lipca 1961 r. (wyrok)</w:t>
      </w:r>
    </w:p>
    <w:p w14:paraId="04C13CD2" w14:textId="1271580F"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color w:val="000000"/>
        </w:rPr>
        <w:t>Podejrzany o członkostwo w IRA (Irlandzka Armia Republikańska), skarżący twierdził, że w okresie od lipca do grudnia 1957 r. był przetrzymywany w wojskowym obozie dla internowanych w Irlandii</w:t>
      </w:r>
      <w:r w:rsidR="00AF3648" w:rsidRPr="00506C28">
        <w:rPr>
          <w:rStyle w:val="TekstpodstawowyZnak"/>
          <w:rFonts w:ascii="Arial" w:hAnsi="Arial" w:cs="Arial"/>
          <w:color w:val="000000"/>
        </w:rPr>
        <w:t>, nie będąc w tym czasie postawionym przed sądem.</w:t>
      </w:r>
    </w:p>
    <w:p w14:paraId="1FA1C0E1" w14:textId="356594EB" w:rsidR="00F24FD2" w:rsidRDefault="009130BA" w:rsidP="004E75AD">
      <w:pPr>
        <w:pStyle w:val="Tekstpodstawowy"/>
        <w:spacing w:before="30" w:after="80"/>
        <w:jc w:val="both"/>
        <w:rPr>
          <w:rStyle w:val="Bodytext4"/>
        </w:rPr>
      </w:pPr>
      <w:r w:rsidRPr="00506C28">
        <w:rPr>
          <w:rStyle w:val="TekstpodstawowyZnak"/>
          <w:rFonts w:ascii="Arial" w:hAnsi="Arial" w:cs="Arial"/>
        </w:rPr>
        <w:t xml:space="preserve">Europejski Trybunał Praw Człowieka zauważył, że w ogólnym kontekście art. 15 Konwencji naturalne </w:t>
      </w:r>
      <w:r w:rsidR="00F24FD2">
        <w:rPr>
          <w:rStyle w:val="TekstpodstawowyZnak"/>
          <w:rFonts w:ascii="Arial" w:hAnsi="Arial" w:cs="Arial"/>
        </w:rPr>
        <w:br/>
      </w:r>
      <w:r w:rsidRPr="00506C28">
        <w:rPr>
          <w:rStyle w:val="TekstpodstawowyZnak"/>
          <w:rFonts w:ascii="Arial" w:hAnsi="Arial" w:cs="Arial"/>
        </w:rPr>
        <w:t>i zwyczajowe znaczenie słów „inn</w:t>
      </w:r>
      <w:r w:rsidR="00AF3648" w:rsidRPr="00506C28">
        <w:rPr>
          <w:rStyle w:val="TekstpodstawowyZnak"/>
          <w:rFonts w:ascii="Arial" w:hAnsi="Arial" w:cs="Arial"/>
        </w:rPr>
        <w:t>e niebezpieczeństwo</w:t>
      </w:r>
      <w:r w:rsidRPr="00506C28">
        <w:rPr>
          <w:rStyle w:val="TekstpodstawowyZnak"/>
          <w:rFonts w:ascii="Arial" w:hAnsi="Arial" w:cs="Arial"/>
        </w:rPr>
        <w:t xml:space="preserve"> publiczn</w:t>
      </w:r>
      <w:r w:rsidR="00AF3648" w:rsidRPr="00506C28">
        <w:rPr>
          <w:rStyle w:val="TekstpodstawowyZnak"/>
          <w:rFonts w:ascii="Arial" w:hAnsi="Arial" w:cs="Arial"/>
        </w:rPr>
        <w:t>e</w:t>
      </w:r>
      <w:r w:rsidRPr="00506C28">
        <w:rPr>
          <w:rStyle w:val="TekstpodstawowyZnak"/>
          <w:rFonts w:ascii="Arial" w:hAnsi="Arial" w:cs="Arial"/>
        </w:rPr>
        <w:t xml:space="preserve"> zagrażając</w:t>
      </w:r>
      <w:r w:rsidR="00790FB0" w:rsidRPr="00506C28">
        <w:rPr>
          <w:rStyle w:val="TekstpodstawowyZnak"/>
          <w:rFonts w:ascii="Arial" w:hAnsi="Arial" w:cs="Arial"/>
        </w:rPr>
        <w:t>e</w:t>
      </w:r>
      <w:r w:rsidRPr="00506C28">
        <w:rPr>
          <w:rStyle w:val="TekstpodstawowyZnak"/>
          <w:rFonts w:ascii="Arial" w:hAnsi="Arial" w:cs="Arial"/>
        </w:rPr>
        <w:t xml:space="preserve"> życiu narodu” jest wystarczająco jasne: </w:t>
      </w:r>
      <w:r w:rsidRPr="00506C28">
        <w:rPr>
          <w:rStyle w:val="TekstpodstawowyZnak"/>
          <w:rFonts w:ascii="Arial" w:hAnsi="Arial" w:cs="Arial"/>
          <w:b/>
          <w:bCs/>
        </w:rPr>
        <w:t xml:space="preserve">„wyjątkowa sytuacja kryzysowa lub nadzwyczajna, która dotyka całą ludność </w:t>
      </w:r>
      <w:r w:rsidR="00F24FD2">
        <w:rPr>
          <w:rStyle w:val="TekstpodstawowyZnak"/>
          <w:rFonts w:ascii="Arial" w:hAnsi="Arial" w:cs="Arial"/>
          <w:b/>
          <w:bCs/>
        </w:rPr>
        <w:br/>
      </w:r>
      <w:r w:rsidRPr="00506C28">
        <w:rPr>
          <w:rStyle w:val="TekstpodstawowyZnak"/>
          <w:rFonts w:ascii="Arial" w:hAnsi="Arial" w:cs="Arial"/>
          <w:b/>
          <w:bCs/>
        </w:rPr>
        <w:t xml:space="preserve">i stanowi zagrożenie dla zorganizowanego życia społeczności, której państwo jest </w:t>
      </w:r>
      <w:r w:rsidRPr="00506C28">
        <w:rPr>
          <w:rStyle w:val="TekstpodstawowyZnak"/>
          <w:rFonts w:ascii="Arial" w:hAnsi="Arial" w:cs="Arial"/>
        </w:rPr>
        <w:t>częścią” pkt 28</w:t>
      </w:r>
      <w:r w:rsidR="00301497" w:rsidRPr="00506C28">
        <w:rPr>
          <w:rStyle w:val="TekstpodstawowyZnak"/>
          <w:rFonts w:ascii="Arial" w:hAnsi="Arial" w:cs="Arial"/>
        </w:rPr>
        <w:t xml:space="preserve">, </w:t>
      </w:r>
      <w:r w:rsidRPr="00506C28">
        <w:rPr>
          <w:rStyle w:val="TekstpodstawowyZnak"/>
          <w:rFonts w:ascii="Arial" w:hAnsi="Arial" w:cs="Arial"/>
        </w:rPr>
        <w:t xml:space="preserve">część prawna wyroku). Przechodząc do </w:t>
      </w:r>
      <w:r w:rsidR="0062187E" w:rsidRPr="00506C28">
        <w:rPr>
          <w:rStyle w:val="TekstpodstawowyZnak"/>
          <w:rFonts w:ascii="Arial" w:hAnsi="Arial" w:cs="Arial"/>
        </w:rPr>
        <w:t>zbadania</w:t>
      </w:r>
      <w:r w:rsidRPr="00506C28">
        <w:rPr>
          <w:rStyle w:val="TekstpodstawowyZnak"/>
          <w:rFonts w:ascii="Arial" w:hAnsi="Arial" w:cs="Arial"/>
        </w:rPr>
        <w:t xml:space="preserve"> czy fakty i okoliczności, które skłoniły rząd irlandzki do wydania w dniu 5 lipca 1957 r. proklamacji wprowadzającej specjalne uprawnienia w zakresie zatrzymań, mieszczą się w tej koncepcji, Trybunał uznał, że tak. Istnienie w tamtym czasie „stanu </w:t>
      </w:r>
      <w:r w:rsidR="00E031B4" w:rsidRPr="00506C28">
        <w:rPr>
          <w:rStyle w:val="TekstpodstawowyZnak"/>
          <w:rFonts w:ascii="Arial" w:hAnsi="Arial" w:cs="Arial"/>
        </w:rPr>
        <w:t xml:space="preserve">niebezpieczeństwa </w:t>
      </w:r>
      <w:r w:rsidRPr="00506C28">
        <w:rPr>
          <w:rStyle w:val="TekstpodstawowyZnak"/>
          <w:rFonts w:ascii="Arial" w:hAnsi="Arial" w:cs="Arial"/>
        </w:rPr>
        <w:t xml:space="preserve">publicznego zagrażającego życiu narodu” zostało w sposób uzasadniony wywnioskowane przez rząd irlandzki na podstawie szeregu czynników, a mianowicie: istnienia na terytorium Republiki Irlandii tajnej armii prowadzącej działalność niezgodną z </w:t>
      </w:r>
      <w:r w:rsidR="00E67B2E" w:rsidRPr="00506C28">
        <w:rPr>
          <w:rStyle w:val="TekstpodstawowyZnak"/>
          <w:rFonts w:ascii="Arial" w:hAnsi="Arial" w:cs="Arial"/>
        </w:rPr>
        <w:t>k</w:t>
      </w:r>
      <w:r w:rsidRPr="00506C28">
        <w:rPr>
          <w:rStyle w:val="TekstpodstawowyZnak"/>
          <w:rFonts w:ascii="Arial" w:hAnsi="Arial" w:cs="Arial"/>
        </w:rPr>
        <w:t xml:space="preserve">onstytucją i stosującej przemoc w celu osiągnięcia swoich celów; faktu, że armia ta działała również poza terytorium państwa, poważnie zagrażając stosunkom Republiki Irlandii z jej sąsiadami; stały i niepokojący wzrost działalności terrorystycznej od jesieni 1956 r. i przez pierwszą połowę 1957 r. W okolicznościach sprawy Trybunał uznał, że </w:t>
      </w:r>
      <w:r w:rsidRPr="00506C28">
        <w:rPr>
          <w:rStyle w:val="TekstpodstawowyZnak"/>
          <w:rFonts w:ascii="Arial" w:hAnsi="Arial" w:cs="Arial"/>
          <w:b/>
          <w:bCs/>
        </w:rPr>
        <w:t>rząd irlandzki miał podstawy, aby ogłosić</w:t>
      </w:r>
      <w:r w:rsidR="00C36C85" w:rsidRPr="00506C28">
        <w:rPr>
          <w:rStyle w:val="TekstpodstawowyZnak"/>
          <w:rFonts w:ascii="Arial" w:hAnsi="Arial" w:cs="Arial"/>
          <w:b/>
          <w:bCs/>
        </w:rPr>
        <w:t>, że istniała sytuacja nadzwyczajna</w:t>
      </w:r>
      <w:r w:rsidRPr="00506C28">
        <w:rPr>
          <w:rStyle w:val="TekstpodstawowyZnak"/>
          <w:rFonts w:ascii="Arial" w:hAnsi="Arial" w:cs="Arial"/>
          <w:b/>
          <w:bCs/>
        </w:rPr>
        <w:t xml:space="preserve"> zagrażając</w:t>
      </w:r>
      <w:r w:rsidR="00C36C85" w:rsidRPr="00506C28">
        <w:rPr>
          <w:rStyle w:val="TekstpodstawowyZnak"/>
          <w:rFonts w:ascii="Arial" w:hAnsi="Arial" w:cs="Arial"/>
          <w:b/>
          <w:bCs/>
        </w:rPr>
        <w:t>a</w:t>
      </w:r>
      <w:r w:rsidRPr="00506C28">
        <w:rPr>
          <w:rStyle w:val="TekstpodstawowyZnak"/>
          <w:rFonts w:ascii="Arial" w:hAnsi="Arial" w:cs="Arial"/>
          <w:b/>
          <w:bCs/>
        </w:rPr>
        <w:t xml:space="preserve"> życiu narodu </w:t>
      </w:r>
      <w:r w:rsidRPr="00506C28">
        <w:rPr>
          <w:rStyle w:val="TekstpodstawowyZnak"/>
          <w:rFonts w:ascii="Arial" w:hAnsi="Arial" w:cs="Arial"/>
        </w:rPr>
        <w:t>irlandzkiego, a zatem był uprawniony</w:t>
      </w:r>
      <w:r w:rsidR="00301497" w:rsidRPr="00506C28">
        <w:rPr>
          <w:rStyle w:val="TekstpodstawowyZnak"/>
          <w:rFonts w:ascii="Arial" w:hAnsi="Arial" w:cs="Arial"/>
        </w:rPr>
        <w:t xml:space="preserve"> (</w:t>
      </w:r>
      <w:r w:rsidRPr="00506C28">
        <w:rPr>
          <w:rStyle w:val="TekstpodstawowyZnak"/>
          <w:rFonts w:ascii="Arial" w:hAnsi="Arial" w:cs="Arial"/>
        </w:rPr>
        <w:t>stosując postanowienia art. 15 § 1 Konwencji do celów, dla których zostały one wprowadzone</w:t>
      </w:r>
      <w:r w:rsidR="00301497" w:rsidRPr="00506C28">
        <w:rPr>
          <w:rStyle w:val="TekstpodstawowyZnak"/>
          <w:rFonts w:ascii="Arial" w:hAnsi="Arial" w:cs="Arial"/>
        </w:rPr>
        <w:t>)</w:t>
      </w:r>
      <w:r w:rsidRPr="00506C28">
        <w:rPr>
          <w:rStyle w:val="TekstpodstawowyZnak"/>
          <w:rFonts w:ascii="Arial" w:hAnsi="Arial" w:cs="Arial"/>
        </w:rPr>
        <w:t xml:space="preserve"> do podjęcia środków stanowiących </w:t>
      </w:r>
      <w:r w:rsidR="005C6EBB" w:rsidRPr="00506C28">
        <w:rPr>
          <w:rStyle w:val="TekstpodstawowyZnak"/>
          <w:rFonts w:ascii="Arial" w:hAnsi="Arial" w:cs="Arial"/>
        </w:rPr>
        <w:t>uchylenie</w:t>
      </w:r>
      <w:r w:rsidRPr="00506C28">
        <w:rPr>
          <w:rStyle w:val="TekstpodstawowyZnak"/>
          <w:rFonts w:ascii="Arial" w:hAnsi="Arial" w:cs="Arial"/>
        </w:rPr>
        <w:t xml:space="preserve"> od zobowiązań wynikających z Konwencji.</w:t>
      </w:r>
    </w:p>
    <w:p w14:paraId="3111F215" w14:textId="150ED892" w:rsidR="00782109" w:rsidRPr="00506C28" w:rsidRDefault="005C6EBB" w:rsidP="004E75AD">
      <w:pPr>
        <w:pStyle w:val="Bodytext40"/>
        <w:spacing w:before="30" w:line="254" w:lineRule="auto"/>
        <w:jc w:val="both"/>
      </w:pPr>
      <w:r w:rsidRPr="00506C28">
        <w:rPr>
          <w:rStyle w:val="Bodytext4"/>
          <w:b/>
          <w:bCs/>
          <w:i/>
          <w:iCs/>
        </w:rPr>
        <w:t>Uchylenie</w:t>
      </w:r>
      <w:r w:rsidR="009130BA" w:rsidRPr="00506C28">
        <w:rPr>
          <w:rStyle w:val="Bodytext4"/>
          <w:b/>
          <w:bCs/>
          <w:i/>
          <w:iCs/>
        </w:rPr>
        <w:t xml:space="preserve"> rządu greckiego w okresie „dyktatury pułkowników” w 1967 r.</w:t>
      </w:r>
    </w:p>
    <w:p w14:paraId="1880EF04" w14:textId="77777777" w:rsidR="00782109" w:rsidRPr="00506C28" w:rsidRDefault="00782109" w:rsidP="004E75AD">
      <w:pPr>
        <w:pStyle w:val="Heading30"/>
        <w:keepNext/>
        <w:keepLines/>
        <w:spacing w:before="30" w:after="80"/>
        <w:jc w:val="both"/>
        <w:rPr>
          <w:rFonts w:ascii="Arial" w:hAnsi="Arial" w:cs="Arial"/>
        </w:rPr>
      </w:pPr>
      <w:hyperlink r:id="rId20" w:history="1">
        <w:bookmarkStart w:id="29" w:name="bookmark32"/>
        <w:r w:rsidRPr="00506C28">
          <w:rPr>
            <w:rStyle w:val="Heading3"/>
            <w:rFonts w:ascii="Arial" w:hAnsi="Arial" w:cs="Arial"/>
            <w:b/>
            <w:bCs/>
          </w:rPr>
          <w:t>Dania, Norwegia, Szwecja i Niderlandy przeciwko Grecji („sprawa grecka”)</w:t>
        </w:r>
        <w:bookmarkEnd w:id="29"/>
      </w:hyperlink>
    </w:p>
    <w:p w14:paraId="255E28B3"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5 listopada 1969 r. (sprawozdanie Europejskiej Komisji Praw Człowieka</w:t>
      </w:r>
      <w:hyperlink w:anchor="bookmark12" w:tooltip="Current Document">
        <w:r w:rsidR="00782109" w:rsidRPr="00506C28">
          <w:rPr>
            <w:rStyle w:val="Bodytext3"/>
            <w:rFonts w:ascii="Arial" w:hAnsi="Arial" w:cs="Arial"/>
            <w:vertAlign w:val="superscript"/>
          </w:rPr>
          <w:footnoteReference w:id="13"/>
        </w:r>
      </w:hyperlink>
      <w:r w:rsidRPr="00506C28">
        <w:rPr>
          <w:rStyle w:val="Bodytext3"/>
          <w:rFonts w:ascii="Arial" w:hAnsi="Arial" w:cs="Arial"/>
        </w:rPr>
        <w:t xml:space="preserve"> )</w:t>
      </w:r>
    </w:p>
    <w:p w14:paraId="284C1001" w14:textId="43597FB4" w:rsidR="00782109" w:rsidRPr="00506C28" w:rsidRDefault="009130BA" w:rsidP="004E75AD">
      <w:pPr>
        <w:pStyle w:val="Tekstpodstawowy"/>
        <w:spacing w:before="30" w:after="80"/>
        <w:jc w:val="both"/>
        <w:rPr>
          <w:rFonts w:ascii="Arial" w:hAnsi="Arial" w:cs="Arial"/>
        </w:rPr>
      </w:pPr>
      <w:r w:rsidRPr="00506C28">
        <w:rPr>
          <w:rStyle w:val="TekstpodstawowyZnak"/>
          <w:rFonts w:ascii="Arial" w:hAnsi="Arial" w:cs="Arial"/>
          <w:color w:val="000000"/>
        </w:rPr>
        <w:t xml:space="preserve">W dniu 21 kwietnia 1967 r. rewolucyjny rząd wojskowy obalił reżim w Grecji. </w:t>
      </w:r>
      <w:r w:rsidR="00301497" w:rsidRPr="00506C28">
        <w:rPr>
          <w:rStyle w:val="TekstpodstawowyZnak"/>
          <w:rFonts w:ascii="Arial" w:hAnsi="Arial" w:cs="Arial"/>
          <w:color w:val="000000"/>
        </w:rPr>
        <w:t>Miesiąc później</w:t>
      </w:r>
      <w:r w:rsidRPr="00506C28">
        <w:rPr>
          <w:rStyle w:val="TekstpodstawowyZnak"/>
          <w:rFonts w:ascii="Arial" w:hAnsi="Arial" w:cs="Arial"/>
          <w:color w:val="000000"/>
        </w:rPr>
        <w:t xml:space="preserve"> nowy rząd poinformował Sekretarza Generalnego Rady Europy, na podstawie art. 15 </w:t>
      </w:r>
      <w:r w:rsidR="0007015A" w:rsidRPr="00506C28">
        <w:rPr>
          <w:rStyle w:val="TekstpodstawowyZnak"/>
          <w:rFonts w:ascii="Arial" w:hAnsi="Arial" w:cs="Arial"/>
          <w:color w:val="000000"/>
        </w:rPr>
        <w:t>E</w:t>
      </w:r>
      <w:r w:rsidRPr="00506C28">
        <w:rPr>
          <w:rStyle w:val="TekstpodstawowyZnak"/>
          <w:rFonts w:ascii="Arial" w:hAnsi="Arial" w:cs="Arial"/>
          <w:color w:val="000000"/>
        </w:rPr>
        <w:t xml:space="preserve">uropejskiej </w:t>
      </w:r>
      <w:r w:rsidR="00202DF8" w:rsidRPr="00506C28">
        <w:rPr>
          <w:rStyle w:val="TekstpodstawowyZnak"/>
          <w:rFonts w:ascii="Arial" w:hAnsi="Arial" w:cs="Arial"/>
          <w:color w:val="000000"/>
        </w:rPr>
        <w:t>k</w:t>
      </w:r>
      <w:r w:rsidRPr="00506C28">
        <w:rPr>
          <w:rStyle w:val="TekstpodstawowyZnak"/>
          <w:rFonts w:ascii="Arial" w:hAnsi="Arial" w:cs="Arial"/>
          <w:color w:val="000000"/>
        </w:rPr>
        <w:t xml:space="preserve">onwencji </w:t>
      </w:r>
      <w:r w:rsidR="00202DF8" w:rsidRPr="00506C28">
        <w:rPr>
          <w:rStyle w:val="TekstpodstawowyZnak"/>
          <w:rFonts w:ascii="Arial" w:hAnsi="Arial" w:cs="Arial"/>
          <w:color w:val="000000"/>
        </w:rPr>
        <w:t>p</w:t>
      </w:r>
      <w:r w:rsidRPr="00506C28">
        <w:rPr>
          <w:rStyle w:val="TekstpodstawowyZnak"/>
          <w:rFonts w:ascii="Arial" w:hAnsi="Arial" w:cs="Arial"/>
          <w:color w:val="000000"/>
        </w:rPr>
        <w:t xml:space="preserve">raw </w:t>
      </w:r>
      <w:r w:rsidR="00202DF8" w:rsidRPr="00506C28">
        <w:rPr>
          <w:rStyle w:val="TekstpodstawowyZnak"/>
          <w:rFonts w:ascii="Arial" w:hAnsi="Arial" w:cs="Arial"/>
          <w:color w:val="000000"/>
        </w:rPr>
        <w:t>c</w:t>
      </w:r>
      <w:r w:rsidRPr="00506C28">
        <w:rPr>
          <w:rStyle w:val="TekstpodstawowyZnak"/>
          <w:rFonts w:ascii="Arial" w:hAnsi="Arial" w:cs="Arial"/>
          <w:color w:val="000000"/>
        </w:rPr>
        <w:t xml:space="preserve">złowieka, że zawiesił niektóre prawa wynikające z greckiej </w:t>
      </w:r>
      <w:r w:rsidR="00FD2DBE" w:rsidRPr="00506C28">
        <w:rPr>
          <w:rStyle w:val="TekstpodstawowyZnak"/>
          <w:rFonts w:ascii="Arial" w:hAnsi="Arial" w:cs="Arial"/>
          <w:color w:val="000000"/>
        </w:rPr>
        <w:t>konstytucji</w:t>
      </w:r>
      <w:r w:rsidRPr="00506C28">
        <w:rPr>
          <w:rStyle w:val="TekstpodstawowyZnak"/>
          <w:rFonts w:ascii="Arial" w:hAnsi="Arial" w:cs="Arial"/>
          <w:color w:val="000000"/>
        </w:rPr>
        <w:t xml:space="preserve">. W swoim wniosku rządy Danii, Norwegii, Szwecji i Holandii twierdziły, że rząd grecki naruszył szereg postanowień </w:t>
      </w:r>
      <w:r w:rsidR="004A01E7" w:rsidRPr="00506C28">
        <w:rPr>
          <w:rStyle w:val="TekstpodstawowyZnak"/>
          <w:rFonts w:ascii="Arial" w:hAnsi="Arial" w:cs="Arial"/>
          <w:color w:val="000000"/>
        </w:rPr>
        <w:t>K</w:t>
      </w:r>
      <w:r w:rsidRPr="00506C28">
        <w:rPr>
          <w:rStyle w:val="TekstpodstawowyZnak"/>
          <w:rFonts w:ascii="Arial" w:hAnsi="Arial" w:cs="Arial"/>
          <w:color w:val="000000"/>
        </w:rPr>
        <w:t xml:space="preserve">onwencji i nie wykazano, że warunki określone w art. 15 dotyczące środków </w:t>
      </w:r>
      <w:r w:rsidR="005C6EBB" w:rsidRPr="00506C28">
        <w:rPr>
          <w:rStyle w:val="TekstpodstawowyZnak"/>
          <w:rFonts w:ascii="Arial" w:hAnsi="Arial" w:cs="Arial"/>
          <w:color w:val="000000"/>
        </w:rPr>
        <w:t>uchylenia</w:t>
      </w:r>
      <w:r w:rsidRPr="00506C28">
        <w:rPr>
          <w:rStyle w:val="TekstpodstawowyZnak"/>
          <w:rFonts w:ascii="Arial" w:hAnsi="Arial" w:cs="Arial"/>
          <w:color w:val="000000"/>
        </w:rPr>
        <w:t xml:space="preserve"> zostały spełnione. Grecja argumentowała, </w:t>
      </w:r>
      <w:r w:rsidR="00F24FD2">
        <w:rPr>
          <w:rStyle w:val="TekstpodstawowyZnak"/>
          <w:rFonts w:ascii="Arial" w:hAnsi="Arial" w:cs="Arial"/>
          <w:color w:val="000000"/>
        </w:rPr>
        <w:br/>
      </w:r>
      <w:r w:rsidRPr="00506C28">
        <w:rPr>
          <w:rStyle w:val="TekstpodstawowyZnak"/>
          <w:rFonts w:ascii="Arial" w:hAnsi="Arial" w:cs="Arial"/>
          <w:color w:val="000000"/>
        </w:rPr>
        <w:t>że Europejska Komisja Praw Człowieka nie jest właściwa do zbadania sytuacji na podstawie art. 15, ponieważ nie może kontrolować działań, dzięki którym rząd rewolucyjny utrzymał się przy władzy.</w:t>
      </w:r>
    </w:p>
    <w:p w14:paraId="150072FA" w14:textId="7C07B702" w:rsidR="00782109" w:rsidRPr="00506C28" w:rsidRDefault="009130BA" w:rsidP="004E75AD">
      <w:pPr>
        <w:pStyle w:val="Tekstpodstawowy"/>
        <w:spacing w:before="30" w:after="80"/>
        <w:jc w:val="both"/>
        <w:rPr>
          <w:rFonts w:ascii="Arial" w:hAnsi="Arial" w:cs="Arial"/>
        </w:rPr>
      </w:pPr>
      <w:r w:rsidRPr="00506C28">
        <w:rPr>
          <w:rStyle w:val="TekstpodstawowyZnak"/>
          <w:rFonts w:ascii="Arial" w:hAnsi="Arial" w:cs="Arial"/>
        </w:rPr>
        <w:t xml:space="preserve">Europejska Komisja Praw Człowieka stwierdziła, że </w:t>
      </w:r>
      <w:r w:rsidR="00257BFB" w:rsidRPr="00506C28">
        <w:rPr>
          <w:rStyle w:val="TekstpodstawowyZnak"/>
          <w:rFonts w:ascii="Arial" w:hAnsi="Arial" w:cs="Arial"/>
        </w:rPr>
        <w:t xml:space="preserve">posiada </w:t>
      </w:r>
      <w:r w:rsidR="00EE3539" w:rsidRPr="00506C28">
        <w:rPr>
          <w:rStyle w:val="TekstpodstawowyZnak"/>
          <w:rFonts w:ascii="Arial" w:hAnsi="Arial" w:cs="Arial"/>
        </w:rPr>
        <w:t>jurysdykcję</w:t>
      </w:r>
      <w:r w:rsidRPr="00506C28">
        <w:rPr>
          <w:rStyle w:val="TekstpodstawowyZnak"/>
          <w:rFonts w:ascii="Arial" w:hAnsi="Arial" w:cs="Arial"/>
        </w:rPr>
        <w:t xml:space="preserve"> i że w danych okolicznościach </w:t>
      </w:r>
      <w:r w:rsidRPr="00506C28">
        <w:rPr>
          <w:rStyle w:val="TekstpodstawowyZnak"/>
          <w:rFonts w:ascii="Arial" w:hAnsi="Arial" w:cs="Arial"/>
          <w:b/>
          <w:bCs/>
        </w:rPr>
        <w:t xml:space="preserve">warunki zastosowania art. 15 </w:t>
      </w:r>
      <w:r w:rsidRPr="00506C28">
        <w:rPr>
          <w:rStyle w:val="TekstpodstawowyZnak"/>
          <w:rFonts w:ascii="Arial" w:hAnsi="Arial" w:cs="Arial"/>
        </w:rPr>
        <w:t xml:space="preserve">Konwencji </w:t>
      </w:r>
      <w:r w:rsidRPr="00506C28">
        <w:rPr>
          <w:rStyle w:val="TekstpodstawowyZnak"/>
          <w:rFonts w:ascii="Arial" w:hAnsi="Arial" w:cs="Arial"/>
          <w:b/>
          <w:bCs/>
        </w:rPr>
        <w:t>nie zostały spełnione</w:t>
      </w:r>
      <w:r w:rsidRPr="00506C28">
        <w:rPr>
          <w:rStyle w:val="TekstpodstawowyZnak"/>
          <w:rFonts w:ascii="Arial" w:hAnsi="Arial" w:cs="Arial"/>
        </w:rPr>
        <w:t xml:space="preserve">. W szczególności zauważyła, </w:t>
      </w:r>
      <w:r w:rsidR="00F24FD2">
        <w:rPr>
          <w:rStyle w:val="TekstpodstawowyZnak"/>
          <w:rFonts w:ascii="Arial" w:hAnsi="Arial" w:cs="Arial"/>
        </w:rPr>
        <w:br/>
      </w:r>
      <w:r w:rsidRPr="00506C28">
        <w:rPr>
          <w:rStyle w:val="TekstpodstawowyZnak"/>
          <w:rFonts w:ascii="Arial" w:hAnsi="Arial" w:cs="Arial"/>
        </w:rPr>
        <w:t xml:space="preserve">że </w:t>
      </w:r>
      <w:r w:rsidR="006626F8" w:rsidRPr="00506C28">
        <w:rPr>
          <w:rStyle w:val="TekstpodstawowyZnak"/>
          <w:rFonts w:ascii="Arial" w:hAnsi="Arial" w:cs="Arial"/>
        </w:rPr>
        <w:t>niebezpieczeństwo publiczne</w:t>
      </w:r>
      <w:r w:rsidRPr="00506C28">
        <w:rPr>
          <w:rStyle w:val="TekstpodstawowyZnak"/>
          <w:rFonts w:ascii="Arial" w:hAnsi="Arial" w:cs="Arial"/>
        </w:rPr>
        <w:t xml:space="preserve"> zagrażając</w:t>
      </w:r>
      <w:r w:rsidR="006626F8" w:rsidRPr="00506C28">
        <w:rPr>
          <w:rStyle w:val="TekstpodstawowyZnak"/>
          <w:rFonts w:ascii="Arial" w:hAnsi="Arial" w:cs="Arial"/>
        </w:rPr>
        <w:t>e</w:t>
      </w:r>
      <w:r w:rsidRPr="00506C28">
        <w:rPr>
          <w:rStyle w:val="TekstpodstawowyZnak"/>
          <w:rFonts w:ascii="Arial" w:hAnsi="Arial" w:cs="Arial"/>
        </w:rPr>
        <w:t xml:space="preserve"> życiu narodu, na któr</w:t>
      </w:r>
      <w:r w:rsidR="006626F8" w:rsidRPr="00506C28">
        <w:rPr>
          <w:rStyle w:val="TekstpodstawowyZnak"/>
          <w:rFonts w:ascii="Arial" w:hAnsi="Arial" w:cs="Arial"/>
        </w:rPr>
        <w:t>e</w:t>
      </w:r>
      <w:r w:rsidRPr="00506C28">
        <w:rPr>
          <w:rStyle w:val="TekstpodstawowyZnak"/>
          <w:rFonts w:ascii="Arial" w:hAnsi="Arial" w:cs="Arial"/>
        </w:rPr>
        <w:t xml:space="preserve"> powołała się Grecja (przejęcie władzy przez juntę wojskową), nie istniał</w:t>
      </w:r>
      <w:r w:rsidR="006626F8" w:rsidRPr="00506C28">
        <w:rPr>
          <w:rStyle w:val="TekstpodstawowyZnak"/>
          <w:rFonts w:ascii="Arial" w:hAnsi="Arial" w:cs="Arial"/>
        </w:rPr>
        <w:t>o</w:t>
      </w:r>
      <w:r w:rsidRPr="00506C28">
        <w:rPr>
          <w:rStyle w:val="TekstpodstawowyZnak"/>
          <w:rFonts w:ascii="Arial" w:hAnsi="Arial" w:cs="Arial"/>
        </w:rPr>
        <w:t xml:space="preserve"> w rzeczywistości. Stwierdziła, że środki ustawodawcze i praktyki administracyjne rządu greckiego naruszyły szereg postanowień Konwencji i że środki te nie były uzasadnione na podstawie art. 15 Konwencji.</w:t>
      </w:r>
    </w:p>
    <w:p w14:paraId="563CA3D3" w14:textId="77777777" w:rsidR="00AE7EC5" w:rsidRPr="00506C28" w:rsidRDefault="006626F8" w:rsidP="004E75AD">
      <w:pPr>
        <w:pStyle w:val="Bodytext40"/>
        <w:spacing w:before="30"/>
        <w:jc w:val="both"/>
        <w:rPr>
          <w:rStyle w:val="Bodytext4"/>
          <w:b/>
          <w:bCs/>
          <w:i/>
          <w:iCs/>
        </w:rPr>
      </w:pPr>
      <w:r w:rsidRPr="00506C28">
        <w:rPr>
          <w:rStyle w:val="Bodytext4"/>
          <w:b/>
          <w:bCs/>
          <w:i/>
          <w:iCs/>
        </w:rPr>
        <w:br/>
      </w:r>
    </w:p>
    <w:p w14:paraId="4D47902D" w14:textId="4F04BC9D" w:rsidR="00782109" w:rsidRPr="00506C28" w:rsidRDefault="00AE7EC5" w:rsidP="004E75AD">
      <w:pPr>
        <w:pStyle w:val="Bodytext40"/>
        <w:spacing w:before="30"/>
        <w:jc w:val="both"/>
      </w:pPr>
      <w:r w:rsidRPr="00506C28">
        <w:rPr>
          <w:rStyle w:val="Bodytext4"/>
          <w:b/>
          <w:bCs/>
          <w:i/>
          <w:iCs/>
        </w:rPr>
        <w:br w:type="column"/>
      </w:r>
      <w:r w:rsidR="005C6EBB" w:rsidRPr="00506C28">
        <w:rPr>
          <w:rStyle w:val="Bodytext4"/>
          <w:b/>
          <w:bCs/>
          <w:i/>
          <w:iCs/>
        </w:rPr>
        <w:lastRenderedPageBreak/>
        <w:t>Uchylenia</w:t>
      </w:r>
      <w:r w:rsidR="009130BA" w:rsidRPr="00506C28">
        <w:rPr>
          <w:rStyle w:val="Bodytext4"/>
          <w:b/>
          <w:bCs/>
          <w:i/>
          <w:iCs/>
        </w:rPr>
        <w:t xml:space="preserve"> Wielkiej Brytanii na początku lat 70. w następstwie aktów terrorystycznych związanych </w:t>
      </w:r>
      <w:r w:rsidR="00F24FD2">
        <w:rPr>
          <w:rStyle w:val="Bodytext4"/>
          <w:b/>
          <w:bCs/>
          <w:i/>
          <w:iCs/>
        </w:rPr>
        <w:br/>
      </w:r>
      <w:r w:rsidR="009130BA" w:rsidRPr="00506C28">
        <w:rPr>
          <w:rStyle w:val="Bodytext4"/>
          <w:b/>
          <w:bCs/>
          <w:i/>
          <w:iCs/>
        </w:rPr>
        <w:t>z sytuacją w Irlandii Północnej</w:t>
      </w:r>
    </w:p>
    <w:p w14:paraId="4D72E065" w14:textId="77777777" w:rsidR="00782109" w:rsidRPr="00506C28" w:rsidRDefault="00782109" w:rsidP="004E75AD">
      <w:pPr>
        <w:pStyle w:val="Tekstpodstawowy"/>
        <w:spacing w:before="30" w:after="40"/>
        <w:jc w:val="both"/>
        <w:rPr>
          <w:rFonts w:ascii="Arial" w:hAnsi="Arial" w:cs="Arial"/>
          <w:sz w:val="15"/>
          <w:szCs w:val="15"/>
        </w:rPr>
      </w:pPr>
      <w:hyperlink r:id="rId21" w:history="1">
        <w:r w:rsidRPr="00506C28">
          <w:rPr>
            <w:rStyle w:val="TekstpodstawowyZnak"/>
            <w:rFonts w:ascii="Arial" w:hAnsi="Arial" w:cs="Arial"/>
            <w:b/>
            <w:bCs/>
            <w:sz w:val="18"/>
            <w:szCs w:val="18"/>
            <w:u w:val="single"/>
          </w:rPr>
          <w:t>Irlandia przeciwko Zjednoczonemu Królestwu</w:t>
        </w:r>
        <w:r w:rsidRPr="00506C28">
          <w:rPr>
            <w:rStyle w:val="TekstpodstawowyZnak"/>
            <w:rFonts w:ascii="Arial" w:hAnsi="Arial" w:cs="Arial"/>
            <w:b/>
            <w:bCs/>
            <w:sz w:val="18"/>
            <w:szCs w:val="18"/>
          </w:rPr>
          <w:t xml:space="preserve"> </w:t>
        </w:r>
      </w:hyperlink>
      <w:r w:rsidRPr="00506C28">
        <w:rPr>
          <w:rStyle w:val="TekstpodstawowyZnak"/>
          <w:rFonts w:ascii="Arial" w:hAnsi="Arial" w:cs="Arial"/>
          <w:color w:val="808080"/>
          <w:sz w:val="15"/>
          <w:szCs w:val="15"/>
        </w:rPr>
        <w:t>(zob. również poniżej, s. 7)</w:t>
      </w:r>
    </w:p>
    <w:p w14:paraId="4B17588F"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18 stycznia 1978 r. (wyrok)</w:t>
      </w:r>
    </w:p>
    <w:p w14:paraId="59AD45EE" w14:textId="250E5D78" w:rsidR="00782109" w:rsidRPr="00506C28" w:rsidRDefault="009130BA" w:rsidP="004E75AD">
      <w:pPr>
        <w:pStyle w:val="Tekstpodstawowy"/>
        <w:spacing w:before="30" w:after="0"/>
        <w:jc w:val="both"/>
        <w:rPr>
          <w:rFonts w:ascii="Arial" w:hAnsi="Arial" w:cs="Arial"/>
          <w:color w:val="000000"/>
        </w:rPr>
      </w:pPr>
      <w:r w:rsidRPr="00506C28">
        <w:rPr>
          <w:rStyle w:val="TekstpodstawowyZnak"/>
          <w:rFonts w:ascii="Arial" w:hAnsi="Arial" w:cs="Arial"/>
          <w:color w:val="000000"/>
        </w:rPr>
        <w:t xml:space="preserve">W celu zwalczania tego, co rząd pozwany określił jako „najdłuższą i najbardziej brutalną kampanię terrorystyczną, </w:t>
      </w:r>
      <w:r w:rsidR="00B84259" w:rsidRPr="00506C28">
        <w:rPr>
          <w:rStyle w:val="TekstpodstawowyZnak"/>
          <w:rFonts w:ascii="Arial" w:hAnsi="Arial" w:cs="Arial"/>
          <w:color w:val="000000"/>
        </w:rPr>
        <w:t>jaką odnotowano w którejkolwiek części wyspy Irlandii</w:t>
      </w:r>
      <w:r w:rsidRPr="00506C28">
        <w:rPr>
          <w:rStyle w:val="TekstpodstawowyZnak"/>
          <w:rFonts w:ascii="Arial" w:hAnsi="Arial" w:cs="Arial"/>
          <w:color w:val="000000"/>
        </w:rPr>
        <w:t>”, władze Irlandii Północnej od sierpnia 1971 r. do grudnia 1975 r. stosowały szereg</w:t>
      </w:r>
      <w:r w:rsidR="004A01E7" w:rsidRPr="00506C28">
        <w:rPr>
          <w:rStyle w:val="TekstpodstawowyZnak"/>
          <w:rFonts w:ascii="Arial" w:hAnsi="Arial" w:cs="Arial"/>
          <w:color w:val="000000"/>
        </w:rPr>
        <w:t xml:space="preserve"> </w:t>
      </w:r>
      <w:r w:rsidRPr="00506C28">
        <w:rPr>
          <w:rStyle w:val="TekstpodstawowyZnak"/>
          <w:rFonts w:ascii="Arial" w:hAnsi="Arial" w:cs="Arial"/>
          <w:color w:val="000000"/>
        </w:rPr>
        <w:t xml:space="preserve">pozasądowych uprawnień w zakresie aresztowania, zatrzymania i internowania. W tym okresie rząd Zjednoczonego Królestwa przesłał </w:t>
      </w:r>
      <w:r w:rsidR="007646B7" w:rsidRPr="00506C28">
        <w:rPr>
          <w:rStyle w:val="TekstpodstawowyZnak"/>
          <w:rFonts w:ascii="Arial" w:hAnsi="Arial" w:cs="Arial"/>
          <w:color w:val="000000"/>
        </w:rPr>
        <w:t>S</w:t>
      </w:r>
      <w:r w:rsidRPr="00506C28">
        <w:rPr>
          <w:rStyle w:val="TekstpodstawowyZnak"/>
          <w:rFonts w:ascii="Arial" w:hAnsi="Arial" w:cs="Arial"/>
          <w:color w:val="000000"/>
        </w:rPr>
        <w:t xml:space="preserve">ekretarzowi </w:t>
      </w:r>
      <w:r w:rsidR="007646B7" w:rsidRPr="00506C28">
        <w:rPr>
          <w:rStyle w:val="TekstpodstawowyZnak"/>
          <w:rFonts w:ascii="Arial" w:hAnsi="Arial" w:cs="Arial"/>
          <w:color w:val="000000"/>
        </w:rPr>
        <w:t>G</w:t>
      </w:r>
      <w:r w:rsidRPr="00506C28">
        <w:rPr>
          <w:rStyle w:val="TekstpodstawowyZnak"/>
          <w:rFonts w:ascii="Arial" w:hAnsi="Arial" w:cs="Arial"/>
          <w:color w:val="000000"/>
        </w:rPr>
        <w:t>eneralnemu Rady Europy sześć zawiadomień o odstępstwie od tych uprawnień. Rząd irlandzki argumentował w szczególności, że pozasądowe środki pozbawienia wolności nie były w pełni zgodne z art. 15 i naruszały art. 5 (prawo do wolności i bezpieczeństwa</w:t>
      </w:r>
      <w:r w:rsidR="00E67B2E" w:rsidRPr="00506C28">
        <w:rPr>
          <w:rStyle w:val="TekstpodstawowyZnak"/>
          <w:rFonts w:ascii="Arial" w:hAnsi="Arial" w:cs="Arial"/>
          <w:color w:val="000000"/>
        </w:rPr>
        <w:t xml:space="preserve"> osobistego</w:t>
      </w:r>
      <w:r w:rsidRPr="00506C28">
        <w:rPr>
          <w:rStyle w:val="TekstpodstawowyZnak"/>
          <w:rFonts w:ascii="Arial" w:hAnsi="Arial" w:cs="Arial"/>
          <w:color w:val="000000"/>
        </w:rPr>
        <w:t xml:space="preserve">) </w:t>
      </w:r>
      <w:r w:rsidR="007339B3" w:rsidRPr="00506C28">
        <w:rPr>
          <w:rStyle w:val="TekstpodstawowyZnak"/>
          <w:rFonts w:ascii="Arial" w:hAnsi="Arial" w:cs="Arial"/>
          <w:color w:val="000000"/>
        </w:rPr>
        <w:t>K</w:t>
      </w:r>
      <w:r w:rsidRPr="00506C28">
        <w:rPr>
          <w:rStyle w:val="TekstpodstawowyZnak"/>
          <w:rFonts w:ascii="Arial" w:hAnsi="Arial" w:cs="Arial"/>
          <w:color w:val="000000"/>
        </w:rPr>
        <w:t>onwencji.</w:t>
      </w:r>
    </w:p>
    <w:p w14:paraId="6760AF73" w14:textId="1DCAE66A" w:rsidR="00782109" w:rsidRPr="00506C28" w:rsidRDefault="0094739F" w:rsidP="004E75AD">
      <w:pPr>
        <w:pStyle w:val="Tekstpodstawowy"/>
        <w:spacing w:before="30" w:after="80"/>
        <w:jc w:val="both"/>
        <w:rPr>
          <w:rFonts w:ascii="Arial" w:hAnsi="Arial" w:cs="Arial"/>
        </w:rPr>
      </w:pPr>
      <w:r w:rsidRPr="00506C28">
        <w:rPr>
          <w:rStyle w:val="TekstpodstawowyZnak"/>
          <w:rFonts w:ascii="Arial" w:hAnsi="Arial" w:cs="Arial"/>
        </w:rPr>
        <w:t>Podkreślając</w:t>
      </w:r>
      <w:r w:rsidR="009130BA" w:rsidRPr="00506C28">
        <w:rPr>
          <w:rStyle w:val="TekstpodstawowyZnak"/>
          <w:rFonts w:ascii="Arial" w:hAnsi="Arial" w:cs="Arial"/>
        </w:rPr>
        <w:t>, że art. 15 Konwencji ma zastosowanie wyłącznie „w czasie wojny” lub „</w:t>
      </w:r>
      <w:r w:rsidRPr="00506C28">
        <w:rPr>
          <w:rStyle w:val="TekstpodstawowyZnak"/>
          <w:rFonts w:ascii="Arial" w:hAnsi="Arial" w:cs="Arial"/>
        </w:rPr>
        <w:t>innego niebezpieczeństwa publicznego zagrażającego życiu narodu</w:t>
      </w:r>
      <w:r w:rsidR="009130BA" w:rsidRPr="00506C28">
        <w:rPr>
          <w:rStyle w:val="TekstpodstawowyZnak"/>
          <w:rFonts w:ascii="Arial" w:hAnsi="Arial" w:cs="Arial"/>
        </w:rPr>
        <w:t xml:space="preserve">”, Trybunał zauważył, że </w:t>
      </w:r>
      <w:r w:rsidR="009130BA" w:rsidRPr="00506C28">
        <w:rPr>
          <w:rStyle w:val="TekstpodstawowyZnak"/>
          <w:rFonts w:ascii="Arial" w:hAnsi="Arial" w:cs="Arial"/>
          <w:b/>
          <w:bCs/>
        </w:rPr>
        <w:t>istnienie takiej sytuacji nadzwyczajnej wynikało jasno z okoliczności sprawy</w:t>
      </w:r>
      <w:r w:rsidR="009130BA" w:rsidRPr="00506C28">
        <w:rPr>
          <w:rStyle w:val="TekstpodstawowyZnak"/>
          <w:rFonts w:ascii="Arial" w:hAnsi="Arial" w:cs="Arial"/>
        </w:rPr>
        <w:t>.</w:t>
      </w:r>
    </w:p>
    <w:p w14:paraId="0337AF84" w14:textId="77777777" w:rsidR="00782109" w:rsidRPr="00506C28" w:rsidRDefault="00782109" w:rsidP="004E75AD">
      <w:pPr>
        <w:pStyle w:val="Tekstpodstawowy"/>
        <w:spacing w:before="30" w:after="40"/>
        <w:jc w:val="both"/>
        <w:rPr>
          <w:rFonts w:ascii="Arial" w:hAnsi="Arial" w:cs="Arial"/>
          <w:sz w:val="15"/>
          <w:szCs w:val="15"/>
        </w:rPr>
      </w:pPr>
      <w:hyperlink r:id="rId22" w:history="1">
        <w:r w:rsidRPr="00506C28">
          <w:rPr>
            <w:rStyle w:val="TekstpodstawowyZnak"/>
            <w:rFonts w:ascii="Arial" w:hAnsi="Arial" w:cs="Arial"/>
            <w:b/>
            <w:bCs/>
            <w:u w:val="single"/>
          </w:rPr>
          <w:t>Brannigan i McBride przeciwko Zjednoczonemu Królestwu</w:t>
        </w:r>
        <w:r w:rsidRPr="00506C28">
          <w:rPr>
            <w:rStyle w:val="TekstpodstawowyZnak"/>
            <w:rFonts w:ascii="Arial" w:hAnsi="Arial" w:cs="Arial"/>
            <w:b/>
            <w:bCs/>
          </w:rPr>
          <w:t xml:space="preserve"> </w:t>
        </w:r>
      </w:hyperlink>
      <w:r w:rsidRPr="00506C28">
        <w:rPr>
          <w:rStyle w:val="TekstpodstawowyZnak"/>
          <w:rFonts w:ascii="Arial" w:hAnsi="Arial" w:cs="Arial"/>
          <w:color w:val="808080"/>
          <w:sz w:val="15"/>
          <w:szCs w:val="15"/>
        </w:rPr>
        <w:t>(zob. również poniżej, str. 7 i 11)</w:t>
      </w:r>
    </w:p>
    <w:p w14:paraId="0A54FB2D"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26 maja 1993 r. (wyrok)</w:t>
      </w:r>
    </w:p>
    <w:p w14:paraId="7934A4DE" w14:textId="7E89F84D"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color w:val="000000"/>
        </w:rPr>
        <w:t xml:space="preserve">Sprawa dotyczyła nowego </w:t>
      </w:r>
      <w:r w:rsidR="005C6EBB" w:rsidRPr="00506C28">
        <w:rPr>
          <w:rStyle w:val="TekstpodstawowyZnak"/>
          <w:rFonts w:ascii="Arial" w:hAnsi="Arial" w:cs="Arial"/>
          <w:color w:val="000000"/>
        </w:rPr>
        <w:t>uchylenia</w:t>
      </w:r>
      <w:r w:rsidRPr="00506C28">
        <w:rPr>
          <w:rStyle w:val="TekstpodstawowyZnak"/>
          <w:rFonts w:ascii="Arial" w:hAnsi="Arial" w:cs="Arial"/>
          <w:color w:val="000000"/>
        </w:rPr>
        <w:t xml:space="preserve"> wprowadzonego przez Zjednoczone Królestwo w odniesieniu do Irlandii Północnej. Dwóch skarżących, podejrzanych o przynależność do IRA, zostało aresztowanych przez policję w Irlandii Północnej i przetrzymywanych w areszcie policyjnym: jeden przez sześć dni i czternaście i pół godziny, a drugi przez cztery dni, sześć godzin i dwadzieścia pięć minut. Obaj skarżyli się, że nie zostali niezwłocznie postawieni przed sędzią. Rząd brytyjski zwrócił się do Trybunału o stwierdzenie, </w:t>
      </w:r>
      <w:r w:rsidR="00F24FD2">
        <w:rPr>
          <w:rStyle w:val="TekstpodstawowyZnak"/>
          <w:rFonts w:ascii="Arial" w:hAnsi="Arial" w:cs="Arial"/>
          <w:color w:val="000000"/>
        </w:rPr>
        <w:br/>
      </w:r>
      <w:r w:rsidRPr="00506C28">
        <w:rPr>
          <w:rStyle w:val="TekstpodstawowyZnak"/>
          <w:rFonts w:ascii="Arial" w:hAnsi="Arial" w:cs="Arial"/>
          <w:color w:val="000000"/>
        </w:rPr>
        <w:t>że Zjednoczone Królestwo nie naruszyło art. 5 (prawo do wolności i bezpieczeństwa</w:t>
      </w:r>
      <w:r w:rsidR="00A46A80" w:rsidRPr="00506C28">
        <w:rPr>
          <w:rStyle w:val="TekstpodstawowyZnak"/>
          <w:rFonts w:ascii="Arial" w:hAnsi="Arial" w:cs="Arial"/>
          <w:color w:val="000000"/>
        </w:rPr>
        <w:t xml:space="preserve"> osobistego</w:t>
      </w:r>
      <w:r w:rsidRPr="00506C28">
        <w:rPr>
          <w:rStyle w:val="TekstpodstawowyZnak"/>
          <w:rFonts w:ascii="Arial" w:hAnsi="Arial" w:cs="Arial"/>
          <w:color w:val="000000"/>
        </w:rPr>
        <w:t xml:space="preserve">) Konwencji, korzystając w dniu 23 grudnia 1988 r. z prawa do </w:t>
      </w:r>
      <w:r w:rsidR="005C6EBB" w:rsidRPr="00506C28">
        <w:rPr>
          <w:rStyle w:val="TekstpodstawowyZnak"/>
          <w:rFonts w:ascii="Arial" w:hAnsi="Arial" w:cs="Arial"/>
          <w:color w:val="000000"/>
        </w:rPr>
        <w:t>uchylenia</w:t>
      </w:r>
      <w:r w:rsidRPr="00506C28">
        <w:rPr>
          <w:rStyle w:val="TekstpodstawowyZnak"/>
          <w:rFonts w:ascii="Arial" w:hAnsi="Arial" w:cs="Arial"/>
          <w:color w:val="000000"/>
        </w:rPr>
        <w:t xml:space="preserve"> przewidzianego w art. 15 Konwencji.</w:t>
      </w:r>
    </w:p>
    <w:p w14:paraId="1DCD0790" w14:textId="63CD33D8" w:rsidR="00F24FD2" w:rsidRDefault="00BA06D6" w:rsidP="004E75AD">
      <w:pPr>
        <w:pStyle w:val="Tekstpodstawowy"/>
        <w:spacing w:before="30" w:after="80"/>
        <w:jc w:val="both"/>
        <w:rPr>
          <w:rStyle w:val="Bodytext4"/>
        </w:rPr>
      </w:pPr>
      <w:r w:rsidRPr="00506C28">
        <w:rPr>
          <w:rStyle w:val="TekstpodstawowyZnak"/>
          <w:rFonts w:ascii="Arial" w:hAnsi="Arial" w:cs="Arial"/>
        </w:rPr>
        <w:t xml:space="preserve">Odwołując </w:t>
      </w:r>
      <w:r w:rsidR="009130BA" w:rsidRPr="00506C28">
        <w:rPr>
          <w:rStyle w:val="TekstpodstawowyZnak"/>
          <w:rFonts w:ascii="Arial" w:hAnsi="Arial" w:cs="Arial"/>
        </w:rPr>
        <w:t>się do wyroków w spraw</w:t>
      </w:r>
      <w:r w:rsidR="009130BA" w:rsidRPr="00506C28">
        <w:rPr>
          <w:rStyle w:val="TekstpodstawowyZnak"/>
          <w:rFonts w:ascii="Arial" w:hAnsi="Arial" w:cs="Arial"/>
          <w:i/>
          <w:iCs/>
        </w:rPr>
        <w:t>ach Lawless (nr 3) przeciwko Irlandii</w:t>
      </w:r>
      <w:r w:rsidR="009130BA" w:rsidRPr="00506C28">
        <w:rPr>
          <w:rStyle w:val="TekstpodstawowyZnak"/>
          <w:rFonts w:ascii="Arial" w:hAnsi="Arial" w:cs="Arial"/>
        </w:rPr>
        <w:t xml:space="preserve"> oraz </w:t>
      </w:r>
      <w:r w:rsidR="009130BA" w:rsidRPr="00506C28">
        <w:rPr>
          <w:rStyle w:val="TekstpodstawowyZnak"/>
          <w:rFonts w:ascii="Arial" w:hAnsi="Arial" w:cs="Arial"/>
          <w:i/>
          <w:iCs/>
        </w:rPr>
        <w:t>Irlandia przeciwko Zjednoczonemu Królestwu</w:t>
      </w:r>
      <w:r w:rsidR="009130BA" w:rsidRPr="00506C28">
        <w:rPr>
          <w:rStyle w:val="TekstpodstawowyZnak"/>
          <w:rFonts w:ascii="Arial" w:hAnsi="Arial" w:cs="Arial"/>
        </w:rPr>
        <w:t xml:space="preserve"> (patrz powyżej) i dokonując własnej oceny w świetle dostępnych mu dowodów dotyczących zakresu i skutków przemocy terrorystycznej w Irlandii Północnej i innych częściach Zjednoczonego Królestwa, Trybunał uznał, że nie ma wątpliwości, iż </w:t>
      </w:r>
      <w:r w:rsidR="009130BA" w:rsidRPr="00506C28">
        <w:rPr>
          <w:rStyle w:val="TekstpodstawowyZnak"/>
          <w:rFonts w:ascii="Arial" w:hAnsi="Arial" w:cs="Arial"/>
          <w:b/>
          <w:bCs/>
        </w:rPr>
        <w:t>w tych okolicznościach rzeczywiście istniał</w:t>
      </w:r>
      <w:r w:rsidR="00DF5049" w:rsidRPr="00506C28">
        <w:rPr>
          <w:rStyle w:val="TekstpodstawowyZnak"/>
          <w:rFonts w:ascii="Arial" w:hAnsi="Arial" w:cs="Arial"/>
          <w:b/>
          <w:bCs/>
        </w:rPr>
        <w:t>o</w:t>
      </w:r>
      <w:r w:rsidR="009130BA" w:rsidRPr="00506C28">
        <w:rPr>
          <w:rStyle w:val="TekstpodstawowyZnak"/>
          <w:rFonts w:ascii="Arial" w:hAnsi="Arial" w:cs="Arial"/>
          <w:b/>
          <w:bCs/>
        </w:rPr>
        <w:t xml:space="preserve"> </w:t>
      </w:r>
      <w:r w:rsidR="00DF5049" w:rsidRPr="00506C28">
        <w:rPr>
          <w:rStyle w:val="TekstpodstawowyZnak"/>
          <w:rFonts w:ascii="Arial" w:hAnsi="Arial" w:cs="Arial"/>
          <w:b/>
          <w:bCs/>
        </w:rPr>
        <w:t>niebezpieczeństwo publiczne</w:t>
      </w:r>
      <w:r w:rsidR="009130BA" w:rsidRPr="00506C28">
        <w:rPr>
          <w:rStyle w:val="TekstpodstawowyZnak"/>
          <w:rFonts w:ascii="Arial" w:hAnsi="Arial" w:cs="Arial"/>
          <w:b/>
          <w:bCs/>
        </w:rPr>
        <w:t xml:space="preserve"> zagrażając</w:t>
      </w:r>
      <w:r w:rsidR="00DF5049" w:rsidRPr="00506C28">
        <w:rPr>
          <w:rStyle w:val="TekstpodstawowyZnak"/>
          <w:rFonts w:ascii="Arial" w:hAnsi="Arial" w:cs="Arial"/>
          <w:b/>
          <w:bCs/>
        </w:rPr>
        <w:t>e</w:t>
      </w:r>
      <w:r w:rsidR="009130BA" w:rsidRPr="00506C28">
        <w:rPr>
          <w:rStyle w:val="TekstpodstawowyZnak"/>
          <w:rFonts w:ascii="Arial" w:hAnsi="Arial" w:cs="Arial"/>
          <w:b/>
          <w:bCs/>
        </w:rPr>
        <w:t xml:space="preserve"> życiu narodu</w:t>
      </w:r>
      <w:r w:rsidR="009130BA" w:rsidRPr="00506C28">
        <w:rPr>
          <w:rStyle w:val="TekstpodstawowyZnak"/>
          <w:rFonts w:ascii="Arial" w:hAnsi="Arial" w:cs="Arial"/>
        </w:rPr>
        <w:t>.</w:t>
      </w:r>
    </w:p>
    <w:p w14:paraId="3D9C0BFF" w14:textId="524AC29B" w:rsidR="00782109" w:rsidRPr="00506C28" w:rsidRDefault="005C6EBB" w:rsidP="004E75AD">
      <w:pPr>
        <w:pStyle w:val="Bodytext40"/>
        <w:spacing w:before="30"/>
        <w:jc w:val="both"/>
      </w:pPr>
      <w:r w:rsidRPr="00506C28">
        <w:rPr>
          <w:rStyle w:val="Bodytext4"/>
          <w:b/>
          <w:bCs/>
          <w:i/>
          <w:iCs/>
        </w:rPr>
        <w:t>Uchylenie</w:t>
      </w:r>
      <w:r w:rsidR="009130BA" w:rsidRPr="00506C28">
        <w:rPr>
          <w:rStyle w:val="Bodytext4"/>
          <w:b/>
          <w:bCs/>
          <w:i/>
          <w:iCs/>
        </w:rPr>
        <w:t xml:space="preserve"> wprowadzone w 1990 r. przez rząd turecki w odniesieniu do południowo-wschodniej Turcji </w:t>
      </w:r>
      <w:r w:rsidR="00AE7EC5" w:rsidRPr="00506C28">
        <w:rPr>
          <w:rStyle w:val="Bodytext4"/>
          <w:b/>
          <w:bCs/>
          <w:i/>
          <w:iCs/>
        </w:rPr>
        <w:br/>
      </w:r>
      <w:r w:rsidR="009130BA" w:rsidRPr="00506C28">
        <w:rPr>
          <w:rStyle w:val="Bodytext4"/>
          <w:b/>
          <w:bCs/>
          <w:i/>
          <w:iCs/>
        </w:rPr>
        <w:t>w następstwie starć między siłami bezpieczeństwa a członkami nielegalnej organizacji PKK (Partia Pracujących Kurdystanu)</w:t>
      </w:r>
    </w:p>
    <w:p w14:paraId="26851DDD" w14:textId="77777777" w:rsidR="00782109" w:rsidRPr="00506C28" w:rsidRDefault="00782109" w:rsidP="004E75AD">
      <w:pPr>
        <w:pStyle w:val="Bodytext20"/>
        <w:spacing w:before="30" w:after="40"/>
        <w:jc w:val="both"/>
        <w:rPr>
          <w:rFonts w:ascii="Arial" w:hAnsi="Arial" w:cs="Arial"/>
        </w:rPr>
      </w:pPr>
      <w:hyperlink r:id="rId23" w:history="1">
        <w:r w:rsidRPr="00506C28">
          <w:rPr>
            <w:rStyle w:val="Bodytext2"/>
            <w:rFonts w:ascii="Arial" w:hAnsi="Arial" w:cs="Arial"/>
            <w:b/>
            <w:bCs/>
            <w:color w:val="0071BB"/>
            <w:sz w:val="19"/>
            <w:szCs w:val="19"/>
            <w:u w:val="single"/>
          </w:rPr>
          <w:t>Aksoy przeciwko Turcji</w:t>
        </w:r>
        <w:r w:rsidRPr="00506C28">
          <w:rPr>
            <w:rStyle w:val="Bodytext2"/>
            <w:rFonts w:ascii="Arial" w:hAnsi="Arial" w:cs="Arial"/>
            <w:b/>
            <w:bCs/>
            <w:color w:val="0071BB"/>
            <w:sz w:val="19"/>
            <w:szCs w:val="19"/>
          </w:rPr>
          <w:t xml:space="preserve"> </w:t>
        </w:r>
      </w:hyperlink>
      <w:r w:rsidRPr="00506C28">
        <w:rPr>
          <w:rStyle w:val="Bodytext2"/>
          <w:rFonts w:ascii="Arial" w:hAnsi="Arial" w:cs="Arial"/>
          <w:color w:val="808080"/>
        </w:rPr>
        <w:t>(zob. również poniżej, str. 8, 13 i 15)</w:t>
      </w:r>
    </w:p>
    <w:p w14:paraId="5BD77429"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18 grudnia 1996 r. (wyrok)</w:t>
      </w:r>
    </w:p>
    <w:p w14:paraId="6B5316D1" w14:textId="191885AF" w:rsidR="00862412" w:rsidRPr="00506C28" w:rsidRDefault="009130BA" w:rsidP="004E75AD">
      <w:pPr>
        <w:pStyle w:val="Tekstpodstawowy"/>
        <w:spacing w:before="30" w:after="80"/>
        <w:jc w:val="both"/>
        <w:rPr>
          <w:rStyle w:val="TekstpodstawowyZnak"/>
          <w:rFonts w:ascii="Arial" w:hAnsi="Arial" w:cs="Arial"/>
          <w:color w:val="000000"/>
        </w:rPr>
      </w:pPr>
      <w:r w:rsidRPr="00506C28">
        <w:rPr>
          <w:rStyle w:val="TekstpodstawowyZnak"/>
          <w:rFonts w:ascii="Arial" w:hAnsi="Arial" w:cs="Arial"/>
          <w:color w:val="000000"/>
        </w:rPr>
        <w:t xml:space="preserve">Od 1985 r. w południowo-wschodniej Turcji trwały poważne zamieszki między siłami bezpieczeństwa </w:t>
      </w:r>
      <w:r w:rsidR="00F24FD2">
        <w:rPr>
          <w:rStyle w:val="TekstpodstawowyZnak"/>
          <w:rFonts w:ascii="Arial" w:hAnsi="Arial" w:cs="Arial"/>
          <w:color w:val="000000"/>
        </w:rPr>
        <w:br/>
      </w:r>
      <w:r w:rsidRPr="00506C28">
        <w:rPr>
          <w:rStyle w:val="TekstpodstawowyZnak"/>
          <w:rFonts w:ascii="Arial" w:hAnsi="Arial" w:cs="Arial"/>
          <w:color w:val="000000"/>
        </w:rPr>
        <w:t>a członkami PKK. W momencie rozpatrywania sprawy przez Trybunał, od 1987 r. w dziesięciu z jedenastu prowincji tej części Turcji obowiązywał stan wyjątkowy. Skarżący twierdził w szczególności, że jego zatrzymanie w 1992 r. pod zarzutem pomocnictwa terrorystom PKK było niezgodne z prawem. Rząd turecki stwierdził, że nie doszło do naruszenia art. 5 (prawo do wolności i bezpieczeństwa</w:t>
      </w:r>
      <w:r w:rsidR="00D65CFC" w:rsidRPr="00506C28">
        <w:rPr>
          <w:rStyle w:val="TekstpodstawowyZnak"/>
          <w:rFonts w:ascii="Arial" w:hAnsi="Arial" w:cs="Arial"/>
          <w:color w:val="000000"/>
        </w:rPr>
        <w:t xml:space="preserve"> osobistego</w:t>
      </w:r>
      <w:r w:rsidRPr="00506C28">
        <w:rPr>
          <w:rStyle w:val="TekstpodstawowyZnak"/>
          <w:rFonts w:ascii="Arial" w:hAnsi="Arial" w:cs="Arial"/>
          <w:color w:val="000000"/>
        </w:rPr>
        <w:t xml:space="preserve">) Konwencji, biorąc pod uwagę </w:t>
      </w:r>
      <w:r w:rsidR="005C6EBB" w:rsidRPr="00506C28">
        <w:rPr>
          <w:rStyle w:val="TekstpodstawowyZnak"/>
          <w:rFonts w:ascii="Arial" w:hAnsi="Arial" w:cs="Arial"/>
          <w:color w:val="000000"/>
        </w:rPr>
        <w:t>uchylenie</w:t>
      </w:r>
      <w:r w:rsidRPr="00506C28">
        <w:rPr>
          <w:rStyle w:val="TekstpodstawowyZnak"/>
          <w:rFonts w:ascii="Arial" w:hAnsi="Arial" w:cs="Arial"/>
          <w:color w:val="000000"/>
        </w:rPr>
        <w:t xml:space="preserve"> zgłoszone przez Turcję w 1990 r. zgodnie z art. 15 Konwencji. Argumentował on w szczególności, że w południowo-wschodniej Turcji panował stan wyjątkowy zagrażający życiu narodu, który</w:t>
      </w:r>
      <w:r w:rsidR="00DF6DEB" w:rsidRPr="00506C28">
        <w:rPr>
          <w:rStyle w:val="TekstpodstawowyZnak"/>
          <w:rFonts w:ascii="Arial" w:hAnsi="Arial" w:cs="Arial"/>
          <w:color w:val="000000"/>
        </w:rPr>
        <w:t xml:space="preserve"> </w:t>
      </w:r>
      <w:r w:rsidR="00D406C2" w:rsidRPr="00506C28">
        <w:rPr>
          <w:rFonts w:ascii="Arial" w:hAnsi="Arial" w:cs="Arial"/>
          <w:color w:val="000000"/>
        </w:rPr>
        <w:t>nie został zakwestionowany przez skarżącego, chociaż twierdził on, że zasadniczo jest to kwestia, którą powinny rozstrzygnąć organy konwencyjne.</w:t>
      </w:r>
    </w:p>
    <w:p w14:paraId="09870F11" w14:textId="2B814694" w:rsidR="00782109" w:rsidRPr="00506C28" w:rsidRDefault="009130BA" w:rsidP="004E75AD">
      <w:pPr>
        <w:pStyle w:val="Tekstpodstawowy"/>
        <w:spacing w:before="30"/>
        <w:jc w:val="both"/>
        <w:rPr>
          <w:rStyle w:val="TekstpodstawowyZnak"/>
          <w:rFonts w:ascii="Arial" w:hAnsi="Arial" w:cs="Arial"/>
        </w:rPr>
      </w:pPr>
      <w:r w:rsidRPr="00506C28">
        <w:rPr>
          <w:rStyle w:val="TekstpodstawowyZnak"/>
          <w:rFonts w:ascii="Arial" w:hAnsi="Arial" w:cs="Arial"/>
        </w:rPr>
        <w:t xml:space="preserve">W świetle wszystkich dostępnych dowodów Trybunał uznał, że </w:t>
      </w:r>
      <w:r w:rsidRPr="00506C28">
        <w:rPr>
          <w:rStyle w:val="TekstpodstawowyZnak"/>
          <w:rFonts w:ascii="Arial" w:hAnsi="Arial" w:cs="Arial"/>
          <w:b/>
          <w:bCs/>
        </w:rPr>
        <w:t xml:space="preserve">zakres i szczególne skutki działalności terrorystycznej PKK </w:t>
      </w:r>
      <w:r w:rsidRPr="00506C28">
        <w:rPr>
          <w:rStyle w:val="TekstpodstawowyZnak"/>
          <w:rFonts w:ascii="Arial" w:hAnsi="Arial" w:cs="Arial"/>
        </w:rPr>
        <w:t xml:space="preserve">w południowo-wschodniej Turcji </w:t>
      </w:r>
      <w:r w:rsidRPr="00506C28">
        <w:rPr>
          <w:rStyle w:val="TekstpodstawowyZnak"/>
          <w:rFonts w:ascii="Arial" w:hAnsi="Arial" w:cs="Arial"/>
          <w:b/>
          <w:bCs/>
        </w:rPr>
        <w:t xml:space="preserve">bez wątpienia spowodowały w tym regionie </w:t>
      </w:r>
      <w:r w:rsidR="009C1448" w:rsidRPr="00506C28">
        <w:rPr>
          <w:rStyle w:val="TekstpodstawowyZnak"/>
          <w:rFonts w:ascii="Arial" w:hAnsi="Arial" w:cs="Arial"/>
          <w:b/>
          <w:bCs/>
        </w:rPr>
        <w:t>niebezpieczeństwo publiczne</w:t>
      </w:r>
      <w:r w:rsidRPr="00506C28">
        <w:rPr>
          <w:rStyle w:val="TekstpodstawowyZnak"/>
          <w:rFonts w:ascii="Arial" w:hAnsi="Arial" w:cs="Arial"/>
          <w:b/>
          <w:bCs/>
        </w:rPr>
        <w:t xml:space="preserve"> zagrażając</w:t>
      </w:r>
      <w:r w:rsidR="009C1448" w:rsidRPr="00506C28">
        <w:rPr>
          <w:rStyle w:val="TekstpodstawowyZnak"/>
          <w:rFonts w:ascii="Arial" w:hAnsi="Arial" w:cs="Arial"/>
          <w:b/>
          <w:bCs/>
        </w:rPr>
        <w:t>e</w:t>
      </w:r>
      <w:r w:rsidRPr="00506C28">
        <w:rPr>
          <w:rStyle w:val="TekstpodstawowyZnak"/>
          <w:rFonts w:ascii="Arial" w:hAnsi="Arial" w:cs="Arial"/>
          <w:b/>
          <w:bCs/>
        </w:rPr>
        <w:t xml:space="preserve"> życiu narodu</w:t>
      </w:r>
      <w:r w:rsidRPr="00506C28">
        <w:rPr>
          <w:rStyle w:val="TekstpodstawowyZnak"/>
          <w:rFonts w:ascii="Arial" w:hAnsi="Arial" w:cs="Arial"/>
        </w:rPr>
        <w:t xml:space="preserve">. Powtórzył między innymi, że do każdego </w:t>
      </w:r>
      <w:r w:rsidR="009C1448" w:rsidRPr="00506C28">
        <w:rPr>
          <w:rStyle w:val="TekstpodstawowyZnak"/>
          <w:rFonts w:ascii="Arial" w:hAnsi="Arial" w:cs="Arial"/>
        </w:rPr>
        <w:t xml:space="preserve">Układającego </w:t>
      </w:r>
      <w:r w:rsidRPr="00506C28">
        <w:rPr>
          <w:rStyle w:val="TekstpodstawowyZnak"/>
          <w:rFonts w:ascii="Arial" w:hAnsi="Arial" w:cs="Arial"/>
        </w:rPr>
        <w:t xml:space="preserve">się Państwa, ponoszącego odpowiedzialność za „życie [swojego] narodu”, należy </w:t>
      </w:r>
      <w:r w:rsidR="00E841BD" w:rsidRPr="00506C28">
        <w:rPr>
          <w:rStyle w:val="TekstpodstawowyZnak"/>
          <w:rFonts w:ascii="Arial" w:hAnsi="Arial" w:cs="Arial"/>
        </w:rPr>
        <w:t>ustalenie</w:t>
      </w:r>
      <w:r w:rsidRPr="00506C28">
        <w:rPr>
          <w:rStyle w:val="TekstpodstawowyZnak"/>
          <w:rFonts w:ascii="Arial" w:hAnsi="Arial" w:cs="Arial"/>
        </w:rPr>
        <w:t xml:space="preserve"> czy życie to jest zagrożone przez „</w:t>
      </w:r>
      <w:r w:rsidR="009C1448" w:rsidRPr="00506C28">
        <w:rPr>
          <w:rStyle w:val="TekstpodstawowyZnak"/>
          <w:rFonts w:ascii="Arial" w:hAnsi="Arial" w:cs="Arial"/>
        </w:rPr>
        <w:t>niebezpieczeństwo publiczne</w:t>
      </w:r>
      <w:r w:rsidRPr="00506C28">
        <w:rPr>
          <w:rStyle w:val="TekstpodstawowyZnak"/>
          <w:rFonts w:ascii="Arial" w:hAnsi="Arial" w:cs="Arial"/>
        </w:rPr>
        <w:t xml:space="preserve">”, a jeśli tak, to w jakim zakresie konieczne jest podjęcie działań w celu przezwyciężenia tego stanu. Ze względu na bezpośredni i stały kontakt z pilnymi potrzebami </w:t>
      </w:r>
      <w:r w:rsidR="009C1448" w:rsidRPr="00506C28">
        <w:rPr>
          <w:rStyle w:val="TekstpodstawowyZnak"/>
          <w:rFonts w:ascii="Arial" w:hAnsi="Arial" w:cs="Arial"/>
        </w:rPr>
        <w:t xml:space="preserve">danej </w:t>
      </w:r>
      <w:r w:rsidRPr="00506C28">
        <w:rPr>
          <w:rStyle w:val="TekstpodstawowyZnak"/>
          <w:rFonts w:ascii="Arial" w:hAnsi="Arial" w:cs="Arial"/>
        </w:rPr>
        <w:t xml:space="preserve">chwili, władze krajowe są co do zasady lepiej przygotowane niż sędzia międzynarodowy do podjęcia decyzji zarówno o zaistnieniu takiego stanu wyjątkowego, jak i o charakterze i zakresie </w:t>
      </w:r>
      <w:r w:rsidR="00D65CFC" w:rsidRPr="00506C28">
        <w:rPr>
          <w:rStyle w:val="TekstpodstawowyZnak"/>
          <w:rFonts w:ascii="Arial" w:hAnsi="Arial" w:cs="Arial"/>
        </w:rPr>
        <w:t xml:space="preserve">uchyleń </w:t>
      </w:r>
      <w:r w:rsidRPr="00506C28">
        <w:rPr>
          <w:rStyle w:val="TekstpodstawowyZnak"/>
          <w:rFonts w:ascii="Arial" w:hAnsi="Arial" w:cs="Arial"/>
        </w:rPr>
        <w:t xml:space="preserve">niezbędnych do jego zażegnania. W związku z tym w tej sprawie należy pozostawić władzom krajowym szeroki margines </w:t>
      </w:r>
      <w:r w:rsidR="009C1448" w:rsidRPr="00506C28">
        <w:rPr>
          <w:rStyle w:val="TekstpodstawowyZnak"/>
          <w:rFonts w:ascii="Arial" w:hAnsi="Arial" w:cs="Arial"/>
        </w:rPr>
        <w:t>oceny</w:t>
      </w:r>
      <w:r w:rsidRPr="00506C28">
        <w:rPr>
          <w:rStyle w:val="TekstpodstawowyZnak"/>
          <w:rFonts w:ascii="Arial" w:hAnsi="Arial" w:cs="Arial"/>
        </w:rPr>
        <w:t xml:space="preserve">. Niemniej jednak państwa nie mają nieograniczonej swobody decyzyjnej. Do Trybunału należało </w:t>
      </w:r>
      <w:r w:rsidR="00E841BD" w:rsidRPr="00506C28">
        <w:rPr>
          <w:rStyle w:val="TekstpodstawowyZnak"/>
          <w:rFonts w:ascii="Arial" w:hAnsi="Arial" w:cs="Arial"/>
        </w:rPr>
        <w:t>rozstrzygnięcie</w:t>
      </w:r>
      <w:r w:rsidRPr="00506C28">
        <w:rPr>
          <w:rStyle w:val="TekstpodstawowyZnak"/>
          <w:rFonts w:ascii="Arial" w:hAnsi="Arial" w:cs="Arial"/>
        </w:rPr>
        <w:t xml:space="preserve"> czy państwa wykroczyły poza „zakres ściśle </w:t>
      </w:r>
      <w:r w:rsidR="0074109C" w:rsidRPr="00506C28">
        <w:rPr>
          <w:rStyle w:val="TekstpodstawowyZnak"/>
          <w:rFonts w:ascii="Arial" w:hAnsi="Arial" w:cs="Arial"/>
        </w:rPr>
        <w:t>odpowiadający wymogom sytuacji</w:t>
      </w:r>
      <w:r w:rsidRPr="00506C28">
        <w:rPr>
          <w:rStyle w:val="TekstpodstawowyZnak"/>
          <w:rFonts w:ascii="Arial" w:hAnsi="Arial" w:cs="Arial"/>
        </w:rPr>
        <w:t xml:space="preserve">” kryzysu. </w:t>
      </w:r>
      <w:r w:rsidR="0074109C" w:rsidRPr="00506C28">
        <w:rPr>
          <w:rStyle w:val="TekstpodstawowyZnak"/>
          <w:rFonts w:ascii="Arial" w:hAnsi="Arial" w:cs="Arial"/>
        </w:rPr>
        <w:t>Sprawując europejski nadzór</w:t>
      </w:r>
      <w:r w:rsidRPr="00506C28">
        <w:rPr>
          <w:rStyle w:val="TekstpodstawowyZnak"/>
          <w:rFonts w:ascii="Arial" w:hAnsi="Arial" w:cs="Arial"/>
        </w:rPr>
        <w:t xml:space="preserve">, Trybunał musiał odpowiednio uwzględnić takie istotne czynniki, jak charakter praw, których dotyczyło </w:t>
      </w:r>
      <w:r w:rsidR="005C6EBB" w:rsidRPr="00506C28">
        <w:rPr>
          <w:rStyle w:val="TekstpodstawowyZnak"/>
          <w:rFonts w:ascii="Arial" w:hAnsi="Arial" w:cs="Arial"/>
        </w:rPr>
        <w:t>uchylenie</w:t>
      </w:r>
      <w:r w:rsidRPr="00506C28">
        <w:rPr>
          <w:rStyle w:val="TekstpodstawowyZnak"/>
          <w:rFonts w:ascii="Arial" w:hAnsi="Arial" w:cs="Arial"/>
        </w:rPr>
        <w:t>, oraz okoliczności, które doprowadziły do sytuacji nadzwyczajnej, a także czas jej trwania.</w:t>
      </w:r>
    </w:p>
    <w:p w14:paraId="59594B79" w14:textId="77777777" w:rsidR="0062187E" w:rsidRPr="00506C28" w:rsidRDefault="0062187E" w:rsidP="004E75AD">
      <w:pPr>
        <w:pStyle w:val="Tekstpodstawowy"/>
        <w:spacing w:before="30"/>
        <w:jc w:val="both"/>
        <w:rPr>
          <w:rStyle w:val="TekstpodstawowyZnak"/>
          <w:rFonts w:ascii="Arial" w:hAnsi="Arial" w:cs="Arial"/>
        </w:rPr>
      </w:pPr>
    </w:p>
    <w:p w14:paraId="05FB6E81" w14:textId="197D5FA7" w:rsidR="007339B3" w:rsidRPr="00506C28" w:rsidRDefault="00D65CFC" w:rsidP="004E75AD">
      <w:pPr>
        <w:pStyle w:val="Bodytext40"/>
        <w:spacing w:before="30" w:after="60" w:line="254" w:lineRule="auto"/>
        <w:jc w:val="both"/>
        <w:rPr>
          <w:rStyle w:val="Bodytext4"/>
          <w:b/>
          <w:bCs/>
          <w:i/>
          <w:iCs/>
        </w:rPr>
      </w:pPr>
      <w:r w:rsidRPr="00506C28">
        <w:rPr>
          <w:rStyle w:val="Bodytext4"/>
          <w:b/>
          <w:bCs/>
          <w:i/>
          <w:iCs/>
        </w:rPr>
        <w:br w:type="column"/>
      </w:r>
      <w:r w:rsidR="005C6EBB" w:rsidRPr="00506C28">
        <w:rPr>
          <w:rStyle w:val="Bodytext4"/>
          <w:b/>
          <w:bCs/>
          <w:i/>
          <w:iCs/>
        </w:rPr>
        <w:lastRenderedPageBreak/>
        <w:t>Uchylenie</w:t>
      </w:r>
      <w:r w:rsidR="009130BA" w:rsidRPr="00506C28">
        <w:rPr>
          <w:rStyle w:val="Bodytext4"/>
          <w:b/>
          <w:bCs/>
          <w:i/>
          <w:iCs/>
        </w:rPr>
        <w:t xml:space="preserve"> Wielkiej Brytanii w 2001 r. po atakach terrorystycznych z 11 września w USA</w:t>
      </w:r>
    </w:p>
    <w:p w14:paraId="13A9338B" w14:textId="79CB52DF" w:rsidR="00782109" w:rsidRPr="004E75AD" w:rsidRDefault="00782109" w:rsidP="004E75AD">
      <w:pPr>
        <w:pStyle w:val="Bodytext40"/>
        <w:spacing w:before="30" w:after="60" w:line="254" w:lineRule="auto"/>
        <w:jc w:val="both"/>
        <w:rPr>
          <w:b w:val="0"/>
          <w:bCs w:val="0"/>
        </w:rPr>
      </w:pPr>
      <w:hyperlink r:id="rId24" w:history="1">
        <w:r w:rsidRPr="00506C28">
          <w:rPr>
            <w:rStyle w:val="TekstpodstawowyZnak"/>
            <w:rFonts w:ascii="Arial" w:hAnsi="Arial" w:cs="Arial"/>
            <w:sz w:val="18"/>
            <w:szCs w:val="18"/>
            <w:u w:val="single"/>
          </w:rPr>
          <w:t xml:space="preserve">A. i </w:t>
        </w:r>
        <w:r w:rsidR="003D4715" w:rsidRPr="00506C28">
          <w:rPr>
            <w:rStyle w:val="TekstpodstawowyZnak"/>
            <w:rFonts w:ascii="Arial" w:hAnsi="Arial" w:cs="Arial"/>
            <w:sz w:val="18"/>
            <w:szCs w:val="18"/>
            <w:u w:val="single"/>
          </w:rPr>
          <w:t>Inni</w:t>
        </w:r>
        <w:r w:rsidRPr="00506C28">
          <w:rPr>
            <w:rStyle w:val="TekstpodstawowyZnak"/>
            <w:rFonts w:ascii="Arial" w:hAnsi="Arial" w:cs="Arial"/>
            <w:sz w:val="18"/>
            <w:szCs w:val="18"/>
            <w:u w:val="single"/>
          </w:rPr>
          <w:t xml:space="preserve"> przeciwko Zjednoczonemu Królestwu (nr 3455/05)</w:t>
        </w:r>
        <w:r w:rsidRPr="00506C28">
          <w:rPr>
            <w:rStyle w:val="TekstpodstawowyZnak"/>
            <w:rFonts w:ascii="Arial" w:hAnsi="Arial" w:cs="Arial"/>
            <w:sz w:val="18"/>
            <w:szCs w:val="18"/>
          </w:rPr>
          <w:t xml:space="preserve"> </w:t>
        </w:r>
      </w:hyperlink>
      <w:r w:rsidRPr="004E75AD">
        <w:rPr>
          <w:rStyle w:val="TekstpodstawowyZnak"/>
          <w:rFonts w:ascii="Arial" w:hAnsi="Arial" w:cs="Arial"/>
          <w:b w:val="0"/>
          <w:bCs w:val="0"/>
          <w:color w:val="808080"/>
          <w:sz w:val="15"/>
          <w:szCs w:val="15"/>
        </w:rPr>
        <w:t>(zob. również poniżej, s. 9)</w:t>
      </w:r>
    </w:p>
    <w:p w14:paraId="5D2B1989"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19 lutego 2009 r. (wyrok – Wielka Izba)</w:t>
      </w:r>
    </w:p>
    <w:p w14:paraId="597F85E5" w14:textId="7ED65E57" w:rsidR="00782109" w:rsidRPr="00506C28" w:rsidRDefault="009130BA" w:rsidP="004E75AD">
      <w:pPr>
        <w:pStyle w:val="Tekstpodstawowy"/>
        <w:spacing w:before="30" w:after="0"/>
        <w:jc w:val="both"/>
        <w:rPr>
          <w:rFonts w:ascii="Arial" w:hAnsi="Arial" w:cs="Arial"/>
          <w:color w:val="000000"/>
        </w:rPr>
      </w:pPr>
      <w:r w:rsidRPr="00506C28">
        <w:rPr>
          <w:rStyle w:val="TekstpodstawowyZnak"/>
          <w:rFonts w:ascii="Arial" w:hAnsi="Arial" w:cs="Arial"/>
          <w:color w:val="000000"/>
        </w:rPr>
        <w:t xml:space="preserve">W następstwie ataków terrorystycznych z 11 września 2001 r. na Stany Zjednoczone Ameryki rząd brytyjski uznał, że niektórzy cudzoziemcy przebywający w Zjednoczonym Królestwie tworzyli sieć wsparcia dla islamskich operacji terrorystycznych powiązanych z Al-Kaidą i w związku z tym stanowili zagrożenie dla </w:t>
      </w:r>
      <w:r w:rsidR="009441C6" w:rsidRPr="00506C28">
        <w:rPr>
          <w:rStyle w:val="TekstpodstawowyZnak"/>
          <w:rFonts w:ascii="Arial" w:hAnsi="Arial" w:cs="Arial"/>
          <w:color w:val="000000"/>
        </w:rPr>
        <w:t>państwa</w:t>
      </w:r>
      <w:r w:rsidRPr="00506C28">
        <w:rPr>
          <w:rStyle w:val="TekstpodstawowyZnak"/>
          <w:rFonts w:ascii="Arial" w:hAnsi="Arial" w:cs="Arial"/>
          <w:color w:val="000000"/>
        </w:rPr>
        <w:t xml:space="preserve">. Ponieważ wielu z tych obcokrajowców nie mogło zostać deportowanych ze względu na ryzyko złego traktowania w krajach pochodzenia, rząd uznał za </w:t>
      </w:r>
      <w:r w:rsidR="003A6201" w:rsidRPr="00506C28">
        <w:rPr>
          <w:rStyle w:val="TekstpodstawowyZnak"/>
          <w:rFonts w:ascii="Arial" w:hAnsi="Arial" w:cs="Arial"/>
          <w:color w:val="000000"/>
        </w:rPr>
        <w:t>konieczne ustanowienie</w:t>
      </w:r>
      <w:r w:rsidRPr="00506C28">
        <w:rPr>
          <w:rStyle w:val="TekstpodstawowyZnak"/>
          <w:rFonts w:ascii="Arial" w:hAnsi="Arial" w:cs="Arial"/>
          <w:color w:val="000000"/>
        </w:rPr>
        <w:t xml:space="preserve"> rozszerzonych uprawnień umożliwiających zatrzymanie obcokrajowców w </w:t>
      </w:r>
      <w:r w:rsidR="004E75AD" w:rsidRPr="00506C28">
        <w:rPr>
          <w:rStyle w:val="TekstpodstawowyZnak"/>
          <w:rFonts w:ascii="Arial" w:hAnsi="Arial" w:cs="Arial"/>
          <w:color w:val="000000"/>
        </w:rPr>
        <w:t>przypadku,</w:t>
      </w:r>
      <w:r w:rsidRPr="00506C28">
        <w:rPr>
          <w:rStyle w:val="TekstpodstawowyZnak"/>
          <w:rFonts w:ascii="Arial" w:hAnsi="Arial" w:cs="Arial"/>
          <w:color w:val="000000"/>
        </w:rPr>
        <w:t xml:space="preserve"> gdy </w:t>
      </w:r>
      <w:r w:rsidR="005D250B" w:rsidRPr="00506C28">
        <w:rPr>
          <w:rStyle w:val="TekstpodstawowyZnak"/>
          <w:rFonts w:ascii="Arial" w:hAnsi="Arial" w:cs="Arial"/>
          <w:color w:val="000000"/>
        </w:rPr>
        <w:t>S</w:t>
      </w:r>
      <w:r w:rsidRPr="00506C28">
        <w:rPr>
          <w:rStyle w:val="TekstpodstawowyZnak"/>
          <w:rFonts w:ascii="Arial" w:hAnsi="Arial" w:cs="Arial"/>
          <w:color w:val="000000"/>
        </w:rPr>
        <w:t xml:space="preserve">ekretarz </w:t>
      </w:r>
      <w:r w:rsidR="005D250B" w:rsidRPr="00506C28">
        <w:rPr>
          <w:rStyle w:val="TekstpodstawowyZnak"/>
          <w:rFonts w:ascii="Arial" w:hAnsi="Arial" w:cs="Arial"/>
          <w:color w:val="000000"/>
        </w:rPr>
        <w:t>S</w:t>
      </w:r>
      <w:r w:rsidRPr="00506C28">
        <w:rPr>
          <w:rStyle w:val="TekstpodstawowyZnak"/>
          <w:rFonts w:ascii="Arial" w:hAnsi="Arial" w:cs="Arial"/>
          <w:color w:val="000000"/>
        </w:rPr>
        <w:t xml:space="preserve">tanu miał uzasadnione </w:t>
      </w:r>
      <w:r w:rsidR="00E3613A" w:rsidRPr="00506C28">
        <w:rPr>
          <w:rStyle w:val="TekstpodstawowyZnak"/>
          <w:rFonts w:ascii="Arial" w:hAnsi="Arial" w:cs="Arial"/>
          <w:color w:val="000000"/>
        </w:rPr>
        <w:t>podstawy,</w:t>
      </w:r>
      <w:r w:rsidRPr="00506C28">
        <w:rPr>
          <w:rStyle w:val="TekstpodstawowyZnak"/>
          <w:rFonts w:ascii="Arial" w:hAnsi="Arial" w:cs="Arial"/>
          <w:color w:val="000000"/>
        </w:rPr>
        <w:t xml:space="preserve"> aby sądzić, że obecność danej osoby w Zjednoczonym Królestwie stanowi zagrożenie dla bezpieczeństwa narodowego oraz miał uzasadnione podejrzenia, że osoba ta jest „międzynarodowym terrorystą”. Ponieważ rząd uznał, że ten system zatrzymań może być niezgodny z art. 5 § 1 </w:t>
      </w:r>
      <w:r w:rsidR="00E841BD" w:rsidRPr="00506C28">
        <w:rPr>
          <w:rStyle w:val="TekstpodstawowyZnak"/>
          <w:rFonts w:ascii="Arial" w:hAnsi="Arial" w:cs="Arial"/>
          <w:color w:val="000000"/>
        </w:rPr>
        <w:t>(prawo</w:t>
      </w:r>
      <w:r w:rsidRPr="00506C28">
        <w:rPr>
          <w:rStyle w:val="TekstpodstawowyZnak"/>
          <w:rFonts w:ascii="Arial" w:hAnsi="Arial" w:cs="Arial"/>
          <w:color w:val="000000"/>
        </w:rPr>
        <w:t xml:space="preserve"> do wolności i bezpieczeństwa</w:t>
      </w:r>
      <w:r w:rsidR="00D65CFC" w:rsidRPr="00506C28">
        <w:rPr>
          <w:rStyle w:val="TekstpodstawowyZnak"/>
          <w:rFonts w:ascii="Arial" w:hAnsi="Arial" w:cs="Arial"/>
          <w:color w:val="000000"/>
        </w:rPr>
        <w:t xml:space="preserve"> osobistego</w:t>
      </w:r>
      <w:r w:rsidRPr="00506C28">
        <w:rPr>
          <w:rStyle w:val="TekstpodstawowyZnak"/>
          <w:rFonts w:ascii="Arial" w:hAnsi="Arial" w:cs="Arial"/>
          <w:color w:val="000000"/>
        </w:rPr>
        <w:t xml:space="preserve">), wydał zawiadomienie o </w:t>
      </w:r>
      <w:r w:rsidR="009441C6" w:rsidRPr="00506C28">
        <w:rPr>
          <w:rStyle w:val="TekstpodstawowyZnak"/>
          <w:rFonts w:ascii="Arial" w:hAnsi="Arial" w:cs="Arial"/>
          <w:color w:val="000000"/>
        </w:rPr>
        <w:t xml:space="preserve">uchyleniu </w:t>
      </w:r>
      <w:r w:rsidRPr="00506C28">
        <w:rPr>
          <w:rStyle w:val="TekstpodstawowyZnak"/>
          <w:rFonts w:ascii="Arial" w:hAnsi="Arial" w:cs="Arial"/>
          <w:color w:val="000000"/>
        </w:rPr>
        <w:t xml:space="preserve">na podstawie art. 15 </w:t>
      </w:r>
      <w:r w:rsidR="0081671F" w:rsidRPr="00506C28">
        <w:rPr>
          <w:rStyle w:val="TekstpodstawowyZnak"/>
          <w:rFonts w:ascii="Arial" w:hAnsi="Arial" w:cs="Arial"/>
          <w:color w:val="000000"/>
        </w:rPr>
        <w:t>K</w:t>
      </w:r>
      <w:r w:rsidRPr="00506C28">
        <w:rPr>
          <w:rStyle w:val="TekstpodstawowyZnak"/>
          <w:rFonts w:ascii="Arial" w:hAnsi="Arial" w:cs="Arial"/>
          <w:color w:val="000000"/>
        </w:rPr>
        <w:t>onwencji, określające przepisy części 4 ustawy o zwalczaniu terroryzmu</w:t>
      </w:r>
      <w:r w:rsidR="00D65CFC" w:rsidRPr="00506C28">
        <w:rPr>
          <w:rStyle w:val="TekstpodstawowyZnak"/>
          <w:rFonts w:ascii="Arial" w:hAnsi="Arial" w:cs="Arial"/>
          <w:color w:val="000000"/>
        </w:rPr>
        <w:t>, p</w:t>
      </w:r>
      <w:r w:rsidRPr="00506C28">
        <w:rPr>
          <w:rStyle w:val="TekstpodstawowyZnak"/>
          <w:rFonts w:ascii="Arial" w:hAnsi="Arial" w:cs="Arial"/>
          <w:color w:val="000000"/>
        </w:rPr>
        <w:t xml:space="preserve">rzestępczości i </w:t>
      </w:r>
      <w:r w:rsidR="00D65CFC" w:rsidRPr="00506C28">
        <w:rPr>
          <w:rStyle w:val="TekstpodstawowyZnak"/>
          <w:rFonts w:ascii="Arial" w:hAnsi="Arial" w:cs="Arial"/>
          <w:color w:val="000000"/>
        </w:rPr>
        <w:t>b</w:t>
      </w:r>
      <w:r w:rsidRPr="00506C28">
        <w:rPr>
          <w:rStyle w:val="TekstpodstawowyZnak"/>
          <w:rFonts w:ascii="Arial" w:hAnsi="Arial" w:cs="Arial"/>
          <w:color w:val="000000"/>
        </w:rPr>
        <w:t>ezpieczeństw</w:t>
      </w:r>
      <w:r w:rsidR="009441C6" w:rsidRPr="00506C28">
        <w:rPr>
          <w:rStyle w:val="TekstpodstawowyZnak"/>
          <w:rFonts w:ascii="Arial" w:hAnsi="Arial" w:cs="Arial"/>
          <w:color w:val="000000"/>
        </w:rPr>
        <w:t>ie</w:t>
      </w:r>
      <w:r w:rsidRPr="00506C28">
        <w:rPr>
          <w:rStyle w:val="TekstpodstawowyZnak"/>
          <w:rFonts w:ascii="Arial" w:hAnsi="Arial" w:cs="Arial"/>
          <w:color w:val="000000"/>
        </w:rPr>
        <w:t xml:space="preserve"> z 2001 r., w tym uprawnienie do zatrzymania cudzoziemców uznanych za „podejrzanych o terroryzm międzynarodowy”, których nie można było w dan</w:t>
      </w:r>
      <w:r w:rsidR="009441C6" w:rsidRPr="00506C28">
        <w:rPr>
          <w:rStyle w:val="TekstpodstawowyZnak"/>
          <w:rFonts w:ascii="Arial" w:hAnsi="Arial" w:cs="Arial"/>
          <w:color w:val="000000"/>
        </w:rPr>
        <w:t>ym momencie</w:t>
      </w:r>
      <w:r w:rsidR="00B317DF" w:rsidRPr="00506C28">
        <w:rPr>
          <w:rStyle w:val="TekstpodstawowyZnak"/>
          <w:rFonts w:ascii="Arial" w:hAnsi="Arial" w:cs="Arial"/>
          <w:color w:val="000000"/>
        </w:rPr>
        <w:t xml:space="preserve"> </w:t>
      </w:r>
      <w:r w:rsidRPr="00506C28">
        <w:rPr>
          <w:rStyle w:val="TekstpodstawowyZnak"/>
          <w:rFonts w:ascii="Arial" w:hAnsi="Arial" w:cs="Arial"/>
          <w:color w:val="000000"/>
        </w:rPr>
        <w:t xml:space="preserve">wydalić z Wielkiej Brytanii. </w:t>
      </w:r>
      <w:r w:rsidR="00F4088D" w:rsidRPr="00506C28">
        <w:rPr>
          <w:rStyle w:val="TekstpodstawowyZnak"/>
          <w:rFonts w:ascii="Arial" w:hAnsi="Arial" w:cs="Arial"/>
          <w:color w:val="000000"/>
        </w:rPr>
        <w:t xml:space="preserve">Jedenastu </w:t>
      </w:r>
      <w:r w:rsidRPr="00506C28">
        <w:rPr>
          <w:rStyle w:val="TekstpodstawowyZnak"/>
          <w:rFonts w:ascii="Arial" w:hAnsi="Arial" w:cs="Arial"/>
          <w:color w:val="000000"/>
        </w:rPr>
        <w:t xml:space="preserve">skarżących, którzy </w:t>
      </w:r>
      <w:r w:rsidR="00F4088D" w:rsidRPr="00506C28">
        <w:rPr>
          <w:rStyle w:val="TekstpodstawowyZnak"/>
          <w:rFonts w:ascii="Arial" w:hAnsi="Arial" w:cs="Arial"/>
          <w:color w:val="000000"/>
        </w:rPr>
        <w:t xml:space="preserve">zarzucali, że w ramach tego mechanizmu ustawowego byli </w:t>
      </w:r>
      <w:r w:rsidRPr="00506C28">
        <w:rPr>
          <w:rStyle w:val="TekstpodstawowyZnak"/>
          <w:rFonts w:ascii="Arial" w:hAnsi="Arial" w:cs="Arial"/>
          <w:color w:val="000000"/>
        </w:rPr>
        <w:t xml:space="preserve">przetrzymywani w warunkach ścisłego </w:t>
      </w:r>
      <w:r w:rsidR="00F4088D" w:rsidRPr="00506C28">
        <w:rPr>
          <w:rStyle w:val="TekstpodstawowyZnak"/>
          <w:rFonts w:ascii="Arial" w:hAnsi="Arial" w:cs="Arial"/>
          <w:color w:val="000000"/>
        </w:rPr>
        <w:t>rygoru</w:t>
      </w:r>
      <w:r w:rsidRPr="00506C28">
        <w:rPr>
          <w:rStyle w:val="TekstpodstawowyZnak"/>
          <w:rFonts w:ascii="Arial" w:hAnsi="Arial" w:cs="Arial"/>
          <w:color w:val="000000"/>
        </w:rPr>
        <w:t>, twierdziło, że w tamtym czasie nie istniał żad</w:t>
      </w:r>
      <w:r w:rsidR="00DA12D5" w:rsidRPr="00506C28">
        <w:rPr>
          <w:rStyle w:val="TekstpodstawowyZnak"/>
          <w:rFonts w:ascii="Arial" w:hAnsi="Arial" w:cs="Arial"/>
          <w:color w:val="000000"/>
        </w:rPr>
        <w:t>en</w:t>
      </w:r>
      <w:r w:rsidRPr="00506C28">
        <w:rPr>
          <w:rStyle w:val="TekstpodstawowyZnak"/>
          <w:rFonts w:ascii="Arial" w:hAnsi="Arial" w:cs="Arial"/>
          <w:color w:val="000000"/>
        </w:rPr>
        <w:t xml:space="preserve"> </w:t>
      </w:r>
      <w:r w:rsidR="00DA12D5" w:rsidRPr="00506C28">
        <w:rPr>
          <w:rStyle w:val="TekstpodstawowyZnak"/>
          <w:rFonts w:ascii="Arial" w:hAnsi="Arial" w:cs="Arial"/>
          <w:color w:val="000000"/>
        </w:rPr>
        <w:t xml:space="preserve">stan niebezpieczeństwa publicznego </w:t>
      </w:r>
      <w:r w:rsidRPr="00506C28">
        <w:rPr>
          <w:rStyle w:val="TekstpodstawowyZnak"/>
          <w:rFonts w:ascii="Arial" w:hAnsi="Arial" w:cs="Arial"/>
          <w:color w:val="000000"/>
        </w:rPr>
        <w:t>zagrażając</w:t>
      </w:r>
      <w:r w:rsidR="00DA12D5" w:rsidRPr="00506C28">
        <w:rPr>
          <w:rStyle w:val="TekstpodstawowyZnak"/>
          <w:rFonts w:ascii="Arial" w:hAnsi="Arial" w:cs="Arial"/>
          <w:color w:val="000000"/>
        </w:rPr>
        <w:t>y</w:t>
      </w:r>
      <w:r w:rsidRPr="00506C28">
        <w:rPr>
          <w:rStyle w:val="TekstpodstawowyZnak"/>
          <w:rFonts w:ascii="Arial" w:hAnsi="Arial" w:cs="Arial"/>
          <w:color w:val="000000"/>
        </w:rPr>
        <w:t xml:space="preserve"> życiu narodu. Na poparcie swojego stanowiska przedstawili trzy główne argumenty: po pierwsze, stan wyjątkowy nie był ani rzeczywisty </w:t>
      </w:r>
      <w:r w:rsidR="0097015B" w:rsidRPr="00506C28">
        <w:rPr>
          <w:rStyle w:val="TekstpodstawowyZnak"/>
          <w:rFonts w:ascii="Arial" w:hAnsi="Arial" w:cs="Arial"/>
          <w:color w:val="000000"/>
        </w:rPr>
        <w:t>[</w:t>
      </w:r>
      <w:r w:rsidR="00E841BD" w:rsidRPr="004E75AD">
        <w:rPr>
          <w:rStyle w:val="TekstpodstawowyZnak"/>
          <w:rFonts w:ascii="Arial" w:hAnsi="Arial" w:cs="Arial"/>
          <w:i/>
          <w:iCs/>
          <w:color w:val="000000"/>
        </w:rPr>
        <w:t>si</w:t>
      </w:r>
      <w:r w:rsidR="003542FD" w:rsidRPr="004E75AD">
        <w:rPr>
          <w:rStyle w:val="TekstpodstawowyZnak"/>
          <w:rFonts w:ascii="Arial" w:hAnsi="Arial" w:cs="Arial"/>
          <w:i/>
          <w:iCs/>
          <w:color w:val="000000"/>
        </w:rPr>
        <w:t>c</w:t>
      </w:r>
      <w:r w:rsidR="0097015B" w:rsidRPr="00506C28">
        <w:rPr>
          <w:rStyle w:val="TekstpodstawowyZnak"/>
          <w:rFonts w:ascii="Arial" w:hAnsi="Arial" w:cs="Arial"/>
          <w:color w:val="000000"/>
        </w:rPr>
        <w:t>]</w:t>
      </w:r>
      <w:r w:rsidRPr="00506C28">
        <w:rPr>
          <w:rStyle w:val="TekstpodstawowyZnak"/>
          <w:rFonts w:ascii="Arial" w:hAnsi="Arial" w:cs="Arial"/>
          <w:color w:val="000000"/>
        </w:rPr>
        <w:t xml:space="preserve">, ani </w:t>
      </w:r>
      <w:r w:rsidR="00DA12D5" w:rsidRPr="00506C28">
        <w:rPr>
          <w:rStyle w:val="TekstpodstawowyZnak"/>
          <w:rFonts w:ascii="Arial" w:hAnsi="Arial" w:cs="Arial"/>
          <w:color w:val="000000"/>
        </w:rPr>
        <w:t>nieunikniony</w:t>
      </w:r>
      <w:r w:rsidRPr="00506C28">
        <w:rPr>
          <w:rStyle w:val="TekstpodstawowyZnak"/>
          <w:rFonts w:ascii="Arial" w:hAnsi="Arial" w:cs="Arial"/>
          <w:color w:val="000000"/>
        </w:rPr>
        <w:t xml:space="preserve">; po drugie, nie miał on charakteru tymczasowego; po trzecie, praktyka innych państw, z których żadne nie uchyliło </w:t>
      </w:r>
      <w:r w:rsidR="0097015B" w:rsidRPr="00506C28">
        <w:rPr>
          <w:rStyle w:val="TekstpodstawowyZnak"/>
          <w:rFonts w:ascii="Arial" w:hAnsi="Arial" w:cs="Arial"/>
          <w:color w:val="000000"/>
        </w:rPr>
        <w:t xml:space="preserve">stosowania zobowiązań wynikających z </w:t>
      </w:r>
      <w:r w:rsidR="0081671F" w:rsidRPr="00506C28">
        <w:rPr>
          <w:rStyle w:val="TekstpodstawowyZnak"/>
          <w:rFonts w:ascii="Arial" w:hAnsi="Arial" w:cs="Arial"/>
          <w:color w:val="000000"/>
        </w:rPr>
        <w:t>K</w:t>
      </w:r>
      <w:r w:rsidRPr="00506C28">
        <w:rPr>
          <w:rStyle w:val="TekstpodstawowyZnak"/>
          <w:rFonts w:ascii="Arial" w:hAnsi="Arial" w:cs="Arial"/>
          <w:color w:val="000000"/>
        </w:rPr>
        <w:t>onwencji, w połączeniu z opiniami innych organów krajowych i międzynarodowych, sugerowała, że nie stwierdzono istnienia stanu wyjątkowego.</w:t>
      </w:r>
    </w:p>
    <w:p w14:paraId="4FEE6EA6" w14:textId="501E6B40" w:rsidR="00C869CC" w:rsidRPr="00506C28" w:rsidRDefault="005966F1" w:rsidP="004E75AD">
      <w:pPr>
        <w:pStyle w:val="Tekstpodstawowy"/>
        <w:spacing w:before="30" w:after="0"/>
        <w:jc w:val="both"/>
        <w:rPr>
          <w:rStyle w:val="Bodytext4"/>
        </w:rPr>
      </w:pPr>
      <w:r w:rsidRPr="00506C28">
        <w:rPr>
          <w:rStyle w:val="TekstpodstawowyZnak"/>
          <w:rFonts w:ascii="Arial" w:hAnsi="Arial" w:cs="Arial"/>
        </w:rPr>
        <w:t xml:space="preserve">Trybunał </w:t>
      </w:r>
      <w:r w:rsidR="009130BA" w:rsidRPr="00506C28">
        <w:rPr>
          <w:rStyle w:val="TekstpodstawowyZnak"/>
          <w:rFonts w:ascii="Arial" w:hAnsi="Arial" w:cs="Arial"/>
        </w:rPr>
        <w:t xml:space="preserve">uznał, że zaistniała sytuacja </w:t>
      </w:r>
      <w:r w:rsidR="00EF22FA" w:rsidRPr="00506C28">
        <w:rPr>
          <w:rStyle w:val="TekstpodstawowyZnak"/>
          <w:rFonts w:ascii="Arial" w:hAnsi="Arial" w:cs="Arial"/>
        </w:rPr>
        <w:t xml:space="preserve">niebezpieczeństwa publicznego </w:t>
      </w:r>
      <w:r w:rsidR="009130BA" w:rsidRPr="00506C28">
        <w:rPr>
          <w:rStyle w:val="TekstpodstawowyZnak"/>
          <w:rFonts w:ascii="Arial" w:hAnsi="Arial" w:cs="Arial"/>
        </w:rPr>
        <w:t>zagrażając</w:t>
      </w:r>
      <w:r w:rsidR="00EF22FA" w:rsidRPr="00506C28">
        <w:rPr>
          <w:rStyle w:val="TekstpodstawowyZnak"/>
          <w:rFonts w:ascii="Arial" w:hAnsi="Arial" w:cs="Arial"/>
        </w:rPr>
        <w:t>ego</w:t>
      </w:r>
      <w:r w:rsidR="009130BA" w:rsidRPr="00506C28">
        <w:rPr>
          <w:rStyle w:val="TekstpodstawowyZnak"/>
          <w:rFonts w:ascii="Arial" w:hAnsi="Arial" w:cs="Arial"/>
        </w:rPr>
        <w:t xml:space="preserve"> życiu</w:t>
      </w:r>
      <w:r w:rsidR="00A70802" w:rsidRPr="00506C28">
        <w:rPr>
          <w:rFonts w:ascii="Arial" w:hAnsi="Arial" w:cs="Arial"/>
        </w:rPr>
        <w:t xml:space="preserve"> </w:t>
      </w:r>
      <w:r w:rsidR="009130BA" w:rsidRPr="00506C28">
        <w:rPr>
          <w:rStyle w:val="TekstpodstawowyZnak"/>
          <w:rFonts w:ascii="Arial" w:hAnsi="Arial" w:cs="Arial"/>
        </w:rPr>
        <w:t xml:space="preserve">narodu. Przed sądami krajowymi </w:t>
      </w:r>
      <w:r w:rsidR="005D250B" w:rsidRPr="00506C28">
        <w:rPr>
          <w:rStyle w:val="TekstpodstawowyZnak"/>
          <w:rFonts w:ascii="Arial" w:hAnsi="Arial" w:cs="Arial"/>
        </w:rPr>
        <w:t>S</w:t>
      </w:r>
      <w:r w:rsidR="009130BA" w:rsidRPr="00506C28">
        <w:rPr>
          <w:rStyle w:val="TekstpodstawowyZnak"/>
          <w:rFonts w:ascii="Arial" w:hAnsi="Arial" w:cs="Arial"/>
        </w:rPr>
        <w:t xml:space="preserve">ekretarz </w:t>
      </w:r>
      <w:r w:rsidR="005D250B" w:rsidRPr="00506C28">
        <w:rPr>
          <w:rStyle w:val="TekstpodstawowyZnak"/>
          <w:rFonts w:ascii="Arial" w:hAnsi="Arial" w:cs="Arial"/>
        </w:rPr>
        <w:t>S</w:t>
      </w:r>
      <w:r w:rsidR="009130BA" w:rsidRPr="00506C28">
        <w:rPr>
          <w:rStyle w:val="TekstpodstawowyZnak"/>
          <w:rFonts w:ascii="Arial" w:hAnsi="Arial" w:cs="Arial"/>
        </w:rPr>
        <w:t>tanu przedstawił dowody wskazujące na istnienie zagrożenia poważnymi atakami terrorystycznymi planowanymi przeciwko Zjednoczonemu Królestwu. Dodatkowe dowody niejawne zostały przedstawione przed SIAC. Wszyscy sędziowie krajowi</w:t>
      </w:r>
      <w:r w:rsidRPr="00506C28">
        <w:rPr>
          <w:rStyle w:val="TekstpodstawowyZnak"/>
          <w:rFonts w:ascii="Arial" w:hAnsi="Arial" w:cs="Arial"/>
        </w:rPr>
        <w:t>,</w:t>
      </w:r>
      <w:r w:rsidR="009130BA" w:rsidRPr="00506C28">
        <w:rPr>
          <w:rStyle w:val="TekstpodstawowyZnak"/>
          <w:rFonts w:ascii="Arial" w:hAnsi="Arial" w:cs="Arial"/>
        </w:rPr>
        <w:t xml:space="preserve"> z wyjątkiem jednego</w:t>
      </w:r>
      <w:r w:rsidRPr="00506C28">
        <w:rPr>
          <w:rStyle w:val="TekstpodstawowyZnak"/>
          <w:rFonts w:ascii="Arial" w:hAnsi="Arial" w:cs="Arial"/>
        </w:rPr>
        <w:t>,</w:t>
      </w:r>
      <w:r w:rsidR="009130BA" w:rsidRPr="00506C28">
        <w:rPr>
          <w:rStyle w:val="TekstpodstawowyZnak"/>
          <w:rFonts w:ascii="Arial" w:hAnsi="Arial" w:cs="Arial"/>
        </w:rPr>
        <w:t xml:space="preserve"> uznali, że zagrożenie było wiarygodne. Chociaż w momencie wprowadzenia </w:t>
      </w:r>
      <w:r w:rsidR="005C6EBB" w:rsidRPr="00506C28">
        <w:rPr>
          <w:rStyle w:val="TekstpodstawowyZnak"/>
          <w:rFonts w:ascii="Arial" w:hAnsi="Arial" w:cs="Arial"/>
        </w:rPr>
        <w:t>uchylenia</w:t>
      </w:r>
      <w:r w:rsidR="009130BA" w:rsidRPr="00506C28">
        <w:rPr>
          <w:rStyle w:val="TekstpodstawowyZnak"/>
          <w:rFonts w:ascii="Arial" w:hAnsi="Arial" w:cs="Arial"/>
        </w:rPr>
        <w:t xml:space="preserve"> w Wielkiej Brytanii nie doszło do żadnego ataku Al-Kaidy, Trybunał uznał, że</w:t>
      </w:r>
      <w:r w:rsidR="00B317DF" w:rsidRPr="00506C28">
        <w:rPr>
          <w:rStyle w:val="TekstpodstawowyZnak"/>
          <w:rFonts w:ascii="Arial" w:hAnsi="Arial" w:cs="Arial"/>
        </w:rPr>
        <w:t xml:space="preserve"> nie</w:t>
      </w:r>
      <w:r w:rsidR="009130BA" w:rsidRPr="00506C28">
        <w:rPr>
          <w:rStyle w:val="TekstpodstawowyZnak"/>
          <w:rFonts w:ascii="Arial" w:hAnsi="Arial" w:cs="Arial"/>
        </w:rPr>
        <w:t xml:space="preserve"> można krytykować władz krajow</w:t>
      </w:r>
      <w:r w:rsidR="00B317DF" w:rsidRPr="00506C28">
        <w:rPr>
          <w:rStyle w:val="TekstpodstawowyZnak"/>
          <w:rFonts w:ascii="Arial" w:hAnsi="Arial" w:cs="Arial"/>
        </w:rPr>
        <w:t>ych</w:t>
      </w:r>
      <w:r w:rsidR="009130BA" w:rsidRPr="00506C28">
        <w:rPr>
          <w:rStyle w:val="TekstpodstawowyZnak"/>
          <w:rFonts w:ascii="Arial" w:hAnsi="Arial" w:cs="Arial"/>
        </w:rPr>
        <w:t xml:space="preserve"> za obawę przed zbliżającym się atakiem. Nie można </w:t>
      </w:r>
      <w:r w:rsidR="00B317DF" w:rsidRPr="00506C28">
        <w:rPr>
          <w:rStyle w:val="TekstpodstawowyZnak"/>
          <w:rFonts w:ascii="Arial" w:hAnsi="Arial" w:cs="Arial"/>
        </w:rPr>
        <w:t xml:space="preserve">także </w:t>
      </w:r>
      <w:r w:rsidR="009130BA" w:rsidRPr="00506C28">
        <w:rPr>
          <w:rStyle w:val="TekstpodstawowyZnak"/>
          <w:rFonts w:ascii="Arial" w:hAnsi="Arial" w:cs="Arial"/>
        </w:rPr>
        <w:t>oczekiwać, że państwo będzie czekać na katastrofę, zanim podejmie środki, aby jej zapobiec. Władze krajowe miały szeroki margines oceny zagrożenia, zgodnie z</w:t>
      </w:r>
      <w:r w:rsidR="00FB0B8B" w:rsidRPr="00506C28">
        <w:rPr>
          <w:rFonts w:ascii="Arial" w:hAnsi="Arial" w:cs="Arial"/>
        </w:rPr>
        <w:t xml:space="preserve"> </w:t>
      </w:r>
      <w:r w:rsidR="009130BA" w:rsidRPr="00506C28">
        <w:rPr>
          <w:rStyle w:val="TekstpodstawowyZnak"/>
          <w:rFonts w:ascii="Arial" w:hAnsi="Arial" w:cs="Arial"/>
        </w:rPr>
        <w:t>informacj</w:t>
      </w:r>
      <w:r w:rsidR="00FB0B8B" w:rsidRPr="00506C28">
        <w:rPr>
          <w:rStyle w:val="TekstpodstawowyZnak"/>
          <w:rFonts w:ascii="Arial" w:hAnsi="Arial" w:cs="Arial"/>
        </w:rPr>
        <w:t>ami</w:t>
      </w:r>
      <w:r w:rsidR="009130BA" w:rsidRPr="00506C28">
        <w:rPr>
          <w:rStyle w:val="TekstpodstawowyZnak"/>
          <w:rFonts w:ascii="Arial" w:hAnsi="Arial" w:cs="Arial"/>
        </w:rPr>
        <w:t>, którymi dysponowali. Należało przywiąz</w:t>
      </w:r>
      <w:r w:rsidR="00436EF0" w:rsidRPr="00506C28">
        <w:rPr>
          <w:rStyle w:val="TekstpodstawowyZnak"/>
          <w:rFonts w:ascii="Arial" w:hAnsi="Arial" w:cs="Arial"/>
        </w:rPr>
        <w:t>ać</w:t>
      </w:r>
      <w:r w:rsidR="009130BA" w:rsidRPr="00506C28">
        <w:rPr>
          <w:rStyle w:val="TekstpodstawowyZnak"/>
          <w:rFonts w:ascii="Arial" w:hAnsi="Arial" w:cs="Arial"/>
        </w:rPr>
        <w:t xml:space="preserve"> wagę do opinii władzy wykonawczej i parlamentu w tej kwestii. Znaczną uwagę należało również </w:t>
      </w:r>
      <w:r w:rsidR="00436EF0" w:rsidRPr="00506C28">
        <w:rPr>
          <w:rStyle w:val="TekstpodstawowyZnak"/>
          <w:rFonts w:ascii="Arial" w:hAnsi="Arial" w:cs="Arial"/>
        </w:rPr>
        <w:t>poświęcić</w:t>
      </w:r>
      <w:r w:rsidR="009130BA" w:rsidRPr="00506C28">
        <w:rPr>
          <w:rStyle w:val="TekstpodstawowyZnak"/>
          <w:rFonts w:ascii="Arial" w:hAnsi="Arial" w:cs="Arial"/>
        </w:rPr>
        <w:t xml:space="preserve"> opini</w:t>
      </w:r>
      <w:r w:rsidR="00436EF0" w:rsidRPr="00506C28">
        <w:rPr>
          <w:rStyle w:val="TekstpodstawowyZnak"/>
          <w:rFonts w:ascii="Arial" w:hAnsi="Arial" w:cs="Arial"/>
        </w:rPr>
        <w:t>om</w:t>
      </w:r>
      <w:r w:rsidR="009130BA" w:rsidRPr="00506C28">
        <w:rPr>
          <w:rStyle w:val="TekstpodstawowyZnak"/>
          <w:rFonts w:ascii="Arial" w:hAnsi="Arial" w:cs="Arial"/>
        </w:rPr>
        <w:t xml:space="preserve"> sądów krajowych, które </w:t>
      </w:r>
      <w:r w:rsidR="00436EF0" w:rsidRPr="00506C28">
        <w:rPr>
          <w:rStyle w:val="TekstpodstawowyZnak"/>
          <w:rFonts w:ascii="Arial" w:hAnsi="Arial" w:cs="Arial"/>
        </w:rPr>
        <w:t>miały lepsze warunki do oceny</w:t>
      </w:r>
      <w:r w:rsidR="009130BA" w:rsidRPr="00506C28">
        <w:rPr>
          <w:rStyle w:val="TekstpodstawowyZnak"/>
          <w:rFonts w:ascii="Arial" w:hAnsi="Arial" w:cs="Arial"/>
        </w:rPr>
        <w:t xml:space="preserve"> dowod</w:t>
      </w:r>
      <w:r w:rsidR="00436EF0" w:rsidRPr="00506C28">
        <w:rPr>
          <w:rStyle w:val="TekstpodstawowyZnak"/>
          <w:rFonts w:ascii="Arial" w:hAnsi="Arial" w:cs="Arial"/>
        </w:rPr>
        <w:t>ów</w:t>
      </w:r>
      <w:r w:rsidR="009130BA" w:rsidRPr="00506C28">
        <w:rPr>
          <w:rStyle w:val="TekstpodstawowyZnak"/>
          <w:rFonts w:ascii="Arial" w:hAnsi="Arial" w:cs="Arial"/>
        </w:rPr>
        <w:t xml:space="preserve"> dotycząc</w:t>
      </w:r>
      <w:r w:rsidR="00436EF0" w:rsidRPr="00506C28">
        <w:rPr>
          <w:rStyle w:val="TekstpodstawowyZnak"/>
          <w:rFonts w:ascii="Arial" w:hAnsi="Arial" w:cs="Arial"/>
        </w:rPr>
        <w:t>ych</w:t>
      </w:r>
      <w:r w:rsidR="009130BA" w:rsidRPr="00506C28">
        <w:rPr>
          <w:rStyle w:val="TekstpodstawowyZnak"/>
          <w:rFonts w:ascii="Arial" w:hAnsi="Arial" w:cs="Arial"/>
        </w:rPr>
        <w:t xml:space="preserve"> istnienia sytuacji nadzwyczajnej.</w:t>
      </w:r>
    </w:p>
    <w:p w14:paraId="3EFCA457" w14:textId="3A05618C" w:rsidR="00782109" w:rsidRPr="00506C28" w:rsidRDefault="005C6EBB" w:rsidP="004E75AD">
      <w:pPr>
        <w:pStyle w:val="Bodytext40"/>
        <w:spacing w:before="30" w:line="254" w:lineRule="auto"/>
        <w:jc w:val="both"/>
      </w:pPr>
      <w:r w:rsidRPr="00506C28">
        <w:rPr>
          <w:rStyle w:val="Bodytext4"/>
          <w:b/>
          <w:bCs/>
          <w:i/>
          <w:iCs/>
        </w:rPr>
        <w:t>Uchylenie</w:t>
      </w:r>
      <w:r w:rsidR="009130BA" w:rsidRPr="00506C28">
        <w:rPr>
          <w:rStyle w:val="Bodytext4"/>
          <w:b/>
          <w:bCs/>
          <w:i/>
          <w:iCs/>
        </w:rPr>
        <w:t xml:space="preserve"> rządu tureckiego po próbie zamachu stanu z dnia 15 lipca 2016 r.</w:t>
      </w:r>
    </w:p>
    <w:p w14:paraId="4DA64828" w14:textId="77777777" w:rsidR="00A33C73" w:rsidRPr="00506C28" w:rsidRDefault="00782109" w:rsidP="004E75AD">
      <w:pPr>
        <w:pStyle w:val="Tekstpodstawowy"/>
        <w:spacing w:before="30" w:after="0" w:line="298" w:lineRule="auto"/>
        <w:jc w:val="both"/>
        <w:rPr>
          <w:rStyle w:val="TekstpodstawowyZnak"/>
          <w:rFonts w:ascii="Arial" w:hAnsi="Arial" w:cs="Arial"/>
          <w:b/>
          <w:bCs/>
          <w:i/>
          <w:iCs/>
          <w:color w:val="808080"/>
          <w:sz w:val="15"/>
          <w:szCs w:val="15"/>
        </w:rPr>
      </w:pPr>
      <w:hyperlink r:id="rId25" w:history="1">
        <w:r w:rsidRPr="00506C28">
          <w:rPr>
            <w:rStyle w:val="TekstpodstawowyZnak"/>
            <w:rFonts w:ascii="Arial" w:hAnsi="Arial" w:cs="Arial"/>
            <w:b/>
            <w:bCs/>
            <w:sz w:val="18"/>
            <w:szCs w:val="18"/>
            <w:u w:val="single"/>
          </w:rPr>
          <w:t>Şahin Alpay przeciwko Turcji</w:t>
        </w:r>
        <w:r w:rsidRPr="00506C28">
          <w:rPr>
            <w:rStyle w:val="TekstpodstawowyZnak"/>
            <w:rFonts w:ascii="Arial" w:hAnsi="Arial" w:cs="Arial"/>
            <w:b/>
            <w:bCs/>
            <w:sz w:val="18"/>
            <w:szCs w:val="18"/>
          </w:rPr>
          <w:t xml:space="preserve"> </w:t>
        </w:r>
      </w:hyperlink>
      <w:r w:rsidRPr="00506C28">
        <w:rPr>
          <w:rStyle w:val="TekstpodstawowyZnak"/>
          <w:rFonts w:ascii="Arial" w:hAnsi="Arial" w:cs="Arial"/>
          <w:b/>
          <w:bCs/>
          <w:sz w:val="18"/>
          <w:szCs w:val="18"/>
        </w:rPr>
        <w:t>i</w:t>
      </w:r>
      <w:hyperlink r:id="rId26" w:history="1">
        <w:r w:rsidRPr="00506C28">
          <w:rPr>
            <w:rStyle w:val="TekstpodstawowyZnak"/>
            <w:rFonts w:ascii="Arial" w:hAnsi="Arial" w:cs="Arial"/>
            <w:b/>
            <w:bCs/>
            <w:sz w:val="18"/>
            <w:szCs w:val="18"/>
          </w:rPr>
          <w:t xml:space="preserve"> </w:t>
        </w:r>
        <w:r w:rsidRPr="00506C28">
          <w:rPr>
            <w:rStyle w:val="TekstpodstawowyZnak"/>
            <w:rFonts w:ascii="Arial" w:hAnsi="Arial" w:cs="Arial"/>
            <w:b/>
            <w:bCs/>
            <w:sz w:val="18"/>
            <w:szCs w:val="18"/>
            <w:u w:val="single"/>
          </w:rPr>
          <w:t>Mehmet Hasan Altan przeciwko Turcji</w:t>
        </w:r>
        <w:r w:rsidRPr="00506C28">
          <w:rPr>
            <w:rStyle w:val="TekstpodstawowyZnak"/>
            <w:rFonts w:ascii="Arial" w:hAnsi="Arial" w:cs="Arial"/>
            <w:b/>
            <w:bCs/>
            <w:sz w:val="18"/>
            <w:szCs w:val="18"/>
          </w:rPr>
          <w:t xml:space="preserve"> </w:t>
        </w:r>
      </w:hyperlink>
      <w:r w:rsidRPr="00506C28">
        <w:rPr>
          <w:rStyle w:val="TekstpodstawowyZnak"/>
          <w:rFonts w:ascii="Arial" w:hAnsi="Arial" w:cs="Arial"/>
          <w:color w:val="808080"/>
          <w:sz w:val="15"/>
          <w:szCs w:val="15"/>
        </w:rPr>
        <w:t xml:space="preserve">(zob. również poniżej, s. 9) </w:t>
      </w:r>
    </w:p>
    <w:p w14:paraId="7D397CFC" w14:textId="244A337F" w:rsidR="00782109" w:rsidRPr="00506C28" w:rsidRDefault="00782109" w:rsidP="004E75AD">
      <w:pPr>
        <w:pStyle w:val="Tekstpodstawowy"/>
        <w:spacing w:before="30" w:after="0" w:line="298" w:lineRule="auto"/>
        <w:jc w:val="both"/>
        <w:rPr>
          <w:rFonts w:ascii="Arial" w:hAnsi="Arial" w:cs="Arial"/>
          <w:sz w:val="17"/>
          <w:szCs w:val="17"/>
        </w:rPr>
      </w:pPr>
      <w:r w:rsidRPr="00506C28">
        <w:rPr>
          <w:rStyle w:val="TekstpodstawowyZnak"/>
          <w:rFonts w:ascii="Arial" w:hAnsi="Arial" w:cs="Arial"/>
          <w:color w:val="808080"/>
          <w:sz w:val="17"/>
          <w:szCs w:val="17"/>
        </w:rPr>
        <w:t>20 marca 2018 r. (wyroki izby)</w:t>
      </w:r>
    </w:p>
    <w:p w14:paraId="217CD885" w14:textId="454E3799"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color w:val="000000"/>
        </w:rPr>
        <w:t xml:space="preserve">Sprawy te dotyczyły skarg dwóch dziennikarzy, którzy zostali aresztowani i zatrzymani </w:t>
      </w:r>
      <w:r w:rsidR="005843BE" w:rsidRPr="00506C28">
        <w:rPr>
          <w:rStyle w:val="TekstpodstawowyZnak"/>
          <w:rFonts w:ascii="Arial" w:hAnsi="Arial" w:cs="Arial"/>
          <w:color w:val="000000"/>
        </w:rPr>
        <w:t>w następstwie próby wojskowego zamachu stanu</w:t>
      </w:r>
      <w:r w:rsidRPr="00506C28">
        <w:rPr>
          <w:rStyle w:val="TekstpodstawowyZnak"/>
          <w:rFonts w:ascii="Arial" w:hAnsi="Arial" w:cs="Arial"/>
          <w:color w:val="000000"/>
        </w:rPr>
        <w:t xml:space="preserve"> z 15 lipca 2016 r. Rząd turecki podkreślił, że wszystkie </w:t>
      </w:r>
      <w:r w:rsidR="005843BE" w:rsidRPr="00506C28">
        <w:rPr>
          <w:rStyle w:val="TekstpodstawowyZnak"/>
          <w:rFonts w:ascii="Arial" w:hAnsi="Arial" w:cs="Arial"/>
          <w:color w:val="000000"/>
        </w:rPr>
        <w:t xml:space="preserve">zarzuty </w:t>
      </w:r>
      <w:r w:rsidRPr="00506C28">
        <w:rPr>
          <w:rStyle w:val="TekstpodstawowyZnak"/>
          <w:rFonts w:ascii="Arial" w:hAnsi="Arial" w:cs="Arial"/>
          <w:color w:val="000000"/>
        </w:rPr>
        <w:t xml:space="preserve">skarżących </w:t>
      </w:r>
      <w:r w:rsidR="005843BE" w:rsidRPr="00506C28">
        <w:rPr>
          <w:rStyle w:val="TekstpodstawowyZnak"/>
          <w:rFonts w:ascii="Arial" w:hAnsi="Arial" w:cs="Arial"/>
          <w:color w:val="000000"/>
        </w:rPr>
        <w:t>należy rozpatrzeć</w:t>
      </w:r>
      <w:r w:rsidRPr="00506C28">
        <w:rPr>
          <w:rStyle w:val="TekstpodstawowyZnak"/>
          <w:rFonts w:ascii="Arial" w:hAnsi="Arial" w:cs="Arial"/>
          <w:color w:val="000000"/>
        </w:rPr>
        <w:t xml:space="preserve"> z należytym uwzględnieniem </w:t>
      </w:r>
      <w:r w:rsidR="005C6EBB" w:rsidRPr="00506C28">
        <w:rPr>
          <w:rStyle w:val="TekstpodstawowyZnak"/>
          <w:rFonts w:ascii="Arial" w:hAnsi="Arial" w:cs="Arial"/>
          <w:color w:val="000000"/>
        </w:rPr>
        <w:t>uchylenia</w:t>
      </w:r>
      <w:r w:rsidRPr="00506C28">
        <w:rPr>
          <w:rStyle w:val="TekstpodstawowyZnak"/>
          <w:rFonts w:ascii="Arial" w:hAnsi="Arial" w:cs="Arial"/>
          <w:color w:val="000000"/>
        </w:rPr>
        <w:t xml:space="preserve">, o którym </w:t>
      </w:r>
      <w:r w:rsidR="007646B7" w:rsidRPr="00506C28">
        <w:rPr>
          <w:rStyle w:val="TekstpodstawowyZnak"/>
          <w:rFonts w:ascii="Arial" w:hAnsi="Arial" w:cs="Arial"/>
          <w:color w:val="000000"/>
        </w:rPr>
        <w:t>S</w:t>
      </w:r>
      <w:r w:rsidRPr="00506C28">
        <w:rPr>
          <w:rStyle w:val="TekstpodstawowyZnak"/>
          <w:rFonts w:ascii="Arial" w:hAnsi="Arial" w:cs="Arial"/>
          <w:color w:val="000000"/>
        </w:rPr>
        <w:t xml:space="preserve">ekretarz </w:t>
      </w:r>
      <w:r w:rsidR="007646B7" w:rsidRPr="00506C28">
        <w:rPr>
          <w:rStyle w:val="TekstpodstawowyZnak"/>
          <w:rFonts w:ascii="Arial" w:hAnsi="Arial" w:cs="Arial"/>
          <w:color w:val="000000"/>
        </w:rPr>
        <w:t>G</w:t>
      </w:r>
      <w:r w:rsidRPr="00506C28">
        <w:rPr>
          <w:rStyle w:val="TekstpodstawowyZnak"/>
          <w:rFonts w:ascii="Arial" w:hAnsi="Arial" w:cs="Arial"/>
          <w:color w:val="000000"/>
        </w:rPr>
        <w:t xml:space="preserve">eneralny Rady Europy został powiadomiony w dniu 21 lipca 2016 r. na podstawie art. 15 </w:t>
      </w:r>
      <w:r w:rsidR="005843BE" w:rsidRPr="00506C28">
        <w:rPr>
          <w:rStyle w:val="TekstpodstawowyZnak"/>
          <w:rFonts w:ascii="Arial" w:hAnsi="Arial" w:cs="Arial"/>
          <w:color w:val="000000"/>
        </w:rPr>
        <w:t>K</w:t>
      </w:r>
      <w:r w:rsidRPr="00506C28">
        <w:rPr>
          <w:rStyle w:val="TekstpodstawowyZnak"/>
          <w:rFonts w:ascii="Arial" w:hAnsi="Arial" w:cs="Arial"/>
          <w:color w:val="000000"/>
        </w:rPr>
        <w:t>onwencji.</w:t>
      </w:r>
    </w:p>
    <w:p w14:paraId="28DB572C" w14:textId="64B7B2FC" w:rsidR="00C869CC" w:rsidRPr="00506C28" w:rsidRDefault="009130BA" w:rsidP="004E75AD">
      <w:pPr>
        <w:pStyle w:val="Tekstpodstawowy"/>
        <w:spacing w:before="30" w:after="80"/>
        <w:jc w:val="both"/>
        <w:rPr>
          <w:rFonts w:ascii="Arial" w:hAnsi="Arial" w:cs="Arial"/>
        </w:rPr>
      </w:pPr>
      <w:r w:rsidRPr="00506C28">
        <w:rPr>
          <w:rStyle w:val="TekstpodstawowyZnak"/>
          <w:rFonts w:ascii="Arial" w:hAnsi="Arial" w:cs="Arial"/>
        </w:rPr>
        <w:t xml:space="preserve">W obu przypadkach Trybunał zauważył, że Trybunał Konstytucyjny Turcji, po zbadaniu z konstytucyjnego punktu widzenia okoliczności, które doprowadziły do ogłoszenia stanu wyjątkowego, stwierdził, że próba </w:t>
      </w:r>
      <w:r w:rsidR="00436EF0" w:rsidRPr="00506C28">
        <w:rPr>
          <w:rStyle w:val="TekstpodstawowyZnak"/>
          <w:rFonts w:ascii="Arial" w:hAnsi="Arial" w:cs="Arial"/>
        </w:rPr>
        <w:t xml:space="preserve">wojskowego </w:t>
      </w:r>
      <w:r w:rsidRPr="00506C28">
        <w:rPr>
          <w:rStyle w:val="TekstpodstawowyZnak"/>
          <w:rFonts w:ascii="Arial" w:hAnsi="Arial" w:cs="Arial"/>
        </w:rPr>
        <w:t>zamachu stanu stanowiła poważne zagrożenie dla życia i istnienia narodu. W świetle ustaleń Trybunału Konstytucyjnego i wszystkich innych dostępnych mu materiałów Trybunał uznał również, że próba wojskowego zamachu stanu ujawniła istnienie</w:t>
      </w:r>
      <w:r w:rsidR="00436EF0" w:rsidRPr="00506C28">
        <w:rPr>
          <w:rStyle w:val="TekstpodstawowyZnak"/>
          <w:rFonts w:ascii="Arial" w:hAnsi="Arial" w:cs="Arial"/>
        </w:rPr>
        <w:t xml:space="preserve"> „niebezpieczeństwa publicznego</w:t>
      </w:r>
      <w:r w:rsidRPr="00506C28">
        <w:rPr>
          <w:rStyle w:val="TekstpodstawowyZnak"/>
          <w:rFonts w:ascii="Arial" w:hAnsi="Arial" w:cs="Arial"/>
        </w:rPr>
        <w:t xml:space="preserve"> zagrażającego</w:t>
      </w:r>
      <w:r w:rsidR="0026733E" w:rsidRPr="00506C28">
        <w:rPr>
          <w:rStyle w:val="TekstpodstawowyZnak"/>
          <w:rFonts w:ascii="Arial" w:hAnsi="Arial" w:cs="Arial"/>
        </w:rPr>
        <w:t xml:space="preserve"> życiu narodu” w rozumieniu Konwencji</w:t>
      </w:r>
      <w:r w:rsidR="00436EF0" w:rsidRPr="00506C28">
        <w:rPr>
          <w:rStyle w:val="TekstpodstawowyZnak"/>
          <w:rFonts w:ascii="Arial" w:hAnsi="Arial" w:cs="Arial"/>
        </w:rPr>
        <w:t>.</w:t>
      </w:r>
      <w:r w:rsidR="0026733E" w:rsidRPr="00506C28">
        <w:rPr>
          <w:rStyle w:val="TekstpodstawowyZnak"/>
          <w:rFonts w:ascii="Arial" w:hAnsi="Arial" w:cs="Arial"/>
        </w:rPr>
        <w:t xml:space="preserve"> </w:t>
      </w:r>
    </w:p>
    <w:p w14:paraId="6CA2CFD4" w14:textId="18BDC23E" w:rsidR="00782109" w:rsidRPr="00506C28" w:rsidRDefault="00AE7EC5" w:rsidP="004E75AD">
      <w:pPr>
        <w:pStyle w:val="Bodytext40"/>
        <w:spacing w:before="30" w:line="264" w:lineRule="auto"/>
        <w:jc w:val="both"/>
      </w:pPr>
      <w:r w:rsidRPr="00506C28">
        <w:rPr>
          <w:rStyle w:val="Bodytext4"/>
          <w:b/>
          <w:bCs/>
          <w:i/>
          <w:iCs/>
        </w:rPr>
        <w:br w:type="column"/>
      </w:r>
      <w:r w:rsidR="009130BA" w:rsidRPr="00506C28">
        <w:rPr>
          <w:rStyle w:val="Bodytext4"/>
          <w:b/>
          <w:bCs/>
          <w:i/>
          <w:iCs/>
        </w:rPr>
        <w:lastRenderedPageBreak/>
        <w:t>Ogłoszenie stanu wyjątkowego w związku z masowymi protestami po wyborach w 2008 r.</w:t>
      </w:r>
    </w:p>
    <w:p w14:paraId="3D0BF213" w14:textId="642EBD8D" w:rsidR="00782109" w:rsidRPr="00506C28" w:rsidRDefault="00782109" w:rsidP="004E75AD">
      <w:pPr>
        <w:pStyle w:val="Heading30"/>
        <w:keepNext/>
        <w:keepLines/>
        <w:spacing w:before="30" w:after="40"/>
        <w:jc w:val="both"/>
        <w:rPr>
          <w:rFonts w:ascii="Arial" w:hAnsi="Arial" w:cs="Arial"/>
        </w:rPr>
      </w:pPr>
      <w:hyperlink r:id="rId27" w:history="1">
        <w:bookmarkStart w:id="30" w:name="bookmark34"/>
        <w:r w:rsidRPr="00506C28">
          <w:rPr>
            <w:rStyle w:val="Heading3"/>
            <w:rFonts w:ascii="Arial" w:hAnsi="Arial" w:cs="Arial"/>
            <w:b/>
            <w:bCs/>
          </w:rPr>
          <w:t>Dareskizb Ltd przeciwko Armenii</w:t>
        </w:r>
        <w:bookmarkEnd w:id="30"/>
      </w:hyperlink>
    </w:p>
    <w:p w14:paraId="0E5298B3"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21 września 2021 r. (wyrok izby)</w:t>
      </w:r>
    </w:p>
    <w:p w14:paraId="11B8BDAF" w14:textId="765A558B"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color w:val="000000"/>
        </w:rPr>
        <w:t xml:space="preserve">W marcu 2008 r., podczas masowych protestów, które wybuchły po ogłoszeniu wstępnych wyników wyborów prezydenckich, urzędujący prezydent Armenii wydał dekret ogłaszający stan wyjątkowy w Erewaniu </w:t>
      </w:r>
      <w:r w:rsidR="00F24FD2">
        <w:rPr>
          <w:rStyle w:val="TekstpodstawowyZnak"/>
          <w:rFonts w:ascii="Arial" w:hAnsi="Arial" w:cs="Arial"/>
          <w:color w:val="000000"/>
        </w:rPr>
        <w:br/>
      </w:r>
      <w:r w:rsidRPr="00506C28">
        <w:rPr>
          <w:rStyle w:val="TekstpodstawowyZnak"/>
          <w:rFonts w:ascii="Arial" w:hAnsi="Arial" w:cs="Arial"/>
          <w:color w:val="000000"/>
        </w:rPr>
        <w:t xml:space="preserve">i nakładający między innymi ograniczenia na środki masowego przekazu. Ponadto władze ogłosiły </w:t>
      </w:r>
      <w:r w:rsidR="005C6EBB" w:rsidRPr="00506C28">
        <w:rPr>
          <w:rStyle w:val="TekstpodstawowyZnak"/>
          <w:rFonts w:ascii="Arial" w:hAnsi="Arial" w:cs="Arial"/>
          <w:color w:val="000000"/>
        </w:rPr>
        <w:t>uchylenie</w:t>
      </w:r>
      <w:r w:rsidRPr="00506C28">
        <w:rPr>
          <w:rStyle w:val="TekstpodstawowyZnak"/>
          <w:rFonts w:ascii="Arial" w:hAnsi="Arial" w:cs="Arial"/>
          <w:color w:val="000000"/>
        </w:rPr>
        <w:t xml:space="preserve"> od szeregu praw wynikających z </w:t>
      </w:r>
      <w:r w:rsidR="00156A85" w:rsidRPr="00506C28">
        <w:rPr>
          <w:rStyle w:val="TekstpodstawowyZnak"/>
          <w:rFonts w:ascii="Arial" w:hAnsi="Arial" w:cs="Arial"/>
          <w:color w:val="000000"/>
        </w:rPr>
        <w:t>K</w:t>
      </w:r>
      <w:r w:rsidRPr="00506C28">
        <w:rPr>
          <w:rStyle w:val="TekstpodstawowyZnak"/>
          <w:rFonts w:ascii="Arial" w:hAnsi="Arial" w:cs="Arial"/>
          <w:color w:val="000000"/>
        </w:rPr>
        <w:t>onwencji. Wnioskodawca, wydawca codziennej gazety opozycyjnej, został pozbawiony możliwości jej publikacji, a funkcjonariusze służb bezpieczeństwa narodowego dwukrotnie zakazali drukowania wydania gazety. Wnioskodawca bezskutecznie zaskarżył ten środek przed sądam</w:t>
      </w:r>
      <w:r w:rsidR="006B2744" w:rsidRPr="00506C28">
        <w:rPr>
          <w:rStyle w:val="TekstpodstawowyZnak"/>
          <w:rFonts w:ascii="Arial" w:hAnsi="Arial" w:cs="Arial"/>
          <w:color w:val="000000"/>
        </w:rPr>
        <w:t xml:space="preserve">i </w:t>
      </w:r>
      <w:r w:rsidRPr="00506C28">
        <w:rPr>
          <w:rStyle w:val="TekstpodstawowyZnak"/>
          <w:rFonts w:ascii="Arial" w:hAnsi="Arial" w:cs="Arial"/>
          <w:color w:val="000000"/>
        </w:rPr>
        <w:t>krajowymi.</w:t>
      </w:r>
    </w:p>
    <w:p w14:paraId="77518DF4" w14:textId="4BA6ED25" w:rsidR="00782109" w:rsidRPr="00506C28" w:rsidRDefault="009130BA" w:rsidP="004E75AD">
      <w:pPr>
        <w:pStyle w:val="Tekstpodstawowy"/>
        <w:spacing w:before="30" w:after="280"/>
        <w:jc w:val="both"/>
        <w:rPr>
          <w:rFonts w:ascii="Arial" w:hAnsi="Arial" w:cs="Arial"/>
        </w:rPr>
      </w:pPr>
      <w:r w:rsidRPr="00506C28">
        <w:rPr>
          <w:rStyle w:val="TekstpodstawowyZnak"/>
          <w:rFonts w:ascii="Arial" w:hAnsi="Arial" w:cs="Arial"/>
        </w:rPr>
        <w:t xml:space="preserve">Trybunał uznał, że </w:t>
      </w:r>
      <w:r w:rsidR="005C6EBB" w:rsidRPr="00506C28">
        <w:rPr>
          <w:rStyle w:val="TekstpodstawowyZnak"/>
          <w:rFonts w:ascii="Arial" w:hAnsi="Arial" w:cs="Arial"/>
        </w:rPr>
        <w:t>uchylenie</w:t>
      </w:r>
      <w:r w:rsidRPr="00506C28">
        <w:rPr>
          <w:rStyle w:val="TekstpodstawowyZnak"/>
          <w:rFonts w:ascii="Arial" w:hAnsi="Arial" w:cs="Arial"/>
        </w:rPr>
        <w:t xml:space="preserve"> nie spełniało wymogów art. 15, a następnie stwierdził naruszenie art. 10 (wolność</w:t>
      </w:r>
      <w:r w:rsidR="00BA3A7F" w:rsidRPr="00506C28">
        <w:rPr>
          <w:rStyle w:val="TekstpodstawowyZnak"/>
          <w:rFonts w:ascii="Arial" w:hAnsi="Arial" w:cs="Arial"/>
        </w:rPr>
        <w:t xml:space="preserve"> </w:t>
      </w:r>
      <w:r w:rsidRPr="00506C28">
        <w:rPr>
          <w:rStyle w:val="TekstpodstawowyZnak"/>
          <w:rFonts w:ascii="Arial" w:hAnsi="Arial" w:cs="Arial"/>
        </w:rPr>
        <w:t xml:space="preserve">wypowiedzi) Konwencji. W szczególności uznał, że nie było wystarczających dowodów, aby uznać protesty opozycji za </w:t>
      </w:r>
      <w:r w:rsidR="00EE2AB5" w:rsidRPr="00506C28">
        <w:rPr>
          <w:rStyle w:val="TekstpodstawowyZnak"/>
          <w:rFonts w:ascii="Arial" w:hAnsi="Arial" w:cs="Arial"/>
        </w:rPr>
        <w:t>niebezpieczeństwo publiczne</w:t>
      </w:r>
      <w:r w:rsidRPr="00506C28">
        <w:rPr>
          <w:rStyle w:val="TekstpodstawowyZnak"/>
          <w:rFonts w:ascii="Arial" w:hAnsi="Arial" w:cs="Arial"/>
        </w:rPr>
        <w:t xml:space="preserve"> „zagrażając</w:t>
      </w:r>
      <w:r w:rsidR="00EE2AB5" w:rsidRPr="00506C28">
        <w:rPr>
          <w:rStyle w:val="TekstpodstawowyZnak"/>
          <w:rFonts w:ascii="Arial" w:hAnsi="Arial" w:cs="Arial"/>
        </w:rPr>
        <w:t>e</w:t>
      </w:r>
      <w:r w:rsidRPr="00506C28">
        <w:rPr>
          <w:rStyle w:val="TekstpodstawowyZnak"/>
          <w:rFonts w:ascii="Arial" w:hAnsi="Arial" w:cs="Arial"/>
        </w:rPr>
        <w:t xml:space="preserve"> życiu narodu” w rozumieniu art. 15 Konwencji, a tym samym za sytuację uzasadniającą </w:t>
      </w:r>
      <w:r w:rsidR="005C6EBB" w:rsidRPr="00506C28">
        <w:rPr>
          <w:rStyle w:val="TekstpodstawowyZnak"/>
          <w:rFonts w:ascii="Arial" w:hAnsi="Arial" w:cs="Arial"/>
        </w:rPr>
        <w:t>uchylenie</w:t>
      </w:r>
      <w:r w:rsidRPr="00506C28">
        <w:rPr>
          <w:rStyle w:val="TekstpodstawowyZnak"/>
          <w:rFonts w:ascii="Arial" w:hAnsi="Arial" w:cs="Arial"/>
        </w:rPr>
        <w:t>.</w:t>
      </w:r>
    </w:p>
    <w:p w14:paraId="0EBFD05D" w14:textId="3AB75B8E" w:rsidR="00782109" w:rsidRPr="00506C28" w:rsidRDefault="009130BA" w:rsidP="004E75AD">
      <w:pPr>
        <w:pStyle w:val="Heading20"/>
        <w:keepNext/>
        <w:keepLines/>
        <w:numPr>
          <w:ilvl w:val="0"/>
          <w:numId w:val="2"/>
        </w:numPr>
        <w:tabs>
          <w:tab w:val="left" w:pos="528"/>
        </w:tabs>
        <w:spacing w:before="30"/>
        <w:jc w:val="both"/>
        <w:rPr>
          <w:rFonts w:ascii="Arial" w:hAnsi="Arial" w:cs="Arial"/>
        </w:rPr>
      </w:pPr>
      <w:bookmarkStart w:id="31" w:name="bookmark36"/>
      <w:r w:rsidRPr="00506C28">
        <w:rPr>
          <w:rStyle w:val="Heading2"/>
          <w:rFonts w:ascii="Arial" w:hAnsi="Arial" w:cs="Arial"/>
        </w:rPr>
        <w:t xml:space="preserve">Państwo może podjąć środki </w:t>
      </w:r>
      <w:r w:rsidR="005C6EBB" w:rsidRPr="00506C28">
        <w:rPr>
          <w:rStyle w:val="Heading2"/>
          <w:rFonts w:ascii="Arial" w:hAnsi="Arial" w:cs="Arial"/>
        </w:rPr>
        <w:t>uchyl</w:t>
      </w:r>
      <w:r w:rsidR="0023601C" w:rsidRPr="00506C28">
        <w:rPr>
          <w:rStyle w:val="Heading2"/>
          <w:rFonts w:ascii="Arial" w:hAnsi="Arial" w:cs="Arial"/>
        </w:rPr>
        <w:t>ające</w:t>
      </w:r>
      <w:r w:rsidRPr="00506C28">
        <w:rPr>
          <w:rStyle w:val="Heading2"/>
          <w:rFonts w:ascii="Arial" w:hAnsi="Arial" w:cs="Arial"/>
        </w:rPr>
        <w:t xml:space="preserve"> </w:t>
      </w:r>
      <w:r w:rsidR="0023601C" w:rsidRPr="00506C28">
        <w:rPr>
          <w:rStyle w:val="Heading2"/>
          <w:rFonts w:ascii="Arial" w:hAnsi="Arial" w:cs="Arial"/>
        </w:rPr>
        <w:t xml:space="preserve">stosowanie </w:t>
      </w:r>
      <w:r w:rsidRPr="00506C28">
        <w:rPr>
          <w:rStyle w:val="Heading2"/>
          <w:rFonts w:ascii="Arial" w:hAnsi="Arial" w:cs="Arial"/>
        </w:rPr>
        <w:t xml:space="preserve">zobowiązań wynikających z Konwencji wyłącznie w zakresie ściśle </w:t>
      </w:r>
      <w:r w:rsidR="0023601C" w:rsidRPr="00506C28">
        <w:rPr>
          <w:rStyle w:val="Heading2"/>
          <w:rFonts w:ascii="Arial" w:hAnsi="Arial" w:cs="Arial"/>
        </w:rPr>
        <w:t xml:space="preserve">odpowiadającym wymogom </w:t>
      </w:r>
      <w:r w:rsidRPr="00506C28">
        <w:rPr>
          <w:rStyle w:val="Heading2"/>
          <w:rFonts w:ascii="Arial" w:hAnsi="Arial" w:cs="Arial"/>
        </w:rPr>
        <w:t>sytuacj</w:t>
      </w:r>
      <w:r w:rsidR="0023601C" w:rsidRPr="00506C28">
        <w:rPr>
          <w:rStyle w:val="Heading2"/>
          <w:rFonts w:ascii="Arial" w:hAnsi="Arial" w:cs="Arial"/>
        </w:rPr>
        <w:t>i</w:t>
      </w:r>
      <w:r w:rsidRPr="00506C28">
        <w:rPr>
          <w:rStyle w:val="Heading2"/>
          <w:rFonts w:ascii="Arial" w:hAnsi="Arial" w:cs="Arial"/>
        </w:rPr>
        <w:t>.</w:t>
      </w:r>
      <w:bookmarkEnd w:id="31"/>
    </w:p>
    <w:p w14:paraId="6FA94A09" w14:textId="77777777" w:rsidR="00782109" w:rsidRPr="00506C28" w:rsidRDefault="00782109" w:rsidP="004E75AD">
      <w:pPr>
        <w:pStyle w:val="Bodytext20"/>
        <w:spacing w:before="30" w:after="40"/>
        <w:jc w:val="both"/>
        <w:rPr>
          <w:rFonts w:ascii="Arial" w:hAnsi="Arial" w:cs="Arial"/>
        </w:rPr>
      </w:pPr>
      <w:hyperlink r:id="rId28" w:history="1">
        <w:r w:rsidRPr="00506C28">
          <w:rPr>
            <w:rStyle w:val="Bodytext2"/>
            <w:rFonts w:ascii="Arial" w:hAnsi="Arial" w:cs="Arial"/>
            <w:b/>
            <w:bCs/>
            <w:color w:val="0071BB"/>
            <w:sz w:val="18"/>
            <w:szCs w:val="18"/>
            <w:u w:val="single"/>
          </w:rPr>
          <w:t>Lawless przeciwko Irlandii (nr 3)</w:t>
        </w:r>
        <w:r w:rsidRPr="00506C28">
          <w:rPr>
            <w:rStyle w:val="Bodytext2"/>
            <w:rFonts w:ascii="Arial" w:hAnsi="Arial" w:cs="Arial"/>
            <w:b/>
            <w:bCs/>
            <w:color w:val="0071BB"/>
            <w:sz w:val="18"/>
            <w:szCs w:val="18"/>
          </w:rPr>
          <w:t xml:space="preserve"> </w:t>
        </w:r>
      </w:hyperlink>
      <w:r w:rsidRPr="00506C28">
        <w:rPr>
          <w:rStyle w:val="Bodytext2"/>
          <w:rFonts w:ascii="Arial" w:hAnsi="Arial" w:cs="Arial"/>
          <w:color w:val="808080"/>
        </w:rPr>
        <w:t>(zob. również powyżej, str. 3, oraz poniżej, str. 12)</w:t>
      </w:r>
    </w:p>
    <w:p w14:paraId="124A1085" w14:textId="27402350" w:rsidR="005A14A7" w:rsidRPr="00506C28" w:rsidRDefault="009130BA" w:rsidP="004E75AD">
      <w:pPr>
        <w:pStyle w:val="Bodytext30"/>
        <w:spacing w:before="30"/>
        <w:jc w:val="both"/>
        <w:rPr>
          <w:rStyle w:val="TekstpodstawowyZnak"/>
          <w:rFonts w:ascii="Arial" w:hAnsi="Arial" w:cs="Arial"/>
          <w:color w:val="000000"/>
        </w:rPr>
      </w:pPr>
      <w:r w:rsidRPr="00506C28">
        <w:rPr>
          <w:rStyle w:val="Bodytext3"/>
          <w:rFonts w:ascii="Arial" w:hAnsi="Arial" w:cs="Arial"/>
        </w:rPr>
        <w:t>1 lipca 1961 r. (wyrok)</w:t>
      </w:r>
    </w:p>
    <w:p w14:paraId="6E210263" w14:textId="6B2BA896"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color w:val="000000"/>
        </w:rPr>
        <w:t xml:space="preserve">Wnioskodawca argumentował między innymi, że nawet gdyby sytuacja w Irlandii Północnej w 1957 r. uzasadniała </w:t>
      </w:r>
      <w:r w:rsidR="005C6EBB" w:rsidRPr="00506C28">
        <w:rPr>
          <w:rStyle w:val="TekstpodstawowyZnak"/>
          <w:rFonts w:ascii="Arial" w:hAnsi="Arial" w:cs="Arial"/>
          <w:color w:val="000000"/>
        </w:rPr>
        <w:t>uchylenie</w:t>
      </w:r>
      <w:r w:rsidRPr="00506C28">
        <w:rPr>
          <w:rStyle w:val="TekstpodstawowyZnak"/>
          <w:rFonts w:ascii="Arial" w:hAnsi="Arial" w:cs="Arial"/>
          <w:color w:val="000000"/>
        </w:rPr>
        <w:t xml:space="preserve"> od zobowiązań wynikających z Konwencji, wprowadzenie w życie i egzekwowanie części </w:t>
      </w:r>
      <w:r w:rsidRPr="00506C28">
        <w:rPr>
          <w:rStyle w:val="TekstpodstawowyZnak"/>
          <w:rFonts w:ascii="Arial" w:hAnsi="Arial" w:cs="Arial"/>
          <w:color w:val="000000"/>
          <w:sz w:val="18"/>
          <w:szCs w:val="18"/>
        </w:rPr>
        <w:t xml:space="preserve">II </w:t>
      </w:r>
      <w:r w:rsidRPr="00506C28">
        <w:rPr>
          <w:rStyle w:val="TekstpodstawowyZnak"/>
          <w:rFonts w:ascii="Arial" w:hAnsi="Arial" w:cs="Arial"/>
          <w:color w:val="000000"/>
        </w:rPr>
        <w:t>ustawy o przestępstwach przeciwko państwu (</w:t>
      </w:r>
      <w:r w:rsidR="0023601C" w:rsidRPr="00506C28">
        <w:rPr>
          <w:rStyle w:val="TekstpodstawowyZnak"/>
          <w:rFonts w:ascii="Arial" w:hAnsi="Arial" w:cs="Arial"/>
          <w:color w:val="000000"/>
        </w:rPr>
        <w:t>nowelizacja</w:t>
      </w:r>
      <w:r w:rsidRPr="00506C28">
        <w:rPr>
          <w:rStyle w:val="TekstpodstawowyZnak"/>
          <w:rFonts w:ascii="Arial" w:hAnsi="Arial" w:cs="Arial"/>
          <w:color w:val="000000"/>
        </w:rPr>
        <w:t xml:space="preserve">) z 1940 r. było nieproporcjonalne do ścisłych wymogów sytuacji. Rząd irlandzki argumentował, że środki podjęte na podstawie części </w:t>
      </w:r>
      <w:r w:rsidRPr="00506C28">
        <w:rPr>
          <w:rStyle w:val="TekstpodstawowyZnak"/>
          <w:rFonts w:ascii="Arial" w:hAnsi="Arial" w:cs="Arial"/>
          <w:color w:val="000000"/>
          <w:sz w:val="18"/>
          <w:szCs w:val="18"/>
        </w:rPr>
        <w:t xml:space="preserve">II </w:t>
      </w:r>
      <w:r w:rsidRPr="00506C28">
        <w:rPr>
          <w:rStyle w:val="TekstpodstawowyZnak"/>
          <w:rFonts w:ascii="Arial" w:hAnsi="Arial" w:cs="Arial"/>
          <w:color w:val="000000"/>
        </w:rPr>
        <w:t xml:space="preserve">ustawy </w:t>
      </w:r>
      <w:r w:rsidR="00F24FD2">
        <w:rPr>
          <w:rStyle w:val="TekstpodstawowyZnak"/>
          <w:rFonts w:ascii="Arial" w:hAnsi="Arial" w:cs="Arial"/>
          <w:color w:val="000000"/>
        </w:rPr>
        <w:br/>
      </w:r>
      <w:r w:rsidRPr="00506C28">
        <w:rPr>
          <w:rStyle w:val="TekstpodstawowyZnak"/>
          <w:rFonts w:ascii="Arial" w:hAnsi="Arial" w:cs="Arial"/>
          <w:color w:val="000000"/>
        </w:rPr>
        <w:t>z 1940 r. były w tych okolicznościach ściśle wymagane przez naglący charakter sytuacji zgodnie z art. 15 § 1 Konwencji.</w:t>
      </w:r>
    </w:p>
    <w:p w14:paraId="14AB3EC9" w14:textId="72BDAADB" w:rsidR="00246E74" w:rsidRPr="00506C28" w:rsidRDefault="009130BA" w:rsidP="004E75AD">
      <w:pPr>
        <w:pStyle w:val="Tekstpodstawowy"/>
        <w:spacing w:before="30" w:after="80"/>
        <w:jc w:val="both"/>
        <w:rPr>
          <w:rFonts w:ascii="Arial" w:hAnsi="Arial" w:cs="Arial"/>
        </w:rPr>
      </w:pPr>
      <w:r w:rsidRPr="00506C28">
        <w:rPr>
          <w:rStyle w:val="TekstpodstawowyZnak"/>
          <w:rFonts w:ascii="Arial" w:hAnsi="Arial" w:cs="Arial"/>
        </w:rPr>
        <w:t xml:space="preserve">Trybunał zauważył, że żaden ze środków dostępnych rządowi irlandzkiemu w celu przeciwdziałania działalności IRA i jej ugrupowań odłamowych – a mianowicie </w:t>
      </w:r>
      <w:r w:rsidR="00246E74" w:rsidRPr="00506C28">
        <w:rPr>
          <w:rStyle w:val="TekstpodstawowyZnak"/>
          <w:rFonts w:ascii="Arial" w:hAnsi="Arial" w:cs="Arial"/>
        </w:rPr>
        <w:t xml:space="preserve">zastosowanie </w:t>
      </w:r>
      <w:r w:rsidR="00246E74" w:rsidRPr="00506C28">
        <w:rPr>
          <w:rFonts w:ascii="Arial" w:hAnsi="Arial" w:cs="Arial"/>
        </w:rPr>
        <w:t>prawa</w:t>
      </w:r>
      <w:r w:rsidR="00AB196E" w:rsidRPr="00506C28">
        <w:rPr>
          <w:rFonts w:ascii="Arial" w:hAnsi="Arial" w:cs="Arial"/>
        </w:rPr>
        <w:t xml:space="preserve"> powszechnego</w:t>
      </w:r>
      <w:r w:rsidR="00246E74" w:rsidRPr="00506C28">
        <w:rPr>
          <w:rFonts w:ascii="Arial" w:hAnsi="Arial" w:cs="Arial"/>
        </w:rPr>
        <w:t xml:space="preserve"> lub nawet </w:t>
      </w:r>
      <w:r w:rsidR="00AB196E" w:rsidRPr="00506C28">
        <w:rPr>
          <w:rFonts w:ascii="Arial" w:hAnsi="Arial" w:cs="Arial"/>
        </w:rPr>
        <w:t xml:space="preserve">powołanie </w:t>
      </w:r>
      <w:r w:rsidR="00246E74" w:rsidRPr="00506C28">
        <w:rPr>
          <w:rFonts w:ascii="Arial" w:hAnsi="Arial" w:cs="Arial"/>
        </w:rPr>
        <w:t xml:space="preserve">specjalnych sądów karnych – </w:t>
      </w:r>
      <w:r w:rsidR="00AB196E" w:rsidRPr="00506C28">
        <w:rPr>
          <w:rFonts w:ascii="Arial" w:hAnsi="Arial" w:cs="Arial"/>
        </w:rPr>
        <w:t xml:space="preserve">nie pozwoliłby uporać się z </w:t>
      </w:r>
      <w:r w:rsidR="00246E74" w:rsidRPr="00506C28">
        <w:rPr>
          <w:rFonts w:ascii="Arial" w:hAnsi="Arial" w:cs="Arial"/>
        </w:rPr>
        <w:t>sytuacj</w:t>
      </w:r>
      <w:r w:rsidR="00AB196E" w:rsidRPr="00506C28">
        <w:rPr>
          <w:rFonts w:ascii="Arial" w:hAnsi="Arial" w:cs="Arial"/>
        </w:rPr>
        <w:t>ą</w:t>
      </w:r>
      <w:r w:rsidR="00246E74" w:rsidRPr="00506C28">
        <w:rPr>
          <w:rFonts w:ascii="Arial" w:hAnsi="Arial" w:cs="Arial"/>
        </w:rPr>
        <w:t xml:space="preserve"> panują</w:t>
      </w:r>
      <w:r w:rsidR="00AB196E" w:rsidRPr="00506C28">
        <w:rPr>
          <w:rFonts w:ascii="Arial" w:hAnsi="Arial" w:cs="Arial"/>
        </w:rPr>
        <w:t>cą</w:t>
      </w:r>
      <w:r w:rsidR="00246E74" w:rsidRPr="00506C28">
        <w:rPr>
          <w:rFonts w:ascii="Arial" w:hAnsi="Arial" w:cs="Arial"/>
        </w:rPr>
        <w:t xml:space="preserve"> w Irlandii w 1957 r. oraz przywróc</w:t>
      </w:r>
      <w:r w:rsidR="00AB196E" w:rsidRPr="00506C28">
        <w:rPr>
          <w:rFonts w:ascii="Arial" w:hAnsi="Arial" w:cs="Arial"/>
        </w:rPr>
        <w:t>ić</w:t>
      </w:r>
      <w:r w:rsidR="00246E74" w:rsidRPr="00506C28">
        <w:rPr>
          <w:rFonts w:ascii="Arial" w:hAnsi="Arial" w:cs="Arial"/>
        </w:rPr>
        <w:t xml:space="preserve"> pok</w:t>
      </w:r>
      <w:r w:rsidR="00AB196E" w:rsidRPr="00506C28">
        <w:rPr>
          <w:rFonts w:ascii="Arial" w:hAnsi="Arial" w:cs="Arial"/>
        </w:rPr>
        <w:t>ój</w:t>
      </w:r>
      <w:r w:rsidR="00246E74" w:rsidRPr="00506C28">
        <w:rPr>
          <w:rFonts w:ascii="Arial" w:hAnsi="Arial" w:cs="Arial"/>
        </w:rPr>
        <w:t xml:space="preserve"> i porząd</w:t>
      </w:r>
      <w:r w:rsidR="00AB196E" w:rsidRPr="00506C28">
        <w:rPr>
          <w:rFonts w:ascii="Arial" w:hAnsi="Arial" w:cs="Arial"/>
        </w:rPr>
        <w:t>ek</w:t>
      </w:r>
      <w:r w:rsidR="00246E74" w:rsidRPr="00506C28">
        <w:rPr>
          <w:rFonts w:ascii="Arial" w:hAnsi="Arial" w:cs="Arial"/>
        </w:rPr>
        <w:t xml:space="preserve">. W tych okolicznościach </w:t>
      </w:r>
      <w:r w:rsidR="00AB196E" w:rsidRPr="00506C28">
        <w:rPr>
          <w:rFonts w:ascii="Arial" w:hAnsi="Arial" w:cs="Arial"/>
        </w:rPr>
        <w:t xml:space="preserve">Trybunał </w:t>
      </w:r>
      <w:r w:rsidR="00246E74" w:rsidRPr="00506C28">
        <w:rPr>
          <w:rFonts w:ascii="Arial" w:hAnsi="Arial" w:cs="Arial"/>
        </w:rPr>
        <w:t xml:space="preserve">uznał, że zatrzymanie osób podejrzanych o terroryzm bez postawienia ich przed sędzią, zgodnie z ustawą z 1940 r., z zastrzeżeniem </w:t>
      </w:r>
      <w:r w:rsidR="00246E74" w:rsidRPr="00506C28">
        <w:rPr>
          <w:rFonts w:ascii="Arial" w:hAnsi="Arial" w:cs="Arial"/>
          <w:b/>
          <w:bCs/>
        </w:rPr>
        <w:t xml:space="preserve">szeregu gwarancji mających na celu zapobieżenie nadużyciom </w:t>
      </w:r>
      <w:r w:rsidR="00246E74" w:rsidRPr="00506C28">
        <w:rPr>
          <w:rFonts w:ascii="Arial" w:hAnsi="Arial" w:cs="Arial"/>
        </w:rPr>
        <w:t>w funkcjonowaniu tego systemu zatrzymań administracyjnych (np. stały nadzór</w:t>
      </w:r>
      <w:r w:rsidR="00AA03A9" w:rsidRPr="00506C28">
        <w:rPr>
          <w:rFonts w:ascii="Arial" w:hAnsi="Arial" w:cs="Arial"/>
        </w:rPr>
        <w:t xml:space="preserve"> ze strony</w:t>
      </w:r>
      <w:r w:rsidR="00246E74" w:rsidRPr="00506C28">
        <w:rPr>
          <w:rFonts w:ascii="Arial" w:hAnsi="Arial" w:cs="Arial"/>
        </w:rPr>
        <w:t xml:space="preserve"> parlamentu, </w:t>
      </w:r>
      <w:r w:rsidR="00AA03A9" w:rsidRPr="00506C28">
        <w:rPr>
          <w:rFonts w:ascii="Arial" w:hAnsi="Arial" w:cs="Arial"/>
        </w:rPr>
        <w:t>K</w:t>
      </w:r>
      <w:r w:rsidR="00246E74" w:rsidRPr="00506C28">
        <w:rPr>
          <w:rFonts w:ascii="Arial" w:hAnsi="Arial" w:cs="Arial"/>
        </w:rPr>
        <w:t>omisj</w:t>
      </w:r>
      <w:r w:rsidR="00AA03A9" w:rsidRPr="00506C28">
        <w:rPr>
          <w:rFonts w:ascii="Arial" w:hAnsi="Arial" w:cs="Arial"/>
        </w:rPr>
        <w:t>a</w:t>
      </w:r>
      <w:r w:rsidR="00246E74" w:rsidRPr="00506C28">
        <w:rPr>
          <w:rFonts w:ascii="Arial" w:hAnsi="Arial" w:cs="Arial"/>
        </w:rPr>
        <w:t xml:space="preserve"> ds. zatrzymań oraz obietnic</w:t>
      </w:r>
      <w:r w:rsidR="00AA03A9" w:rsidRPr="00506C28">
        <w:rPr>
          <w:rFonts w:ascii="Arial" w:hAnsi="Arial" w:cs="Arial"/>
        </w:rPr>
        <w:t>a</w:t>
      </w:r>
      <w:r w:rsidR="00246E74" w:rsidRPr="00506C28">
        <w:rPr>
          <w:rFonts w:ascii="Arial" w:hAnsi="Arial" w:cs="Arial"/>
        </w:rPr>
        <w:t xml:space="preserve"> zwolnienia każdej zatrzymanej osoby, która zobowiązała się nie angażować w żadną działalność niezgodną z prawem), można uznać za środek ściśle ograniczony do wymogów sytuacji w rozumieniu art. 15 Konwencji, czyli środek wymagany przez okoliczności.</w:t>
      </w:r>
    </w:p>
    <w:p w14:paraId="384A115B" w14:textId="0B668F0C" w:rsidR="00782109" w:rsidRPr="00506C28" w:rsidRDefault="00246E74" w:rsidP="004E75AD">
      <w:pPr>
        <w:pStyle w:val="Tekstpodstawowy"/>
        <w:spacing w:before="30" w:after="80"/>
        <w:jc w:val="both"/>
        <w:rPr>
          <w:rFonts w:ascii="Arial" w:hAnsi="Arial" w:cs="Arial"/>
        </w:rPr>
      </w:pPr>
      <w:r w:rsidRPr="00506C28">
        <w:rPr>
          <w:rFonts w:ascii="Arial" w:hAnsi="Arial" w:cs="Arial"/>
        </w:rPr>
        <w:t xml:space="preserve">W odniesieniu do konkretnej sprawy skarżącego </w:t>
      </w:r>
      <w:r w:rsidRPr="00506C28">
        <w:rPr>
          <w:rFonts w:ascii="Arial" w:hAnsi="Arial" w:cs="Arial"/>
          <w:b/>
          <w:bCs/>
        </w:rPr>
        <w:t xml:space="preserve">nic nie wskazywało na to, aby uprawnienia do zatrzymania przyznane rządowi irlandzkiemu </w:t>
      </w:r>
      <w:r w:rsidRPr="00506C28">
        <w:rPr>
          <w:rFonts w:ascii="Arial" w:hAnsi="Arial" w:cs="Arial"/>
        </w:rPr>
        <w:t xml:space="preserve">na mocy ustawy z 1940 r. </w:t>
      </w:r>
      <w:r w:rsidRPr="00506C28">
        <w:rPr>
          <w:rFonts w:ascii="Arial" w:hAnsi="Arial" w:cs="Arial"/>
          <w:b/>
          <w:bCs/>
        </w:rPr>
        <w:t xml:space="preserve">zostały wykorzystane </w:t>
      </w:r>
      <w:r w:rsidRPr="00506C28">
        <w:rPr>
          <w:rFonts w:ascii="Arial" w:hAnsi="Arial" w:cs="Arial"/>
        </w:rPr>
        <w:t xml:space="preserve">wobec niego w rozumieniu art. 18 </w:t>
      </w:r>
      <w:r w:rsidR="00456693" w:rsidRPr="00506C28">
        <w:rPr>
          <w:rFonts w:ascii="Arial" w:hAnsi="Arial" w:cs="Arial"/>
        </w:rPr>
        <w:t>K</w:t>
      </w:r>
      <w:r w:rsidRPr="00506C28">
        <w:rPr>
          <w:rFonts w:ascii="Arial" w:hAnsi="Arial" w:cs="Arial"/>
        </w:rPr>
        <w:t xml:space="preserve">onwencji </w:t>
      </w:r>
      <w:r w:rsidRPr="00506C28">
        <w:rPr>
          <w:rFonts w:ascii="Arial" w:hAnsi="Arial" w:cs="Arial"/>
          <w:b/>
          <w:bCs/>
        </w:rPr>
        <w:t>w celu innym niż ten, dla którego zostały przyznane</w:t>
      </w:r>
      <w:r w:rsidRPr="00506C28">
        <w:rPr>
          <w:rFonts w:ascii="Arial" w:hAnsi="Arial" w:cs="Arial"/>
        </w:rPr>
        <w:t xml:space="preserve">, ani też </w:t>
      </w:r>
      <w:r w:rsidR="00F24FD2">
        <w:rPr>
          <w:rFonts w:ascii="Arial" w:hAnsi="Arial" w:cs="Arial"/>
        </w:rPr>
        <w:br/>
      </w:r>
      <w:r w:rsidRPr="00506C28">
        <w:rPr>
          <w:rFonts w:ascii="Arial" w:hAnsi="Arial" w:cs="Arial"/>
        </w:rPr>
        <w:t xml:space="preserve">w rozumieniu art. 15 na podstawie środka wykraczającego poza to, co było bezwzględnie konieczne w danej sytuacji. Ponadto rząd irlandzki poinformował skarżącego, że zostanie zwolniony, jeżeli złoży pisemne zobowiązanie „do przestrzegania </w:t>
      </w:r>
      <w:r w:rsidR="002E7C03" w:rsidRPr="00506C28">
        <w:rPr>
          <w:rFonts w:ascii="Arial" w:hAnsi="Arial" w:cs="Arial"/>
        </w:rPr>
        <w:t>K</w:t>
      </w:r>
      <w:r w:rsidRPr="00506C28">
        <w:rPr>
          <w:rFonts w:ascii="Arial" w:hAnsi="Arial" w:cs="Arial"/>
        </w:rPr>
        <w:t>onstytucji Irlandii i jej ustaw” oraz do nieprzystępowania do organizacji uznanych za niezgodne z prawem i nieudzielania im pomocy. Skarżący przyjął tę ofertę i po złożeniu zobowiązania został natychmiast zwolniony.</w:t>
      </w:r>
    </w:p>
    <w:p w14:paraId="77C907B8" w14:textId="19BD5A26" w:rsidR="00246E74" w:rsidRPr="00506C28" w:rsidRDefault="00246E74" w:rsidP="004E75AD">
      <w:pPr>
        <w:pStyle w:val="Tekstpodstawowy"/>
        <w:spacing w:before="30" w:after="80"/>
        <w:rPr>
          <w:rFonts w:ascii="Arial" w:hAnsi="Arial" w:cs="Arial"/>
        </w:rPr>
      </w:pPr>
      <w:hyperlink r:id="rId29" w:history="1">
        <w:r w:rsidRPr="004E75AD">
          <w:rPr>
            <w:b/>
            <w:bCs/>
            <w:u w:val="single"/>
          </w:rPr>
          <w:t>Irlandia przeciwko Zjednoczonemu Królestwu</w:t>
        </w:r>
      </w:hyperlink>
      <w:r w:rsidR="00005B7F" w:rsidRPr="00506C28">
        <w:rPr>
          <w:rFonts w:ascii="Arial" w:hAnsi="Arial" w:cs="Arial"/>
        </w:rPr>
        <w:t xml:space="preserve"> </w:t>
      </w:r>
      <w:r w:rsidRPr="004E75AD">
        <w:rPr>
          <w:rStyle w:val="Bodytext2"/>
          <w:rFonts w:ascii="Arial" w:hAnsi="Arial" w:cs="Arial"/>
          <w:color w:val="808080"/>
        </w:rPr>
        <w:t>(zob. również powyżej, str. 4)</w:t>
      </w:r>
    </w:p>
    <w:p w14:paraId="763A1547" w14:textId="77777777" w:rsidR="00246E74" w:rsidRPr="004E75AD" w:rsidRDefault="00246E74" w:rsidP="004E75AD">
      <w:pPr>
        <w:pStyle w:val="Tekstpodstawowy"/>
        <w:spacing w:before="30" w:after="80"/>
        <w:rPr>
          <w:rStyle w:val="Bodytext2"/>
          <w:rFonts w:ascii="Arial" w:hAnsi="Arial" w:cs="Arial"/>
          <w:color w:val="808080"/>
        </w:rPr>
      </w:pPr>
      <w:r w:rsidRPr="004E75AD">
        <w:rPr>
          <w:rStyle w:val="Bodytext2"/>
          <w:rFonts w:ascii="Arial" w:hAnsi="Arial" w:cs="Arial"/>
          <w:color w:val="808080"/>
        </w:rPr>
        <w:t>18 stycznia 1978 r. (wyrok)</w:t>
      </w:r>
    </w:p>
    <w:p w14:paraId="7E1E16C7" w14:textId="3BBA2C28" w:rsidR="002300B9" w:rsidRPr="00506C28" w:rsidRDefault="00246E74" w:rsidP="004E75AD">
      <w:pPr>
        <w:pStyle w:val="Tekstpodstawowy"/>
        <w:spacing w:before="30" w:after="80"/>
        <w:rPr>
          <w:rFonts w:ascii="Arial" w:hAnsi="Arial" w:cs="Arial"/>
          <w:color w:val="000000" w:themeColor="text1"/>
        </w:rPr>
      </w:pPr>
      <w:r w:rsidRPr="00506C28">
        <w:rPr>
          <w:rFonts w:ascii="Arial" w:hAnsi="Arial" w:cs="Arial"/>
          <w:color w:val="000000" w:themeColor="text1"/>
        </w:rPr>
        <w:t xml:space="preserve">W opinii rządu irlandzkiego uprawnienia stosowane w Irlandii Północnej od 9 sierpnia 1971 r. do marca 1975 r., umożliwiające pozasądowe pozbawianie wolności, wykraczały poza „zakres ściśle </w:t>
      </w:r>
      <w:r w:rsidR="00FE3085" w:rsidRPr="00506C28">
        <w:rPr>
          <w:rFonts w:ascii="Arial" w:hAnsi="Arial" w:cs="Arial"/>
          <w:color w:val="000000" w:themeColor="text1"/>
        </w:rPr>
        <w:t>odpowiadający wymogom</w:t>
      </w:r>
      <w:r w:rsidR="00B62280" w:rsidRPr="00506C28">
        <w:rPr>
          <w:rFonts w:ascii="Arial" w:hAnsi="Arial" w:cs="Arial"/>
          <w:color w:val="000000" w:themeColor="text1"/>
        </w:rPr>
        <w:t xml:space="preserve"> sytuacji</w:t>
      </w:r>
      <w:r w:rsidRPr="00506C28">
        <w:rPr>
          <w:rFonts w:ascii="Arial" w:hAnsi="Arial" w:cs="Arial"/>
          <w:color w:val="000000" w:themeColor="text1"/>
        </w:rPr>
        <w:t>”, podczas gdy rząd brytyjski twierdził coś przeciwnego.</w:t>
      </w:r>
    </w:p>
    <w:p w14:paraId="29E1F9BE" w14:textId="5AD07D48" w:rsidR="00A33C73" w:rsidRPr="00506C28" w:rsidRDefault="00246E74" w:rsidP="004E75AD">
      <w:pPr>
        <w:pStyle w:val="Tekstpodstawowy"/>
        <w:spacing w:before="30" w:after="80"/>
        <w:jc w:val="both"/>
        <w:rPr>
          <w:rFonts w:ascii="Arial" w:hAnsi="Arial" w:cs="Arial"/>
        </w:rPr>
      </w:pPr>
      <w:r w:rsidRPr="00506C28">
        <w:rPr>
          <w:rFonts w:ascii="Arial" w:hAnsi="Arial" w:cs="Arial"/>
        </w:rPr>
        <w:t xml:space="preserve">Trybunał zauważył, że w tej sprawie art. 15 Konwencji pozostawia państwom szeroki margines </w:t>
      </w:r>
      <w:r w:rsidR="00F05129" w:rsidRPr="00506C28">
        <w:rPr>
          <w:rFonts w:ascii="Arial" w:hAnsi="Arial" w:cs="Arial"/>
        </w:rPr>
        <w:t>oceny</w:t>
      </w:r>
      <w:r w:rsidRPr="00506C28">
        <w:rPr>
          <w:rFonts w:ascii="Arial" w:hAnsi="Arial" w:cs="Arial"/>
        </w:rPr>
        <w:t xml:space="preserve">. To przede wszystkim do każdego państwa, ponoszącego odpowiedzialność za „życie [swojego] narodu”, należy </w:t>
      </w:r>
      <w:r w:rsidR="00145666" w:rsidRPr="00506C28">
        <w:rPr>
          <w:rFonts w:ascii="Arial" w:hAnsi="Arial" w:cs="Arial"/>
        </w:rPr>
        <w:t>ustalenie</w:t>
      </w:r>
      <w:r w:rsidRPr="00506C28">
        <w:rPr>
          <w:rFonts w:ascii="Arial" w:hAnsi="Arial" w:cs="Arial"/>
        </w:rPr>
        <w:t xml:space="preserve"> czy życie to jest zagrożone przez „</w:t>
      </w:r>
      <w:r w:rsidR="00FE3085" w:rsidRPr="00506C28">
        <w:rPr>
          <w:rFonts w:ascii="Arial" w:hAnsi="Arial" w:cs="Arial"/>
        </w:rPr>
        <w:t>niebezpieczeństwo publiczne</w:t>
      </w:r>
      <w:r w:rsidRPr="00506C28">
        <w:rPr>
          <w:rFonts w:ascii="Arial" w:hAnsi="Arial" w:cs="Arial"/>
        </w:rPr>
        <w:t>” i jeśli tak, to w jakim zakresie konieczne jest podjęcie działań w celu przezwyciężenia tego stanu. Ze względu na bezpośredni i stały kontakt z pilnymi potrzebami chwili, władze krajowe były co do zasady w lepszej sytuacji niż sędzia międzynarodowy, aby z</w:t>
      </w:r>
      <w:r w:rsidR="00B62280" w:rsidRPr="00506C28">
        <w:rPr>
          <w:rFonts w:ascii="Arial" w:hAnsi="Arial" w:cs="Arial"/>
        </w:rPr>
        <w:t>a</w:t>
      </w:r>
      <w:r w:rsidRPr="00506C28">
        <w:rPr>
          <w:rFonts w:ascii="Arial" w:hAnsi="Arial" w:cs="Arial"/>
        </w:rPr>
        <w:t xml:space="preserve">decydować zarówno o istnieniu takiego stanu wyjątkowego, jak i o charakterze i zakresie </w:t>
      </w:r>
      <w:r w:rsidR="005122DE" w:rsidRPr="00506C28">
        <w:rPr>
          <w:rFonts w:ascii="Arial" w:hAnsi="Arial" w:cs="Arial"/>
        </w:rPr>
        <w:t xml:space="preserve">uchyleń </w:t>
      </w:r>
      <w:r w:rsidRPr="00506C28">
        <w:rPr>
          <w:rFonts w:ascii="Arial" w:hAnsi="Arial" w:cs="Arial"/>
        </w:rPr>
        <w:t xml:space="preserve">niezbędnych do jego zażegnania. Niemniej jednak państwa nie miały w tym zakresie nieograniczonej władzy, a zatem Trybunał musiał ustalić, czy nie wykroczyły one poza „zakres ściśle </w:t>
      </w:r>
      <w:r w:rsidR="00B62280" w:rsidRPr="00506C28">
        <w:rPr>
          <w:rFonts w:ascii="Arial" w:hAnsi="Arial" w:cs="Arial"/>
        </w:rPr>
        <w:t>odpowiadający wymogom sytuacji”</w:t>
      </w:r>
      <w:r w:rsidRPr="00506C28">
        <w:rPr>
          <w:rFonts w:ascii="Arial" w:hAnsi="Arial" w:cs="Arial"/>
        </w:rPr>
        <w:t xml:space="preserve">. W niniejszej sprawie Trybunał nie uznał, biorąc pod uwagę margines </w:t>
      </w:r>
      <w:r w:rsidR="00F05129" w:rsidRPr="00506C28">
        <w:rPr>
          <w:rFonts w:ascii="Arial" w:hAnsi="Arial" w:cs="Arial"/>
        </w:rPr>
        <w:t xml:space="preserve">oceny </w:t>
      </w:r>
      <w:r w:rsidRPr="00506C28">
        <w:rPr>
          <w:rFonts w:ascii="Arial" w:hAnsi="Arial" w:cs="Arial"/>
        </w:rPr>
        <w:t xml:space="preserve">przysługujący umawiającym się państwom, że Zjednoczone Królestwo przekroczyło </w:t>
      </w:r>
      <w:r w:rsidR="00B62280" w:rsidRPr="00506C28">
        <w:rPr>
          <w:rFonts w:ascii="Arial" w:hAnsi="Arial" w:cs="Arial"/>
        </w:rPr>
        <w:t>ów zakres</w:t>
      </w:r>
      <w:r w:rsidRPr="00506C28">
        <w:rPr>
          <w:rFonts w:ascii="Arial" w:hAnsi="Arial" w:cs="Arial"/>
        </w:rPr>
        <w:t xml:space="preserve"> w rozumieniu art. 15 § 1 </w:t>
      </w:r>
      <w:r w:rsidR="00265B4B" w:rsidRPr="00506C28">
        <w:rPr>
          <w:rFonts w:ascii="Arial" w:hAnsi="Arial" w:cs="Arial"/>
        </w:rPr>
        <w:lastRenderedPageBreak/>
        <w:t>K</w:t>
      </w:r>
      <w:r w:rsidRPr="00506C28">
        <w:rPr>
          <w:rFonts w:ascii="Arial" w:hAnsi="Arial" w:cs="Arial"/>
        </w:rPr>
        <w:t>onwencji.</w:t>
      </w:r>
    </w:p>
    <w:p w14:paraId="3D4B9249" w14:textId="77777777" w:rsidR="00A33C73" w:rsidRPr="00506C28" w:rsidRDefault="00A33C73" w:rsidP="004E75AD">
      <w:pPr>
        <w:pStyle w:val="Tekstpodstawowy"/>
        <w:spacing w:before="30" w:after="80"/>
        <w:jc w:val="both"/>
        <w:rPr>
          <w:rFonts w:ascii="Arial" w:hAnsi="Arial" w:cs="Arial"/>
        </w:rPr>
      </w:pPr>
    </w:p>
    <w:bookmarkStart w:id="32" w:name="_Hlk206413657"/>
    <w:bookmarkStart w:id="33" w:name="_Hlk206413623"/>
    <w:p w14:paraId="1A12885C" w14:textId="23C125F2" w:rsidR="00782109" w:rsidRPr="00506C28" w:rsidRDefault="009130BA" w:rsidP="004E75AD">
      <w:pPr>
        <w:pStyle w:val="Bodytext20"/>
        <w:spacing w:before="30" w:after="60" w:line="218" w:lineRule="auto"/>
        <w:jc w:val="both"/>
        <w:rPr>
          <w:rFonts w:ascii="Arial" w:hAnsi="Arial" w:cs="Arial"/>
        </w:rPr>
      </w:pPr>
      <w:r w:rsidRPr="00506C28">
        <w:rPr>
          <w:rFonts w:ascii="Arial" w:hAnsi="Arial" w:cs="Arial"/>
        </w:rPr>
        <w:fldChar w:fldCharType="begin"/>
      </w:r>
      <w:r w:rsidRPr="00506C28">
        <w:rPr>
          <w:rFonts w:ascii="Arial" w:hAnsi="Arial" w:cs="Arial"/>
        </w:rPr>
        <w:instrText>HYPERLINK "http://hudoc.echr.coe.int/sites/eng/pages/search.aspx?i=001-57819"</w:instrText>
      </w:r>
      <w:r w:rsidRPr="00506C28">
        <w:rPr>
          <w:rFonts w:ascii="Arial" w:hAnsi="Arial" w:cs="Arial"/>
        </w:rPr>
      </w:r>
      <w:r w:rsidRPr="00506C28">
        <w:rPr>
          <w:rFonts w:ascii="Arial" w:hAnsi="Arial" w:cs="Arial"/>
        </w:rPr>
        <w:fldChar w:fldCharType="separate"/>
      </w:r>
      <w:r w:rsidRPr="00506C28">
        <w:rPr>
          <w:rStyle w:val="Bodytext2"/>
          <w:rFonts w:ascii="Arial" w:hAnsi="Arial" w:cs="Arial"/>
          <w:b/>
          <w:bCs/>
          <w:color w:val="0071BB"/>
          <w:sz w:val="19"/>
          <w:szCs w:val="19"/>
          <w:u w:val="single"/>
        </w:rPr>
        <w:t>Brannigan i McBride przeciwko Zjednoczonemu Królestwu</w:t>
      </w:r>
      <w:r w:rsidRPr="00506C28">
        <w:rPr>
          <w:rStyle w:val="Bodytext2"/>
          <w:rFonts w:ascii="Arial" w:hAnsi="Arial" w:cs="Arial"/>
          <w:b/>
          <w:bCs/>
          <w:color w:val="0071BB"/>
          <w:sz w:val="19"/>
          <w:szCs w:val="19"/>
        </w:rPr>
        <w:t xml:space="preserve"> </w:t>
      </w:r>
      <w:r w:rsidRPr="00506C28">
        <w:rPr>
          <w:rFonts w:ascii="Arial" w:hAnsi="Arial" w:cs="Arial"/>
        </w:rPr>
        <w:fldChar w:fldCharType="end"/>
      </w:r>
      <w:r w:rsidRPr="00506C28">
        <w:rPr>
          <w:rStyle w:val="Bodytext2"/>
          <w:rFonts w:ascii="Arial" w:hAnsi="Arial" w:cs="Arial"/>
          <w:color w:val="808080"/>
        </w:rPr>
        <w:t>(zob. również powyżej, str. 4, oraz poniżej, str. 11)</w:t>
      </w:r>
      <w:bookmarkEnd w:id="32"/>
    </w:p>
    <w:p w14:paraId="5405E845"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26 maja 1993 r. (wyrok)</w:t>
      </w:r>
    </w:p>
    <w:p w14:paraId="01AC7769" w14:textId="6060EF83" w:rsidR="00782109" w:rsidRPr="00506C28" w:rsidRDefault="005C6EBB" w:rsidP="004E75AD">
      <w:pPr>
        <w:pStyle w:val="Tekstpodstawowy"/>
        <w:spacing w:before="30" w:after="0"/>
        <w:jc w:val="both"/>
        <w:rPr>
          <w:rFonts w:ascii="Arial" w:hAnsi="Arial" w:cs="Arial"/>
        </w:rPr>
      </w:pPr>
      <w:r w:rsidRPr="00506C28">
        <w:rPr>
          <w:rStyle w:val="TekstpodstawowyZnak"/>
          <w:rFonts w:ascii="Arial" w:hAnsi="Arial" w:cs="Arial"/>
          <w:color w:val="000000"/>
        </w:rPr>
        <w:t>Uchylenie</w:t>
      </w:r>
      <w:r w:rsidR="009130BA" w:rsidRPr="00506C28">
        <w:rPr>
          <w:rStyle w:val="TekstpodstawowyZnak"/>
          <w:rFonts w:ascii="Arial" w:hAnsi="Arial" w:cs="Arial"/>
          <w:color w:val="000000"/>
        </w:rPr>
        <w:t xml:space="preserve">, na które powołano się w niniejszej sprawie, było ściśle zgodne z wyrokiem w sprawie </w:t>
      </w:r>
      <w:r w:rsidR="009130BA" w:rsidRPr="00506C28">
        <w:rPr>
          <w:rStyle w:val="TekstpodstawowyZnak"/>
          <w:rFonts w:ascii="Arial" w:hAnsi="Arial" w:cs="Arial"/>
          <w:i/>
          <w:iCs/>
          <w:color w:val="000000"/>
        </w:rPr>
        <w:t xml:space="preserve">Brogan </w:t>
      </w:r>
      <w:r w:rsidR="00090273">
        <w:rPr>
          <w:rStyle w:val="TekstpodstawowyZnak"/>
          <w:rFonts w:ascii="Arial" w:hAnsi="Arial" w:cs="Arial"/>
          <w:i/>
          <w:iCs/>
          <w:color w:val="000000"/>
        </w:rPr>
        <w:br/>
      </w:r>
      <w:r w:rsidR="009130BA" w:rsidRPr="00506C28">
        <w:rPr>
          <w:rStyle w:val="TekstpodstawowyZnak"/>
          <w:rFonts w:ascii="Arial" w:hAnsi="Arial" w:cs="Arial"/>
          <w:i/>
          <w:iCs/>
          <w:color w:val="000000"/>
        </w:rPr>
        <w:t xml:space="preserve">i </w:t>
      </w:r>
      <w:r w:rsidR="003D4715" w:rsidRPr="00506C28">
        <w:rPr>
          <w:rStyle w:val="TekstpodstawowyZnak"/>
          <w:rFonts w:ascii="Arial" w:hAnsi="Arial" w:cs="Arial"/>
          <w:i/>
          <w:iCs/>
          <w:color w:val="000000"/>
        </w:rPr>
        <w:t>Inni</w:t>
      </w:r>
      <w:r w:rsidR="009130BA" w:rsidRPr="00506C28">
        <w:rPr>
          <w:rStyle w:val="TekstpodstawowyZnak"/>
          <w:rFonts w:ascii="Arial" w:hAnsi="Arial" w:cs="Arial"/>
          <w:i/>
          <w:iCs/>
          <w:color w:val="000000"/>
        </w:rPr>
        <w:t xml:space="preserve"> przeciwko Zjednoczonemu Królestwu</w:t>
      </w:r>
      <w:r w:rsidR="009130BA" w:rsidRPr="00506C28">
        <w:rPr>
          <w:rStyle w:val="TekstpodstawowyZnak"/>
          <w:rFonts w:ascii="Arial" w:hAnsi="Arial" w:cs="Arial"/>
          <w:color w:val="000000"/>
        </w:rPr>
        <w:t xml:space="preserve"> z dnia 29 listopada 1988 r. (zob. poniżej, s. 11), w którym stwierdzono, że rząd brytyjski naruszył art. 5 § 3 (prawo do wolności i bezpieczeństwa</w:t>
      </w:r>
      <w:r w:rsidR="006C321D" w:rsidRPr="00506C28">
        <w:rPr>
          <w:rStyle w:val="TekstpodstawowyZnak"/>
          <w:rFonts w:ascii="Arial" w:hAnsi="Arial" w:cs="Arial"/>
          <w:color w:val="000000"/>
        </w:rPr>
        <w:t xml:space="preserve"> osobistego</w:t>
      </w:r>
      <w:r w:rsidR="00B62280" w:rsidRPr="00506C28">
        <w:rPr>
          <w:rStyle w:val="TekstpodstawowyZnak"/>
          <w:rFonts w:ascii="Arial" w:hAnsi="Arial" w:cs="Arial"/>
          <w:color w:val="000000"/>
        </w:rPr>
        <w:t>, oraz</w:t>
      </w:r>
      <w:r w:rsidR="009130BA" w:rsidRPr="00506C28">
        <w:rPr>
          <w:rStyle w:val="TekstpodstawowyZnak"/>
          <w:rFonts w:ascii="Arial" w:hAnsi="Arial" w:cs="Arial"/>
          <w:color w:val="000000"/>
        </w:rPr>
        <w:t xml:space="preserve"> prawo do rozpatrzenia sprawy w rozsądnym terminie lub zwolnienia w trakcie postępowania) Konwencji, ponieważ skarżący nie zostali niezwłocznie postawieni przed sądem. Trybunał musiał zbadać </w:t>
      </w:r>
      <w:r w:rsidRPr="00506C28">
        <w:rPr>
          <w:rStyle w:val="TekstpodstawowyZnak"/>
          <w:rFonts w:ascii="Arial" w:hAnsi="Arial" w:cs="Arial"/>
          <w:color w:val="000000"/>
        </w:rPr>
        <w:t>uchylenie</w:t>
      </w:r>
      <w:r w:rsidR="009130BA" w:rsidRPr="00506C28">
        <w:rPr>
          <w:rStyle w:val="TekstpodstawowyZnak"/>
          <w:rFonts w:ascii="Arial" w:hAnsi="Arial" w:cs="Arial"/>
          <w:color w:val="000000"/>
        </w:rPr>
        <w:t xml:space="preserve"> w oparciu o ten </w:t>
      </w:r>
      <w:r w:rsidR="00A33C73" w:rsidRPr="00506C28">
        <w:rPr>
          <w:rStyle w:val="TekstpodstawowyZnak"/>
          <w:rFonts w:ascii="Arial" w:hAnsi="Arial" w:cs="Arial"/>
          <w:color w:val="000000"/>
        </w:rPr>
        <w:t>fakt, nie</w:t>
      </w:r>
      <w:r w:rsidR="009130BA" w:rsidRPr="00506C28">
        <w:rPr>
          <w:rStyle w:val="TekstpodstawowyZnak"/>
          <w:rFonts w:ascii="Arial" w:hAnsi="Arial" w:cs="Arial"/>
          <w:color w:val="000000"/>
        </w:rPr>
        <w:t xml:space="preserve"> zapominając, że uprawnienia do aresztowania i zatrzymania, o których mowa, obowiązywały już od 1974 r.</w:t>
      </w:r>
    </w:p>
    <w:p w14:paraId="506DB08A" w14:textId="584FC5E3"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rPr>
        <w:t>Trybunał zauważył, że zasadniczą kwestią w niniejszej sprawie nie było uprawnieni</w:t>
      </w:r>
      <w:r w:rsidR="00B62280" w:rsidRPr="00506C28">
        <w:rPr>
          <w:rStyle w:val="TekstpodstawowyZnak"/>
          <w:rFonts w:ascii="Arial" w:hAnsi="Arial" w:cs="Arial"/>
        </w:rPr>
        <w:t>e</w:t>
      </w:r>
      <w:r w:rsidRPr="00506C28">
        <w:rPr>
          <w:rStyle w:val="TekstpodstawowyZnak"/>
          <w:rFonts w:ascii="Arial" w:hAnsi="Arial" w:cs="Arial"/>
        </w:rPr>
        <w:t xml:space="preserve"> do zatrzymania osób podejrzanych o terroryzm na okres do siedmiu dni, ale raczej wykonywanie tego uprawnienia bez interwencji sądowej.</w:t>
      </w:r>
    </w:p>
    <w:p w14:paraId="32AA0106" w14:textId="594BE2C3" w:rsidR="00782109" w:rsidRPr="00506C28" w:rsidRDefault="009130BA" w:rsidP="004E75AD">
      <w:pPr>
        <w:pStyle w:val="Tekstpodstawowy"/>
        <w:spacing w:before="30"/>
        <w:jc w:val="both"/>
        <w:rPr>
          <w:rFonts w:ascii="Arial" w:hAnsi="Arial" w:cs="Arial"/>
        </w:rPr>
      </w:pPr>
      <w:r w:rsidRPr="00506C28">
        <w:rPr>
          <w:rStyle w:val="TekstpodstawowyZnak"/>
          <w:rFonts w:ascii="Arial" w:hAnsi="Arial" w:cs="Arial"/>
        </w:rPr>
        <w:t xml:space="preserve">W odniesieniu do pierwszej kwestii, tj. czy </w:t>
      </w:r>
      <w:r w:rsidR="005C6EBB" w:rsidRPr="00506C28">
        <w:rPr>
          <w:rStyle w:val="TekstpodstawowyZnak"/>
          <w:rFonts w:ascii="Arial" w:hAnsi="Arial" w:cs="Arial"/>
        </w:rPr>
        <w:t>uchylenie</w:t>
      </w:r>
      <w:r w:rsidRPr="00506C28">
        <w:rPr>
          <w:rStyle w:val="TekstpodstawowyZnak"/>
          <w:rFonts w:ascii="Arial" w:hAnsi="Arial" w:cs="Arial"/>
        </w:rPr>
        <w:t xml:space="preserve"> stanowiło rzeczywistą reakcję na sytuację nadzwyczajną</w:t>
      </w:r>
      <w:r w:rsidR="00A656D9" w:rsidRPr="00506C28">
        <w:rPr>
          <w:rStyle w:val="TekstpodstawowyZnak"/>
          <w:rFonts w:ascii="Arial" w:hAnsi="Arial" w:cs="Arial"/>
        </w:rPr>
        <w:t xml:space="preserve"> -</w:t>
      </w:r>
      <w:r w:rsidRPr="00506C28">
        <w:rPr>
          <w:rStyle w:val="TekstpodstawowyZnak"/>
          <w:rFonts w:ascii="Arial" w:hAnsi="Arial" w:cs="Arial"/>
        </w:rPr>
        <w:t xml:space="preserve"> biorąc pod uwagę, że uprawnienie do przedłużenia zatrzymania bez takiej kontroli sądowej oraz </w:t>
      </w:r>
      <w:r w:rsidR="005C6EBB" w:rsidRPr="00506C28">
        <w:rPr>
          <w:rStyle w:val="TekstpodstawowyZnak"/>
          <w:rFonts w:ascii="Arial" w:hAnsi="Arial" w:cs="Arial"/>
        </w:rPr>
        <w:t>uchylenie</w:t>
      </w:r>
      <w:r w:rsidRPr="00506C28">
        <w:rPr>
          <w:rStyle w:val="TekstpodstawowyZnak"/>
          <w:rFonts w:ascii="Arial" w:hAnsi="Arial" w:cs="Arial"/>
        </w:rPr>
        <w:t xml:space="preserve"> od</w:t>
      </w:r>
      <w:r w:rsidR="002300B9" w:rsidRPr="00506C28">
        <w:rPr>
          <w:rFonts w:ascii="Arial" w:hAnsi="Arial" w:cs="Arial"/>
        </w:rPr>
        <w:t xml:space="preserve"> </w:t>
      </w:r>
      <w:r w:rsidRPr="00506C28">
        <w:rPr>
          <w:rStyle w:val="TekstpodstawowyZnak"/>
          <w:rFonts w:ascii="Arial" w:hAnsi="Arial" w:cs="Arial"/>
        </w:rPr>
        <w:t>23 grudnia 1988 r. były wyraźnie związane z utrzymywaniem się sytuacji nadzwyczajnej</w:t>
      </w:r>
      <w:r w:rsidR="00A656D9" w:rsidRPr="00506C28">
        <w:rPr>
          <w:rStyle w:val="TekstpodstawowyZnak"/>
          <w:rFonts w:ascii="Arial" w:hAnsi="Arial" w:cs="Arial"/>
        </w:rPr>
        <w:t xml:space="preserve"> -</w:t>
      </w:r>
      <w:r w:rsidRPr="00506C28">
        <w:rPr>
          <w:rStyle w:val="TekstpodstawowyZnak"/>
          <w:rFonts w:ascii="Arial" w:hAnsi="Arial" w:cs="Arial"/>
        </w:rPr>
        <w:t xml:space="preserve"> nie było żadnych przesłanek wskazujących</w:t>
      </w:r>
      <w:r w:rsidR="00B62280" w:rsidRPr="00506C28">
        <w:rPr>
          <w:rStyle w:val="TekstpodstawowyZnak"/>
          <w:rFonts w:ascii="Arial" w:hAnsi="Arial" w:cs="Arial"/>
        </w:rPr>
        <w:t xml:space="preserve"> na to</w:t>
      </w:r>
      <w:r w:rsidRPr="00506C28">
        <w:rPr>
          <w:rStyle w:val="TekstpodstawowyZnak"/>
          <w:rFonts w:ascii="Arial" w:hAnsi="Arial" w:cs="Arial"/>
        </w:rPr>
        <w:t xml:space="preserve">, że </w:t>
      </w:r>
      <w:r w:rsidR="005C6EBB" w:rsidRPr="00506C28">
        <w:rPr>
          <w:rStyle w:val="TekstpodstawowyZnak"/>
          <w:rFonts w:ascii="Arial" w:hAnsi="Arial" w:cs="Arial"/>
        </w:rPr>
        <w:t>uchylenie</w:t>
      </w:r>
      <w:r w:rsidRPr="00506C28">
        <w:rPr>
          <w:rStyle w:val="TekstpodstawowyZnak"/>
          <w:rFonts w:ascii="Arial" w:hAnsi="Arial" w:cs="Arial"/>
        </w:rPr>
        <w:t xml:space="preserve"> nie było prawdziwą reakcją na tę sytuację.</w:t>
      </w:r>
    </w:p>
    <w:p w14:paraId="3EF60617" w14:textId="02799E67" w:rsidR="00782109" w:rsidRPr="00506C28" w:rsidRDefault="00A656D9" w:rsidP="004E75AD">
      <w:pPr>
        <w:pStyle w:val="Tekstpodstawowy"/>
        <w:spacing w:before="30" w:after="0"/>
        <w:jc w:val="both"/>
        <w:rPr>
          <w:rFonts w:ascii="Arial" w:hAnsi="Arial" w:cs="Arial"/>
        </w:rPr>
      </w:pPr>
      <w:r w:rsidRPr="00506C28">
        <w:rPr>
          <w:rStyle w:val="TekstpodstawowyZnak"/>
          <w:rFonts w:ascii="Arial" w:hAnsi="Arial" w:cs="Arial"/>
        </w:rPr>
        <w:t>W kwestii tego</w:t>
      </w:r>
      <w:r w:rsidR="009130BA" w:rsidRPr="00506C28">
        <w:rPr>
          <w:rStyle w:val="TekstpodstawowyZnak"/>
          <w:rFonts w:ascii="Arial" w:hAnsi="Arial" w:cs="Arial"/>
        </w:rPr>
        <w:t xml:space="preserve">, czy </w:t>
      </w:r>
      <w:r w:rsidR="005C6EBB" w:rsidRPr="00506C28">
        <w:rPr>
          <w:rStyle w:val="TekstpodstawowyZnak"/>
          <w:rFonts w:ascii="Arial" w:hAnsi="Arial" w:cs="Arial"/>
        </w:rPr>
        <w:t>uchylenie</w:t>
      </w:r>
      <w:r w:rsidR="009130BA" w:rsidRPr="00506C28">
        <w:rPr>
          <w:rStyle w:val="TekstpodstawowyZnak"/>
          <w:rFonts w:ascii="Arial" w:hAnsi="Arial" w:cs="Arial"/>
        </w:rPr>
        <w:t xml:space="preserve"> było przedwczesne, nie można podważać jego ważności wyłącznie </w:t>
      </w:r>
      <w:r w:rsidR="0061114F" w:rsidRPr="00506C28">
        <w:rPr>
          <w:rStyle w:val="TekstpodstawowyZnak"/>
          <w:rFonts w:ascii="Arial" w:hAnsi="Arial" w:cs="Arial"/>
        </w:rPr>
        <w:t>z tego powodu</w:t>
      </w:r>
      <w:r w:rsidR="009130BA" w:rsidRPr="00506C28">
        <w:rPr>
          <w:rStyle w:val="TekstpodstawowyZnak"/>
          <w:rFonts w:ascii="Arial" w:hAnsi="Arial" w:cs="Arial"/>
        </w:rPr>
        <w:t>, że rząd postanowił zbadać, czy w przyszłości moż</w:t>
      </w:r>
      <w:r w:rsidR="00C124B4" w:rsidRPr="00506C28">
        <w:rPr>
          <w:rStyle w:val="TekstpodstawowyZnak"/>
          <w:rFonts w:ascii="Arial" w:hAnsi="Arial" w:cs="Arial"/>
        </w:rPr>
        <w:t>liwym byłoby</w:t>
      </w:r>
      <w:r w:rsidR="009130BA" w:rsidRPr="00506C28">
        <w:rPr>
          <w:rStyle w:val="TekstpodstawowyZnak"/>
          <w:rFonts w:ascii="Arial" w:hAnsi="Arial" w:cs="Arial"/>
        </w:rPr>
        <w:t xml:space="preserve"> znale</w:t>
      </w:r>
      <w:r w:rsidR="00C124B4" w:rsidRPr="00506C28">
        <w:rPr>
          <w:rStyle w:val="TekstpodstawowyZnak"/>
          <w:rFonts w:ascii="Arial" w:hAnsi="Arial" w:cs="Arial"/>
        </w:rPr>
        <w:t>zienie</w:t>
      </w:r>
      <w:r w:rsidR="009130BA" w:rsidRPr="00506C28">
        <w:rPr>
          <w:rStyle w:val="TekstpodstawowyZnak"/>
          <w:rFonts w:ascii="Arial" w:hAnsi="Arial" w:cs="Arial"/>
        </w:rPr>
        <w:t xml:space="preserve"> spos</w:t>
      </w:r>
      <w:r w:rsidR="00C124B4" w:rsidRPr="00506C28">
        <w:rPr>
          <w:rStyle w:val="TekstpodstawowyZnak"/>
          <w:rFonts w:ascii="Arial" w:hAnsi="Arial" w:cs="Arial"/>
        </w:rPr>
        <w:t>obu</w:t>
      </w:r>
      <w:r w:rsidR="009130BA" w:rsidRPr="00506C28">
        <w:rPr>
          <w:rStyle w:val="TekstpodstawowyZnak"/>
          <w:rFonts w:ascii="Arial" w:hAnsi="Arial" w:cs="Arial"/>
        </w:rPr>
        <w:t xml:space="preserve"> na zapewnienie większej zgodności z zobowiązaniami wynikającymi z </w:t>
      </w:r>
      <w:r w:rsidR="0065342B" w:rsidRPr="00506C28">
        <w:rPr>
          <w:rStyle w:val="TekstpodstawowyZnak"/>
          <w:rFonts w:ascii="Arial" w:hAnsi="Arial" w:cs="Arial"/>
        </w:rPr>
        <w:t>K</w:t>
      </w:r>
      <w:r w:rsidR="009130BA" w:rsidRPr="00506C28">
        <w:rPr>
          <w:rStyle w:val="TekstpodstawowyZnak"/>
          <w:rFonts w:ascii="Arial" w:hAnsi="Arial" w:cs="Arial"/>
        </w:rPr>
        <w:t>onwencji. Taki proces ciągłej refleksji był nie tylko zgodny z art. 15 § 3, który wymagał stałego przeglądu konieczności stosowania środków nadzwyczajnych, ale wynikał również z samej zasady proporcjonalności.</w:t>
      </w:r>
    </w:p>
    <w:p w14:paraId="2C483B3A" w14:textId="156D9052" w:rsidR="00635DB4" w:rsidRPr="00506C28" w:rsidRDefault="009130BA" w:rsidP="004E75AD">
      <w:pPr>
        <w:pStyle w:val="Tekstpodstawowy"/>
        <w:spacing w:before="30" w:after="0"/>
        <w:jc w:val="both"/>
        <w:rPr>
          <w:rStyle w:val="TekstpodstawowyZnak"/>
          <w:rFonts w:ascii="Arial" w:hAnsi="Arial" w:cs="Arial"/>
        </w:rPr>
      </w:pPr>
      <w:r w:rsidRPr="00506C28">
        <w:rPr>
          <w:rStyle w:val="TekstpodstawowyZnak"/>
          <w:rFonts w:ascii="Arial" w:hAnsi="Arial" w:cs="Arial"/>
        </w:rPr>
        <w:t xml:space="preserve">Jeśli chodzi o to, czy brak kontroli sądowej nad przedłużonym zatrzymaniem był uzasadniony, Trybunał powtórzył między innymi, że </w:t>
      </w:r>
      <w:r w:rsidR="00DE21ED" w:rsidRPr="00506C28">
        <w:rPr>
          <w:rStyle w:val="TekstpodstawowyZnak"/>
          <w:rFonts w:ascii="Arial" w:hAnsi="Arial" w:cs="Arial"/>
        </w:rPr>
        <w:t xml:space="preserve">nie leży w jego kompetencji </w:t>
      </w:r>
      <w:r w:rsidRPr="00506C28">
        <w:rPr>
          <w:rStyle w:val="TekstpodstawowyZnak"/>
          <w:rFonts w:ascii="Arial" w:hAnsi="Arial" w:cs="Arial"/>
        </w:rPr>
        <w:t xml:space="preserve">zastępowanie opinii rządu, który ponosi bezpośrednią odpowiedzialność za zapewnienie równowagi między skutecznymi środkami zwalczania terroryzmu a poszanowaniem praw jednostki, </w:t>
      </w:r>
      <w:r w:rsidR="00DE21ED" w:rsidRPr="00506C28">
        <w:rPr>
          <w:rStyle w:val="TekstpodstawowyZnak"/>
          <w:rFonts w:ascii="Arial" w:hAnsi="Arial" w:cs="Arial"/>
        </w:rPr>
        <w:t xml:space="preserve">poprzez </w:t>
      </w:r>
      <w:r w:rsidRPr="00506C28">
        <w:rPr>
          <w:rStyle w:val="TekstpodstawowyZnak"/>
          <w:rFonts w:ascii="Arial" w:hAnsi="Arial" w:cs="Arial"/>
        </w:rPr>
        <w:t>swoją opini</w:t>
      </w:r>
      <w:r w:rsidR="00DE21ED" w:rsidRPr="00506C28">
        <w:rPr>
          <w:rStyle w:val="TekstpodstawowyZnak"/>
          <w:rFonts w:ascii="Arial" w:hAnsi="Arial" w:cs="Arial"/>
        </w:rPr>
        <w:t>ę</w:t>
      </w:r>
      <w:r w:rsidRPr="00506C28">
        <w:rPr>
          <w:rStyle w:val="TekstpodstawowyZnak"/>
          <w:rFonts w:ascii="Arial" w:hAnsi="Arial" w:cs="Arial"/>
        </w:rPr>
        <w:t xml:space="preserve"> na temat tego, jakie środki były najbardziej odpowiednie lub najpilniejsze w danej sytuacji nadzwyczajnej. W kontekście Irlandii Północnej </w:t>
      </w:r>
      <w:r w:rsidR="00DE21ED" w:rsidRPr="00506C28">
        <w:rPr>
          <w:rStyle w:val="TekstpodstawowyZnak"/>
          <w:rFonts w:ascii="Arial" w:hAnsi="Arial" w:cs="Arial"/>
        </w:rPr>
        <w:t>(</w:t>
      </w:r>
      <w:r w:rsidRPr="00506C28">
        <w:rPr>
          <w:rStyle w:val="TekstpodstawowyZnak"/>
          <w:rFonts w:ascii="Arial" w:hAnsi="Arial" w:cs="Arial"/>
        </w:rPr>
        <w:t xml:space="preserve">gdzie </w:t>
      </w:r>
      <w:r w:rsidR="00DE21ED" w:rsidRPr="00506C28">
        <w:rPr>
          <w:rStyle w:val="TekstpodstawowyZnak"/>
          <w:rFonts w:ascii="Arial" w:hAnsi="Arial" w:cs="Arial"/>
        </w:rPr>
        <w:t xml:space="preserve">wymiar sprawiedliwości </w:t>
      </w:r>
      <w:r w:rsidRPr="00506C28">
        <w:rPr>
          <w:rStyle w:val="TekstpodstawowyZnak"/>
          <w:rFonts w:ascii="Arial" w:hAnsi="Arial" w:cs="Arial"/>
        </w:rPr>
        <w:t>był niewielki i narażon</w:t>
      </w:r>
      <w:r w:rsidR="00DE21ED" w:rsidRPr="00506C28">
        <w:rPr>
          <w:rStyle w:val="TekstpodstawowyZnak"/>
          <w:rFonts w:ascii="Arial" w:hAnsi="Arial" w:cs="Arial"/>
        </w:rPr>
        <w:t>y</w:t>
      </w:r>
      <w:r w:rsidRPr="00506C28">
        <w:rPr>
          <w:rStyle w:val="TekstpodstawowyZnak"/>
          <w:rFonts w:ascii="Arial" w:hAnsi="Arial" w:cs="Arial"/>
        </w:rPr>
        <w:t xml:space="preserve"> na ataki terrorystyczne</w:t>
      </w:r>
      <w:r w:rsidR="00DE21ED" w:rsidRPr="00506C28">
        <w:rPr>
          <w:rStyle w:val="TekstpodstawowyZnak"/>
          <w:rFonts w:ascii="Arial" w:hAnsi="Arial" w:cs="Arial"/>
        </w:rPr>
        <w:t>)</w:t>
      </w:r>
      <w:r w:rsidRPr="00506C28">
        <w:rPr>
          <w:rStyle w:val="TekstpodstawowyZnak"/>
          <w:rFonts w:ascii="Arial" w:hAnsi="Arial" w:cs="Arial"/>
        </w:rPr>
        <w:t xml:space="preserve"> zaufanie społeczeństwa do niezależności sądownictwa było kwestią, do której rząd przywiązywał dużą wagę. W świetle tych rozważań nie można stwierdzić, że rząd przekroczył margines </w:t>
      </w:r>
      <w:r w:rsidR="00F05129" w:rsidRPr="00506C28">
        <w:rPr>
          <w:rStyle w:val="TekstpodstawowyZnak"/>
          <w:rFonts w:ascii="Arial" w:hAnsi="Arial" w:cs="Arial"/>
        </w:rPr>
        <w:t xml:space="preserve">oceny </w:t>
      </w:r>
      <w:r w:rsidRPr="00506C28">
        <w:rPr>
          <w:rStyle w:val="TekstpodstawowyZnak"/>
          <w:rFonts w:ascii="Arial" w:hAnsi="Arial" w:cs="Arial"/>
        </w:rPr>
        <w:t xml:space="preserve">w podejmowaniu decyzji o braku kontroli sądowej w danych okolicznościach. </w:t>
      </w:r>
    </w:p>
    <w:p w14:paraId="7F54820F" w14:textId="4FD83252"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rPr>
        <w:t xml:space="preserve">Wreszcie, jeśli chodzi o gwarancje przed nadużyciami, Trybunał uznał, że takie gwarancje istnieją i stanowią ważny środek ochrony przed arbitralnym postępowaniem i przetrzymywaniem w izolacji. Oprócz podstawowych gwarancji, stosowanie przedmiotowych przepisów było regularnie poddawane niezależnej kontroli i do 1989 r. </w:t>
      </w:r>
      <w:r w:rsidR="00635DB4" w:rsidRPr="00506C28">
        <w:rPr>
          <w:rStyle w:val="TekstpodstawowyZnak"/>
          <w:rFonts w:ascii="Arial" w:hAnsi="Arial" w:cs="Arial"/>
        </w:rPr>
        <w:t>było przedmiotem okresowego przedłużania</w:t>
      </w:r>
      <w:r w:rsidRPr="00506C28">
        <w:rPr>
          <w:rStyle w:val="TekstpodstawowyZnak"/>
          <w:rFonts w:ascii="Arial" w:hAnsi="Arial" w:cs="Arial"/>
        </w:rPr>
        <w:t>.</w:t>
      </w:r>
      <w:r w:rsidR="00A656D9" w:rsidRPr="00506C28">
        <w:rPr>
          <w:rStyle w:val="TekstpodstawowyZnak"/>
          <w:rFonts w:ascii="Arial" w:hAnsi="Arial" w:cs="Arial"/>
        </w:rPr>
        <w:t xml:space="preserve"> </w:t>
      </w:r>
    </w:p>
    <w:bookmarkEnd w:id="33"/>
    <w:p w14:paraId="680E7441" w14:textId="348071E9" w:rsidR="00782109" w:rsidRPr="00506C28" w:rsidRDefault="009130BA" w:rsidP="004E75AD">
      <w:pPr>
        <w:pStyle w:val="Tekstpodstawowy"/>
        <w:spacing w:before="30"/>
        <w:jc w:val="both"/>
        <w:rPr>
          <w:rFonts w:ascii="Arial" w:hAnsi="Arial" w:cs="Arial"/>
        </w:rPr>
      </w:pPr>
      <w:r w:rsidRPr="00506C28">
        <w:rPr>
          <w:rStyle w:val="TekstpodstawowyZnak"/>
          <w:rFonts w:ascii="Arial" w:hAnsi="Arial" w:cs="Arial"/>
        </w:rPr>
        <w:t xml:space="preserve">W niniejszej sprawie, </w:t>
      </w:r>
      <w:r w:rsidRPr="00506C28">
        <w:rPr>
          <w:rStyle w:val="TekstpodstawowyZnak"/>
          <w:rFonts w:ascii="Arial" w:hAnsi="Arial" w:cs="Arial"/>
          <w:b/>
          <w:bCs/>
        </w:rPr>
        <w:t xml:space="preserve">biorąc pod uwagę charakter zagrożenia terrorystycznego </w:t>
      </w:r>
      <w:r w:rsidRPr="00506C28">
        <w:rPr>
          <w:rStyle w:val="TekstpodstawowyZnak"/>
          <w:rFonts w:ascii="Arial" w:hAnsi="Arial" w:cs="Arial"/>
        </w:rPr>
        <w:t xml:space="preserve">w Irlandii Północnej, </w:t>
      </w:r>
      <w:r w:rsidRPr="00506C28">
        <w:rPr>
          <w:rStyle w:val="TekstpodstawowyZnak"/>
          <w:rFonts w:ascii="Arial" w:hAnsi="Arial" w:cs="Arial"/>
          <w:b/>
          <w:bCs/>
        </w:rPr>
        <w:t xml:space="preserve">ograniczony zakres </w:t>
      </w:r>
      <w:r w:rsidR="005C6EBB" w:rsidRPr="00506C28">
        <w:rPr>
          <w:rStyle w:val="TekstpodstawowyZnak"/>
          <w:rFonts w:ascii="Arial" w:hAnsi="Arial" w:cs="Arial"/>
          <w:b/>
          <w:bCs/>
        </w:rPr>
        <w:t>uchylenia</w:t>
      </w:r>
      <w:r w:rsidRPr="00506C28">
        <w:rPr>
          <w:rStyle w:val="TekstpodstawowyZnak"/>
          <w:rFonts w:ascii="Arial" w:hAnsi="Arial" w:cs="Arial"/>
          <w:b/>
          <w:bCs/>
        </w:rPr>
        <w:t xml:space="preserve"> i powody je uzasadniają</w:t>
      </w:r>
      <w:r w:rsidR="00635DB4" w:rsidRPr="00506C28">
        <w:rPr>
          <w:rStyle w:val="TekstpodstawowyZnak"/>
          <w:rFonts w:ascii="Arial" w:hAnsi="Arial" w:cs="Arial"/>
          <w:b/>
          <w:bCs/>
        </w:rPr>
        <w:t>ce</w:t>
      </w:r>
      <w:r w:rsidRPr="00506C28">
        <w:rPr>
          <w:rStyle w:val="TekstpodstawowyZnak"/>
          <w:rFonts w:ascii="Arial" w:hAnsi="Arial" w:cs="Arial"/>
        </w:rPr>
        <w:t xml:space="preserve">, a także </w:t>
      </w:r>
      <w:r w:rsidRPr="00506C28">
        <w:rPr>
          <w:rStyle w:val="TekstpodstawowyZnak"/>
          <w:rFonts w:ascii="Arial" w:hAnsi="Arial" w:cs="Arial"/>
          <w:b/>
          <w:bCs/>
        </w:rPr>
        <w:t>istnienie podstawowych zabezpieczeń przed nadużyciami</w:t>
      </w:r>
      <w:r w:rsidRPr="00506C28">
        <w:rPr>
          <w:rStyle w:val="TekstpodstawowyZnak"/>
          <w:rFonts w:ascii="Arial" w:hAnsi="Arial" w:cs="Arial"/>
        </w:rPr>
        <w:t xml:space="preserve">, Trybunał uznał, że rząd brytyjski </w:t>
      </w:r>
      <w:r w:rsidRPr="00506C28">
        <w:rPr>
          <w:rStyle w:val="TekstpodstawowyZnak"/>
          <w:rFonts w:ascii="Arial" w:hAnsi="Arial" w:cs="Arial"/>
          <w:b/>
          <w:bCs/>
        </w:rPr>
        <w:t xml:space="preserve">nie przekroczył </w:t>
      </w:r>
      <w:r w:rsidRPr="00506C28">
        <w:rPr>
          <w:rStyle w:val="TekstpodstawowyZnak"/>
          <w:rFonts w:ascii="Arial" w:hAnsi="Arial" w:cs="Arial"/>
        </w:rPr>
        <w:t>swoje</w:t>
      </w:r>
      <w:r w:rsidR="00635DB4" w:rsidRPr="00506C28">
        <w:rPr>
          <w:rStyle w:val="TekstpodstawowyZnak"/>
          <w:rFonts w:ascii="Arial" w:hAnsi="Arial" w:cs="Arial"/>
        </w:rPr>
        <w:t>go</w:t>
      </w:r>
      <w:r w:rsidRPr="00506C28">
        <w:rPr>
          <w:rStyle w:val="TekstpodstawowyZnak"/>
          <w:rFonts w:ascii="Arial" w:hAnsi="Arial" w:cs="Arial"/>
        </w:rPr>
        <w:t xml:space="preserve"> </w:t>
      </w:r>
      <w:r w:rsidR="00635DB4" w:rsidRPr="00506C28">
        <w:rPr>
          <w:rStyle w:val="TekstpodstawowyZnak"/>
          <w:rFonts w:ascii="Arial" w:hAnsi="Arial" w:cs="Arial"/>
          <w:b/>
          <w:bCs/>
        </w:rPr>
        <w:t>marginesu oceny</w:t>
      </w:r>
      <w:r w:rsidRPr="00506C28">
        <w:rPr>
          <w:rStyle w:val="TekstpodstawowyZnak"/>
          <w:rFonts w:ascii="Arial" w:hAnsi="Arial" w:cs="Arial"/>
          <w:b/>
          <w:bCs/>
        </w:rPr>
        <w:t xml:space="preserve">, uznając, że </w:t>
      </w:r>
      <w:r w:rsidR="005C6EBB" w:rsidRPr="00506C28">
        <w:rPr>
          <w:rStyle w:val="TekstpodstawowyZnak"/>
          <w:rFonts w:ascii="Arial" w:hAnsi="Arial" w:cs="Arial"/>
          <w:b/>
          <w:bCs/>
        </w:rPr>
        <w:t>uchylenie</w:t>
      </w:r>
      <w:r w:rsidRPr="00506C28">
        <w:rPr>
          <w:rStyle w:val="TekstpodstawowyZnak"/>
          <w:rFonts w:ascii="Arial" w:hAnsi="Arial" w:cs="Arial"/>
          <w:b/>
          <w:bCs/>
        </w:rPr>
        <w:t xml:space="preserve"> było bezwzględnie konieczne ze względu na wymogi sytuacji</w:t>
      </w:r>
      <w:r w:rsidRPr="00506C28">
        <w:rPr>
          <w:rStyle w:val="TekstpodstawowyZnak"/>
          <w:rFonts w:ascii="Arial" w:hAnsi="Arial" w:cs="Arial"/>
        </w:rPr>
        <w:t>.</w:t>
      </w:r>
    </w:p>
    <w:p w14:paraId="19DB3F58" w14:textId="77777777" w:rsidR="006B2744" w:rsidRPr="00506C28" w:rsidRDefault="006B2744" w:rsidP="004E75AD">
      <w:pPr>
        <w:pStyle w:val="Bodytext20"/>
        <w:spacing w:before="30" w:after="60"/>
        <w:jc w:val="both"/>
        <w:rPr>
          <w:rFonts w:ascii="Arial" w:hAnsi="Arial" w:cs="Arial"/>
          <w:sz w:val="19"/>
          <w:szCs w:val="19"/>
        </w:rPr>
      </w:pPr>
    </w:p>
    <w:p w14:paraId="0D8ED6BB" w14:textId="6018289F" w:rsidR="00782109" w:rsidRPr="00506C28" w:rsidRDefault="00782109" w:rsidP="004E75AD">
      <w:pPr>
        <w:pStyle w:val="Bodytext20"/>
        <w:spacing w:before="30" w:after="60"/>
        <w:jc w:val="both"/>
        <w:rPr>
          <w:rFonts w:ascii="Arial" w:hAnsi="Arial" w:cs="Arial"/>
        </w:rPr>
      </w:pPr>
      <w:hyperlink r:id="rId30" w:history="1">
        <w:r w:rsidRPr="00506C28">
          <w:rPr>
            <w:rStyle w:val="Bodytext2"/>
            <w:rFonts w:ascii="Arial" w:hAnsi="Arial" w:cs="Arial"/>
            <w:b/>
            <w:bCs/>
            <w:color w:val="0071BB"/>
            <w:sz w:val="19"/>
            <w:szCs w:val="19"/>
            <w:u w:val="single"/>
          </w:rPr>
          <w:t>Aksoy przeciwko Turcji</w:t>
        </w:r>
        <w:r w:rsidRPr="00506C28">
          <w:rPr>
            <w:rStyle w:val="Bodytext2"/>
            <w:rFonts w:ascii="Arial" w:hAnsi="Arial" w:cs="Arial"/>
            <w:b/>
            <w:bCs/>
            <w:color w:val="0071BB"/>
            <w:sz w:val="19"/>
            <w:szCs w:val="19"/>
          </w:rPr>
          <w:t xml:space="preserve"> </w:t>
        </w:r>
      </w:hyperlink>
      <w:r w:rsidRPr="00506C28">
        <w:rPr>
          <w:rStyle w:val="Bodytext2"/>
          <w:rFonts w:ascii="Arial" w:hAnsi="Arial" w:cs="Arial"/>
          <w:color w:val="808080"/>
        </w:rPr>
        <w:t>(zob. również powyżej, s. 4, oraz poniżej, s. 13 i 15)</w:t>
      </w:r>
    </w:p>
    <w:p w14:paraId="3BD073BD"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18 grudnia 1996 r. (wyrok)</w:t>
      </w:r>
    </w:p>
    <w:p w14:paraId="46F4EF27" w14:textId="3E9EC20C" w:rsidR="00782109" w:rsidRPr="00506C28" w:rsidRDefault="009130BA" w:rsidP="004E75AD">
      <w:pPr>
        <w:pStyle w:val="Tekstpodstawowy"/>
        <w:spacing w:before="30" w:after="0"/>
        <w:jc w:val="both"/>
        <w:rPr>
          <w:rFonts w:ascii="Arial" w:hAnsi="Arial" w:cs="Arial"/>
          <w:color w:val="000000"/>
        </w:rPr>
      </w:pPr>
      <w:r w:rsidRPr="00506C28">
        <w:rPr>
          <w:rStyle w:val="TekstpodstawowyZnak"/>
          <w:rFonts w:ascii="Arial" w:hAnsi="Arial" w:cs="Arial"/>
          <w:color w:val="000000"/>
        </w:rPr>
        <w:t xml:space="preserve">W niniejszej sprawie skarżący był przetrzymywany przez co najmniej czternaście dni bez postawienia </w:t>
      </w:r>
      <w:r w:rsidR="00635DB4" w:rsidRPr="00506C28">
        <w:rPr>
          <w:rStyle w:val="TekstpodstawowyZnak"/>
          <w:rFonts w:ascii="Arial" w:hAnsi="Arial" w:cs="Arial"/>
          <w:color w:val="000000"/>
        </w:rPr>
        <w:t xml:space="preserve">go </w:t>
      </w:r>
      <w:r w:rsidRPr="00506C28">
        <w:rPr>
          <w:rStyle w:val="TekstpodstawowyZnak"/>
          <w:rFonts w:ascii="Arial" w:hAnsi="Arial" w:cs="Arial"/>
          <w:color w:val="000000"/>
        </w:rPr>
        <w:t xml:space="preserve">przed sędzią lub innym funkcjonariuszem wymiaru sprawiedliwości. Rząd turecki próbował uzasadnić ten środek szczególnymi wymogami dochodzenia policyjnego prowadzonego na rozległym obszarze opanowanym przez organizację terrorystyczną otrzymującą wsparcie z zewnątrz. </w:t>
      </w:r>
      <w:r w:rsidR="006B2744" w:rsidRPr="00506C28">
        <w:rPr>
          <w:rStyle w:val="TekstpodstawowyZnak"/>
          <w:rFonts w:ascii="Arial" w:hAnsi="Arial" w:cs="Arial"/>
          <w:color w:val="000000"/>
        </w:rPr>
        <w:t>Nie</w:t>
      </w:r>
      <w:r w:rsidRPr="00506C28">
        <w:rPr>
          <w:rStyle w:val="TekstpodstawowyZnak"/>
          <w:rFonts w:ascii="Arial" w:hAnsi="Arial" w:cs="Arial"/>
          <w:color w:val="000000"/>
        </w:rPr>
        <w:t xml:space="preserve"> przedstawiając żadnych szczegółowych argumentów przeciwko zasadności tureckiego </w:t>
      </w:r>
      <w:r w:rsidR="005C6EBB" w:rsidRPr="00506C28">
        <w:rPr>
          <w:rStyle w:val="TekstpodstawowyZnak"/>
          <w:rFonts w:ascii="Arial" w:hAnsi="Arial" w:cs="Arial"/>
          <w:color w:val="000000"/>
        </w:rPr>
        <w:t>uchylenia</w:t>
      </w:r>
      <w:r w:rsidRPr="00506C28">
        <w:rPr>
          <w:rStyle w:val="TekstpodstawowyZnak"/>
          <w:rFonts w:ascii="Arial" w:hAnsi="Arial" w:cs="Arial"/>
          <w:color w:val="000000"/>
        </w:rPr>
        <w:t xml:space="preserve"> jako całości,</w:t>
      </w:r>
      <w:r w:rsidR="00FF004B" w:rsidRPr="00506C28">
        <w:rPr>
          <w:rStyle w:val="TekstpodstawowyZnak"/>
          <w:rFonts w:ascii="Arial" w:hAnsi="Arial" w:cs="Arial"/>
          <w:color w:val="000000"/>
        </w:rPr>
        <w:t xml:space="preserve"> </w:t>
      </w:r>
      <w:r w:rsidRPr="00506C28">
        <w:rPr>
          <w:rStyle w:val="TekstpodstawowyZnak"/>
          <w:rFonts w:ascii="Arial" w:hAnsi="Arial" w:cs="Arial"/>
          <w:color w:val="000000"/>
        </w:rPr>
        <w:t xml:space="preserve">skarżący </w:t>
      </w:r>
      <w:r w:rsidR="00C5034B" w:rsidRPr="00506C28">
        <w:rPr>
          <w:rStyle w:val="TekstpodstawowyZnak"/>
          <w:rFonts w:ascii="Arial" w:hAnsi="Arial" w:cs="Arial"/>
          <w:color w:val="000000"/>
        </w:rPr>
        <w:t>podał w wątpliwość</w:t>
      </w:r>
      <w:r w:rsidRPr="00506C28">
        <w:rPr>
          <w:rStyle w:val="TekstpodstawowyZnak"/>
          <w:rFonts w:ascii="Arial" w:hAnsi="Arial" w:cs="Arial"/>
          <w:color w:val="000000"/>
        </w:rPr>
        <w:t xml:space="preserve"> konieczność przetrzymywania podejrzanych w południowo-wschodniej Turcji przez czternaście dni lub dłużej bez nadzoru sądowego. Jego zdaniem sędziowie w tej części Turcji nie ponosiliby żadnego ryzyka, gdyby mieli możliwość i obowiązek częstszego kontrolowania legalności zatrzymania.</w:t>
      </w:r>
    </w:p>
    <w:p w14:paraId="4DEF7EB1" w14:textId="74BBA953" w:rsidR="00B7392C" w:rsidRPr="00506C28" w:rsidRDefault="009130BA" w:rsidP="004E75AD">
      <w:pPr>
        <w:pStyle w:val="Tekstpodstawowy"/>
        <w:spacing w:before="30" w:after="80"/>
        <w:jc w:val="both"/>
        <w:rPr>
          <w:rFonts w:ascii="Arial" w:hAnsi="Arial" w:cs="Arial"/>
        </w:rPr>
      </w:pPr>
      <w:r w:rsidRPr="00506C28">
        <w:rPr>
          <w:rStyle w:val="TekstpodstawowyZnak"/>
          <w:rFonts w:ascii="Arial" w:hAnsi="Arial" w:cs="Arial"/>
        </w:rPr>
        <w:t xml:space="preserve">W odniesieniu do czasu trwania zatrzymania bez nadzoru sądowego Trybunał zauważył, że </w:t>
      </w:r>
      <w:r w:rsidRPr="00506C28">
        <w:rPr>
          <w:rStyle w:val="TekstpodstawowyZnak"/>
          <w:rFonts w:ascii="Arial" w:hAnsi="Arial" w:cs="Arial"/>
          <w:b/>
          <w:bCs/>
        </w:rPr>
        <w:t xml:space="preserve">rząd turecki nie przedstawił przed Trybunałem żadnych szczegółowych powodów, dla których walka z terroryzmem </w:t>
      </w:r>
      <w:r w:rsidR="00CB1741" w:rsidRPr="00506C28">
        <w:rPr>
          <w:rStyle w:val="TekstpodstawowyZnak"/>
          <w:rFonts w:ascii="Arial" w:hAnsi="Arial" w:cs="Arial"/>
          <w:b/>
          <w:bCs/>
        </w:rPr>
        <w:br/>
      </w:r>
      <w:r w:rsidRPr="00506C28">
        <w:rPr>
          <w:rStyle w:val="TekstpodstawowyZnak"/>
          <w:rFonts w:ascii="Arial" w:hAnsi="Arial" w:cs="Arial"/>
        </w:rPr>
        <w:t xml:space="preserve">w południowo-wschodniej Turcji </w:t>
      </w:r>
      <w:r w:rsidRPr="00506C28">
        <w:rPr>
          <w:rStyle w:val="TekstpodstawowyZnak"/>
          <w:rFonts w:ascii="Arial" w:hAnsi="Arial" w:cs="Arial"/>
          <w:b/>
          <w:bCs/>
        </w:rPr>
        <w:t>uniemożliwiała interwencję sądową</w:t>
      </w:r>
      <w:r w:rsidRPr="00506C28">
        <w:rPr>
          <w:rStyle w:val="TekstpodstawowyZnak"/>
          <w:rFonts w:ascii="Arial" w:hAnsi="Arial" w:cs="Arial"/>
        </w:rPr>
        <w:t xml:space="preserve">. Trybunał uznał, że dochodzenie </w:t>
      </w:r>
      <w:r w:rsidR="00090273">
        <w:rPr>
          <w:rStyle w:val="TekstpodstawowyZnak"/>
          <w:rFonts w:ascii="Arial" w:hAnsi="Arial" w:cs="Arial"/>
        </w:rPr>
        <w:br/>
      </w:r>
      <w:r w:rsidRPr="00506C28">
        <w:rPr>
          <w:rStyle w:val="TekstpodstawowyZnak"/>
          <w:rFonts w:ascii="Arial" w:hAnsi="Arial" w:cs="Arial"/>
        </w:rPr>
        <w:t xml:space="preserve">w sprawie przestępstw terrorystycznych niewątpliwie stawiało przed organami władzy szczególne problemy, ale nie mógł zgodzić się, że konieczne było przetrzymywanie podejrzanego przez czternaście dni bez interwencji sądowej. Okres ten był wyjątkowo długi i narażał skarżącego nie tylko na arbitralną ingerencję </w:t>
      </w:r>
      <w:r w:rsidR="00090273">
        <w:rPr>
          <w:rStyle w:val="TekstpodstawowyZnak"/>
          <w:rFonts w:ascii="Arial" w:hAnsi="Arial" w:cs="Arial"/>
        </w:rPr>
        <w:br/>
      </w:r>
      <w:r w:rsidRPr="00506C28">
        <w:rPr>
          <w:rStyle w:val="TekstpodstawowyZnak"/>
          <w:rFonts w:ascii="Arial" w:hAnsi="Arial" w:cs="Arial"/>
        </w:rPr>
        <w:t xml:space="preserve">w jego prawo do wolności, ale także na tortury. Jeśli chodzi o gwarancje zapewnione przez turecki system prawny, </w:t>
      </w:r>
      <w:r w:rsidRPr="00506C28">
        <w:rPr>
          <w:rStyle w:val="TekstpodstawowyZnak"/>
          <w:rFonts w:ascii="Arial" w:hAnsi="Arial" w:cs="Arial"/>
          <w:b/>
          <w:bCs/>
        </w:rPr>
        <w:t xml:space="preserve">Trybunał wziął pod uwagę niewątpliwie poważny problem terroryzmu </w:t>
      </w:r>
      <w:r w:rsidRPr="00506C28">
        <w:rPr>
          <w:rStyle w:val="TekstpodstawowyZnak"/>
          <w:rFonts w:ascii="Arial" w:hAnsi="Arial" w:cs="Arial"/>
        </w:rPr>
        <w:t xml:space="preserve">w południowo-wschodniej Turcji oraz trudności, jakie napotyka państwo w podejmowaniu skutecznych środków przeciwko niemu. </w:t>
      </w:r>
      <w:r w:rsidRPr="00506C28">
        <w:rPr>
          <w:rStyle w:val="TekstpodstawowyZnak"/>
          <w:rFonts w:ascii="Arial" w:hAnsi="Arial" w:cs="Arial"/>
          <w:b/>
          <w:bCs/>
        </w:rPr>
        <w:t xml:space="preserve">Nie był jednak przekonany, że </w:t>
      </w:r>
      <w:r w:rsidR="001B65A5" w:rsidRPr="00506C28">
        <w:rPr>
          <w:rStyle w:val="TekstpodstawowyZnak"/>
          <w:rFonts w:ascii="Arial" w:hAnsi="Arial" w:cs="Arial"/>
          <w:b/>
          <w:bCs/>
        </w:rPr>
        <w:t>okoliczności sytuacji</w:t>
      </w:r>
      <w:r w:rsidRPr="00506C28">
        <w:rPr>
          <w:rStyle w:val="TekstpodstawowyZnak"/>
          <w:rFonts w:ascii="Arial" w:hAnsi="Arial" w:cs="Arial"/>
          <w:b/>
          <w:bCs/>
        </w:rPr>
        <w:t xml:space="preserve"> wymagały zatrzymania skarżącego </w:t>
      </w:r>
      <w:r w:rsidRPr="00506C28">
        <w:rPr>
          <w:rStyle w:val="TekstpodstawowyZnak"/>
          <w:rFonts w:ascii="Arial" w:hAnsi="Arial" w:cs="Arial"/>
        </w:rPr>
        <w:t xml:space="preserve">na czternaście dni </w:t>
      </w:r>
      <w:r w:rsidR="00B7392C" w:rsidRPr="00506C28">
        <w:rPr>
          <w:rStyle w:val="TekstpodstawowyZnak"/>
          <w:rFonts w:ascii="Arial" w:hAnsi="Arial" w:cs="Arial"/>
        </w:rPr>
        <w:lastRenderedPageBreak/>
        <w:t xml:space="preserve">lub więcej </w:t>
      </w:r>
      <w:r w:rsidRPr="00506C28">
        <w:rPr>
          <w:rStyle w:val="TekstpodstawowyZnak"/>
          <w:rFonts w:ascii="Arial" w:hAnsi="Arial" w:cs="Arial"/>
        </w:rPr>
        <w:t>pod zarzutem udziału w przestępstwach terrorystycznyc</w:t>
      </w:r>
      <w:r w:rsidR="006B2744" w:rsidRPr="00506C28">
        <w:rPr>
          <w:rStyle w:val="TekstpodstawowyZnak"/>
          <w:rFonts w:ascii="Arial" w:hAnsi="Arial" w:cs="Arial"/>
        </w:rPr>
        <w:t>h</w:t>
      </w:r>
      <w:r w:rsidR="00B7392C" w:rsidRPr="00506C28">
        <w:rPr>
          <w:rStyle w:val="TekstpodstawowyZnak"/>
          <w:rFonts w:ascii="Arial" w:hAnsi="Arial" w:cs="Arial"/>
        </w:rPr>
        <w:t xml:space="preserve"> </w:t>
      </w:r>
      <w:r w:rsidR="002D603C" w:rsidRPr="00506C28">
        <w:rPr>
          <w:rStyle w:val="Heading3"/>
          <w:rFonts w:ascii="Arial" w:hAnsi="Arial" w:cs="Arial"/>
          <w:sz w:val="19"/>
          <w:szCs w:val="19"/>
          <w:u w:val="none"/>
        </w:rPr>
        <w:t>i przetrzymywanie</w:t>
      </w:r>
      <w:r w:rsidR="00B7392C" w:rsidRPr="00506C28">
        <w:rPr>
          <w:rStyle w:val="Heading3"/>
          <w:rFonts w:ascii="Arial" w:hAnsi="Arial" w:cs="Arial"/>
          <w:sz w:val="19"/>
          <w:szCs w:val="19"/>
          <w:u w:val="none"/>
        </w:rPr>
        <w:t xml:space="preserve"> go w izolacji bez dostępu do sędziego lub innego funkcjonariusza wymiaru sprawiedliwości.</w:t>
      </w:r>
    </w:p>
    <w:p w14:paraId="77DC1FD8" w14:textId="5E5BCACA" w:rsidR="00B7392C" w:rsidRPr="00506C28" w:rsidRDefault="00B7392C" w:rsidP="004E75AD">
      <w:pPr>
        <w:pStyle w:val="Tekstpodstawowy"/>
        <w:spacing w:before="30" w:after="80"/>
        <w:jc w:val="both"/>
        <w:rPr>
          <w:rFonts w:ascii="Arial" w:hAnsi="Arial" w:cs="Arial"/>
          <w:color w:val="404040"/>
        </w:rPr>
      </w:pPr>
      <w:r w:rsidRPr="00506C28">
        <w:rPr>
          <w:rStyle w:val="TekstpodstawowyZnak"/>
          <w:rFonts w:ascii="Arial" w:hAnsi="Arial" w:cs="Arial"/>
          <w:i/>
          <w:iCs/>
          <w:color w:val="404040"/>
        </w:rPr>
        <w:t>Zob</w:t>
      </w:r>
      <w:r w:rsidRPr="00506C28">
        <w:rPr>
          <w:rStyle w:val="TekstpodstawowyZnak"/>
          <w:rFonts w:ascii="Arial" w:hAnsi="Arial" w:cs="Arial"/>
          <w:color w:val="404040"/>
        </w:rPr>
        <w:t xml:space="preserve">. </w:t>
      </w:r>
      <w:r w:rsidRPr="00506C28">
        <w:rPr>
          <w:rStyle w:val="TekstpodstawowyZnak"/>
          <w:rFonts w:ascii="Arial" w:hAnsi="Arial" w:cs="Arial"/>
          <w:i/>
          <w:iCs/>
          <w:color w:val="404040"/>
        </w:rPr>
        <w:t>również</w:t>
      </w:r>
      <w:r w:rsidRPr="00506C28">
        <w:rPr>
          <w:rStyle w:val="TekstpodstawowyZnak"/>
          <w:rFonts w:ascii="Arial" w:hAnsi="Arial" w:cs="Arial"/>
          <w:color w:val="404040"/>
        </w:rPr>
        <w:t>, między innymi:</w:t>
      </w:r>
      <w:hyperlink r:id="rId31"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 xml:space="preserve">Demir i </w:t>
        </w:r>
        <w:r w:rsidR="003D4715" w:rsidRPr="00506C28">
          <w:rPr>
            <w:rStyle w:val="TekstpodstawowyZnak"/>
            <w:rFonts w:ascii="Arial" w:eastAsia="Arial" w:hAnsi="Arial" w:cs="Arial"/>
            <w:b/>
            <w:bCs/>
            <w:i/>
            <w:iCs/>
            <w:u w:val="single"/>
          </w:rPr>
          <w:t>Inni</w:t>
        </w:r>
        <w:r w:rsidRPr="00506C28">
          <w:rPr>
            <w:rStyle w:val="TekstpodstawowyZnak"/>
            <w:rFonts w:ascii="Arial" w:eastAsia="Arial" w:hAnsi="Arial" w:cs="Arial"/>
            <w:b/>
            <w:bCs/>
            <w:i/>
            <w:iCs/>
            <w:u w:val="single"/>
          </w:rPr>
          <w:t xml:space="preserve"> przeciwko Turcji</w:t>
        </w:r>
      </w:hyperlink>
      <w:r w:rsidRPr="00506C28">
        <w:rPr>
          <w:rStyle w:val="TekstpodstawowyZnak"/>
          <w:rFonts w:ascii="Arial" w:hAnsi="Arial" w:cs="Arial"/>
          <w:color w:val="404040"/>
        </w:rPr>
        <w:t>, wyrok z dnia 23 września 1998 r.;</w:t>
      </w:r>
      <w:hyperlink r:id="rId32"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Nuray Şen przeciwko Turcji</w:t>
        </w:r>
      </w:hyperlink>
      <w:r w:rsidRPr="00506C28">
        <w:rPr>
          <w:rStyle w:val="TekstpodstawowyZnak"/>
          <w:rFonts w:ascii="Arial" w:hAnsi="Arial" w:cs="Arial"/>
          <w:color w:val="404040"/>
        </w:rPr>
        <w:t>,</w:t>
      </w:r>
      <w:r w:rsidR="002D603C" w:rsidRPr="00506C28">
        <w:rPr>
          <w:rStyle w:val="TekstpodstawowyZnak"/>
          <w:rFonts w:ascii="Arial" w:hAnsi="Arial" w:cs="Arial"/>
          <w:color w:val="404040"/>
        </w:rPr>
        <w:t xml:space="preserve"> </w:t>
      </w:r>
      <w:r w:rsidRPr="00506C28">
        <w:rPr>
          <w:rStyle w:val="TekstpodstawowyZnak"/>
          <w:rFonts w:ascii="Arial" w:hAnsi="Arial" w:cs="Arial"/>
          <w:color w:val="404040"/>
        </w:rPr>
        <w:t>wyrok z dnia 17 czerwca 2003 r.;</w:t>
      </w:r>
      <w:hyperlink r:id="rId33"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Bilen przeciwko</w:t>
        </w:r>
      </w:hyperlink>
      <w:r w:rsidRPr="00506C28">
        <w:rPr>
          <w:rStyle w:val="TekstpodstawowyZnak"/>
          <w:rFonts w:ascii="Arial" w:eastAsia="Arial" w:hAnsi="Arial" w:cs="Arial"/>
          <w:b/>
          <w:bCs/>
          <w:i/>
          <w:iCs/>
          <w:u w:val="single"/>
        </w:rPr>
        <w:t xml:space="preserve"> </w:t>
      </w:r>
      <w:hyperlink r:id="rId34" w:history="1">
        <w:r w:rsidRPr="00506C28">
          <w:rPr>
            <w:rStyle w:val="TekstpodstawowyZnak"/>
            <w:rFonts w:ascii="Arial" w:eastAsia="Arial" w:hAnsi="Arial" w:cs="Arial"/>
            <w:b/>
            <w:bCs/>
            <w:i/>
            <w:iCs/>
            <w:u w:val="single"/>
          </w:rPr>
          <w:t>Turcji</w:t>
        </w:r>
      </w:hyperlink>
      <w:r w:rsidRPr="00506C28">
        <w:rPr>
          <w:rStyle w:val="TekstpodstawowyZnak"/>
          <w:rFonts w:ascii="Arial" w:hAnsi="Arial" w:cs="Arial"/>
          <w:color w:val="404040"/>
        </w:rPr>
        <w:t>, wyrok z dnia 21 lutego 2006 r.</w:t>
      </w:r>
    </w:p>
    <w:p w14:paraId="00CB4F9F" w14:textId="77777777" w:rsidR="002D603C" w:rsidRPr="00506C28" w:rsidRDefault="002D603C" w:rsidP="004E75AD">
      <w:pPr>
        <w:pStyle w:val="Tekstpodstawowy"/>
        <w:spacing w:before="30" w:after="0"/>
        <w:jc w:val="both"/>
        <w:rPr>
          <w:rFonts w:ascii="Arial" w:hAnsi="Arial" w:cs="Arial"/>
        </w:rPr>
      </w:pPr>
    </w:p>
    <w:p w14:paraId="52BE8F9D" w14:textId="027F881F" w:rsidR="00B7392C" w:rsidRPr="00506C28" w:rsidRDefault="00B7392C" w:rsidP="004E75AD">
      <w:pPr>
        <w:pStyle w:val="Tekstpodstawowy"/>
        <w:spacing w:before="30" w:after="0"/>
        <w:jc w:val="both"/>
        <w:rPr>
          <w:rFonts w:ascii="Arial" w:hAnsi="Arial" w:cs="Arial"/>
          <w:sz w:val="15"/>
          <w:szCs w:val="15"/>
        </w:rPr>
      </w:pPr>
      <w:hyperlink r:id="rId35" w:history="1">
        <w:r w:rsidRPr="00506C28">
          <w:rPr>
            <w:rStyle w:val="TekstpodstawowyZnak"/>
            <w:rFonts w:ascii="Arial" w:hAnsi="Arial" w:cs="Arial"/>
            <w:b/>
            <w:bCs/>
            <w:sz w:val="18"/>
            <w:szCs w:val="18"/>
            <w:u w:val="single"/>
          </w:rPr>
          <w:t xml:space="preserve">A. i </w:t>
        </w:r>
        <w:r w:rsidR="003D4715" w:rsidRPr="00506C28">
          <w:rPr>
            <w:rStyle w:val="TekstpodstawowyZnak"/>
            <w:rFonts w:ascii="Arial" w:hAnsi="Arial" w:cs="Arial"/>
            <w:b/>
            <w:bCs/>
            <w:sz w:val="18"/>
            <w:szCs w:val="18"/>
            <w:u w:val="single"/>
          </w:rPr>
          <w:t>Inni</w:t>
        </w:r>
        <w:r w:rsidRPr="00506C28">
          <w:rPr>
            <w:rStyle w:val="TekstpodstawowyZnak"/>
            <w:rFonts w:ascii="Arial" w:hAnsi="Arial" w:cs="Arial"/>
            <w:b/>
            <w:bCs/>
            <w:sz w:val="18"/>
            <w:szCs w:val="18"/>
            <w:u w:val="single"/>
          </w:rPr>
          <w:t xml:space="preserve"> przeciwko Zjednoczonemu Królestwu (nr 3455/05)</w:t>
        </w:r>
        <w:r w:rsidRPr="00506C28">
          <w:rPr>
            <w:rStyle w:val="TekstpodstawowyZnak"/>
            <w:rFonts w:ascii="Arial" w:hAnsi="Arial" w:cs="Arial"/>
            <w:b/>
            <w:bCs/>
            <w:sz w:val="18"/>
            <w:szCs w:val="18"/>
          </w:rPr>
          <w:t xml:space="preserve"> </w:t>
        </w:r>
      </w:hyperlink>
      <w:r w:rsidRPr="00506C28">
        <w:rPr>
          <w:rStyle w:val="TekstpodstawowyZnak"/>
          <w:rFonts w:ascii="Arial" w:hAnsi="Arial" w:cs="Arial"/>
          <w:color w:val="808080"/>
          <w:sz w:val="15"/>
          <w:szCs w:val="15"/>
        </w:rPr>
        <w:t>(zob. również powyżej, s. 5)</w:t>
      </w:r>
    </w:p>
    <w:p w14:paraId="73985479" w14:textId="77777777" w:rsidR="00B7392C" w:rsidRPr="00506C28" w:rsidRDefault="00B7392C" w:rsidP="004E75AD">
      <w:pPr>
        <w:pStyle w:val="Bodytext30"/>
        <w:spacing w:before="30"/>
        <w:jc w:val="both"/>
        <w:rPr>
          <w:rFonts w:ascii="Arial" w:hAnsi="Arial" w:cs="Arial"/>
        </w:rPr>
      </w:pPr>
      <w:r w:rsidRPr="00506C28">
        <w:rPr>
          <w:rStyle w:val="Bodytext3"/>
          <w:rFonts w:ascii="Arial" w:hAnsi="Arial" w:cs="Arial"/>
        </w:rPr>
        <w:t>19 lutego 2009 r. (wyrok – Wielka Izba)</w:t>
      </w:r>
    </w:p>
    <w:p w14:paraId="0727A3FD" w14:textId="41DB3359" w:rsidR="00957394" w:rsidRPr="00506C28" w:rsidRDefault="00B7392C" w:rsidP="004E75AD">
      <w:pPr>
        <w:pStyle w:val="Tekstpodstawowy"/>
        <w:spacing w:before="30" w:after="80"/>
        <w:jc w:val="both"/>
        <w:rPr>
          <w:rStyle w:val="TekstpodstawowyZnak"/>
          <w:rFonts w:ascii="Arial" w:hAnsi="Arial" w:cs="Arial"/>
          <w:color w:val="000000"/>
        </w:rPr>
      </w:pPr>
      <w:r w:rsidRPr="00506C28">
        <w:rPr>
          <w:rStyle w:val="TekstpodstawowyZnak"/>
          <w:rFonts w:ascii="Arial" w:hAnsi="Arial" w:cs="Arial"/>
          <w:color w:val="000000"/>
        </w:rPr>
        <w:t xml:space="preserve">Izba Lordów w ostatniej instancji, w wyroku z dnia 16 grudnia 2004 r., rozpatrzyła skargę skarżących wniesioną do sądów krajowych, kwestionującą zasadniczą </w:t>
      </w:r>
      <w:r w:rsidR="00731A68" w:rsidRPr="00506C28">
        <w:rPr>
          <w:rStyle w:val="TekstpodstawowyZnak"/>
          <w:rFonts w:ascii="Arial" w:hAnsi="Arial" w:cs="Arial"/>
          <w:color w:val="000000"/>
        </w:rPr>
        <w:t xml:space="preserve">zgodność z prawem </w:t>
      </w:r>
      <w:r w:rsidR="005C6EBB" w:rsidRPr="00506C28">
        <w:rPr>
          <w:rStyle w:val="TekstpodstawowyZnak"/>
          <w:rFonts w:ascii="Arial" w:hAnsi="Arial" w:cs="Arial"/>
          <w:color w:val="000000"/>
        </w:rPr>
        <w:t>uchylenia</w:t>
      </w:r>
      <w:r w:rsidRPr="00506C28">
        <w:rPr>
          <w:rStyle w:val="TekstpodstawowyZnak"/>
          <w:rFonts w:ascii="Arial" w:hAnsi="Arial" w:cs="Arial"/>
          <w:color w:val="000000"/>
        </w:rPr>
        <w:t xml:space="preserve"> zgłoszonego </w:t>
      </w:r>
      <w:r w:rsidR="00090273">
        <w:rPr>
          <w:rStyle w:val="TekstpodstawowyZnak"/>
          <w:rFonts w:ascii="Arial" w:hAnsi="Arial" w:cs="Arial"/>
          <w:color w:val="000000"/>
        </w:rPr>
        <w:br/>
      </w:r>
      <w:r w:rsidRPr="00506C28">
        <w:rPr>
          <w:rStyle w:val="TekstpodstawowyZnak"/>
          <w:rFonts w:ascii="Arial" w:hAnsi="Arial" w:cs="Arial"/>
          <w:color w:val="000000"/>
        </w:rPr>
        <w:t xml:space="preserve">w listopadzie 2001 r. na podstawie art. 15 </w:t>
      </w:r>
      <w:r w:rsidR="0065342B" w:rsidRPr="00506C28">
        <w:rPr>
          <w:rStyle w:val="TekstpodstawowyZnak"/>
          <w:rFonts w:ascii="Arial" w:hAnsi="Arial" w:cs="Arial"/>
          <w:color w:val="000000"/>
        </w:rPr>
        <w:t>K</w:t>
      </w:r>
      <w:r w:rsidRPr="00506C28">
        <w:rPr>
          <w:rStyle w:val="TekstpodstawowyZnak"/>
          <w:rFonts w:ascii="Arial" w:hAnsi="Arial" w:cs="Arial"/>
          <w:color w:val="000000"/>
        </w:rPr>
        <w:t>onwencji. Stwierdziła, że istniała sytuacja nadzwyczajna zagrażająca życiu narodu, ale system zatrzymań nie stanowił racjonalnego środka przeciwdziałania zagrożeniu bezpieczeństwa</w:t>
      </w:r>
      <w:r w:rsidR="009B3413" w:rsidRPr="00506C28">
        <w:rPr>
          <w:rStyle w:val="TekstpodstawowyZnak"/>
          <w:rFonts w:ascii="Arial" w:hAnsi="Arial" w:cs="Arial"/>
          <w:color w:val="000000"/>
        </w:rPr>
        <w:t>, a więc był</w:t>
      </w:r>
      <w:r w:rsidRPr="00506C28">
        <w:rPr>
          <w:rStyle w:val="TekstpodstawowyZnak"/>
          <w:rFonts w:ascii="Arial" w:hAnsi="Arial" w:cs="Arial"/>
          <w:color w:val="000000"/>
        </w:rPr>
        <w:t xml:space="preserve"> nieproporcjonalny.</w:t>
      </w:r>
      <w:r w:rsidR="006D796D" w:rsidRPr="00506C28">
        <w:rPr>
          <w:rStyle w:val="TekstpodstawowyZnak"/>
          <w:rFonts w:ascii="Arial" w:hAnsi="Arial" w:cs="Arial"/>
          <w:color w:val="000000"/>
        </w:rPr>
        <w:t xml:space="preserve"> </w:t>
      </w:r>
      <w:r w:rsidRPr="00506C28">
        <w:rPr>
          <w:rStyle w:val="TekstpodstawowyZnak"/>
          <w:rFonts w:ascii="Arial" w:hAnsi="Arial" w:cs="Arial"/>
          <w:color w:val="000000"/>
        </w:rPr>
        <w:t xml:space="preserve">W szczególności uznała, że istnieją dowody na to, iż obywatele Zjednoczonego Królestwa byli również zaangażowani w sieci terrorystyczne powiązane z Al-Kaidą, a przedmiotowy system zatrzymań stanowił nieuzasadnioną dyskryminację obcokrajowców. </w:t>
      </w:r>
      <w:r w:rsidR="00090273">
        <w:rPr>
          <w:rStyle w:val="TekstpodstawowyZnak"/>
          <w:rFonts w:ascii="Arial" w:hAnsi="Arial" w:cs="Arial"/>
          <w:color w:val="000000"/>
        </w:rPr>
        <w:br/>
      </w:r>
      <w:r w:rsidRPr="00506C28">
        <w:rPr>
          <w:rStyle w:val="TekstpodstawowyZnak"/>
          <w:rFonts w:ascii="Arial" w:hAnsi="Arial" w:cs="Arial"/>
          <w:color w:val="000000"/>
        </w:rPr>
        <w:t xml:space="preserve">W związku z tym ogłosiła niezgodność z ustawą o prawach człowieka i </w:t>
      </w:r>
      <w:r w:rsidR="00957394" w:rsidRPr="00506C28">
        <w:rPr>
          <w:rStyle w:val="TekstpodstawowyZnak"/>
          <w:rFonts w:ascii="Arial" w:hAnsi="Arial" w:cs="Arial"/>
          <w:color w:val="000000"/>
        </w:rPr>
        <w:t xml:space="preserve">unieważniła </w:t>
      </w:r>
      <w:r w:rsidRPr="00506C28">
        <w:rPr>
          <w:rStyle w:val="TekstpodstawowyZnak"/>
          <w:rFonts w:ascii="Arial" w:hAnsi="Arial" w:cs="Arial"/>
          <w:color w:val="000000"/>
        </w:rPr>
        <w:t xml:space="preserve">rozporządzenie w sprawie </w:t>
      </w:r>
      <w:r w:rsidR="005C6EBB" w:rsidRPr="00506C28">
        <w:rPr>
          <w:rStyle w:val="TekstpodstawowyZnak"/>
          <w:rFonts w:ascii="Arial" w:hAnsi="Arial" w:cs="Arial"/>
          <w:color w:val="000000"/>
        </w:rPr>
        <w:t>uchylenia</w:t>
      </w:r>
      <w:r w:rsidRPr="00506C28">
        <w:rPr>
          <w:rStyle w:val="TekstpodstawowyZnak"/>
          <w:rFonts w:ascii="Arial" w:hAnsi="Arial" w:cs="Arial"/>
          <w:color w:val="000000"/>
        </w:rPr>
        <w:t xml:space="preserve">. Część 4 zaskarżonej ustawy o zwalczaniu terroryzmu, przestępczości i bezpieczeństwie z 2001 r. pozostała jednak w mocy do czasu jej uchylenia przez parlament w marcu 2005 r. Zaraz po zwolnieniu </w:t>
      </w:r>
      <w:r w:rsidR="00090273">
        <w:rPr>
          <w:rStyle w:val="TekstpodstawowyZnak"/>
          <w:rFonts w:ascii="Arial" w:hAnsi="Arial" w:cs="Arial"/>
          <w:color w:val="000000"/>
        </w:rPr>
        <w:br/>
      </w:r>
      <w:r w:rsidRPr="00506C28">
        <w:rPr>
          <w:rStyle w:val="TekstpodstawowyZnak"/>
          <w:rFonts w:ascii="Arial" w:hAnsi="Arial" w:cs="Arial"/>
          <w:color w:val="000000"/>
        </w:rPr>
        <w:t xml:space="preserve">z aresztu skarżący zostali objęci nakazami kontroli na mocy ustawy o zapobieganiu terroryzmowi z 2005 r. </w:t>
      </w:r>
    </w:p>
    <w:p w14:paraId="35ED8903" w14:textId="6B5F5CD6" w:rsidR="00B7392C" w:rsidRPr="00506C28" w:rsidRDefault="00B7392C" w:rsidP="004E75AD">
      <w:pPr>
        <w:pStyle w:val="Tekstpodstawowy"/>
        <w:spacing w:before="30" w:after="80"/>
        <w:jc w:val="both"/>
        <w:rPr>
          <w:rFonts w:ascii="Arial" w:hAnsi="Arial" w:cs="Arial"/>
        </w:rPr>
      </w:pPr>
      <w:r w:rsidRPr="00506C28">
        <w:rPr>
          <w:rStyle w:val="TekstpodstawowyZnak"/>
          <w:rFonts w:ascii="Arial" w:hAnsi="Arial" w:cs="Arial"/>
        </w:rPr>
        <w:t xml:space="preserve">Trybunał stwierdził, że wybór przez rząd i parlament środka imigracyjnego w celu rozwiązania kwestii, która zasadniczo miała charakter bezpieczeństwa (rzeczywiste i bezpośrednie zagrożenie atakiem terrorystycznym po 11 września 2001 r.), spowodował niezareagowanie w odpowiedni sposób na problem, nakładając jednocześnie nieproporcjonalne i dyskryminujące obciążenie w postaci bezterminowego zatrzymania na jedną grupę osób podejrzanych o terroryzm. Zagrożenie pochodziło zarówno od obywateli brytyjskich, jak i obcokrajowców, a potencjalne negatywne skutki zatrzymania bez postawienia zarzutów nie różniły się znacząco w przypadku obywateli brytyjskich i obcokrajowców. Trybunał uznał zatem, że doszło </w:t>
      </w:r>
      <w:r w:rsidRPr="00506C28">
        <w:rPr>
          <w:rStyle w:val="TekstpodstawowyZnak"/>
          <w:rFonts w:ascii="Arial" w:hAnsi="Arial" w:cs="Arial"/>
          <w:b/>
          <w:bCs/>
        </w:rPr>
        <w:t xml:space="preserve">do naruszenia art. 5 § 1 </w:t>
      </w:r>
      <w:r w:rsidRPr="00506C28">
        <w:rPr>
          <w:rStyle w:val="TekstpodstawowyZnak"/>
          <w:rFonts w:ascii="Arial" w:hAnsi="Arial" w:cs="Arial"/>
        </w:rPr>
        <w:t>(prawo do wolności i bezpieczeństwa</w:t>
      </w:r>
      <w:r w:rsidR="00D35184" w:rsidRPr="00506C28">
        <w:rPr>
          <w:rStyle w:val="TekstpodstawowyZnak"/>
          <w:rFonts w:ascii="Arial" w:hAnsi="Arial" w:cs="Arial"/>
        </w:rPr>
        <w:t xml:space="preserve"> osobistego</w:t>
      </w:r>
      <w:r w:rsidRPr="00506C28">
        <w:rPr>
          <w:rStyle w:val="TekstpodstawowyZnak"/>
          <w:rFonts w:ascii="Arial" w:hAnsi="Arial" w:cs="Arial"/>
        </w:rPr>
        <w:t>) Konwencji</w:t>
      </w:r>
      <w:r w:rsidR="00D35184" w:rsidRPr="00506C28">
        <w:rPr>
          <w:rStyle w:val="TekstpodstawowyZnak"/>
          <w:rFonts w:ascii="Arial" w:hAnsi="Arial" w:cs="Arial"/>
        </w:rPr>
        <w:t>. Ś</w:t>
      </w:r>
      <w:r w:rsidRPr="00506C28">
        <w:rPr>
          <w:rStyle w:val="TekstpodstawowyZnak"/>
          <w:rFonts w:ascii="Arial" w:hAnsi="Arial" w:cs="Arial"/>
        </w:rPr>
        <w:t>rodki ograniczające były nieproporcjonalne, ponieważ w sposób nieuzasadniony dyskryminowały obywateli i osoby niebędące obywatelami.</w:t>
      </w:r>
    </w:p>
    <w:p w14:paraId="7944FA8C" w14:textId="77777777" w:rsidR="00D35184" w:rsidRPr="00506C28" w:rsidRDefault="00B7392C" w:rsidP="004E75AD">
      <w:pPr>
        <w:pStyle w:val="Tekstpodstawowy"/>
        <w:spacing w:before="30" w:after="0" w:line="298" w:lineRule="auto"/>
        <w:jc w:val="both"/>
        <w:rPr>
          <w:rStyle w:val="TekstpodstawowyZnak"/>
          <w:rFonts w:ascii="Arial" w:hAnsi="Arial" w:cs="Arial"/>
          <w:color w:val="808080"/>
          <w:sz w:val="15"/>
          <w:szCs w:val="15"/>
        </w:rPr>
      </w:pPr>
      <w:hyperlink r:id="rId36" w:history="1">
        <w:r w:rsidRPr="00506C28">
          <w:rPr>
            <w:rStyle w:val="TekstpodstawowyZnak"/>
            <w:rFonts w:ascii="Arial" w:hAnsi="Arial" w:cs="Arial"/>
            <w:b/>
            <w:bCs/>
            <w:sz w:val="18"/>
            <w:szCs w:val="18"/>
            <w:u w:val="single"/>
          </w:rPr>
          <w:t>Şahin Alpay przeciwko Turcji</w:t>
        </w:r>
        <w:r w:rsidRPr="00506C28">
          <w:rPr>
            <w:rStyle w:val="TekstpodstawowyZnak"/>
            <w:rFonts w:ascii="Arial" w:hAnsi="Arial" w:cs="Arial"/>
            <w:b/>
            <w:bCs/>
            <w:sz w:val="18"/>
            <w:szCs w:val="18"/>
          </w:rPr>
          <w:t xml:space="preserve"> </w:t>
        </w:r>
      </w:hyperlink>
      <w:r w:rsidRPr="00506C28">
        <w:rPr>
          <w:rStyle w:val="TekstpodstawowyZnak"/>
          <w:rFonts w:ascii="Arial" w:hAnsi="Arial" w:cs="Arial"/>
          <w:b/>
          <w:bCs/>
          <w:sz w:val="18"/>
          <w:szCs w:val="18"/>
        </w:rPr>
        <w:t>i</w:t>
      </w:r>
      <w:hyperlink r:id="rId37" w:history="1">
        <w:r w:rsidRPr="00506C28">
          <w:rPr>
            <w:rStyle w:val="TekstpodstawowyZnak"/>
            <w:rFonts w:ascii="Arial" w:hAnsi="Arial" w:cs="Arial"/>
            <w:b/>
            <w:bCs/>
            <w:sz w:val="18"/>
            <w:szCs w:val="18"/>
          </w:rPr>
          <w:t xml:space="preserve"> </w:t>
        </w:r>
        <w:r w:rsidRPr="00506C28">
          <w:rPr>
            <w:rStyle w:val="TekstpodstawowyZnak"/>
            <w:rFonts w:ascii="Arial" w:hAnsi="Arial" w:cs="Arial"/>
            <w:b/>
            <w:bCs/>
            <w:sz w:val="18"/>
            <w:szCs w:val="18"/>
            <w:u w:val="single"/>
          </w:rPr>
          <w:t>Mehmet Hasan Altan przeciwko Turcji</w:t>
        </w:r>
        <w:r w:rsidRPr="00506C28">
          <w:rPr>
            <w:rStyle w:val="TekstpodstawowyZnak"/>
            <w:rFonts w:ascii="Arial" w:hAnsi="Arial" w:cs="Arial"/>
            <w:b/>
            <w:bCs/>
            <w:sz w:val="18"/>
            <w:szCs w:val="18"/>
          </w:rPr>
          <w:t xml:space="preserve"> </w:t>
        </w:r>
      </w:hyperlink>
      <w:r w:rsidRPr="00506C28">
        <w:rPr>
          <w:rStyle w:val="TekstpodstawowyZnak"/>
          <w:rFonts w:ascii="Arial" w:hAnsi="Arial" w:cs="Arial"/>
          <w:color w:val="808080"/>
          <w:sz w:val="15"/>
          <w:szCs w:val="15"/>
        </w:rPr>
        <w:t xml:space="preserve">(zob. również powyżej, s. 6) </w:t>
      </w:r>
    </w:p>
    <w:p w14:paraId="2E85B5DF" w14:textId="7317F5FE" w:rsidR="00B7392C" w:rsidRPr="00506C28" w:rsidRDefault="00B7392C" w:rsidP="004E75AD">
      <w:pPr>
        <w:pStyle w:val="Tekstpodstawowy"/>
        <w:spacing w:before="30" w:after="0" w:line="298" w:lineRule="auto"/>
        <w:jc w:val="both"/>
        <w:rPr>
          <w:rFonts w:ascii="Arial" w:hAnsi="Arial" w:cs="Arial"/>
          <w:sz w:val="17"/>
          <w:szCs w:val="17"/>
        </w:rPr>
      </w:pPr>
      <w:r w:rsidRPr="00506C28">
        <w:rPr>
          <w:rStyle w:val="TekstpodstawowyZnak"/>
          <w:rFonts w:ascii="Arial" w:hAnsi="Arial" w:cs="Arial"/>
          <w:color w:val="808080"/>
          <w:sz w:val="17"/>
          <w:szCs w:val="17"/>
        </w:rPr>
        <w:t>20 marca 2018 r. (wyroki izby)</w:t>
      </w:r>
    </w:p>
    <w:p w14:paraId="5A9EE76E" w14:textId="43EFB2B7" w:rsidR="00B7392C" w:rsidRPr="00506C28" w:rsidRDefault="00B7392C" w:rsidP="004E75AD">
      <w:pPr>
        <w:pStyle w:val="Tekstpodstawowy"/>
        <w:spacing w:before="30" w:after="0"/>
        <w:jc w:val="both"/>
        <w:rPr>
          <w:rFonts w:ascii="Arial" w:hAnsi="Arial" w:cs="Arial"/>
        </w:rPr>
      </w:pPr>
      <w:r w:rsidRPr="00506C28">
        <w:rPr>
          <w:rStyle w:val="TekstpodstawowyZnak"/>
          <w:rFonts w:ascii="Arial" w:hAnsi="Arial" w:cs="Arial"/>
          <w:color w:val="000000"/>
        </w:rPr>
        <w:t>Sprawy te dotyczyły skarg dwóch dziennikarzy, którzy zostali aresztowani i zatrzymani po próbie</w:t>
      </w:r>
      <w:r w:rsidR="00D35184" w:rsidRPr="00506C28">
        <w:rPr>
          <w:rStyle w:val="TekstpodstawowyZnak"/>
          <w:rFonts w:ascii="Arial" w:hAnsi="Arial" w:cs="Arial"/>
          <w:color w:val="000000"/>
        </w:rPr>
        <w:t xml:space="preserve"> wojskowego</w:t>
      </w:r>
      <w:r w:rsidRPr="00506C28">
        <w:rPr>
          <w:rStyle w:val="TekstpodstawowyZnak"/>
          <w:rFonts w:ascii="Arial" w:hAnsi="Arial" w:cs="Arial"/>
          <w:color w:val="000000"/>
        </w:rPr>
        <w:t xml:space="preserve"> zamachu stanu z 15 lipca 2016 r. Rząd turecki stwierdził, że korzystając z prawa do </w:t>
      </w:r>
      <w:r w:rsidR="005C6EBB" w:rsidRPr="00506C28">
        <w:rPr>
          <w:rStyle w:val="TekstpodstawowyZnak"/>
          <w:rFonts w:ascii="Arial" w:hAnsi="Arial" w:cs="Arial"/>
          <w:color w:val="000000"/>
        </w:rPr>
        <w:t>uchylenia</w:t>
      </w:r>
      <w:r w:rsidRPr="00506C28">
        <w:rPr>
          <w:rStyle w:val="TekstpodstawowyZnak"/>
          <w:rFonts w:ascii="Arial" w:hAnsi="Arial" w:cs="Arial"/>
          <w:color w:val="000000"/>
        </w:rPr>
        <w:t xml:space="preserve"> </w:t>
      </w:r>
      <w:r w:rsidR="00D35184" w:rsidRPr="00506C28">
        <w:rPr>
          <w:rStyle w:val="TekstpodstawowyZnak"/>
          <w:rFonts w:ascii="Arial" w:hAnsi="Arial" w:cs="Arial"/>
          <w:color w:val="000000"/>
        </w:rPr>
        <w:t xml:space="preserve">stosowania zobowiązań wynikających z </w:t>
      </w:r>
      <w:r w:rsidR="006D796D" w:rsidRPr="00506C28">
        <w:rPr>
          <w:rStyle w:val="TekstpodstawowyZnak"/>
          <w:rFonts w:ascii="Arial" w:hAnsi="Arial" w:cs="Arial"/>
          <w:color w:val="000000"/>
        </w:rPr>
        <w:t>K</w:t>
      </w:r>
      <w:r w:rsidRPr="00506C28">
        <w:rPr>
          <w:rStyle w:val="TekstpodstawowyZnak"/>
          <w:rFonts w:ascii="Arial" w:hAnsi="Arial" w:cs="Arial"/>
          <w:color w:val="000000"/>
        </w:rPr>
        <w:t>onwencji, nie narusz</w:t>
      </w:r>
      <w:r w:rsidR="0043301D" w:rsidRPr="00506C28">
        <w:rPr>
          <w:rStyle w:val="TekstpodstawowyZnak"/>
          <w:rFonts w:ascii="Arial" w:hAnsi="Arial" w:cs="Arial"/>
          <w:color w:val="000000"/>
        </w:rPr>
        <w:t>a</w:t>
      </w:r>
      <w:r w:rsidRPr="00506C28">
        <w:rPr>
          <w:rStyle w:val="TekstpodstawowyZnak"/>
          <w:rFonts w:ascii="Arial" w:hAnsi="Arial" w:cs="Arial"/>
          <w:color w:val="000000"/>
        </w:rPr>
        <w:t xml:space="preserve"> jej postanowień. W tym kontekście </w:t>
      </w:r>
      <w:r w:rsidR="0043301D" w:rsidRPr="00506C28">
        <w:rPr>
          <w:rStyle w:val="TekstpodstawowyZnak"/>
          <w:rFonts w:ascii="Arial" w:hAnsi="Arial" w:cs="Arial"/>
          <w:color w:val="000000"/>
        </w:rPr>
        <w:t xml:space="preserve">rząd </w:t>
      </w:r>
      <w:r w:rsidRPr="00506C28">
        <w:rPr>
          <w:rStyle w:val="TekstpodstawowyZnak"/>
          <w:rFonts w:ascii="Arial" w:hAnsi="Arial" w:cs="Arial"/>
          <w:color w:val="000000"/>
        </w:rPr>
        <w:t>zwrócił</w:t>
      </w:r>
      <w:r w:rsidR="0043301D" w:rsidRPr="00506C28">
        <w:rPr>
          <w:rStyle w:val="TekstpodstawowyZnak"/>
          <w:rFonts w:ascii="Arial" w:hAnsi="Arial" w:cs="Arial"/>
          <w:color w:val="000000"/>
        </w:rPr>
        <w:t xml:space="preserve"> także</w:t>
      </w:r>
      <w:r w:rsidRPr="00506C28">
        <w:rPr>
          <w:rStyle w:val="TekstpodstawowyZnak"/>
          <w:rFonts w:ascii="Arial" w:hAnsi="Arial" w:cs="Arial"/>
          <w:color w:val="000000"/>
        </w:rPr>
        <w:t xml:space="preserve"> uwagę</w:t>
      </w:r>
      <w:r w:rsidR="0043301D" w:rsidRPr="00506C28">
        <w:rPr>
          <w:rStyle w:val="TekstpodstawowyZnak"/>
          <w:rFonts w:ascii="Arial" w:hAnsi="Arial" w:cs="Arial"/>
          <w:color w:val="000000"/>
        </w:rPr>
        <w:t xml:space="preserve"> na to</w:t>
      </w:r>
      <w:r w:rsidRPr="00506C28">
        <w:rPr>
          <w:rStyle w:val="TekstpodstawowyZnak"/>
          <w:rFonts w:ascii="Arial" w:hAnsi="Arial" w:cs="Arial"/>
          <w:color w:val="000000"/>
        </w:rPr>
        <w:t>, że istniał</w:t>
      </w:r>
      <w:r w:rsidR="00D35184" w:rsidRPr="00506C28">
        <w:rPr>
          <w:rStyle w:val="TekstpodstawowyZnak"/>
          <w:rFonts w:ascii="Arial" w:hAnsi="Arial" w:cs="Arial"/>
          <w:color w:val="000000"/>
        </w:rPr>
        <w:t>o</w:t>
      </w:r>
      <w:r w:rsidRPr="00506C28">
        <w:rPr>
          <w:rStyle w:val="TekstpodstawowyZnak"/>
          <w:rFonts w:ascii="Arial" w:hAnsi="Arial" w:cs="Arial"/>
          <w:color w:val="000000"/>
        </w:rPr>
        <w:t xml:space="preserve"> </w:t>
      </w:r>
      <w:r w:rsidR="00D35184" w:rsidRPr="00506C28">
        <w:rPr>
          <w:rStyle w:val="TekstpodstawowyZnak"/>
          <w:rFonts w:ascii="Arial" w:hAnsi="Arial" w:cs="Arial"/>
          <w:color w:val="000000"/>
        </w:rPr>
        <w:t xml:space="preserve">niebezpieczeństwo publiczne </w:t>
      </w:r>
      <w:r w:rsidRPr="00506C28">
        <w:rPr>
          <w:rStyle w:val="TekstpodstawowyZnak"/>
          <w:rFonts w:ascii="Arial" w:hAnsi="Arial" w:cs="Arial"/>
          <w:color w:val="000000"/>
        </w:rPr>
        <w:t>zagrażając</w:t>
      </w:r>
      <w:r w:rsidR="00D35184" w:rsidRPr="00506C28">
        <w:rPr>
          <w:rStyle w:val="TekstpodstawowyZnak"/>
          <w:rFonts w:ascii="Arial" w:hAnsi="Arial" w:cs="Arial"/>
          <w:color w:val="000000"/>
        </w:rPr>
        <w:t>e</w:t>
      </w:r>
      <w:r w:rsidRPr="00506C28">
        <w:rPr>
          <w:rStyle w:val="TekstpodstawowyZnak"/>
          <w:rFonts w:ascii="Arial" w:hAnsi="Arial" w:cs="Arial"/>
          <w:color w:val="000000"/>
        </w:rPr>
        <w:t xml:space="preserve"> życiu narodu w związku z ryzykiem spowodowanym próbą zamachu stanu, a środki podjęte przez władze krajowe były ściśle </w:t>
      </w:r>
      <w:r w:rsidR="008C4DCB" w:rsidRPr="00506C28">
        <w:rPr>
          <w:rStyle w:val="TekstpodstawowyZnak"/>
          <w:rFonts w:ascii="Arial" w:hAnsi="Arial" w:cs="Arial"/>
          <w:color w:val="000000"/>
        </w:rPr>
        <w:t xml:space="preserve">odpowiadające wymogom </w:t>
      </w:r>
      <w:r w:rsidRPr="00506C28">
        <w:rPr>
          <w:rStyle w:val="TekstpodstawowyZnak"/>
          <w:rFonts w:ascii="Arial" w:hAnsi="Arial" w:cs="Arial"/>
          <w:color w:val="000000"/>
        </w:rPr>
        <w:t>sytuacji.</w:t>
      </w:r>
    </w:p>
    <w:p w14:paraId="2A88D688" w14:textId="2263BAB9" w:rsidR="00CA6807" w:rsidRPr="00506C28" w:rsidRDefault="00B7392C" w:rsidP="004E75AD">
      <w:pPr>
        <w:pStyle w:val="Tekstpodstawowy"/>
        <w:spacing w:before="30" w:after="0"/>
        <w:jc w:val="both"/>
        <w:rPr>
          <w:rStyle w:val="TekstpodstawowyZnak"/>
          <w:rFonts w:ascii="Arial" w:hAnsi="Arial" w:cs="Arial"/>
        </w:rPr>
      </w:pPr>
      <w:r w:rsidRPr="00506C28">
        <w:rPr>
          <w:rStyle w:val="TekstpodstawowyZnak"/>
          <w:rFonts w:ascii="Arial" w:hAnsi="Arial" w:cs="Arial"/>
        </w:rPr>
        <w:t xml:space="preserve">Trybunał </w:t>
      </w:r>
      <w:r w:rsidR="0043301D" w:rsidRPr="00506C28">
        <w:rPr>
          <w:rStyle w:val="TekstpodstawowyZnak"/>
          <w:rFonts w:ascii="Arial" w:hAnsi="Arial" w:cs="Arial"/>
        </w:rPr>
        <w:t>zauważył</w:t>
      </w:r>
      <w:r w:rsidRPr="00506C28">
        <w:rPr>
          <w:rStyle w:val="TekstpodstawowyZnak"/>
          <w:rFonts w:ascii="Arial" w:hAnsi="Arial" w:cs="Arial"/>
        </w:rPr>
        <w:t xml:space="preserve">, że turecki Trybunał Konstytucyjny wyraził swoje stanowisko w sprawie stosowania art. 15 tureckiej konstytucji, stwierdzając, że gwarancje prawa do wolności i bezpieczeństwa byłyby bez znaczenia, gdyby uznano, że można umieścić osoby w areszcie tymczasowym bez istotnych dowodów popełnienia przestępstwa. W związku z tym Trybunał uznał, że pozbawienie wolności skarżącego było nieproporcjonalne do bezwzględnej konieczności wynikającej z sytuacji. Wniosek ten był również właściwy dla oceny Trybunału. Biorąc pod uwagę art. 15 Konwencji i </w:t>
      </w:r>
      <w:r w:rsidR="005C6EBB" w:rsidRPr="00506C28">
        <w:rPr>
          <w:rStyle w:val="TekstpodstawowyZnak"/>
          <w:rFonts w:ascii="Arial" w:hAnsi="Arial" w:cs="Arial"/>
        </w:rPr>
        <w:t>uchylenie</w:t>
      </w:r>
      <w:r w:rsidRPr="00506C28">
        <w:rPr>
          <w:rStyle w:val="TekstpodstawowyZnak"/>
          <w:rFonts w:ascii="Arial" w:hAnsi="Arial" w:cs="Arial"/>
        </w:rPr>
        <w:t xml:space="preserve"> Turcji, Trybunał uznał </w:t>
      </w:r>
      <w:r w:rsidR="002553B6" w:rsidRPr="00506C28">
        <w:rPr>
          <w:rStyle w:val="TekstpodstawowyZnak"/>
          <w:rFonts w:ascii="Arial" w:hAnsi="Arial" w:cs="Arial"/>
        </w:rPr>
        <w:t>(</w:t>
      </w:r>
      <w:r w:rsidRPr="00506C28">
        <w:rPr>
          <w:rStyle w:val="TekstpodstawowyZnak"/>
          <w:rFonts w:ascii="Arial" w:hAnsi="Arial" w:cs="Arial"/>
        </w:rPr>
        <w:t>podobnie jak Trybunał Konstytucyjny w swoim wyroku</w:t>
      </w:r>
      <w:r w:rsidR="002553B6" w:rsidRPr="00506C28">
        <w:rPr>
          <w:rStyle w:val="TekstpodstawowyZnak"/>
          <w:rFonts w:ascii="Arial" w:hAnsi="Arial" w:cs="Arial"/>
        </w:rPr>
        <w:t>),</w:t>
      </w:r>
      <w:r w:rsidRPr="00506C28">
        <w:rPr>
          <w:rStyle w:val="TekstpodstawowyZnak"/>
          <w:rFonts w:ascii="Arial" w:hAnsi="Arial" w:cs="Arial"/>
        </w:rPr>
        <w:t xml:space="preserve"> że środek w postaci aresztu tymczasowego, który nie był „zgodny z prawem” i nie został zastosowany „zgodnie z procedurą przewidzianą przez prawo” z powodu braku uzasadnionego podejrzenia, nie mógł być uznany za ściśle </w:t>
      </w:r>
      <w:r w:rsidR="002553B6" w:rsidRPr="00506C28">
        <w:rPr>
          <w:rStyle w:val="TekstpodstawowyZnak"/>
          <w:rFonts w:ascii="Arial" w:hAnsi="Arial" w:cs="Arial"/>
        </w:rPr>
        <w:t xml:space="preserve">odpowiadający </w:t>
      </w:r>
      <w:r w:rsidRPr="00506C28">
        <w:rPr>
          <w:rStyle w:val="TekstpodstawowyZnak"/>
          <w:rFonts w:ascii="Arial" w:hAnsi="Arial" w:cs="Arial"/>
        </w:rPr>
        <w:t>wymog</w:t>
      </w:r>
      <w:r w:rsidR="002553B6" w:rsidRPr="00506C28">
        <w:rPr>
          <w:rStyle w:val="TekstpodstawowyZnak"/>
          <w:rFonts w:ascii="Arial" w:hAnsi="Arial" w:cs="Arial"/>
        </w:rPr>
        <w:t>om</w:t>
      </w:r>
      <w:r w:rsidRPr="00506C28">
        <w:rPr>
          <w:rStyle w:val="TekstpodstawowyZnak"/>
          <w:rFonts w:ascii="Arial" w:hAnsi="Arial" w:cs="Arial"/>
        </w:rPr>
        <w:t xml:space="preserve"> sytuacji. W tym kontekście Trybunał zauważył ponadto, że rząd turecki nie przedstawił mu żadnych dowodów, które mogłyby skłonić go do odstąpienia od</w:t>
      </w:r>
      <w:r w:rsidRPr="00506C28">
        <w:rPr>
          <w:rFonts w:ascii="Arial" w:hAnsi="Arial" w:cs="Arial"/>
        </w:rPr>
        <w:t xml:space="preserve"> </w:t>
      </w:r>
      <w:r w:rsidRPr="00506C28">
        <w:rPr>
          <w:rStyle w:val="TekstpodstawowyZnak"/>
          <w:rFonts w:ascii="Arial" w:hAnsi="Arial" w:cs="Arial"/>
        </w:rPr>
        <w:t xml:space="preserve">wniosku Trybunału Konstytucyjnego. W obu przypadkach Trybunał uznał zatem, że doszło </w:t>
      </w:r>
      <w:r w:rsidRPr="00506C28">
        <w:rPr>
          <w:rStyle w:val="TekstpodstawowyZnak"/>
          <w:rFonts w:ascii="Arial" w:hAnsi="Arial" w:cs="Arial"/>
          <w:b/>
          <w:bCs/>
        </w:rPr>
        <w:t xml:space="preserve">do naruszenia art. 5 § 1 </w:t>
      </w:r>
      <w:r w:rsidRPr="00506C28">
        <w:rPr>
          <w:rStyle w:val="TekstpodstawowyZnak"/>
          <w:rFonts w:ascii="Arial" w:hAnsi="Arial" w:cs="Arial"/>
        </w:rPr>
        <w:t>(prawo do wolności i bezpieczeństwa</w:t>
      </w:r>
      <w:r w:rsidR="003D4715" w:rsidRPr="00506C28">
        <w:rPr>
          <w:rStyle w:val="TekstpodstawowyZnak"/>
          <w:rFonts w:ascii="Arial" w:hAnsi="Arial" w:cs="Arial"/>
        </w:rPr>
        <w:t xml:space="preserve"> osobistego</w:t>
      </w:r>
      <w:r w:rsidRPr="00506C28">
        <w:rPr>
          <w:rStyle w:val="TekstpodstawowyZnak"/>
          <w:rFonts w:ascii="Arial" w:hAnsi="Arial" w:cs="Arial"/>
        </w:rPr>
        <w:t>) Konwencji.</w:t>
      </w:r>
    </w:p>
    <w:p w14:paraId="2B84FB8B" w14:textId="77777777" w:rsidR="00635D8C" w:rsidRPr="00506C28" w:rsidRDefault="00635D8C" w:rsidP="004E75AD">
      <w:pPr>
        <w:pStyle w:val="Tekstpodstawowy"/>
        <w:spacing w:before="30" w:after="0"/>
        <w:jc w:val="both"/>
        <w:rPr>
          <w:rStyle w:val="TekstpodstawowyZnak"/>
          <w:rFonts w:ascii="Arial" w:hAnsi="Arial" w:cs="Arial"/>
          <w:i/>
          <w:iCs/>
          <w:color w:val="404040"/>
        </w:rPr>
      </w:pPr>
    </w:p>
    <w:p w14:paraId="15F27DD9" w14:textId="69324530" w:rsidR="00782109" w:rsidRPr="00506C28" w:rsidRDefault="00CA6807" w:rsidP="00241504">
      <w:pPr>
        <w:pStyle w:val="Tekstpodstawowy"/>
        <w:spacing w:before="30" w:after="0"/>
        <w:jc w:val="both"/>
        <w:rPr>
          <w:rStyle w:val="TekstpodstawowyZnak"/>
          <w:rFonts w:ascii="Arial" w:hAnsi="Arial" w:cs="Arial"/>
          <w:color w:val="404040"/>
        </w:rPr>
      </w:pPr>
      <w:r w:rsidRPr="00506C28">
        <w:rPr>
          <w:rStyle w:val="TekstpodstawowyZnak"/>
          <w:rFonts w:ascii="Arial" w:hAnsi="Arial" w:cs="Arial"/>
          <w:i/>
          <w:iCs/>
          <w:color w:val="404040"/>
        </w:rPr>
        <w:t>Zob. również</w:t>
      </w:r>
      <w:r w:rsidRPr="00506C28">
        <w:rPr>
          <w:rStyle w:val="TekstpodstawowyZnak"/>
          <w:rFonts w:ascii="Arial" w:hAnsi="Arial" w:cs="Arial"/>
          <w:color w:val="404040"/>
        </w:rPr>
        <w:t xml:space="preserve">, między innymi: </w:t>
      </w:r>
      <w:hyperlink r:id="rId38" w:history="1">
        <w:r w:rsidRPr="00506C28">
          <w:rPr>
            <w:rStyle w:val="TekstpodstawowyZnak"/>
            <w:rFonts w:ascii="Arial" w:eastAsia="Arial" w:hAnsi="Arial" w:cs="Arial"/>
            <w:b/>
            <w:bCs/>
            <w:i/>
            <w:iCs/>
            <w:u w:val="single"/>
          </w:rPr>
          <w:t>Alparslan Altan przeciwko Turcji</w:t>
        </w:r>
      </w:hyperlink>
      <w:r w:rsidRPr="00506C28">
        <w:rPr>
          <w:rStyle w:val="TekstpodstawowyZnak"/>
          <w:rFonts w:ascii="Arial" w:hAnsi="Arial" w:cs="Arial"/>
          <w:color w:val="404040"/>
        </w:rPr>
        <w:t>, wyrok (izba) z dnia 16 kwietnia 2019 r.;</w:t>
      </w:r>
      <w:hyperlink r:id="rId39"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Kavala przeciwko Turcji</w:t>
        </w:r>
      </w:hyperlink>
      <w:r w:rsidRPr="00506C28">
        <w:rPr>
          <w:rStyle w:val="TekstpodstawowyZnak"/>
          <w:rFonts w:ascii="Arial" w:hAnsi="Arial" w:cs="Arial"/>
          <w:color w:val="404040"/>
        </w:rPr>
        <w:t>, wyrok (izba) z dnia 10 grudnia 2019 r.</w:t>
      </w:r>
      <w:hyperlink w:anchor="bookmark13" w:tooltip="Current Document">
        <w:r w:rsidRPr="00506C28">
          <w:rPr>
            <w:rStyle w:val="TekstpodstawowyZnak"/>
            <w:rFonts w:ascii="Arial" w:hAnsi="Arial" w:cs="Arial"/>
            <w:color w:val="404040"/>
            <w:vertAlign w:val="superscript"/>
          </w:rPr>
          <w:t>16</w:t>
        </w:r>
      </w:hyperlink>
      <w:r w:rsidRPr="00506C28">
        <w:rPr>
          <w:rStyle w:val="TekstpodstawowyZnak"/>
          <w:rFonts w:ascii="Arial" w:hAnsi="Arial" w:cs="Arial"/>
          <w:color w:val="404040"/>
        </w:rPr>
        <w:t xml:space="preserve"> ;</w:t>
      </w:r>
      <w:hyperlink r:id="rId40"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Baş</w:t>
        </w:r>
      </w:hyperlink>
      <w:r w:rsidRPr="00506C28">
        <w:rPr>
          <w:rStyle w:val="TekstpodstawowyZnak"/>
          <w:rFonts w:ascii="Arial" w:eastAsia="Arial" w:hAnsi="Arial" w:cs="Arial"/>
          <w:b/>
          <w:bCs/>
          <w:i/>
          <w:iCs/>
          <w:u w:val="single"/>
        </w:rPr>
        <w:t xml:space="preserve"> </w:t>
      </w:r>
      <w:hyperlink r:id="rId41" w:history="1">
        <w:r w:rsidRPr="00506C28">
          <w:rPr>
            <w:rStyle w:val="TekstpodstawowyZnak"/>
            <w:rFonts w:ascii="Arial" w:eastAsia="Arial" w:hAnsi="Arial" w:cs="Arial"/>
            <w:b/>
            <w:bCs/>
            <w:i/>
            <w:iCs/>
            <w:u w:val="single"/>
          </w:rPr>
          <w:t>przeciwko Turcji</w:t>
        </w:r>
      </w:hyperlink>
      <w:r w:rsidRPr="00506C28">
        <w:rPr>
          <w:rStyle w:val="TekstpodstawowyZnak"/>
          <w:rFonts w:ascii="Arial" w:hAnsi="Arial" w:cs="Arial"/>
          <w:color w:val="404040"/>
        </w:rPr>
        <w:t xml:space="preserve">, wyrok (izba) z dnia 3 marca </w:t>
      </w:r>
      <w:r w:rsidR="000E4ED3" w:rsidRPr="00506C28">
        <w:rPr>
          <w:rStyle w:val="TekstpodstawowyZnak"/>
          <w:rFonts w:ascii="Arial" w:hAnsi="Arial" w:cs="Arial"/>
          <w:color w:val="404040"/>
        </w:rPr>
        <w:br/>
      </w:r>
      <w:r w:rsidRPr="00506C28">
        <w:rPr>
          <w:rStyle w:val="TekstpodstawowyZnak"/>
          <w:rFonts w:ascii="Arial" w:hAnsi="Arial" w:cs="Arial"/>
          <w:color w:val="404040"/>
        </w:rPr>
        <w:t>2020 r.;</w:t>
      </w:r>
      <w:hyperlink r:id="rId42"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 xml:space="preserve">Sabuncu i </w:t>
        </w:r>
        <w:r w:rsidR="003D4715" w:rsidRPr="00506C28">
          <w:rPr>
            <w:rStyle w:val="TekstpodstawowyZnak"/>
            <w:rFonts w:ascii="Arial" w:eastAsia="Arial" w:hAnsi="Arial" w:cs="Arial"/>
            <w:b/>
            <w:bCs/>
            <w:i/>
            <w:iCs/>
            <w:u w:val="single"/>
          </w:rPr>
          <w:t>Inni</w:t>
        </w:r>
        <w:r w:rsidRPr="00506C28">
          <w:rPr>
            <w:rStyle w:val="TekstpodstawowyZnak"/>
            <w:rFonts w:ascii="Arial" w:eastAsia="Arial" w:hAnsi="Arial" w:cs="Arial"/>
            <w:b/>
            <w:bCs/>
            <w:i/>
            <w:iCs/>
            <w:u w:val="single"/>
          </w:rPr>
          <w:t xml:space="preserve"> przeciwko</w:t>
        </w:r>
      </w:hyperlink>
      <w:r w:rsidRPr="00506C28">
        <w:rPr>
          <w:rStyle w:val="TekstpodstawowyZnak"/>
          <w:rFonts w:ascii="Arial" w:eastAsia="Arial" w:hAnsi="Arial" w:cs="Arial"/>
          <w:b/>
          <w:bCs/>
          <w:i/>
          <w:iCs/>
          <w:u w:val="single"/>
        </w:rPr>
        <w:t xml:space="preserve"> </w:t>
      </w:r>
      <w:hyperlink r:id="rId43" w:history="1">
        <w:r w:rsidRPr="00506C28">
          <w:rPr>
            <w:rStyle w:val="TekstpodstawowyZnak"/>
            <w:rFonts w:ascii="Arial" w:eastAsia="Arial" w:hAnsi="Arial" w:cs="Arial"/>
            <w:b/>
            <w:bCs/>
            <w:i/>
            <w:iCs/>
            <w:u w:val="single"/>
          </w:rPr>
          <w:t>Turcji</w:t>
        </w:r>
      </w:hyperlink>
      <w:r w:rsidRPr="00506C28">
        <w:rPr>
          <w:rStyle w:val="TekstpodstawowyZnak"/>
          <w:rFonts w:ascii="Arial" w:hAnsi="Arial" w:cs="Arial"/>
          <w:color w:val="404040"/>
        </w:rPr>
        <w:t>, wyrok (izba) z dnia 10 listopada 2020 r.;</w:t>
      </w:r>
      <w:hyperlink r:id="rId44"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Şık przeciwko Turcji (nr 2)</w:t>
        </w:r>
      </w:hyperlink>
      <w:r w:rsidRPr="00506C28">
        <w:rPr>
          <w:rStyle w:val="TekstpodstawowyZnak"/>
          <w:rFonts w:ascii="Arial" w:hAnsi="Arial" w:cs="Arial"/>
          <w:color w:val="404040"/>
        </w:rPr>
        <w:t xml:space="preserve">, wyrok (izba) z dnia 24 listopada 2020 r.; </w:t>
      </w:r>
      <w:hyperlink r:id="rId45" w:history="1">
        <w:r w:rsidRPr="00506C28">
          <w:rPr>
            <w:rStyle w:val="TekstpodstawowyZnak"/>
            <w:rFonts w:ascii="Arial" w:eastAsia="Arial" w:hAnsi="Arial" w:cs="Arial"/>
            <w:b/>
            <w:bCs/>
            <w:i/>
            <w:iCs/>
            <w:u w:val="single"/>
          </w:rPr>
          <w:t>Atilla Taş przeciwko Turcji,</w:t>
        </w:r>
        <w:r w:rsidRPr="00506C28">
          <w:rPr>
            <w:rStyle w:val="TekstpodstawowyZnak"/>
            <w:rFonts w:ascii="Arial" w:hAnsi="Arial" w:cs="Arial"/>
          </w:rPr>
          <w:t xml:space="preserve"> </w:t>
        </w:r>
      </w:hyperlink>
      <w:r w:rsidRPr="00506C28">
        <w:rPr>
          <w:rStyle w:val="TekstpodstawowyZnak"/>
          <w:rFonts w:ascii="Arial" w:hAnsi="Arial" w:cs="Arial"/>
          <w:color w:val="404040"/>
        </w:rPr>
        <w:t xml:space="preserve">wyrok (izba) z dnia 19 stycznia 2021 r.; </w:t>
      </w:r>
      <w:hyperlink r:id="rId46" w:history="1">
        <w:r w:rsidRPr="00506C28">
          <w:rPr>
            <w:rStyle w:val="TekstpodstawowyZnak"/>
            <w:rFonts w:ascii="Arial" w:eastAsia="Arial" w:hAnsi="Arial" w:cs="Arial"/>
            <w:b/>
            <w:bCs/>
            <w:i/>
            <w:iCs/>
            <w:u w:val="single"/>
          </w:rPr>
          <w:t xml:space="preserve">Ahmet </w:t>
        </w:r>
        <w:r w:rsidRPr="00506C28">
          <w:rPr>
            <w:rStyle w:val="TekstpodstawowyZnak"/>
            <w:rFonts w:ascii="Arial" w:eastAsia="Arial" w:hAnsi="Arial" w:cs="Arial"/>
            <w:b/>
            <w:bCs/>
            <w:i/>
            <w:iCs/>
            <w:u w:val="single"/>
            <w:lang w:eastAsia="de-DE"/>
          </w:rPr>
          <w:t xml:space="preserve">Hüsrev </w:t>
        </w:r>
        <w:r w:rsidRPr="00506C28">
          <w:rPr>
            <w:rStyle w:val="TekstpodstawowyZnak"/>
            <w:rFonts w:ascii="Arial" w:eastAsia="Arial" w:hAnsi="Arial" w:cs="Arial"/>
            <w:b/>
            <w:bCs/>
            <w:i/>
            <w:iCs/>
            <w:u w:val="single"/>
          </w:rPr>
          <w:t>Altan przeciwko Turcji,</w:t>
        </w:r>
        <w:r w:rsidRPr="00506C28">
          <w:rPr>
            <w:rStyle w:val="TekstpodstawowyZnak"/>
            <w:rFonts w:ascii="Arial" w:hAnsi="Arial" w:cs="Arial"/>
          </w:rPr>
          <w:t xml:space="preserve"> </w:t>
        </w:r>
      </w:hyperlink>
      <w:r w:rsidRPr="00506C28">
        <w:rPr>
          <w:rStyle w:val="TekstpodstawowyZnak"/>
          <w:rFonts w:ascii="Arial" w:hAnsi="Arial" w:cs="Arial"/>
          <w:color w:val="404040"/>
        </w:rPr>
        <w:t xml:space="preserve">wyrok (izba) z dnia 13 kwietnia 2021 r.; </w:t>
      </w:r>
      <w:hyperlink r:id="rId47" w:history="1">
        <w:r w:rsidRPr="00506C28">
          <w:rPr>
            <w:rStyle w:val="TekstpodstawowyZnak"/>
            <w:rFonts w:ascii="Arial" w:eastAsia="Arial" w:hAnsi="Arial" w:cs="Arial"/>
            <w:b/>
            <w:bCs/>
            <w:i/>
            <w:iCs/>
            <w:u w:val="single"/>
          </w:rPr>
          <w:t>Murat Aksoy</w:t>
        </w:r>
      </w:hyperlink>
      <w:r w:rsidR="00635D8C" w:rsidRPr="00506C28">
        <w:rPr>
          <w:rFonts w:ascii="Arial" w:hAnsi="Arial" w:cs="Arial"/>
        </w:rPr>
        <w:t xml:space="preserve"> </w:t>
      </w:r>
      <w:hyperlink r:id="rId48" w:history="1">
        <w:r w:rsidRPr="00506C28">
          <w:rPr>
            <w:rStyle w:val="TekstpodstawowyZnak"/>
            <w:rFonts w:ascii="Arial" w:eastAsia="Arial" w:hAnsi="Arial" w:cs="Arial"/>
            <w:b/>
            <w:bCs/>
            <w:i/>
            <w:iCs/>
            <w:u w:val="single"/>
          </w:rPr>
          <w:t>v. Turcja</w:t>
        </w:r>
      </w:hyperlink>
      <w:r w:rsidRPr="00506C28">
        <w:rPr>
          <w:rStyle w:val="TekstpodstawowyZnak"/>
          <w:rFonts w:ascii="Arial" w:hAnsi="Arial" w:cs="Arial"/>
          <w:color w:val="404040"/>
        </w:rPr>
        <w:t>, wyrok (izba) z dnia 13 kwietnia 2021 r.;</w:t>
      </w:r>
      <w:hyperlink r:id="rId49"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Öğreten i Kanaat przeciwko Turcji</w:t>
        </w:r>
      </w:hyperlink>
      <w:r w:rsidRPr="00506C28">
        <w:rPr>
          <w:rStyle w:val="TekstpodstawowyZnak"/>
          <w:rFonts w:ascii="Arial" w:hAnsi="Arial" w:cs="Arial"/>
          <w:color w:val="404040"/>
        </w:rPr>
        <w:t xml:space="preserve">, wyrok (izba) z dnia 18 maja 2021 r.; </w:t>
      </w:r>
      <w:hyperlink r:id="rId50" w:history="1">
        <w:r w:rsidRPr="00506C28">
          <w:rPr>
            <w:rStyle w:val="TekstpodstawowyZnak"/>
            <w:rFonts w:ascii="Arial" w:eastAsia="Arial" w:hAnsi="Arial" w:cs="Arial"/>
            <w:b/>
            <w:bCs/>
            <w:i/>
            <w:iCs/>
            <w:u w:val="single"/>
            <w:lang w:eastAsia="de-DE"/>
          </w:rPr>
          <w:t xml:space="preserve">Akgün </w:t>
        </w:r>
        <w:r w:rsidRPr="00506C28">
          <w:rPr>
            <w:rStyle w:val="TekstpodstawowyZnak"/>
            <w:rFonts w:ascii="Arial" w:eastAsia="Arial" w:hAnsi="Arial" w:cs="Arial"/>
            <w:b/>
            <w:bCs/>
            <w:i/>
            <w:iCs/>
            <w:u w:val="single"/>
          </w:rPr>
          <w:t>przeciwko Turcji</w:t>
        </w:r>
      </w:hyperlink>
      <w:r w:rsidRPr="00506C28">
        <w:rPr>
          <w:rStyle w:val="TekstpodstawowyZnak"/>
          <w:rFonts w:ascii="Arial" w:hAnsi="Arial" w:cs="Arial"/>
          <w:color w:val="404040"/>
        </w:rPr>
        <w:t>, wyrok (izba) z dnia 20 lipca 2021 r.;</w:t>
      </w:r>
      <w:hyperlink r:id="rId51"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Tuncer Bakırhan przeciwko Turcji</w:t>
        </w:r>
      </w:hyperlink>
      <w:r w:rsidRPr="00506C28">
        <w:rPr>
          <w:rStyle w:val="TekstpodstawowyZnak"/>
          <w:rFonts w:ascii="Arial" w:hAnsi="Arial" w:cs="Arial"/>
          <w:color w:val="404040"/>
        </w:rPr>
        <w:t>, wyrok z dnia 14 września 2021 r.;</w:t>
      </w:r>
      <w:hyperlink r:id="rId52"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Vedat Şorli</w:t>
        </w:r>
      </w:hyperlink>
      <w:r w:rsidRPr="00506C28">
        <w:rPr>
          <w:rStyle w:val="TekstpodstawowyZnak"/>
          <w:rFonts w:ascii="Arial" w:eastAsia="Arial" w:hAnsi="Arial" w:cs="Arial"/>
          <w:b/>
          <w:bCs/>
          <w:i/>
          <w:iCs/>
          <w:u w:val="single"/>
        </w:rPr>
        <w:t xml:space="preserve"> </w:t>
      </w:r>
      <w:hyperlink r:id="rId53" w:history="1">
        <w:r w:rsidRPr="00506C28">
          <w:rPr>
            <w:rStyle w:val="TekstpodstawowyZnak"/>
            <w:rFonts w:ascii="Arial" w:eastAsia="Arial" w:hAnsi="Arial" w:cs="Arial"/>
            <w:b/>
            <w:bCs/>
            <w:i/>
            <w:iCs/>
            <w:u w:val="single"/>
          </w:rPr>
          <w:t>przeciwko Turcji</w:t>
        </w:r>
      </w:hyperlink>
      <w:r w:rsidRPr="00506C28">
        <w:rPr>
          <w:rStyle w:val="TekstpodstawowyZnak"/>
          <w:rFonts w:ascii="Arial" w:hAnsi="Arial" w:cs="Arial"/>
          <w:color w:val="404040"/>
        </w:rPr>
        <w:t>, wyrok (izba) z dnia 19 października 2021</w:t>
      </w:r>
      <w:hyperlink w:anchor="bookmark14" w:tooltip="Current Document">
        <w:r w:rsidRPr="00506C28">
          <w:rPr>
            <w:rStyle w:val="TekstpodstawowyZnak"/>
            <w:rFonts w:ascii="Arial" w:hAnsi="Arial" w:cs="Arial"/>
            <w:color w:val="404040"/>
          </w:rPr>
          <w:t xml:space="preserve"> </w:t>
        </w:r>
        <w:r w:rsidRPr="00506C28">
          <w:rPr>
            <w:rStyle w:val="TekstpodstawowyZnak"/>
            <w:rFonts w:ascii="Arial" w:hAnsi="Arial" w:cs="Arial"/>
            <w:color w:val="404040"/>
            <w:vertAlign w:val="superscript"/>
          </w:rPr>
          <w:t>r.(17)</w:t>
        </w:r>
        <w:r w:rsidRPr="00506C28">
          <w:rPr>
            <w:rStyle w:val="TekstpodstawowyZnak"/>
            <w:rFonts w:ascii="Arial" w:hAnsi="Arial" w:cs="Arial"/>
            <w:color w:val="404040"/>
          </w:rPr>
          <w:t xml:space="preserve"> </w:t>
        </w:r>
      </w:hyperlink>
      <w:r w:rsidRPr="00506C28">
        <w:rPr>
          <w:rStyle w:val="TekstpodstawowyZnak"/>
          <w:rFonts w:ascii="Arial" w:hAnsi="Arial" w:cs="Arial"/>
          <w:color w:val="404040"/>
        </w:rPr>
        <w:t>;</w:t>
      </w:r>
      <w:hyperlink r:id="rId54"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 xml:space="preserve">Turan i </w:t>
        </w:r>
        <w:r w:rsidR="003D4715" w:rsidRPr="00506C28">
          <w:rPr>
            <w:rStyle w:val="TekstpodstawowyZnak"/>
            <w:rFonts w:ascii="Arial" w:eastAsia="Arial" w:hAnsi="Arial" w:cs="Arial"/>
            <w:b/>
            <w:bCs/>
            <w:i/>
            <w:iCs/>
            <w:u w:val="single"/>
          </w:rPr>
          <w:t>Inni</w:t>
        </w:r>
        <w:r w:rsidRPr="00506C28">
          <w:rPr>
            <w:rStyle w:val="TekstpodstawowyZnak"/>
            <w:rFonts w:ascii="Arial" w:eastAsia="Arial" w:hAnsi="Arial" w:cs="Arial"/>
            <w:b/>
            <w:bCs/>
            <w:i/>
            <w:iCs/>
            <w:u w:val="single"/>
          </w:rPr>
          <w:t xml:space="preserve"> przeciwko</w:t>
        </w:r>
      </w:hyperlink>
      <w:r w:rsidRPr="00506C28">
        <w:rPr>
          <w:rStyle w:val="TekstpodstawowyZnak"/>
          <w:rFonts w:ascii="Arial" w:eastAsia="Arial" w:hAnsi="Arial" w:cs="Arial"/>
          <w:b/>
          <w:bCs/>
          <w:i/>
          <w:iCs/>
          <w:u w:val="single"/>
        </w:rPr>
        <w:t xml:space="preserve"> </w:t>
      </w:r>
      <w:hyperlink r:id="rId55" w:history="1">
        <w:r w:rsidRPr="00506C28">
          <w:rPr>
            <w:rStyle w:val="TekstpodstawowyZnak"/>
            <w:rFonts w:ascii="Arial" w:eastAsia="Arial" w:hAnsi="Arial" w:cs="Arial"/>
            <w:b/>
            <w:bCs/>
            <w:i/>
            <w:iCs/>
            <w:u w:val="single"/>
          </w:rPr>
          <w:t>Turcji</w:t>
        </w:r>
      </w:hyperlink>
      <w:r w:rsidRPr="00506C28">
        <w:rPr>
          <w:rStyle w:val="TekstpodstawowyZnak"/>
          <w:rFonts w:ascii="Arial" w:hAnsi="Arial" w:cs="Arial"/>
          <w:color w:val="404040"/>
        </w:rPr>
        <w:t>, wyrok (izba) z dnia 23 listopada 2021 r</w:t>
      </w:r>
      <w:hyperlink w:anchor="bookmark15" w:tooltip="Current Document">
        <w:r w:rsidRPr="00506C28">
          <w:rPr>
            <w:rStyle w:val="TekstpodstawowyZnak"/>
            <w:rFonts w:ascii="Arial" w:hAnsi="Arial" w:cs="Arial"/>
            <w:color w:val="404040"/>
            <w:vertAlign w:val="superscript"/>
          </w:rPr>
          <w:t>.(18)</w:t>
        </w:r>
        <w:r w:rsidRPr="00506C28">
          <w:rPr>
            <w:rStyle w:val="TekstpodstawowyZnak"/>
            <w:rFonts w:ascii="Arial" w:hAnsi="Arial" w:cs="Arial"/>
            <w:color w:val="404040"/>
          </w:rPr>
          <w:t xml:space="preserve"> </w:t>
        </w:r>
      </w:hyperlink>
      <w:r w:rsidRPr="00506C28">
        <w:rPr>
          <w:rStyle w:val="TekstpodstawowyZnak"/>
          <w:rFonts w:ascii="Arial" w:hAnsi="Arial" w:cs="Arial"/>
          <w:color w:val="404040"/>
        </w:rPr>
        <w:t>;</w:t>
      </w:r>
      <w:hyperlink r:id="rId56"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 xml:space="preserve">Yasin </w:t>
        </w:r>
        <w:r w:rsidRPr="00506C28">
          <w:rPr>
            <w:rStyle w:val="TekstpodstawowyZnak"/>
            <w:rFonts w:ascii="Arial" w:eastAsia="Arial" w:hAnsi="Arial" w:cs="Arial"/>
            <w:b/>
            <w:bCs/>
            <w:i/>
            <w:iCs/>
            <w:u w:val="single"/>
            <w:lang w:eastAsia="de-DE"/>
          </w:rPr>
          <w:t xml:space="preserve">Özdemir </w:t>
        </w:r>
        <w:r w:rsidRPr="00506C28">
          <w:rPr>
            <w:rStyle w:val="TekstpodstawowyZnak"/>
            <w:rFonts w:ascii="Arial" w:eastAsia="Arial" w:hAnsi="Arial" w:cs="Arial"/>
            <w:b/>
            <w:bCs/>
            <w:i/>
            <w:iCs/>
            <w:u w:val="single"/>
          </w:rPr>
          <w:lastRenderedPageBreak/>
          <w:t>przeciwko Turcji,</w:t>
        </w:r>
      </w:hyperlink>
      <w:r w:rsidRPr="00506C28">
        <w:rPr>
          <w:rStyle w:val="TekstpodstawowyZnak"/>
          <w:rFonts w:ascii="Arial" w:eastAsia="Arial" w:hAnsi="Arial" w:cs="Arial"/>
          <w:b/>
          <w:bCs/>
          <w:i/>
          <w:iCs/>
          <w:u w:val="single"/>
        </w:rPr>
        <w:t xml:space="preserve"> </w:t>
      </w:r>
      <w:r w:rsidRPr="00506C28">
        <w:rPr>
          <w:rStyle w:val="TekstpodstawowyZnak"/>
          <w:rFonts w:ascii="Arial" w:hAnsi="Arial" w:cs="Arial"/>
          <w:color w:val="404040"/>
        </w:rPr>
        <w:t>wyrok (izba) z dnia 7 grudnia 2021 r.</w:t>
      </w:r>
      <w:hyperlink w:anchor="bookmark16" w:tooltip="Current Document">
        <w:r w:rsidRPr="00506C28">
          <w:rPr>
            <w:rStyle w:val="TekstpodstawowyZnak"/>
            <w:rFonts w:ascii="Arial" w:hAnsi="Arial" w:cs="Arial"/>
            <w:color w:val="404040"/>
            <w:vertAlign w:val="superscript"/>
          </w:rPr>
          <w:footnoteReference w:id="14"/>
        </w:r>
        <w:r w:rsidRPr="00506C28">
          <w:rPr>
            <w:rStyle w:val="TekstpodstawowyZnak"/>
            <w:rFonts w:ascii="Arial" w:hAnsi="Arial" w:cs="Arial"/>
            <w:color w:val="404040"/>
            <w:vertAlign w:val="superscript"/>
          </w:rPr>
          <w:t xml:space="preserve"> ;</w:t>
        </w:r>
      </w:hyperlink>
      <w:hyperlink r:id="rId57" w:history="1">
        <w:r w:rsidRPr="00506C28">
          <w:rPr>
            <w:rStyle w:val="TekstpodstawowyZnak"/>
            <w:rFonts w:ascii="Arial" w:eastAsia="Arial" w:hAnsi="Arial" w:cs="Arial"/>
            <w:b/>
            <w:bCs/>
            <w:i/>
            <w:iCs/>
            <w:u w:val="single"/>
          </w:rPr>
          <w:t>Ilıcak przeciwko Turcji (nr 2),</w:t>
        </w:r>
        <w:r w:rsidRPr="00506C28">
          <w:rPr>
            <w:rStyle w:val="TekstpodstawowyZnak"/>
            <w:rFonts w:ascii="Arial" w:hAnsi="Arial" w:cs="Arial"/>
          </w:rPr>
          <w:t xml:space="preserve"> </w:t>
        </w:r>
      </w:hyperlink>
      <w:r w:rsidRPr="00506C28">
        <w:rPr>
          <w:rStyle w:val="TekstpodstawowyZnak"/>
          <w:rFonts w:ascii="Arial" w:hAnsi="Arial" w:cs="Arial"/>
          <w:color w:val="404040"/>
        </w:rPr>
        <w:t>wyrok (izba) z dnia 14 grudnia 2021 r.(</w:t>
      </w:r>
      <w:hyperlink w:anchor="bookmark17" w:tooltip="Current Document">
        <w:r w:rsidRPr="00506C28">
          <w:rPr>
            <w:rStyle w:val="TekstpodstawowyZnak"/>
            <w:rFonts w:ascii="Arial" w:hAnsi="Arial" w:cs="Arial"/>
            <w:color w:val="404040"/>
            <w:vertAlign w:val="superscript"/>
          </w:rPr>
          <w:footnoteReference w:id="15"/>
        </w:r>
        <w:r w:rsidRPr="00506C28">
          <w:rPr>
            <w:rStyle w:val="TekstpodstawowyZnak"/>
            <w:rFonts w:ascii="Arial" w:hAnsi="Arial" w:cs="Arial"/>
            <w:color w:val="404040"/>
            <w:vertAlign w:val="superscript"/>
          </w:rPr>
          <w:t xml:space="preserve"> ;</w:t>
        </w:r>
      </w:hyperlink>
      <w:hyperlink r:id="rId58" w:history="1">
        <w:r w:rsidRPr="00506C28">
          <w:rPr>
            <w:rStyle w:val="TekstpodstawowyZnak"/>
            <w:rFonts w:ascii="Arial" w:eastAsia="Arial" w:hAnsi="Arial" w:cs="Arial"/>
            <w:b/>
            <w:bCs/>
            <w:i/>
            <w:iCs/>
            <w:u w:val="single"/>
          </w:rPr>
          <w:t xml:space="preserve">İlker Deniz </w:t>
        </w:r>
        <w:r w:rsidRPr="00506C28">
          <w:rPr>
            <w:rStyle w:val="TekstpodstawowyZnak"/>
            <w:rFonts w:ascii="Arial" w:eastAsia="Arial" w:hAnsi="Arial" w:cs="Arial"/>
            <w:b/>
            <w:bCs/>
            <w:i/>
            <w:iCs/>
            <w:u w:val="single"/>
            <w:lang w:eastAsia="de-DE"/>
          </w:rPr>
          <w:t xml:space="preserve">Yücel </w:t>
        </w:r>
        <w:r w:rsidRPr="00506C28">
          <w:rPr>
            <w:rStyle w:val="TekstpodstawowyZnak"/>
            <w:rFonts w:ascii="Arial" w:eastAsia="Arial" w:hAnsi="Arial" w:cs="Arial"/>
            <w:b/>
            <w:bCs/>
            <w:i/>
            <w:iCs/>
            <w:u w:val="single"/>
          </w:rPr>
          <w:t>przeciwko Turcji,</w:t>
        </w:r>
        <w:r w:rsidRPr="00506C28">
          <w:rPr>
            <w:rStyle w:val="TekstpodstawowyZnak"/>
            <w:rFonts w:ascii="Arial" w:hAnsi="Arial" w:cs="Arial"/>
          </w:rPr>
          <w:t xml:space="preserve"> </w:t>
        </w:r>
      </w:hyperlink>
      <w:r w:rsidRPr="00506C28">
        <w:rPr>
          <w:rStyle w:val="TekstpodstawowyZnak"/>
          <w:rFonts w:ascii="Arial" w:hAnsi="Arial" w:cs="Arial"/>
          <w:color w:val="404040"/>
        </w:rPr>
        <w:t>wyrok (izba) z dnia 25 stycznia 2022 r</w:t>
      </w:r>
    </w:p>
    <w:p w14:paraId="0C683499" w14:textId="77777777" w:rsidR="00DF17E2" w:rsidRPr="00506C28" w:rsidRDefault="00DF17E2" w:rsidP="004E75AD">
      <w:pPr>
        <w:pStyle w:val="Heading30"/>
        <w:keepNext/>
        <w:keepLines/>
        <w:spacing w:before="30" w:after="0"/>
        <w:jc w:val="both"/>
        <w:rPr>
          <w:rFonts w:ascii="Arial" w:hAnsi="Arial" w:cs="Arial"/>
        </w:rPr>
      </w:pPr>
    </w:p>
    <w:p w14:paraId="1F52A968" w14:textId="4F22FD9C" w:rsidR="00782109" w:rsidRPr="00506C28" w:rsidRDefault="00782109" w:rsidP="004E75AD">
      <w:pPr>
        <w:pStyle w:val="Heading30"/>
        <w:keepNext/>
        <w:keepLines/>
        <w:spacing w:before="30" w:after="0"/>
        <w:jc w:val="both"/>
        <w:rPr>
          <w:rFonts w:ascii="Arial" w:hAnsi="Arial" w:cs="Arial"/>
        </w:rPr>
      </w:pPr>
      <w:hyperlink r:id="rId59" w:history="1">
        <w:bookmarkStart w:id="34" w:name="bookmark40"/>
        <w:r w:rsidRPr="00506C28">
          <w:rPr>
            <w:rStyle w:val="Heading3"/>
            <w:rFonts w:ascii="Arial" w:hAnsi="Arial" w:cs="Arial"/>
            <w:b/>
            <w:bCs/>
          </w:rPr>
          <w:t>Pişkin przeciwko Turcji</w:t>
        </w:r>
        <w:bookmarkEnd w:id="34"/>
      </w:hyperlink>
    </w:p>
    <w:p w14:paraId="4139B90C"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15 grudnia 2020 r. (wyrok izby)</w:t>
      </w:r>
    </w:p>
    <w:p w14:paraId="5E7CD906" w14:textId="3CD2C7B6"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color w:val="000000"/>
        </w:rPr>
        <w:t xml:space="preserve">Sprawa dotyczyła zwolnienia skarżącego, który pracował jako ekspert w Agencji Rozwoju Ankary, z powodu powiązań z organizacją terrorystyczną, w następstwie ogłoszenia stanu wyjątkowego w Turcji po nieudanym zamachu stanu z 15 lipca 2016 r., a także późniejszej kontroli sądowej tego środka. Skarżący twierdził, </w:t>
      </w:r>
      <w:r w:rsidR="00090273">
        <w:rPr>
          <w:rStyle w:val="TekstpodstawowyZnak"/>
          <w:rFonts w:ascii="Arial" w:hAnsi="Arial" w:cs="Arial"/>
          <w:color w:val="000000"/>
        </w:rPr>
        <w:br/>
      </w:r>
      <w:r w:rsidRPr="00506C28">
        <w:rPr>
          <w:rStyle w:val="TekstpodstawowyZnak"/>
          <w:rFonts w:ascii="Arial" w:hAnsi="Arial" w:cs="Arial"/>
          <w:color w:val="000000"/>
        </w:rPr>
        <w:t xml:space="preserve">że ani procedura prowadząca do jego zwolnienia, ani późniejsze postępowanie sądowe nie były zgodne </w:t>
      </w:r>
      <w:r w:rsidR="00090273">
        <w:rPr>
          <w:rStyle w:val="TekstpodstawowyZnak"/>
          <w:rFonts w:ascii="Arial" w:hAnsi="Arial" w:cs="Arial"/>
          <w:color w:val="000000"/>
        </w:rPr>
        <w:br/>
      </w:r>
      <w:r w:rsidRPr="00506C28">
        <w:rPr>
          <w:rStyle w:val="TekstpodstawowyZnak"/>
          <w:rFonts w:ascii="Arial" w:hAnsi="Arial" w:cs="Arial"/>
          <w:color w:val="000000"/>
        </w:rPr>
        <w:t>z gwarancjami rzetelnego procesu sądowego. Skarżył się również, że został uznany za „terrorystę” i „zdrajcę”.</w:t>
      </w:r>
    </w:p>
    <w:p w14:paraId="15E69D9A" w14:textId="5070EBA5" w:rsidR="006B2744" w:rsidRPr="00506C28" w:rsidRDefault="009130BA" w:rsidP="004E75AD">
      <w:pPr>
        <w:pStyle w:val="Tekstpodstawowy"/>
        <w:spacing w:before="30"/>
        <w:jc w:val="both"/>
        <w:rPr>
          <w:rFonts w:ascii="Arial" w:hAnsi="Arial" w:cs="Arial"/>
        </w:rPr>
      </w:pPr>
      <w:r w:rsidRPr="00506C28">
        <w:rPr>
          <w:rStyle w:val="TekstpodstawowyZnak"/>
          <w:rFonts w:ascii="Arial" w:hAnsi="Arial" w:cs="Arial"/>
        </w:rPr>
        <w:t xml:space="preserve">Trybunał uznał, że w sprawie skarżącego doszło </w:t>
      </w:r>
      <w:r w:rsidRPr="00506C28">
        <w:rPr>
          <w:rStyle w:val="TekstpodstawowyZnak"/>
          <w:rFonts w:ascii="Arial" w:hAnsi="Arial" w:cs="Arial"/>
          <w:b/>
          <w:bCs/>
        </w:rPr>
        <w:t xml:space="preserve">do naruszenia art. 6 § 1 </w:t>
      </w:r>
      <w:r w:rsidRPr="00506C28">
        <w:rPr>
          <w:rStyle w:val="TekstpodstawowyZnak"/>
          <w:rFonts w:ascii="Arial" w:hAnsi="Arial" w:cs="Arial"/>
        </w:rPr>
        <w:t xml:space="preserve">(prawo do rzetelnego procesu sądowego) oraz </w:t>
      </w:r>
      <w:r w:rsidRPr="00506C28">
        <w:rPr>
          <w:rStyle w:val="TekstpodstawowyZnak"/>
          <w:rFonts w:ascii="Arial" w:hAnsi="Arial" w:cs="Arial"/>
          <w:b/>
          <w:bCs/>
        </w:rPr>
        <w:t xml:space="preserve">art. 8 </w:t>
      </w:r>
      <w:r w:rsidRPr="00506C28">
        <w:rPr>
          <w:rStyle w:val="TekstpodstawowyZnak"/>
          <w:rFonts w:ascii="Arial" w:hAnsi="Arial" w:cs="Arial"/>
        </w:rPr>
        <w:t xml:space="preserve">(prawo do poszanowania życia prywatnego i rodzinnego) Konwencji. W odniesieniu do </w:t>
      </w:r>
      <w:r w:rsidR="005C6EBB" w:rsidRPr="00506C28">
        <w:rPr>
          <w:rStyle w:val="TekstpodstawowyZnak"/>
          <w:rFonts w:ascii="Arial" w:hAnsi="Arial" w:cs="Arial"/>
        </w:rPr>
        <w:t>uchylenia</w:t>
      </w:r>
      <w:r w:rsidRPr="00506C28">
        <w:rPr>
          <w:rStyle w:val="TekstpodstawowyZnak"/>
          <w:rFonts w:ascii="Arial" w:hAnsi="Arial" w:cs="Arial"/>
        </w:rPr>
        <w:t xml:space="preserve"> przewidzianego w art. 15 Konwencji Trybunał zauważył, że zaskarżony dekret </w:t>
      </w:r>
      <w:r w:rsidR="00C61D9A" w:rsidRPr="00506C28">
        <w:rPr>
          <w:rStyle w:val="TekstpodstawowyZnak"/>
          <w:rFonts w:ascii="Arial" w:hAnsi="Arial" w:cs="Arial"/>
        </w:rPr>
        <w:t xml:space="preserve">z mocą ustawy </w:t>
      </w:r>
      <w:r w:rsidRPr="00506C28">
        <w:rPr>
          <w:rStyle w:val="TekstpodstawowyZnak"/>
          <w:rFonts w:ascii="Arial" w:hAnsi="Arial" w:cs="Arial"/>
        </w:rPr>
        <w:t xml:space="preserve">nie nakładał żadnych ograniczeń na kontrolę sądową, jaką miały przeprowadzić sądy krajowe po rozwiązaniu umów o pracę osób, których dotyczyła sprawa, takich jak skarżący w niniejszej sprawie. Trybunał wskazał również, że nawet w stanie wyjątkowym musi przeważać podstawowa zasada praworządności. Nie byłoby zgodne z zasadą państwa prawa w demokratycznym społeczeństwie ani z podstawową zasadą leżącą </w:t>
      </w:r>
      <w:r w:rsidR="00090273">
        <w:rPr>
          <w:rStyle w:val="TekstpodstawowyZnak"/>
          <w:rFonts w:ascii="Arial" w:hAnsi="Arial" w:cs="Arial"/>
        </w:rPr>
        <w:br/>
      </w:r>
      <w:r w:rsidRPr="00506C28">
        <w:rPr>
          <w:rStyle w:val="TekstpodstawowyZnak"/>
          <w:rFonts w:ascii="Arial" w:hAnsi="Arial" w:cs="Arial"/>
        </w:rPr>
        <w:t xml:space="preserve">u podstaw art. 6 § 1 </w:t>
      </w:r>
      <w:r w:rsidR="00C61D9A" w:rsidRPr="00506C28">
        <w:rPr>
          <w:rStyle w:val="TekstpodstawowyZnak"/>
          <w:rFonts w:ascii="Arial" w:hAnsi="Arial" w:cs="Arial"/>
        </w:rPr>
        <w:t>(</w:t>
      </w:r>
      <w:r w:rsidRPr="00506C28">
        <w:rPr>
          <w:rStyle w:val="TekstpodstawowyZnak"/>
          <w:rFonts w:ascii="Arial" w:hAnsi="Arial" w:cs="Arial"/>
        </w:rPr>
        <w:t>a mianowicie, że roszczenia cywilne powinny podlegać skutecznej kontroli sądowej</w:t>
      </w:r>
      <w:r w:rsidR="00C61D9A" w:rsidRPr="00506C28">
        <w:rPr>
          <w:rStyle w:val="TekstpodstawowyZnak"/>
          <w:rFonts w:ascii="Arial" w:hAnsi="Arial" w:cs="Arial"/>
        </w:rPr>
        <w:t>)</w:t>
      </w:r>
      <w:r w:rsidRPr="00506C28">
        <w:rPr>
          <w:rStyle w:val="TekstpodstawowyZnak"/>
          <w:rFonts w:ascii="Arial" w:hAnsi="Arial" w:cs="Arial"/>
        </w:rPr>
        <w:t xml:space="preserve"> gdyby państwo mogło, bez ograniczeń lub kontroli ze strony organów egzekwujących </w:t>
      </w:r>
      <w:r w:rsidR="0065342B" w:rsidRPr="00506C28">
        <w:rPr>
          <w:rStyle w:val="TekstpodstawowyZnak"/>
          <w:rFonts w:ascii="Arial" w:hAnsi="Arial" w:cs="Arial"/>
        </w:rPr>
        <w:t>K</w:t>
      </w:r>
      <w:r w:rsidRPr="00506C28">
        <w:rPr>
          <w:rStyle w:val="TekstpodstawowyZnak"/>
          <w:rFonts w:ascii="Arial" w:hAnsi="Arial" w:cs="Arial"/>
        </w:rPr>
        <w:t xml:space="preserve">onwencję, wyłączyć z jurysdykcji sądów cały zakres roszczeń cywilnych lub przyznać immunitet od odpowiedzialności cywilnej dużym grupom lub kategoriom osób. W związku z tym, biorąc pod uwagę powagę konsekwencji dla praw tych osób wynikających z Konwencji, w </w:t>
      </w:r>
      <w:r w:rsidR="006B2744" w:rsidRPr="00506C28">
        <w:rPr>
          <w:rStyle w:val="TekstpodstawowyZnak"/>
          <w:rFonts w:ascii="Arial" w:hAnsi="Arial" w:cs="Arial"/>
        </w:rPr>
        <w:t>przypadku,</w:t>
      </w:r>
      <w:r w:rsidRPr="00506C28">
        <w:rPr>
          <w:rStyle w:val="TekstpodstawowyZnak"/>
          <w:rFonts w:ascii="Arial" w:hAnsi="Arial" w:cs="Arial"/>
        </w:rPr>
        <w:t xml:space="preserve"> gdy nadzwyczajny dekret ustawodawczy, taki jak ten rozpatrywany w niniejszej sprawie, nie zawiera żadnego jasnego lub wyraźnego sformułowania wykluczającego możliwość kontroli sądowej środków podjętych w celu jego wykonania,</w:t>
      </w:r>
      <w:r w:rsidR="001D0BCC" w:rsidRPr="00506C28">
        <w:rPr>
          <w:rStyle w:val="TekstpodstawowyZnak"/>
          <w:rFonts w:ascii="Arial" w:hAnsi="Arial" w:cs="Arial"/>
        </w:rPr>
        <w:t xml:space="preserve"> sąd</w:t>
      </w:r>
      <w:r w:rsidR="008724FF" w:rsidRPr="00506C28">
        <w:rPr>
          <w:rStyle w:val="TekstpodstawowyZnak"/>
          <w:rFonts w:ascii="Arial" w:hAnsi="Arial" w:cs="Arial"/>
        </w:rPr>
        <w:t>y</w:t>
      </w:r>
      <w:r w:rsidR="001D0BCC" w:rsidRPr="00506C28">
        <w:rPr>
          <w:rStyle w:val="TekstpodstawowyZnak"/>
          <w:rFonts w:ascii="Arial" w:hAnsi="Arial" w:cs="Arial"/>
        </w:rPr>
        <w:t xml:space="preserve"> pozwanego </w:t>
      </w:r>
      <w:r w:rsidR="001D0BCC" w:rsidRPr="00506C28">
        <w:rPr>
          <w:rFonts w:ascii="Arial" w:hAnsi="Arial" w:cs="Arial"/>
        </w:rPr>
        <w:t>państwa</w:t>
      </w:r>
      <w:r w:rsidR="008724FF" w:rsidRPr="00506C28">
        <w:rPr>
          <w:rFonts w:ascii="Arial" w:hAnsi="Arial" w:cs="Arial"/>
        </w:rPr>
        <w:t xml:space="preserve"> powinny</w:t>
      </w:r>
      <w:r w:rsidR="006B2744" w:rsidRPr="00506C28">
        <w:rPr>
          <w:rFonts w:ascii="Arial" w:hAnsi="Arial" w:cs="Arial"/>
        </w:rPr>
        <w:t xml:space="preserve"> dokon</w:t>
      </w:r>
      <w:r w:rsidR="008724FF" w:rsidRPr="00506C28">
        <w:rPr>
          <w:rFonts w:ascii="Arial" w:hAnsi="Arial" w:cs="Arial"/>
        </w:rPr>
        <w:t>ać</w:t>
      </w:r>
      <w:r w:rsidR="006B2744" w:rsidRPr="00506C28">
        <w:rPr>
          <w:rFonts w:ascii="Arial" w:hAnsi="Arial" w:cs="Arial"/>
        </w:rPr>
        <w:t xml:space="preserve"> wystarczającej kontroli, aby uniknąć wszelkiej arbitralności. W tych okolicznościach nieprzestrzeganie wymogów rzetelnego procesu sądowego nie może być uzasadnione </w:t>
      </w:r>
      <w:r w:rsidR="005C6EBB" w:rsidRPr="00506C28">
        <w:rPr>
          <w:rFonts w:ascii="Arial" w:hAnsi="Arial" w:cs="Arial"/>
        </w:rPr>
        <w:t>uchyleniem</w:t>
      </w:r>
      <w:r w:rsidR="006B2744" w:rsidRPr="00506C28">
        <w:rPr>
          <w:rFonts w:ascii="Arial" w:hAnsi="Arial" w:cs="Arial"/>
        </w:rPr>
        <w:t xml:space="preserve"> Turcji.</w:t>
      </w:r>
    </w:p>
    <w:p w14:paraId="77A3D257" w14:textId="77777777" w:rsidR="00894B81" w:rsidRPr="00506C28" w:rsidRDefault="00894B81" w:rsidP="004E75AD">
      <w:pPr>
        <w:pStyle w:val="Tekstpodstawowy"/>
        <w:spacing w:before="30"/>
        <w:jc w:val="both"/>
        <w:rPr>
          <w:rFonts w:ascii="Arial" w:hAnsi="Arial" w:cs="Arial"/>
        </w:rPr>
      </w:pPr>
    </w:p>
    <w:p w14:paraId="0E87D853" w14:textId="170CF029" w:rsidR="00894B81" w:rsidRPr="00506C28" w:rsidRDefault="006B2744" w:rsidP="004E75AD">
      <w:pPr>
        <w:pStyle w:val="Heading20"/>
        <w:keepNext/>
        <w:keepLines/>
        <w:numPr>
          <w:ilvl w:val="0"/>
          <w:numId w:val="2"/>
        </w:numPr>
        <w:tabs>
          <w:tab w:val="left" w:pos="528"/>
        </w:tabs>
        <w:spacing w:before="30"/>
        <w:jc w:val="both"/>
        <w:rPr>
          <w:rFonts w:ascii="Arial" w:hAnsi="Arial" w:cs="Arial"/>
        </w:rPr>
      </w:pPr>
      <w:r w:rsidRPr="00506C28">
        <w:rPr>
          <w:rStyle w:val="TekstpodstawowyZnak"/>
          <w:rFonts w:ascii="Arial" w:hAnsi="Arial" w:cs="Arial"/>
        </w:rPr>
        <w:t xml:space="preserve"> </w:t>
      </w:r>
      <w:r w:rsidR="005C6EBB" w:rsidRPr="00506C28">
        <w:rPr>
          <w:rStyle w:val="Heading2"/>
          <w:rFonts w:ascii="Arial" w:hAnsi="Arial" w:cs="Arial"/>
        </w:rPr>
        <w:t>Uchylenia</w:t>
      </w:r>
      <w:r w:rsidR="00894B81" w:rsidRPr="00506C28">
        <w:rPr>
          <w:rStyle w:val="Heading2"/>
          <w:rFonts w:ascii="Arial" w:hAnsi="Arial" w:cs="Arial"/>
        </w:rPr>
        <w:t xml:space="preserve"> nie mogą być niezgodne z innymi zobowiązaniami wynikającymi </w:t>
      </w:r>
      <w:r w:rsidR="000E4ED3" w:rsidRPr="00506C28">
        <w:rPr>
          <w:rStyle w:val="Heading2"/>
          <w:rFonts w:ascii="Arial" w:hAnsi="Arial" w:cs="Arial"/>
        </w:rPr>
        <w:br/>
      </w:r>
      <w:r w:rsidR="00894B81" w:rsidRPr="00506C28">
        <w:rPr>
          <w:rStyle w:val="Heading2"/>
          <w:rFonts w:ascii="Arial" w:hAnsi="Arial" w:cs="Arial"/>
        </w:rPr>
        <w:t>z prawa międzynarodowego</w:t>
      </w:r>
    </w:p>
    <w:p w14:paraId="71C7F97F" w14:textId="77777777" w:rsidR="000E4ED3" w:rsidRPr="00506C28" w:rsidRDefault="00894B81" w:rsidP="004E75AD">
      <w:pPr>
        <w:pStyle w:val="Tekstpodstawowy"/>
        <w:spacing w:before="30" w:after="0" w:line="298" w:lineRule="auto"/>
        <w:jc w:val="both"/>
        <w:rPr>
          <w:rStyle w:val="TekstpodstawowyZnak"/>
          <w:rFonts w:ascii="Arial" w:hAnsi="Arial" w:cs="Arial"/>
          <w:color w:val="808080"/>
          <w:sz w:val="15"/>
          <w:szCs w:val="15"/>
        </w:rPr>
      </w:pPr>
      <w:hyperlink r:id="rId60" w:history="1">
        <w:r w:rsidRPr="00506C28">
          <w:rPr>
            <w:rStyle w:val="TekstpodstawowyZnak"/>
            <w:rFonts w:ascii="Arial" w:hAnsi="Arial" w:cs="Arial"/>
            <w:b/>
            <w:bCs/>
            <w:sz w:val="18"/>
            <w:szCs w:val="18"/>
            <w:u w:val="single"/>
          </w:rPr>
          <w:t>Brannigan i McBride przeciwko Zjednoczonemu Królestwu</w:t>
        </w:r>
        <w:r w:rsidRPr="00506C28">
          <w:rPr>
            <w:rStyle w:val="TekstpodstawowyZnak"/>
            <w:rFonts w:ascii="Arial" w:hAnsi="Arial" w:cs="Arial"/>
            <w:b/>
            <w:bCs/>
            <w:sz w:val="18"/>
            <w:szCs w:val="18"/>
          </w:rPr>
          <w:t xml:space="preserve"> </w:t>
        </w:r>
      </w:hyperlink>
      <w:r w:rsidRPr="00506C28">
        <w:rPr>
          <w:rStyle w:val="TekstpodstawowyZnak"/>
          <w:rFonts w:ascii="Arial" w:hAnsi="Arial" w:cs="Arial"/>
          <w:color w:val="808080"/>
          <w:sz w:val="15"/>
          <w:szCs w:val="15"/>
        </w:rPr>
        <w:t xml:space="preserve">(zob. również powyżej, str. 4 i 7) </w:t>
      </w:r>
    </w:p>
    <w:p w14:paraId="0C8299FC" w14:textId="6273065D" w:rsidR="00894B81" w:rsidRPr="00506C28" w:rsidRDefault="00894B81" w:rsidP="004E75AD">
      <w:pPr>
        <w:pStyle w:val="Tekstpodstawowy"/>
        <w:spacing w:before="30" w:after="0" w:line="298" w:lineRule="auto"/>
        <w:jc w:val="both"/>
        <w:rPr>
          <w:rFonts w:ascii="Arial" w:hAnsi="Arial" w:cs="Arial"/>
          <w:sz w:val="17"/>
          <w:szCs w:val="17"/>
        </w:rPr>
      </w:pPr>
      <w:r w:rsidRPr="00506C28">
        <w:rPr>
          <w:rStyle w:val="TekstpodstawowyZnak"/>
          <w:rFonts w:ascii="Arial" w:hAnsi="Arial" w:cs="Arial"/>
          <w:color w:val="808080"/>
          <w:sz w:val="17"/>
          <w:szCs w:val="17"/>
        </w:rPr>
        <w:t>26 maja 1993 r. (wyrok)</w:t>
      </w:r>
    </w:p>
    <w:p w14:paraId="58469629" w14:textId="3C978A24" w:rsidR="00090273" w:rsidRDefault="00894B81" w:rsidP="00241504">
      <w:pPr>
        <w:pStyle w:val="Tekstpodstawowy"/>
        <w:spacing w:before="30" w:after="200"/>
        <w:jc w:val="both"/>
        <w:rPr>
          <w:rStyle w:val="TekstpodstawowyZnak"/>
          <w:rFonts w:ascii="Arial" w:hAnsi="Arial" w:cs="Arial"/>
          <w:color w:val="000000"/>
        </w:rPr>
      </w:pPr>
      <w:r w:rsidRPr="00506C28">
        <w:rPr>
          <w:rStyle w:val="TekstpodstawowyZnak"/>
          <w:rFonts w:ascii="Arial" w:hAnsi="Arial" w:cs="Arial"/>
          <w:color w:val="000000"/>
        </w:rPr>
        <w:t xml:space="preserve">Wnoszący skargę przed Sądem twierdzili, że zgodnie z art. 4 Międzynarodowego paktu praw obywatelskich i politycznych </w:t>
      </w:r>
      <w:r w:rsidR="006E0330" w:rsidRPr="00506C28">
        <w:rPr>
          <w:rStyle w:val="TekstpodstawowyZnak"/>
          <w:rFonts w:ascii="Arial" w:hAnsi="Arial" w:cs="Arial"/>
          <w:color w:val="000000"/>
        </w:rPr>
        <w:t xml:space="preserve">ONZ </w:t>
      </w:r>
      <w:r w:rsidRPr="00506C28">
        <w:rPr>
          <w:rStyle w:val="TekstpodstawowyZnak"/>
          <w:rFonts w:ascii="Arial" w:hAnsi="Arial" w:cs="Arial"/>
          <w:color w:val="000000"/>
        </w:rPr>
        <w:t xml:space="preserve">z 1966 r., którego stroną jest Zjednoczone Królestwo, warunkiem koniecznym dla ważności </w:t>
      </w:r>
      <w:r w:rsidR="005C6EBB" w:rsidRPr="00506C28">
        <w:rPr>
          <w:rStyle w:val="TekstpodstawowyZnak"/>
          <w:rFonts w:ascii="Arial" w:hAnsi="Arial" w:cs="Arial"/>
          <w:color w:val="000000"/>
        </w:rPr>
        <w:t>uchylenia</w:t>
      </w:r>
      <w:r w:rsidRPr="00506C28">
        <w:rPr>
          <w:rStyle w:val="TekstpodstawowyZnak"/>
          <w:rFonts w:ascii="Arial" w:hAnsi="Arial" w:cs="Arial"/>
          <w:color w:val="000000"/>
        </w:rPr>
        <w:t xml:space="preserve"> jest „oficjalne ogłoszenie” stanu wyjątkowego. Ponieważ takie ogłoszenie nigdy nie miało miejsca, </w:t>
      </w:r>
      <w:r w:rsidR="005C6EBB" w:rsidRPr="00506C28">
        <w:rPr>
          <w:rStyle w:val="TekstpodstawowyZnak"/>
          <w:rFonts w:ascii="Arial" w:hAnsi="Arial" w:cs="Arial"/>
          <w:color w:val="000000"/>
        </w:rPr>
        <w:t>uchylenie</w:t>
      </w:r>
      <w:r w:rsidRPr="00506C28">
        <w:rPr>
          <w:rStyle w:val="TekstpodstawowyZnak"/>
          <w:rFonts w:ascii="Arial" w:hAnsi="Arial" w:cs="Arial"/>
          <w:color w:val="000000"/>
        </w:rPr>
        <w:t xml:space="preserve"> </w:t>
      </w:r>
      <w:r w:rsidR="006E0330" w:rsidRPr="00506C28">
        <w:rPr>
          <w:rStyle w:val="TekstpodstawowyZnak"/>
          <w:rFonts w:ascii="Arial" w:hAnsi="Arial" w:cs="Arial"/>
          <w:color w:val="000000"/>
        </w:rPr>
        <w:t xml:space="preserve">to </w:t>
      </w:r>
      <w:r w:rsidRPr="00506C28">
        <w:rPr>
          <w:rStyle w:val="TekstpodstawowyZnak"/>
          <w:rFonts w:ascii="Arial" w:hAnsi="Arial" w:cs="Arial"/>
          <w:color w:val="000000"/>
        </w:rPr>
        <w:t xml:space="preserve">było niezgodne z innymi zobowiązaniami Zjednoczonego Królestwa wynikającymi </w:t>
      </w:r>
      <w:r w:rsidR="00090273">
        <w:rPr>
          <w:rStyle w:val="TekstpodstawowyZnak"/>
          <w:rFonts w:ascii="Arial" w:hAnsi="Arial" w:cs="Arial"/>
          <w:color w:val="000000"/>
        </w:rPr>
        <w:br/>
      </w:r>
      <w:r w:rsidRPr="00506C28">
        <w:rPr>
          <w:rStyle w:val="TekstpodstawowyZnak"/>
          <w:rFonts w:ascii="Arial" w:hAnsi="Arial" w:cs="Arial"/>
          <w:color w:val="000000"/>
        </w:rPr>
        <w:t xml:space="preserve">z prawa międzynarodowego. W ich opinii wymóg ten </w:t>
      </w:r>
      <w:r w:rsidR="005A6A48" w:rsidRPr="00506C28">
        <w:rPr>
          <w:rStyle w:val="TekstpodstawowyZnak"/>
          <w:rFonts w:ascii="Arial" w:hAnsi="Arial" w:cs="Arial"/>
          <w:color w:val="000000"/>
        </w:rPr>
        <w:t xml:space="preserve">dotyczył </w:t>
      </w:r>
      <w:r w:rsidRPr="00506C28">
        <w:rPr>
          <w:rStyle w:val="TekstpodstawowyZnak"/>
          <w:rFonts w:ascii="Arial" w:hAnsi="Arial" w:cs="Arial"/>
          <w:color w:val="000000"/>
        </w:rPr>
        <w:t>formalnego ogłoszenia, a nie jedynie oświadczenia w parlamencie.</w:t>
      </w:r>
    </w:p>
    <w:p w14:paraId="095A0402" w14:textId="219C8EB7" w:rsidR="00894B81" w:rsidRPr="004E75AD" w:rsidRDefault="005A6A48" w:rsidP="004E75AD">
      <w:pPr>
        <w:pStyle w:val="Tekstpodstawowy"/>
        <w:spacing w:before="30" w:after="200"/>
        <w:jc w:val="both"/>
        <w:rPr>
          <w:rFonts w:ascii="Arial" w:hAnsi="Arial" w:cs="Arial"/>
          <w:color w:val="000000"/>
        </w:rPr>
      </w:pPr>
      <w:r w:rsidRPr="00506C28">
        <w:rPr>
          <w:rStyle w:val="TekstpodstawowyZnak"/>
          <w:rFonts w:ascii="Arial" w:hAnsi="Arial" w:cs="Arial"/>
        </w:rPr>
        <w:t xml:space="preserve">Trybunał </w:t>
      </w:r>
      <w:r w:rsidR="00894B81" w:rsidRPr="00506C28">
        <w:rPr>
          <w:rStyle w:val="TekstpodstawowyZnak"/>
          <w:rFonts w:ascii="Arial" w:hAnsi="Arial" w:cs="Arial"/>
        </w:rPr>
        <w:t xml:space="preserve">zauważył, że oświadczenie ministra spraw wewnętrznych z dnia 22 grudnia 1988 r. skierowane do Izby Gmin, które miało charakter formalny i ujawniło zamiary rządu w sprawie </w:t>
      </w:r>
      <w:r w:rsidR="005C6EBB" w:rsidRPr="00506C28">
        <w:rPr>
          <w:rStyle w:val="TekstpodstawowyZnak"/>
          <w:rFonts w:ascii="Arial" w:hAnsi="Arial" w:cs="Arial"/>
        </w:rPr>
        <w:t>uchylenia</w:t>
      </w:r>
      <w:r w:rsidR="00894B81" w:rsidRPr="00506C28">
        <w:rPr>
          <w:rStyle w:val="TekstpodstawowyZnak"/>
          <w:rFonts w:ascii="Arial" w:hAnsi="Arial" w:cs="Arial"/>
        </w:rPr>
        <w:t xml:space="preserve">, było zgodne </w:t>
      </w:r>
      <w:r w:rsidR="00090273">
        <w:rPr>
          <w:rStyle w:val="TekstpodstawowyZnak"/>
          <w:rFonts w:ascii="Arial" w:hAnsi="Arial" w:cs="Arial"/>
        </w:rPr>
        <w:br/>
      </w:r>
      <w:r w:rsidR="00894B81" w:rsidRPr="00506C28">
        <w:rPr>
          <w:rStyle w:val="TekstpodstawowyZnak"/>
          <w:rFonts w:ascii="Arial" w:hAnsi="Arial" w:cs="Arial"/>
        </w:rPr>
        <w:t xml:space="preserve">z pojęciem oficjalnego ogłoszenia. W oświadczeniu tym minister wyjaśnił szczegółowo powody decyzji rządu o </w:t>
      </w:r>
      <w:r w:rsidRPr="00506C28">
        <w:rPr>
          <w:rStyle w:val="TekstpodstawowyZnak"/>
          <w:rFonts w:ascii="Arial" w:hAnsi="Arial" w:cs="Arial"/>
        </w:rPr>
        <w:t xml:space="preserve">uchyleniu </w:t>
      </w:r>
      <w:r w:rsidR="00894B81" w:rsidRPr="00506C28">
        <w:rPr>
          <w:rStyle w:val="TekstpodstawowyZnak"/>
          <w:rFonts w:ascii="Arial" w:hAnsi="Arial" w:cs="Arial"/>
        </w:rPr>
        <w:t xml:space="preserve">i poinformował, że podjęto kroki w celu powiadomienia o </w:t>
      </w:r>
      <w:r w:rsidRPr="00506C28">
        <w:rPr>
          <w:rStyle w:val="TekstpodstawowyZnak"/>
          <w:rFonts w:ascii="Arial" w:hAnsi="Arial" w:cs="Arial"/>
        </w:rPr>
        <w:t xml:space="preserve">nim </w:t>
      </w:r>
      <w:r w:rsidR="00894B81" w:rsidRPr="00506C28">
        <w:rPr>
          <w:rStyle w:val="TekstpodstawowyZnak"/>
          <w:rFonts w:ascii="Arial" w:hAnsi="Arial" w:cs="Arial"/>
        </w:rPr>
        <w:t xml:space="preserve">zarówno na podstawie art. 15 </w:t>
      </w:r>
      <w:r w:rsidR="00202DF8" w:rsidRPr="00506C28">
        <w:rPr>
          <w:rStyle w:val="TekstpodstawowyZnak"/>
          <w:rFonts w:ascii="Arial" w:hAnsi="Arial" w:cs="Arial"/>
        </w:rPr>
        <w:t>E</w:t>
      </w:r>
      <w:r w:rsidR="00894B81" w:rsidRPr="00506C28">
        <w:rPr>
          <w:rStyle w:val="TekstpodstawowyZnak"/>
          <w:rFonts w:ascii="Arial" w:hAnsi="Arial" w:cs="Arial"/>
        </w:rPr>
        <w:t xml:space="preserve">uropejskiej konwencji, jak i art. 4 Międzynarodowego paktu praw obywatelskich i politycznych. Trybunał uznał zatem pogląd skarżących za bezzasadny w tej kwestii i stwierdził, że </w:t>
      </w:r>
      <w:r w:rsidR="00894B81" w:rsidRPr="00506C28">
        <w:rPr>
          <w:rStyle w:val="TekstpodstawowyZnak"/>
          <w:rFonts w:ascii="Arial" w:hAnsi="Arial" w:cs="Arial"/>
          <w:b/>
          <w:bCs/>
        </w:rPr>
        <w:t>nie doszło</w:t>
      </w:r>
      <w:r w:rsidR="00894B81" w:rsidRPr="00506C28">
        <w:rPr>
          <w:rStyle w:val="TekstpodstawowyZnak"/>
          <w:rFonts w:ascii="Arial" w:hAnsi="Arial" w:cs="Arial"/>
        </w:rPr>
        <w:t xml:space="preserve"> </w:t>
      </w:r>
      <w:r w:rsidR="00894B81" w:rsidRPr="00506C28">
        <w:rPr>
          <w:rStyle w:val="TekstpodstawowyZnak"/>
          <w:rFonts w:ascii="Arial" w:hAnsi="Arial" w:cs="Arial"/>
          <w:b/>
          <w:bCs/>
        </w:rPr>
        <w:t xml:space="preserve">do naruszenia art. 5 § 3 </w:t>
      </w:r>
      <w:r w:rsidR="00894B81" w:rsidRPr="004E75AD">
        <w:rPr>
          <w:rStyle w:val="TekstpodstawowyZnak"/>
          <w:rFonts w:ascii="Arial" w:hAnsi="Arial" w:cs="Arial"/>
        </w:rPr>
        <w:t>(prawo</w:t>
      </w:r>
      <w:r w:rsidR="00894B81" w:rsidRPr="00506C28">
        <w:rPr>
          <w:rStyle w:val="TekstpodstawowyZnak"/>
          <w:rFonts w:ascii="Arial" w:hAnsi="Arial" w:cs="Arial"/>
        </w:rPr>
        <w:t xml:space="preserve"> do wolności i bezpieczeństwa</w:t>
      </w:r>
      <w:r w:rsidRPr="00506C28">
        <w:rPr>
          <w:rStyle w:val="TekstpodstawowyZnak"/>
          <w:rFonts w:ascii="Arial" w:hAnsi="Arial" w:cs="Arial"/>
        </w:rPr>
        <w:t xml:space="preserve"> osobistego</w:t>
      </w:r>
      <w:r w:rsidR="00894B81" w:rsidRPr="00506C28">
        <w:rPr>
          <w:rStyle w:val="TekstpodstawowyZnak"/>
          <w:rFonts w:ascii="Arial" w:hAnsi="Arial" w:cs="Arial"/>
        </w:rPr>
        <w:t>) Konwencji.</w:t>
      </w:r>
    </w:p>
    <w:p w14:paraId="0837BF4E" w14:textId="77777777" w:rsidR="00782109" w:rsidRPr="00506C28" w:rsidRDefault="00782109" w:rsidP="004E75AD">
      <w:pPr>
        <w:pStyle w:val="Tekstpodstawowy"/>
        <w:spacing w:before="30"/>
        <w:jc w:val="both"/>
        <w:rPr>
          <w:rFonts w:ascii="Arial" w:hAnsi="Arial" w:cs="Arial"/>
        </w:rPr>
      </w:pPr>
    </w:p>
    <w:p w14:paraId="2BC44397" w14:textId="77777777" w:rsidR="000E4ED3" w:rsidRPr="00506C28" w:rsidRDefault="000E4ED3" w:rsidP="004E75AD">
      <w:pPr>
        <w:pStyle w:val="Heading20"/>
        <w:keepNext/>
        <w:keepLines/>
        <w:spacing w:before="30" w:after="200"/>
        <w:jc w:val="both"/>
        <w:rPr>
          <w:rFonts w:ascii="Arial" w:hAnsi="Arial" w:cs="Arial"/>
        </w:rPr>
      </w:pPr>
      <w:r w:rsidRPr="00506C28">
        <w:rPr>
          <w:rStyle w:val="Heading2"/>
          <w:rFonts w:ascii="Arial" w:hAnsi="Arial" w:cs="Arial"/>
          <w:color w:val="0071BB"/>
        </w:rPr>
        <w:t>Wymogi proceduralne</w:t>
      </w:r>
    </w:p>
    <w:p w14:paraId="2361C64F" w14:textId="1DEC970B" w:rsidR="000E4ED3" w:rsidRPr="00506C28" w:rsidRDefault="000E4ED3" w:rsidP="004E75AD">
      <w:pPr>
        <w:pStyle w:val="Tekstpodstawowy"/>
        <w:spacing w:before="30" w:after="300"/>
        <w:jc w:val="both"/>
        <w:rPr>
          <w:rStyle w:val="TekstpodstawowyZnak"/>
          <w:rFonts w:ascii="Arial" w:hAnsi="Arial" w:cs="Arial"/>
        </w:rPr>
      </w:pPr>
      <w:r w:rsidRPr="00506C28">
        <w:rPr>
          <w:rStyle w:val="TekstpodstawowyZnak"/>
          <w:rFonts w:ascii="Arial" w:hAnsi="Arial" w:cs="Arial"/>
          <w:color w:val="404040"/>
        </w:rPr>
        <w:t xml:space="preserve">Na poziomie proceduralnym, w kontekście art. 15 § 3 Europejskiej </w:t>
      </w:r>
      <w:r w:rsidR="00202DF8" w:rsidRPr="00506C28">
        <w:rPr>
          <w:rStyle w:val="TekstpodstawowyZnak"/>
          <w:rFonts w:ascii="Arial" w:hAnsi="Arial" w:cs="Arial"/>
          <w:color w:val="404040"/>
        </w:rPr>
        <w:t>k</w:t>
      </w:r>
      <w:r w:rsidRPr="00506C28">
        <w:rPr>
          <w:rStyle w:val="TekstpodstawowyZnak"/>
          <w:rFonts w:ascii="Arial" w:hAnsi="Arial" w:cs="Arial"/>
          <w:color w:val="404040"/>
        </w:rPr>
        <w:t xml:space="preserve">onwencji </w:t>
      </w:r>
      <w:r w:rsidR="00202DF8" w:rsidRPr="00506C28">
        <w:rPr>
          <w:rStyle w:val="TekstpodstawowyZnak"/>
          <w:rFonts w:ascii="Arial" w:hAnsi="Arial" w:cs="Arial"/>
          <w:color w:val="404040"/>
        </w:rPr>
        <w:t>p</w:t>
      </w:r>
      <w:r w:rsidRPr="00506C28">
        <w:rPr>
          <w:rStyle w:val="TekstpodstawowyZnak"/>
          <w:rFonts w:ascii="Arial" w:hAnsi="Arial" w:cs="Arial"/>
          <w:color w:val="404040"/>
        </w:rPr>
        <w:t xml:space="preserve">raw </w:t>
      </w:r>
      <w:r w:rsidR="00202DF8" w:rsidRPr="00506C28">
        <w:rPr>
          <w:rStyle w:val="TekstpodstawowyZnak"/>
          <w:rFonts w:ascii="Arial" w:hAnsi="Arial" w:cs="Arial"/>
          <w:color w:val="404040"/>
        </w:rPr>
        <w:t>c</w:t>
      </w:r>
      <w:r w:rsidRPr="00506C28">
        <w:rPr>
          <w:rStyle w:val="TekstpodstawowyZnak"/>
          <w:rFonts w:ascii="Arial" w:hAnsi="Arial" w:cs="Arial"/>
          <w:color w:val="404040"/>
        </w:rPr>
        <w:t>złowieka, państwo korzystające z prawa do uchylenia ma obowiązek powiadomić Sekretarza Generalnego Rady Europy. Powiadomienie takie musi zawierać informacje o podjętych środkach, przyczynach ich podjęcia oraz dacie, z którą przestają one obowiązywać.</w:t>
      </w:r>
    </w:p>
    <w:p w14:paraId="73AE909E" w14:textId="77777777" w:rsidR="006B2744" w:rsidRPr="00506C28" w:rsidRDefault="006B2744" w:rsidP="004E75AD">
      <w:pPr>
        <w:pStyle w:val="Heading20"/>
        <w:keepNext/>
        <w:keepLines/>
        <w:spacing w:before="30" w:after="200"/>
        <w:jc w:val="both"/>
        <w:rPr>
          <w:rStyle w:val="TekstpodstawowyZnak"/>
          <w:rFonts w:ascii="Arial" w:hAnsi="Arial" w:cs="Arial"/>
        </w:rPr>
      </w:pPr>
    </w:p>
    <w:p w14:paraId="0FC95AAA" w14:textId="5DB68A52" w:rsidR="00782109" w:rsidRPr="00506C28" w:rsidRDefault="009130BA" w:rsidP="004E75AD">
      <w:pPr>
        <w:pStyle w:val="Heading20"/>
        <w:keepNext/>
        <w:keepLines/>
        <w:spacing w:before="30"/>
        <w:jc w:val="both"/>
        <w:rPr>
          <w:rFonts w:ascii="Arial" w:hAnsi="Arial" w:cs="Arial"/>
        </w:rPr>
      </w:pPr>
      <w:bookmarkStart w:id="35" w:name="bookmark46"/>
      <w:bookmarkStart w:id="36" w:name="_Hlk206494673"/>
      <w:r w:rsidRPr="00506C28">
        <w:rPr>
          <w:rStyle w:val="Heading2"/>
          <w:rFonts w:ascii="Arial" w:hAnsi="Arial" w:cs="Arial"/>
        </w:rPr>
        <w:t xml:space="preserve">Niezastosowanie art. 15 Konwencji w przypadku braku formalnego </w:t>
      </w:r>
      <w:r w:rsidR="00090273">
        <w:rPr>
          <w:rStyle w:val="Heading2"/>
          <w:rFonts w:ascii="Arial" w:hAnsi="Arial" w:cs="Arial"/>
        </w:rPr>
        <w:br/>
      </w:r>
      <w:r w:rsidRPr="00506C28">
        <w:rPr>
          <w:rStyle w:val="Heading2"/>
          <w:rFonts w:ascii="Arial" w:hAnsi="Arial" w:cs="Arial"/>
        </w:rPr>
        <w:t>i publicznego zawiadomienia o odstępstwie</w:t>
      </w:r>
      <w:bookmarkEnd w:id="35"/>
    </w:p>
    <w:p w14:paraId="3AA7F078" w14:textId="18220A30" w:rsidR="00782109" w:rsidRPr="00506C28" w:rsidRDefault="00782109" w:rsidP="004E75AD">
      <w:pPr>
        <w:pStyle w:val="Heading30"/>
        <w:keepNext/>
        <w:keepLines/>
        <w:spacing w:before="30" w:after="0"/>
        <w:jc w:val="both"/>
        <w:rPr>
          <w:rFonts w:ascii="Arial" w:hAnsi="Arial" w:cs="Arial"/>
        </w:rPr>
      </w:pPr>
      <w:hyperlink r:id="rId61" w:history="1">
        <w:bookmarkStart w:id="37" w:name="bookmark48"/>
        <w:r w:rsidRPr="00506C28">
          <w:rPr>
            <w:rStyle w:val="Heading3"/>
            <w:rFonts w:ascii="Arial" w:hAnsi="Arial" w:cs="Arial"/>
            <w:b/>
            <w:bCs/>
          </w:rPr>
          <w:t>Cypr przeciwko Turcji</w:t>
        </w:r>
        <w:bookmarkEnd w:id="37"/>
      </w:hyperlink>
    </w:p>
    <w:p w14:paraId="57C0F4B9"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4 października 1983 r. (sprawozdanie Europejskiej Komisji Praw Człowieka</w:t>
      </w:r>
      <w:hyperlink w:anchor="bookmark19" w:tooltip="Current Document">
        <w:r w:rsidR="00782109" w:rsidRPr="00506C28">
          <w:rPr>
            <w:rStyle w:val="Bodytext3"/>
            <w:rFonts w:ascii="Arial" w:hAnsi="Arial" w:cs="Arial"/>
            <w:vertAlign w:val="superscript"/>
          </w:rPr>
          <w:footnoteReference w:id="16"/>
        </w:r>
      </w:hyperlink>
      <w:r w:rsidRPr="00506C28">
        <w:rPr>
          <w:rStyle w:val="Bodytext3"/>
          <w:rFonts w:ascii="Arial" w:hAnsi="Arial" w:cs="Arial"/>
        </w:rPr>
        <w:t xml:space="preserve"> )</w:t>
      </w:r>
    </w:p>
    <w:p w14:paraId="207941D7" w14:textId="68FBA908"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color w:val="000000"/>
        </w:rPr>
        <w:t xml:space="preserve">Sprawa dotyczyła sytuacji panującej w północnej części Cypru od czasu przeprowadzenia przez Turcję operacji wojskowych w tym regionie w lipcu i sierpniu 1974 r. Rząd cypryjski twierdził, że Turcja nadal okupuje 40% terytorium Republiki Cypryjskiej i zarzucał Turcji naruszenie niektórych postanowień </w:t>
      </w:r>
      <w:r w:rsidR="0065342B" w:rsidRPr="00506C28">
        <w:rPr>
          <w:rStyle w:val="TekstpodstawowyZnak"/>
          <w:rFonts w:ascii="Arial" w:hAnsi="Arial" w:cs="Arial"/>
          <w:color w:val="000000"/>
        </w:rPr>
        <w:t>K</w:t>
      </w:r>
      <w:r w:rsidRPr="00506C28">
        <w:rPr>
          <w:rStyle w:val="TekstpodstawowyZnak"/>
          <w:rFonts w:ascii="Arial" w:hAnsi="Arial" w:cs="Arial"/>
          <w:color w:val="000000"/>
        </w:rPr>
        <w:t>onwencji.</w:t>
      </w:r>
    </w:p>
    <w:p w14:paraId="66DF8668" w14:textId="56291565" w:rsidR="00782109" w:rsidRPr="00506C28" w:rsidRDefault="009130BA" w:rsidP="004E75AD">
      <w:pPr>
        <w:pStyle w:val="Tekstpodstawowy"/>
        <w:spacing w:before="30" w:after="140"/>
        <w:jc w:val="both"/>
        <w:rPr>
          <w:rFonts w:ascii="Arial" w:hAnsi="Arial" w:cs="Arial"/>
        </w:rPr>
      </w:pPr>
      <w:r w:rsidRPr="00506C28">
        <w:rPr>
          <w:rStyle w:val="TekstpodstawowyZnak"/>
          <w:rFonts w:ascii="Arial" w:hAnsi="Arial" w:cs="Arial"/>
        </w:rPr>
        <w:t xml:space="preserve">Komisja potwierdziła ustalenia, które poczyniła w poprzedniej sprawie </w:t>
      </w:r>
      <w:r w:rsidRPr="00506C28">
        <w:rPr>
          <w:rStyle w:val="TekstpodstawowyZnak"/>
          <w:rFonts w:ascii="Arial" w:hAnsi="Arial" w:cs="Arial"/>
          <w:i/>
          <w:iCs/>
        </w:rPr>
        <w:t>Cypr przeciwko Turcji</w:t>
      </w:r>
      <w:r w:rsidRPr="00506C28">
        <w:rPr>
          <w:rStyle w:val="TekstpodstawowyZnak"/>
          <w:rFonts w:ascii="Arial" w:hAnsi="Arial" w:cs="Arial"/>
        </w:rPr>
        <w:t xml:space="preserve">, a mianowicie, że </w:t>
      </w:r>
      <w:r w:rsidRPr="00506C28">
        <w:rPr>
          <w:rStyle w:val="TekstpodstawowyZnak"/>
          <w:rFonts w:ascii="Arial" w:hAnsi="Arial" w:cs="Arial"/>
          <w:b/>
          <w:bCs/>
        </w:rPr>
        <w:t xml:space="preserve">w związku z brakiem oficjalnego i publicznego ogłoszenia </w:t>
      </w:r>
      <w:r w:rsidR="005C6EBB" w:rsidRPr="00506C28">
        <w:rPr>
          <w:rStyle w:val="TekstpodstawowyZnak"/>
          <w:rFonts w:ascii="Arial" w:hAnsi="Arial" w:cs="Arial"/>
          <w:b/>
          <w:bCs/>
        </w:rPr>
        <w:t>uchylenia</w:t>
      </w:r>
      <w:r w:rsidRPr="00506C28">
        <w:rPr>
          <w:rStyle w:val="TekstpodstawowyZnak"/>
          <w:rFonts w:ascii="Arial" w:hAnsi="Arial" w:cs="Arial"/>
          <w:b/>
          <w:bCs/>
        </w:rPr>
        <w:t xml:space="preserve"> </w:t>
      </w:r>
      <w:r w:rsidRPr="00506C28">
        <w:rPr>
          <w:rStyle w:val="TekstpodstawowyZnak"/>
          <w:rFonts w:ascii="Arial" w:hAnsi="Arial" w:cs="Arial"/>
        </w:rPr>
        <w:t xml:space="preserve">przez Turcję </w:t>
      </w:r>
      <w:r w:rsidRPr="00506C28">
        <w:rPr>
          <w:rStyle w:val="TekstpodstawowyZnak"/>
          <w:rFonts w:ascii="Arial" w:hAnsi="Arial" w:cs="Arial"/>
          <w:b/>
          <w:bCs/>
        </w:rPr>
        <w:t xml:space="preserve">nie może zastosować art. 15 </w:t>
      </w:r>
      <w:r w:rsidRPr="00506C28">
        <w:rPr>
          <w:rStyle w:val="TekstpodstawowyZnak"/>
          <w:rFonts w:ascii="Arial" w:hAnsi="Arial" w:cs="Arial"/>
        </w:rPr>
        <w:t xml:space="preserve">Konwencji </w:t>
      </w:r>
      <w:r w:rsidRPr="00506C28">
        <w:rPr>
          <w:rStyle w:val="TekstpodstawowyZnak"/>
          <w:rFonts w:ascii="Arial" w:hAnsi="Arial" w:cs="Arial"/>
          <w:b/>
          <w:bCs/>
        </w:rPr>
        <w:t xml:space="preserve">do środków podjętych przez Turcję </w:t>
      </w:r>
      <w:r w:rsidRPr="00506C28">
        <w:rPr>
          <w:rStyle w:val="TekstpodstawowyZnak"/>
          <w:rFonts w:ascii="Arial" w:hAnsi="Arial" w:cs="Arial"/>
        </w:rPr>
        <w:t xml:space="preserve">w odniesieniu do osób lub mienia na Cyprze Północnym. Po zgłoszeniu zastrzeżenia, że </w:t>
      </w:r>
      <w:r w:rsidRPr="00506C28">
        <w:rPr>
          <w:rStyle w:val="TekstpodstawowyZnak"/>
          <w:rFonts w:ascii="Arial" w:hAnsi="Arial" w:cs="Arial"/>
          <w:b/>
          <w:bCs/>
        </w:rPr>
        <w:t xml:space="preserve">art. 15 nie </w:t>
      </w:r>
      <w:r w:rsidRPr="00506C28">
        <w:rPr>
          <w:rStyle w:val="TekstpodstawowyZnak"/>
          <w:rFonts w:ascii="Arial" w:hAnsi="Arial" w:cs="Arial"/>
        </w:rPr>
        <w:t xml:space="preserve">ma </w:t>
      </w:r>
      <w:r w:rsidRPr="00506C28">
        <w:rPr>
          <w:rStyle w:val="TekstpodstawowyZnak"/>
          <w:rFonts w:ascii="Arial" w:hAnsi="Arial" w:cs="Arial"/>
          <w:b/>
          <w:bCs/>
        </w:rPr>
        <w:t xml:space="preserve">zastosowania </w:t>
      </w:r>
      <w:r w:rsidRPr="00506C28">
        <w:rPr>
          <w:rStyle w:val="TekstpodstawowyZnak"/>
          <w:rFonts w:ascii="Arial" w:hAnsi="Arial" w:cs="Arial"/>
        </w:rPr>
        <w:t xml:space="preserve">w niniejszej sprawie, Komisja stwierdziła, że Turcja naruszyła art. 5 </w:t>
      </w:r>
      <w:r w:rsidR="00193C6F" w:rsidRPr="00506C28">
        <w:rPr>
          <w:rStyle w:val="TekstpodstawowyZnak"/>
          <w:rFonts w:ascii="Arial" w:hAnsi="Arial" w:cs="Arial"/>
        </w:rPr>
        <w:t>(prawo</w:t>
      </w:r>
      <w:r w:rsidRPr="00506C28">
        <w:rPr>
          <w:rStyle w:val="TekstpodstawowyZnak"/>
          <w:rFonts w:ascii="Arial" w:hAnsi="Arial" w:cs="Arial"/>
        </w:rPr>
        <w:t xml:space="preserve"> do wolności i bezpieczeństwa</w:t>
      </w:r>
      <w:r w:rsidR="00C0667C" w:rsidRPr="00506C28">
        <w:rPr>
          <w:rStyle w:val="TekstpodstawowyZnak"/>
          <w:rFonts w:ascii="Arial" w:hAnsi="Arial" w:cs="Arial"/>
        </w:rPr>
        <w:t xml:space="preserve"> osobistego</w:t>
      </w:r>
      <w:r w:rsidRPr="00506C28">
        <w:rPr>
          <w:rStyle w:val="TekstpodstawowyZnak"/>
          <w:rFonts w:ascii="Arial" w:hAnsi="Arial" w:cs="Arial"/>
        </w:rPr>
        <w:t>) i art. 8 (</w:t>
      </w:r>
      <w:r w:rsidR="00193C6F" w:rsidRPr="00506C28">
        <w:rPr>
          <w:rStyle w:val="TekstpodstawowyZnak"/>
          <w:rFonts w:ascii="Arial" w:hAnsi="Arial" w:cs="Arial"/>
        </w:rPr>
        <w:t>prawo</w:t>
      </w:r>
      <w:r w:rsidR="00894B81" w:rsidRPr="00506C28">
        <w:rPr>
          <w:rStyle w:val="TekstpodstawowyZnak"/>
          <w:rFonts w:ascii="Arial" w:hAnsi="Arial" w:cs="Arial"/>
        </w:rPr>
        <w:t xml:space="preserve"> </w:t>
      </w:r>
      <w:r w:rsidRPr="00506C28">
        <w:rPr>
          <w:rStyle w:val="TekstpodstawowyZnak"/>
          <w:rFonts w:ascii="Arial" w:hAnsi="Arial" w:cs="Arial"/>
        </w:rPr>
        <w:t>do poszanowania życia prywatnego i rodzinnego) Konwencji wraz z art. 1 (ochrona własności) protokołu nr 1 do Konwencji.</w:t>
      </w:r>
    </w:p>
    <w:p w14:paraId="755DCC08" w14:textId="77777777" w:rsidR="00782109" w:rsidRPr="00506C28" w:rsidRDefault="009130BA" w:rsidP="004E75AD">
      <w:pPr>
        <w:pStyle w:val="Heading20"/>
        <w:keepNext/>
        <w:keepLines/>
        <w:spacing w:before="30" w:after="60"/>
        <w:jc w:val="both"/>
        <w:rPr>
          <w:rFonts w:ascii="Arial" w:hAnsi="Arial" w:cs="Arial"/>
        </w:rPr>
      </w:pPr>
      <w:bookmarkStart w:id="39" w:name="bookmark50"/>
      <w:bookmarkEnd w:id="36"/>
      <w:r w:rsidRPr="00506C28">
        <w:rPr>
          <w:rStyle w:val="Heading2"/>
          <w:rFonts w:ascii="Arial" w:hAnsi="Arial" w:cs="Arial"/>
        </w:rPr>
        <w:t>Informacje na temat podjętych środków i podanych powodów</w:t>
      </w:r>
      <w:bookmarkEnd w:id="39"/>
    </w:p>
    <w:p w14:paraId="2A6938A2" w14:textId="77777777" w:rsidR="00782109" w:rsidRPr="00506C28" w:rsidRDefault="00782109" w:rsidP="004E75AD">
      <w:pPr>
        <w:pStyle w:val="Heading30"/>
        <w:keepNext/>
        <w:keepLines/>
        <w:spacing w:before="30" w:after="60"/>
        <w:jc w:val="both"/>
        <w:rPr>
          <w:rFonts w:ascii="Arial" w:hAnsi="Arial" w:cs="Arial"/>
        </w:rPr>
      </w:pPr>
      <w:hyperlink r:id="rId62" w:history="1">
        <w:bookmarkStart w:id="40" w:name="bookmark52"/>
        <w:r w:rsidRPr="00506C28">
          <w:rPr>
            <w:rStyle w:val="Heading3"/>
            <w:rFonts w:ascii="Arial" w:hAnsi="Arial" w:cs="Arial"/>
            <w:b/>
            <w:bCs/>
          </w:rPr>
          <w:t>Grecja przeciwko Zjednoczonemu Królestwu</w:t>
        </w:r>
        <w:bookmarkEnd w:id="40"/>
      </w:hyperlink>
    </w:p>
    <w:p w14:paraId="21AE5DB8"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26 września 1958 r. (sprawozdanie Europejskiej Komisji Praw Człowieka</w:t>
      </w:r>
      <w:hyperlink w:anchor="bookmark20" w:tooltip="Current Document">
        <w:r w:rsidR="00782109" w:rsidRPr="00506C28">
          <w:rPr>
            <w:rStyle w:val="Bodytext3"/>
            <w:rFonts w:ascii="Arial" w:hAnsi="Arial" w:cs="Arial"/>
            <w:vertAlign w:val="superscript"/>
          </w:rPr>
          <w:footnoteReference w:id="17"/>
        </w:r>
      </w:hyperlink>
      <w:r w:rsidRPr="00506C28">
        <w:rPr>
          <w:rStyle w:val="Bodytext3"/>
          <w:rFonts w:ascii="Arial" w:hAnsi="Arial" w:cs="Arial"/>
        </w:rPr>
        <w:t xml:space="preserve"> )</w:t>
      </w:r>
    </w:p>
    <w:p w14:paraId="394E1E88" w14:textId="0ED08747"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color w:val="000000"/>
        </w:rPr>
        <w:t xml:space="preserve">W latach 1955–1957 na Cyprze, który wówczas był kolonią brytyjską, doszło do napięć, w szczególności </w:t>
      </w:r>
      <w:r w:rsidR="00090273">
        <w:rPr>
          <w:rStyle w:val="TekstpodstawowyZnak"/>
          <w:rFonts w:ascii="Arial" w:hAnsi="Arial" w:cs="Arial"/>
          <w:color w:val="000000"/>
        </w:rPr>
        <w:br/>
      </w:r>
      <w:r w:rsidRPr="00506C28">
        <w:rPr>
          <w:rStyle w:val="TekstpodstawowyZnak"/>
          <w:rFonts w:ascii="Arial" w:hAnsi="Arial" w:cs="Arial"/>
          <w:color w:val="000000"/>
        </w:rPr>
        <w:t xml:space="preserve">w związku z protestami domagającymi się niepodległości oraz pogorszeniem stosunków między społecznością grecką a mniejszością turecką. W tej sytuacji rząd brytyjski przyjął w 1955 r. środki stanowiące </w:t>
      </w:r>
      <w:r w:rsidR="005C6EBB" w:rsidRPr="00506C28">
        <w:rPr>
          <w:rStyle w:val="TekstpodstawowyZnak"/>
          <w:rFonts w:ascii="Arial" w:hAnsi="Arial" w:cs="Arial"/>
          <w:color w:val="000000"/>
        </w:rPr>
        <w:t>uchylenie</w:t>
      </w:r>
      <w:r w:rsidRPr="00506C28">
        <w:rPr>
          <w:rStyle w:val="TekstpodstawowyZnak"/>
          <w:rFonts w:ascii="Arial" w:hAnsi="Arial" w:cs="Arial"/>
          <w:color w:val="000000"/>
        </w:rPr>
        <w:t xml:space="preserve"> od art. 15 </w:t>
      </w:r>
      <w:r w:rsidR="0065342B" w:rsidRPr="00506C28">
        <w:rPr>
          <w:rStyle w:val="TekstpodstawowyZnak"/>
          <w:rFonts w:ascii="Arial" w:hAnsi="Arial" w:cs="Arial"/>
          <w:color w:val="000000"/>
        </w:rPr>
        <w:t>K</w:t>
      </w:r>
      <w:r w:rsidRPr="00506C28">
        <w:rPr>
          <w:rStyle w:val="TekstpodstawowyZnak"/>
          <w:rFonts w:ascii="Arial" w:hAnsi="Arial" w:cs="Arial"/>
          <w:color w:val="000000"/>
        </w:rPr>
        <w:t xml:space="preserve">onwencji. </w:t>
      </w:r>
      <w:r w:rsidR="000A31C1" w:rsidRPr="00506C28">
        <w:rPr>
          <w:rStyle w:val="TekstpodstawowyZnak"/>
          <w:rFonts w:ascii="Arial" w:hAnsi="Arial" w:cs="Arial"/>
          <w:color w:val="000000"/>
        </w:rPr>
        <w:t>Zakomunikował powyższe</w:t>
      </w:r>
      <w:r w:rsidRPr="00506C28">
        <w:rPr>
          <w:rStyle w:val="TekstpodstawowyZnak"/>
          <w:rFonts w:ascii="Arial" w:hAnsi="Arial" w:cs="Arial"/>
          <w:color w:val="000000"/>
        </w:rPr>
        <w:t xml:space="preserve"> </w:t>
      </w:r>
      <w:r w:rsidR="007646B7" w:rsidRPr="00506C28">
        <w:rPr>
          <w:rStyle w:val="TekstpodstawowyZnak"/>
          <w:rFonts w:ascii="Arial" w:hAnsi="Arial" w:cs="Arial"/>
          <w:color w:val="000000"/>
        </w:rPr>
        <w:t>Sekretarz</w:t>
      </w:r>
      <w:r w:rsidR="000A31C1" w:rsidRPr="00506C28">
        <w:rPr>
          <w:rStyle w:val="TekstpodstawowyZnak"/>
          <w:rFonts w:ascii="Arial" w:hAnsi="Arial" w:cs="Arial"/>
          <w:color w:val="000000"/>
        </w:rPr>
        <w:t>owi</w:t>
      </w:r>
      <w:r w:rsidR="007646B7" w:rsidRPr="00506C28">
        <w:rPr>
          <w:rStyle w:val="TekstpodstawowyZnak"/>
          <w:rFonts w:ascii="Arial" w:hAnsi="Arial" w:cs="Arial"/>
          <w:color w:val="000000"/>
        </w:rPr>
        <w:t xml:space="preserve"> Generalne</w:t>
      </w:r>
      <w:r w:rsidR="000A31C1" w:rsidRPr="00506C28">
        <w:rPr>
          <w:rStyle w:val="TekstpodstawowyZnak"/>
          <w:rFonts w:ascii="Arial" w:hAnsi="Arial" w:cs="Arial"/>
          <w:color w:val="000000"/>
        </w:rPr>
        <w:t>mu</w:t>
      </w:r>
      <w:r w:rsidR="007646B7" w:rsidRPr="00506C28">
        <w:rPr>
          <w:rStyle w:val="TekstpodstawowyZnak"/>
          <w:rFonts w:ascii="Arial" w:hAnsi="Arial" w:cs="Arial"/>
          <w:color w:val="000000"/>
        </w:rPr>
        <w:t xml:space="preserve"> </w:t>
      </w:r>
      <w:r w:rsidRPr="00506C28">
        <w:rPr>
          <w:rStyle w:val="TekstpodstawowyZnak"/>
          <w:rFonts w:ascii="Arial" w:hAnsi="Arial" w:cs="Arial"/>
          <w:color w:val="000000"/>
        </w:rPr>
        <w:t xml:space="preserve">Rady Europy </w:t>
      </w:r>
      <w:r w:rsidR="00090273">
        <w:rPr>
          <w:rStyle w:val="TekstpodstawowyZnak"/>
          <w:rFonts w:ascii="Arial" w:hAnsi="Arial" w:cs="Arial"/>
          <w:color w:val="000000"/>
        </w:rPr>
        <w:br/>
      </w:r>
      <w:r w:rsidRPr="00506C28">
        <w:rPr>
          <w:rStyle w:val="TekstpodstawowyZnak"/>
          <w:rFonts w:ascii="Arial" w:hAnsi="Arial" w:cs="Arial"/>
          <w:color w:val="000000"/>
        </w:rPr>
        <w:t xml:space="preserve">w październiku 1955 r., nie podając jednak żadnych informacji na temat tych środków ani powodów ich podjęcia. Rząd grecki, który następnie skarżył się na naruszenie </w:t>
      </w:r>
      <w:r w:rsidR="0065342B" w:rsidRPr="00506C28">
        <w:rPr>
          <w:rStyle w:val="TekstpodstawowyZnak"/>
          <w:rFonts w:ascii="Arial" w:hAnsi="Arial" w:cs="Arial"/>
          <w:color w:val="000000"/>
        </w:rPr>
        <w:t>K</w:t>
      </w:r>
      <w:r w:rsidRPr="00506C28">
        <w:rPr>
          <w:rStyle w:val="TekstpodstawowyZnak"/>
          <w:rFonts w:ascii="Arial" w:hAnsi="Arial" w:cs="Arial"/>
          <w:color w:val="000000"/>
        </w:rPr>
        <w:t>onwencji przez rząd brytyjski i cypryjskie władze administracyjne, obarczając ten pierwszy odpowiedzialnością za działania</w:t>
      </w:r>
      <w:r w:rsidR="003028E8" w:rsidRPr="00506C28">
        <w:rPr>
          <w:rStyle w:val="TekstpodstawowyZnak"/>
          <w:rFonts w:ascii="Arial" w:hAnsi="Arial" w:cs="Arial"/>
          <w:color w:val="000000"/>
        </w:rPr>
        <w:t xml:space="preserve"> władz cypryjskich</w:t>
      </w:r>
      <w:r w:rsidRPr="00506C28">
        <w:rPr>
          <w:rStyle w:val="TekstpodstawowyZnak"/>
          <w:rFonts w:ascii="Arial" w:hAnsi="Arial" w:cs="Arial"/>
          <w:color w:val="000000"/>
        </w:rPr>
        <w:t xml:space="preserve">, twierdził, że środki </w:t>
      </w:r>
      <w:r w:rsidR="005C6EBB" w:rsidRPr="00506C28">
        <w:rPr>
          <w:rStyle w:val="TekstpodstawowyZnak"/>
          <w:rFonts w:ascii="Arial" w:hAnsi="Arial" w:cs="Arial"/>
          <w:color w:val="000000"/>
        </w:rPr>
        <w:t>uchylenia</w:t>
      </w:r>
      <w:r w:rsidRPr="00506C28">
        <w:rPr>
          <w:rStyle w:val="TekstpodstawowyZnak"/>
          <w:rFonts w:ascii="Arial" w:hAnsi="Arial" w:cs="Arial"/>
          <w:color w:val="000000"/>
        </w:rPr>
        <w:t xml:space="preserve"> nie spełniały wymogów proceduralnych określonych w art. 15 § 3 </w:t>
      </w:r>
      <w:r w:rsidR="0065342B" w:rsidRPr="00506C28">
        <w:rPr>
          <w:rStyle w:val="TekstpodstawowyZnak"/>
          <w:rFonts w:ascii="Arial" w:hAnsi="Arial" w:cs="Arial"/>
          <w:color w:val="000000"/>
        </w:rPr>
        <w:t>K</w:t>
      </w:r>
      <w:r w:rsidRPr="00506C28">
        <w:rPr>
          <w:rStyle w:val="TekstpodstawowyZnak"/>
          <w:rFonts w:ascii="Arial" w:hAnsi="Arial" w:cs="Arial"/>
          <w:color w:val="000000"/>
        </w:rPr>
        <w:t>onwencji.</w:t>
      </w:r>
    </w:p>
    <w:p w14:paraId="04F61436" w14:textId="3DC9A175" w:rsidR="00782109" w:rsidRPr="00506C28" w:rsidRDefault="009130BA" w:rsidP="004E75AD">
      <w:pPr>
        <w:pStyle w:val="Tekstpodstawowy"/>
        <w:spacing w:before="30"/>
        <w:jc w:val="both"/>
        <w:rPr>
          <w:rFonts w:ascii="Arial" w:hAnsi="Arial" w:cs="Arial"/>
        </w:rPr>
      </w:pPr>
      <w:r w:rsidRPr="00506C28">
        <w:rPr>
          <w:rStyle w:val="TekstpodstawowyZnak"/>
          <w:rFonts w:ascii="Arial" w:hAnsi="Arial" w:cs="Arial"/>
        </w:rPr>
        <w:t xml:space="preserve">Komisja zauważyła, że to państwa powinny powiadomić o przedmiotowych środkach bez zbędnej zwłoki, przekazując wystarczające informacje na ich temat, aby pozostałe Wysokie </w:t>
      </w:r>
      <w:r w:rsidR="00F05129" w:rsidRPr="00506C28">
        <w:rPr>
          <w:rStyle w:val="TekstpodstawowyZnak"/>
          <w:rFonts w:ascii="Arial" w:hAnsi="Arial" w:cs="Arial"/>
        </w:rPr>
        <w:t xml:space="preserve">Układające </w:t>
      </w:r>
      <w:r w:rsidRPr="00506C28">
        <w:rPr>
          <w:rStyle w:val="TekstpodstawowyZnak"/>
          <w:rFonts w:ascii="Arial" w:hAnsi="Arial" w:cs="Arial"/>
        </w:rPr>
        <w:t xml:space="preserve">się Strony mogły ocenić charakter i zakres </w:t>
      </w:r>
      <w:r w:rsidR="005C6EBB" w:rsidRPr="00506C28">
        <w:rPr>
          <w:rStyle w:val="TekstpodstawowyZnak"/>
          <w:rFonts w:ascii="Arial" w:hAnsi="Arial" w:cs="Arial"/>
        </w:rPr>
        <w:t>uchylenia</w:t>
      </w:r>
      <w:r w:rsidRPr="00506C28">
        <w:rPr>
          <w:rStyle w:val="TekstpodstawowyZnak"/>
          <w:rFonts w:ascii="Arial" w:hAnsi="Arial" w:cs="Arial"/>
        </w:rPr>
        <w:t xml:space="preserve">, którego dotyczą te środki. W niniejszej sprawie trzymiesięczny okres między podjęciem środka stanowiącego </w:t>
      </w:r>
      <w:r w:rsidR="005C6EBB" w:rsidRPr="00506C28">
        <w:rPr>
          <w:rStyle w:val="TekstpodstawowyZnak"/>
          <w:rFonts w:ascii="Arial" w:hAnsi="Arial" w:cs="Arial"/>
        </w:rPr>
        <w:t>uchylenie</w:t>
      </w:r>
      <w:r w:rsidRPr="00506C28">
        <w:rPr>
          <w:rStyle w:val="TekstpodstawowyZnak"/>
          <w:rFonts w:ascii="Arial" w:hAnsi="Arial" w:cs="Arial"/>
        </w:rPr>
        <w:t xml:space="preserve"> a jego zgłoszeniem był zbyt długi i nie mógł być uzasadniony opóźnieniami administracyjnymi wynikającymi z rzekomej sytuacji nadzwyczajnej. Ponadto do noty werbalnej rządu brytyjskiego nie dołączono tekstu środków przyjętych w odstępstwie od</w:t>
      </w:r>
      <w:r w:rsidR="006B2744" w:rsidRPr="00506C28">
        <w:rPr>
          <w:rStyle w:val="TekstpodstawowyZnak"/>
          <w:rFonts w:ascii="Arial" w:hAnsi="Arial" w:cs="Arial"/>
        </w:rPr>
        <w:t xml:space="preserve"> </w:t>
      </w:r>
      <w:r w:rsidR="00BE442D" w:rsidRPr="00506C28">
        <w:rPr>
          <w:rStyle w:val="TekstpodstawowyZnak"/>
          <w:rFonts w:ascii="Arial" w:hAnsi="Arial" w:cs="Arial"/>
        </w:rPr>
        <w:t>K</w:t>
      </w:r>
      <w:r w:rsidRPr="00506C28">
        <w:rPr>
          <w:rStyle w:val="TekstpodstawowyZnak"/>
          <w:rFonts w:ascii="Arial" w:hAnsi="Arial" w:cs="Arial"/>
        </w:rPr>
        <w:t xml:space="preserve">onwencji. Jednakże uznając, że art. 15 ust. 3 </w:t>
      </w:r>
      <w:r w:rsidR="0065342B" w:rsidRPr="00506C28">
        <w:rPr>
          <w:rStyle w:val="TekstpodstawowyZnak"/>
          <w:rFonts w:ascii="Arial" w:hAnsi="Arial" w:cs="Arial"/>
        </w:rPr>
        <w:t>K</w:t>
      </w:r>
      <w:r w:rsidRPr="00506C28">
        <w:rPr>
          <w:rStyle w:val="TekstpodstawowyZnak"/>
          <w:rFonts w:ascii="Arial" w:hAnsi="Arial" w:cs="Arial"/>
        </w:rPr>
        <w:t xml:space="preserve">onwencji nie zawiera jasnych wytycznych co do informacji wymaganych w powiadomieniu, a także że powiadomienie, o którym mowa, było pierwszym powiadomieniem </w:t>
      </w:r>
      <w:r w:rsidR="00F05129" w:rsidRPr="00506C28">
        <w:rPr>
          <w:rStyle w:val="TekstpodstawowyZnak"/>
          <w:rFonts w:ascii="Arial" w:hAnsi="Arial" w:cs="Arial"/>
        </w:rPr>
        <w:t xml:space="preserve">zakomunikowanym </w:t>
      </w:r>
      <w:r w:rsidRPr="00506C28">
        <w:rPr>
          <w:rStyle w:val="TekstpodstawowyZnak"/>
          <w:rFonts w:ascii="Arial" w:hAnsi="Arial" w:cs="Arial"/>
        </w:rPr>
        <w:t xml:space="preserve">na podstawie tego przepisu, Komisja uznała, że nie ma obowiązku stwierdzenia, </w:t>
      </w:r>
      <w:r w:rsidR="00090273">
        <w:rPr>
          <w:rStyle w:val="TekstpodstawowyZnak"/>
          <w:rFonts w:ascii="Arial" w:hAnsi="Arial" w:cs="Arial"/>
        </w:rPr>
        <w:br/>
      </w:r>
      <w:r w:rsidRPr="00506C28">
        <w:rPr>
          <w:rStyle w:val="TekstpodstawowyZnak"/>
          <w:rFonts w:ascii="Arial" w:hAnsi="Arial" w:cs="Arial"/>
        </w:rPr>
        <w:t xml:space="preserve">iż w niniejszej sprawie nie doszło do wystarczającego przestrzegania art. 15 ust. 3. Komisja dodała jednak, że dla prawidłowego funkcjonowania </w:t>
      </w:r>
      <w:r w:rsidR="0065342B" w:rsidRPr="00506C28">
        <w:rPr>
          <w:rStyle w:val="TekstpodstawowyZnak"/>
          <w:rFonts w:ascii="Arial" w:hAnsi="Arial" w:cs="Arial"/>
        </w:rPr>
        <w:t>K</w:t>
      </w:r>
      <w:r w:rsidRPr="00506C28">
        <w:rPr>
          <w:rStyle w:val="TekstpodstawowyZnak"/>
          <w:rFonts w:ascii="Arial" w:hAnsi="Arial" w:cs="Arial"/>
        </w:rPr>
        <w:t xml:space="preserve">onwencji </w:t>
      </w:r>
      <w:r w:rsidRPr="00506C28">
        <w:rPr>
          <w:rStyle w:val="TekstpodstawowyZnak"/>
          <w:rFonts w:ascii="Arial" w:hAnsi="Arial" w:cs="Arial"/>
          <w:b/>
          <w:bCs/>
        </w:rPr>
        <w:t xml:space="preserve">naprawdę istotne </w:t>
      </w:r>
      <w:r w:rsidRPr="00506C28">
        <w:rPr>
          <w:rStyle w:val="TekstpodstawowyZnak"/>
          <w:rFonts w:ascii="Arial" w:hAnsi="Arial" w:cs="Arial"/>
        </w:rPr>
        <w:t>jest</w:t>
      </w:r>
      <w:r w:rsidRPr="00506C28">
        <w:rPr>
          <w:rStyle w:val="TekstpodstawowyZnak"/>
          <w:rFonts w:ascii="Arial" w:hAnsi="Arial" w:cs="Arial"/>
          <w:b/>
          <w:bCs/>
        </w:rPr>
        <w:t xml:space="preserve">, aby tekst </w:t>
      </w:r>
      <w:r w:rsidR="00945C42" w:rsidRPr="00506C28">
        <w:rPr>
          <w:rStyle w:val="TekstpodstawowyZnak"/>
          <w:rFonts w:ascii="Arial" w:hAnsi="Arial" w:cs="Arial"/>
          <w:b/>
          <w:bCs/>
        </w:rPr>
        <w:t xml:space="preserve"> </w:t>
      </w:r>
      <w:r w:rsidR="007B1B22" w:rsidRPr="00506C28">
        <w:rPr>
          <w:rStyle w:val="TekstpodstawowyZnak"/>
          <w:rFonts w:ascii="Arial" w:hAnsi="Arial" w:cs="Arial"/>
          <w:b/>
          <w:bCs/>
        </w:rPr>
        <w:t xml:space="preserve">zawierający </w:t>
      </w:r>
      <w:r w:rsidRPr="00506C28">
        <w:rPr>
          <w:rStyle w:val="TekstpodstawowyZnak"/>
          <w:rFonts w:ascii="Arial" w:hAnsi="Arial" w:cs="Arial"/>
          <w:b/>
          <w:bCs/>
        </w:rPr>
        <w:t>środ</w:t>
      </w:r>
      <w:r w:rsidR="00945C42" w:rsidRPr="00506C28">
        <w:rPr>
          <w:rStyle w:val="TekstpodstawowyZnak"/>
          <w:rFonts w:ascii="Arial" w:hAnsi="Arial" w:cs="Arial"/>
          <w:b/>
          <w:bCs/>
        </w:rPr>
        <w:t>ki</w:t>
      </w:r>
      <w:r w:rsidRPr="00506C28">
        <w:rPr>
          <w:rStyle w:val="TekstpodstawowyZnak"/>
          <w:rFonts w:ascii="Arial" w:hAnsi="Arial" w:cs="Arial"/>
          <w:b/>
          <w:bCs/>
        </w:rPr>
        <w:t xml:space="preserve"> podjęt</w:t>
      </w:r>
      <w:r w:rsidR="00945C42" w:rsidRPr="00506C28">
        <w:rPr>
          <w:rStyle w:val="TekstpodstawowyZnak"/>
          <w:rFonts w:ascii="Arial" w:hAnsi="Arial" w:cs="Arial"/>
          <w:b/>
          <w:bCs/>
        </w:rPr>
        <w:t>e</w:t>
      </w:r>
      <w:r w:rsidRPr="00506C28">
        <w:rPr>
          <w:rStyle w:val="TekstpodstawowyZnak"/>
          <w:rFonts w:ascii="Arial" w:hAnsi="Arial" w:cs="Arial"/>
          <w:b/>
          <w:bCs/>
        </w:rPr>
        <w:t xml:space="preserve"> na podstawie art. 15 stanowił część informacji </w:t>
      </w:r>
      <w:r w:rsidR="00F05129" w:rsidRPr="00506C28">
        <w:rPr>
          <w:rStyle w:val="TekstpodstawowyZnak"/>
          <w:rFonts w:ascii="Arial" w:hAnsi="Arial" w:cs="Arial"/>
          <w:b/>
          <w:bCs/>
        </w:rPr>
        <w:t xml:space="preserve">zakomunikowanych </w:t>
      </w:r>
      <w:r w:rsidRPr="00506C28">
        <w:rPr>
          <w:rStyle w:val="TekstpodstawowyZnak"/>
          <w:rFonts w:ascii="Arial" w:hAnsi="Arial" w:cs="Arial"/>
          <w:b/>
          <w:bCs/>
        </w:rPr>
        <w:t xml:space="preserve">przez zainteresowaną Wysoką </w:t>
      </w:r>
      <w:r w:rsidR="000A31C1" w:rsidRPr="00506C28">
        <w:rPr>
          <w:rStyle w:val="TekstpodstawowyZnak"/>
          <w:rFonts w:ascii="Arial" w:hAnsi="Arial" w:cs="Arial"/>
          <w:b/>
          <w:bCs/>
        </w:rPr>
        <w:t xml:space="preserve">Układającą </w:t>
      </w:r>
      <w:r w:rsidRPr="00506C28">
        <w:rPr>
          <w:rStyle w:val="TekstpodstawowyZnak"/>
          <w:rFonts w:ascii="Arial" w:hAnsi="Arial" w:cs="Arial"/>
          <w:b/>
          <w:bCs/>
        </w:rPr>
        <w:t>się Stronę.</w:t>
      </w:r>
    </w:p>
    <w:p w14:paraId="0426F605" w14:textId="77777777" w:rsidR="00525895" w:rsidRPr="00506C28" w:rsidRDefault="00525895" w:rsidP="004E75AD">
      <w:pPr>
        <w:pStyle w:val="Bodytext20"/>
        <w:spacing w:before="30" w:after="60"/>
        <w:jc w:val="both"/>
        <w:rPr>
          <w:rFonts w:ascii="Arial" w:hAnsi="Arial" w:cs="Arial"/>
        </w:rPr>
      </w:pPr>
    </w:p>
    <w:p w14:paraId="6F72160F" w14:textId="1DD80AE7" w:rsidR="00782109" w:rsidRPr="00506C28" w:rsidRDefault="00782109" w:rsidP="004E75AD">
      <w:pPr>
        <w:pStyle w:val="Bodytext20"/>
        <w:spacing w:before="30" w:after="60"/>
        <w:jc w:val="both"/>
        <w:rPr>
          <w:rFonts w:ascii="Arial" w:hAnsi="Arial" w:cs="Arial"/>
        </w:rPr>
      </w:pPr>
      <w:hyperlink r:id="rId63" w:history="1">
        <w:r w:rsidRPr="00506C28">
          <w:rPr>
            <w:rStyle w:val="Bodytext2"/>
            <w:rFonts w:ascii="Arial" w:hAnsi="Arial" w:cs="Arial"/>
            <w:b/>
            <w:bCs/>
            <w:color w:val="0071BB"/>
            <w:sz w:val="18"/>
            <w:szCs w:val="18"/>
            <w:u w:val="single"/>
          </w:rPr>
          <w:t>Lawless przeciwko Irlandii (nr 3)</w:t>
        </w:r>
        <w:r w:rsidRPr="00506C28">
          <w:rPr>
            <w:rStyle w:val="Bodytext2"/>
            <w:rFonts w:ascii="Arial" w:hAnsi="Arial" w:cs="Arial"/>
            <w:b/>
            <w:bCs/>
            <w:color w:val="0071BB"/>
            <w:sz w:val="18"/>
            <w:szCs w:val="18"/>
          </w:rPr>
          <w:t xml:space="preserve"> </w:t>
        </w:r>
      </w:hyperlink>
      <w:r w:rsidRPr="00506C28">
        <w:rPr>
          <w:rStyle w:val="Bodytext2"/>
          <w:rFonts w:ascii="Arial" w:hAnsi="Arial" w:cs="Arial"/>
          <w:color w:val="808080"/>
        </w:rPr>
        <w:t>(zob. również powyżej, str. 3 i 6)</w:t>
      </w:r>
    </w:p>
    <w:p w14:paraId="06C5315E"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1 lipca 1961 r. (wyrok)</w:t>
      </w:r>
    </w:p>
    <w:p w14:paraId="560396A0" w14:textId="61BF109B"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color w:val="000000"/>
        </w:rPr>
        <w:t xml:space="preserve">W dniu 20 lipca 1957 r. rząd irlandzki skierował do </w:t>
      </w:r>
      <w:r w:rsidR="001A3FD6" w:rsidRPr="00506C28">
        <w:rPr>
          <w:rStyle w:val="TekstpodstawowyZnak"/>
          <w:rFonts w:ascii="Arial" w:hAnsi="Arial" w:cs="Arial"/>
          <w:color w:val="000000"/>
        </w:rPr>
        <w:t>S</w:t>
      </w:r>
      <w:r w:rsidRPr="00506C28">
        <w:rPr>
          <w:rStyle w:val="TekstpodstawowyZnak"/>
          <w:rFonts w:ascii="Arial" w:hAnsi="Arial" w:cs="Arial"/>
          <w:color w:val="000000"/>
        </w:rPr>
        <w:t xml:space="preserve">ekretarza </w:t>
      </w:r>
      <w:r w:rsidR="001A3FD6" w:rsidRPr="00506C28">
        <w:rPr>
          <w:rStyle w:val="TekstpodstawowyZnak"/>
          <w:rFonts w:ascii="Arial" w:hAnsi="Arial" w:cs="Arial"/>
          <w:color w:val="000000"/>
        </w:rPr>
        <w:t>G</w:t>
      </w:r>
      <w:r w:rsidRPr="00506C28">
        <w:rPr>
          <w:rStyle w:val="TekstpodstawowyZnak"/>
          <w:rFonts w:ascii="Arial" w:hAnsi="Arial" w:cs="Arial"/>
          <w:color w:val="000000"/>
        </w:rPr>
        <w:t xml:space="preserve">eneralnego Rady Europy pismo informujące o wejściu w życie 8 lipca 1957 r. części </w:t>
      </w:r>
      <w:r w:rsidRPr="00506C28">
        <w:rPr>
          <w:rStyle w:val="TekstpodstawowyZnak"/>
          <w:rFonts w:ascii="Arial" w:hAnsi="Arial" w:cs="Arial"/>
          <w:color w:val="000000"/>
          <w:sz w:val="18"/>
          <w:szCs w:val="18"/>
        </w:rPr>
        <w:t xml:space="preserve">II </w:t>
      </w:r>
      <w:r w:rsidRPr="00506C28">
        <w:rPr>
          <w:rStyle w:val="TekstpodstawowyZnak"/>
          <w:rFonts w:ascii="Arial" w:hAnsi="Arial" w:cs="Arial"/>
          <w:color w:val="000000"/>
        </w:rPr>
        <w:t>ustawy o przestępstwach przeciwko państwu (nowelizacja) z 1940 r. i stwierdzające, że „</w:t>
      </w:r>
      <w:r w:rsidR="003564B4" w:rsidRPr="00506C28">
        <w:rPr>
          <w:rStyle w:val="TekstpodstawowyZnak"/>
          <w:rFonts w:ascii="Arial" w:hAnsi="Arial" w:cs="Arial"/>
          <w:color w:val="000000"/>
        </w:rPr>
        <w:t>(</w:t>
      </w:r>
      <w:r w:rsidRPr="00506C28">
        <w:rPr>
          <w:rStyle w:val="TekstpodstawowyZnak"/>
          <w:rFonts w:ascii="Arial" w:hAnsi="Arial" w:cs="Arial"/>
          <w:color w:val="000000"/>
        </w:rPr>
        <w:t>...</w:t>
      </w:r>
      <w:r w:rsidR="003564B4" w:rsidRPr="00506C28">
        <w:rPr>
          <w:rStyle w:val="TekstpodstawowyZnak"/>
          <w:rFonts w:ascii="Arial" w:hAnsi="Arial" w:cs="Arial"/>
          <w:color w:val="000000"/>
        </w:rPr>
        <w:t>)</w:t>
      </w:r>
      <w:r w:rsidRPr="00506C28">
        <w:rPr>
          <w:rStyle w:val="TekstpodstawowyZnak"/>
          <w:rFonts w:ascii="Arial" w:hAnsi="Arial" w:cs="Arial"/>
          <w:color w:val="000000"/>
        </w:rPr>
        <w:t xml:space="preserve">uruchomienie [ustawy], która przyznaje specjalne uprawnienia w zakresie aresztowania i zatrzymania, </w:t>
      </w:r>
      <w:r w:rsidR="00D20345" w:rsidRPr="00506C28">
        <w:rPr>
          <w:rStyle w:val="TekstpodstawowyZnak"/>
          <w:rFonts w:ascii="Arial" w:hAnsi="Arial" w:cs="Arial"/>
          <w:color w:val="000000"/>
        </w:rPr>
        <w:t>[może</w:t>
      </w:r>
      <w:r w:rsidRPr="00506C28">
        <w:rPr>
          <w:rStyle w:val="TekstpodstawowyZnak"/>
          <w:rFonts w:ascii="Arial" w:hAnsi="Arial" w:cs="Arial"/>
          <w:color w:val="000000"/>
        </w:rPr>
        <w:t xml:space="preserve">] wiązać się z </w:t>
      </w:r>
      <w:r w:rsidR="005C6EBB" w:rsidRPr="00506C28">
        <w:rPr>
          <w:rStyle w:val="TekstpodstawowyZnak"/>
          <w:rFonts w:ascii="Arial" w:hAnsi="Arial" w:cs="Arial"/>
          <w:color w:val="000000"/>
        </w:rPr>
        <w:t>uchyleniem</w:t>
      </w:r>
      <w:r w:rsidRPr="00506C28">
        <w:rPr>
          <w:rStyle w:val="TekstpodstawowyZnak"/>
          <w:rFonts w:ascii="Arial" w:hAnsi="Arial" w:cs="Arial"/>
          <w:color w:val="000000"/>
        </w:rPr>
        <w:t xml:space="preserve"> od zobowiązań nałożonych przez Konwencję</w:t>
      </w:r>
      <w:r w:rsidR="003564B4" w:rsidRPr="00506C28">
        <w:rPr>
          <w:rStyle w:val="TekstpodstawowyZnak"/>
          <w:rFonts w:ascii="Arial" w:hAnsi="Arial" w:cs="Arial"/>
          <w:color w:val="000000"/>
        </w:rPr>
        <w:t xml:space="preserve"> (</w:t>
      </w:r>
      <w:r w:rsidRPr="00506C28">
        <w:rPr>
          <w:rStyle w:val="TekstpodstawowyZnak"/>
          <w:rFonts w:ascii="Arial" w:hAnsi="Arial" w:cs="Arial"/>
          <w:color w:val="000000"/>
        </w:rPr>
        <w:t>...</w:t>
      </w:r>
      <w:r w:rsidR="003564B4" w:rsidRPr="00506C28">
        <w:rPr>
          <w:rStyle w:val="TekstpodstawowyZnak"/>
          <w:rFonts w:ascii="Arial" w:hAnsi="Arial" w:cs="Arial"/>
          <w:color w:val="000000"/>
        </w:rPr>
        <w:t>)</w:t>
      </w:r>
      <w:r w:rsidRPr="00506C28">
        <w:rPr>
          <w:rStyle w:val="TekstpodstawowyZnak"/>
          <w:rFonts w:ascii="Arial" w:hAnsi="Arial" w:cs="Arial"/>
          <w:color w:val="000000"/>
        </w:rPr>
        <w:t xml:space="preserve">”. Skarżący zakwestionował prawo rządu irlandzkiego do powoływania się na pismo z dnia 20 lipca jako ważne zawiadomienie o </w:t>
      </w:r>
      <w:r w:rsidR="001A3FD6" w:rsidRPr="00506C28">
        <w:rPr>
          <w:rStyle w:val="TekstpodstawowyZnak"/>
          <w:rFonts w:ascii="Arial" w:hAnsi="Arial" w:cs="Arial"/>
          <w:color w:val="000000"/>
        </w:rPr>
        <w:t>uchyleniu</w:t>
      </w:r>
      <w:r w:rsidRPr="00506C28">
        <w:rPr>
          <w:rStyle w:val="TekstpodstawowyZnak"/>
          <w:rFonts w:ascii="Arial" w:hAnsi="Arial" w:cs="Arial"/>
          <w:color w:val="000000"/>
        </w:rPr>
        <w:t>, twierdząc, że nie spełniało ono rygorystycznych wymogów art. 15 § 3 Konwencji.</w:t>
      </w:r>
    </w:p>
    <w:p w14:paraId="77CC2CB9" w14:textId="0CCD9D08" w:rsidR="00782109" w:rsidRPr="00506C28" w:rsidRDefault="009130BA" w:rsidP="004E75AD">
      <w:pPr>
        <w:pStyle w:val="Tekstpodstawowy"/>
        <w:spacing w:before="30"/>
        <w:jc w:val="both"/>
        <w:rPr>
          <w:rFonts w:ascii="Arial" w:hAnsi="Arial" w:cs="Arial"/>
        </w:rPr>
      </w:pPr>
      <w:r w:rsidRPr="00506C28">
        <w:rPr>
          <w:rStyle w:val="TekstpodstawowyZnak"/>
          <w:rFonts w:ascii="Arial" w:hAnsi="Arial" w:cs="Arial"/>
        </w:rPr>
        <w:t xml:space="preserve">Trybunał uznał, że </w:t>
      </w:r>
      <w:r w:rsidRPr="00506C28">
        <w:rPr>
          <w:rStyle w:val="TekstpodstawowyZnak"/>
          <w:rFonts w:ascii="Arial" w:hAnsi="Arial" w:cs="Arial"/>
          <w:b/>
          <w:bCs/>
        </w:rPr>
        <w:t xml:space="preserve">rząd </w:t>
      </w:r>
      <w:r w:rsidRPr="00506C28">
        <w:rPr>
          <w:rStyle w:val="TekstpodstawowyZnak"/>
          <w:rFonts w:ascii="Arial" w:hAnsi="Arial" w:cs="Arial"/>
        </w:rPr>
        <w:t xml:space="preserve">irlandzki </w:t>
      </w:r>
      <w:r w:rsidRPr="00506C28">
        <w:rPr>
          <w:rStyle w:val="TekstpodstawowyZnak"/>
          <w:rFonts w:ascii="Arial" w:hAnsi="Arial" w:cs="Arial"/>
          <w:b/>
          <w:bCs/>
        </w:rPr>
        <w:t xml:space="preserve">wypełnił swoje zobowiązania wynikające z art. 15 § 3 </w:t>
      </w:r>
      <w:r w:rsidRPr="00506C28">
        <w:rPr>
          <w:rStyle w:val="TekstpodstawowyZnak"/>
          <w:rFonts w:ascii="Arial" w:hAnsi="Arial" w:cs="Arial"/>
        </w:rPr>
        <w:t xml:space="preserve">Konwencji. Zauważył, że kopie części </w:t>
      </w:r>
      <w:r w:rsidRPr="00506C28">
        <w:rPr>
          <w:rStyle w:val="TekstpodstawowyZnak"/>
          <w:rFonts w:ascii="Arial" w:hAnsi="Arial" w:cs="Arial"/>
          <w:sz w:val="18"/>
          <w:szCs w:val="18"/>
        </w:rPr>
        <w:t xml:space="preserve">II </w:t>
      </w:r>
      <w:r w:rsidRPr="00506C28">
        <w:rPr>
          <w:rStyle w:val="TekstpodstawowyZnak"/>
          <w:rFonts w:ascii="Arial" w:hAnsi="Arial" w:cs="Arial"/>
        </w:rPr>
        <w:t xml:space="preserve">ustawy z 1940 r. oraz proklamacji z dnia 5 lipca (opublikowanej 8 lipca), wprowadzającej ją w życie, zostały załączone do pisma z dnia 20 lipca 1957 r. W piśmie tym wyjaśniono również, że odpowiednie środki zostały podjęte w celu „zapobieżenia popełnianiu przestępstw przeciwko porządkowi publicznemu oraz utrzymywaniu sił zbrojnych innych niż te, które są dozwolone na mocy Konstytucji”. W ten sposób rząd irlandzki </w:t>
      </w:r>
      <w:r w:rsidR="00F05129" w:rsidRPr="00506C28">
        <w:rPr>
          <w:rStyle w:val="TekstpodstawowyZnak"/>
          <w:rFonts w:ascii="Arial" w:hAnsi="Arial" w:cs="Arial"/>
        </w:rPr>
        <w:t xml:space="preserve">zakomunikował </w:t>
      </w:r>
      <w:r w:rsidR="00A16D57" w:rsidRPr="00506C28">
        <w:rPr>
          <w:rStyle w:val="TekstpodstawowyZnak"/>
          <w:rFonts w:ascii="Arial" w:hAnsi="Arial" w:cs="Arial"/>
        </w:rPr>
        <w:t>s</w:t>
      </w:r>
      <w:r w:rsidRPr="00506C28">
        <w:rPr>
          <w:rStyle w:val="TekstpodstawowyZnak"/>
          <w:rFonts w:ascii="Arial" w:hAnsi="Arial" w:cs="Arial"/>
        </w:rPr>
        <w:t xml:space="preserve">ekretarzowi </w:t>
      </w:r>
      <w:r w:rsidR="00A16D57" w:rsidRPr="00506C28">
        <w:rPr>
          <w:rStyle w:val="TekstpodstawowyZnak"/>
          <w:rFonts w:ascii="Arial" w:hAnsi="Arial" w:cs="Arial"/>
        </w:rPr>
        <w:t>g</w:t>
      </w:r>
      <w:r w:rsidRPr="00506C28">
        <w:rPr>
          <w:rStyle w:val="TekstpodstawowyZnak"/>
          <w:rFonts w:ascii="Arial" w:hAnsi="Arial" w:cs="Arial"/>
        </w:rPr>
        <w:t xml:space="preserve">eneralnemu wystarczające informacje na temat podjętych środków i ich uzasadnienia. Ponadto rząd irlandzki </w:t>
      </w:r>
      <w:r w:rsidR="00F05129" w:rsidRPr="00506C28">
        <w:rPr>
          <w:rStyle w:val="TekstpodstawowyZnak"/>
          <w:rFonts w:ascii="Arial" w:hAnsi="Arial" w:cs="Arial"/>
        </w:rPr>
        <w:t xml:space="preserve">zakomunikował </w:t>
      </w:r>
      <w:r w:rsidRPr="00506C28">
        <w:rPr>
          <w:rStyle w:val="TekstpodstawowyZnak"/>
          <w:rFonts w:ascii="Arial" w:hAnsi="Arial" w:cs="Arial"/>
        </w:rPr>
        <w:t xml:space="preserve">te </w:t>
      </w:r>
      <w:r w:rsidRPr="00506C28">
        <w:rPr>
          <w:rStyle w:val="TekstpodstawowyZnak"/>
          <w:rFonts w:ascii="Arial" w:hAnsi="Arial" w:cs="Arial"/>
        </w:rPr>
        <w:lastRenderedPageBreak/>
        <w:t xml:space="preserve">informacje </w:t>
      </w:r>
      <w:r w:rsidR="007646B7" w:rsidRPr="00506C28">
        <w:rPr>
          <w:rStyle w:val="TekstpodstawowyZnak"/>
          <w:rFonts w:ascii="Arial" w:hAnsi="Arial" w:cs="Arial"/>
        </w:rPr>
        <w:t>S</w:t>
      </w:r>
      <w:r w:rsidRPr="00506C28">
        <w:rPr>
          <w:rStyle w:val="TekstpodstawowyZnak"/>
          <w:rFonts w:ascii="Arial" w:hAnsi="Arial" w:cs="Arial"/>
        </w:rPr>
        <w:t xml:space="preserve">ekretarzowi </w:t>
      </w:r>
      <w:r w:rsidR="007646B7" w:rsidRPr="00506C28">
        <w:rPr>
          <w:rStyle w:val="TekstpodstawowyZnak"/>
          <w:rFonts w:ascii="Arial" w:hAnsi="Arial" w:cs="Arial"/>
        </w:rPr>
        <w:t>G</w:t>
      </w:r>
      <w:r w:rsidRPr="00506C28">
        <w:rPr>
          <w:rStyle w:val="TekstpodstawowyZnak"/>
          <w:rFonts w:ascii="Arial" w:hAnsi="Arial" w:cs="Arial"/>
        </w:rPr>
        <w:t xml:space="preserve">eneralnemu zaledwie dwanaście dni po wejściu w życie środków stanowiących </w:t>
      </w:r>
      <w:r w:rsidR="005C6EBB" w:rsidRPr="00506C28">
        <w:rPr>
          <w:rStyle w:val="TekstpodstawowyZnak"/>
          <w:rFonts w:ascii="Arial" w:hAnsi="Arial" w:cs="Arial"/>
        </w:rPr>
        <w:t>uchylenie</w:t>
      </w:r>
      <w:r w:rsidRPr="00506C28">
        <w:rPr>
          <w:rStyle w:val="TekstpodstawowyZnak"/>
          <w:rFonts w:ascii="Arial" w:hAnsi="Arial" w:cs="Arial"/>
        </w:rPr>
        <w:t xml:space="preserve"> od zobowiązań wynikających z </w:t>
      </w:r>
      <w:r w:rsidR="00210CA5" w:rsidRPr="00506C28">
        <w:rPr>
          <w:rStyle w:val="TekstpodstawowyZnak"/>
          <w:rFonts w:ascii="Arial" w:hAnsi="Arial" w:cs="Arial"/>
        </w:rPr>
        <w:t>K</w:t>
      </w:r>
      <w:r w:rsidRPr="00506C28">
        <w:rPr>
          <w:rStyle w:val="TekstpodstawowyZnak"/>
          <w:rFonts w:ascii="Arial" w:hAnsi="Arial" w:cs="Arial"/>
        </w:rPr>
        <w:t xml:space="preserve">onwencji, a zatem powiadomienie zostało dokonane bezzwłocznie. Podsumowując, </w:t>
      </w:r>
      <w:r w:rsidR="00210CA5" w:rsidRPr="00506C28">
        <w:rPr>
          <w:rStyle w:val="TekstpodstawowyZnak"/>
          <w:rFonts w:ascii="Arial" w:hAnsi="Arial" w:cs="Arial"/>
        </w:rPr>
        <w:t>K</w:t>
      </w:r>
      <w:r w:rsidRPr="00506C28">
        <w:rPr>
          <w:rStyle w:val="TekstpodstawowyZnak"/>
          <w:rFonts w:ascii="Arial" w:hAnsi="Arial" w:cs="Arial"/>
        </w:rPr>
        <w:t xml:space="preserve">onwencja nie zawierała żadnych szczególnych przepisów stanowiących, że zainteresowane państwo-strona musi ogłosić </w:t>
      </w:r>
      <w:r w:rsidR="00210CA5" w:rsidRPr="00506C28">
        <w:rPr>
          <w:rStyle w:val="TekstpodstawowyZnak"/>
          <w:rFonts w:ascii="Arial" w:hAnsi="Arial" w:cs="Arial"/>
        </w:rPr>
        <w:t>na</w:t>
      </w:r>
      <w:r w:rsidRPr="00506C28">
        <w:rPr>
          <w:rStyle w:val="TekstpodstawowyZnak"/>
          <w:rFonts w:ascii="Arial" w:hAnsi="Arial" w:cs="Arial"/>
        </w:rPr>
        <w:t xml:space="preserve"> swoim</w:t>
      </w:r>
      <w:r w:rsidR="008E75C1" w:rsidRPr="00506C28">
        <w:rPr>
          <w:rFonts w:ascii="Arial" w:hAnsi="Arial" w:cs="Arial"/>
        </w:rPr>
        <w:t xml:space="preserve"> </w:t>
      </w:r>
      <w:r w:rsidRPr="00506C28">
        <w:rPr>
          <w:rStyle w:val="TekstpodstawowyZnak"/>
          <w:rFonts w:ascii="Arial" w:hAnsi="Arial" w:cs="Arial"/>
        </w:rPr>
        <w:t xml:space="preserve">terytorium zawiadomienie o odstępstwie skierowane do </w:t>
      </w:r>
      <w:r w:rsidR="00A16D57" w:rsidRPr="00506C28">
        <w:rPr>
          <w:rStyle w:val="TekstpodstawowyZnak"/>
          <w:rFonts w:ascii="Arial" w:hAnsi="Arial" w:cs="Arial"/>
        </w:rPr>
        <w:t>s</w:t>
      </w:r>
      <w:r w:rsidRPr="00506C28">
        <w:rPr>
          <w:rStyle w:val="TekstpodstawowyZnak"/>
          <w:rFonts w:ascii="Arial" w:hAnsi="Arial" w:cs="Arial"/>
        </w:rPr>
        <w:t xml:space="preserve">ekretarza </w:t>
      </w:r>
      <w:r w:rsidR="00A16D57" w:rsidRPr="00506C28">
        <w:rPr>
          <w:rStyle w:val="TekstpodstawowyZnak"/>
          <w:rFonts w:ascii="Arial" w:hAnsi="Arial" w:cs="Arial"/>
        </w:rPr>
        <w:t>g</w:t>
      </w:r>
      <w:r w:rsidRPr="00506C28">
        <w:rPr>
          <w:rStyle w:val="TekstpodstawowyZnak"/>
          <w:rFonts w:ascii="Arial" w:hAnsi="Arial" w:cs="Arial"/>
        </w:rPr>
        <w:t>eneralnego Rady Europy.</w:t>
      </w:r>
    </w:p>
    <w:p w14:paraId="6EDCA752" w14:textId="77777777" w:rsidR="00782109" w:rsidRPr="00506C28" w:rsidRDefault="00782109" w:rsidP="004E75AD">
      <w:pPr>
        <w:pStyle w:val="Bodytext20"/>
        <w:spacing w:before="30" w:after="60"/>
        <w:jc w:val="both"/>
        <w:rPr>
          <w:rFonts w:ascii="Arial" w:hAnsi="Arial" w:cs="Arial"/>
        </w:rPr>
      </w:pPr>
      <w:hyperlink r:id="rId64" w:history="1">
        <w:r w:rsidRPr="00506C28">
          <w:rPr>
            <w:rStyle w:val="Bodytext2"/>
            <w:rFonts w:ascii="Arial" w:hAnsi="Arial" w:cs="Arial"/>
            <w:b/>
            <w:bCs/>
            <w:color w:val="0071BB"/>
            <w:sz w:val="19"/>
            <w:szCs w:val="19"/>
            <w:u w:val="single"/>
          </w:rPr>
          <w:t>Aksoy przeciwko Turcji</w:t>
        </w:r>
        <w:r w:rsidRPr="00506C28">
          <w:rPr>
            <w:rStyle w:val="Bodytext2"/>
            <w:rFonts w:ascii="Arial" w:hAnsi="Arial" w:cs="Arial"/>
            <w:b/>
            <w:bCs/>
            <w:color w:val="0071BB"/>
            <w:sz w:val="19"/>
            <w:szCs w:val="19"/>
          </w:rPr>
          <w:t xml:space="preserve"> </w:t>
        </w:r>
      </w:hyperlink>
      <w:r w:rsidRPr="00506C28">
        <w:rPr>
          <w:rStyle w:val="Bodytext2"/>
          <w:rFonts w:ascii="Arial" w:hAnsi="Arial" w:cs="Arial"/>
          <w:color w:val="808080"/>
        </w:rPr>
        <w:t>(zob. również powyżej, str. 4 i 8, oraz poniżej, str. 15)</w:t>
      </w:r>
    </w:p>
    <w:p w14:paraId="220BE735"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18 grudnia 1996 r. (wyrok)</w:t>
      </w:r>
    </w:p>
    <w:p w14:paraId="3DB19DD1" w14:textId="34B69643"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color w:val="000000"/>
        </w:rPr>
        <w:t xml:space="preserve">W dniu 6 sierpnia 1990 r. rząd turecki skierował do </w:t>
      </w:r>
      <w:r w:rsidR="007646B7" w:rsidRPr="00506C28">
        <w:rPr>
          <w:rStyle w:val="TekstpodstawowyZnak"/>
          <w:rFonts w:ascii="Arial" w:hAnsi="Arial" w:cs="Arial"/>
          <w:color w:val="000000"/>
        </w:rPr>
        <w:t>S</w:t>
      </w:r>
      <w:r w:rsidRPr="00506C28">
        <w:rPr>
          <w:rStyle w:val="TekstpodstawowyZnak"/>
          <w:rFonts w:ascii="Arial" w:hAnsi="Arial" w:cs="Arial"/>
          <w:color w:val="000000"/>
        </w:rPr>
        <w:t xml:space="preserve">ekretarza </w:t>
      </w:r>
      <w:r w:rsidR="007646B7" w:rsidRPr="00506C28">
        <w:rPr>
          <w:rStyle w:val="TekstpodstawowyZnak"/>
          <w:rFonts w:ascii="Arial" w:hAnsi="Arial" w:cs="Arial"/>
          <w:color w:val="000000"/>
        </w:rPr>
        <w:t>G</w:t>
      </w:r>
      <w:r w:rsidRPr="00506C28">
        <w:rPr>
          <w:rStyle w:val="TekstpodstawowyZnak"/>
          <w:rFonts w:ascii="Arial" w:hAnsi="Arial" w:cs="Arial"/>
          <w:color w:val="000000"/>
        </w:rPr>
        <w:t>eneralnego Rady Europy pismo, w którym poinformował go między innymi</w:t>
      </w:r>
      <w:r w:rsidR="007723D0" w:rsidRPr="00506C28">
        <w:rPr>
          <w:rStyle w:val="TekstpodstawowyZnak"/>
          <w:rFonts w:ascii="Arial" w:hAnsi="Arial" w:cs="Arial"/>
          <w:color w:val="000000"/>
        </w:rPr>
        <w:t xml:space="preserve"> o tym,</w:t>
      </w:r>
      <w:r w:rsidRPr="00506C28">
        <w:rPr>
          <w:rStyle w:val="TekstpodstawowyZnak"/>
          <w:rFonts w:ascii="Arial" w:hAnsi="Arial" w:cs="Arial"/>
          <w:color w:val="000000"/>
        </w:rPr>
        <w:t xml:space="preserve"> że Turcja jest narażona na zagrożenia dla bezpieczeństwa narodowego w południowo-wschodniej Anatolii oraz że w dniu 10 maja 1990 r. wydał dwa dekrety mające moc prawną </w:t>
      </w:r>
      <w:r w:rsidR="008E75C1" w:rsidRPr="00506C28">
        <w:rPr>
          <w:rStyle w:val="TekstpodstawowyZnak"/>
          <w:rFonts w:ascii="Arial" w:hAnsi="Arial" w:cs="Arial"/>
          <w:color w:val="000000"/>
        </w:rPr>
        <w:t>(nr</w:t>
      </w:r>
      <w:r w:rsidRPr="00506C28">
        <w:rPr>
          <w:rStyle w:val="TekstpodstawowyZnak"/>
          <w:rFonts w:ascii="Arial" w:hAnsi="Arial" w:cs="Arial"/>
          <w:color w:val="000000"/>
        </w:rPr>
        <w:t xml:space="preserve"> 424 i 425) mających zastosowanie do regionu objętego stanem wyjątkowym, które mogły skutkować </w:t>
      </w:r>
      <w:r w:rsidR="00A8544F" w:rsidRPr="00506C28">
        <w:rPr>
          <w:rStyle w:val="TekstpodstawowyZnak"/>
          <w:rFonts w:ascii="Arial" w:hAnsi="Arial" w:cs="Arial"/>
          <w:color w:val="000000"/>
        </w:rPr>
        <w:t xml:space="preserve">uchyleniem </w:t>
      </w:r>
      <w:r w:rsidRPr="00506C28">
        <w:rPr>
          <w:rStyle w:val="TekstpodstawowyZnak"/>
          <w:rFonts w:ascii="Arial" w:hAnsi="Arial" w:cs="Arial"/>
          <w:color w:val="000000"/>
        </w:rPr>
        <w:t xml:space="preserve">od zobowiązań wynikających z niektórych postanowień Konwencji. W drugim piśmie z </w:t>
      </w:r>
      <w:r w:rsidR="006D53F2" w:rsidRPr="00506C28">
        <w:rPr>
          <w:rStyle w:val="TekstpodstawowyZnak"/>
          <w:rFonts w:ascii="Arial" w:hAnsi="Arial" w:cs="Arial"/>
          <w:color w:val="000000"/>
        </w:rPr>
        <w:t>dnia</w:t>
      </w:r>
      <w:r w:rsidRPr="00506C28">
        <w:rPr>
          <w:rStyle w:val="TekstpodstawowyZnak"/>
          <w:rFonts w:ascii="Arial" w:hAnsi="Arial" w:cs="Arial"/>
          <w:color w:val="000000"/>
        </w:rPr>
        <w:t xml:space="preserve"> 3 stycznia 1991 r. rząd turecki poinformował </w:t>
      </w:r>
      <w:r w:rsidR="007646B7" w:rsidRPr="00506C28">
        <w:rPr>
          <w:rStyle w:val="TekstpodstawowyZnak"/>
          <w:rFonts w:ascii="Arial" w:hAnsi="Arial" w:cs="Arial"/>
          <w:color w:val="000000"/>
        </w:rPr>
        <w:t>S</w:t>
      </w:r>
      <w:r w:rsidRPr="00506C28">
        <w:rPr>
          <w:rStyle w:val="TekstpodstawowyZnak"/>
          <w:rFonts w:ascii="Arial" w:hAnsi="Arial" w:cs="Arial"/>
          <w:color w:val="000000"/>
        </w:rPr>
        <w:t>ekretarza</w:t>
      </w:r>
      <w:r w:rsidR="007646B7" w:rsidRPr="00506C28">
        <w:rPr>
          <w:rStyle w:val="TekstpodstawowyZnak"/>
          <w:rFonts w:ascii="Arial" w:hAnsi="Arial" w:cs="Arial"/>
          <w:color w:val="000000"/>
        </w:rPr>
        <w:t xml:space="preserve"> G</w:t>
      </w:r>
      <w:r w:rsidRPr="00506C28">
        <w:rPr>
          <w:rStyle w:val="TekstpodstawowyZnak"/>
          <w:rFonts w:ascii="Arial" w:hAnsi="Arial" w:cs="Arial"/>
          <w:color w:val="000000"/>
        </w:rPr>
        <w:t>eneralnego o uchwaleniu dekretu nr 430, ograniczającego uprawnienia przyznane wcześniej gubernatorowi regionu objętego stanem wyjątkowym na mocy dekretów nr 424 i 425.</w:t>
      </w:r>
    </w:p>
    <w:p w14:paraId="6200324A" w14:textId="07339E90" w:rsidR="00782109" w:rsidRPr="00506C28" w:rsidRDefault="009130BA" w:rsidP="004E75AD">
      <w:pPr>
        <w:pStyle w:val="Tekstpodstawowy"/>
        <w:spacing w:before="30"/>
        <w:jc w:val="both"/>
        <w:rPr>
          <w:rFonts w:ascii="Arial" w:hAnsi="Arial" w:cs="Arial"/>
        </w:rPr>
      </w:pPr>
      <w:r w:rsidRPr="00506C28">
        <w:rPr>
          <w:rStyle w:val="TekstpodstawowyZnak"/>
          <w:rFonts w:ascii="Arial" w:hAnsi="Arial" w:cs="Arial"/>
        </w:rPr>
        <w:t xml:space="preserve">Żadna z osób występujących przed Trybunałem nie zakwestionowała zgodności zawiadomienia Republiki Turcji o </w:t>
      </w:r>
      <w:r w:rsidR="00A8544F" w:rsidRPr="00506C28">
        <w:rPr>
          <w:rStyle w:val="TekstpodstawowyZnak"/>
          <w:rFonts w:ascii="Arial" w:hAnsi="Arial" w:cs="Arial"/>
        </w:rPr>
        <w:t xml:space="preserve">uchyleniu </w:t>
      </w:r>
      <w:r w:rsidRPr="00506C28">
        <w:rPr>
          <w:rStyle w:val="TekstpodstawowyZnak"/>
          <w:rFonts w:ascii="Arial" w:hAnsi="Arial" w:cs="Arial"/>
        </w:rPr>
        <w:t xml:space="preserve">z wymogami formalnymi art. 15 § 3, a mianowicie obowiązkiem pełnego informowania </w:t>
      </w:r>
      <w:r w:rsidR="007646B7" w:rsidRPr="00506C28">
        <w:rPr>
          <w:rStyle w:val="TekstpodstawowyZnak"/>
          <w:rFonts w:ascii="Arial" w:hAnsi="Arial" w:cs="Arial"/>
        </w:rPr>
        <w:t>S</w:t>
      </w:r>
      <w:r w:rsidRPr="00506C28">
        <w:rPr>
          <w:rStyle w:val="TekstpodstawowyZnak"/>
          <w:rFonts w:ascii="Arial" w:hAnsi="Arial" w:cs="Arial"/>
        </w:rPr>
        <w:t xml:space="preserve">ekretarza </w:t>
      </w:r>
      <w:r w:rsidR="007646B7" w:rsidRPr="00506C28">
        <w:rPr>
          <w:rStyle w:val="TekstpodstawowyZnak"/>
          <w:rFonts w:ascii="Arial" w:hAnsi="Arial" w:cs="Arial"/>
        </w:rPr>
        <w:t>G</w:t>
      </w:r>
      <w:r w:rsidRPr="00506C28">
        <w:rPr>
          <w:rStyle w:val="TekstpodstawowyZnak"/>
          <w:rFonts w:ascii="Arial" w:hAnsi="Arial" w:cs="Arial"/>
        </w:rPr>
        <w:t xml:space="preserve">eneralnego Rady Europy o środkach podjętych w </w:t>
      </w:r>
      <w:r w:rsidR="00705F0F" w:rsidRPr="00506C28">
        <w:rPr>
          <w:rStyle w:val="TekstpodstawowyZnak"/>
          <w:rFonts w:ascii="Arial" w:hAnsi="Arial" w:cs="Arial"/>
        </w:rPr>
        <w:t xml:space="preserve">ramach uchylenia od zobowiązań wynikających z </w:t>
      </w:r>
      <w:r w:rsidRPr="00506C28">
        <w:rPr>
          <w:rStyle w:val="TekstpodstawowyZnak"/>
          <w:rFonts w:ascii="Arial" w:hAnsi="Arial" w:cs="Arial"/>
        </w:rPr>
        <w:t xml:space="preserve">Konwencji oraz o przyczynach tego </w:t>
      </w:r>
      <w:r w:rsidR="005C6EBB" w:rsidRPr="00506C28">
        <w:rPr>
          <w:rStyle w:val="TekstpodstawowyZnak"/>
          <w:rFonts w:ascii="Arial" w:hAnsi="Arial" w:cs="Arial"/>
        </w:rPr>
        <w:t>uchylenia</w:t>
      </w:r>
      <w:r w:rsidRPr="00506C28">
        <w:rPr>
          <w:rStyle w:val="TekstpodstawowyZnak"/>
          <w:rFonts w:ascii="Arial" w:hAnsi="Arial" w:cs="Arial"/>
        </w:rPr>
        <w:t xml:space="preserve">. </w:t>
      </w:r>
      <w:r w:rsidRPr="00506C28">
        <w:rPr>
          <w:rStyle w:val="TekstpodstawowyZnak"/>
          <w:rFonts w:ascii="Arial" w:hAnsi="Arial" w:cs="Arial"/>
          <w:b/>
          <w:bCs/>
        </w:rPr>
        <w:t>Trybunał powtórzył, że jest właściwy do zbadania tej kwestii z urzędu</w:t>
      </w:r>
      <w:r w:rsidRPr="00506C28">
        <w:rPr>
          <w:rStyle w:val="TekstpodstawowyZnak"/>
          <w:rFonts w:ascii="Arial" w:hAnsi="Arial" w:cs="Arial"/>
        </w:rPr>
        <w:t xml:space="preserve">, a w szczególności </w:t>
      </w:r>
      <w:r w:rsidRPr="00506C28">
        <w:rPr>
          <w:rStyle w:val="TekstpodstawowyZnak"/>
          <w:rFonts w:ascii="Arial" w:hAnsi="Arial" w:cs="Arial"/>
          <w:b/>
          <w:bCs/>
        </w:rPr>
        <w:t xml:space="preserve">tego, czy zawiadomienie Turcji o odstępstwie zawierało wystarczające informacje na temat środka, </w:t>
      </w:r>
      <w:r w:rsidRPr="00506C28">
        <w:rPr>
          <w:rStyle w:val="TekstpodstawowyZnak"/>
          <w:rFonts w:ascii="Arial" w:hAnsi="Arial" w:cs="Arial"/>
        </w:rPr>
        <w:t xml:space="preserve">który umożliwiał zatrzymanie skarżącego na co najmniej czternaście dni bez nadzoru sądowego, aby spełnić wymogi art. 15 § </w:t>
      </w:r>
      <w:r w:rsidR="008E75C1" w:rsidRPr="00506C28">
        <w:rPr>
          <w:rStyle w:val="TekstpodstawowyZnak"/>
          <w:rFonts w:ascii="Arial" w:hAnsi="Arial" w:cs="Arial"/>
        </w:rPr>
        <w:t>3.</w:t>
      </w:r>
      <w:r w:rsidRPr="00506C28">
        <w:rPr>
          <w:rStyle w:val="TekstpodstawowyZnak"/>
          <w:rFonts w:ascii="Arial" w:hAnsi="Arial" w:cs="Arial"/>
        </w:rPr>
        <w:t xml:space="preserve"> Jednakże biorąc pod uwagę swoje ustalenie, że zaskarżony środek nie był bezwzględnie wymagany ze względu na sytuację </w:t>
      </w:r>
      <w:r w:rsidR="008E75C1" w:rsidRPr="00506C28">
        <w:rPr>
          <w:rStyle w:val="TekstpodstawowyZnak"/>
          <w:rFonts w:ascii="Arial" w:hAnsi="Arial" w:cs="Arial"/>
        </w:rPr>
        <w:t>(zob.</w:t>
      </w:r>
      <w:r w:rsidRPr="00506C28">
        <w:rPr>
          <w:rStyle w:val="TekstpodstawowyZnak"/>
          <w:rFonts w:ascii="Arial" w:hAnsi="Arial" w:cs="Arial"/>
        </w:rPr>
        <w:t xml:space="preserve"> powyżej), Trybunał uznał, że nie ma potrzeby rozstrzygania tej kwestii.</w:t>
      </w:r>
    </w:p>
    <w:p w14:paraId="3C963925" w14:textId="6256AA44" w:rsidR="00782109" w:rsidRPr="00506C28" w:rsidRDefault="00782109" w:rsidP="004E75AD">
      <w:pPr>
        <w:pStyle w:val="Tekstpodstawowy"/>
        <w:spacing w:before="30"/>
        <w:jc w:val="both"/>
        <w:rPr>
          <w:rFonts w:ascii="Arial" w:hAnsi="Arial" w:cs="Arial"/>
          <w:sz w:val="18"/>
          <w:szCs w:val="18"/>
        </w:rPr>
      </w:pPr>
      <w:hyperlink r:id="rId65" w:history="1">
        <w:r w:rsidRPr="00506C28">
          <w:rPr>
            <w:rStyle w:val="TekstpodstawowyZnak"/>
            <w:rFonts w:ascii="Arial" w:hAnsi="Arial" w:cs="Arial"/>
            <w:b/>
            <w:bCs/>
            <w:sz w:val="18"/>
            <w:szCs w:val="18"/>
            <w:u w:val="single"/>
          </w:rPr>
          <w:t xml:space="preserve">Sakık i </w:t>
        </w:r>
        <w:r w:rsidR="003D4715" w:rsidRPr="00506C28">
          <w:rPr>
            <w:rStyle w:val="TekstpodstawowyZnak"/>
            <w:rFonts w:ascii="Arial" w:hAnsi="Arial" w:cs="Arial"/>
            <w:b/>
            <w:bCs/>
            <w:sz w:val="18"/>
            <w:szCs w:val="18"/>
            <w:u w:val="single"/>
          </w:rPr>
          <w:t>Inni</w:t>
        </w:r>
        <w:r w:rsidRPr="00506C28">
          <w:rPr>
            <w:rStyle w:val="TekstpodstawowyZnak"/>
            <w:rFonts w:ascii="Arial" w:hAnsi="Arial" w:cs="Arial"/>
            <w:b/>
            <w:bCs/>
            <w:sz w:val="18"/>
            <w:szCs w:val="18"/>
            <w:u w:val="single"/>
          </w:rPr>
          <w:t xml:space="preserve"> przeciwko Turcji</w:t>
        </w:r>
      </w:hyperlink>
    </w:p>
    <w:p w14:paraId="6A1B085F"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rPr>
        <w:t>26 listopada 1997 r. (wyrok)</w:t>
      </w:r>
    </w:p>
    <w:p w14:paraId="2A1D0CBD" w14:textId="66F9B19D"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color w:val="000000"/>
        </w:rPr>
        <w:t xml:space="preserve">Sprawa dotyczyła aresztowania i zatrzymania przez policję sześciu członków tureckiego Zgromadzenia Narodowego, którzy zostali postawieni przed sądem ds. bezpieczeństwa narodowego. Rząd turecki argumentował, że korzystając z prawa do </w:t>
      </w:r>
      <w:r w:rsidR="005C6EBB" w:rsidRPr="00506C28">
        <w:rPr>
          <w:rStyle w:val="TekstpodstawowyZnak"/>
          <w:rFonts w:ascii="Arial" w:hAnsi="Arial" w:cs="Arial"/>
          <w:color w:val="000000"/>
        </w:rPr>
        <w:t>uchylenia</w:t>
      </w:r>
      <w:r w:rsidRPr="00506C28">
        <w:rPr>
          <w:rStyle w:val="TekstpodstawowyZnak"/>
          <w:rFonts w:ascii="Arial" w:hAnsi="Arial" w:cs="Arial"/>
          <w:color w:val="000000"/>
        </w:rPr>
        <w:t xml:space="preserve"> na mocy art. 15 Konwencji, Turcja nie naruszyła </w:t>
      </w:r>
      <w:r w:rsidR="00090273">
        <w:rPr>
          <w:rStyle w:val="TekstpodstawowyZnak"/>
          <w:rFonts w:ascii="Arial" w:hAnsi="Arial" w:cs="Arial"/>
          <w:color w:val="000000"/>
        </w:rPr>
        <w:br/>
      </w:r>
      <w:r w:rsidRPr="00506C28">
        <w:rPr>
          <w:rStyle w:val="TekstpodstawowyZnak"/>
          <w:rFonts w:ascii="Arial" w:hAnsi="Arial" w:cs="Arial"/>
          <w:color w:val="000000"/>
        </w:rPr>
        <w:t>w niniejszej sprawie art. 5 (prawo do wolności i bezpieczeństwa</w:t>
      </w:r>
      <w:r w:rsidR="00631BCF" w:rsidRPr="00506C28">
        <w:rPr>
          <w:rStyle w:val="TekstpodstawowyZnak"/>
          <w:rFonts w:ascii="Arial" w:hAnsi="Arial" w:cs="Arial"/>
          <w:color w:val="000000"/>
        </w:rPr>
        <w:t xml:space="preserve"> osobistego</w:t>
      </w:r>
      <w:r w:rsidRPr="00506C28">
        <w:rPr>
          <w:rStyle w:val="TekstpodstawowyZnak"/>
          <w:rFonts w:ascii="Arial" w:hAnsi="Arial" w:cs="Arial"/>
          <w:color w:val="000000"/>
        </w:rPr>
        <w:t xml:space="preserve">) Konwencji. Składający skargę byli natomiast zdania, że </w:t>
      </w:r>
      <w:r w:rsidR="005C6EBB" w:rsidRPr="00506C28">
        <w:rPr>
          <w:rStyle w:val="TekstpodstawowyZnak"/>
          <w:rFonts w:ascii="Arial" w:hAnsi="Arial" w:cs="Arial"/>
          <w:color w:val="000000"/>
        </w:rPr>
        <w:t>uchylenie</w:t>
      </w:r>
      <w:r w:rsidRPr="00506C28">
        <w:rPr>
          <w:rStyle w:val="TekstpodstawowyZnak"/>
          <w:rFonts w:ascii="Arial" w:hAnsi="Arial" w:cs="Arial"/>
          <w:color w:val="000000"/>
        </w:rPr>
        <w:t xml:space="preserve"> to nie miało zastosowania do środków, które zostały wobec nich zastosowane.</w:t>
      </w:r>
    </w:p>
    <w:p w14:paraId="377E7B8A" w14:textId="5CA9F966" w:rsidR="00782109" w:rsidRPr="00506C28" w:rsidRDefault="009130BA" w:rsidP="004E75AD">
      <w:pPr>
        <w:pStyle w:val="Tekstpodstawowy"/>
        <w:spacing w:before="30" w:after="0"/>
        <w:jc w:val="both"/>
        <w:rPr>
          <w:rFonts w:ascii="Arial" w:hAnsi="Arial" w:cs="Arial"/>
          <w:b/>
          <w:bCs/>
        </w:rPr>
      </w:pPr>
      <w:r w:rsidRPr="00506C28">
        <w:rPr>
          <w:rStyle w:val="TekstpodstawowyZnak"/>
          <w:rFonts w:ascii="Arial" w:hAnsi="Arial" w:cs="Arial"/>
        </w:rPr>
        <w:t xml:space="preserve">Trybunał zauważył, że dekrety ustawodawcze nr 424, 425 i 430, o których mowa w </w:t>
      </w:r>
      <w:r w:rsidR="00705F0F" w:rsidRPr="00506C28">
        <w:rPr>
          <w:rStyle w:val="TekstpodstawowyZnak"/>
          <w:rFonts w:ascii="Arial" w:hAnsi="Arial" w:cs="Arial"/>
        </w:rPr>
        <w:t xml:space="preserve">uchyleniu </w:t>
      </w:r>
      <w:r w:rsidRPr="00506C28">
        <w:rPr>
          <w:rStyle w:val="TekstpodstawowyZnak"/>
          <w:rFonts w:ascii="Arial" w:hAnsi="Arial" w:cs="Arial"/>
        </w:rPr>
        <w:t xml:space="preserve">z 6 sierpnia 1990 r. i piśmie z dnia 3 stycznia 1991 r., miały zastosowanie, zgodnie z opisowym streszczeniem ich treści, wyłącznie do regionu, w którym ogłoszono stan wyjątkowy, który zgodnie z </w:t>
      </w:r>
      <w:r w:rsidR="005C6EBB" w:rsidRPr="00506C28">
        <w:rPr>
          <w:rStyle w:val="TekstpodstawowyZnak"/>
          <w:rFonts w:ascii="Arial" w:hAnsi="Arial" w:cs="Arial"/>
        </w:rPr>
        <w:t>uchyleniem</w:t>
      </w:r>
      <w:r w:rsidRPr="00506C28">
        <w:rPr>
          <w:rStyle w:val="TekstpodstawowyZnak"/>
          <w:rFonts w:ascii="Arial" w:hAnsi="Arial" w:cs="Arial"/>
        </w:rPr>
        <w:t xml:space="preserve"> nie obejmował miasta Ankara. Jednakże aresztowanie i zatrzymanie skarżących miało miejsce </w:t>
      </w:r>
      <w:r w:rsidR="00EB185C" w:rsidRPr="00506C28">
        <w:rPr>
          <w:rStyle w:val="TekstpodstawowyZnak"/>
          <w:rFonts w:ascii="Arial" w:hAnsi="Arial" w:cs="Arial"/>
        </w:rPr>
        <w:t xml:space="preserve">właśnie </w:t>
      </w:r>
      <w:r w:rsidRPr="00506C28">
        <w:rPr>
          <w:rStyle w:val="TekstpodstawowyZnak"/>
          <w:rFonts w:ascii="Arial" w:hAnsi="Arial" w:cs="Arial"/>
        </w:rPr>
        <w:t xml:space="preserve">w Ankarze na polecenie prokuratora przy Sądzie Bezpieczeństwa Narodowego w Ankarze, a następnie sędziów tego sądu. W opinii rządu tureckiego nie stanowiło to przeszkody dla zastosowania </w:t>
      </w:r>
      <w:r w:rsidR="005C6EBB" w:rsidRPr="00506C28">
        <w:rPr>
          <w:rStyle w:val="TekstpodstawowyZnak"/>
          <w:rFonts w:ascii="Arial" w:hAnsi="Arial" w:cs="Arial"/>
        </w:rPr>
        <w:t>uchylenia</w:t>
      </w:r>
      <w:r w:rsidRPr="00506C28">
        <w:rPr>
          <w:rStyle w:val="TekstpodstawowyZnak"/>
          <w:rFonts w:ascii="Arial" w:hAnsi="Arial" w:cs="Arial"/>
        </w:rPr>
        <w:t xml:space="preserve">, a okoliczności sprawy stanowiły jedynie przedłużenie kampanii terrorystycznej prowadzonej z obszaru objętego stanem wyjątkowym </w:t>
      </w:r>
      <w:r w:rsidR="00090273">
        <w:rPr>
          <w:rStyle w:val="TekstpodstawowyZnak"/>
          <w:rFonts w:ascii="Arial" w:hAnsi="Arial" w:cs="Arial"/>
        </w:rPr>
        <w:br/>
      </w:r>
      <w:r w:rsidRPr="00506C28">
        <w:rPr>
          <w:rStyle w:val="TekstpodstawowyZnak"/>
          <w:rFonts w:ascii="Arial" w:hAnsi="Arial" w:cs="Arial"/>
        </w:rPr>
        <w:t xml:space="preserve">w południowo-wschodniej Turcji. </w:t>
      </w:r>
      <w:r w:rsidRPr="00506C28">
        <w:rPr>
          <w:rStyle w:val="TekstpodstawowyZnak"/>
          <w:rFonts w:ascii="Arial" w:hAnsi="Arial" w:cs="Arial"/>
          <w:b/>
          <w:bCs/>
        </w:rPr>
        <w:t>Trybunał uznał</w:t>
      </w:r>
      <w:r w:rsidRPr="00506C28">
        <w:rPr>
          <w:rStyle w:val="TekstpodstawowyZnak"/>
          <w:rFonts w:ascii="Arial" w:hAnsi="Arial" w:cs="Arial"/>
        </w:rPr>
        <w:t xml:space="preserve">, że w niniejszej sprawie </w:t>
      </w:r>
      <w:r w:rsidRPr="00506C28">
        <w:rPr>
          <w:rStyle w:val="TekstpodstawowyZnak"/>
          <w:rFonts w:ascii="Arial" w:hAnsi="Arial" w:cs="Arial"/>
          <w:b/>
          <w:bCs/>
        </w:rPr>
        <w:t xml:space="preserve">rozszerzenie skutków </w:t>
      </w:r>
      <w:r w:rsidR="005C6EBB" w:rsidRPr="00506C28">
        <w:rPr>
          <w:rStyle w:val="TekstpodstawowyZnak"/>
          <w:rFonts w:ascii="Arial" w:hAnsi="Arial" w:cs="Arial"/>
          <w:b/>
          <w:bCs/>
        </w:rPr>
        <w:t>uchylenia</w:t>
      </w:r>
      <w:r w:rsidRPr="00506C28">
        <w:rPr>
          <w:rStyle w:val="TekstpodstawowyZnak"/>
          <w:rFonts w:ascii="Arial" w:hAnsi="Arial" w:cs="Arial"/>
          <w:b/>
          <w:bCs/>
        </w:rPr>
        <w:t xml:space="preserve"> na terytorium </w:t>
      </w:r>
      <w:r w:rsidR="002B004A" w:rsidRPr="00506C28">
        <w:rPr>
          <w:rStyle w:val="TekstpodstawowyZnak"/>
          <w:rFonts w:ascii="Arial" w:hAnsi="Arial" w:cs="Arial"/>
          <w:b/>
          <w:bCs/>
        </w:rPr>
        <w:t>niewymienione wyraźnie</w:t>
      </w:r>
      <w:r w:rsidRPr="00506C28">
        <w:rPr>
          <w:rStyle w:val="TekstpodstawowyZnak"/>
          <w:rFonts w:ascii="Arial" w:hAnsi="Arial" w:cs="Arial"/>
          <w:b/>
          <w:bCs/>
        </w:rPr>
        <w:t xml:space="preserve"> w zawiadomieniu o </w:t>
      </w:r>
      <w:r w:rsidR="00EB185C" w:rsidRPr="00506C28">
        <w:rPr>
          <w:rStyle w:val="TekstpodstawowyZnak"/>
          <w:rFonts w:ascii="Arial" w:hAnsi="Arial" w:cs="Arial"/>
          <w:b/>
          <w:bCs/>
        </w:rPr>
        <w:t xml:space="preserve">uchyleniu </w:t>
      </w:r>
      <w:r w:rsidRPr="00506C28">
        <w:rPr>
          <w:rStyle w:val="TekstpodstawowyZnak"/>
          <w:rFonts w:ascii="Arial" w:hAnsi="Arial" w:cs="Arial"/>
          <w:b/>
          <w:bCs/>
        </w:rPr>
        <w:t xml:space="preserve">byłoby sprzeczne z celem </w:t>
      </w:r>
      <w:r w:rsidR="00090273">
        <w:rPr>
          <w:rStyle w:val="TekstpodstawowyZnak"/>
          <w:rFonts w:ascii="Arial" w:hAnsi="Arial" w:cs="Arial"/>
          <w:b/>
          <w:bCs/>
        </w:rPr>
        <w:br/>
      </w:r>
      <w:r w:rsidRPr="00506C28">
        <w:rPr>
          <w:rStyle w:val="TekstpodstawowyZnak"/>
          <w:rFonts w:ascii="Arial" w:hAnsi="Arial" w:cs="Arial"/>
          <w:b/>
          <w:bCs/>
        </w:rPr>
        <w:t xml:space="preserve">i sensem art. 15 Konwencji. </w:t>
      </w:r>
      <w:r w:rsidR="005C6EBB" w:rsidRPr="00506C28">
        <w:rPr>
          <w:rStyle w:val="TekstpodstawowyZnak"/>
          <w:rFonts w:ascii="Arial" w:hAnsi="Arial" w:cs="Arial"/>
        </w:rPr>
        <w:t>Uchylenie</w:t>
      </w:r>
      <w:r w:rsidRPr="00506C28">
        <w:rPr>
          <w:rStyle w:val="TekstpodstawowyZnak"/>
          <w:rFonts w:ascii="Arial" w:hAnsi="Arial" w:cs="Arial"/>
        </w:rPr>
        <w:t xml:space="preserve"> to nie miało zatem zastosowania </w:t>
      </w:r>
      <w:r w:rsidRPr="00506C28">
        <w:rPr>
          <w:rStyle w:val="TekstpodstawowyZnak"/>
          <w:rFonts w:ascii="Arial" w:hAnsi="Arial" w:cs="Arial"/>
          <w:i/>
          <w:iCs/>
        </w:rPr>
        <w:t>ratione loci</w:t>
      </w:r>
      <w:r w:rsidRPr="00506C28">
        <w:rPr>
          <w:rStyle w:val="TekstpodstawowyZnak"/>
          <w:rFonts w:ascii="Arial" w:hAnsi="Arial" w:cs="Arial"/>
        </w:rPr>
        <w:t xml:space="preserve"> do okoliczności faktycznych sprawy i nie było konieczne ustalenie, czy spełniało ono wymogi art. 15.</w:t>
      </w:r>
    </w:p>
    <w:p w14:paraId="3CC410FE" w14:textId="636ED5C9" w:rsidR="006278DB" w:rsidRPr="00506C28" w:rsidRDefault="009130BA" w:rsidP="004E75AD">
      <w:pPr>
        <w:pStyle w:val="Heading20"/>
        <w:keepNext/>
        <w:keepLines/>
        <w:spacing w:before="30"/>
        <w:jc w:val="both"/>
        <w:rPr>
          <w:rStyle w:val="TekstpodstawowyZnak"/>
          <w:rFonts w:ascii="Arial" w:hAnsi="Arial" w:cs="Arial"/>
          <w:color w:val="404040"/>
        </w:rPr>
      </w:pPr>
      <w:r w:rsidRPr="00506C28">
        <w:rPr>
          <w:rStyle w:val="TekstpodstawowyZnak"/>
          <w:rFonts w:ascii="Arial" w:hAnsi="Arial" w:cs="Arial"/>
          <w:i/>
          <w:iCs/>
          <w:color w:val="404040"/>
        </w:rPr>
        <w:t>Zob</w:t>
      </w:r>
      <w:r w:rsidRPr="00506C28">
        <w:rPr>
          <w:rStyle w:val="TekstpodstawowyZnak"/>
          <w:rFonts w:ascii="Arial" w:hAnsi="Arial" w:cs="Arial"/>
          <w:color w:val="404040"/>
        </w:rPr>
        <w:t xml:space="preserve">. </w:t>
      </w:r>
      <w:r w:rsidRPr="00506C28">
        <w:rPr>
          <w:rStyle w:val="TekstpodstawowyZnak"/>
          <w:rFonts w:ascii="Arial" w:hAnsi="Arial" w:cs="Arial"/>
          <w:i/>
          <w:iCs/>
          <w:color w:val="404040"/>
        </w:rPr>
        <w:t>również</w:t>
      </w:r>
      <w:r w:rsidRPr="00506C28">
        <w:rPr>
          <w:rStyle w:val="TekstpodstawowyZnak"/>
          <w:rFonts w:ascii="Arial" w:hAnsi="Arial" w:cs="Arial"/>
          <w:color w:val="404040"/>
        </w:rPr>
        <w:t xml:space="preserve"> m.in.: </w:t>
      </w:r>
      <w:hyperlink r:id="rId66" w:history="1">
        <w:r w:rsidR="00782109" w:rsidRPr="00506C28">
          <w:rPr>
            <w:rStyle w:val="TekstpodstawowyZnak"/>
            <w:rFonts w:ascii="Arial" w:eastAsia="Arial" w:hAnsi="Arial" w:cs="Arial"/>
            <w:b/>
            <w:bCs/>
            <w:i/>
            <w:iCs/>
            <w:u w:val="single"/>
          </w:rPr>
          <w:t>Abdülsamet Yaman przeciwko Turcji</w:t>
        </w:r>
      </w:hyperlink>
      <w:r w:rsidRPr="00506C28">
        <w:rPr>
          <w:rStyle w:val="TekstpodstawowyZnak"/>
          <w:rFonts w:ascii="Arial" w:hAnsi="Arial" w:cs="Arial"/>
          <w:color w:val="404040"/>
        </w:rPr>
        <w:t xml:space="preserve">, wyrok z dnia 2 listopada 2004 r.; </w:t>
      </w:r>
      <w:hyperlink r:id="rId67" w:history="1">
        <w:r w:rsidR="00782109" w:rsidRPr="00506C28">
          <w:rPr>
            <w:rStyle w:val="TekstpodstawowyZnak"/>
            <w:rFonts w:ascii="Arial" w:eastAsia="Arial" w:hAnsi="Arial" w:cs="Arial"/>
            <w:b/>
            <w:bCs/>
            <w:i/>
            <w:iCs/>
            <w:u w:val="single"/>
          </w:rPr>
          <w:t>Yurttas przeciwko Turcji</w:t>
        </w:r>
      </w:hyperlink>
      <w:r w:rsidRPr="00506C28">
        <w:rPr>
          <w:rStyle w:val="TekstpodstawowyZnak"/>
          <w:rFonts w:ascii="Arial" w:hAnsi="Arial" w:cs="Arial"/>
          <w:color w:val="404040"/>
        </w:rPr>
        <w:t>, wyrok z dnia 27 maja 2004 r</w:t>
      </w:r>
      <w:r w:rsidR="00CC30F8" w:rsidRPr="00506C28">
        <w:rPr>
          <w:rStyle w:val="TekstpodstawowyZnak"/>
          <w:rFonts w:ascii="Arial" w:hAnsi="Arial" w:cs="Arial"/>
          <w:color w:val="404040"/>
        </w:rPr>
        <w:t>.</w:t>
      </w:r>
      <w:r w:rsidR="006278DB" w:rsidRPr="00506C28">
        <w:rPr>
          <w:rStyle w:val="TekstpodstawowyZnak"/>
          <w:rFonts w:ascii="Arial" w:hAnsi="Arial" w:cs="Arial"/>
          <w:color w:val="404040"/>
        </w:rPr>
        <w:t xml:space="preserve"> </w:t>
      </w:r>
    </w:p>
    <w:p w14:paraId="2FEDA35F" w14:textId="7FD1A1A1" w:rsidR="006278DB" w:rsidRPr="00506C28" w:rsidRDefault="006278DB" w:rsidP="004E75AD">
      <w:pPr>
        <w:pStyle w:val="Heading20"/>
        <w:keepNext/>
        <w:keepLines/>
        <w:spacing w:before="30"/>
        <w:jc w:val="both"/>
        <w:rPr>
          <w:rFonts w:ascii="Arial" w:hAnsi="Arial" w:cs="Arial"/>
        </w:rPr>
      </w:pPr>
      <w:r w:rsidRPr="00506C28">
        <w:rPr>
          <w:rStyle w:val="Heading2"/>
          <w:rFonts w:ascii="Arial" w:hAnsi="Arial" w:cs="Arial"/>
        </w:rPr>
        <w:t>Informacje o dacie, z którą środki przesta</w:t>
      </w:r>
      <w:r w:rsidR="00631BCF" w:rsidRPr="00506C28">
        <w:rPr>
          <w:rStyle w:val="Heading2"/>
          <w:rFonts w:ascii="Arial" w:hAnsi="Arial" w:cs="Arial"/>
        </w:rPr>
        <w:t>ją</w:t>
      </w:r>
      <w:r w:rsidRPr="00506C28">
        <w:rPr>
          <w:rStyle w:val="Heading2"/>
          <w:rFonts w:ascii="Arial" w:hAnsi="Arial" w:cs="Arial"/>
        </w:rPr>
        <w:t xml:space="preserve"> obowiązywać</w:t>
      </w:r>
    </w:p>
    <w:p w14:paraId="4AA1433C" w14:textId="2832AD0D" w:rsidR="006278DB" w:rsidRPr="00506C28" w:rsidRDefault="006278DB" w:rsidP="004E75AD">
      <w:pPr>
        <w:pStyle w:val="Heading30"/>
        <w:keepNext/>
        <w:keepLines/>
        <w:spacing w:before="30" w:after="0"/>
        <w:jc w:val="both"/>
        <w:rPr>
          <w:rFonts w:ascii="Arial" w:hAnsi="Arial" w:cs="Arial"/>
        </w:rPr>
      </w:pPr>
      <w:hyperlink r:id="rId68" w:history="1">
        <w:r w:rsidRPr="00506C28">
          <w:rPr>
            <w:rStyle w:val="Heading3"/>
            <w:rFonts w:ascii="Arial" w:hAnsi="Arial" w:cs="Arial"/>
            <w:b/>
            <w:bCs/>
          </w:rPr>
          <w:t xml:space="preserve">Brogan i </w:t>
        </w:r>
        <w:r w:rsidR="003D4715" w:rsidRPr="00506C28">
          <w:rPr>
            <w:rStyle w:val="Heading3"/>
            <w:rFonts w:ascii="Arial" w:hAnsi="Arial" w:cs="Arial"/>
            <w:b/>
            <w:bCs/>
          </w:rPr>
          <w:t>Inni</w:t>
        </w:r>
        <w:r w:rsidRPr="00506C28">
          <w:rPr>
            <w:rStyle w:val="Heading3"/>
            <w:rFonts w:ascii="Arial" w:hAnsi="Arial" w:cs="Arial"/>
            <w:b/>
            <w:bCs/>
          </w:rPr>
          <w:t xml:space="preserve"> przeciwko Zjednoczonemu Królestwu</w:t>
        </w:r>
      </w:hyperlink>
    </w:p>
    <w:p w14:paraId="279D38D4" w14:textId="77777777" w:rsidR="006278DB" w:rsidRPr="00506C28" w:rsidRDefault="006278DB" w:rsidP="004E75AD">
      <w:pPr>
        <w:pStyle w:val="Bodytext30"/>
        <w:spacing w:before="30"/>
        <w:jc w:val="both"/>
        <w:rPr>
          <w:rFonts w:ascii="Arial" w:hAnsi="Arial" w:cs="Arial"/>
        </w:rPr>
      </w:pPr>
      <w:r w:rsidRPr="00506C28">
        <w:rPr>
          <w:rStyle w:val="Bodytext3"/>
          <w:rFonts w:ascii="Arial" w:hAnsi="Arial" w:cs="Arial"/>
        </w:rPr>
        <w:t>29 listopada 1988 r. (wyrok)</w:t>
      </w:r>
    </w:p>
    <w:p w14:paraId="5599E34C" w14:textId="3B25A676" w:rsidR="006278DB" w:rsidRPr="00506C28" w:rsidRDefault="006278DB" w:rsidP="004E75AD">
      <w:pPr>
        <w:pStyle w:val="Tekstpodstawowy"/>
        <w:spacing w:before="30" w:after="0"/>
        <w:jc w:val="both"/>
        <w:rPr>
          <w:rFonts w:ascii="Arial" w:hAnsi="Arial" w:cs="Arial"/>
        </w:rPr>
      </w:pPr>
      <w:r w:rsidRPr="00506C28">
        <w:rPr>
          <w:rStyle w:val="TekstpodstawowyZnak"/>
          <w:rFonts w:ascii="Arial" w:hAnsi="Arial" w:cs="Arial"/>
          <w:color w:val="000000"/>
        </w:rPr>
        <w:t>Czterech wnioskodawców, podejrzanych o akty terrorystyczne, zostało aresztowanych przez policję w Irlandii Północnej we wrześniu i październiku 1984 r. Po przesłuchaniach trwających od czterech dni i sześciu godzin do sześciu dni i szesnastu i pół godziny zostali zwolnieni bez postawienia</w:t>
      </w:r>
      <w:r w:rsidR="00631BCF" w:rsidRPr="00506C28">
        <w:rPr>
          <w:rStyle w:val="TekstpodstawowyZnak"/>
          <w:rFonts w:ascii="Arial" w:hAnsi="Arial" w:cs="Arial"/>
          <w:color w:val="000000"/>
        </w:rPr>
        <w:t xml:space="preserve"> im</w:t>
      </w:r>
      <w:r w:rsidRPr="00506C28">
        <w:rPr>
          <w:rStyle w:val="TekstpodstawowyZnak"/>
          <w:rFonts w:ascii="Arial" w:hAnsi="Arial" w:cs="Arial"/>
          <w:color w:val="000000"/>
        </w:rPr>
        <w:t xml:space="preserve"> zarzutów i bez postawienia </w:t>
      </w:r>
      <w:r w:rsidR="00631BCF" w:rsidRPr="00506C28">
        <w:rPr>
          <w:rStyle w:val="TekstpodstawowyZnak"/>
          <w:rFonts w:ascii="Arial" w:hAnsi="Arial" w:cs="Arial"/>
          <w:color w:val="000000"/>
        </w:rPr>
        <w:t xml:space="preserve">ich </w:t>
      </w:r>
      <w:r w:rsidRPr="00506C28">
        <w:rPr>
          <w:rStyle w:val="TekstpodstawowyZnak"/>
          <w:rFonts w:ascii="Arial" w:hAnsi="Arial" w:cs="Arial"/>
          <w:color w:val="000000"/>
        </w:rPr>
        <w:t xml:space="preserve">przed sędzią. Rząd Zjednoczonego Królestwa szeroko odniósł się do istnienia szczególnie trudnych okoliczności w Irlandii Północnej, </w:t>
      </w:r>
      <w:r w:rsidR="00631BCF" w:rsidRPr="00506C28">
        <w:rPr>
          <w:rStyle w:val="TekstpodstawowyZnak"/>
          <w:rFonts w:ascii="Arial" w:hAnsi="Arial" w:cs="Arial"/>
          <w:color w:val="000000"/>
        </w:rPr>
        <w:t>zwłaszcza</w:t>
      </w:r>
      <w:r w:rsidRPr="00506C28">
        <w:rPr>
          <w:rStyle w:val="TekstpodstawowyZnak"/>
          <w:rFonts w:ascii="Arial" w:hAnsi="Arial" w:cs="Arial"/>
          <w:color w:val="000000"/>
        </w:rPr>
        <w:t xml:space="preserve"> do zagrożenia ze strony zorganizowanego terroryzmu.</w:t>
      </w:r>
    </w:p>
    <w:p w14:paraId="40864B11" w14:textId="555F410B" w:rsidR="00BA1E05" w:rsidRPr="00506C28" w:rsidRDefault="006278DB" w:rsidP="004E75AD">
      <w:pPr>
        <w:pStyle w:val="Tekstpodstawowy"/>
        <w:spacing w:before="30" w:after="180"/>
        <w:jc w:val="both"/>
        <w:rPr>
          <w:rStyle w:val="TekstpodstawowyZnak"/>
          <w:rFonts w:ascii="Arial" w:hAnsi="Arial" w:cs="Arial"/>
          <w:b/>
          <w:bCs/>
        </w:rPr>
      </w:pPr>
      <w:r w:rsidRPr="00506C28">
        <w:rPr>
          <w:rStyle w:val="TekstpodstawowyZnak"/>
          <w:rFonts w:ascii="Arial" w:hAnsi="Arial" w:cs="Arial"/>
        </w:rPr>
        <w:t xml:space="preserve">Trybunał zauważył między innymi, że w dniu 22 sierpnia 1984 r. </w:t>
      </w:r>
      <w:r w:rsidRPr="00506C28">
        <w:rPr>
          <w:rStyle w:val="TekstpodstawowyZnak"/>
          <w:rFonts w:ascii="Arial" w:hAnsi="Arial" w:cs="Arial"/>
          <w:b/>
          <w:bCs/>
        </w:rPr>
        <w:t xml:space="preserve">rząd brytyjski poinformował </w:t>
      </w:r>
      <w:r w:rsidR="00B11D89" w:rsidRPr="00506C28">
        <w:rPr>
          <w:rStyle w:val="TekstpodstawowyZnak"/>
          <w:rFonts w:ascii="Arial" w:hAnsi="Arial" w:cs="Arial"/>
          <w:b/>
          <w:bCs/>
        </w:rPr>
        <w:t>S</w:t>
      </w:r>
      <w:r w:rsidRPr="00506C28">
        <w:rPr>
          <w:rStyle w:val="TekstpodstawowyZnak"/>
          <w:rFonts w:ascii="Arial" w:hAnsi="Arial" w:cs="Arial"/>
          <w:b/>
          <w:bCs/>
        </w:rPr>
        <w:t xml:space="preserve">ekretarza </w:t>
      </w:r>
      <w:r w:rsidR="00B11D89" w:rsidRPr="00506C28">
        <w:rPr>
          <w:rStyle w:val="TekstpodstawowyZnak"/>
          <w:rFonts w:ascii="Arial" w:hAnsi="Arial" w:cs="Arial"/>
          <w:b/>
          <w:bCs/>
        </w:rPr>
        <w:t>G</w:t>
      </w:r>
      <w:r w:rsidRPr="00506C28">
        <w:rPr>
          <w:rStyle w:val="TekstpodstawowyZnak"/>
          <w:rFonts w:ascii="Arial" w:hAnsi="Arial" w:cs="Arial"/>
          <w:b/>
          <w:bCs/>
        </w:rPr>
        <w:t xml:space="preserve">eneralnego Rady Europy o wycofaniu zawiadomienia o </w:t>
      </w:r>
      <w:r w:rsidR="00631BCF" w:rsidRPr="00506C28">
        <w:rPr>
          <w:rStyle w:val="TekstpodstawowyZnak"/>
          <w:rFonts w:ascii="Arial" w:hAnsi="Arial" w:cs="Arial"/>
          <w:b/>
          <w:bCs/>
        </w:rPr>
        <w:t xml:space="preserve">uchyleniu </w:t>
      </w:r>
      <w:r w:rsidRPr="00506C28">
        <w:rPr>
          <w:rStyle w:val="TekstpodstawowyZnak"/>
          <w:rFonts w:ascii="Arial" w:hAnsi="Arial" w:cs="Arial"/>
        </w:rPr>
        <w:t xml:space="preserve">wydanego na podstawie art. 15 </w:t>
      </w:r>
      <w:r w:rsidR="000C71AD" w:rsidRPr="00506C28">
        <w:rPr>
          <w:rStyle w:val="TekstpodstawowyZnak"/>
          <w:rFonts w:ascii="Arial" w:hAnsi="Arial" w:cs="Arial"/>
        </w:rPr>
        <w:t>K</w:t>
      </w:r>
      <w:r w:rsidRPr="00506C28">
        <w:rPr>
          <w:rStyle w:val="TekstpodstawowyZnak"/>
          <w:rFonts w:ascii="Arial" w:hAnsi="Arial" w:cs="Arial"/>
        </w:rPr>
        <w:t xml:space="preserve">onwencji, powołując się na sytuację nadzwyczajną w Irlandii Północnej. W związku z tym w niniejszym postępowaniu nie było potrzeby rozważania czy </w:t>
      </w:r>
      <w:r w:rsidR="005C6EBB" w:rsidRPr="00506C28">
        <w:rPr>
          <w:rStyle w:val="TekstpodstawowyZnak"/>
          <w:rFonts w:ascii="Arial" w:hAnsi="Arial" w:cs="Arial"/>
        </w:rPr>
        <w:t>uchylenie</w:t>
      </w:r>
      <w:r w:rsidRPr="00506C28">
        <w:rPr>
          <w:rStyle w:val="TekstpodstawowyZnak"/>
          <w:rFonts w:ascii="Arial" w:hAnsi="Arial" w:cs="Arial"/>
        </w:rPr>
        <w:t xml:space="preserve"> od zobowiązań Zjednoczonego Królestwa wynikających z Konwencji może być dopuszczalne na podstawie art. 15 ze względu na kampanię terrorystyczną w Irlandii Północnej. Rozpatrzenie sprawy musiało przebiegać w oparciu o założenie, </w:t>
      </w:r>
      <w:r w:rsidR="00090273">
        <w:rPr>
          <w:rStyle w:val="TekstpodstawowyZnak"/>
          <w:rFonts w:ascii="Arial" w:hAnsi="Arial" w:cs="Arial"/>
        </w:rPr>
        <w:br/>
      </w:r>
      <w:r w:rsidRPr="00506C28">
        <w:rPr>
          <w:rStyle w:val="TekstpodstawowyZnak"/>
          <w:rFonts w:ascii="Arial" w:hAnsi="Arial" w:cs="Arial"/>
          <w:b/>
          <w:bCs/>
        </w:rPr>
        <w:t xml:space="preserve">że artykuły Konwencji, których dotyczyły skargi, pozostawały w pełni </w:t>
      </w:r>
      <w:r w:rsidR="000C71AD" w:rsidRPr="00506C28">
        <w:rPr>
          <w:rStyle w:val="TekstpodstawowyZnak"/>
          <w:rFonts w:ascii="Arial" w:hAnsi="Arial" w:cs="Arial"/>
          <w:b/>
          <w:bCs/>
        </w:rPr>
        <w:t>obowiązujące.</w:t>
      </w:r>
      <w:r w:rsidR="00EB185C" w:rsidRPr="00506C28">
        <w:rPr>
          <w:rStyle w:val="TekstpodstawowyZnak"/>
          <w:rFonts w:ascii="Arial" w:hAnsi="Arial" w:cs="Arial"/>
          <w:b/>
          <w:bCs/>
        </w:rPr>
        <w:t xml:space="preserve"> </w:t>
      </w:r>
      <w:r w:rsidRPr="00506C28">
        <w:rPr>
          <w:rStyle w:val="TekstpodstawowyZnak"/>
          <w:rFonts w:ascii="Arial" w:hAnsi="Arial" w:cs="Arial"/>
          <w:b/>
          <w:bCs/>
        </w:rPr>
        <w:t xml:space="preserve">Nie wykluczało </w:t>
      </w:r>
      <w:r w:rsidRPr="00506C28">
        <w:rPr>
          <w:rStyle w:val="TekstpodstawowyZnak"/>
          <w:rFonts w:ascii="Arial" w:hAnsi="Arial" w:cs="Arial"/>
          <w:b/>
          <w:bCs/>
        </w:rPr>
        <w:lastRenderedPageBreak/>
        <w:t xml:space="preserve">to jednak </w:t>
      </w:r>
      <w:r w:rsidR="000C71AD" w:rsidRPr="00506C28">
        <w:rPr>
          <w:rStyle w:val="TekstpodstawowyZnak"/>
          <w:rFonts w:ascii="Arial" w:hAnsi="Arial" w:cs="Arial"/>
          <w:b/>
          <w:bCs/>
        </w:rPr>
        <w:t xml:space="preserve">należytego </w:t>
      </w:r>
      <w:r w:rsidRPr="00506C28">
        <w:rPr>
          <w:rStyle w:val="TekstpodstawowyZnak"/>
          <w:rFonts w:ascii="Arial" w:hAnsi="Arial" w:cs="Arial"/>
          <w:b/>
          <w:bCs/>
        </w:rPr>
        <w:t xml:space="preserve">uwzględnienia okoliczności towarzyszących sprawie. </w:t>
      </w:r>
    </w:p>
    <w:p w14:paraId="0BB1C2FD" w14:textId="738D2752" w:rsidR="006278DB" w:rsidRPr="00506C28" w:rsidRDefault="006278DB" w:rsidP="004E75AD">
      <w:pPr>
        <w:pStyle w:val="Tekstpodstawowy"/>
        <w:spacing w:before="30" w:after="180"/>
        <w:jc w:val="both"/>
        <w:rPr>
          <w:rFonts w:ascii="Arial" w:hAnsi="Arial" w:cs="Arial"/>
        </w:rPr>
      </w:pPr>
      <w:r w:rsidRPr="00506C28">
        <w:rPr>
          <w:rStyle w:val="TekstpodstawowyZnak"/>
          <w:rFonts w:ascii="Arial" w:hAnsi="Arial" w:cs="Arial"/>
        </w:rPr>
        <w:t>W</w:t>
      </w:r>
      <w:r w:rsidR="00BA1E05" w:rsidRPr="00506C28">
        <w:rPr>
          <w:rStyle w:val="TekstpodstawowyZnak"/>
          <w:rFonts w:ascii="Arial" w:hAnsi="Arial" w:cs="Arial"/>
        </w:rPr>
        <w:t xml:space="preserve"> </w:t>
      </w:r>
      <w:r w:rsidRPr="00506C28">
        <w:rPr>
          <w:rStyle w:val="TekstpodstawowyZnak"/>
          <w:rFonts w:ascii="Arial" w:hAnsi="Arial" w:cs="Arial"/>
        </w:rPr>
        <w:t xml:space="preserve">kontekście art. 5 do Trybunału należało ustalenie znaczenia, jakie należy przypisać tym </w:t>
      </w:r>
      <w:r w:rsidR="00EB185C" w:rsidRPr="00506C28">
        <w:rPr>
          <w:rStyle w:val="TekstpodstawowyZnak"/>
          <w:rFonts w:ascii="Arial" w:hAnsi="Arial" w:cs="Arial"/>
        </w:rPr>
        <w:t>okolicznościom</w:t>
      </w:r>
      <w:r w:rsidRPr="00506C28">
        <w:rPr>
          <w:rStyle w:val="TekstpodstawowyZnak"/>
          <w:rFonts w:ascii="Arial" w:hAnsi="Arial" w:cs="Arial"/>
        </w:rPr>
        <w:t xml:space="preserve"> oraz stwierdzenie, czy w niniejszej sprawie osiągnięta równowaga </w:t>
      </w:r>
      <w:r w:rsidR="00171AF3" w:rsidRPr="00506C28">
        <w:rPr>
          <w:rStyle w:val="TekstpodstawowyZnak"/>
          <w:rFonts w:ascii="Arial" w:hAnsi="Arial" w:cs="Arial"/>
        </w:rPr>
        <w:t xml:space="preserve">była </w:t>
      </w:r>
      <w:r w:rsidRPr="00506C28">
        <w:rPr>
          <w:rStyle w:val="TekstpodstawowyZnak"/>
          <w:rFonts w:ascii="Arial" w:hAnsi="Arial" w:cs="Arial"/>
        </w:rPr>
        <w:t>zgodna z odpowiednimi przepisami tego artykułu w świetle</w:t>
      </w:r>
      <w:r w:rsidR="002A4458" w:rsidRPr="00506C28">
        <w:rPr>
          <w:rStyle w:val="TekstpodstawowyZnak"/>
          <w:rFonts w:ascii="Arial" w:hAnsi="Arial" w:cs="Arial"/>
        </w:rPr>
        <w:t xml:space="preserve"> </w:t>
      </w:r>
      <w:r w:rsidRPr="00506C28">
        <w:rPr>
          <w:rStyle w:val="TekstpodstawowyZnak"/>
          <w:rFonts w:ascii="Arial" w:hAnsi="Arial" w:cs="Arial"/>
        </w:rPr>
        <w:t xml:space="preserve">ich szczególnego brzmienia oraz ogólnego celu i sensu. Trybunał stwierdził, że doszło </w:t>
      </w:r>
      <w:r w:rsidRPr="00506C28">
        <w:rPr>
          <w:rStyle w:val="TekstpodstawowyZnak"/>
          <w:rFonts w:ascii="Arial" w:hAnsi="Arial" w:cs="Arial"/>
          <w:b/>
          <w:bCs/>
        </w:rPr>
        <w:t xml:space="preserve">do naruszenia art. 5 § 3 </w:t>
      </w:r>
      <w:r w:rsidRPr="00506C28">
        <w:rPr>
          <w:rStyle w:val="TekstpodstawowyZnak"/>
          <w:rFonts w:ascii="Arial" w:hAnsi="Arial" w:cs="Arial"/>
        </w:rPr>
        <w:t>Konwencji, uznając, że nie można uznać, aby okres czterech dni i sześciu godzin, a nawet dłuższy, spełniał wymóg niezwłoczności.</w:t>
      </w:r>
    </w:p>
    <w:p w14:paraId="0CBD8766" w14:textId="092A6902" w:rsidR="00090273" w:rsidRPr="00506C28" w:rsidRDefault="006278DB" w:rsidP="004E75AD">
      <w:pPr>
        <w:pStyle w:val="Heading20"/>
        <w:keepNext/>
        <w:keepLines/>
        <w:spacing w:before="30" w:after="400"/>
        <w:jc w:val="both"/>
        <w:rPr>
          <w:rFonts w:ascii="Arial" w:hAnsi="Arial" w:cs="Arial"/>
        </w:rPr>
      </w:pPr>
      <w:r w:rsidRPr="00506C28">
        <w:rPr>
          <w:rStyle w:val="Heading2"/>
          <w:rFonts w:ascii="Arial" w:hAnsi="Arial" w:cs="Arial"/>
          <w:color w:val="0071BB"/>
        </w:rPr>
        <w:t>Prawa niepodlegające ograniczeniom lub prawa niematerialne</w:t>
      </w:r>
    </w:p>
    <w:p w14:paraId="28BD60F5" w14:textId="77777777" w:rsidR="006278DB" w:rsidRPr="00506C28" w:rsidRDefault="006278DB" w:rsidP="004E75AD">
      <w:pPr>
        <w:pStyle w:val="Heading20"/>
        <w:keepNext/>
        <w:keepLines/>
        <w:spacing w:before="30" w:after="400"/>
        <w:jc w:val="both"/>
        <w:rPr>
          <w:rFonts w:ascii="Arial" w:hAnsi="Arial" w:cs="Arial"/>
        </w:rPr>
      </w:pPr>
      <w:r w:rsidRPr="00506C28">
        <w:rPr>
          <w:rStyle w:val="Heading2"/>
          <w:rFonts w:ascii="Arial" w:hAnsi="Arial" w:cs="Arial"/>
        </w:rPr>
        <w:t xml:space="preserve">Artykuł </w:t>
      </w:r>
      <w:r w:rsidRPr="00506C28">
        <w:rPr>
          <w:rStyle w:val="Heading2"/>
          <w:rFonts w:ascii="Arial" w:hAnsi="Arial" w:cs="Arial"/>
          <w:lang w:eastAsia="en-US"/>
        </w:rPr>
        <w:t xml:space="preserve">2 (prawo do </w:t>
      </w:r>
      <w:r w:rsidRPr="00506C28">
        <w:rPr>
          <w:rStyle w:val="Heading2"/>
          <w:rFonts w:ascii="Arial" w:hAnsi="Arial" w:cs="Arial"/>
        </w:rPr>
        <w:t xml:space="preserve">życia) </w:t>
      </w:r>
      <w:r w:rsidRPr="00506C28">
        <w:rPr>
          <w:rStyle w:val="Heading2"/>
          <w:rFonts w:ascii="Arial" w:hAnsi="Arial" w:cs="Arial"/>
          <w:lang w:eastAsia="en-US"/>
        </w:rPr>
        <w:t>Konwencji</w:t>
      </w:r>
    </w:p>
    <w:p w14:paraId="043D6130" w14:textId="3B0B1AB7" w:rsidR="006278DB" w:rsidRPr="00506C28" w:rsidRDefault="006278DB" w:rsidP="004E75AD">
      <w:pPr>
        <w:pStyle w:val="Heading30"/>
        <w:keepNext/>
        <w:keepLines/>
        <w:spacing w:before="30" w:after="0"/>
        <w:jc w:val="both"/>
        <w:rPr>
          <w:rFonts w:ascii="Arial" w:hAnsi="Arial" w:cs="Arial"/>
        </w:rPr>
      </w:pPr>
      <w:hyperlink r:id="rId69" w:history="1">
        <w:r w:rsidRPr="00506C28">
          <w:rPr>
            <w:rStyle w:val="Heading3"/>
            <w:rFonts w:ascii="Arial" w:hAnsi="Arial" w:cs="Arial"/>
            <w:b/>
            <w:bCs/>
            <w:lang w:eastAsia="en-US"/>
          </w:rPr>
          <w:t xml:space="preserve">Mc Cann i </w:t>
        </w:r>
        <w:r w:rsidR="003D4715" w:rsidRPr="00506C28">
          <w:rPr>
            <w:rStyle w:val="Heading3"/>
            <w:rFonts w:ascii="Arial" w:hAnsi="Arial" w:cs="Arial"/>
            <w:b/>
            <w:bCs/>
            <w:lang w:eastAsia="en-US"/>
          </w:rPr>
          <w:t>Inni</w:t>
        </w:r>
        <w:r w:rsidRPr="00506C28">
          <w:rPr>
            <w:rStyle w:val="Heading3"/>
            <w:rFonts w:ascii="Arial" w:hAnsi="Arial" w:cs="Arial"/>
            <w:b/>
            <w:bCs/>
            <w:lang w:eastAsia="en-US"/>
          </w:rPr>
          <w:t xml:space="preserve"> przeciwko Zjednoczonemu </w:t>
        </w:r>
        <w:r w:rsidRPr="00506C28">
          <w:rPr>
            <w:rStyle w:val="Heading3"/>
            <w:rFonts w:ascii="Arial" w:hAnsi="Arial" w:cs="Arial"/>
            <w:b/>
            <w:bCs/>
          </w:rPr>
          <w:t>Królestwu</w:t>
        </w:r>
      </w:hyperlink>
    </w:p>
    <w:p w14:paraId="41C61B2B" w14:textId="77777777" w:rsidR="006278DB" w:rsidRPr="00506C28" w:rsidRDefault="006278DB" w:rsidP="004E75AD">
      <w:pPr>
        <w:pStyle w:val="Bodytext30"/>
        <w:spacing w:before="30"/>
        <w:jc w:val="both"/>
        <w:rPr>
          <w:rFonts w:ascii="Arial" w:hAnsi="Arial" w:cs="Arial"/>
        </w:rPr>
      </w:pPr>
      <w:r w:rsidRPr="00506C28">
        <w:rPr>
          <w:rStyle w:val="Bodytext3"/>
          <w:rFonts w:ascii="Arial" w:hAnsi="Arial" w:cs="Arial"/>
          <w:lang w:eastAsia="en-US"/>
        </w:rPr>
        <w:t xml:space="preserve">27 </w:t>
      </w:r>
      <w:r w:rsidRPr="00506C28">
        <w:rPr>
          <w:rStyle w:val="Bodytext3"/>
          <w:rFonts w:ascii="Arial" w:hAnsi="Arial" w:cs="Arial"/>
        </w:rPr>
        <w:t xml:space="preserve">września </w:t>
      </w:r>
      <w:r w:rsidRPr="00506C28">
        <w:rPr>
          <w:rStyle w:val="Bodytext3"/>
          <w:rFonts w:ascii="Arial" w:hAnsi="Arial" w:cs="Arial"/>
          <w:lang w:eastAsia="en-US"/>
        </w:rPr>
        <w:t>1995 r. (wyrok)</w:t>
      </w:r>
    </w:p>
    <w:p w14:paraId="680D2B51" w14:textId="340C9FAB" w:rsidR="006278DB" w:rsidRPr="00506C28" w:rsidRDefault="006278DB" w:rsidP="004E75AD">
      <w:pPr>
        <w:pStyle w:val="Tekstpodstawowy"/>
        <w:spacing w:before="30" w:after="0"/>
        <w:jc w:val="both"/>
        <w:rPr>
          <w:rFonts w:ascii="Arial" w:hAnsi="Arial" w:cs="Arial"/>
        </w:rPr>
      </w:pPr>
      <w:r w:rsidRPr="00506C28">
        <w:rPr>
          <w:rStyle w:val="TekstpodstawowyZnak"/>
          <w:rFonts w:ascii="Arial" w:hAnsi="Arial" w:cs="Arial"/>
          <w:color w:val="000000"/>
          <w:lang w:eastAsia="en-US"/>
        </w:rPr>
        <w:t xml:space="preserve">Trzech </w:t>
      </w:r>
      <w:r w:rsidRPr="00506C28">
        <w:rPr>
          <w:rStyle w:val="TekstpodstawowyZnak"/>
          <w:rFonts w:ascii="Arial" w:hAnsi="Arial" w:cs="Arial"/>
          <w:color w:val="000000"/>
        </w:rPr>
        <w:t xml:space="preserve">członków </w:t>
      </w:r>
      <w:r w:rsidRPr="00506C28">
        <w:rPr>
          <w:rStyle w:val="TekstpodstawowyZnak"/>
          <w:rFonts w:ascii="Arial" w:hAnsi="Arial" w:cs="Arial"/>
          <w:color w:val="000000"/>
          <w:lang w:eastAsia="en-US"/>
        </w:rPr>
        <w:t xml:space="preserve">Provisional IRA, podejrzanych o posiadanie </w:t>
      </w:r>
      <w:r w:rsidR="00883B7B" w:rsidRPr="00506C28">
        <w:rPr>
          <w:rStyle w:val="TekstpodstawowyZnak"/>
          <w:rFonts w:ascii="Arial" w:hAnsi="Arial" w:cs="Arial"/>
          <w:color w:val="000000"/>
          <w:lang w:eastAsia="en-US"/>
        </w:rPr>
        <w:t xml:space="preserve">zdalnie sterowanego </w:t>
      </w:r>
      <w:r w:rsidRPr="00506C28">
        <w:rPr>
          <w:rStyle w:val="TekstpodstawowyZnak"/>
          <w:rFonts w:ascii="Arial" w:hAnsi="Arial" w:cs="Arial"/>
          <w:color w:val="000000"/>
        </w:rPr>
        <w:t xml:space="preserve">urządzenia służącego </w:t>
      </w:r>
      <w:r w:rsidRPr="00506C28">
        <w:rPr>
          <w:rStyle w:val="TekstpodstawowyZnak"/>
          <w:rFonts w:ascii="Arial" w:hAnsi="Arial" w:cs="Arial"/>
          <w:color w:val="000000"/>
          <w:lang w:eastAsia="en-US"/>
        </w:rPr>
        <w:t xml:space="preserve">do detonacji bomby, </w:t>
      </w:r>
      <w:r w:rsidRPr="00506C28">
        <w:rPr>
          <w:rStyle w:val="TekstpodstawowyZnak"/>
          <w:rFonts w:ascii="Arial" w:hAnsi="Arial" w:cs="Arial"/>
          <w:color w:val="000000"/>
        </w:rPr>
        <w:t xml:space="preserve">zostało </w:t>
      </w:r>
      <w:r w:rsidRPr="00506C28">
        <w:rPr>
          <w:rStyle w:val="TekstpodstawowyZnak"/>
          <w:rFonts w:ascii="Arial" w:hAnsi="Arial" w:cs="Arial"/>
          <w:color w:val="000000"/>
          <w:lang w:eastAsia="en-US"/>
        </w:rPr>
        <w:t xml:space="preserve">zastrzelonych na ulicy w Gibraltarze przez </w:t>
      </w:r>
      <w:r w:rsidRPr="00506C28">
        <w:rPr>
          <w:rStyle w:val="TekstpodstawowyZnak"/>
          <w:rFonts w:ascii="Arial" w:hAnsi="Arial" w:cs="Arial"/>
          <w:color w:val="000000"/>
        </w:rPr>
        <w:t xml:space="preserve">żołnierzy </w:t>
      </w:r>
      <w:r w:rsidRPr="00506C28">
        <w:rPr>
          <w:rStyle w:val="TekstpodstawowyZnak"/>
          <w:rFonts w:ascii="Arial" w:hAnsi="Arial" w:cs="Arial"/>
          <w:color w:val="000000"/>
          <w:lang w:eastAsia="en-US"/>
        </w:rPr>
        <w:t xml:space="preserve">SAS (Special Air Service). </w:t>
      </w:r>
      <w:r w:rsidRPr="00506C28">
        <w:rPr>
          <w:rStyle w:val="TekstpodstawowyZnak"/>
          <w:rFonts w:ascii="Arial" w:hAnsi="Arial" w:cs="Arial"/>
          <w:color w:val="000000"/>
        </w:rPr>
        <w:t xml:space="preserve">Skarżący, </w:t>
      </w:r>
      <w:r w:rsidR="00EB185C" w:rsidRPr="00506C28">
        <w:rPr>
          <w:rStyle w:val="TekstpodstawowyZnak"/>
          <w:rFonts w:ascii="Arial" w:hAnsi="Arial" w:cs="Arial"/>
          <w:color w:val="000000"/>
        </w:rPr>
        <w:t xml:space="preserve">będący </w:t>
      </w:r>
      <w:r w:rsidRPr="00506C28">
        <w:rPr>
          <w:rStyle w:val="TekstpodstawowyZnak"/>
          <w:rFonts w:ascii="Arial" w:hAnsi="Arial" w:cs="Arial"/>
          <w:color w:val="000000"/>
          <w:lang w:eastAsia="en-US"/>
        </w:rPr>
        <w:t>spadkobierc</w:t>
      </w:r>
      <w:r w:rsidR="00EB185C" w:rsidRPr="00506C28">
        <w:rPr>
          <w:rStyle w:val="TekstpodstawowyZnak"/>
          <w:rFonts w:ascii="Arial" w:hAnsi="Arial" w:cs="Arial"/>
          <w:color w:val="000000"/>
          <w:lang w:eastAsia="en-US"/>
        </w:rPr>
        <w:t>ami</w:t>
      </w:r>
      <w:r w:rsidRPr="00506C28">
        <w:rPr>
          <w:rStyle w:val="TekstpodstawowyZnak"/>
          <w:rFonts w:ascii="Arial" w:hAnsi="Arial" w:cs="Arial"/>
          <w:color w:val="000000"/>
          <w:lang w:eastAsia="en-US"/>
        </w:rPr>
        <w:t xml:space="preserve"> </w:t>
      </w:r>
      <w:r w:rsidRPr="00506C28">
        <w:rPr>
          <w:rStyle w:val="TekstpodstawowyZnak"/>
          <w:rFonts w:ascii="Arial" w:hAnsi="Arial" w:cs="Arial"/>
          <w:color w:val="000000"/>
        </w:rPr>
        <w:t xml:space="preserve">zmarłych, </w:t>
      </w:r>
      <w:r w:rsidRPr="00506C28">
        <w:rPr>
          <w:rStyle w:val="TekstpodstawowyZnak"/>
          <w:rFonts w:ascii="Arial" w:hAnsi="Arial" w:cs="Arial"/>
          <w:color w:val="000000"/>
          <w:lang w:eastAsia="en-US"/>
        </w:rPr>
        <w:t xml:space="preserve">twierdzili, </w:t>
      </w:r>
      <w:r w:rsidRPr="00506C28">
        <w:rPr>
          <w:rStyle w:val="TekstpodstawowyZnak"/>
          <w:rFonts w:ascii="Arial" w:hAnsi="Arial" w:cs="Arial"/>
          <w:color w:val="000000"/>
        </w:rPr>
        <w:t xml:space="preserve">że użycie śmiertelnej siły </w:t>
      </w:r>
      <w:r w:rsidRPr="00506C28">
        <w:rPr>
          <w:rStyle w:val="TekstpodstawowyZnak"/>
          <w:rFonts w:ascii="Arial" w:hAnsi="Arial" w:cs="Arial"/>
          <w:color w:val="000000"/>
          <w:lang w:eastAsia="en-US"/>
        </w:rPr>
        <w:t xml:space="preserve">przez </w:t>
      </w:r>
      <w:r w:rsidRPr="00506C28">
        <w:rPr>
          <w:rStyle w:val="TekstpodstawowyZnak"/>
          <w:rFonts w:ascii="Arial" w:hAnsi="Arial" w:cs="Arial"/>
          <w:color w:val="000000"/>
        </w:rPr>
        <w:t xml:space="preserve">służby bezpieczeństwa stanowiło </w:t>
      </w:r>
      <w:r w:rsidRPr="00506C28">
        <w:rPr>
          <w:rStyle w:val="TekstpodstawowyZnak"/>
          <w:rFonts w:ascii="Arial" w:hAnsi="Arial" w:cs="Arial"/>
          <w:color w:val="000000"/>
          <w:lang w:eastAsia="en-US"/>
        </w:rPr>
        <w:t>naruszenie art. 2 Konwencji.</w:t>
      </w:r>
    </w:p>
    <w:p w14:paraId="2C9482EC" w14:textId="7E95B93A" w:rsidR="006278DB" w:rsidRPr="00506C28" w:rsidRDefault="006278DB" w:rsidP="004E75AD">
      <w:pPr>
        <w:pStyle w:val="Tekstpodstawowy"/>
        <w:spacing w:before="30" w:after="0"/>
        <w:jc w:val="both"/>
        <w:rPr>
          <w:rFonts w:ascii="Arial" w:hAnsi="Arial" w:cs="Arial"/>
        </w:rPr>
      </w:pPr>
      <w:r w:rsidRPr="00506C28">
        <w:rPr>
          <w:rStyle w:val="TekstpodstawowyZnak"/>
          <w:rFonts w:ascii="Arial" w:hAnsi="Arial" w:cs="Arial"/>
        </w:rPr>
        <w:t xml:space="preserve">Trybunał stwierdził </w:t>
      </w:r>
      <w:r w:rsidRPr="00506C28">
        <w:rPr>
          <w:rStyle w:val="TekstpodstawowyZnak"/>
          <w:rFonts w:ascii="Arial" w:hAnsi="Arial" w:cs="Arial"/>
          <w:lang w:eastAsia="en-US"/>
        </w:rPr>
        <w:t xml:space="preserve">naruszenie art. 2 ze </w:t>
      </w:r>
      <w:r w:rsidRPr="00506C28">
        <w:rPr>
          <w:rStyle w:val="TekstpodstawowyZnak"/>
          <w:rFonts w:ascii="Arial" w:hAnsi="Arial" w:cs="Arial"/>
        </w:rPr>
        <w:t xml:space="preserve">względu </w:t>
      </w:r>
      <w:r w:rsidRPr="00506C28">
        <w:rPr>
          <w:rStyle w:val="TekstpodstawowyZnak"/>
          <w:rFonts w:ascii="Arial" w:hAnsi="Arial" w:cs="Arial"/>
          <w:lang w:eastAsia="en-US"/>
        </w:rPr>
        <w:t xml:space="preserve">na fakt, </w:t>
      </w:r>
      <w:r w:rsidRPr="00506C28">
        <w:rPr>
          <w:rStyle w:val="TekstpodstawowyZnak"/>
          <w:rFonts w:ascii="Arial" w:hAnsi="Arial" w:cs="Arial"/>
        </w:rPr>
        <w:t xml:space="preserve">że </w:t>
      </w:r>
      <w:r w:rsidRPr="00506C28">
        <w:rPr>
          <w:rStyle w:val="TekstpodstawowyZnak"/>
          <w:rFonts w:ascii="Arial" w:hAnsi="Arial" w:cs="Arial"/>
          <w:lang w:eastAsia="en-US"/>
        </w:rPr>
        <w:t xml:space="preserve">operacja </w:t>
      </w:r>
      <w:r w:rsidRPr="00506C28">
        <w:rPr>
          <w:rStyle w:val="TekstpodstawowyZnak"/>
          <w:rFonts w:ascii="Arial" w:hAnsi="Arial" w:cs="Arial"/>
        </w:rPr>
        <w:t xml:space="preserve">mogła zostać </w:t>
      </w:r>
      <w:r w:rsidRPr="00506C28">
        <w:rPr>
          <w:rStyle w:val="TekstpodstawowyZnak"/>
          <w:rFonts w:ascii="Arial" w:hAnsi="Arial" w:cs="Arial"/>
          <w:lang w:eastAsia="en-US"/>
        </w:rPr>
        <w:t xml:space="preserve">przeprowadzona </w:t>
      </w:r>
      <w:r w:rsidR="00090273">
        <w:rPr>
          <w:rStyle w:val="TekstpodstawowyZnak"/>
          <w:rFonts w:ascii="Arial" w:hAnsi="Arial" w:cs="Arial"/>
          <w:lang w:eastAsia="en-US"/>
        </w:rPr>
        <w:br/>
      </w:r>
      <w:r w:rsidRPr="00506C28">
        <w:rPr>
          <w:rStyle w:val="TekstpodstawowyZnak"/>
          <w:rFonts w:ascii="Arial" w:hAnsi="Arial" w:cs="Arial"/>
          <w:lang w:eastAsia="en-US"/>
        </w:rPr>
        <w:t xml:space="preserve">i zorganizowana bez </w:t>
      </w:r>
      <w:r w:rsidRPr="00506C28">
        <w:rPr>
          <w:rStyle w:val="TekstpodstawowyZnak"/>
          <w:rFonts w:ascii="Arial" w:hAnsi="Arial" w:cs="Arial"/>
        </w:rPr>
        <w:t xml:space="preserve">konieczności </w:t>
      </w:r>
      <w:r w:rsidRPr="00506C28">
        <w:rPr>
          <w:rStyle w:val="TekstpodstawowyZnak"/>
          <w:rFonts w:ascii="Arial" w:hAnsi="Arial" w:cs="Arial"/>
          <w:lang w:eastAsia="en-US"/>
        </w:rPr>
        <w:t xml:space="preserve">zabijania podejrzanych. </w:t>
      </w:r>
      <w:r w:rsidRPr="00506C28">
        <w:rPr>
          <w:rStyle w:val="TekstpodstawowyZnak"/>
          <w:rFonts w:ascii="Arial" w:hAnsi="Arial" w:cs="Arial"/>
        </w:rPr>
        <w:t xml:space="preserve">Wskazał </w:t>
      </w:r>
      <w:r w:rsidRPr="00506C28">
        <w:rPr>
          <w:rStyle w:val="TekstpodstawowyZnak"/>
          <w:rFonts w:ascii="Arial" w:hAnsi="Arial" w:cs="Arial"/>
          <w:lang w:eastAsia="en-US"/>
        </w:rPr>
        <w:t xml:space="preserve">w </w:t>
      </w:r>
      <w:r w:rsidRPr="00506C28">
        <w:rPr>
          <w:rStyle w:val="TekstpodstawowyZnak"/>
          <w:rFonts w:ascii="Arial" w:hAnsi="Arial" w:cs="Arial"/>
        </w:rPr>
        <w:t xml:space="preserve">szczególności, że </w:t>
      </w:r>
      <w:r w:rsidRPr="00506C28">
        <w:rPr>
          <w:rStyle w:val="TekstpodstawowyZnak"/>
          <w:rFonts w:ascii="Arial" w:hAnsi="Arial" w:cs="Arial"/>
          <w:b/>
          <w:bCs/>
          <w:lang w:eastAsia="en-US"/>
        </w:rPr>
        <w:t xml:space="preserve">art. 2 </w:t>
      </w:r>
      <w:r w:rsidRPr="00506C28">
        <w:rPr>
          <w:rStyle w:val="TekstpodstawowyZnak"/>
          <w:rFonts w:ascii="Arial" w:hAnsi="Arial" w:cs="Arial"/>
          <w:lang w:eastAsia="en-US"/>
        </w:rPr>
        <w:t>„</w:t>
      </w:r>
      <w:r w:rsidR="00635CAE" w:rsidRPr="00506C28">
        <w:rPr>
          <w:rStyle w:val="TekstpodstawowyZnak"/>
          <w:rFonts w:ascii="Arial" w:hAnsi="Arial" w:cs="Arial"/>
          <w:lang w:eastAsia="en-US"/>
        </w:rPr>
        <w:t>[</w:t>
      </w:r>
      <w:r w:rsidRPr="00506C28">
        <w:rPr>
          <w:rStyle w:val="TekstpodstawowyZnak"/>
          <w:rFonts w:ascii="Arial" w:hAnsi="Arial" w:cs="Arial"/>
          <w:lang w:eastAsia="en-US"/>
        </w:rPr>
        <w:t>...</w:t>
      </w:r>
      <w:r w:rsidR="00635CAE" w:rsidRPr="00506C28">
        <w:rPr>
          <w:rStyle w:val="TekstpodstawowyZnak"/>
          <w:rFonts w:ascii="Arial" w:hAnsi="Arial" w:cs="Arial"/>
          <w:lang w:eastAsia="en-US"/>
        </w:rPr>
        <w:t>]</w:t>
      </w:r>
      <w:r w:rsidRPr="00506C28">
        <w:rPr>
          <w:rStyle w:val="TekstpodstawowyZnak"/>
          <w:rFonts w:ascii="Arial" w:hAnsi="Arial" w:cs="Arial"/>
          <w:lang w:eastAsia="en-US"/>
        </w:rPr>
        <w:t xml:space="preserve"> nie tylko gwarantuje prawo do </w:t>
      </w:r>
      <w:r w:rsidRPr="00506C28">
        <w:rPr>
          <w:rStyle w:val="TekstpodstawowyZnak"/>
          <w:rFonts w:ascii="Arial" w:hAnsi="Arial" w:cs="Arial"/>
        </w:rPr>
        <w:t xml:space="preserve">życia, </w:t>
      </w:r>
      <w:r w:rsidRPr="00506C28">
        <w:rPr>
          <w:rStyle w:val="TekstpodstawowyZnak"/>
          <w:rFonts w:ascii="Arial" w:hAnsi="Arial" w:cs="Arial"/>
          <w:lang w:eastAsia="en-US"/>
        </w:rPr>
        <w:t xml:space="preserve">ale </w:t>
      </w:r>
      <w:r w:rsidRPr="00506C28">
        <w:rPr>
          <w:rStyle w:val="TekstpodstawowyZnak"/>
          <w:rFonts w:ascii="Arial" w:hAnsi="Arial" w:cs="Arial"/>
        </w:rPr>
        <w:t xml:space="preserve">[także] określa okoliczności, </w:t>
      </w:r>
      <w:r w:rsidRPr="00506C28">
        <w:rPr>
          <w:rStyle w:val="TekstpodstawowyZnak"/>
          <w:rFonts w:ascii="Arial" w:hAnsi="Arial" w:cs="Arial"/>
          <w:lang w:eastAsia="en-US"/>
        </w:rPr>
        <w:t xml:space="preserve">w </w:t>
      </w:r>
      <w:r w:rsidRPr="00506C28">
        <w:rPr>
          <w:rStyle w:val="TekstpodstawowyZnak"/>
          <w:rFonts w:ascii="Arial" w:hAnsi="Arial" w:cs="Arial"/>
        </w:rPr>
        <w:t xml:space="preserve">których </w:t>
      </w:r>
      <w:r w:rsidRPr="00506C28">
        <w:rPr>
          <w:rStyle w:val="TekstpodstawowyZnak"/>
          <w:rFonts w:ascii="Arial" w:hAnsi="Arial" w:cs="Arial"/>
          <w:lang w:eastAsia="en-US"/>
        </w:rPr>
        <w:t xml:space="preserve">pozbawienie </w:t>
      </w:r>
      <w:r w:rsidRPr="00506C28">
        <w:rPr>
          <w:rStyle w:val="TekstpodstawowyZnak"/>
          <w:rFonts w:ascii="Arial" w:hAnsi="Arial" w:cs="Arial"/>
        </w:rPr>
        <w:t xml:space="preserve">życia [może] być </w:t>
      </w:r>
      <w:r w:rsidRPr="00506C28">
        <w:rPr>
          <w:rStyle w:val="TekstpodstawowyZnak"/>
          <w:rFonts w:ascii="Arial" w:hAnsi="Arial" w:cs="Arial"/>
          <w:lang w:eastAsia="en-US"/>
        </w:rPr>
        <w:t xml:space="preserve">uzasadnione”, a zatem </w:t>
      </w:r>
      <w:r w:rsidRPr="00506C28">
        <w:rPr>
          <w:rStyle w:val="TekstpodstawowyZnak"/>
          <w:rFonts w:ascii="Arial" w:hAnsi="Arial" w:cs="Arial"/>
          <w:b/>
          <w:bCs/>
          <w:lang w:eastAsia="en-US"/>
        </w:rPr>
        <w:t xml:space="preserve">„stanowi jeden z najbardziej fundamentalnych </w:t>
      </w:r>
      <w:r w:rsidR="00EA5885" w:rsidRPr="00506C28">
        <w:rPr>
          <w:rStyle w:val="TekstpodstawowyZnak"/>
          <w:rFonts w:ascii="Arial" w:hAnsi="Arial" w:cs="Arial"/>
          <w:b/>
          <w:bCs/>
        </w:rPr>
        <w:t xml:space="preserve">postanowień </w:t>
      </w:r>
      <w:r w:rsidRPr="00506C28">
        <w:rPr>
          <w:rStyle w:val="TekstpodstawowyZnak"/>
          <w:rFonts w:ascii="Arial" w:hAnsi="Arial" w:cs="Arial"/>
          <w:lang w:eastAsia="en-US"/>
        </w:rPr>
        <w:t>Konwencji</w:t>
      </w:r>
      <w:r w:rsidR="002A4458" w:rsidRPr="00506C28">
        <w:rPr>
          <w:rFonts w:ascii="Arial" w:hAnsi="Arial" w:cs="Arial"/>
        </w:rPr>
        <w:t xml:space="preserve"> </w:t>
      </w:r>
      <w:r w:rsidR="00635CAE" w:rsidRPr="00506C28">
        <w:rPr>
          <w:rFonts w:ascii="Arial" w:hAnsi="Arial" w:cs="Arial"/>
        </w:rPr>
        <w:t>[</w:t>
      </w:r>
      <w:r w:rsidR="002A4458" w:rsidRPr="00506C28">
        <w:rPr>
          <w:rFonts w:ascii="Arial" w:hAnsi="Arial" w:cs="Arial"/>
        </w:rPr>
        <w:t>…</w:t>
      </w:r>
      <w:r w:rsidR="00635CAE" w:rsidRPr="00506C28">
        <w:rPr>
          <w:rFonts w:ascii="Arial" w:hAnsi="Arial" w:cs="Arial"/>
        </w:rPr>
        <w:t>]</w:t>
      </w:r>
      <w:r w:rsidR="00171AF3" w:rsidRPr="00506C28">
        <w:rPr>
          <w:rFonts w:ascii="Arial" w:hAnsi="Arial" w:cs="Arial"/>
        </w:rPr>
        <w:t>,</w:t>
      </w:r>
      <w:r w:rsidR="002A4458" w:rsidRPr="00506C28">
        <w:rPr>
          <w:rFonts w:ascii="Arial" w:hAnsi="Arial" w:cs="Arial"/>
        </w:rPr>
        <w:t xml:space="preserve"> </w:t>
      </w:r>
      <w:r w:rsidRPr="00506C28">
        <w:rPr>
          <w:rStyle w:val="TekstpodstawowyZnak"/>
          <w:rFonts w:ascii="Arial" w:hAnsi="Arial" w:cs="Arial"/>
          <w:b/>
          <w:bCs/>
          <w:sz w:val="18"/>
          <w:szCs w:val="18"/>
        </w:rPr>
        <w:t xml:space="preserve">które </w:t>
      </w:r>
      <w:r w:rsidRPr="00506C28">
        <w:rPr>
          <w:rStyle w:val="TekstpodstawowyZnak"/>
          <w:rFonts w:ascii="Arial" w:hAnsi="Arial" w:cs="Arial"/>
          <w:b/>
          <w:bCs/>
          <w:sz w:val="18"/>
          <w:szCs w:val="18"/>
          <w:lang w:eastAsia="en-US"/>
        </w:rPr>
        <w:t xml:space="preserve">w czasie pokoju nie </w:t>
      </w:r>
      <w:r w:rsidR="00EA5885" w:rsidRPr="00506C28">
        <w:rPr>
          <w:rStyle w:val="TekstpodstawowyZnak"/>
          <w:rFonts w:ascii="Arial" w:hAnsi="Arial" w:cs="Arial"/>
          <w:b/>
          <w:bCs/>
          <w:sz w:val="18"/>
          <w:szCs w:val="18"/>
        </w:rPr>
        <w:t>zezwalają na uchylenia</w:t>
      </w:r>
      <w:r w:rsidRPr="00506C28">
        <w:rPr>
          <w:rStyle w:val="TekstpodstawowyZnak"/>
          <w:rFonts w:ascii="Arial" w:hAnsi="Arial" w:cs="Arial"/>
          <w:b/>
          <w:bCs/>
          <w:sz w:val="18"/>
          <w:szCs w:val="18"/>
        </w:rPr>
        <w:t xml:space="preserve"> </w:t>
      </w:r>
      <w:r w:rsidRPr="00506C28">
        <w:rPr>
          <w:rStyle w:val="TekstpodstawowyZnak"/>
          <w:rFonts w:ascii="Arial" w:hAnsi="Arial" w:cs="Arial"/>
          <w:b/>
          <w:bCs/>
          <w:sz w:val="18"/>
          <w:szCs w:val="18"/>
          <w:lang w:eastAsia="en-US"/>
        </w:rPr>
        <w:t xml:space="preserve">na mocy art. </w:t>
      </w:r>
      <w:r w:rsidRPr="00506C28">
        <w:rPr>
          <w:rStyle w:val="TekstpodstawowyZnak"/>
          <w:rFonts w:ascii="Arial" w:hAnsi="Arial" w:cs="Arial"/>
          <w:sz w:val="18"/>
          <w:szCs w:val="18"/>
          <w:lang w:eastAsia="en-US"/>
        </w:rPr>
        <w:t>15” (zob. pkt 147 wyroku).</w:t>
      </w:r>
    </w:p>
    <w:p w14:paraId="586F6D87" w14:textId="50EFD27E" w:rsidR="006278DB" w:rsidRPr="00506C28" w:rsidRDefault="006278DB" w:rsidP="004E75AD">
      <w:pPr>
        <w:pStyle w:val="Tekstpodstawowy"/>
        <w:spacing w:before="30" w:after="80"/>
        <w:jc w:val="both"/>
        <w:rPr>
          <w:rFonts w:ascii="Arial" w:hAnsi="Arial" w:cs="Arial"/>
          <w:color w:val="404040"/>
          <w:lang w:eastAsia="en-US"/>
        </w:rPr>
      </w:pPr>
      <w:r w:rsidRPr="00506C28">
        <w:rPr>
          <w:rStyle w:val="TekstpodstawowyZnak"/>
          <w:rFonts w:ascii="Arial" w:hAnsi="Arial" w:cs="Arial"/>
          <w:i/>
          <w:iCs/>
          <w:color w:val="404040"/>
          <w:lang w:eastAsia="en-US"/>
        </w:rPr>
        <w:t>Zob</w:t>
      </w:r>
      <w:r w:rsidRPr="00506C28">
        <w:rPr>
          <w:rStyle w:val="TekstpodstawowyZnak"/>
          <w:rFonts w:ascii="Arial" w:hAnsi="Arial" w:cs="Arial"/>
          <w:color w:val="404040"/>
          <w:lang w:eastAsia="en-US"/>
        </w:rPr>
        <w:t xml:space="preserve">. </w:t>
      </w:r>
      <w:r w:rsidRPr="00506C28">
        <w:rPr>
          <w:rStyle w:val="TekstpodstawowyZnak"/>
          <w:rFonts w:ascii="Arial" w:hAnsi="Arial" w:cs="Arial"/>
          <w:i/>
          <w:iCs/>
          <w:color w:val="404040"/>
        </w:rPr>
        <w:t>również</w:t>
      </w:r>
      <w:r w:rsidRPr="00506C28">
        <w:rPr>
          <w:rStyle w:val="TekstpodstawowyZnak"/>
          <w:rFonts w:ascii="Arial" w:hAnsi="Arial" w:cs="Arial"/>
          <w:color w:val="404040"/>
        </w:rPr>
        <w:t xml:space="preserve">, między </w:t>
      </w:r>
      <w:r w:rsidRPr="00506C28">
        <w:rPr>
          <w:rStyle w:val="TekstpodstawowyZnak"/>
          <w:rFonts w:ascii="Arial" w:hAnsi="Arial" w:cs="Arial"/>
          <w:color w:val="404040"/>
          <w:lang w:eastAsia="en-US"/>
        </w:rPr>
        <w:t>innymi:</w:t>
      </w:r>
      <w:hyperlink r:id="rId70" w:history="1">
        <w:r w:rsidRPr="00506C28">
          <w:rPr>
            <w:rStyle w:val="TekstpodstawowyZnak"/>
            <w:rFonts w:ascii="Arial" w:hAnsi="Arial" w:cs="Arial"/>
            <w:color w:val="404040"/>
            <w:lang w:eastAsia="en-US"/>
          </w:rPr>
          <w:t xml:space="preserve"> </w:t>
        </w:r>
        <w:r w:rsidRPr="00506C28">
          <w:rPr>
            <w:rStyle w:val="TekstpodstawowyZnak"/>
            <w:rFonts w:ascii="Arial" w:eastAsia="Arial" w:hAnsi="Arial" w:cs="Arial"/>
            <w:b/>
            <w:bCs/>
            <w:i/>
            <w:iCs/>
            <w:u w:val="single"/>
            <w:lang w:eastAsia="en-US"/>
          </w:rPr>
          <w:t>Makaratzis przeciwko Grecji</w:t>
        </w:r>
      </w:hyperlink>
      <w:r w:rsidRPr="00506C28">
        <w:rPr>
          <w:rStyle w:val="TekstpodstawowyZnak"/>
          <w:rFonts w:ascii="Arial" w:hAnsi="Arial" w:cs="Arial"/>
          <w:color w:val="404040"/>
          <w:lang w:eastAsia="en-US"/>
        </w:rPr>
        <w:t>, wyrok (wielka izba) z dnia 20 grudnia 2004 r., § 56;</w:t>
      </w:r>
      <w:hyperlink r:id="rId71" w:history="1">
        <w:r w:rsidRPr="00506C28">
          <w:rPr>
            <w:rStyle w:val="TekstpodstawowyZnak"/>
            <w:rFonts w:ascii="Arial" w:hAnsi="Arial" w:cs="Arial"/>
            <w:color w:val="404040"/>
            <w:lang w:eastAsia="en-US"/>
          </w:rPr>
          <w:t xml:space="preserve"> </w:t>
        </w:r>
        <w:r w:rsidRPr="00506C28">
          <w:rPr>
            <w:rStyle w:val="TekstpodstawowyZnak"/>
            <w:rFonts w:ascii="Arial" w:eastAsia="Arial" w:hAnsi="Arial" w:cs="Arial"/>
            <w:b/>
            <w:bCs/>
            <w:i/>
            <w:iCs/>
            <w:u w:val="single"/>
            <w:lang w:eastAsia="en-US"/>
          </w:rPr>
          <w:t>Isayeva przeciwko Rosji</w:t>
        </w:r>
        <w:r w:rsidRPr="00506C28">
          <w:rPr>
            <w:rStyle w:val="TekstpodstawowyZnak"/>
            <w:rFonts w:ascii="Arial" w:hAnsi="Arial" w:cs="Arial"/>
            <w:lang w:eastAsia="en-US"/>
          </w:rPr>
          <w:t xml:space="preserve"> </w:t>
        </w:r>
        <w:r w:rsidRPr="00506C28">
          <w:rPr>
            <w:rStyle w:val="TekstpodstawowyZnak"/>
            <w:rFonts w:ascii="Arial" w:hAnsi="Arial" w:cs="Arial"/>
            <w:color w:val="404040"/>
            <w:lang w:eastAsia="en-US"/>
          </w:rPr>
          <w:t xml:space="preserve">oraz </w:t>
        </w:r>
        <w:r w:rsidRPr="00506C28">
          <w:rPr>
            <w:rStyle w:val="TekstpodstawowyZnak"/>
            <w:rFonts w:ascii="Arial" w:eastAsia="Arial" w:hAnsi="Arial" w:cs="Arial"/>
            <w:b/>
            <w:bCs/>
            <w:i/>
            <w:iCs/>
            <w:u w:val="single"/>
            <w:lang w:eastAsia="en-US"/>
          </w:rPr>
          <w:t xml:space="preserve">Isayeva i </w:t>
        </w:r>
        <w:r w:rsidR="003D4715" w:rsidRPr="00506C28">
          <w:rPr>
            <w:rStyle w:val="TekstpodstawowyZnak"/>
            <w:rFonts w:ascii="Arial" w:eastAsia="Arial" w:hAnsi="Arial" w:cs="Arial"/>
            <w:b/>
            <w:bCs/>
            <w:i/>
            <w:iCs/>
            <w:u w:val="single"/>
            <w:lang w:eastAsia="en-US"/>
          </w:rPr>
          <w:t>Inni</w:t>
        </w:r>
        <w:r w:rsidRPr="00506C28">
          <w:rPr>
            <w:rStyle w:val="TekstpodstawowyZnak"/>
            <w:rFonts w:ascii="Arial" w:eastAsia="Arial" w:hAnsi="Arial" w:cs="Arial"/>
            <w:b/>
            <w:bCs/>
            <w:i/>
            <w:iCs/>
            <w:u w:val="single"/>
            <w:lang w:eastAsia="en-US"/>
          </w:rPr>
          <w:t xml:space="preserve"> przeciwko Rosji</w:t>
        </w:r>
      </w:hyperlink>
      <w:r w:rsidRPr="00506C28">
        <w:rPr>
          <w:rStyle w:val="TekstpodstawowyZnak"/>
          <w:rFonts w:ascii="Arial" w:hAnsi="Arial" w:cs="Arial"/>
          <w:color w:val="404040"/>
          <w:lang w:eastAsia="en-US"/>
        </w:rPr>
        <w:t>, wyroki z dnia 24 lutego 2005 r.;</w:t>
      </w:r>
      <w:hyperlink r:id="rId72" w:history="1">
        <w:r w:rsidRPr="00506C28">
          <w:rPr>
            <w:rStyle w:val="TekstpodstawowyZnak"/>
            <w:rFonts w:ascii="Arial" w:hAnsi="Arial" w:cs="Arial"/>
            <w:color w:val="404040"/>
            <w:lang w:eastAsia="en-US"/>
          </w:rPr>
          <w:t xml:space="preserve"> </w:t>
        </w:r>
        <w:r w:rsidRPr="00506C28">
          <w:rPr>
            <w:rStyle w:val="TekstpodstawowyZnak"/>
            <w:rFonts w:ascii="Arial" w:eastAsia="Arial" w:hAnsi="Arial" w:cs="Arial"/>
            <w:b/>
            <w:bCs/>
            <w:i/>
            <w:iCs/>
            <w:u w:val="single"/>
            <w:lang w:eastAsia="en-US"/>
          </w:rPr>
          <w:t xml:space="preserve">Giuliani i Gaggio przeciwko </w:t>
        </w:r>
        <w:r w:rsidRPr="00506C28">
          <w:rPr>
            <w:rStyle w:val="TekstpodstawowyZnak"/>
            <w:rFonts w:ascii="Arial" w:eastAsia="Arial" w:hAnsi="Arial" w:cs="Arial"/>
            <w:b/>
            <w:bCs/>
            <w:i/>
            <w:iCs/>
            <w:u w:val="single"/>
          </w:rPr>
          <w:t>Włochom</w:t>
        </w:r>
      </w:hyperlink>
      <w:r w:rsidRPr="00506C28">
        <w:rPr>
          <w:rStyle w:val="TekstpodstawowyZnak"/>
          <w:rFonts w:ascii="Arial" w:hAnsi="Arial" w:cs="Arial"/>
          <w:color w:val="404040"/>
        </w:rPr>
        <w:t xml:space="preserve">, </w:t>
      </w:r>
      <w:r w:rsidRPr="00506C28">
        <w:rPr>
          <w:rStyle w:val="TekstpodstawowyZnak"/>
          <w:rFonts w:ascii="Arial" w:hAnsi="Arial" w:cs="Arial"/>
          <w:color w:val="404040"/>
          <w:lang w:eastAsia="en-US"/>
        </w:rPr>
        <w:t xml:space="preserve">wyrok (wielka izba) z dnia 24 marca 2011 r., § 174. </w:t>
      </w:r>
      <w:r w:rsidRPr="00506C28">
        <w:rPr>
          <w:rFonts w:ascii="Arial" w:hAnsi="Arial" w:cs="Arial"/>
          <w:color w:val="404040"/>
          <w:lang w:eastAsia="en-US"/>
        </w:rPr>
        <w:t xml:space="preserve">Artykuł 3 (zakaz tortur </w:t>
      </w:r>
      <w:r w:rsidR="00090273">
        <w:rPr>
          <w:rFonts w:ascii="Arial" w:hAnsi="Arial" w:cs="Arial"/>
          <w:color w:val="404040"/>
          <w:lang w:eastAsia="en-US"/>
        </w:rPr>
        <w:br/>
      </w:r>
      <w:r w:rsidRPr="00506C28">
        <w:rPr>
          <w:rFonts w:ascii="Arial" w:hAnsi="Arial" w:cs="Arial"/>
          <w:color w:val="404040"/>
          <w:lang w:eastAsia="en-US"/>
        </w:rPr>
        <w:t>i nieludzkiego lub poniżającego traktowania lub karania) Konwencji</w:t>
      </w:r>
    </w:p>
    <w:p w14:paraId="45C9AD0F" w14:textId="77777777" w:rsidR="006278DB" w:rsidRPr="00506C28" w:rsidRDefault="006278DB" w:rsidP="004E75AD">
      <w:pPr>
        <w:pStyle w:val="Tekstpodstawowy"/>
        <w:spacing w:before="30" w:after="80"/>
        <w:rPr>
          <w:rFonts w:ascii="Arial" w:hAnsi="Arial" w:cs="Arial"/>
          <w:color w:val="404040"/>
          <w:lang w:eastAsia="en-US"/>
        </w:rPr>
      </w:pPr>
      <w:hyperlink r:id="rId73" w:history="1">
        <w:r w:rsidRPr="00506C28">
          <w:rPr>
            <w:rStyle w:val="TekstpodstawowyZnak"/>
            <w:rFonts w:ascii="Arial" w:eastAsia="Arial" w:hAnsi="Arial" w:cs="Arial"/>
            <w:b/>
            <w:bCs/>
            <w:i/>
            <w:iCs/>
            <w:u w:val="single"/>
            <w:lang w:eastAsia="en-US"/>
          </w:rPr>
          <w:t>Aksoy przeciwko Turcji</w:t>
        </w:r>
        <w:r w:rsidRPr="00506C28">
          <w:rPr>
            <w:rStyle w:val="TekstpodstawowyZnak"/>
            <w:rFonts w:ascii="Arial" w:eastAsia="Arial" w:hAnsi="Arial" w:cs="Arial"/>
            <w:i/>
            <w:iCs/>
            <w:u w:val="single"/>
            <w:lang w:eastAsia="en-US"/>
          </w:rPr>
          <w:t xml:space="preserve"> </w:t>
        </w:r>
      </w:hyperlink>
      <w:r w:rsidRPr="004E75AD">
        <w:rPr>
          <w:rStyle w:val="Bodytext3"/>
          <w:rFonts w:ascii="Arial" w:hAnsi="Arial" w:cs="Arial"/>
        </w:rPr>
        <w:t>(zob. również powyżej, str. 4, 8 i 13)</w:t>
      </w:r>
    </w:p>
    <w:p w14:paraId="6500EA32" w14:textId="77777777" w:rsidR="006278DB" w:rsidRPr="004E75AD" w:rsidRDefault="006278DB" w:rsidP="004E75AD">
      <w:pPr>
        <w:pStyle w:val="Tekstpodstawowy"/>
        <w:spacing w:before="30" w:after="80"/>
        <w:rPr>
          <w:rStyle w:val="Bodytext3"/>
          <w:rFonts w:ascii="Arial" w:hAnsi="Arial" w:cs="Arial"/>
        </w:rPr>
      </w:pPr>
      <w:r w:rsidRPr="004E75AD">
        <w:rPr>
          <w:rStyle w:val="Bodytext3"/>
          <w:rFonts w:ascii="Arial" w:hAnsi="Arial" w:cs="Arial"/>
        </w:rPr>
        <w:t>18 grudnia 1996 r. (wyrok)</w:t>
      </w:r>
    </w:p>
    <w:p w14:paraId="6F256085" w14:textId="72091F53" w:rsidR="006278DB" w:rsidRPr="00506C28" w:rsidRDefault="006278DB" w:rsidP="004E75AD">
      <w:pPr>
        <w:pStyle w:val="Tekstpodstawowy"/>
        <w:spacing w:before="30" w:after="80"/>
        <w:jc w:val="both"/>
        <w:rPr>
          <w:rFonts w:ascii="Arial" w:hAnsi="Arial" w:cs="Arial"/>
          <w:color w:val="404040"/>
          <w:lang w:eastAsia="en-US"/>
        </w:rPr>
      </w:pPr>
      <w:r w:rsidRPr="00506C28">
        <w:rPr>
          <w:rFonts w:ascii="Arial" w:hAnsi="Arial" w:cs="Arial"/>
          <w:color w:val="404040"/>
          <w:lang w:eastAsia="en-US"/>
        </w:rPr>
        <w:t xml:space="preserve">W listopadzie 1992 r. skarżący został aresztowany i </w:t>
      </w:r>
      <w:r w:rsidR="00EA5885" w:rsidRPr="00506C28">
        <w:rPr>
          <w:rFonts w:ascii="Arial" w:hAnsi="Arial" w:cs="Arial"/>
          <w:color w:val="404040"/>
          <w:lang w:eastAsia="en-US"/>
        </w:rPr>
        <w:t>umieszczony w areszcie policyjnym</w:t>
      </w:r>
      <w:r w:rsidRPr="00506C28">
        <w:rPr>
          <w:rFonts w:ascii="Arial" w:hAnsi="Arial" w:cs="Arial"/>
          <w:color w:val="404040"/>
          <w:lang w:eastAsia="en-US"/>
        </w:rPr>
        <w:t xml:space="preserve"> pod zarzutem pomocy i współudziału w działalności PKK. Skarga dotyczyła różnych form złego traktowania: zasłonięcia oczu podczas przesłuchania, zawieszenia za ręce związane za plecami („</w:t>
      </w:r>
      <w:r w:rsidR="00B92921" w:rsidRPr="00506C28">
        <w:rPr>
          <w:rFonts w:ascii="Arial" w:hAnsi="Arial" w:cs="Arial"/>
          <w:color w:val="404040"/>
          <w:lang w:eastAsia="en-US"/>
        </w:rPr>
        <w:t>Strappado</w:t>
      </w:r>
      <w:r w:rsidRPr="00506C28">
        <w:rPr>
          <w:rFonts w:ascii="Arial" w:hAnsi="Arial" w:cs="Arial"/>
          <w:color w:val="404040"/>
          <w:lang w:eastAsia="en-US"/>
        </w:rPr>
        <w:t xml:space="preserve">”), rażenia prądem elektrycznym, co było dodatkowo spotęgowane przez polewanie wodą, a także pobicia, policzkowania </w:t>
      </w:r>
      <w:r w:rsidR="00090273">
        <w:rPr>
          <w:rFonts w:ascii="Arial" w:hAnsi="Arial" w:cs="Arial"/>
          <w:color w:val="404040"/>
          <w:lang w:eastAsia="en-US"/>
        </w:rPr>
        <w:br/>
      </w:r>
      <w:r w:rsidRPr="00506C28">
        <w:rPr>
          <w:rFonts w:ascii="Arial" w:hAnsi="Arial" w:cs="Arial"/>
          <w:color w:val="404040"/>
          <w:lang w:eastAsia="en-US"/>
        </w:rPr>
        <w:t>i znieważania słownego.</w:t>
      </w:r>
    </w:p>
    <w:p w14:paraId="4C1BAD00" w14:textId="0490358B" w:rsidR="00883B7B" w:rsidRPr="00506C28" w:rsidRDefault="006278DB" w:rsidP="004E75AD">
      <w:pPr>
        <w:pStyle w:val="Tekstpodstawowy"/>
        <w:spacing w:before="30" w:after="80"/>
        <w:jc w:val="both"/>
        <w:rPr>
          <w:rFonts w:ascii="Arial" w:hAnsi="Arial" w:cs="Arial"/>
          <w:color w:val="404040"/>
          <w:lang w:eastAsia="en-US"/>
        </w:rPr>
      </w:pPr>
      <w:r w:rsidRPr="00506C28">
        <w:rPr>
          <w:rFonts w:ascii="Arial" w:hAnsi="Arial" w:cs="Arial"/>
          <w:color w:val="404040"/>
          <w:lang w:eastAsia="en-US"/>
        </w:rPr>
        <w:t xml:space="preserve">Trybunał stwierdził, że doszło do naruszenia art. 3 Konwencji; traktowanie miało tak poważny i okrutny charakter, że można je było określić jedynie jako tortury. W szczególności Trybunał zauważył, co następuje: „Artykuł 3, jak wielokrotnie </w:t>
      </w:r>
      <w:r w:rsidR="00B92921" w:rsidRPr="00506C28">
        <w:rPr>
          <w:rFonts w:ascii="Arial" w:hAnsi="Arial" w:cs="Arial"/>
          <w:color w:val="404040"/>
          <w:lang w:eastAsia="en-US"/>
        </w:rPr>
        <w:t xml:space="preserve">podkreślał </w:t>
      </w:r>
      <w:r w:rsidRPr="00506C28">
        <w:rPr>
          <w:rFonts w:ascii="Arial" w:hAnsi="Arial" w:cs="Arial"/>
          <w:color w:val="404040"/>
          <w:lang w:eastAsia="en-US"/>
        </w:rPr>
        <w:t>Trybunał, zawiera jedną z podstawowych wartości społeczeństwa demokratycznego. Nawet w najtrudniejszych okolicznościach, takich jak walka z</w:t>
      </w:r>
      <w:r w:rsidR="00635CAE" w:rsidRPr="00506C28">
        <w:rPr>
          <w:rFonts w:ascii="Arial" w:hAnsi="Arial" w:cs="Arial"/>
          <w:color w:val="404040"/>
          <w:lang w:eastAsia="en-US"/>
        </w:rPr>
        <w:t xml:space="preserve"> </w:t>
      </w:r>
      <w:r w:rsidRPr="00506C28">
        <w:rPr>
          <w:rFonts w:ascii="Arial" w:hAnsi="Arial" w:cs="Arial"/>
          <w:color w:val="404040"/>
          <w:lang w:eastAsia="en-US"/>
        </w:rPr>
        <w:t xml:space="preserve">terroryzmem </w:t>
      </w:r>
      <w:r w:rsidR="00090273">
        <w:rPr>
          <w:rFonts w:ascii="Arial" w:hAnsi="Arial" w:cs="Arial"/>
          <w:color w:val="404040"/>
          <w:lang w:eastAsia="en-US"/>
        </w:rPr>
        <w:br/>
      </w:r>
      <w:r w:rsidRPr="00506C28">
        <w:rPr>
          <w:rFonts w:ascii="Arial" w:hAnsi="Arial" w:cs="Arial"/>
          <w:color w:val="404040"/>
          <w:lang w:eastAsia="en-US"/>
        </w:rPr>
        <w:t>i</w:t>
      </w:r>
      <w:r w:rsidR="00090273">
        <w:rPr>
          <w:rFonts w:ascii="Arial" w:hAnsi="Arial" w:cs="Arial"/>
          <w:color w:val="404040"/>
          <w:lang w:eastAsia="en-US"/>
        </w:rPr>
        <w:t xml:space="preserve"> </w:t>
      </w:r>
      <w:r w:rsidRPr="00506C28">
        <w:rPr>
          <w:rFonts w:ascii="Arial" w:hAnsi="Arial" w:cs="Arial"/>
          <w:color w:val="404040"/>
          <w:lang w:eastAsia="en-US"/>
        </w:rPr>
        <w:t>przestępczością</w:t>
      </w:r>
      <w:r w:rsidR="00EE6F8C" w:rsidRPr="00506C28">
        <w:rPr>
          <w:rFonts w:ascii="Arial" w:hAnsi="Arial" w:cs="Arial"/>
          <w:color w:val="404040"/>
          <w:lang w:eastAsia="en-US"/>
        </w:rPr>
        <w:t xml:space="preserve"> zorganizowaną</w:t>
      </w:r>
      <w:r w:rsidRPr="00506C28">
        <w:rPr>
          <w:rFonts w:ascii="Arial" w:hAnsi="Arial" w:cs="Arial"/>
          <w:color w:val="404040"/>
          <w:lang w:eastAsia="en-US"/>
        </w:rPr>
        <w:t xml:space="preserve">, Konwencja bezwzględnie zakazuje tortur oraz nieludzkiego lub poniżającego traktowania </w:t>
      </w:r>
      <w:r w:rsidR="0005173F" w:rsidRPr="00506C28">
        <w:rPr>
          <w:rFonts w:ascii="Arial" w:hAnsi="Arial" w:cs="Arial"/>
          <w:color w:val="404040"/>
          <w:lang w:eastAsia="en-US"/>
        </w:rPr>
        <w:t>albo</w:t>
      </w:r>
      <w:r w:rsidRPr="00506C28">
        <w:rPr>
          <w:rFonts w:ascii="Arial" w:hAnsi="Arial" w:cs="Arial"/>
          <w:color w:val="404040"/>
          <w:lang w:eastAsia="en-US"/>
        </w:rPr>
        <w:t xml:space="preserve"> karania. W przeciwieństwie do większości przepisów materialnych Konwencji [...] </w:t>
      </w:r>
      <w:r w:rsidRPr="00506C28">
        <w:rPr>
          <w:rFonts w:ascii="Arial" w:hAnsi="Arial" w:cs="Arial"/>
          <w:b/>
          <w:bCs/>
          <w:color w:val="404040"/>
          <w:lang w:eastAsia="en-US"/>
        </w:rPr>
        <w:t xml:space="preserve">artykuł 3 </w:t>
      </w:r>
      <w:r w:rsidRPr="00506C28">
        <w:rPr>
          <w:rFonts w:ascii="Arial" w:hAnsi="Arial" w:cs="Arial"/>
          <w:color w:val="404040"/>
          <w:lang w:eastAsia="en-US"/>
        </w:rPr>
        <w:t>nie przewiduje żadnych wyjątków, a</w:t>
      </w:r>
      <w:r w:rsidR="00B92921" w:rsidRPr="00506C28">
        <w:rPr>
          <w:rFonts w:ascii="Arial" w:hAnsi="Arial" w:cs="Arial"/>
          <w:color w:val="404040"/>
          <w:lang w:eastAsia="en-US"/>
        </w:rPr>
        <w:t xml:space="preserve"> jego</w:t>
      </w:r>
      <w:r w:rsidRPr="00506C28">
        <w:rPr>
          <w:rFonts w:ascii="Arial" w:hAnsi="Arial" w:cs="Arial"/>
          <w:color w:val="404040"/>
          <w:lang w:eastAsia="en-US"/>
        </w:rPr>
        <w:t xml:space="preserve"> </w:t>
      </w:r>
      <w:r w:rsidR="005C6EBB" w:rsidRPr="00506C28">
        <w:rPr>
          <w:rFonts w:ascii="Arial" w:hAnsi="Arial" w:cs="Arial"/>
          <w:b/>
          <w:bCs/>
          <w:color w:val="404040"/>
          <w:lang w:eastAsia="en-US"/>
        </w:rPr>
        <w:t>uchylenie</w:t>
      </w:r>
      <w:r w:rsidRPr="00506C28">
        <w:rPr>
          <w:rFonts w:ascii="Arial" w:hAnsi="Arial" w:cs="Arial"/>
          <w:b/>
          <w:bCs/>
          <w:color w:val="404040"/>
          <w:lang w:eastAsia="en-US"/>
        </w:rPr>
        <w:t xml:space="preserve"> nie jest dopuszczalne na podstawie artykułu 15, nawet w przypadku stanu wyjątkowego zagrażającego życiu narodu [...</w:t>
      </w:r>
      <w:r w:rsidRPr="00506C28">
        <w:rPr>
          <w:rFonts w:ascii="Arial" w:hAnsi="Arial" w:cs="Arial"/>
          <w:color w:val="404040"/>
          <w:lang w:eastAsia="en-US"/>
        </w:rPr>
        <w:t>]” (pkt 62 wyroku).</w:t>
      </w:r>
    </w:p>
    <w:p w14:paraId="27DDDE13" w14:textId="658DB767" w:rsidR="00E82CEC" w:rsidRPr="00506C28" w:rsidRDefault="006278DB" w:rsidP="004E75AD">
      <w:pPr>
        <w:pStyle w:val="Heading20"/>
        <w:keepNext/>
        <w:keepLines/>
        <w:spacing w:before="30" w:after="120"/>
        <w:jc w:val="both"/>
        <w:rPr>
          <w:rFonts w:ascii="Arial" w:hAnsi="Arial" w:cs="Arial"/>
          <w:color w:val="404040"/>
          <w:lang w:eastAsia="en-US"/>
        </w:rPr>
      </w:pPr>
      <w:r w:rsidRPr="00506C28">
        <w:rPr>
          <w:rFonts w:ascii="Arial" w:hAnsi="Arial" w:cs="Arial"/>
          <w:i/>
          <w:iCs/>
          <w:color w:val="404040"/>
          <w:sz w:val="19"/>
          <w:szCs w:val="19"/>
          <w:lang w:eastAsia="en-US"/>
        </w:rPr>
        <w:t>Zob. również</w:t>
      </w:r>
      <w:r w:rsidRPr="00506C28">
        <w:rPr>
          <w:rFonts w:ascii="Arial" w:hAnsi="Arial" w:cs="Arial"/>
          <w:color w:val="404040"/>
          <w:sz w:val="19"/>
          <w:szCs w:val="19"/>
          <w:lang w:eastAsia="en-US"/>
        </w:rPr>
        <w:t>, między innymi:</w:t>
      </w:r>
      <w:hyperlink r:id="rId74" w:history="1">
        <w:r w:rsidRPr="00506C28">
          <w:rPr>
            <w:rStyle w:val="Hipercze"/>
            <w:rFonts w:ascii="Arial" w:hAnsi="Arial" w:cs="Arial"/>
            <w:lang w:eastAsia="en-US"/>
          </w:rPr>
          <w:t xml:space="preserve"> </w:t>
        </w:r>
        <w:r w:rsidRPr="00506C28">
          <w:rPr>
            <w:rStyle w:val="TekstpodstawowyZnak"/>
            <w:rFonts w:ascii="Arial" w:eastAsia="Arial" w:hAnsi="Arial" w:cs="Arial"/>
            <w:b/>
            <w:bCs/>
            <w:u w:val="single"/>
            <w:lang w:eastAsia="en-US"/>
          </w:rPr>
          <w:t>Irlandia przeciwko Zjednoczonemu Królestwu</w:t>
        </w:r>
      </w:hyperlink>
      <w:r w:rsidRPr="00506C28">
        <w:rPr>
          <w:rFonts w:ascii="Arial" w:hAnsi="Arial" w:cs="Arial"/>
          <w:color w:val="404040"/>
          <w:sz w:val="19"/>
          <w:szCs w:val="19"/>
          <w:lang w:eastAsia="en-US"/>
        </w:rPr>
        <w:t>, wyrok z dnia 18 stycznia 1978 r., § 163;</w:t>
      </w:r>
      <w:hyperlink r:id="rId75" w:history="1">
        <w:r w:rsidRPr="00506C28">
          <w:rPr>
            <w:rStyle w:val="TekstpodstawowyZnak"/>
            <w:rFonts w:ascii="Arial" w:eastAsia="Arial" w:hAnsi="Arial" w:cs="Arial"/>
            <w:u w:val="single"/>
            <w:lang w:eastAsia="en-US"/>
          </w:rPr>
          <w:t xml:space="preserve"> </w:t>
        </w:r>
        <w:r w:rsidRPr="00506C28">
          <w:rPr>
            <w:rStyle w:val="TekstpodstawowyZnak"/>
            <w:rFonts w:ascii="Arial" w:eastAsia="Arial" w:hAnsi="Arial" w:cs="Arial"/>
            <w:b/>
            <w:bCs/>
            <w:u w:val="single"/>
            <w:lang w:eastAsia="en-US"/>
          </w:rPr>
          <w:t>Soering przeciwko Zjednoczonemu Królestwu</w:t>
        </w:r>
      </w:hyperlink>
      <w:r w:rsidRPr="00506C28">
        <w:rPr>
          <w:rFonts w:ascii="Arial" w:hAnsi="Arial" w:cs="Arial"/>
          <w:color w:val="404040"/>
          <w:sz w:val="19"/>
          <w:szCs w:val="19"/>
          <w:lang w:eastAsia="en-US"/>
        </w:rPr>
        <w:t>, wyrok z dnia 7 lipca 1989 r., § 88;</w:t>
      </w:r>
      <w:hyperlink r:id="rId76" w:history="1">
        <w:r w:rsidRPr="00506C28">
          <w:rPr>
            <w:rStyle w:val="TekstpodstawowyZnak"/>
            <w:rFonts w:ascii="Arial" w:eastAsia="Arial" w:hAnsi="Arial" w:cs="Arial"/>
            <w:b/>
            <w:bCs/>
            <w:u w:val="single"/>
            <w:lang w:eastAsia="en-US"/>
          </w:rPr>
          <w:t xml:space="preserve"> Chahal przeciwko Zjednoczonemu Królestwu</w:t>
        </w:r>
      </w:hyperlink>
      <w:r w:rsidRPr="00506C28">
        <w:rPr>
          <w:rFonts w:ascii="Arial" w:hAnsi="Arial" w:cs="Arial"/>
          <w:color w:val="404040"/>
          <w:sz w:val="19"/>
          <w:szCs w:val="19"/>
          <w:lang w:eastAsia="en-US"/>
        </w:rPr>
        <w:t>, wyrok z dnia 15 listopada 1996 r., § 79;</w:t>
      </w:r>
      <w:hyperlink r:id="rId77" w:history="1">
        <w:r w:rsidRPr="00506C28">
          <w:rPr>
            <w:rStyle w:val="Hipercze"/>
            <w:rFonts w:ascii="Arial" w:hAnsi="Arial" w:cs="Arial"/>
            <w:lang w:eastAsia="en-US"/>
          </w:rPr>
          <w:t xml:space="preserve"> </w:t>
        </w:r>
        <w:r w:rsidRPr="00506C28">
          <w:rPr>
            <w:rStyle w:val="TekstpodstawowyZnak"/>
            <w:rFonts w:ascii="Arial" w:eastAsia="Arial" w:hAnsi="Arial" w:cs="Arial"/>
            <w:b/>
            <w:bCs/>
            <w:u w:val="single"/>
            <w:lang w:eastAsia="en-US"/>
          </w:rPr>
          <w:t>Saadi przeciwko Włochom</w:t>
        </w:r>
        <w:r w:rsidRPr="00506C28">
          <w:rPr>
            <w:rStyle w:val="Hipercze"/>
            <w:rFonts w:ascii="Arial" w:hAnsi="Arial" w:cs="Arial"/>
            <w:b/>
            <w:bCs/>
            <w:i/>
            <w:iCs/>
            <w:lang w:eastAsia="en-US"/>
          </w:rPr>
          <w:t>,</w:t>
        </w:r>
        <w:r w:rsidRPr="00506C28">
          <w:rPr>
            <w:rStyle w:val="Hipercze"/>
            <w:rFonts w:ascii="Arial" w:hAnsi="Arial" w:cs="Arial"/>
            <w:lang w:eastAsia="en-US"/>
          </w:rPr>
          <w:t xml:space="preserve"> </w:t>
        </w:r>
      </w:hyperlink>
      <w:r w:rsidRPr="00506C28">
        <w:rPr>
          <w:rFonts w:ascii="Arial" w:hAnsi="Arial" w:cs="Arial"/>
          <w:color w:val="404040"/>
          <w:sz w:val="19"/>
          <w:szCs w:val="19"/>
          <w:lang w:eastAsia="en-US"/>
        </w:rPr>
        <w:t>wyrok (wielka izba) z dnia 28 lutego 2008 r., § 127;</w:t>
      </w:r>
      <w:hyperlink r:id="rId78" w:history="1">
        <w:r w:rsidRPr="00506C28">
          <w:rPr>
            <w:rStyle w:val="TekstpodstawowyZnak"/>
            <w:rFonts w:ascii="Arial" w:eastAsia="Arial" w:hAnsi="Arial" w:cs="Arial"/>
            <w:b/>
            <w:bCs/>
            <w:u w:val="single"/>
            <w:lang w:eastAsia="en-US"/>
          </w:rPr>
          <w:t xml:space="preserve"> El-Masri przeciwko „Byłej Jugosłowiańskiej Republice</w:t>
        </w:r>
      </w:hyperlink>
      <w:r w:rsidRPr="00506C28">
        <w:rPr>
          <w:rStyle w:val="TekstpodstawowyZnak"/>
          <w:rFonts w:ascii="Arial" w:eastAsia="Arial" w:hAnsi="Arial" w:cs="Arial"/>
          <w:b/>
          <w:bCs/>
          <w:u w:val="single"/>
          <w:lang w:eastAsia="en-US"/>
        </w:rPr>
        <w:t xml:space="preserve"> </w:t>
      </w:r>
      <w:hyperlink r:id="rId79" w:history="1">
        <w:r w:rsidRPr="00506C28">
          <w:rPr>
            <w:rStyle w:val="TekstpodstawowyZnak"/>
            <w:rFonts w:ascii="Arial" w:eastAsia="Arial" w:hAnsi="Arial" w:cs="Arial"/>
            <w:b/>
            <w:bCs/>
            <w:u w:val="single"/>
            <w:lang w:eastAsia="en-US"/>
          </w:rPr>
          <w:t>Macedonii”</w:t>
        </w:r>
        <w:r w:rsidR="00883B7B" w:rsidRPr="00506C28">
          <w:rPr>
            <w:rFonts w:ascii="Arial" w:hAnsi="Arial" w:cs="Arial"/>
            <w:color w:val="404040"/>
          </w:rPr>
          <w:t>,</w:t>
        </w:r>
        <w:r w:rsidRPr="00506C28">
          <w:rPr>
            <w:rFonts w:ascii="Arial" w:hAnsi="Arial" w:cs="Arial"/>
            <w:color w:val="404040"/>
            <w:lang w:eastAsia="en-US"/>
          </w:rPr>
          <w:t xml:space="preserve"> </w:t>
        </w:r>
      </w:hyperlink>
      <w:r w:rsidRPr="00506C28">
        <w:rPr>
          <w:rFonts w:ascii="Arial" w:hAnsi="Arial" w:cs="Arial"/>
          <w:color w:val="404040"/>
          <w:sz w:val="19"/>
          <w:szCs w:val="19"/>
          <w:lang w:eastAsia="en-US"/>
        </w:rPr>
        <w:t>wyrok (wielka izba) z dnia 13 grudnia 2012 r., § 195</w:t>
      </w:r>
      <w:r w:rsidRPr="00506C28">
        <w:rPr>
          <w:rFonts w:ascii="Arial" w:hAnsi="Arial" w:cs="Arial"/>
          <w:b/>
          <w:bCs/>
          <w:color w:val="404040"/>
          <w:sz w:val="19"/>
          <w:szCs w:val="19"/>
          <w:lang w:eastAsia="en-US"/>
        </w:rPr>
        <w:t xml:space="preserve">; </w:t>
      </w:r>
      <w:hyperlink r:id="rId80" w:history="1">
        <w:r w:rsidRPr="00506C28">
          <w:rPr>
            <w:rStyle w:val="TekstpodstawowyZnak"/>
            <w:rFonts w:ascii="Arial" w:eastAsia="Arial" w:hAnsi="Arial" w:cs="Arial"/>
            <w:b/>
            <w:bCs/>
            <w:u w:val="single"/>
            <w:lang w:eastAsia="en-US"/>
          </w:rPr>
          <w:t>Al Nashiri przeciwko</w:t>
        </w:r>
      </w:hyperlink>
      <w:r w:rsidRPr="00506C28">
        <w:rPr>
          <w:rStyle w:val="TekstpodstawowyZnak"/>
          <w:rFonts w:ascii="Arial" w:eastAsia="Arial" w:hAnsi="Arial" w:cs="Arial"/>
          <w:b/>
          <w:bCs/>
          <w:u w:val="single"/>
          <w:lang w:eastAsia="en-US"/>
        </w:rPr>
        <w:t xml:space="preserve"> </w:t>
      </w:r>
      <w:hyperlink r:id="rId81" w:history="1">
        <w:r w:rsidRPr="00506C28">
          <w:rPr>
            <w:rStyle w:val="TekstpodstawowyZnak"/>
            <w:rFonts w:ascii="Arial" w:eastAsia="Arial" w:hAnsi="Arial" w:cs="Arial"/>
            <w:b/>
            <w:bCs/>
            <w:u w:val="single"/>
            <w:lang w:eastAsia="en-US"/>
          </w:rPr>
          <w:t>Polsce</w:t>
        </w:r>
        <w:r w:rsidRPr="00506C28">
          <w:rPr>
            <w:rFonts w:ascii="Arial" w:hAnsi="Arial" w:cs="Arial"/>
            <w:color w:val="404040"/>
            <w:lang w:eastAsia="en-US"/>
          </w:rPr>
          <w:t>,</w:t>
        </w:r>
        <w:r w:rsidRPr="00506C28">
          <w:rPr>
            <w:rStyle w:val="TekstpodstawowyZnak"/>
            <w:rFonts w:ascii="Arial" w:eastAsia="Arial" w:hAnsi="Arial" w:cs="Arial"/>
            <w:b/>
            <w:bCs/>
            <w:u w:val="single"/>
            <w:lang w:eastAsia="en-US"/>
          </w:rPr>
          <w:t xml:space="preserve"> </w:t>
        </w:r>
      </w:hyperlink>
      <w:r w:rsidRPr="00506C28">
        <w:rPr>
          <w:rFonts w:ascii="Arial" w:hAnsi="Arial" w:cs="Arial"/>
          <w:color w:val="404040"/>
          <w:sz w:val="19"/>
          <w:szCs w:val="19"/>
          <w:lang w:eastAsia="en-US"/>
        </w:rPr>
        <w:t>wyrok z dnia 24 lipca 2014 r., § 507.</w:t>
      </w:r>
      <w:r w:rsidR="00E82CEC" w:rsidRPr="00506C28">
        <w:rPr>
          <w:rFonts w:ascii="Arial" w:hAnsi="Arial" w:cs="Arial"/>
          <w:color w:val="404040"/>
          <w:lang w:eastAsia="en-US"/>
        </w:rPr>
        <w:t xml:space="preserve"> </w:t>
      </w:r>
    </w:p>
    <w:p w14:paraId="529A53E1" w14:textId="2B62B7AA" w:rsidR="00E82CEC" w:rsidRPr="00506C28" w:rsidRDefault="00E82CEC" w:rsidP="004E75AD">
      <w:pPr>
        <w:pStyle w:val="Heading20"/>
        <w:keepNext/>
        <w:keepLines/>
        <w:spacing w:before="30" w:after="120"/>
        <w:jc w:val="both"/>
        <w:rPr>
          <w:rFonts w:ascii="Arial" w:hAnsi="Arial" w:cs="Arial"/>
        </w:rPr>
      </w:pPr>
      <w:r w:rsidRPr="00506C28">
        <w:rPr>
          <w:rStyle w:val="Heading2"/>
          <w:rFonts w:ascii="Arial" w:hAnsi="Arial" w:cs="Arial"/>
        </w:rPr>
        <w:t xml:space="preserve">Artykuł 3 (zakaz tortur i nieludzkiego lub poniżającego traktowania </w:t>
      </w:r>
      <w:r w:rsidR="00EE6F8C" w:rsidRPr="00506C28">
        <w:rPr>
          <w:rStyle w:val="Heading2"/>
          <w:rFonts w:ascii="Arial" w:hAnsi="Arial" w:cs="Arial"/>
        </w:rPr>
        <w:t xml:space="preserve">albo </w:t>
      </w:r>
      <w:r w:rsidRPr="00506C28">
        <w:rPr>
          <w:rStyle w:val="Heading2"/>
          <w:rFonts w:ascii="Arial" w:hAnsi="Arial" w:cs="Arial"/>
        </w:rPr>
        <w:t>karania) Konwencji</w:t>
      </w:r>
    </w:p>
    <w:p w14:paraId="0590B090" w14:textId="77777777" w:rsidR="00E82CEC" w:rsidRPr="00506C28" w:rsidRDefault="00E82CEC" w:rsidP="004E75AD">
      <w:pPr>
        <w:pStyle w:val="Tekstpodstawowy"/>
        <w:spacing w:before="30"/>
        <w:jc w:val="both"/>
        <w:rPr>
          <w:rFonts w:ascii="Arial" w:hAnsi="Arial" w:cs="Arial"/>
          <w:sz w:val="18"/>
          <w:szCs w:val="18"/>
        </w:rPr>
      </w:pPr>
      <w:hyperlink r:id="rId82" w:history="1">
        <w:r w:rsidRPr="00506C28">
          <w:rPr>
            <w:rStyle w:val="TekstpodstawowyZnak"/>
            <w:rFonts w:ascii="Arial" w:hAnsi="Arial" w:cs="Arial"/>
            <w:b/>
            <w:bCs/>
            <w:sz w:val="18"/>
            <w:szCs w:val="18"/>
            <w:u w:val="single"/>
          </w:rPr>
          <w:t>Öcalan przeciwko Turcji (nr 2)</w:t>
        </w:r>
      </w:hyperlink>
    </w:p>
    <w:p w14:paraId="001C88D1" w14:textId="337C51A0" w:rsidR="00E46D28" w:rsidRPr="00506C28" w:rsidRDefault="00E82CEC" w:rsidP="004E75AD">
      <w:pPr>
        <w:pStyle w:val="Bodytext30"/>
        <w:spacing w:before="30"/>
        <w:jc w:val="both"/>
        <w:rPr>
          <w:rStyle w:val="TekstpodstawowyZnak"/>
          <w:rFonts w:ascii="Arial" w:hAnsi="Arial" w:cs="Arial"/>
          <w:color w:val="000000"/>
        </w:rPr>
      </w:pPr>
      <w:r w:rsidRPr="00506C28">
        <w:rPr>
          <w:rStyle w:val="Bodytext3"/>
          <w:rFonts w:ascii="Arial" w:hAnsi="Arial" w:cs="Arial"/>
        </w:rPr>
        <w:t>18 marca 2014 r. (wyrok)</w:t>
      </w:r>
    </w:p>
    <w:p w14:paraId="0FB87AC7" w14:textId="1A7AE5CD" w:rsidR="00E82CEC" w:rsidRPr="00506C28" w:rsidRDefault="00E82CEC" w:rsidP="004E75AD">
      <w:pPr>
        <w:pStyle w:val="Tekstpodstawowy"/>
        <w:spacing w:before="30" w:after="0"/>
        <w:jc w:val="both"/>
        <w:rPr>
          <w:rFonts w:ascii="Arial" w:hAnsi="Arial" w:cs="Arial"/>
        </w:rPr>
      </w:pPr>
      <w:r w:rsidRPr="00506C28">
        <w:rPr>
          <w:rStyle w:val="TekstpodstawowyZnak"/>
          <w:rFonts w:ascii="Arial" w:hAnsi="Arial" w:cs="Arial"/>
          <w:color w:val="000000"/>
        </w:rPr>
        <w:t>Wnioskodawca, założyciel nielegalnej organizacji PKK, skarżył się na niezmienny charakter wyroku dożywotniego pozbawienia wolności oraz na warunki przetrzymywania (w szczególności izolację społeczną i ograniczenia w kontaktach z członkami rodziny i adwokatami, zarówno telefonicznych, jak i poprzez wizyty) w więzieniu na wyspie İmralı.</w:t>
      </w:r>
    </w:p>
    <w:p w14:paraId="334AF0CC" w14:textId="7C3C3DC8" w:rsidR="00E82CEC" w:rsidRPr="00506C28" w:rsidRDefault="00E82CEC" w:rsidP="004E75AD">
      <w:pPr>
        <w:pStyle w:val="Tekstpodstawowy"/>
        <w:spacing w:before="30" w:after="280"/>
        <w:jc w:val="both"/>
        <w:rPr>
          <w:rFonts w:ascii="Arial" w:hAnsi="Arial" w:cs="Arial"/>
        </w:rPr>
      </w:pPr>
      <w:r w:rsidRPr="00506C28">
        <w:rPr>
          <w:rStyle w:val="TekstpodstawowyZnak"/>
          <w:rFonts w:ascii="Arial" w:hAnsi="Arial" w:cs="Arial"/>
        </w:rPr>
        <w:lastRenderedPageBreak/>
        <w:t xml:space="preserve">Trybunał stwierdził, że doszło do naruszenia art. 3 Konwencji, ponieważ warunki zatrzymania </w:t>
      </w:r>
      <w:r w:rsidR="00837D46" w:rsidRPr="00506C28">
        <w:rPr>
          <w:rStyle w:val="TekstpodstawowyZnak"/>
          <w:rFonts w:ascii="Arial" w:hAnsi="Arial" w:cs="Arial"/>
        </w:rPr>
        <w:t xml:space="preserve">nałożone na </w:t>
      </w:r>
      <w:r w:rsidRPr="00506C28">
        <w:rPr>
          <w:rStyle w:val="TekstpodstawowyZnak"/>
          <w:rFonts w:ascii="Arial" w:hAnsi="Arial" w:cs="Arial"/>
        </w:rPr>
        <w:t xml:space="preserve">skarżącego do dnia 17 listopada 2009 r. stanowiły nieludzkie traktowanie, ale nie doszło do naruszenia art. 3 w odniesieniu do okresu późniejszego. Trybunał zauważył w szczególności, co następuje: „Artykuł 3 Konwencji zawiera jedną z podstawowych wartości społeczeństw demokratycznych. Nawet </w:t>
      </w:r>
      <w:r w:rsidR="00F02693">
        <w:rPr>
          <w:rStyle w:val="TekstpodstawowyZnak"/>
          <w:rFonts w:ascii="Arial" w:hAnsi="Arial" w:cs="Arial"/>
        </w:rPr>
        <w:br/>
      </w:r>
      <w:r w:rsidRPr="00506C28">
        <w:rPr>
          <w:rStyle w:val="TekstpodstawowyZnak"/>
          <w:rFonts w:ascii="Arial" w:hAnsi="Arial" w:cs="Arial"/>
        </w:rPr>
        <w:t xml:space="preserve">w najtrudniejszych okolicznościach, takich jak walka z terroryzmem i przestępczością zorganizowaną, Konwencja bezwzględnie zakazuje tortur oraz nieludzkiego lub poniżającego traktowania </w:t>
      </w:r>
      <w:r w:rsidR="00EE6F8C" w:rsidRPr="00506C28">
        <w:rPr>
          <w:rStyle w:val="TekstpodstawowyZnak"/>
          <w:rFonts w:ascii="Arial" w:hAnsi="Arial" w:cs="Arial"/>
        </w:rPr>
        <w:t xml:space="preserve">albo </w:t>
      </w:r>
      <w:r w:rsidRPr="00506C28">
        <w:rPr>
          <w:rStyle w:val="TekstpodstawowyZnak"/>
          <w:rFonts w:ascii="Arial" w:hAnsi="Arial" w:cs="Arial"/>
        </w:rPr>
        <w:t>karania, niezależnie od zachowania danej osoby</w:t>
      </w:r>
      <w:r w:rsidR="00EE6F8C" w:rsidRPr="00506C28">
        <w:rPr>
          <w:rStyle w:val="TekstpodstawowyZnak"/>
          <w:rFonts w:ascii="Arial" w:hAnsi="Arial" w:cs="Arial"/>
        </w:rPr>
        <w:t xml:space="preserve"> [</w:t>
      </w:r>
      <w:r w:rsidRPr="00506C28">
        <w:rPr>
          <w:rStyle w:val="TekstpodstawowyZnak"/>
          <w:rFonts w:ascii="Arial" w:hAnsi="Arial" w:cs="Arial"/>
        </w:rPr>
        <w:t>...</w:t>
      </w:r>
      <w:r w:rsidR="00EE6F8C" w:rsidRPr="00506C28">
        <w:rPr>
          <w:rStyle w:val="TekstpodstawowyZnak"/>
          <w:rFonts w:ascii="Arial" w:hAnsi="Arial" w:cs="Arial"/>
        </w:rPr>
        <w:t>]</w:t>
      </w:r>
      <w:r w:rsidRPr="00506C28">
        <w:rPr>
          <w:rStyle w:val="TekstpodstawowyZnak"/>
          <w:rFonts w:ascii="Arial" w:hAnsi="Arial" w:cs="Arial"/>
        </w:rPr>
        <w:t xml:space="preserve"> We współczesnym świecie państwa stoją przed bardzo realnymi trudnościami w zakresie ochrony swoich obywateli przed przemocą terrorystyczną. Jednak w przeciwieństwie do większości postanowień merytorycznych Konwencji [...] art. 3 nie przewiduje żadnych wyjątków, </w:t>
      </w:r>
      <w:r w:rsidR="00F02693">
        <w:rPr>
          <w:rStyle w:val="TekstpodstawowyZnak"/>
          <w:rFonts w:ascii="Arial" w:hAnsi="Arial" w:cs="Arial"/>
        </w:rPr>
        <w:br/>
      </w:r>
      <w:r w:rsidRPr="00506C28">
        <w:rPr>
          <w:rStyle w:val="TekstpodstawowyZnak"/>
          <w:rFonts w:ascii="Arial" w:hAnsi="Arial" w:cs="Arial"/>
        </w:rPr>
        <w:t xml:space="preserve">a </w:t>
      </w:r>
      <w:r w:rsidR="005C6EBB" w:rsidRPr="00506C28">
        <w:rPr>
          <w:rStyle w:val="TekstpodstawowyZnak"/>
          <w:rFonts w:ascii="Arial" w:hAnsi="Arial" w:cs="Arial"/>
          <w:b/>
          <w:bCs/>
        </w:rPr>
        <w:t>uchylenie</w:t>
      </w:r>
      <w:r w:rsidRPr="00506C28">
        <w:rPr>
          <w:rStyle w:val="TekstpodstawowyZnak"/>
          <w:rFonts w:ascii="Arial" w:hAnsi="Arial" w:cs="Arial"/>
          <w:b/>
          <w:bCs/>
        </w:rPr>
        <w:t xml:space="preserve"> od niego nie jest dopuszczalne </w:t>
      </w:r>
      <w:r w:rsidRPr="00506C28">
        <w:rPr>
          <w:rStyle w:val="TekstpodstawowyZnak"/>
          <w:rFonts w:ascii="Arial" w:hAnsi="Arial" w:cs="Arial"/>
        </w:rPr>
        <w:t xml:space="preserve">na podstawie art. 15 § 2, nawet w przypadku stanu </w:t>
      </w:r>
      <w:r w:rsidR="0005173F" w:rsidRPr="00506C28">
        <w:rPr>
          <w:rStyle w:val="TekstpodstawowyZnak"/>
          <w:rFonts w:ascii="Arial" w:hAnsi="Arial" w:cs="Arial"/>
        </w:rPr>
        <w:t xml:space="preserve">niebezpieczeństwa publicznego </w:t>
      </w:r>
      <w:r w:rsidRPr="00506C28">
        <w:rPr>
          <w:rStyle w:val="TekstpodstawowyZnak"/>
          <w:rFonts w:ascii="Arial" w:hAnsi="Arial" w:cs="Arial"/>
        </w:rPr>
        <w:t>zagrażającego życiu narodu” (zob. pkt 97–98 wyroku).</w:t>
      </w:r>
    </w:p>
    <w:p w14:paraId="40245F90" w14:textId="77777777" w:rsidR="00F31461" w:rsidRPr="00506C28" w:rsidRDefault="00F31461" w:rsidP="004E75AD">
      <w:pPr>
        <w:pStyle w:val="Heading20"/>
        <w:keepNext/>
        <w:keepLines/>
        <w:spacing w:before="30" w:after="120"/>
        <w:rPr>
          <w:rStyle w:val="Heading2"/>
          <w:rFonts w:ascii="Arial" w:hAnsi="Arial" w:cs="Arial"/>
        </w:rPr>
      </w:pPr>
    </w:p>
    <w:p w14:paraId="5D04870B" w14:textId="13CD2580" w:rsidR="00E82CEC" w:rsidRPr="00506C28" w:rsidRDefault="00E82CEC" w:rsidP="004E75AD">
      <w:pPr>
        <w:pStyle w:val="Heading20"/>
        <w:keepNext/>
        <w:keepLines/>
        <w:spacing w:before="30" w:after="120"/>
        <w:rPr>
          <w:rFonts w:ascii="Arial" w:hAnsi="Arial" w:cs="Arial"/>
        </w:rPr>
      </w:pPr>
      <w:r w:rsidRPr="00506C28">
        <w:rPr>
          <w:rStyle w:val="Heading2"/>
          <w:rFonts w:ascii="Arial" w:hAnsi="Arial" w:cs="Arial"/>
        </w:rPr>
        <w:t>Artykuł 4 § 1 (zakaz niewolnictwa i poddaństwa) Konwencji</w:t>
      </w:r>
    </w:p>
    <w:p w14:paraId="11BD8F09" w14:textId="77777777" w:rsidR="00E82CEC" w:rsidRPr="00506C28" w:rsidRDefault="00E82CEC" w:rsidP="004E75AD">
      <w:pPr>
        <w:pStyle w:val="Heading30"/>
        <w:keepNext/>
        <w:keepLines/>
        <w:spacing w:before="30" w:after="60"/>
        <w:rPr>
          <w:rFonts w:ascii="Arial" w:hAnsi="Arial" w:cs="Arial"/>
        </w:rPr>
      </w:pPr>
      <w:hyperlink r:id="rId83" w:history="1">
        <w:r w:rsidRPr="00506C28">
          <w:rPr>
            <w:rStyle w:val="Heading3"/>
            <w:rFonts w:ascii="Arial" w:hAnsi="Arial" w:cs="Arial"/>
            <w:b/>
            <w:bCs/>
          </w:rPr>
          <w:t>Rantsev przeciwko Cyprowi i Rosji</w:t>
        </w:r>
      </w:hyperlink>
    </w:p>
    <w:p w14:paraId="3024FE2C" w14:textId="77777777" w:rsidR="00E82CEC" w:rsidRPr="00506C28" w:rsidRDefault="00E82CEC" w:rsidP="004E75AD">
      <w:pPr>
        <w:pStyle w:val="Bodytext30"/>
        <w:spacing w:before="30"/>
        <w:rPr>
          <w:rFonts w:ascii="Arial" w:hAnsi="Arial" w:cs="Arial"/>
        </w:rPr>
      </w:pPr>
      <w:r w:rsidRPr="00506C28">
        <w:rPr>
          <w:rStyle w:val="Bodytext3"/>
          <w:rFonts w:ascii="Arial" w:hAnsi="Arial" w:cs="Arial"/>
        </w:rPr>
        <w:t>7 stycznia 2010 r. (wyrok)</w:t>
      </w:r>
    </w:p>
    <w:p w14:paraId="7204A1C1" w14:textId="673C341A" w:rsidR="00E82CEC" w:rsidRPr="00506C28" w:rsidRDefault="00E82CEC" w:rsidP="004E75AD">
      <w:pPr>
        <w:pStyle w:val="Tekstpodstawowy"/>
        <w:spacing w:before="30" w:after="0"/>
        <w:jc w:val="both"/>
        <w:rPr>
          <w:rStyle w:val="TekstpodstawowyZnak"/>
          <w:rFonts w:ascii="Arial" w:hAnsi="Arial" w:cs="Arial"/>
          <w:color w:val="000000"/>
        </w:rPr>
      </w:pPr>
      <w:r w:rsidRPr="00506C28">
        <w:rPr>
          <w:rStyle w:val="TekstpodstawowyZnak"/>
          <w:rFonts w:ascii="Arial" w:hAnsi="Arial" w:cs="Arial"/>
          <w:color w:val="000000"/>
        </w:rPr>
        <w:t xml:space="preserve">Skarżący był ojcem młodej kobiety, która zmarła na Cyprze, </w:t>
      </w:r>
      <w:r w:rsidR="0005173F" w:rsidRPr="00506C28">
        <w:rPr>
          <w:rStyle w:val="TekstpodstawowyZnak"/>
          <w:rFonts w:ascii="Arial" w:hAnsi="Arial" w:cs="Arial"/>
          <w:color w:val="000000"/>
        </w:rPr>
        <w:t>dokąd</w:t>
      </w:r>
      <w:r w:rsidR="00F01CC4" w:rsidRPr="00506C28">
        <w:rPr>
          <w:rStyle w:val="TekstpodstawowyZnak"/>
          <w:rFonts w:ascii="Arial" w:hAnsi="Arial" w:cs="Arial"/>
          <w:color w:val="000000"/>
        </w:rPr>
        <w:t xml:space="preserve"> wyjechała do pracy </w:t>
      </w:r>
      <w:r w:rsidRPr="00506C28">
        <w:rPr>
          <w:rStyle w:val="TekstpodstawowyZnak"/>
          <w:rFonts w:ascii="Arial" w:hAnsi="Arial" w:cs="Arial"/>
          <w:color w:val="000000"/>
        </w:rPr>
        <w:t>w marcu 2001 r. Twierdził, że policja</w:t>
      </w:r>
      <w:r w:rsidR="00F01CC4" w:rsidRPr="00506C28">
        <w:rPr>
          <w:rStyle w:val="Footnote"/>
        </w:rPr>
        <w:t xml:space="preserve"> </w:t>
      </w:r>
      <w:r w:rsidR="00C27018" w:rsidRPr="00506C28">
        <w:rPr>
          <w:rStyle w:val="Footnote"/>
        </w:rPr>
        <w:t>.</w:t>
      </w:r>
      <w:r w:rsidRPr="00506C28">
        <w:rPr>
          <w:rStyle w:val="TekstpodstawowyZnak"/>
          <w:rFonts w:ascii="Arial" w:hAnsi="Arial" w:cs="Arial"/>
          <w:color w:val="000000"/>
        </w:rPr>
        <w:t>cypryjska nie zrobiła wszystkiego, co w jej mocy, aby chronić jego córkę przed handlem ludźmi</w:t>
      </w:r>
      <w:r w:rsidR="00F01CC4" w:rsidRPr="00506C28">
        <w:rPr>
          <w:rStyle w:val="TekstpodstawowyZnak"/>
          <w:rFonts w:ascii="Arial" w:hAnsi="Arial" w:cs="Arial"/>
          <w:color w:val="000000"/>
        </w:rPr>
        <w:t xml:space="preserve"> za jej życia</w:t>
      </w:r>
      <w:r w:rsidR="0005173F" w:rsidRPr="00506C28">
        <w:rPr>
          <w:rStyle w:val="TekstpodstawowyZnak"/>
          <w:rFonts w:ascii="Arial" w:hAnsi="Arial" w:cs="Arial"/>
          <w:color w:val="000000"/>
        </w:rPr>
        <w:t>,</w:t>
      </w:r>
      <w:r w:rsidRPr="00506C28">
        <w:rPr>
          <w:rStyle w:val="TekstpodstawowyZnak"/>
          <w:rFonts w:ascii="Arial" w:hAnsi="Arial" w:cs="Arial"/>
          <w:color w:val="000000"/>
        </w:rPr>
        <w:t xml:space="preserve"> ani aby ukarać </w:t>
      </w:r>
      <w:r w:rsidR="00F01CC4" w:rsidRPr="00506C28">
        <w:rPr>
          <w:rStyle w:val="TekstpodstawowyZnak"/>
          <w:rFonts w:ascii="Arial" w:hAnsi="Arial" w:cs="Arial"/>
          <w:color w:val="000000"/>
        </w:rPr>
        <w:t>winnych</w:t>
      </w:r>
      <w:r w:rsidRPr="00506C28">
        <w:rPr>
          <w:rStyle w:val="TekstpodstawowyZnak"/>
          <w:rFonts w:ascii="Arial" w:hAnsi="Arial" w:cs="Arial"/>
          <w:color w:val="000000"/>
        </w:rPr>
        <w:t xml:space="preserve"> po jej śmierci. </w:t>
      </w:r>
      <w:r w:rsidR="00F01CC4" w:rsidRPr="00506C28">
        <w:rPr>
          <w:rStyle w:val="TekstpodstawowyZnak"/>
          <w:rFonts w:ascii="Arial" w:hAnsi="Arial" w:cs="Arial"/>
          <w:color w:val="000000"/>
        </w:rPr>
        <w:t>P</w:t>
      </w:r>
      <w:r w:rsidRPr="00506C28">
        <w:rPr>
          <w:rStyle w:val="TekstpodstawowyZnak"/>
          <w:rFonts w:ascii="Arial" w:hAnsi="Arial" w:cs="Arial"/>
          <w:color w:val="000000"/>
        </w:rPr>
        <w:t>onadto</w:t>
      </w:r>
      <w:r w:rsidR="00F01CC4" w:rsidRPr="00506C28">
        <w:rPr>
          <w:rStyle w:val="TekstpodstawowyZnak"/>
          <w:rFonts w:ascii="Arial" w:hAnsi="Arial" w:cs="Arial"/>
          <w:color w:val="000000"/>
        </w:rPr>
        <w:t xml:space="preserve"> zarzucał władzom rosyjskim</w:t>
      </w:r>
      <w:r w:rsidRPr="00506C28">
        <w:rPr>
          <w:rStyle w:val="TekstpodstawowyZnak"/>
          <w:rFonts w:ascii="Arial" w:hAnsi="Arial" w:cs="Arial"/>
          <w:color w:val="000000"/>
        </w:rPr>
        <w:t xml:space="preserve">, że nie przeprowadziły dochodzenia w sprawie domniemanego handlu </w:t>
      </w:r>
      <w:r w:rsidR="00EE27A8" w:rsidRPr="00506C28">
        <w:rPr>
          <w:rStyle w:val="TekstpodstawowyZnak"/>
          <w:rFonts w:ascii="Arial" w:hAnsi="Arial" w:cs="Arial"/>
          <w:color w:val="000000"/>
        </w:rPr>
        <w:t>ludźmi, którego ofiarą padła jego córka</w:t>
      </w:r>
      <w:r w:rsidRPr="00506C28">
        <w:rPr>
          <w:rStyle w:val="TekstpodstawowyZnak"/>
          <w:rFonts w:ascii="Arial" w:hAnsi="Arial" w:cs="Arial"/>
          <w:color w:val="000000"/>
        </w:rPr>
        <w:t>,</w:t>
      </w:r>
      <w:r w:rsidR="00EE27A8" w:rsidRPr="00506C28">
        <w:rPr>
          <w:rStyle w:val="TekstpodstawowyZnak"/>
          <w:rFonts w:ascii="Arial" w:hAnsi="Arial" w:cs="Arial"/>
          <w:color w:val="000000"/>
        </w:rPr>
        <w:t xml:space="preserve"> oraz jej późniejszej śmierci,</w:t>
      </w:r>
      <w:r w:rsidRPr="00506C28">
        <w:rPr>
          <w:rStyle w:val="TekstpodstawowyZnak"/>
          <w:rFonts w:ascii="Arial" w:hAnsi="Arial" w:cs="Arial"/>
          <w:color w:val="000000"/>
        </w:rPr>
        <w:t xml:space="preserve"> ani nie podjęły kroków w celu ochrony jej przed ryzykiem handlu ludźmi.</w:t>
      </w:r>
    </w:p>
    <w:p w14:paraId="23C7623D" w14:textId="7C4443B9" w:rsidR="00E82CEC" w:rsidRPr="00506C28" w:rsidRDefault="00E82CEC" w:rsidP="004E75AD">
      <w:pPr>
        <w:pStyle w:val="Tekstpodstawowy"/>
        <w:spacing w:before="30" w:after="0"/>
        <w:jc w:val="both"/>
        <w:rPr>
          <w:rFonts w:ascii="Arial" w:hAnsi="Arial" w:cs="Arial"/>
        </w:rPr>
      </w:pPr>
      <w:r w:rsidRPr="00506C28">
        <w:rPr>
          <w:rStyle w:val="TekstpodstawowyZnak"/>
          <w:rFonts w:ascii="Arial" w:hAnsi="Arial" w:cs="Arial"/>
        </w:rPr>
        <w:t xml:space="preserve">Trybunał stwierdził, że Cypr nie </w:t>
      </w:r>
      <w:r w:rsidR="00EE27A8" w:rsidRPr="00506C28">
        <w:rPr>
          <w:rStyle w:val="TekstpodstawowyZnak"/>
          <w:rFonts w:ascii="Arial" w:hAnsi="Arial" w:cs="Arial"/>
        </w:rPr>
        <w:t xml:space="preserve">wywiązał się ze </w:t>
      </w:r>
      <w:r w:rsidRPr="00506C28">
        <w:rPr>
          <w:rStyle w:val="TekstpodstawowyZnak"/>
          <w:rFonts w:ascii="Arial" w:hAnsi="Arial" w:cs="Arial"/>
        </w:rPr>
        <w:t>swoich</w:t>
      </w:r>
      <w:r w:rsidR="00EE27A8" w:rsidRPr="00506C28">
        <w:rPr>
          <w:rStyle w:val="TekstpodstawowyZnak"/>
          <w:rFonts w:ascii="Arial" w:hAnsi="Arial" w:cs="Arial"/>
        </w:rPr>
        <w:t xml:space="preserve"> pozytywnych</w:t>
      </w:r>
      <w:r w:rsidRPr="00506C28">
        <w:rPr>
          <w:rStyle w:val="TekstpodstawowyZnak"/>
          <w:rFonts w:ascii="Arial" w:hAnsi="Arial" w:cs="Arial"/>
        </w:rPr>
        <w:t xml:space="preserve"> zobowiązań wynikających z art. 4 Konwencji</w:t>
      </w:r>
      <w:r w:rsidR="00EE27A8" w:rsidRPr="00506C28">
        <w:rPr>
          <w:rStyle w:val="TekstpodstawowyZnak"/>
          <w:rFonts w:ascii="Arial" w:hAnsi="Arial" w:cs="Arial"/>
        </w:rPr>
        <w:t xml:space="preserve"> oraz</w:t>
      </w:r>
      <w:r w:rsidRPr="00506C28">
        <w:rPr>
          <w:rStyle w:val="TekstpodstawowyZnak"/>
          <w:rFonts w:ascii="Arial" w:hAnsi="Arial" w:cs="Arial"/>
        </w:rPr>
        <w:t xml:space="preserve"> że </w:t>
      </w:r>
      <w:r w:rsidR="00EE27A8" w:rsidRPr="00506C28">
        <w:rPr>
          <w:rStyle w:val="TekstpodstawowyZnak"/>
          <w:rFonts w:ascii="Arial" w:hAnsi="Arial" w:cs="Arial"/>
        </w:rPr>
        <w:t>doszło do naruszenia tego artykułu przez Rosję z powodu</w:t>
      </w:r>
      <w:r w:rsidRPr="00506C28">
        <w:rPr>
          <w:rStyle w:val="TekstpodstawowyZnak"/>
          <w:rFonts w:ascii="Arial" w:hAnsi="Arial" w:cs="Arial"/>
        </w:rPr>
        <w:t xml:space="preserve"> </w:t>
      </w:r>
      <w:r w:rsidR="00EE27A8" w:rsidRPr="00506C28">
        <w:rPr>
          <w:rStyle w:val="TekstpodstawowyZnak"/>
          <w:rFonts w:ascii="Arial" w:hAnsi="Arial" w:cs="Arial"/>
        </w:rPr>
        <w:t>nieprzeprowadzenia dochodzenia w sprawie tego</w:t>
      </w:r>
      <w:r w:rsidRPr="00506C28">
        <w:rPr>
          <w:rStyle w:val="TekstpodstawowyZnak"/>
          <w:rFonts w:ascii="Arial" w:hAnsi="Arial" w:cs="Arial"/>
        </w:rPr>
        <w:t>, w jaki sposób i gdzie zwerbowan</w:t>
      </w:r>
      <w:r w:rsidR="00EE27A8" w:rsidRPr="00506C28">
        <w:rPr>
          <w:rStyle w:val="TekstpodstawowyZnak"/>
          <w:rFonts w:ascii="Arial" w:hAnsi="Arial" w:cs="Arial"/>
        </w:rPr>
        <w:t>o</w:t>
      </w:r>
      <w:r w:rsidRPr="00506C28">
        <w:rPr>
          <w:rStyle w:val="TekstpodstawowyZnak"/>
          <w:rFonts w:ascii="Arial" w:hAnsi="Arial" w:cs="Arial"/>
        </w:rPr>
        <w:t xml:space="preserve"> córk</w:t>
      </w:r>
      <w:r w:rsidR="00F44ACA" w:rsidRPr="00506C28">
        <w:rPr>
          <w:rStyle w:val="TekstpodstawowyZnak"/>
          <w:rFonts w:ascii="Arial" w:hAnsi="Arial" w:cs="Arial"/>
        </w:rPr>
        <w:t>ę</w:t>
      </w:r>
      <w:r w:rsidRPr="00506C28">
        <w:rPr>
          <w:rStyle w:val="TekstpodstawowyZnak"/>
          <w:rFonts w:ascii="Arial" w:hAnsi="Arial" w:cs="Arial"/>
        </w:rPr>
        <w:t xml:space="preserve"> skarżące</w:t>
      </w:r>
      <w:r w:rsidR="00EE27A8" w:rsidRPr="00506C28">
        <w:rPr>
          <w:rStyle w:val="TekstpodstawowyZnak"/>
          <w:rFonts w:ascii="Arial" w:hAnsi="Arial" w:cs="Arial"/>
        </w:rPr>
        <w:t>go</w:t>
      </w:r>
      <w:r w:rsidRPr="00506C28">
        <w:rPr>
          <w:rStyle w:val="TekstpodstawowyZnak"/>
          <w:rFonts w:ascii="Arial" w:hAnsi="Arial" w:cs="Arial"/>
        </w:rPr>
        <w:t xml:space="preserve">, a w szczególności </w:t>
      </w:r>
      <w:r w:rsidR="00F02693">
        <w:rPr>
          <w:rStyle w:val="TekstpodstawowyZnak"/>
          <w:rFonts w:ascii="Arial" w:hAnsi="Arial" w:cs="Arial"/>
        </w:rPr>
        <w:br/>
      </w:r>
      <w:r w:rsidR="00EE27A8" w:rsidRPr="00506C28">
        <w:rPr>
          <w:rStyle w:val="TekstpodstawowyZnak"/>
          <w:rFonts w:ascii="Arial" w:hAnsi="Arial" w:cs="Arial"/>
        </w:rPr>
        <w:t>z powodu niepodjęcia</w:t>
      </w:r>
      <w:r w:rsidRPr="00506C28">
        <w:rPr>
          <w:rStyle w:val="TekstpodstawowyZnak"/>
          <w:rFonts w:ascii="Arial" w:hAnsi="Arial" w:cs="Arial"/>
        </w:rPr>
        <w:t xml:space="preserve"> kroków </w:t>
      </w:r>
      <w:r w:rsidR="00EE27A8" w:rsidRPr="00506C28">
        <w:rPr>
          <w:rStyle w:val="TekstpodstawowyZnak"/>
          <w:rFonts w:ascii="Arial" w:hAnsi="Arial" w:cs="Arial"/>
        </w:rPr>
        <w:t>mających na</w:t>
      </w:r>
      <w:r w:rsidRPr="00506C28">
        <w:rPr>
          <w:rStyle w:val="TekstpodstawowyZnak"/>
          <w:rFonts w:ascii="Arial" w:hAnsi="Arial" w:cs="Arial"/>
        </w:rPr>
        <w:t xml:space="preserve"> celu </w:t>
      </w:r>
      <w:r w:rsidR="00EE27A8" w:rsidRPr="00506C28">
        <w:rPr>
          <w:rStyle w:val="TekstpodstawowyZnak"/>
          <w:rFonts w:ascii="Arial" w:hAnsi="Arial" w:cs="Arial"/>
        </w:rPr>
        <w:t xml:space="preserve">zidentyfikowanie </w:t>
      </w:r>
      <w:r w:rsidRPr="00506C28">
        <w:rPr>
          <w:rStyle w:val="TekstpodstawowyZnak"/>
          <w:rFonts w:ascii="Arial" w:hAnsi="Arial" w:cs="Arial"/>
        </w:rPr>
        <w:t xml:space="preserve">osób zaangażowanych w jej </w:t>
      </w:r>
      <w:r w:rsidR="00EE27A8" w:rsidRPr="00506C28">
        <w:rPr>
          <w:rStyle w:val="TekstpodstawowyZnak"/>
          <w:rFonts w:ascii="Arial" w:hAnsi="Arial" w:cs="Arial"/>
        </w:rPr>
        <w:t xml:space="preserve">rekrutację </w:t>
      </w:r>
      <w:r w:rsidRPr="00506C28">
        <w:rPr>
          <w:rStyle w:val="TekstpodstawowyZnak"/>
          <w:rFonts w:ascii="Arial" w:hAnsi="Arial" w:cs="Arial"/>
        </w:rPr>
        <w:t xml:space="preserve">lub </w:t>
      </w:r>
      <w:r w:rsidR="00EE27A8" w:rsidRPr="00506C28">
        <w:rPr>
          <w:rStyle w:val="TekstpodstawowyZnak"/>
          <w:rFonts w:ascii="Arial" w:hAnsi="Arial" w:cs="Arial"/>
        </w:rPr>
        <w:t xml:space="preserve">zastosowanych </w:t>
      </w:r>
      <w:r w:rsidRPr="00506C28">
        <w:rPr>
          <w:rStyle w:val="TekstpodstawowyZnak"/>
          <w:rFonts w:ascii="Arial" w:hAnsi="Arial" w:cs="Arial"/>
        </w:rPr>
        <w:t xml:space="preserve">metod </w:t>
      </w:r>
      <w:r w:rsidR="00EE27A8" w:rsidRPr="00506C28">
        <w:rPr>
          <w:rStyle w:val="TekstpodstawowyZnak"/>
          <w:rFonts w:ascii="Arial" w:hAnsi="Arial" w:cs="Arial"/>
        </w:rPr>
        <w:t>rekrutacji</w:t>
      </w:r>
      <w:r w:rsidRPr="00506C28">
        <w:rPr>
          <w:rStyle w:val="TekstpodstawowyZnak"/>
          <w:rFonts w:ascii="Arial" w:hAnsi="Arial" w:cs="Arial"/>
        </w:rPr>
        <w:t>. Trybunał powtórzył, co następuje: „</w:t>
      </w:r>
      <w:r w:rsidR="00F44ACA" w:rsidRPr="00506C28">
        <w:rPr>
          <w:rStyle w:val="TekstpodstawowyZnak"/>
          <w:rFonts w:ascii="Arial" w:hAnsi="Arial" w:cs="Arial"/>
        </w:rPr>
        <w:t>[</w:t>
      </w:r>
      <w:r w:rsidRPr="00506C28">
        <w:rPr>
          <w:rStyle w:val="TekstpodstawowyZnak"/>
          <w:rFonts w:ascii="Arial" w:hAnsi="Arial" w:cs="Arial"/>
        </w:rPr>
        <w:t>...</w:t>
      </w:r>
      <w:r w:rsidR="00F44ACA" w:rsidRPr="00506C28">
        <w:rPr>
          <w:rStyle w:val="TekstpodstawowyZnak"/>
          <w:rFonts w:ascii="Arial" w:hAnsi="Arial" w:cs="Arial"/>
        </w:rPr>
        <w:t>]</w:t>
      </w:r>
      <w:r w:rsidRPr="00506C28">
        <w:rPr>
          <w:rStyle w:val="TekstpodstawowyZnak"/>
          <w:rFonts w:ascii="Arial" w:hAnsi="Arial" w:cs="Arial"/>
        </w:rPr>
        <w:t xml:space="preserve"> wraz z art. 2 i 3, </w:t>
      </w:r>
      <w:r w:rsidRPr="00506C28">
        <w:rPr>
          <w:rStyle w:val="TekstpodstawowyZnak"/>
          <w:rFonts w:ascii="Arial" w:hAnsi="Arial" w:cs="Arial"/>
          <w:b/>
          <w:bCs/>
        </w:rPr>
        <w:t xml:space="preserve">art. 4 </w:t>
      </w:r>
      <w:r w:rsidRPr="00506C28">
        <w:rPr>
          <w:rStyle w:val="TekstpodstawowyZnak"/>
          <w:rFonts w:ascii="Arial" w:hAnsi="Arial" w:cs="Arial"/>
        </w:rPr>
        <w:t xml:space="preserve">stanowi jedną z podstawowych wartości społeczeństw demokratycznych tworzących Radę Europy </w:t>
      </w:r>
      <w:r w:rsidR="00F44ACA" w:rsidRPr="00506C28">
        <w:rPr>
          <w:rStyle w:val="TekstpodstawowyZnak"/>
          <w:rFonts w:ascii="Arial" w:hAnsi="Arial" w:cs="Arial"/>
        </w:rPr>
        <w:t>[</w:t>
      </w:r>
      <w:r w:rsidRPr="00506C28">
        <w:rPr>
          <w:rStyle w:val="TekstpodstawowyZnak"/>
          <w:rFonts w:ascii="Arial" w:hAnsi="Arial" w:cs="Arial"/>
        </w:rPr>
        <w:t>...</w:t>
      </w:r>
      <w:r w:rsidR="00F44ACA" w:rsidRPr="00506C28">
        <w:rPr>
          <w:rStyle w:val="TekstpodstawowyZnak"/>
          <w:rFonts w:ascii="Arial" w:hAnsi="Arial" w:cs="Arial"/>
        </w:rPr>
        <w:t>].</w:t>
      </w:r>
      <w:r w:rsidRPr="00506C28">
        <w:rPr>
          <w:rStyle w:val="TekstpodstawowyZnak"/>
          <w:rFonts w:ascii="Arial" w:hAnsi="Arial" w:cs="Arial"/>
        </w:rPr>
        <w:t xml:space="preserve"> W przeciwieństwie do większości postanowień merytorycznych Konwencji, art. 4 nie przewiduje żadnych wyjątków i </w:t>
      </w:r>
      <w:r w:rsidRPr="00506C28">
        <w:rPr>
          <w:rStyle w:val="TekstpodstawowyZnak"/>
          <w:rFonts w:ascii="Arial" w:hAnsi="Arial" w:cs="Arial"/>
          <w:b/>
          <w:bCs/>
        </w:rPr>
        <w:t xml:space="preserve">nie dopuszcza się </w:t>
      </w:r>
      <w:r w:rsidR="00F44ACA" w:rsidRPr="00506C28">
        <w:rPr>
          <w:rStyle w:val="TekstpodstawowyZnak"/>
          <w:rFonts w:ascii="Arial" w:hAnsi="Arial" w:cs="Arial"/>
          <w:b/>
          <w:bCs/>
        </w:rPr>
        <w:t>jego</w:t>
      </w:r>
      <w:r w:rsidRPr="00506C28">
        <w:rPr>
          <w:rStyle w:val="TekstpodstawowyZnak"/>
          <w:rFonts w:ascii="Arial" w:hAnsi="Arial" w:cs="Arial"/>
          <w:b/>
          <w:bCs/>
        </w:rPr>
        <w:t xml:space="preserve"> </w:t>
      </w:r>
      <w:r w:rsidR="005C6EBB" w:rsidRPr="00506C28">
        <w:rPr>
          <w:rStyle w:val="TekstpodstawowyZnak"/>
          <w:rFonts w:ascii="Arial" w:hAnsi="Arial" w:cs="Arial"/>
          <w:b/>
          <w:bCs/>
        </w:rPr>
        <w:t>uchylenia</w:t>
      </w:r>
      <w:r w:rsidRPr="00506C28">
        <w:rPr>
          <w:rStyle w:val="TekstpodstawowyZnak"/>
          <w:rFonts w:ascii="Arial" w:hAnsi="Arial" w:cs="Arial"/>
          <w:b/>
          <w:bCs/>
        </w:rPr>
        <w:t xml:space="preserve"> </w:t>
      </w:r>
      <w:r w:rsidRPr="00506C28">
        <w:rPr>
          <w:rStyle w:val="TekstpodstawowyZnak"/>
          <w:rFonts w:ascii="Arial" w:hAnsi="Arial" w:cs="Arial"/>
        </w:rPr>
        <w:t xml:space="preserve">na podstawie art. 15 § 2, nawet w przypadku </w:t>
      </w:r>
      <w:r w:rsidR="00F44ACA" w:rsidRPr="00506C28">
        <w:rPr>
          <w:rStyle w:val="TekstpodstawowyZnak"/>
          <w:rFonts w:ascii="Arial" w:hAnsi="Arial" w:cs="Arial"/>
        </w:rPr>
        <w:t>niebezpieczeństwa publicznego</w:t>
      </w:r>
      <w:r w:rsidRPr="00506C28">
        <w:rPr>
          <w:rStyle w:val="TekstpodstawowyZnak"/>
          <w:rFonts w:ascii="Arial" w:hAnsi="Arial" w:cs="Arial"/>
        </w:rPr>
        <w:t xml:space="preserve"> zagrażającego życiu narodu” (pkt 283 wyroku).</w:t>
      </w:r>
    </w:p>
    <w:p w14:paraId="33109168" w14:textId="77777777" w:rsidR="00E82CEC" w:rsidRPr="00506C28" w:rsidRDefault="00E82CEC" w:rsidP="004E75AD">
      <w:pPr>
        <w:pStyle w:val="Tekstpodstawowy"/>
        <w:spacing w:before="30" w:after="300" w:line="233" w:lineRule="auto"/>
        <w:jc w:val="both"/>
        <w:rPr>
          <w:rFonts w:ascii="Arial" w:hAnsi="Arial" w:cs="Arial"/>
        </w:rPr>
      </w:pPr>
      <w:r w:rsidRPr="00506C28">
        <w:rPr>
          <w:rStyle w:val="TekstpodstawowyZnak"/>
          <w:rFonts w:ascii="Arial" w:hAnsi="Arial" w:cs="Arial"/>
          <w:i/>
          <w:iCs/>
          <w:color w:val="404040"/>
        </w:rPr>
        <w:t>Zob</w:t>
      </w:r>
      <w:r w:rsidRPr="00506C28">
        <w:rPr>
          <w:rStyle w:val="TekstpodstawowyZnak"/>
          <w:rFonts w:ascii="Arial" w:hAnsi="Arial" w:cs="Arial"/>
          <w:color w:val="404040"/>
        </w:rPr>
        <w:t xml:space="preserve">. </w:t>
      </w:r>
      <w:r w:rsidRPr="00506C28">
        <w:rPr>
          <w:rStyle w:val="TekstpodstawowyZnak"/>
          <w:rFonts w:ascii="Arial" w:hAnsi="Arial" w:cs="Arial"/>
          <w:i/>
          <w:iCs/>
          <w:color w:val="404040"/>
        </w:rPr>
        <w:t>również</w:t>
      </w:r>
      <w:r w:rsidRPr="00506C28">
        <w:rPr>
          <w:rStyle w:val="TekstpodstawowyZnak"/>
          <w:rFonts w:ascii="Arial" w:hAnsi="Arial" w:cs="Arial"/>
          <w:color w:val="404040"/>
        </w:rPr>
        <w:t>, między innymi:</w:t>
      </w:r>
      <w:hyperlink r:id="rId84"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Siliadin przeciwko Francji</w:t>
        </w:r>
      </w:hyperlink>
      <w:r w:rsidRPr="00506C28">
        <w:rPr>
          <w:rStyle w:val="TekstpodstawowyZnak"/>
          <w:rFonts w:ascii="Arial" w:hAnsi="Arial" w:cs="Arial"/>
          <w:color w:val="404040"/>
        </w:rPr>
        <w:t>, wyrok z dnia 26 lipca 2005 r., § 112;</w:t>
      </w:r>
      <w:hyperlink r:id="rId85"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C.N. przeciwko Zjednoczonemu Królestwu (nr 4239/08)</w:t>
        </w:r>
      </w:hyperlink>
      <w:r w:rsidRPr="00506C28">
        <w:rPr>
          <w:rStyle w:val="TekstpodstawowyZnak"/>
          <w:rFonts w:ascii="Arial" w:hAnsi="Arial" w:cs="Arial"/>
          <w:color w:val="404040"/>
        </w:rPr>
        <w:t>, wyrok z dnia 13 listopada 2012 r., § 65;</w:t>
      </w:r>
      <w:hyperlink r:id="rId86" w:history="1">
        <w:r w:rsidRPr="00506C28">
          <w:rPr>
            <w:rStyle w:val="TekstpodstawowyZnak"/>
            <w:rFonts w:ascii="Arial" w:hAnsi="Arial" w:cs="Arial"/>
            <w:color w:val="404040"/>
          </w:rPr>
          <w:t xml:space="preserve"> </w:t>
        </w:r>
        <w:r w:rsidRPr="00506C28">
          <w:rPr>
            <w:rStyle w:val="TekstpodstawowyZnak"/>
            <w:rFonts w:ascii="Arial" w:eastAsia="Arial" w:hAnsi="Arial" w:cs="Arial"/>
            <w:b/>
            <w:bCs/>
            <w:i/>
            <w:iCs/>
            <w:u w:val="single"/>
          </w:rPr>
          <w:t>Stummer przeciwko Austrii</w:t>
        </w:r>
      </w:hyperlink>
      <w:r w:rsidRPr="00506C28">
        <w:rPr>
          <w:rStyle w:val="TekstpodstawowyZnak"/>
          <w:rFonts w:ascii="Arial" w:hAnsi="Arial" w:cs="Arial"/>
          <w:color w:val="404040"/>
        </w:rPr>
        <w:t>, wyrok (Wielka Izba) z dnia 7 lipca 2011 r., § 116.</w:t>
      </w:r>
    </w:p>
    <w:p w14:paraId="6CF49BD2" w14:textId="77777777" w:rsidR="00E46D28" w:rsidRPr="00506C28" w:rsidRDefault="00E46D28" w:rsidP="004E75AD">
      <w:pPr>
        <w:pStyle w:val="Heading20"/>
        <w:keepNext/>
        <w:keepLines/>
        <w:spacing w:before="30" w:after="60"/>
        <w:jc w:val="both"/>
        <w:rPr>
          <w:rStyle w:val="Heading2"/>
          <w:rFonts w:ascii="Arial" w:hAnsi="Arial" w:cs="Arial"/>
        </w:rPr>
      </w:pPr>
      <w:bookmarkStart w:id="41" w:name="bookmark69"/>
      <w:bookmarkStart w:id="42" w:name="_Hlk206488854"/>
    </w:p>
    <w:p w14:paraId="6E87AA64" w14:textId="157CB9E7" w:rsidR="00782109" w:rsidRPr="00506C28" w:rsidRDefault="009130BA" w:rsidP="004E75AD">
      <w:pPr>
        <w:pStyle w:val="Heading20"/>
        <w:keepNext/>
        <w:keepLines/>
        <w:spacing w:before="30" w:after="60"/>
        <w:jc w:val="both"/>
        <w:rPr>
          <w:rFonts w:ascii="Arial" w:hAnsi="Arial" w:cs="Arial"/>
        </w:rPr>
      </w:pPr>
      <w:r w:rsidRPr="00506C28">
        <w:rPr>
          <w:rStyle w:val="Heading2"/>
          <w:rFonts w:ascii="Arial" w:hAnsi="Arial" w:cs="Arial"/>
        </w:rPr>
        <w:t xml:space="preserve">Artykuł </w:t>
      </w:r>
      <w:r w:rsidRPr="00506C28">
        <w:rPr>
          <w:rStyle w:val="Heading2"/>
          <w:rFonts w:ascii="Arial" w:hAnsi="Arial" w:cs="Arial"/>
          <w:lang w:eastAsia="es-ES"/>
        </w:rPr>
        <w:t>7 (zakaz karania bez ustawy) Konwencji</w:t>
      </w:r>
      <w:bookmarkEnd w:id="41"/>
    </w:p>
    <w:p w14:paraId="65A0A7FA" w14:textId="77777777" w:rsidR="00782109" w:rsidRPr="00506C28" w:rsidRDefault="00782109" w:rsidP="004E75AD">
      <w:pPr>
        <w:pStyle w:val="Heading30"/>
        <w:keepNext/>
        <w:keepLines/>
        <w:spacing w:before="30" w:after="60"/>
        <w:jc w:val="both"/>
        <w:rPr>
          <w:rFonts w:ascii="Arial" w:hAnsi="Arial" w:cs="Arial"/>
        </w:rPr>
      </w:pPr>
      <w:hyperlink r:id="rId87" w:history="1">
        <w:bookmarkStart w:id="43" w:name="bookmark71"/>
        <w:r w:rsidRPr="00506C28">
          <w:rPr>
            <w:rStyle w:val="Heading3"/>
            <w:rFonts w:ascii="Arial" w:hAnsi="Arial" w:cs="Arial"/>
            <w:b/>
            <w:bCs/>
            <w:lang w:eastAsia="es-ES"/>
          </w:rPr>
          <w:t>Del Río Prada przeciwko Hiszpanii</w:t>
        </w:r>
        <w:bookmarkEnd w:id="43"/>
      </w:hyperlink>
    </w:p>
    <w:p w14:paraId="5F590027" w14:textId="77777777" w:rsidR="00782109" w:rsidRPr="00506C28" w:rsidRDefault="009130BA" w:rsidP="004E75AD">
      <w:pPr>
        <w:pStyle w:val="Bodytext30"/>
        <w:spacing w:before="30"/>
        <w:jc w:val="both"/>
        <w:rPr>
          <w:rFonts w:ascii="Arial" w:hAnsi="Arial" w:cs="Arial"/>
        </w:rPr>
      </w:pPr>
      <w:r w:rsidRPr="00506C28">
        <w:rPr>
          <w:rStyle w:val="Bodytext3"/>
          <w:rFonts w:ascii="Arial" w:hAnsi="Arial" w:cs="Arial"/>
          <w:lang w:eastAsia="es-ES"/>
        </w:rPr>
        <w:t xml:space="preserve">21 </w:t>
      </w:r>
      <w:r w:rsidRPr="00506C28">
        <w:rPr>
          <w:rStyle w:val="Bodytext3"/>
          <w:rFonts w:ascii="Arial" w:hAnsi="Arial" w:cs="Arial"/>
        </w:rPr>
        <w:t xml:space="preserve">października </w:t>
      </w:r>
      <w:r w:rsidRPr="00506C28">
        <w:rPr>
          <w:rStyle w:val="Bodytext3"/>
          <w:rFonts w:ascii="Arial" w:hAnsi="Arial" w:cs="Arial"/>
          <w:lang w:eastAsia="es-ES"/>
        </w:rPr>
        <w:t>2013 r. (wyrok – Wielka Izba)</w:t>
      </w:r>
    </w:p>
    <w:p w14:paraId="7467CC4E" w14:textId="7B9AE6DC"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color w:val="000000"/>
          <w:lang w:eastAsia="es-ES"/>
        </w:rPr>
        <w:t xml:space="preserve">Sprawa </w:t>
      </w:r>
      <w:r w:rsidRPr="00506C28">
        <w:rPr>
          <w:rStyle w:val="TekstpodstawowyZnak"/>
          <w:rFonts w:ascii="Arial" w:hAnsi="Arial" w:cs="Arial"/>
          <w:color w:val="000000"/>
        </w:rPr>
        <w:t xml:space="preserve">dotyczyła </w:t>
      </w:r>
      <w:r w:rsidRPr="00506C28">
        <w:rPr>
          <w:rStyle w:val="TekstpodstawowyZnak"/>
          <w:rFonts w:ascii="Arial" w:hAnsi="Arial" w:cs="Arial"/>
          <w:color w:val="000000"/>
          <w:lang w:eastAsia="es-ES"/>
        </w:rPr>
        <w:t xml:space="preserve">odroczenia ostatecznego zwolnienia osoby skazanej za </w:t>
      </w:r>
      <w:r w:rsidRPr="00506C28">
        <w:rPr>
          <w:rStyle w:val="TekstpodstawowyZnak"/>
          <w:rFonts w:ascii="Arial" w:hAnsi="Arial" w:cs="Arial"/>
          <w:color w:val="000000"/>
        </w:rPr>
        <w:t xml:space="preserve">przestępstwa </w:t>
      </w:r>
      <w:r w:rsidRPr="00506C28">
        <w:rPr>
          <w:rStyle w:val="TekstpodstawowyZnak"/>
          <w:rFonts w:ascii="Arial" w:hAnsi="Arial" w:cs="Arial"/>
          <w:color w:val="000000"/>
          <w:lang w:eastAsia="es-ES"/>
        </w:rPr>
        <w:t xml:space="preserve">terrorystyczne na podstawie nowego </w:t>
      </w:r>
      <w:r w:rsidRPr="00506C28">
        <w:rPr>
          <w:rStyle w:val="TekstpodstawowyZnak"/>
          <w:rFonts w:ascii="Arial" w:hAnsi="Arial" w:cs="Arial"/>
          <w:color w:val="000000"/>
        </w:rPr>
        <w:t xml:space="preserve">podejścia </w:t>
      </w:r>
      <w:r w:rsidRPr="00506C28">
        <w:rPr>
          <w:rStyle w:val="TekstpodstawowyZnak"/>
          <w:rFonts w:ascii="Arial" w:hAnsi="Arial" w:cs="Arial"/>
          <w:color w:val="000000"/>
          <w:lang w:eastAsia="es-ES"/>
        </w:rPr>
        <w:t xml:space="preserve">– opartego na orzecznictwie znanym jako „doktryna Parota” – </w:t>
      </w:r>
      <w:r w:rsidRPr="00506C28">
        <w:rPr>
          <w:rStyle w:val="TekstpodstawowyZnak"/>
          <w:rFonts w:ascii="Arial" w:hAnsi="Arial" w:cs="Arial"/>
          <w:color w:val="000000"/>
        </w:rPr>
        <w:t xml:space="preserve">przyjętego </w:t>
      </w:r>
      <w:r w:rsidRPr="00506C28">
        <w:rPr>
          <w:rStyle w:val="TekstpodstawowyZnak"/>
          <w:rFonts w:ascii="Arial" w:hAnsi="Arial" w:cs="Arial"/>
          <w:color w:val="000000"/>
          <w:lang w:eastAsia="es-ES"/>
        </w:rPr>
        <w:t xml:space="preserve">przez </w:t>
      </w:r>
      <w:r w:rsidRPr="00506C28">
        <w:rPr>
          <w:rStyle w:val="TekstpodstawowyZnak"/>
          <w:rFonts w:ascii="Arial" w:hAnsi="Arial" w:cs="Arial"/>
          <w:color w:val="000000"/>
        </w:rPr>
        <w:t xml:space="preserve">Sąd Najwyższy </w:t>
      </w:r>
      <w:r w:rsidRPr="00506C28">
        <w:rPr>
          <w:rStyle w:val="TekstpodstawowyZnak"/>
          <w:rFonts w:ascii="Arial" w:hAnsi="Arial" w:cs="Arial"/>
          <w:color w:val="000000"/>
          <w:lang w:eastAsia="es-ES"/>
        </w:rPr>
        <w:t xml:space="preserve">po wydaniu wyroku </w:t>
      </w:r>
      <w:r w:rsidRPr="00506C28">
        <w:rPr>
          <w:rStyle w:val="TekstpodstawowyZnak"/>
          <w:rFonts w:ascii="Arial" w:hAnsi="Arial" w:cs="Arial"/>
          <w:color w:val="000000"/>
        </w:rPr>
        <w:t>skazującego. Skarżąca zarzuca</w:t>
      </w:r>
      <w:r w:rsidR="00ED2B43" w:rsidRPr="00506C28">
        <w:rPr>
          <w:rStyle w:val="TekstpodstawowyZnak"/>
          <w:rFonts w:ascii="Arial" w:hAnsi="Arial" w:cs="Arial"/>
          <w:color w:val="000000"/>
        </w:rPr>
        <w:t>ła</w:t>
      </w:r>
      <w:r w:rsidRPr="00506C28">
        <w:rPr>
          <w:rStyle w:val="TekstpodstawowyZnak"/>
          <w:rFonts w:ascii="Arial" w:hAnsi="Arial" w:cs="Arial"/>
          <w:color w:val="000000"/>
        </w:rPr>
        <w:t xml:space="preserve">, że odejście Sądu Najwyższego </w:t>
      </w:r>
      <w:r w:rsidRPr="00506C28">
        <w:rPr>
          <w:rStyle w:val="TekstpodstawowyZnak"/>
          <w:rFonts w:ascii="Arial" w:hAnsi="Arial" w:cs="Arial"/>
          <w:color w:val="000000"/>
          <w:lang w:eastAsia="es-ES"/>
        </w:rPr>
        <w:t xml:space="preserve">od orzecznictwa </w:t>
      </w:r>
      <w:r w:rsidRPr="00506C28">
        <w:rPr>
          <w:rStyle w:val="TekstpodstawowyZnak"/>
          <w:rFonts w:ascii="Arial" w:hAnsi="Arial" w:cs="Arial"/>
          <w:color w:val="000000"/>
        </w:rPr>
        <w:t xml:space="preserve">dotyczącego </w:t>
      </w:r>
      <w:r w:rsidRPr="00506C28">
        <w:rPr>
          <w:rStyle w:val="TekstpodstawowyZnak"/>
          <w:rFonts w:ascii="Arial" w:hAnsi="Arial" w:cs="Arial"/>
          <w:color w:val="000000"/>
          <w:lang w:eastAsia="es-ES"/>
        </w:rPr>
        <w:t xml:space="preserve">umorzenia kary </w:t>
      </w:r>
      <w:r w:rsidRPr="00506C28">
        <w:rPr>
          <w:rStyle w:val="TekstpodstawowyZnak"/>
          <w:rFonts w:ascii="Arial" w:hAnsi="Arial" w:cs="Arial"/>
          <w:color w:val="000000"/>
        </w:rPr>
        <w:t xml:space="preserve">zostało </w:t>
      </w:r>
      <w:r w:rsidRPr="00506C28">
        <w:rPr>
          <w:rStyle w:val="TekstpodstawowyZnak"/>
          <w:rFonts w:ascii="Arial" w:hAnsi="Arial" w:cs="Arial"/>
          <w:color w:val="000000"/>
          <w:lang w:eastAsia="es-ES"/>
        </w:rPr>
        <w:t xml:space="preserve">zastosowane wobec niej z </w:t>
      </w:r>
      <w:r w:rsidRPr="00506C28">
        <w:rPr>
          <w:rStyle w:val="TekstpodstawowyZnak"/>
          <w:rFonts w:ascii="Arial" w:hAnsi="Arial" w:cs="Arial"/>
          <w:color w:val="000000"/>
        </w:rPr>
        <w:t xml:space="preserve">mocą wsteczną </w:t>
      </w:r>
      <w:r w:rsidRPr="00506C28">
        <w:rPr>
          <w:rStyle w:val="TekstpodstawowyZnak"/>
          <w:rFonts w:ascii="Arial" w:hAnsi="Arial" w:cs="Arial"/>
          <w:color w:val="000000"/>
          <w:lang w:eastAsia="es-ES"/>
        </w:rPr>
        <w:t xml:space="preserve">po wydaniu wyroku </w:t>
      </w:r>
      <w:r w:rsidRPr="00506C28">
        <w:rPr>
          <w:rStyle w:val="TekstpodstawowyZnak"/>
          <w:rFonts w:ascii="Arial" w:hAnsi="Arial" w:cs="Arial"/>
          <w:color w:val="000000"/>
        </w:rPr>
        <w:t xml:space="preserve">skazującego, </w:t>
      </w:r>
      <w:r w:rsidRPr="00506C28">
        <w:rPr>
          <w:rStyle w:val="TekstpodstawowyZnak"/>
          <w:rFonts w:ascii="Arial" w:hAnsi="Arial" w:cs="Arial"/>
          <w:color w:val="000000"/>
          <w:lang w:eastAsia="es-ES"/>
        </w:rPr>
        <w:t xml:space="preserve">co </w:t>
      </w:r>
      <w:r w:rsidRPr="00506C28">
        <w:rPr>
          <w:rStyle w:val="TekstpodstawowyZnak"/>
          <w:rFonts w:ascii="Arial" w:hAnsi="Arial" w:cs="Arial"/>
          <w:color w:val="000000"/>
        </w:rPr>
        <w:t xml:space="preserve">spowodowało przedłużenie </w:t>
      </w:r>
      <w:r w:rsidRPr="00506C28">
        <w:rPr>
          <w:rStyle w:val="TekstpodstawowyZnak"/>
          <w:rFonts w:ascii="Arial" w:hAnsi="Arial" w:cs="Arial"/>
          <w:color w:val="000000"/>
          <w:lang w:eastAsia="es-ES"/>
        </w:rPr>
        <w:t xml:space="preserve">jej pozbawienia </w:t>
      </w:r>
      <w:r w:rsidRPr="00506C28">
        <w:rPr>
          <w:rStyle w:val="TekstpodstawowyZnak"/>
          <w:rFonts w:ascii="Arial" w:hAnsi="Arial" w:cs="Arial"/>
          <w:color w:val="000000"/>
        </w:rPr>
        <w:t xml:space="preserve">wolności </w:t>
      </w:r>
      <w:r w:rsidRPr="00506C28">
        <w:rPr>
          <w:rStyle w:val="TekstpodstawowyZnak"/>
          <w:rFonts w:ascii="Arial" w:hAnsi="Arial" w:cs="Arial"/>
          <w:color w:val="000000"/>
          <w:lang w:eastAsia="es-ES"/>
        </w:rPr>
        <w:t xml:space="preserve">o prawie </w:t>
      </w:r>
      <w:r w:rsidRPr="00506C28">
        <w:rPr>
          <w:rStyle w:val="TekstpodstawowyZnak"/>
          <w:rFonts w:ascii="Arial" w:hAnsi="Arial" w:cs="Arial"/>
          <w:color w:val="000000"/>
        </w:rPr>
        <w:t xml:space="preserve">dziewięć </w:t>
      </w:r>
      <w:r w:rsidRPr="00506C28">
        <w:rPr>
          <w:rStyle w:val="TekstpodstawowyZnak"/>
          <w:rFonts w:ascii="Arial" w:hAnsi="Arial" w:cs="Arial"/>
          <w:color w:val="000000"/>
          <w:lang w:eastAsia="es-ES"/>
        </w:rPr>
        <w:t>lat.</w:t>
      </w:r>
    </w:p>
    <w:p w14:paraId="4D15BB01" w14:textId="626A080F"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rPr>
        <w:t xml:space="preserve">Trybunał stwierdził, że doszło </w:t>
      </w:r>
      <w:r w:rsidRPr="00506C28">
        <w:rPr>
          <w:rStyle w:val="TekstpodstawowyZnak"/>
          <w:rFonts w:ascii="Arial" w:hAnsi="Arial" w:cs="Arial"/>
          <w:lang w:eastAsia="es-ES"/>
        </w:rPr>
        <w:t xml:space="preserve">do naruszenia art. 7 Konwencji, </w:t>
      </w:r>
      <w:r w:rsidRPr="00506C28">
        <w:rPr>
          <w:rStyle w:val="TekstpodstawowyZnak"/>
          <w:rFonts w:ascii="Arial" w:hAnsi="Arial" w:cs="Arial"/>
        </w:rPr>
        <w:t xml:space="preserve">ponieważ skarżąca odbyła karę </w:t>
      </w:r>
      <w:r w:rsidRPr="00506C28">
        <w:rPr>
          <w:rStyle w:val="TekstpodstawowyZnak"/>
          <w:rFonts w:ascii="Arial" w:hAnsi="Arial" w:cs="Arial"/>
          <w:lang w:eastAsia="es-ES"/>
        </w:rPr>
        <w:t xml:space="preserve">pozbawienia </w:t>
      </w:r>
      <w:r w:rsidRPr="00506C28">
        <w:rPr>
          <w:rStyle w:val="TekstpodstawowyZnak"/>
          <w:rFonts w:ascii="Arial" w:hAnsi="Arial" w:cs="Arial"/>
        </w:rPr>
        <w:t xml:space="preserve">wolności dłuższą niż </w:t>
      </w:r>
      <w:r w:rsidRPr="00506C28">
        <w:rPr>
          <w:rStyle w:val="TekstpodstawowyZnak"/>
          <w:rFonts w:ascii="Arial" w:hAnsi="Arial" w:cs="Arial"/>
          <w:lang w:eastAsia="es-ES"/>
        </w:rPr>
        <w:t xml:space="preserve">ta, która </w:t>
      </w:r>
      <w:r w:rsidRPr="00506C28">
        <w:rPr>
          <w:rStyle w:val="TekstpodstawowyZnak"/>
          <w:rFonts w:ascii="Arial" w:hAnsi="Arial" w:cs="Arial"/>
        </w:rPr>
        <w:t xml:space="preserve">była </w:t>
      </w:r>
      <w:r w:rsidRPr="00506C28">
        <w:rPr>
          <w:rStyle w:val="TekstpodstawowyZnak"/>
          <w:rFonts w:ascii="Arial" w:hAnsi="Arial" w:cs="Arial"/>
          <w:lang w:eastAsia="es-ES"/>
        </w:rPr>
        <w:t xml:space="preserve">przewidziana w prawie </w:t>
      </w:r>
      <w:r w:rsidRPr="00506C28">
        <w:rPr>
          <w:rStyle w:val="TekstpodstawowyZnak"/>
          <w:rFonts w:ascii="Arial" w:hAnsi="Arial" w:cs="Arial"/>
        </w:rPr>
        <w:t xml:space="preserve">hiszpańskim </w:t>
      </w:r>
      <w:r w:rsidRPr="00506C28">
        <w:rPr>
          <w:rStyle w:val="TekstpodstawowyZnak"/>
          <w:rFonts w:ascii="Arial" w:hAnsi="Arial" w:cs="Arial"/>
          <w:lang w:eastAsia="es-ES"/>
        </w:rPr>
        <w:t xml:space="preserve">w momencie jej skazania. </w:t>
      </w:r>
      <w:r w:rsidR="00F02693">
        <w:rPr>
          <w:rStyle w:val="TekstpodstawowyZnak"/>
          <w:rFonts w:ascii="Arial" w:hAnsi="Arial" w:cs="Arial"/>
          <w:lang w:eastAsia="es-ES"/>
        </w:rPr>
        <w:br/>
      </w:r>
      <w:r w:rsidRPr="00506C28">
        <w:rPr>
          <w:rStyle w:val="TekstpodstawowyZnak"/>
          <w:rFonts w:ascii="Arial" w:hAnsi="Arial" w:cs="Arial"/>
          <w:lang w:eastAsia="es-ES"/>
        </w:rPr>
        <w:t xml:space="preserve">W </w:t>
      </w:r>
      <w:r w:rsidRPr="00506C28">
        <w:rPr>
          <w:rStyle w:val="TekstpodstawowyZnak"/>
          <w:rFonts w:ascii="Arial" w:hAnsi="Arial" w:cs="Arial"/>
        </w:rPr>
        <w:t xml:space="preserve">szczególności Trybunał zauważył, </w:t>
      </w:r>
      <w:r w:rsidRPr="00506C28">
        <w:rPr>
          <w:rStyle w:val="TekstpodstawowyZnak"/>
          <w:rFonts w:ascii="Arial" w:hAnsi="Arial" w:cs="Arial"/>
          <w:lang w:eastAsia="es-ES"/>
        </w:rPr>
        <w:t xml:space="preserve">co </w:t>
      </w:r>
      <w:r w:rsidRPr="00506C28">
        <w:rPr>
          <w:rStyle w:val="TekstpodstawowyZnak"/>
          <w:rFonts w:ascii="Arial" w:hAnsi="Arial" w:cs="Arial"/>
        </w:rPr>
        <w:t xml:space="preserve">następuje: </w:t>
      </w:r>
      <w:r w:rsidRPr="00506C28">
        <w:rPr>
          <w:rStyle w:val="TekstpodstawowyZnak"/>
          <w:rFonts w:ascii="Arial" w:hAnsi="Arial" w:cs="Arial"/>
          <w:lang w:eastAsia="es-ES"/>
        </w:rPr>
        <w:t>„</w:t>
      </w:r>
      <w:r w:rsidRPr="00506C28">
        <w:rPr>
          <w:rStyle w:val="TekstpodstawowyZnak"/>
          <w:rFonts w:ascii="Arial" w:hAnsi="Arial" w:cs="Arial"/>
          <w:b/>
          <w:bCs/>
          <w:lang w:eastAsia="es-ES"/>
        </w:rPr>
        <w:t xml:space="preserve">Gwarancja zawarta w art. </w:t>
      </w:r>
      <w:r w:rsidR="00ED2B43" w:rsidRPr="00506C28">
        <w:rPr>
          <w:rStyle w:val="TekstpodstawowyZnak"/>
          <w:rFonts w:ascii="Arial" w:hAnsi="Arial" w:cs="Arial"/>
          <w:b/>
          <w:bCs/>
          <w:lang w:eastAsia="es-ES"/>
        </w:rPr>
        <w:t>7,</w:t>
      </w:r>
      <w:r w:rsidRPr="00506C28">
        <w:rPr>
          <w:rStyle w:val="TekstpodstawowyZnak"/>
          <w:rFonts w:ascii="Arial" w:hAnsi="Arial" w:cs="Arial"/>
          <w:b/>
          <w:bCs/>
          <w:lang w:eastAsia="es-ES"/>
        </w:rPr>
        <w:t xml:space="preserve"> </w:t>
      </w:r>
      <w:r w:rsidRPr="00506C28">
        <w:rPr>
          <w:rStyle w:val="TekstpodstawowyZnak"/>
          <w:rFonts w:ascii="Arial" w:hAnsi="Arial" w:cs="Arial"/>
          <w:lang w:eastAsia="es-ES"/>
        </w:rPr>
        <w:t xml:space="preserve">która stanowi istotny element </w:t>
      </w:r>
      <w:r w:rsidRPr="00506C28">
        <w:rPr>
          <w:rStyle w:val="TekstpodstawowyZnak"/>
          <w:rFonts w:ascii="Arial" w:hAnsi="Arial" w:cs="Arial"/>
        </w:rPr>
        <w:t xml:space="preserve">praworządności, </w:t>
      </w:r>
      <w:r w:rsidRPr="00506C28">
        <w:rPr>
          <w:rStyle w:val="TekstpodstawowyZnak"/>
          <w:rFonts w:ascii="Arial" w:hAnsi="Arial" w:cs="Arial"/>
          <w:lang w:eastAsia="es-ES"/>
        </w:rPr>
        <w:t xml:space="preserve">zajmuje </w:t>
      </w:r>
      <w:r w:rsidRPr="00506C28">
        <w:rPr>
          <w:rStyle w:val="TekstpodstawowyZnak"/>
          <w:rFonts w:ascii="Arial" w:hAnsi="Arial" w:cs="Arial"/>
        </w:rPr>
        <w:t xml:space="preserve">ważne </w:t>
      </w:r>
      <w:r w:rsidRPr="00506C28">
        <w:rPr>
          <w:rStyle w:val="TekstpodstawowyZnak"/>
          <w:rFonts w:ascii="Arial" w:hAnsi="Arial" w:cs="Arial"/>
          <w:lang w:eastAsia="es-ES"/>
        </w:rPr>
        <w:t xml:space="preserve">miejsce w systemie ochrony przewidzianym w Konwencji, co </w:t>
      </w:r>
      <w:r w:rsidRPr="00506C28">
        <w:rPr>
          <w:rStyle w:val="TekstpodstawowyZnak"/>
          <w:rFonts w:ascii="Arial" w:hAnsi="Arial" w:cs="Arial"/>
        </w:rPr>
        <w:t xml:space="preserve">podkreśla </w:t>
      </w:r>
      <w:r w:rsidRPr="00506C28">
        <w:rPr>
          <w:rStyle w:val="TekstpodstawowyZnak"/>
          <w:rFonts w:ascii="Arial" w:hAnsi="Arial" w:cs="Arial"/>
          <w:lang w:eastAsia="es-ES"/>
        </w:rPr>
        <w:t xml:space="preserve">fakt, </w:t>
      </w:r>
      <w:r w:rsidRPr="00506C28">
        <w:rPr>
          <w:rStyle w:val="TekstpodstawowyZnak"/>
          <w:rFonts w:ascii="Arial" w:hAnsi="Arial" w:cs="Arial"/>
        </w:rPr>
        <w:t xml:space="preserve">że </w:t>
      </w:r>
      <w:r w:rsidRPr="00506C28">
        <w:rPr>
          <w:rStyle w:val="TekstpodstawowyZnak"/>
          <w:rFonts w:ascii="Arial" w:hAnsi="Arial" w:cs="Arial"/>
          <w:lang w:eastAsia="es-ES"/>
        </w:rPr>
        <w:t xml:space="preserve">zgodnie z art. 15 nie </w:t>
      </w:r>
      <w:r w:rsidRPr="00506C28">
        <w:rPr>
          <w:rStyle w:val="TekstpodstawowyZnak"/>
          <w:rFonts w:ascii="Arial" w:hAnsi="Arial" w:cs="Arial"/>
        </w:rPr>
        <w:t xml:space="preserve">można </w:t>
      </w:r>
      <w:r w:rsidRPr="00506C28">
        <w:rPr>
          <w:rStyle w:val="TekstpodstawowyZnak"/>
          <w:rFonts w:ascii="Arial" w:hAnsi="Arial" w:cs="Arial"/>
          <w:lang w:eastAsia="es-ES"/>
        </w:rPr>
        <w:t xml:space="preserve">od niej </w:t>
      </w:r>
      <w:r w:rsidRPr="00506C28">
        <w:rPr>
          <w:rStyle w:val="TekstpodstawowyZnak"/>
          <w:rFonts w:ascii="Arial" w:hAnsi="Arial" w:cs="Arial"/>
        </w:rPr>
        <w:t xml:space="preserve">odstąpić </w:t>
      </w:r>
      <w:r w:rsidRPr="00506C28">
        <w:rPr>
          <w:rStyle w:val="TekstpodstawowyZnak"/>
          <w:rFonts w:ascii="Arial" w:hAnsi="Arial" w:cs="Arial"/>
          <w:lang w:eastAsia="es-ES"/>
        </w:rPr>
        <w:t xml:space="preserve">nawet w czasie wojny lub innego stanu </w:t>
      </w:r>
      <w:r w:rsidR="00ED2B43" w:rsidRPr="00506C28">
        <w:rPr>
          <w:rStyle w:val="TekstpodstawowyZnak"/>
          <w:rFonts w:ascii="Arial" w:hAnsi="Arial" w:cs="Arial"/>
        </w:rPr>
        <w:t xml:space="preserve">niebezpieczeństwa </w:t>
      </w:r>
      <w:r w:rsidRPr="00506C28">
        <w:rPr>
          <w:rStyle w:val="TekstpodstawowyZnak"/>
          <w:rFonts w:ascii="Arial" w:hAnsi="Arial" w:cs="Arial"/>
          <w:lang w:eastAsia="es-ES"/>
        </w:rPr>
        <w:t xml:space="preserve">publicznego </w:t>
      </w:r>
      <w:r w:rsidRPr="00506C28">
        <w:rPr>
          <w:rStyle w:val="TekstpodstawowyZnak"/>
          <w:rFonts w:ascii="Arial" w:hAnsi="Arial" w:cs="Arial"/>
        </w:rPr>
        <w:t xml:space="preserve">zagrażającego życiu </w:t>
      </w:r>
      <w:r w:rsidRPr="00506C28">
        <w:rPr>
          <w:rStyle w:val="TekstpodstawowyZnak"/>
          <w:rFonts w:ascii="Arial" w:hAnsi="Arial" w:cs="Arial"/>
          <w:lang w:eastAsia="es-ES"/>
        </w:rPr>
        <w:t xml:space="preserve">narodu” </w:t>
      </w:r>
      <w:r w:rsidR="00ED2B43" w:rsidRPr="00506C28">
        <w:rPr>
          <w:rStyle w:val="TekstpodstawowyZnak"/>
          <w:rFonts w:ascii="Arial" w:hAnsi="Arial" w:cs="Arial"/>
          <w:lang w:eastAsia="es-ES"/>
        </w:rPr>
        <w:t>(pkt</w:t>
      </w:r>
      <w:r w:rsidRPr="00506C28">
        <w:rPr>
          <w:rStyle w:val="TekstpodstawowyZnak"/>
          <w:rFonts w:ascii="Arial" w:hAnsi="Arial" w:cs="Arial"/>
          <w:lang w:eastAsia="es-ES"/>
        </w:rPr>
        <w:t xml:space="preserve"> 77 wyroku).</w:t>
      </w:r>
    </w:p>
    <w:p w14:paraId="15C56DE7" w14:textId="231ADC60" w:rsidR="00A239C9" w:rsidRPr="00506C28" w:rsidRDefault="009130BA" w:rsidP="004E75AD">
      <w:pPr>
        <w:pStyle w:val="Tekstpodstawowy"/>
        <w:spacing w:before="30" w:after="300" w:line="233" w:lineRule="auto"/>
        <w:jc w:val="both"/>
        <w:rPr>
          <w:rStyle w:val="Heading2"/>
          <w:rFonts w:ascii="Arial" w:hAnsi="Arial" w:cs="Arial"/>
          <w:color w:val="0071BB"/>
          <w:sz w:val="19"/>
          <w:szCs w:val="19"/>
        </w:rPr>
      </w:pPr>
      <w:r w:rsidRPr="00506C28">
        <w:rPr>
          <w:rStyle w:val="TekstpodstawowyZnak"/>
          <w:rFonts w:ascii="Arial" w:hAnsi="Arial" w:cs="Arial"/>
          <w:i/>
          <w:iCs/>
          <w:color w:val="404040"/>
          <w:lang w:eastAsia="es-ES"/>
        </w:rPr>
        <w:t xml:space="preserve">Zob. </w:t>
      </w:r>
      <w:r w:rsidRPr="00506C28">
        <w:rPr>
          <w:rStyle w:val="TekstpodstawowyZnak"/>
          <w:rFonts w:ascii="Arial" w:hAnsi="Arial" w:cs="Arial"/>
          <w:i/>
          <w:iCs/>
          <w:color w:val="404040"/>
        </w:rPr>
        <w:t>również</w:t>
      </w:r>
      <w:r w:rsidRPr="00506C28">
        <w:rPr>
          <w:rStyle w:val="TekstpodstawowyZnak"/>
          <w:rFonts w:ascii="Arial" w:hAnsi="Arial" w:cs="Arial"/>
          <w:color w:val="404040"/>
        </w:rPr>
        <w:t xml:space="preserve">, między </w:t>
      </w:r>
      <w:r w:rsidRPr="00506C28">
        <w:rPr>
          <w:rStyle w:val="TekstpodstawowyZnak"/>
          <w:rFonts w:ascii="Arial" w:hAnsi="Arial" w:cs="Arial"/>
          <w:color w:val="404040"/>
          <w:lang w:eastAsia="es-ES"/>
        </w:rPr>
        <w:t>innymi:</w:t>
      </w:r>
      <w:hyperlink r:id="rId88" w:history="1">
        <w:r w:rsidRPr="00506C28">
          <w:rPr>
            <w:rStyle w:val="TekstpodstawowyZnak"/>
            <w:rFonts w:ascii="Arial" w:hAnsi="Arial" w:cs="Arial"/>
            <w:color w:val="404040"/>
            <w:lang w:eastAsia="es-ES"/>
          </w:rPr>
          <w:t xml:space="preserve"> </w:t>
        </w:r>
        <w:r w:rsidRPr="00506C28">
          <w:rPr>
            <w:rStyle w:val="TekstpodstawowyZnak"/>
            <w:rFonts w:ascii="Arial" w:eastAsia="Arial" w:hAnsi="Arial" w:cs="Arial"/>
            <w:b/>
            <w:bCs/>
            <w:i/>
            <w:iCs/>
            <w:u w:val="single"/>
            <w:lang w:eastAsia="es-ES"/>
          </w:rPr>
          <w:t>Ecer i Zeyrek przeciwko Turcji</w:t>
        </w:r>
      </w:hyperlink>
      <w:r w:rsidRPr="00506C28">
        <w:rPr>
          <w:rStyle w:val="TekstpodstawowyZnak"/>
          <w:rFonts w:ascii="Arial" w:hAnsi="Arial" w:cs="Arial"/>
          <w:color w:val="404040"/>
          <w:lang w:eastAsia="es-ES"/>
        </w:rPr>
        <w:t>, wyrok z dnia 27 lutego 2001 r., § 29;</w:t>
      </w:r>
      <w:hyperlink r:id="rId89" w:history="1">
        <w:r w:rsidRPr="00506C28">
          <w:rPr>
            <w:rStyle w:val="TekstpodstawowyZnak"/>
            <w:rFonts w:ascii="Arial" w:hAnsi="Arial" w:cs="Arial"/>
            <w:color w:val="404040"/>
            <w:lang w:eastAsia="es-ES"/>
          </w:rPr>
          <w:t xml:space="preserve"> </w:t>
        </w:r>
        <w:r w:rsidRPr="00506C28">
          <w:rPr>
            <w:rStyle w:val="TekstpodstawowyZnak"/>
            <w:rFonts w:ascii="Arial" w:eastAsia="Arial" w:hAnsi="Arial" w:cs="Arial"/>
            <w:b/>
            <w:bCs/>
            <w:i/>
            <w:iCs/>
            <w:u w:val="single"/>
            <w:lang w:eastAsia="es-ES"/>
          </w:rPr>
          <w:t>Kafkaris przeciwko Cyprowi,</w:t>
        </w:r>
        <w:r w:rsidRPr="00506C28">
          <w:rPr>
            <w:rStyle w:val="TekstpodstawowyZnak"/>
            <w:rFonts w:ascii="Arial" w:hAnsi="Arial" w:cs="Arial"/>
            <w:lang w:eastAsia="es-ES"/>
          </w:rPr>
          <w:t xml:space="preserve"> </w:t>
        </w:r>
      </w:hyperlink>
      <w:r w:rsidRPr="00506C28">
        <w:rPr>
          <w:rStyle w:val="TekstpodstawowyZnak"/>
          <w:rFonts w:ascii="Arial" w:hAnsi="Arial" w:cs="Arial"/>
          <w:color w:val="404040"/>
          <w:lang w:eastAsia="es-ES"/>
        </w:rPr>
        <w:t>wyrok (Wielka Izba) z dnia 12 lutego 2008 r., § 137; M</w:t>
      </w:r>
      <w:hyperlink r:id="rId90" w:history="1">
        <w:r w:rsidRPr="00506C28">
          <w:rPr>
            <w:rStyle w:val="TekstpodstawowyZnak"/>
            <w:rFonts w:ascii="Arial" w:hAnsi="Arial" w:cs="Arial"/>
            <w:color w:val="404040"/>
            <w:lang w:eastAsia="es-ES"/>
          </w:rPr>
          <w:t xml:space="preserve"> </w:t>
        </w:r>
        <w:r w:rsidRPr="00506C28">
          <w:rPr>
            <w:rStyle w:val="TekstpodstawowyZnak"/>
            <w:rFonts w:ascii="Arial" w:eastAsia="Arial" w:hAnsi="Arial" w:cs="Arial"/>
            <w:b/>
            <w:bCs/>
            <w:i/>
            <w:iCs/>
            <w:u w:val="single"/>
            <w:lang w:eastAsia="es-ES"/>
          </w:rPr>
          <w:t>. przeciwko Niemcom (</w:t>
        </w:r>
        <w:r w:rsidRPr="00506C28">
          <w:rPr>
            <w:rStyle w:val="TekstpodstawowyZnak"/>
            <w:rFonts w:ascii="Arial" w:hAnsi="Arial" w:cs="Arial"/>
            <w:b/>
            <w:bCs/>
            <w:u w:val="single"/>
            <w:lang w:eastAsia="es-ES"/>
          </w:rPr>
          <w:t>nr 19359/04),</w:t>
        </w:r>
        <w:r w:rsidRPr="00506C28">
          <w:rPr>
            <w:rStyle w:val="TekstpodstawowyZnak"/>
            <w:rFonts w:ascii="Arial" w:hAnsi="Arial" w:cs="Arial"/>
            <w:b/>
            <w:bCs/>
            <w:lang w:eastAsia="es-ES"/>
          </w:rPr>
          <w:t xml:space="preserve"> </w:t>
        </w:r>
      </w:hyperlink>
      <w:r w:rsidRPr="00506C28">
        <w:rPr>
          <w:rStyle w:val="TekstpodstawowyZnak"/>
          <w:rFonts w:ascii="Arial" w:hAnsi="Arial" w:cs="Arial"/>
          <w:color w:val="404040"/>
          <w:lang w:eastAsia="es-ES"/>
        </w:rPr>
        <w:t>wyrok z dnia 17 grudnia 2009 r., § 117.</w:t>
      </w:r>
      <w:bookmarkStart w:id="44" w:name="bookmark73"/>
      <w:bookmarkEnd w:id="42"/>
    </w:p>
    <w:p w14:paraId="74901CAE" w14:textId="240959C4" w:rsidR="00782109" w:rsidRPr="00506C28" w:rsidRDefault="009130BA" w:rsidP="004E75AD">
      <w:pPr>
        <w:pStyle w:val="Heading20"/>
        <w:keepNext/>
        <w:keepLines/>
        <w:spacing w:before="30" w:after="60"/>
        <w:jc w:val="both"/>
        <w:rPr>
          <w:rFonts w:ascii="Arial" w:hAnsi="Arial" w:cs="Arial"/>
        </w:rPr>
      </w:pPr>
      <w:r w:rsidRPr="00506C28">
        <w:rPr>
          <w:rStyle w:val="Heading2"/>
          <w:rFonts w:ascii="Arial" w:hAnsi="Arial" w:cs="Arial"/>
        </w:rPr>
        <w:t xml:space="preserve">Artykuł </w:t>
      </w:r>
      <w:r w:rsidRPr="00506C28">
        <w:rPr>
          <w:rStyle w:val="Heading2"/>
          <w:rFonts w:ascii="Arial" w:hAnsi="Arial" w:cs="Arial"/>
          <w:lang w:eastAsia="es-ES"/>
        </w:rPr>
        <w:t xml:space="preserve">4 (prawo do niebycia </w:t>
      </w:r>
      <w:r w:rsidRPr="00506C28">
        <w:rPr>
          <w:rStyle w:val="Heading2"/>
          <w:rFonts w:ascii="Arial" w:hAnsi="Arial" w:cs="Arial"/>
        </w:rPr>
        <w:t xml:space="preserve">sądzonym </w:t>
      </w:r>
      <w:r w:rsidRPr="00506C28">
        <w:rPr>
          <w:rStyle w:val="Heading2"/>
          <w:rFonts w:ascii="Arial" w:hAnsi="Arial" w:cs="Arial"/>
          <w:lang w:eastAsia="es-ES"/>
        </w:rPr>
        <w:t xml:space="preserve">lub karanym dwukrotnie) </w:t>
      </w:r>
      <w:r w:rsidRPr="00506C28">
        <w:rPr>
          <w:rStyle w:val="Heading2"/>
          <w:rFonts w:ascii="Arial" w:hAnsi="Arial" w:cs="Arial"/>
        </w:rPr>
        <w:t xml:space="preserve">protokołu </w:t>
      </w:r>
      <w:r w:rsidRPr="00506C28">
        <w:rPr>
          <w:rStyle w:val="Heading2"/>
          <w:rFonts w:ascii="Arial" w:hAnsi="Arial" w:cs="Arial"/>
          <w:lang w:eastAsia="es-ES"/>
        </w:rPr>
        <w:t>nr 7 do Konwencji</w:t>
      </w:r>
      <w:bookmarkEnd w:id="44"/>
    </w:p>
    <w:p w14:paraId="57A924BD" w14:textId="77777777" w:rsidR="00782109" w:rsidRPr="00506C28" w:rsidRDefault="009130BA" w:rsidP="004E75AD">
      <w:pPr>
        <w:pStyle w:val="Tekstpodstawowy"/>
        <w:spacing w:before="30" w:after="300"/>
        <w:jc w:val="both"/>
      </w:pPr>
      <w:r w:rsidRPr="00506C28">
        <w:rPr>
          <w:rStyle w:val="TekstpodstawowyZnak"/>
        </w:rPr>
        <w:t xml:space="preserve">Artykuł </w:t>
      </w:r>
      <w:r w:rsidRPr="00506C28">
        <w:rPr>
          <w:rStyle w:val="TekstpodstawowyZnak"/>
          <w:lang w:eastAsia="es-ES"/>
        </w:rPr>
        <w:t xml:space="preserve">4 § 3 </w:t>
      </w:r>
      <w:r w:rsidRPr="00506C28">
        <w:rPr>
          <w:rStyle w:val="TekstpodstawowyZnak"/>
        </w:rPr>
        <w:t xml:space="preserve">protokołu </w:t>
      </w:r>
      <w:r w:rsidRPr="00506C28">
        <w:rPr>
          <w:rStyle w:val="TekstpodstawowyZnak"/>
          <w:lang w:eastAsia="es-ES"/>
        </w:rPr>
        <w:t xml:space="preserve">nr 7 stanowi: </w:t>
      </w:r>
      <w:r w:rsidRPr="00506C28">
        <w:rPr>
          <w:rStyle w:val="TekstpodstawowyZnak"/>
          <w:b/>
          <w:bCs/>
          <w:lang w:eastAsia="es-ES"/>
        </w:rPr>
        <w:t xml:space="preserve">„Nie </w:t>
      </w:r>
      <w:r w:rsidRPr="00506C28">
        <w:rPr>
          <w:rStyle w:val="TekstpodstawowyZnak"/>
          <w:b/>
          <w:bCs/>
        </w:rPr>
        <w:t xml:space="preserve">można uchylić </w:t>
      </w:r>
      <w:r w:rsidRPr="00506C28">
        <w:rPr>
          <w:rStyle w:val="TekstpodstawowyZnak"/>
          <w:b/>
          <w:bCs/>
          <w:lang w:eastAsia="es-ES"/>
        </w:rPr>
        <w:t xml:space="preserve">niniejszego </w:t>
      </w:r>
      <w:r w:rsidRPr="00506C28">
        <w:rPr>
          <w:rStyle w:val="TekstpodstawowyZnak"/>
          <w:b/>
          <w:bCs/>
        </w:rPr>
        <w:t xml:space="preserve">artykułu </w:t>
      </w:r>
      <w:r w:rsidRPr="00506C28">
        <w:rPr>
          <w:rStyle w:val="TekstpodstawowyZnak"/>
          <w:lang w:eastAsia="es-ES"/>
        </w:rPr>
        <w:t>na podstawie art. 15 Konwencji”.</w:t>
      </w:r>
    </w:p>
    <w:p w14:paraId="0EF3454C" w14:textId="77777777" w:rsidR="00782109" w:rsidRPr="00506C28" w:rsidRDefault="009130BA" w:rsidP="004E75AD">
      <w:pPr>
        <w:pStyle w:val="Heading20"/>
        <w:keepNext/>
        <w:keepLines/>
        <w:spacing w:before="30" w:after="60"/>
        <w:jc w:val="both"/>
        <w:rPr>
          <w:rFonts w:ascii="Arial" w:hAnsi="Arial" w:cs="Arial"/>
        </w:rPr>
      </w:pPr>
      <w:bookmarkStart w:id="45" w:name="bookmark75"/>
      <w:r w:rsidRPr="00506C28">
        <w:rPr>
          <w:rStyle w:val="Heading2"/>
          <w:rFonts w:ascii="Arial" w:hAnsi="Arial" w:cs="Arial"/>
        </w:rPr>
        <w:lastRenderedPageBreak/>
        <w:t xml:space="preserve">Protokół </w:t>
      </w:r>
      <w:r w:rsidRPr="00506C28">
        <w:rPr>
          <w:rStyle w:val="Heading2"/>
          <w:rFonts w:ascii="Arial" w:hAnsi="Arial" w:cs="Arial"/>
          <w:lang w:eastAsia="es-ES"/>
        </w:rPr>
        <w:t xml:space="preserve">nr 6 do Konwencji w sprawie zniesienia kary </w:t>
      </w:r>
      <w:r w:rsidRPr="00506C28">
        <w:rPr>
          <w:rStyle w:val="Heading2"/>
          <w:rFonts w:ascii="Arial" w:hAnsi="Arial" w:cs="Arial"/>
        </w:rPr>
        <w:t xml:space="preserve">śmierci </w:t>
      </w:r>
      <w:r w:rsidRPr="00506C28">
        <w:rPr>
          <w:rStyle w:val="Heading2"/>
          <w:rFonts w:ascii="Arial" w:hAnsi="Arial" w:cs="Arial"/>
          <w:lang w:eastAsia="es-ES"/>
        </w:rPr>
        <w:t xml:space="preserve">oraz </w:t>
      </w:r>
      <w:r w:rsidRPr="00506C28">
        <w:rPr>
          <w:rStyle w:val="Heading2"/>
          <w:rFonts w:ascii="Arial" w:hAnsi="Arial" w:cs="Arial"/>
        </w:rPr>
        <w:t xml:space="preserve">Protokół </w:t>
      </w:r>
      <w:r w:rsidRPr="00506C28">
        <w:rPr>
          <w:rStyle w:val="Heading2"/>
          <w:rFonts w:ascii="Arial" w:hAnsi="Arial" w:cs="Arial"/>
          <w:lang w:eastAsia="es-ES"/>
        </w:rPr>
        <w:t xml:space="preserve">nr 13 w sprawie zniesienia kary </w:t>
      </w:r>
      <w:r w:rsidRPr="00506C28">
        <w:rPr>
          <w:rStyle w:val="Heading2"/>
          <w:rFonts w:ascii="Arial" w:hAnsi="Arial" w:cs="Arial"/>
        </w:rPr>
        <w:t xml:space="preserve">śmierci </w:t>
      </w:r>
      <w:r w:rsidRPr="00506C28">
        <w:rPr>
          <w:rStyle w:val="Heading2"/>
          <w:rFonts w:ascii="Arial" w:hAnsi="Arial" w:cs="Arial"/>
          <w:lang w:eastAsia="es-ES"/>
        </w:rPr>
        <w:t xml:space="preserve">w </w:t>
      </w:r>
      <w:r w:rsidRPr="00506C28">
        <w:rPr>
          <w:rStyle w:val="Heading2"/>
          <w:rFonts w:ascii="Arial" w:hAnsi="Arial" w:cs="Arial"/>
        </w:rPr>
        <w:t>każdych okolicznościach</w:t>
      </w:r>
      <w:bookmarkEnd w:id="45"/>
    </w:p>
    <w:p w14:paraId="25B637E6" w14:textId="77777777" w:rsidR="00782109" w:rsidRPr="00506C28" w:rsidRDefault="00782109" w:rsidP="004E75AD">
      <w:pPr>
        <w:pStyle w:val="Heading30"/>
        <w:keepNext/>
        <w:keepLines/>
        <w:spacing w:before="30" w:after="60"/>
        <w:rPr>
          <w:rFonts w:ascii="Arial" w:hAnsi="Arial" w:cs="Arial"/>
        </w:rPr>
      </w:pPr>
      <w:hyperlink r:id="rId91" w:history="1">
        <w:bookmarkStart w:id="46" w:name="bookmark77"/>
        <w:r w:rsidRPr="00506C28">
          <w:rPr>
            <w:rStyle w:val="Heading3"/>
            <w:rFonts w:ascii="Arial" w:hAnsi="Arial" w:cs="Arial"/>
            <w:b/>
            <w:bCs/>
            <w:lang w:eastAsia="es-ES"/>
          </w:rPr>
          <w:t>Al-Saadoon i Mufdhi przeciwko Zjednoczonemu Królestwu</w:t>
        </w:r>
        <w:bookmarkEnd w:id="46"/>
      </w:hyperlink>
    </w:p>
    <w:p w14:paraId="5A8B2A60" w14:textId="77777777" w:rsidR="00782109" w:rsidRPr="00506C28" w:rsidRDefault="009130BA" w:rsidP="004E75AD">
      <w:pPr>
        <w:pStyle w:val="Bodytext30"/>
        <w:spacing w:before="30" w:after="60"/>
        <w:rPr>
          <w:rFonts w:ascii="Arial" w:hAnsi="Arial" w:cs="Arial"/>
        </w:rPr>
      </w:pPr>
      <w:r w:rsidRPr="00506C28">
        <w:rPr>
          <w:rStyle w:val="Bodytext3"/>
          <w:rFonts w:ascii="Arial" w:hAnsi="Arial" w:cs="Arial"/>
          <w:lang w:eastAsia="es-ES"/>
        </w:rPr>
        <w:t>2 marca 2010 r. (wyrok)</w:t>
      </w:r>
    </w:p>
    <w:p w14:paraId="2C154ED1" w14:textId="77777777"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color w:val="000000"/>
        </w:rPr>
        <w:t>Skarżący, dwaj obywatele Iraku wyznania sunnickiego, zostali oskarżeni o udział w zabójstwie dwóch brytyjskich żołnierzy wkrótce po inwazji na Irak w 2003 r. Twierdzili oni, że przekazanie ich przez władze brytyjskie w ręce irackich władz narażało ich na realne ryzyko egzekucji przez powieszenie.</w:t>
      </w:r>
    </w:p>
    <w:p w14:paraId="0DAC5EA2" w14:textId="37DEA717" w:rsidR="00782109"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rPr>
        <w:t xml:space="preserve">Trybunał stwierdził, że doszło do naruszenia art. 3 Konwencji </w:t>
      </w:r>
      <w:r w:rsidR="003937D1" w:rsidRPr="00506C28">
        <w:rPr>
          <w:rStyle w:val="TekstpodstawowyZnak"/>
          <w:rFonts w:ascii="Arial" w:hAnsi="Arial" w:cs="Arial"/>
        </w:rPr>
        <w:t>oraz</w:t>
      </w:r>
      <w:r w:rsidRPr="00506C28">
        <w:rPr>
          <w:rStyle w:val="TekstpodstawowyZnak"/>
          <w:rFonts w:ascii="Arial" w:hAnsi="Arial" w:cs="Arial"/>
        </w:rPr>
        <w:t xml:space="preserve"> że nie ma potrzeby rozstrzygania, czy doszło do naruszenia art. 2 Konwencji lub art. 1 protokołu nr 13. W odniesieniu do ostatniego </w:t>
      </w:r>
      <w:r w:rsidR="003937D1" w:rsidRPr="00506C28">
        <w:rPr>
          <w:rStyle w:val="TekstpodstawowyZnak"/>
          <w:rFonts w:ascii="Arial" w:hAnsi="Arial" w:cs="Arial"/>
        </w:rPr>
        <w:t xml:space="preserve">Trybunał </w:t>
      </w:r>
      <w:r w:rsidRPr="00506C28">
        <w:rPr>
          <w:rStyle w:val="TekstpodstawowyZnak"/>
          <w:rFonts w:ascii="Arial" w:hAnsi="Arial" w:cs="Arial"/>
        </w:rPr>
        <w:t xml:space="preserve">stwierdził, że: „w odniesieniu do państw, które są nim związane, prawo wynikające z art. 1 protokołu nr 13 </w:t>
      </w:r>
      <w:r w:rsidRPr="00506C28">
        <w:rPr>
          <w:rStyle w:val="TekstpodstawowyZnak"/>
          <w:rFonts w:ascii="Arial" w:hAnsi="Arial" w:cs="Arial"/>
          <w:b/>
          <w:bCs/>
        </w:rPr>
        <w:t xml:space="preserve">do niepodlegania karze śmierci, które nie dopuszcza żadnych odstępstw </w:t>
      </w:r>
      <w:r w:rsidRPr="00506C28">
        <w:rPr>
          <w:rStyle w:val="TekstpodstawowyZnak"/>
          <w:rFonts w:ascii="Arial" w:hAnsi="Arial" w:cs="Arial"/>
        </w:rPr>
        <w:t>i ma zastosowanie w każdych okolicznościach, ma rangę równorzędną z prawami wynikającymi z art.</w:t>
      </w:r>
      <w:r w:rsidR="001A6834" w:rsidRPr="00506C28">
        <w:rPr>
          <w:rFonts w:ascii="Arial" w:hAnsi="Arial" w:cs="Arial"/>
        </w:rPr>
        <w:t xml:space="preserve"> </w:t>
      </w:r>
      <w:r w:rsidR="001A6834" w:rsidRPr="00506C28">
        <w:rPr>
          <w:rStyle w:val="TekstpodstawowyZnak"/>
          <w:rFonts w:ascii="Arial" w:hAnsi="Arial" w:cs="Arial"/>
        </w:rPr>
        <w:t xml:space="preserve">2 </w:t>
      </w:r>
      <w:r w:rsidRPr="00506C28">
        <w:rPr>
          <w:rStyle w:val="TekstpodstawowyZnak"/>
          <w:rFonts w:ascii="Arial" w:hAnsi="Arial" w:cs="Arial"/>
        </w:rPr>
        <w:t>i 3 jako prawo podstawowe, za</w:t>
      </w:r>
      <w:r w:rsidR="00E44AC9" w:rsidRPr="00506C28">
        <w:rPr>
          <w:rStyle w:val="TekstpodstawowyZnak"/>
          <w:rFonts w:ascii="Arial" w:hAnsi="Arial" w:cs="Arial"/>
        </w:rPr>
        <w:t>wierając</w:t>
      </w:r>
      <w:r w:rsidRPr="00506C28">
        <w:rPr>
          <w:rStyle w:val="TekstpodstawowyZnak"/>
          <w:rFonts w:ascii="Arial" w:hAnsi="Arial" w:cs="Arial"/>
        </w:rPr>
        <w:t>e jedną z podstawowych wartości społeczeństw demokratycznych tworzących Radę Europy” (ust. 118 wyroku).</w:t>
      </w:r>
    </w:p>
    <w:p w14:paraId="28B732FC" w14:textId="73BCFB2A" w:rsidR="00782109" w:rsidRPr="00506C28" w:rsidRDefault="009130BA" w:rsidP="004E75AD">
      <w:pPr>
        <w:pStyle w:val="Heading20"/>
        <w:keepNext/>
        <w:keepLines/>
        <w:spacing w:before="30" w:after="260"/>
        <w:jc w:val="both"/>
        <w:rPr>
          <w:rStyle w:val="Heading2"/>
          <w:rFonts w:ascii="Arial" w:hAnsi="Arial" w:cs="Arial"/>
          <w:lang w:eastAsia="es-ES"/>
        </w:rPr>
      </w:pPr>
      <w:bookmarkStart w:id="47" w:name="bookmark79"/>
      <w:r w:rsidRPr="00506C28">
        <w:rPr>
          <w:rStyle w:val="Heading2"/>
          <w:rFonts w:ascii="Arial" w:hAnsi="Arial" w:cs="Arial"/>
          <w:lang w:eastAsia="es-ES"/>
        </w:rPr>
        <w:t xml:space="preserve">Międzynarodowe konflikty zbrojne i brak formalnego </w:t>
      </w:r>
      <w:r w:rsidR="005C6EBB" w:rsidRPr="00506C28">
        <w:rPr>
          <w:rStyle w:val="Heading2"/>
          <w:rFonts w:ascii="Arial" w:hAnsi="Arial" w:cs="Arial"/>
          <w:lang w:eastAsia="es-ES"/>
        </w:rPr>
        <w:t>uchylenia</w:t>
      </w:r>
      <w:r w:rsidRPr="00506C28">
        <w:rPr>
          <w:rStyle w:val="Heading2"/>
          <w:rFonts w:ascii="Arial" w:hAnsi="Arial" w:cs="Arial"/>
          <w:lang w:eastAsia="es-ES"/>
        </w:rPr>
        <w:t xml:space="preserve"> na podstawie art. 15 Konwencji</w:t>
      </w:r>
      <w:bookmarkEnd w:id="47"/>
    </w:p>
    <w:p w14:paraId="417FD310" w14:textId="77777777" w:rsidR="003937D1" w:rsidRPr="00506C28" w:rsidRDefault="00782109" w:rsidP="004E75AD">
      <w:pPr>
        <w:pStyle w:val="Tekstpodstawowy"/>
        <w:spacing w:before="30" w:after="0" w:line="298" w:lineRule="auto"/>
        <w:jc w:val="both"/>
        <w:rPr>
          <w:rStyle w:val="TekstpodstawowyZnak"/>
          <w:rFonts w:ascii="Arial" w:hAnsi="Arial" w:cs="Arial"/>
          <w:b/>
          <w:bCs/>
          <w:sz w:val="18"/>
          <w:szCs w:val="18"/>
          <w:u w:val="single"/>
        </w:rPr>
      </w:pPr>
      <w:hyperlink r:id="rId92" w:history="1">
        <w:r w:rsidRPr="00506C28">
          <w:rPr>
            <w:rStyle w:val="TekstpodstawowyZnak"/>
            <w:rFonts w:ascii="Arial" w:hAnsi="Arial" w:cs="Arial"/>
            <w:b/>
            <w:bCs/>
            <w:sz w:val="18"/>
            <w:szCs w:val="18"/>
            <w:u w:val="single"/>
          </w:rPr>
          <w:t>Hassan przeciwko Zjednoczonemu Królestwu</w:t>
        </w:r>
      </w:hyperlink>
      <w:r w:rsidRPr="00506C28">
        <w:rPr>
          <w:rStyle w:val="TekstpodstawowyZnak"/>
          <w:rFonts w:ascii="Arial" w:hAnsi="Arial" w:cs="Arial"/>
          <w:b/>
          <w:bCs/>
          <w:sz w:val="18"/>
          <w:szCs w:val="18"/>
          <w:u w:val="single"/>
        </w:rPr>
        <w:t xml:space="preserve"> </w:t>
      </w:r>
    </w:p>
    <w:p w14:paraId="172BC7FD" w14:textId="3AC8B977" w:rsidR="00782109" w:rsidRPr="00506C28" w:rsidRDefault="00782109" w:rsidP="004E75AD">
      <w:pPr>
        <w:pStyle w:val="Tekstpodstawowy"/>
        <w:spacing w:before="30" w:after="0" w:line="298" w:lineRule="auto"/>
        <w:jc w:val="both"/>
        <w:rPr>
          <w:rFonts w:ascii="Arial" w:hAnsi="Arial" w:cs="Arial"/>
          <w:sz w:val="17"/>
          <w:szCs w:val="17"/>
        </w:rPr>
      </w:pPr>
      <w:r w:rsidRPr="00506C28">
        <w:rPr>
          <w:rStyle w:val="TekstpodstawowyZnak"/>
          <w:rFonts w:ascii="Arial" w:hAnsi="Arial" w:cs="Arial"/>
          <w:color w:val="808080"/>
          <w:sz w:val="17"/>
          <w:szCs w:val="17"/>
        </w:rPr>
        <w:t>16 września 2014 r. (wielka izba)</w:t>
      </w:r>
    </w:p>
    <w:p w14:paraId="7F913804" w14:textId="3659EB2D" w:rsidR="00506C28" w:rsidRPr="00506C28" w:rsidRDefault="009130BA" w:rsidP="004E75AD">
      <w:pPr>
        <w:pStyle w:val="Tekstpodstawowy"/>
        <w:spacing w:before="30" w:after="0"/>
        <w:jc w:val="both"/>
        <w:rPr>
          <w:rFonts w:ascii="Arial" w:hAnsi="Arial" w:cs="Arial"/>
        </w:rPr>
      </w:pPr>
      <w:r w:rsidRPr="00506C28">
        <w:rPr>
          <w:rStyle w:val="TekstpodstawowyZnak"/>
          <w:rFonts w:ascii="Arial" w:hAnsi="Arial" w:cs="Arial"/>
          <w:color w:val="000000"/>
        </w:rPr>
        <w:t>Sprawa dotyczyła zatrzymania obywatela Iraku – brata skarżącego – przez brytyjskie siły zbrojne i jego przetrzymywania w obozie Camp Bucca w południowo-wschodnim Iraku podczas działań wojennych w 2003 r. Skarżący twierdził, że aresztowanie i zatrzymanie jego brata były arbitralne</w:t>
      </w:r>
      <w:r w:rsidR="003937D1" w:rsidRPr="00506C28">
        <w:rPr>
          <w:rStyle w:val="TekstpodstawowyZnak"/>
          <w:rFonts w:ascii="Arial" w:hAnsi="Arial" w:cs="Arial"/>
          <w:color w:val="000000"/>
        </w:rPr>
        <w:t xml:space="preserve">, </w:t>
      </w:r>
      <w:r w:rsidRPr="00506C28">
        <w:rPr>
          <w:rStyle w:val="TekstpodstawowyZnak"/>
          <w:rFonts w:ascii="Arial" w:hAnsi="Arial" w:cs="Arial"/>
          <w:color w:val="000000"/>
        </w:rPr>
        <w:t xml:space="preserve">niezgodne z prawem oraz pozbawione gwarancji proceduralnych. Zjednoczone Królestwo nie złożyło żadnego formalnego wniosku na podstawie art. 15 </w:t>
      </w:r>
      <w:r w:rsidR="003937D1" w:rsidRPr="00506C28">
        <w:rPr>
          <w:rStyle w:val="TekstpodstawowyZnak"/>
          <w:rFonts w:ascii="Arial" w:hAnsi="Arial" w:cs="Arial"/>
          <w:color w:val="000000"/>
        </w:rPr>
        <w:t>K</w:t>
      </w:r>
      <w:r w:rsidRPr="00506C28">
        <w:rPr>
          <w:rStyle w:val="TekstpodstawowyZnak"/>
          <w:rFonts w:ascii="Arial" w:hAnsi="Arial" w:cs="Arial"/>
          <w:color w:val="000000"/>
        </w:rPr>
        <w:t xml:space="preserve">onwencji, który pozwalałby mu na </w:t>
      </w:r>
      <w:r w:rsidR="003937D1" w:rsidRPr="00506C28">
        <w:rPr>
          <w:rStyle w:val="TekstpodstawowyZnak"/>
          <w:rFonts w:ascii="Arial" w:hAnsi="Arial" w:cs="Arial"/>
          <w:color w:val="000000"/>
        </w:rPr>
        <w:t>uchylenie</w:t>
      </w:r>
      <w:r w:rsidRPr="00506C28">
        <w:rPr>
          <w:rStyle w:val="TekstpodstawowyZnak"/>
          <w:rFonts w:ascii="Arial" w:hAnsi="Arial" w:cs="Arial"/>
          <w:color w:val="000000"/>
        </w:rPr>
        <w:t xml:space="preserve"> zobowiązań wynikających z art. 5 </w:t>
      </w:r>
      <w:r w:rsidR="00AF51D3" w:rsidRPr="00506C28">
        <w:rPr>
          <w:rStyle w:val="TekstpodstawowyZnak"/>
          <w:rFonts w:ascii="Arial" w:hAnsi="Arial" w:cs="Arial"/>
          <w:color w:val="000000"/>
        </w:rPr>
        <w:t>(prawo</w:t>
      </w:r>
      <w:r w:rsidRPr="00506C28">
        <w:rPr>
          <w:rStyle w:val="TekstpodstawowyZnak"/>
          <w:rFonts w:ascii="Arial" w:hAnsi="Arial" w:cs="Arial"/>
          <w:color w:val="000000"/>
        </w:rPr>
        <w:t xml:space="preserve"> do wolności i </w:t>
      </w:r>
      <w:r w:rsidR="003937D1" w:rsidRPr="00506C28">
        <w:rPr>
          <w:rStyle w:val="TekstpodstawowyZnak"/>
          <w:rFonts w:ascii="Arial" w:hAnsi="Arial" w:cs="Arial"/>
          <w:color w:val="000000"/>
        </w:rPr>
        <w:t>bezpieczeństwa osobistego</w:t>
      </w:r>
      <w:r w:rsidRPr="00506C28">
        <w:rPr>
          <w:rStyle w:val="TekstpodstawowyZnak"/>
          <w:rFonts w:ascii="Arial" w:hAnsi="Arial" w:cs="Arial"/>
          <w:color w:val="000000"/>
        </w:rPr>
        <w:t xml:space="preserve">) </w:t>
      </w:r>
      <w:r w:rsidR="003937D1" w:rsidRPr="00506C28">
        <w:rPr>
          <w:rStyle w:val="TekstpodstawowyZnak"/>
          <w:rFonts w:ascii="Arial" w:hAnsi="Arial" w:cs="Arial"/>
          <w:color w:val="000000"/>
        </w:rPr>
        <w:t>K</w:t>
      </w:r>
      <w:r w:rsidRPr="00506C28">
        <w:rPr>
          <w:rStyle w:val="TekstpodstawowyZnak"/>
          <w:rFonts w:ascii="Arial" w:hAnsi="Arial" w:cs="Arial"/>
          <w:color w:val="000000"/>
        </w:rPr>
        <w:t>onwencji w odniesieniu do swoich działań w Iraku. Zamiast tego rząd w swoich uwagach zwrócił się do Trybunału o niestosowanie zobowiązań Zjednoczonego Królestwa wynikających z art. 5 lub o ich interpretację w świetle uprawnień do zatrzymania przysługujących mu na mocy międzynarodowego prawa humanitarnego.</w:t>
      </w:r>
    </w:p>
    <w:p w14:paraId="42F52027" w14:textId="5F185C81" w:rsidR="00506C28" w:rsidRPr="00506C28" w:rsidRDefault="009130BA" w:rsidP="004E75AD">
      <w:pPr>
        <w:pStyle w:val="Tekstpodstawowy"/>
        <w:spacing w:before="30" w:after="0"/>
        <w:jc w:val="both"/>
        <w:rPr>
          <w:rStyle w:val="TekstpodstawowyZnak"/>
          <w:rFonts w:ascii="Arial" w:hAnsi="Arial" w:cs="Arial"/>
        </w:rPr>
      </w:pPr>
      <w:r w:rsidRPr="00506C28">
        <w:rPr>
          <w:rStyle w:val="TekstpodstawowyZnak"/>
          <w:rFonts w:ascii="Arial" w:hAnsi="Arial" w:cs="Arial"/>
        </w:rPr>
        <w:t xml:space="preserve">Trybunał zwrócił w szczególności uwagę, że </w:t>
      </w:r>
      <w:r w:rsidR="005426CF" w:rsidRPr="00506C28">
        <w:rPr>
          <w:rStyle w:val="TekstpodstawowyZnak"/>
          <w:rFonts w:ascii="Arial" w:hAnsi="Arial" w:cs="Arial"/>
        </w:rPr>
        <w:t xml:space="preserve">Państwa-Strony nie zastosowały praktyki uchylenia swoich </w:t>
      </w:r>
      <w:r w:rsidRPr="00506C28">
        <w:rPr>
          <w:rStyle w:val="TekstpodstawowyZnak"/>
          <w:rFonts w:ascii="Arial" w:hAnsi="Arial" w:cs="Arial"/>
        </w:rPr>
        <w:t>zobowiązań wynikających z art. 5 (prawo do wolności i bezpieczeństwa</w:t>
      </w:r>
      <w:r w:rsidR="004C2A78" w:rsidRPr="00506C28">
        <w:rPr>
          <w:rStyle w:val="TekstpodstawowyZnak"/>
          <w:rFonts w:ascii="Arial" w:hAnsi="Arial" w:cs="Arial"/>
        </w:rPr>
        <w:t xml:space="preserve"> osobistego</w:t>
      </w:r>
      <w:r w:rsidRPr="00506C28">
        <w:rPr>
          <w:rStyle w:val="TekstpodstawowyZnak"/>
          <w:rFonts w:ascii="Arial" w:hAnsi="Arial" w:cs="Arial"/>
        </w:rPr>
        <w:t>)</w:t>
      </w:r>
      <w:r w:rsidR="004C2A78" w:rsidRPr="00506C28">
        <w:rPr>
          <w:rStyle w:val="TekstpodstawowyZnak"/>
          <w:rFonts w:ascii="Arial" w:hAnsi="Arial" w:cs="Arial"/>
        </w:rPr>
        <w:t xml:space="preserve"> E</w:t>
      </w:r>
      <w:r w:rsidRPr="00506C28">
        <w:rPr>
          <w:rStyle w:val="TekstpodstawowyZnak"/>
          <w:rFonts w:ascii="Arial" w:hAnsi="Arial" w:cs="Arial"/>
        </w:rPr>
        <w:t xml:space="preserve">uropejskiej konwencji praw człowieka w celu zatrzymania osób na podstawie trzeciej i czwartej </w:t>
      </w:r>
      <w:r w:rsidR="00506C28">
        <w:rPr>
          <w:rStyle w:val="TekstpodstawowyZnak"/>
          <w:rFonts w:ascii="Arial" w:hAnsi="Arial" w:cs="Arial"/>
        </w:rPr>
        <w:t>k</w:t>
      </w:r>
      <w:r w:rsidRPr="00506C28">
        <w:rPr>
          <w:rStyle w:val="TekstpodstawowyZnak"/>
          <w:rFonts w:ascii="Arial" w:hAnsi="Arial" w:cs="Arial"/>
        </w:rPr>
        <w:t>onwencji genewskiej</w:t>
      </w:r>
      <w:hyperlink w:anchor="bookmark21" w:tooltip="Current Document">
        <w:r w:rsidR="002C52F3" w:rsidRPr="00506C28">
          <w:rPr>
            <w:rStyle w:val="TekstpodstawowyZnak"/>
            <w:rFonts w:ascii="Arial" w:hAnsi="Arial" w:cs="Arial"/>
            <w:vertAlign w:val="superscript"/>
          </w:rPr>
          <w:footnoteReference w:id="18"/>
        </w:r>
      </w:hyperlink>
      <w:r w:rsidRPr="00506C28">
        <w:rPr>
          <w:rStyle w:val="TekstpodstawowyZnak"/>
          <w:rFonts w:ascii="Arial" w:hAnsi="Arial" w:cs="Arial"/>
        </w:rPr>
        <w:t xml:space="preserve"> podczas międzynarodowych konfliktów zbrojnych. </w:t>
      </w:r>
    </w:p>
    <w:p w14:paraId="2AD5179E" w14:textId="6D194274" w:rsidR="002C52F3" w:rsidRPr="00506C28" w:rsidRDefault="009130BA" w:rsidP="004E75AD">
      <w:pPr>
        <w:pStyle w:val="Tekstpodstawowy"/>
        <w:spacing w:before="30" w:after="220"/>
        <w:jc w:val="both"/>
        <w:rPr>
          <w:rFonts w:ascii="Arial" w:hAnsi="Arial" w:cs="Arial"/>
        </w:rPr>
      </w:pPr>
      <w:r w:rsidRPr="00506C28">
        <w:rPr>
          <w:rStyle w:val="TekstpodstawowyZnak"/>
          <w:rFonts w:ascii="Arial" w:hAnsi="Arial" w:cs="Arial"/>
        </w:rPr>
        <w:t xml:space="preserve">Praktyka ta znalazła odzwierciedlenie w praktyce państw w odniesieniu do Międzynarodowego </w:t>
      </w:r>
      <w:r w:rsidR="00241504" w:rsidRPr="00506C28">
        <w:rPr>
          <w:rStyle w:val="TekstpodstawowyZnak"/>
          <w:rFonts w:ascii="Arial" w:hAnsi="Arial" w:cs="Arial"/>
        </w:rPr>
        <w:t>p</w:t>
      </w:r>
      <w:r w:rsidRPr="00506C28">
        <w:rPr>
          <w:rStyle w:val="TekstpodstawowyZnak"/>
          <w:rFonts w:ascii="Arial" w:hAnsi="Arial" w:cs="Arial"/>
        </w:rPr>
        <w:t xml:space="preserve">aktu </w:t>
      </w:r>
      <w:r w:rsidR="00241504" w:rsidRPr="00506C28">
        <w:rPr>
          <w:rStyle w:val="TekstpodstawowyZnak"/>
          <w:rFonts w:ascii="Arial" w:hAnsi="Arial" w:cs="Arial"/>
        </w:rPr>
        <w:t>p</w:t>
      </w:r>
      <w:r w:rsidRPr="00506C28">
        <w:rPr>
          <w:rStyle w:val="TekstpodstawowyZnak"/>
          <w:rFonts w:ascii="Arial" w:hAnsi="Arial" w:cs="Arial"/>
        </w:rPr>
        <w:t xml:space="preserve">raw </w:t>
      </w:r>
      <w:r w:rsidR="00241504" w:rsidRPr="00506C28">
        <w:rPr>
          <w:rStyle w:val="TekstpodstawowyZnak"/>
          <w:rFonts w:ascii="Arial" w:hAnsi="Arial" w:cs="Arial"/>
        </w:rPr>
        <w:t>o</w:t>
      </w:r>
      <w:r w:rsidRPr="00506C28">
        <w:rPr>
          <w:rStyle w:val="TekstpodstawowyZnak"/>
          <w:rFonts w:ascii="Arial" w:hAnsi="Arial" w:cs="Arial"/>
        </w:rPr>
        <w:t xml:space="preserve">bywatelskich i </w:t>
      </w:r>
      <w:r w:rsidR="00241504" w:rsidRPr="00506C28">
        <w:rPr>
          <w:rStyle w:val="TekstpodstawowyZnak"/>
          <w:rFonts w:ascii="Arial" w:hAnsi="Arial" w:cs="Arial"/>
        </w:rPr>
        <w:t>p</w:t>
      </w:r>
      <w:r w:rsidRPr="00506C28">
        <w:rPr>
          <w:rStyle w:val="TekstpodstawowyZnak"/>
          <w:rFonts w:ascii="Arial" w:hAnsi="Arial" w:cs="Arial"/>
        </w:rPr>
        <w:t xml:space="preserve">olitycznych. W świetle tych rozważań Trybunał przyjął argument rządu Zjednoczonego Królestwa, że brak formalnego </w:t>
      </w:r>
      <w:r w:rsidR="005C6EBB" w:rsidRPr="00506C28">
        <w:rPr>
          <w:rStyle w:val="TekstpodstawowyZnak"/>
          <w:rFonts w:ascii="Arial" w:hAnsi="Arial" w:cs="Arial"/>
        </w:rPr>
        <w:t>uchylenia</w:t>
      </w:r>
      <w:r w:rsidRPr="00506C28">
        <w:rPr>
          <w:rStyle w:val="TekstpodstawowyZnak"/>
          <w:rFonts w:ascii="Arial" w:hAnsi="Arial" w:cs="Arial"/>
        </w:rPr>
        <w:t xml:space="preserve"> na podstawie art. 15 nie uniemożliwia Trybunałowi uwzględnienia kontekstu i </w:t>
      </w:r>
      <w:r w:rsidR="00F41A9D" w:rsidRPr="00506C28">
        <w:rPr>
          <w:rStyle w:val="TekstpodstawowyZnak"/>
          <w:rFonts w:ascii="Arial" w:hAnsi="Arial" w:cs="Arial"/>
        </w:rPr>
        <w:t>przepisów</w:t>
      </w:r>
      <w:r w:rsidRPr="00506C28">
        <w:rPr>
          <w:rStyle w:val="TekstpodstawowyZnak"/>
          <w:rFonts w:ascii="Arial" w:hAnsi="Arial" w:cs="Arial"/>
        </w:rPr>
        <w:t xml:space="preserve"> międzynarodowego prawa humanitarnego przy interpretacji i stosowaniu art. 5 </w:t>
      </w:r>
      <w:r w:rsidR="00F02693">
        <w:rPr>
          <w:rStyle w:val="TekstpodstawowyZnak"/>
          <w:rFonts w:ascii="Arial" w:hAnsi="Arial" w:cs="Arial"/>
        </w:rPr>
        <w:br/>
      </w:r>
      <w:r w:rsidRPr="00506C28">
        <w:rPr>
          <w:rStyle w:val="TekstpodstawowyZnak"/>
          <w:rFonts w:ascii="Arial" w:hAnsi="Arial" w:cs="Arial"/>
        </w:rPr>
        <w:t xml:space="preserve">w niniejszej sprawie. Niemniej jednak, zgodnie z orzecznictwem Międzynarodowego Trybunału Sprawiedliwości, Europejski Trybunał uznał, że nawet w sytuacjach międzynarodowego konfliktu zbrojnego gwarancje wynikające z </w:t>
      </w:r>
      <w:r w:rsidR="00FF6C97" w:rsidRPr="00506C28">
        <w:rPr>
          <w:rStyle w:val="TekstpodstawowyZnak"/>
          <w:rFonts w:ascii="Arial" w:hAnsi="Arial" w:cs="Arial"/>
        </w:rPr>
        <w:t>E</w:t>
      </w:r>
      <w:r w:rsidRPr="00506C28">
        <w:rPr>
          <w:rStyle w:val="TekstpodstawowyZnak"/>
          <w:rFonts w:ascii="Arial" w:hAnsi="Arial" w:cs="Arial"/>
        </w:rPr>
        <w:t xml:space="preserve">uropejskiej </w:t>
      </w:r>
      <w:r w:rsidR="004C2A78" w:rsidRPr="00506C28">
        <w:rPr>
          <w:rStyle w:val="TekstpodstawowyZnak"/>
          <w:rFonts w:ascii="Arial" w:hAnsi="Arial" w:cs="Arial"/>
        </w:rPr>
        <w:t>k</w:t>
      </w:r>
      <w:r w:rsidRPr="00506C28">
        <w:rPr>
          <w:rStyle w:val="TekstpodstawowyZnak"/>
          <w:rFonts w:ascii="Arial" w:hAnsi="Arial" w:cs="Arial"/>
        </w:rPr>
        <w:t xml:space="preserve">onwencji </w:t>
      </w:r>
      <w:r w:rsidR="004C2A78" w:rsidRPr="00506C28">
        <w:rPr>
          <w:rStyle w:val="TekstpodstawowyZnak"/>
          <w:rFonts w:ascii="Arial" w:hAnsi="Arial" w:cs="Arial"/>
        </w:rPr>
        <w:t>p</w:t>
      </w:r>
      <w:r w:rsidRPr="00506C28">
        <w:rPr>
          <w:rStyle w:val="TekstpodstawowyZnak"/>
          <w:rFonts w:ascii="Arial" w:hAnsi="Arial" w:cs="Arial"/>
        </w:rPr>
        <w:t xml:space="preserve">raw </w:t>
      </w:r>
      <w:r w:rsidR="004C2A78" w:rsidRPr="00506C28">
        <w:rPr>
          <w:rStyle w:val="TekstpodstawowyZnak"/>
          <w:rFonts w:ascii="Arial" w:hAnsi="Arial" w:cs="Arial"/>
        </w:rPr>
        <w:t>c</w:t>
      </w:r>
      <w:r w:rsidRPr="00506C28">
        <w:rPr>
          <w:rStyle w:val="TekstpodstawowyZnak"/>
          <w:rFonts w:ascii="Arial" w:hAnsi="Arial" w:cs="Arial"/>
        </w:rPr>
        <w:t xml:space="preserve">złowieka nadal mają zastosowanie, choć należy je interpretować w świetle przepisów międzynarodowego prawa humanitarnego. Ze względu na współistnienie gwarancji przewidzianych w międzynarodowym prawie humanitarnym i w </w:t>
      </w:r>
      <w:r w:rsidR="00241504" w:rsidRPr="00506C28">
        <w:rPr>
          <w:rStyle w:val="TekstpodstawowyZnak"/>
          <w:rFonts w:ascii="Arial" w:hAnsi="Arial" w:cs="Arial"/>
        </w:rPr>
        <w:t>prawie</w:t>
      </w:r>
      <w:r w:rsidRPr="00506C28">
        <w:rPr>
          <w:rStyle w:val="TekstpodstawowyZnak"/>
          <w:rFonts w:ascii="Arial" w:hAnsi="Arial" w:cs="Arial"/>
        </w:rPr>
        <w:t xml:space="preserve"> konflikt</w:t>
      </w:r>
      <w:r w:rsidR="00241504" w:rsidRPr="00506C28">
        <w:rPr>
          <w:rStyle w:val="TekstpodstawowyZnak"/>
          <w:rFonts w:ascii="Arial" w:hAnsi="Arial" w:cs="Arial"/>
        </w:rPr>
        <w:t>ów zbrojnych</w:t>
      </w:r>
      <w:r w:rsidRPr="00506C28">
        <w:rPr>
          <w:rStyle w:val="TekstpodstawowyZnak"/>
          <w:rFonts w:ascii="Arial" w:hAnsi="Arial" w:cs="Arial"/>
        </w:rPr>
        <w:t xml:space="preserve">, podstawy dopuszczalnego pozbawienia wolności określone w art. 5 powinny być w miarę możliwości pogodzone z braniem jeńców wojennych i zatrzymywaniem osób cywilnych stanowiących zagrożenie dla bezpieczeństwa na mocy trzeciej i czwartej konwencji genewskiej. Trybunał miał na uwadze fakt, </w:t>
      </w:r>
      <w:r w:rsidR="00F02693">
        <w:rPr>
          <w:rStyle w:val="TekstpodstawowyZnak"/>
          <w:rFonts w:ascii="Arial" w:hAnsi="Arial" w:cs="Arial"/>
        </w:rPr>
        <w:br/>
      </w:r>
      <w:r w:rsidRPr="00506C28">
        <w:rPr>
          <w:rStyle w:val="TekstpodstawowyZnak"/>
          <w:rFonts w:ascii="Arial" w:hAnsi="Arial" w:cs="Arial"/>
        </w:rPr>
        <w:t>że internowanie</w:t>
      </w:r>
      <w:r w:rsidR="004F3C31" w:rsidRPr="00506C28">
        <w:rPr>
          <w:rStyle w:val="TekstpodstawowyZnak"/>
          <w:rFonts w:ascii="Arial" w:hAnsi="Arial" w:cs="Arial"/>
        </w:rPr>
        <w:t xml:space="preserve"> </w:t>
      </w:r>
      <w:r w:rsidRPr="00506C28">
        <w:rPr>
          <w:rStyle w:val="TekstpodstawowyZnak"/>
          <w:rFonts w:ascii="Arial" w:hAnsi="Arial" w:cs="Arial"/>
        </w:rPr>
        <w:t xml:space="preserve">w czasie pokoju nie wchodziło w zakres pozbawienia wolności regulowanego art. 5 Konwencji bez skorzystania z uprawnienia do </w:t>
      </w:r>
      <w:r w:rsidR="005C6EBB" w:rsidRPr="00506C28">
        <w:rPr>
          <w:rStyle w:val="TekstpodstawowyZnak"/>
          <w:rFonts w:ascii="Arial" w:hAnsi="Arial" w:cs="Arial"/>
        </w:rPr>
        <w:t>uchylenia</w:t>
      </w:r>
      <w:r w:rsidRPr="00506C28">
        <w:rPr>
          <w:rStyle w:val="TekstpodstawowyZnak"/>
          <w:rFonts w:ascii="Arial" w:hAnsi="Arial" w:cs="Arial"/>
        </w:rPr>
        <w:t xml:space="preserve"> przewidzianego w art. 15. </w:t>
      </w:r>
      <w:r w:rsidR="00F14EFD" w:rsidRPr="00506C28">
        <w:rPr>
          <w:rStyle w:val="TekstpodstawowyZnak"/>
          <w:rFonts w:ascii="Arial" w:hAnsi="Arial" w:cs="Arial"/>
        </w:rPr>
        <w:t xml:space="preserve">Zatem art. 5 </w:t>
      </w:r>
      <w:r w:rsidR="00F14EFD" w:rsidRPr="00506C28">
        <w:rPr>
          <w:rFonts w:ascii="Arial" w:hAnsi="Arial" w:cs="Arial"/>
        </w:rPr>
        <w:t>można interpretować jako zezwalający na wykonywanie tak szerokich uprawnień</w:t>
      </w:r>
      <w:r w:rsidR="00F14EFD" w:rsidRPr="00506C28">
        <w:rPr>
          <w:rStyle w:val="TekstpodstawowyZnak"/>
          <w:rFonts w:ascii="Arial" w:hAnsi="Arial" w:cs="Arial"/>
        </w:rPr>
        <w:t xml:space="preserve"> </w:t>
      </w:r>
      <w:r w:rsidRPr="00506C28">
        <w:rPr>
          <w:rStyle w:val="TekstpodstawowyZnak"/>
          <w:rFonts w:ascii="Arial" w:hAnsi="Arial" w:cs="Arial"/>
        </w:rPr>
        <w:t xml:space="preserve">jedynie w przypadku międzynarodowego konfliktu zbrojnego, w którym branie jeńców wojennych i zatrzymywanie </w:t>
      </w:r>
      <w:r w:rsidR="002C52F3" w:rsidRPr="00506C28">
        <w:rPr>
          <w:rStyle w:val="TekstpodstawowyZnak"/>
          <w:rFonts w:ascii="Arial" w:hAnsi="Arial" w:cs="Arial"/>
        </w:rPr>
        <w:t>cywilów,</w:t>
      </w:r>
      <w:r w:rsidRPr="00506C28">
        <w:rPr>
          <w:rStyle w:val="TekstpodstawowyZnak"/>
          <w:rFonts w:ascii="Arial" w:hAnsi="Arial" w:cs="Arial"/>
        </w:rPr>
        <w:t xml:space="preserve"> którzy stwarza</w:t>
      </w:r>
      <w:r w:rsidR="00F14EFD" w:rsidRPr="00506C28">
        <w:rPr>
          <w:rStyle w:val="TekstpodstawowyZnak"/>
          <w:rFonts w:ascii="Arial" w:hAnsi="Arial" w:cs="Arial"/>
        </w:rPr>
        <w:t>ją</w:t>
      </w:r>
      <w:r w:rsidRPr="00506C28">
        <w:rPr>
          <w:rStyle w:val="TekstpodstawowyZnak"/>
          <w:rFonts w:ascii="Arial" w:hAnsi="Arial" w:cs="Arial"/>
        </w:rPr>
        <w:t xml:space="preserve"> zagrożenie dla bezpieczeństwa</w:t>
      </w:r>
      <w:r w:rsidR="00F14EFD" w:rsidRPr="00506C28">
        <w:rPr>
          <w:rStyle w:val="TekstpodstawowyZnak"/>
          <w:rFonts w:ascii="Arial" w:hAnsi="Arial" w:cs="Arial"/>
        </w:rPr>
        <w:t>,</w:t>
      </w:r>
      <w:r w:rsidRPr="00506C28">
        <w:rPr>
          <w:rStyle w:val="TekstpodstawowyZnak"/>
          <w:rFonts w:ascii="Arial" w:hAnsi="Arial" w:cs="Arial"/>
        </w:rPr>
        <w:t xml:space="preserve"> </w:t>
      </w:r>
      <w:r w:rsidR="00F14EFD" w:rsidRPr="00506C28">
        <w:rPr>
          <w:rStyle w:val="TekstpodstawowyZnak"/>
          <w:rFonts w:ascii="Arial" w:hAnsi="Arial" w:cs="Arial"/>
        </w:rPr>
        <w:t>jest</w:t>
      </w:r>
      <w:r w:rsidRPr="00506C28">
        <w:rPr>
          <w:rStyle w:val="TekstpodstawowyZnak"/>
          <w:rFonts w:ascii="Arial" w:hAnsi="Arial" w:cs="Arial"/>
        </w:rPr>
        <w:t xml:space="preserve"> akceptow</w:t>
      </w:r>
      <w:r w:rsidR="00F14EFD" w:rsidRPr="00506C28">
        <w:rPr>
          <w:rStyle w:val="TekstpodstawowyZnak"/>
          <w:rFonts w:ascii="Arial" w:hAnsi="Arial" w:cs="Arial"/>
        </w:rPr>
        <w:t>anym działaniem w ramach</w:t>
      </w:r>
      <w:r w:rsidRPr="00506C28">
        <w:rPr>
          <w:rStyle w:val="TekstpodstawowyZnak"/>
          <w:rFonts w:ascii="Arial" w:hAnsi="Arial" w:cs="Arial"/>
        </w:rPr>
        <w:t xml:space="preserve"> między</w:t>
      </w:r>
      <w:r w:rsidR="002C52F3" w:rsidRPr="00506C28">
        <w:rPr>
          <w:rStyle w:val="TekstpodstawowyZnak"/>
          <w:rFonts w:ascii="Arial" w:hAnsi="Arial" w:cs="Arial"/>
        </w:rPr>
        <w:t>narodowego prawa hu</w:t>
      </w:r>
      <w:r w:rsidR="002C52F3" w:rsidRPr="00506C28">
        <w:rPr>
          <w:rFonts w:ascii="Arial" w:hAnsi="Arial" w:cs="Arial"/>
        </w:rPr>
        <w:t>manitarnego</w:t>
      </w:r>
      <w:r w:rsidR="00F14EFD" w:rsidRPr="00506C28">
        <w:rPr>
          <w:rFonts w:ascii="Arial" w:hAnsi="Arial" w:cs="Arial"/>
        </w:rPr>
        <w:t>.</w:t>
      </w:r>
      <w:r w:rsidR="002C52F3" w:rsidRPr="00506C28">
        <w:rPr>
          <w:rFonts w:ascii="Arial" w:hAnsi="Arial" w:cs="Arial"/>
        </w:rPr>
        <w:t xml:space="preserve"> W okolicznościach niniejszej sprawy Trybunał uznał, że zatrzymanie i aresztowanie brata skarżącego było zgodne z uprawnieniami przysługującymi Zjednoczonemu Królestwu na mocy trzeciej i czwartej konwencji genewskiej i nie miało charakteru arbitralnego. W związku z tym Trybunał stwierdził, </w:t>
      </w:r>
      <w:r w:rsidR="00F02693">
        <w:rPr>
          <w:rFonts w:ascii="Arial" w:hAnsi="Arial" w:cs="Arial"/>
        </w:rPr>
        <w:br/>
      </w:r>
      <w:r w:rsidR="002C52F3" w:rsidRPr="00506C28">
        <w:rPr>
          <w:rFonts w:ascii="Arial" w:hAnsi="Arial" w:cs="Arial"/>
        </w:rPr>
        <w:t xml:space="preserve">że </w:t>
      </w:r>
      <w:r w:rsidR="002C52F3" w:rsidRPr="00506C28">
        <w:rPr>
          <w:rFonts w:ascii="Arial" w:hAnsi="Arial" w:cs="Arial"/>
          <w:b/>
          <w:bCs/>
        </w:rPr>
        <w:t>nie doszło</w:t>
      </w:r>
      <w:r w:rsidR="002C52F3" w:rsidRPr="00506C28">
        <w:rPr>
          <w:rFonts w:ascii="Arial" w:hAnsi="Arial" w:cs="Arial"/>
        </w:rPr>
        <w:t xml:space="preserve"> </w:t>
      </w:r>
      <w:r w:rsidR="002C52F3" w:rsidRPr="00506C28">
        <w:rPr>
          <w:rFonts w:ascii="Arial" w:hAnsi="Arial" w:cs="Arial"/>
          <w:b/>
          <w:bCs/>
        </w:rPr>
        <w:t xml:space="preserve">do naruszenia art. 5 § 1, 2, 3 ani 4 </w:t>
      </w:r>
      <w:r w:rsidR="002C52F3" w:rsidRPr="00506C28">
        <w:rPr>
          <w:rFonts w:ascii="Arial" w:hAnsi="Arial" w:cs="Arial"/>
        </w:rPr>
        <w:t xml:space="preserve">Europejskiej </w:t>
      </w:r>
      <w:r w:rsidR="00202DF8" w:rsidRPr="00506C28">
        <w:rPr>
          <w:rFonts w:ascii="Arial" w:hAnsi="Arial" w:cs="Arial"/>
        </w:rPr>
        <w:t>k</w:t>
      </w:r>
      <w:r w:rsidR="002C52F3" w:rsidRPr="00506C28">
        <w:rPr>
          <w:rFonts w:ascii="Arial" w:hAnsi="Arial" w:cs="Arial"/>
        </w:rPr>
        <w:t xml:space="preserve">onwencji </w:t>
      </w:r>
      <w:r w:rsidR="00202DF8" w:rsidRPr="00506C28">
        <w:rPr>
          <w:rFonts w:ascii="Arial" w:hAnsi="Arial" w:cs="Arial"/>
        </w:rPr>
        <w:t>p</w:t>
      </w:r>
      <w:r w:rsidR="002C52F3" w:rsidRPr="00506C28">
        <w:rPr>
          <w:rFonts w:ascii="Arial" w:hAnsi="Arial" w:cs="Arial"/>
        </w:rPr>
        <w:t xml:space="preserve">raw </w:t>
      </w:r>
      <w:r w:rsidR="00202DF8" w:rsidRPr="00506C28">
        <w:rPr>
          <w:rFonts w:ascii="Arial" w:hAnsi="Arial" w:cs="Arial"/>
        </w:rPr>
        <w:t>c</w:t>
      </w:r>
      <w:r w:rsidR="002C52F3" w:rsidRPr="00506C28">
        <w:rPr>
          <w:rFonts w:ascii="Arial" w:hAnsi="Arial" w:cs="Arial"/>
        </w:rPr>
        <w:t>złowieka.</w:t>
      </w:r>
    </w:p>
    <w:p w14:paraId="7D787FBA" w14:textId="4BF7CF48" w:rsidR="00782109" w:rsidRPr="00506C28" w:rsidRDefault="00782109" w:rsidP="004E75AD">
      <w:pPr>
        <w:pStyle w:val="Tekstpodstawowy"/>
        <w:spacing w:before="30" w:after="220"/>
        <w:jc w:val="both"/>
        <w:rPr>
          <w:rFonts w:ascii="Arial" w:hAnsi="Arial" w:cs="Arial"/>
        </w:rPr>
        <w:sectPr w:rsidR="00782109" w:rsidRPr="00506C28" w:rsidSect="004E75AD">
          <w:headerReference w:type="even" r:id="rId93"/>
          <w:headerReference w:type="default" r:id="rId94"/>
          <w:footerReference w:type="even" r:id="rId95"/>
          <w:footerReference w:type="default" r:id="rId96"/>
          <w:footnotePr>
            <w:numStart w:val="6"/>
          </w:footnotePr>
          <w:pgSz w:w="11900" w:h="16840"/>
          <w:pgMar w:top="1417" w:right="1417" w:bottom="1417" w:left="1417" w:header="0" w:footer="3" w:gutter="0"/>
          <w:cols w:space="720"/>
          <w:noEndnote/>
          <w:docGrid w:linePitch="360"/>
          <w15:footnoteColumns w:val="1"/>
        </w:sectPr>
      </w:pPr>
    </w:p>
    <w:p w14:paraId="542EF226" w14:textId="77777777" w:rsidR="00782109" w:rsidRPr="00506C28" w:rsidRDefault="009130BA" w:rsidP="004E75AD">
      <w:pPr>
        <w:pStyle w:val="Heading20"/>
        <w:keepNext/>
        <w:keepLines/>
        <w:spacing w:before="30" w:after="380"/>
        <w:jc w:val="both"/>
        <w:rPr>
          <w:rFonts w:ascii="Arial" w:hAnsi="Arial" w:cs="Arial"/>
        </w:rPr>
      </w:pPr>
      <w:bookmarkStart w:id="48" w:name="bookmark81"/>
      <w:r w:rsidRPr="00506C28">
        <w:rPr>
          <w:rStyle w:val="Heading2"/>
          <w:rFonts w:ascii="Arial" w:hAnsi="Arial" w:cs="Arial"/>
          <w:color w:val="0071BB"/>
        </w:rPr>
        <w:lastRenderedPageBreak/>
        <w:t>Teksty i dokumenty</w:t>
      </w:r>
      <w:bookmarkEnd w:id="48"/>
    </w:p>
    <w:p w14:paraId="280C7CEA" w14:textId="77777777" w:rsidR="00782109" w:rsidRPr="00506C28" w:rsidRDefault="009130BA" w:rsidP="004E75AD">
      <w:pPr>
        <w:pStyle w:val="Tekstpodstawowy"/>
        <w:spacing w:before="30" w:after="200"/>
        <w:jc w:val="both"/>
        <w:rPr>
          <w:rFonts w:ascii="Arial" w:hAnsi="Arial" w:cs="Arial"/>
        </w:rPr>
      </w:pPr>
      <w:r w:rsidRPr="00506C28">
        <w:rPr>
          <w:rStyle w:val="TekstpodstawowyZnak"/>
          <w:rFonts w:ascii="Arial" w:hAnsi="Arial" w:cs="Arial"/>
          <w:color w:val="000000"/>
        </w:rPr>
        <w:t>Zob. w szczególności:</w:t>
      </w:r>
    </w:p>
    <w:p w14:paraId="0220E013" w14:textId="3D73ACED" w:rsidR="00782109" w:rsidRPr="00506C28" w:rsidRDefault="00782109" w:rsidP="004E75AD">
      <w:pPr>
        <w:pStyle w:val="Tekstpodstawowy"/>
        <w:numPr>
          <w:ilvl w:val="0"/>
          <w:numId w:val="3"/>
        </w:numPr>
        <w:tabs>
          <w:tab w:val="left" w:pos="432"/>
        </w:tabs>
        <w:spacing w:before="30" w:line="230" w:lineRule="auto"/>
        <w:ind w:left="460" w:hanging="300"/>
        <w:jc w:val="both"/>
        <w:rPr>
          <w:rFonts w:ascii="Arial" w:hAnsi="Arial" w:cs="Arial"/>
        </w:rPr>
      </w:pPr>
      <w:hyperlink r:id="rId97" w:history="1">
        <w:r w:rsidRPr="00506C28">
          <w:rPr>
            <w:rStyle w:val="TekstpodstawowyZnak"/>
            <w:rFonts w:ascii="Arial" w:hAnsi="Arial" w:cs="Arial"/>
            <w:b/>
            <w:bCs/>
            <w:u w:val="single"/>
          </w:rPr>
          <w:t xml:space="preserve">Przewodnik dotyczący art. 15 Europejskiej </w:t>
        </w:r>
        <w:r w:rsidR="00AE0196" w:rsidRPr="00506C28">
          <w:rPr>
            <w:rStyle w:val="TekstpodstawowyZnak"/>
            <w:rFonts w:ascii="Arial" w:hAnsi="Arial" w:cs="Arial"/>
            <w:b/>
            <w:bCs/>
            <w:u w:val="single"/>
          </w:rPr>
          <w:t>k</w:t>
        </w:r>
        <w:r w:rsidRPr="00506C28">
          <w:rPr>
            <w:rStyle w:val="TekstpodstawowyZnak"/>
            <w:rFonts w:ascii="Arial" w:hAnsi="Arial" w:cs="Arial"/>
            <w:b/>
            <w:bCs/>
            <w:u w:val="single"/>
          </w:rPr>
          <w:t xml:space="preserve">onwencji </w:t>
        </w:r>
        <w:r w:rsidR="00AE0196" w:rsidRPr="00506C28">
          <w:rPr>
            <w:rStyle w:val="TekstpodstawowyZnak"/>
            <w:rFonts w:ascii="Arial" w:hAnsi="Arial" w:cs="Arial"/>
            <w:b/>
            <w:bCs/>
            <w:u w:val="single"/>
          </w:rPr>
          <w:t>p</w:t>
        </w:r>
        <w:r w:rsidRPr="00506C28">
          <w:rPr>
            <w:rStyle w:val="TekstpodstawowyZnak"/>
            <w:rFonts w:ascii="Arial" w:hAnsi="Arial" w:cs="Arial"/>
            <w:b/>
            <w:bCs/>
            <w:u w:val="single"/>
          </w:rPr>
          <w:t xml:space="preserve">raw </w:t>
        </w:r>
        <w:r w:rsidR="00AE0196" w:rsidRPr="00506C28">
          <w:rPr>
            <w:rStyle w:val="TekstpodstawowyZnak"/>
            <w:rFonts w:ascii="Arial" w:hAnsi="Arial" w:cs="Arial"/>
            <w:b/>
            <w:bCs/>
            <w:u w:val="single"/>
          </w:rPr>
          <w:t>c</w:t>
        </w:r>
        <w:r w:rsidRPr="00506C28">
          <w:rPr>
            <w:rStyle w:val="TekstpodstawowyZnak"/>
            <w:rFonts w:ascii="Arial" w:hAnsi="Arial" w:cs="Arial"/>
            <w:b/>
            <w:bCs/>
            <w:u w:val="single"/>
          </w:rPr>
          <w:t>złowieka</w:t>
        </w:r>
        <w:r w:rsidR="00F018CD" w:rsidRPr="00506C28">
          <w:rPr>
            <w:rStyle w:val="TekstpodstawowyZnak"/>
            <w:rFonts w:ascii="Arial" w:hAnsi="Arial" w:cs="Arial"/>
            <w:b/>
            <w:bCs/>
            <w:u w:val="single"/>
          </w:rPr>
          <w:t xml:space="preserve"> </w:t>
        </w:r>
        <w:r w:rsidRPr="00506C28">
          <w:rPr>
            <w:rStyle w:val="TekstpodstawowyZnak"/>
            <w:rFonts w:ascii="Arial" w:hAnsi="Arial" w:cs="Arial"/>
            <w:b/>
            <w:bCs/>
            <w:u w:val="single"/>
          </w:rPr>
          <w:t>–</w:t>
        </w:r>
        <w:r w:rsidR="00F018CD" w:rsidRPr="00506C28">
          <w:rPr>
            <w:rStyle w:val="TekstpodstawowyZnak"/>
            <w:rFonts w:ascii="Arial" w:hAnsi="Arial" w:cs="Arial"/>
            <w:b/>
            <w:bCs/>
            <w:u w:val="single"/>
          </w:rPr>
          <w:t xml:space="preserve"> </w:t>
        </w:r>
        <w:r w:rsidR="005C6EBB" w:rsidRPr="00506C28">
          <w:rPr>
            <w:rStyle w:val="TekstpodstawowyZnak"/>
            <w:rFonts w:ascii="Arial" w:hAnsi="Arial" w:cs="Arial"/>
            <w:b/>
            <w:bCs/>
            <w:u w:val="single"/>
          </w:rPr>
          <w:t>Uchylenia</w:t>
        </w:r>
      </w:hyperlink>
      <w:r w:rsidRPr="00506C28">
        <w:rPr>
          <w:rStyle w:val="TekstpodstawowyZnak"/>
          <w:rFonts w:ascii="Arial" w:hAnsi="Arial" w:cs="Arial"/>
          <w:b/>
          <w:bCs/>
          <w:u w:val="single"/>
        </w:rPr>
        <w:t xml:space="preserve"> </w:t>
      </w:r>
      <w:hyperlink r:id="rId98" w:history="1">
        <w:r w:rsidRPr="00506C28">
          <w:rPr>
            <w:rStyle w:val="TekstpodstawowyZnak"/>
            <w:rFonts w:ascii="Arial" w:hAnsi="Arial" w:cs="Arial"/>
            <w:b/>
            <w:bCs/>
            <w:u w:val="single"/>
          </w:rPr>
          <w:t>w sytuacjach nadzwyczajnych</w:t>
        </w:r>
      </w:hyperlink>
      <w:r w:rsidRPr="00506C28">
        <w:rPr>
          <w:rStyle w:val="TekstpodstawowyZnak"/>
          <w:rFonts w:ascii="Arial" w:hAnsi="Arial" w:cs="Arial"/>
          <w:color w:val="000000"/>
          <w:u w:val="single"/>
        </w:rPr>
        <w:t>,</w:t>
      </w:r>
      <w:r w:rsidRPr="00506C28">
        <w:rPr>
          <w:rStyle w:val="TekstpodstawowyZnak"/>
          <w:rFonts w:ascii="Arial" w:hAnsi="Arial" w:cs="Arial"/>
          <w:color w:val="000000"/>
        </w:rPr>
        <w:t xml:space="preserve"> sprawozdanie przygotowane przez Dyrekcję Konsultantów Prawnych</w:t>
      </w:r>
    </w:p>
    <w:p w14:paraId="720926BD" w14:textId="77777777" w:rsidR="00A239C9" w:rsidRPr="00506C28" w:rsidRDefault="00782109" w:rsidP="004E75AD">
      <w:pPr>
        <w:pStyle w:val="Tekstpodstawowy"/>
        <w:numPr>
          <w:ilvl w:val="0"/>
          <w:numId w:val="3"/>
        </w:numPr>
        <w:tabs>
          <w:tab w:val="left" w:pos="432"/>
        </w:tabs>
        <w:spacing w:before="30" w:line="228" w:lineRule="auto"/>
        <w:ind w:left="460" w:hanging="300"/>
        <w:jc w:val="both"/>
        <w:rPr>
          <w:rFonts w:ascii="Arial" w:hAnsi="Arial" w:cs="Arial"/>
        </w:rPr>
      </w:pPr>
      <w:hyperlink r:id="rId99" w:history="1">
        <w:r w:rsidRPr="00506C28">
          <w:rPr>
            <w:rStyle w:val="TekstpodstawowyZnak"/>
            <w:rFonts w:ascii="Arial" w:hAnsi="Arial" w:cs="Arial"/>
            <w:b/>
            <w:bCs/>
            <w:u w:val="single"/>
          </w:rPr>
          <w:t>Bezpieczeństwo narodowe a orzecznictwo europejskie</w:t>
        </w:r>
      </w:hyperlink>
      <w:r w:rsidRPr="00506C28">
        <w:rPr>
          <w:rStyle w:val="TekstpodstawowyZnak"/>
          <w:rFonts w:ascii="Arial" w:hAnsi="Arial" w:cs="Arial"/>
          <w:color w:val="000000"/>
        </w:rPr>
        <w:t>, sprawozdanie przygotowane przez Wydział Badawczy Trybunału</w:t>
      </w:r>
    </w:p>
    <w:p w14:paraId="4D3DD37E" w14:textId="19BDCD5A" w:rsidR="00782109" w:rsidRPr="00506C28" w:rsidRDefault="00782109" w:rsidP="004E75AD">
      <w:pPr>
        <w:pStyle w:val="Tekstpodstawowy"/>
        <w:numPr>
          <w:ilvl w:val="0"/>
          <w:numId w:val="3"/>
        </w:numPr>
        <w:tabs>
          <w:tab w:val="left" w:pos="432"/>
        </w:tabs>
        <w:spacing w:before="30" w:line="228" w:lineRule="auto"/>
        <w:ind w:left="460" w:hanging="300"/>
        <w:jc w:val="both"/>
        <w:rPr>
          <w:rFonts w:ascii="Arial" w:hAnsi="Arial" w:cs="Arial"/>
        </w:rPr>
      </w:pPr>
      <w:hyperlink r:id="rId100" w:history="1">
        <w:r w:rsidRPr="00506C28">
          <w:rPr>
            <w:rStyle w:val="TekstpodstawowyZnak"/>
            <w:rFonts w:ascii="Arial" w:hAnsi="Arial" w:cs="Arial"/>
            <w:b/>
            <w:bCs/>
            <w:u w:val="single"/>
          </w:rPr>
          <w:t xml:space="preserve">Terroryzm a </w:t>
        </w:r>
        <w:r w:rsidR="00FE74E2" w:rsidRPr="00506C28">
          <w:rPr>
            <w:rStyle w:val="TekstpodstawowyZnak"/>
            <w:rFonts w:ascii="Arial" w:hAnsi="Arial" w:cs="Arial"/>
            <w:b/>
            <w:bCs/>
            <w:u w:val="single"/>
          </w:rPr>
          <w:t>E</w:t>
        </w:r>
        <w:r w:rsidRPr="00506C28">
          <w:rPr>
            <w:rStyle w:val="TekstpodstawowyZnak"/>
            <w:rFonts w:ascii="Arial" w:hAnsi="Arial" w:cs="Arial"/>
            <w:b/>
            <w:bCs/>
            <w:u w:val="single"/>
          </w:rPr>
          <w:t>uropejska konwencja praw człowieka</w:t>
        </w:r>
      </w:hyperlink>
      <w:r w:rsidRPr="00506C28">
        <w:rPr>
          <w:rStyle w:val="TekstpodstawowyZnak"/>
          <w:rFonts w:ascii="Arial" w:hAnsi="Arial" w:cs="Arial"/>
          <w:color w:val="000000"/>
        </w:rPr>
        <w:t>, nota informacyjna przygotowana przez Dział Prasowy Trybunału</w:t>
      </w:r>
    </w:p>
    <w:p w14:paraId="57E76F33" w14:textId="77777777" w:rsidR="00782109" w:rsidRPr="00506C28" w:rsidRDefault="009130BA" w:rsidP="004E75AD">
      <w:pPr>
        <w:pStyle w:val="Heading30"/>
        <w:keepNext/>
        <w:keepLines/>
        <w:spacing w:before="30" w:after="0"/>
        <w:ind w:left="3500"/>
        <w:rPr>
          <w:rFonts w:ascii="Arial" w:hAnsi="Arial" w:cs="Arial"/>
          <w:sz w:val="19"/>
          <w:szCs w:val="19"/>
        </w:rPr>
      </w:pPr>
      <w:bookmarkStart w:id="49" w:name="bookmark83"/>
      <w:r w:rsidRPr="00506C28">
        <w:rPr>
          <w:rStyle w:val="Heading3"/>
          <w:rFonts w:ascii="Arial" w:hAnsi="Arial" w:cs="Arial"/>
          <w:b/>
          <w:bCs/>
          <w:color w:val="808080"/>
          <w:sz w:val="19"/>
          <w:szCs w:val="19"/>
          <w:u w:val="none"/>
        </w:rPr>
        <w:t>Kontakt dla mediów:</w:t>
      </w:r>
      <w:bookmarkEnd w:id="49"/>
    </w:p>
    <w:p w14:paraId="64A1DCFA" w14:textId="77777777" w:rsidR="00782109" w:rsidRPr="00506C28" w:rsidRDefault="009130BA" w:rsidP="004E75AD">
      <w:pPr>
        <w:pStyle w:val="Tekstpodstawowy"/>
        <w:spacing w:before="30" w:after="200"/>
        <w:ind w:left="3280"/>
        <w:rPr>
          <w:rFonts w:ascii="Arial" w:hAnsi="Arial" w:cs="Arial"/>
        </w:rPr>
        <w:sectPr w:rsidR="00782109" w:rsidRPr="00506C28" w:rsidSect="004E75AD">
          <w:headerReference w:type="even" r:id="rId101"/>
          <w:headerReference w:type="default" r:id="rId102"/>
          <w:footerReference w:type="even" r:id="rId103"/>
          <w:footerReference w:type="default" r:id="rId104"/>
          <w:footnotePr>
            <w:numStart w:val="6"/>
          </w:footnotePr>
          <w:type w:val="continuous"/>
          <w:pgSz w:w="11900" w:h="16840"/>
          <w:pgMar w:top="1417" w:right="1417" w:bottom="1417" w:left="1417" w:header="0" w:footer="3" w:gutter="0"/>
          <w:cols w:space="720"/>
          <w:noEndnote/>
          <w:docGrid w:linePitch="360"/>
          <w15:footnoteColumns w:val="1"/>
        </w:sectPr>
      </w:pPr>
      <w:r w:rsidRPr="00506C28">
        <w:rPr>
          <w:rStyle w:val="TekstpodstawowyZnak"/>
          <w:rFonts w:ascii="Arial" w:hAnsi="Arial" w:cs="Arial"/>
          <w:color w:val="808080"/>
        </w:rPr>
        <w:t>Tel.: +33 (0)3 90 21 42 08</w:t>
      </w:r>
    </w:p>
    <w:p w14:paraId="30A760C7" w14:textId="6EC4AC23" w:rsidR="00782109" w:rsidRPr="00506C28" w:rsidRDefault="00396E99" w:rsidP="004E75AD">
      <w:pPr>
        <w:pStyle w:val="Footnote0"/>
        <w:spacing w:before="30"/>
        <w:jc w:val="both"/>
        <w:rPr>
          <w:rFonts w:ascii="Arial" w:hAnsi="Arial" w:cs="Arial"/>
        </w:rPr>
      </w:pPr>
      <w:bookmarkStart w:id="50" w:name="bookmark13"/>
      <w:bookmarkStart w:id="51" w:name="bookmark14"/>
      <w:r w:rsidRPr="00506C28">
        <w:rPr>
          <w:rStyle w:val="Footnote"/>
          <w:rFonts w:ascii="Arial" w:hAnsi="Arial" w:cs="Arial"/>
          <w:vertAlign w:val="superscript"/>
        </w:rPr>
        <w:t>16</w:t>
      </w:r>
      <w:r w:rsidRPr="00506C28">
        <w:rPr>
          <w:rStyle w:val="Footnote"/>
          <w:rFonts w:ascii="Arial" w:hAnsi="Arial" w:cs="Arial"/>
        </w:rPr>
        <w:t>. W dniu 2 lutego 2022 r. Komitet Ministrów Rady Europy, który zgodnie z konwencją odpowiada za nadzorowanie wykonania wyroków Trybunału, uznał, że „nie zapewniając natychmiastowego zwolnienia skarżącego, Turcja odmówiła wykonania ostatecznego wyroku Trybunału” z dnia 10 grudnia 2019 r. W związku z tym postanowił zwrócić się do Trybunału z pytaniem, „czy Turcja uchybiła zobowiązaniu ciążącemu na niej na mocy art. 46 § 1 (moc wiążąca i wykonanie wyroków) Konwencji”. Trybunał otrzymał formalny wniosek Komitetu Ministrów w dniu 21 lutego 2022 r. (</w:t>
      </w:r>
      <w:hyperlink r:id="rId105" w:history="1">
        <w:r w:rsidRPr="00506C28">
          <w:rPr>
            <w:rStyle w:val="Footnote"/>
            <w:rFonts w:ascii="Arial" w:hAnsi="Arial" w:cs="Arial"/>
          </w:rPr>
          <w:t xml:space="preserve"> </w:t>
        </w:r>
        <w:r w:rsidRPr="00506C28">
          <w:rPr>
            <w:rStyle w:val="Footnote"/>
            <w:rFonts w:ascii="Arial" w:hAnsi="Arial" w:cs="Arial"/>
            <w:color w:val="0071BB"/>
            <w:u w:val="single"/>
          </w:rPr>
          <w:t>link</w:t>
        </w:r>
      </w:hyperlink>
      <w:r w:rsidRPr="00506C28">
        <w:rPr>
          <w:rStyle w:val="Footnote"/>
          <w:rFonts w:ascii="Arial" w:hAnsi="Arial" w:cs="Arial"/>
          <w:color w:val="0071BB"/>
        </w:rPr>
        <w:t xml:space="preserve"> </w:t>
      </w:r>
      <w:r w:rsidRPr="00506C28">
        <w:rPr>
          <w:rStyle w:val="Footnote"/>
          <w:rFonts w:ascii="Arial" w:hAnsi="Arial" w:cs="Arial"/>
        </w:rPr>
        <w:t>do komunikatu prasowego).</w:t>
      </w:r>
      <w:bookmarkEnd w:id="50"/>
      <w:bookmarkEnd w:id="51"/>
    </w:p>
    <w:p w14:paraId="203872BC" w14:textId="5FE15B39" w:rsidR="00782109" w:rsidRPr="00506C28" w:rsidRDefault="009130BA" w:rsidP="004E75AD">
      <w:pPr>
        <w:pStyle w:val="Footnote0"/>
        <w:spacing w:before="30"/>
        <w:rPr>
          <w:rFonts w:ascii="Arial" w:hAnsi="Arial" w:cs="Arial"/>
        </w:rPr>
      </w:pPr>
      <w:r w:rsidRPr="00506C28">
        <w:rPr>
          <w:rStyle w:val="Footnote"/>
          <w:rFonts w:ascii="Arial" w:hAnsi="Arial" w:cs="Arial"/>
        </w:rPr>
        <w:t>(</w:t>
      </w:r>
      <w:r w:rsidRPr="00506C28">
        <w:rPr>
          <w:rStyle w:val="Footnote"/>
          <w:rFonts w:ascii="Arial" w:hAnsi="Arial" w:cs="Arial"/>
          <w:vertAlign w:val="superscript"/>
        </w:rPr>
        <w:t>17)</w:t>
      </w:r>
      <w:r w:rsidRPr="00506C28">
        <w:rPr>
          <w:rStyle w:val="Footnote"/>
          <w:rFonts w:ascii="Arial" w:hAnsi="Arial" w:cs="Arial"/>
        </w:rPr>
        <w:t xml:space="preserve"> Niniejszy wyrok stanie się prawomocny w okolicznościach określonych w art. 44 § 2 (wyroki prawomocne) </w:t>
      </w:r>
      <w:hyperlink r:id="rId106" w:history="1">
        <w:r w:rsidR="00782109" w:rsidRPr="00506C28">
          <w:rPr>
            <w:rStyle w:val="Footnote"/>
            <w:rFonts w:ascii="Arial" w:hAnsi="Arial" w:cs="Arial"/>
            <w:color w:val="0071BB"/>
            <w:u w:val="single"/>
          </w:rPr>
          <w:t xml:space="preserve">Europejskiej </w:t>
        </w:r>
        <w:r w:rsidR="00202DF8" w:rsidRPr="00506C28">
          <w:rPr>
            <w:rStyle w:val="Footnote"/>
            <w:rFonts w:ascii="Arial" w:hAnsi="Arial" w:cs="Arial"/>
            <w:color w:val="0071BB"/>
            <w:u w:val="single"/>
          </w:rPr>
          <w:t>k</w:t>
        </w:r>
        <w:r w:rsidR="00782109" w:rsidRPr="00506C28">
          <w:rPr>
            <w:rStyle w:val="Footnote"/>
            <w:rFonts w:ascii="Arial" w:hAnsi="Arial" w:cs="Arial"/>
            <w:color w:val="0071BB"/>
            <w:u w:val="single"/>
          </w:rPr>
          <w:t xml:space="preserve">onwencji </w:t>
        </w:r>
        <w:r w:rsidR="00202DF8" w:rsidRPr="00506C28">
          <w:rPr>
            <w:rStyle w:val="Footnote"/>
            <w:rFonts w:ascii="Arial" w:hAnsi="Arial" w:cs="Arial"/>
            <w:color w:val="0071BB"/>
            <w:u w:val="single"/>
          </w:rPr>
          <w:t>p</w:t>
        </w:r>
        <w:r w:rsidR="00782109" w:rsidRPr="00506C28">
          <w:rPr>
            <w:rStyle w:val="Footnote"/>
            <w:rFonts w:ascii="Arial" w:hAnsi="Arial" w:cs="Arial"/>
            <w:color w:val="0071BB"/>
            <w:u w:val="single"/>
          </w:rPr>
          <w:t xml:space="preserve">raw </w:t>
        </w:r>
        <w:r w:rsidR="00202DF8" w:rsidRPr="00506C28">
          <w:rPr>
            <w:rStyle w:val="Footnote"/>
            <w:rFonts w:ascii="Arial" w:hAnsi="Arial" w:cs="Arial"/>
            <w:color w:val="0071BB"/>
            <w:u w:val="single"/>
          </w:rPr>
          <w:t>c</w:t>
        </w:r>
        <w:r w:rsidR="00782109" w:rsidRPr="00506C28">
          <w:rPr>
            <w:rStyle w:val="Footnote"/>
            <w:rFonts w:ascii="Arial" w:hAnsi="Arial" w:cs="Arial"/>
            <w:color w:val="0071BB"/>
            <w:u w:val="single"/>
          </w:rPr>
          <w:t>złowieka</w:t>
        </w:r>
      </w:hyperlink>
      <w:r w:rsidRPr="00506C28">
        <w:rPr>
          <w:rStyle w:val="Footnote"/>
          <w:rFonts w:ascii="Arial" w:hAnsi="Arial" w:cs="Arial"/>
        </w:rPr>
        <w:t>.</w:t>
      </w:r>
    </w:p>
    <w:p w14:paraId="309651DE" w14:textId="77777777" w:rsidR="00782109" w:rsidRPr="00005B7F" w:rsidRDefault="009130BA" w:rsidP="004E75AD">
      <w:pPr>
        <w:pStyle w:val="Footnote0"/>
        <w:spacing w:before="30"/>
        <w:rPr>
          <w:rFonts w:ascii="Arial" w:hAnsi="Arial" w:cs="Arial"/>
        </w:rPr>
      </w:pPr>
      <w:bookmarkStart w:id="52" w:name="bookmark15"/>
      <w:bookmarkStart w:id="53" w:name="bookmark16"/>
      <w:r w:rsidRPr="00506C28">
        <w:rPr>
          <w:rStyle w:val="Footnote"/>
          <w:rFonts w:ascii="Arial" w:hAnsi="Arial" w:cs="Arial"/>
          <w:vertAlign w:val="superscript"/>
        </w:rPr>
        <w:t>18</w:t>
      </w:r>
      <w:r w:rsidRPr="00506C28">
        <w:rPr>
          <w:rStyle w:val="Footnote"/>
          <w:rFonts w:ascii="Arial" w:hAnsi="Arial" w:cs="Arial"/>
        </w:rPr>
        <w:t xml:space="preserve"> Niniejszy wyrok stanie się prawomocny w okolicznościach określonych w art. 44 § 2</w:t>
      </w:r>
      <w:hyperlink r:id="rId107" w:history="1">
        <w:r w:rsidR="00782109" w:rsidRPr="00506C28">
          <w:rPr>
            <w:rStyle w:val="Footnote"/>
            <w:rFonts w:ascii="Arial" w:hAnsi="Arial" w:cs="Arial"/>
          </w:rPr>
          <w:t xml:space="preserve"> </w:t>
        </w:r>
        <w:r w:rsidR="00782109" w:rsidRPr="00506C28">
          <w:rPr>
            <w:rStyle w:val="Footnote"/>
            <w:rFonts w:ascii="Arial" w:hAnsi="Arial" w:cs="Arial"/>
            <w:color w:val="0071BB"/>
            <w:u w:val="single"/>
          </w:rPr>
          <w:t>Konwencji</w:t>
        </w:r>
      </w:hyperlink>
      <w:r w:rsidRPr="00506C28">
        <w:rPr>
          <w:rStyle w:val="Footnote"/>
          <w:rFonts w:ascii="Arial" w:hAnsi="Arial" w:cs="Arial"/>
        </w:rPr>
        <w:t>.</w:t>
      </w:r>
      <w:bookmarkEnd w:id="52"/>
      <w:bookmarkEnd w:id="53"/>
    </w:p>
    <w:sectPr w:rsidR="00782109" w:rsidRPr="00005B7F" w:rsidSect="004E75AD">
      <w:footnotePr>
        <w:numStart w:val="6"/>
      </w:footnotePr>
      <w:type w:val="continuous"/>
      <w:pgSz w:w="11900" w:h="16840"/>
      <w:pgMar w:top="1417" w:right="1417" w:bottom="1417" w:left="1417"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B6672" w14:textId="77777777" w:rsidR="00C071A2" w:rsidRPr="00506C28" w:rsidRDefault="00C071A2">
      <w:r w:rsidRPr="00506C28">
        <w:separator/>
      </w:r>
    </w:p>
  </w:endnote>
  <w:endnote w:type="continuationSeparator" w:id="0">
    <w:p w14:paraId="035083DC" w14:textId="77777777" w:rsidR="00C071A2" w:rsidRPr="00506C28" w:rsidRDefault="00C071A2">
      <w:r w:rsidRPr="00506C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2E964" w14:textId="77777777" w:rsidR="00782109" w:rsidRPr="00506C28" w:rsidRDefault="009130BA">
    <w:pPr>
      <w:spacing w:line="1" w:lineRule="exact"/>
    </w:pPr>
    <w:r w:rsidRPr="004E75AD">
      <w:rPr>
        <w:noProof/>
      </w:rPr>
      <mc:AlternateContent>
        <mc:Choice Requires="wps">
          <w:drawing>
            <wp:anchor distT="0" distB="0" distL="0" distR="0" simplePos="0" relativeHeight="251653120" behindDoc="1" locked="0" layoutInCell="1" allowOverlap="1" wp14:anchorId="7725A846" wp14:editId="7AB581CF">
              <wp:simplePos x="0" y="0"/>
              <wp:positionH relativeFrom="page">
                <wp:posOffset>3709035</wp:posOffset>
              </wp:positionH>
              <wp:positionV relativeFrom="page">
                <wp:posOffset>10293350</wp:posOffset>
              </wp:positionV>
              <wp:extent cx="128270" cy="79375"/>
              <wp:effectExtent l="0" t="0" r="0" b="0"/>
              <wp:wrapNone/>
              <wp:docPr id="20" name="Shape 20"/>
              <wp:cNvGraphicFramePr/>
              <a:graphic xmlns:a="http://schemas.openxmlformats.org/drawingml/2006/main">
                <a:graphicData uri="http://schemas.microsoft.com/office/word/2010/wordprocessingShape">
                  <wps:wsp>
                    <wps:cNvSpPr txBox="1"/>
                    <wps:spPr>
                      <a:xfrm>
                        <a:off x="0" y="0"/>
                        <a:ext cx="128270" cy="79375"/>
                      </a:xfrm>
                      <a:prstGeom prst="rect">
                        <a:avLst/>
                      </a:prstGeom>
                      <a:noFill/>
                    </wps:spPr>
                    <wps:txbx>
                      <w:txbxContent>
                        <w:p w14:paraId="708F69A6" w14:textId="77777777" w:rsidR="00782109" w:rsidRPr="00506C28" w:rsidRDefault="009130BA">
                          <w:pPr>
                            <w:pStyle w:val="Headerorfooter20"/>
                            <w:rPr>
                              <w:sz w:val="19"/>
                              <w:szCs w:val="19"/>
                              <w:lang w:val="pl-PL"/>
                            </w:rPr>
                          </w:pPr>
                          <w:r w:rsidRPr="00506C28">
                            <w:rPr>
                              <w:lang w:val="pl-PL"/>
                            </w:rPr>
                            <w:fldChar w:fldCharType="begin"/>
                          </w:r>
                          <w:r w:rsidRPr="00506C28">
                            <w:rPr>
                              <w:lang w:val="pl-PL"/>
                            </w:rPr>
                            <w:instrText xml:space="preserve"> PAGE \* MERGEFORMAT </w:instrText>
                          </w:r>
                          <w:r w:rsidRPr="00506C28">
                            <w:rPr>
                              <w:lang w:val="pl-PL"/>
                            </w:rPr>
                            <w:fldChar w:fldCharType="separate"/>
                          </w:r>
                          <w:r w:rsidRPr="00506C28">
                            <w:rPr>
                              <w:rStyle w:val="Headerorfooter2"/>
                              <w:rFonts w:ascii="Calibri" w:eastAsia="Calibri" w:hAnsi="Calibri" w:cs="Calibri"/>
                              <w:sz w:val="19"/>
                              <w:szCs w:val="19"/>
                              <w:lang w:val="pl-PL"/>
                            </w:rPr>
                            <w:t>#</w:t>
                          </w:r>
                          <w:r w:rsidRPr="00506C28">
                            <w:rPr>
                              <w:rStyle w:val="Headerorfooter2"/>
                              <w:rFonts w:ascii="Calibri" w:eastAsia="Calibri" w:hAnsi="Calibri" w:cs="Calibri"/>
                              <w:sz w:val="19"/>
                              <w:szCs w:val="19"/>
                              <w:lang w:val="pl-PL"/>
                            </w:rPr>
                            <w:fldChar w:fldCharType="end"/>
                          </w:r>
                        </w:p>
                      </w:txbxContent>
                    </wps:txbx>
                    <wps:bodyPr wrap="none" lIns="0" tIns="0" rIns="0" bIns="0">
                      <a:spAutoFit/>
                    </wps:bodyPr>
                  </wps:wsp>
                </a:graphicData>
              </a:graphic>
            </wp:anchor>
          </w:drawing>
        </mc:Choice>
        <mc:Fallback>
          <w:pict>
            <v:shapetype w14:anchorId="7725A846" id="_x0000_t202" coordsize="21600,21600" o:spt="202" path="m,l,21600r21600,l21600,xe">
              <v:stroke joinstyle="miter"/>
              <v:path gradientshapeok="t" o:connecttype="rect"/>
            </v:shapetype>
            <v:shape id="Shape 20" o:spid="_x0000_s1031" type="#_x0000_t202" style="position:absolute;margin-left:292.05pt;margin-top:810.5pt;width:10.1pt;height:6.25pt;z-index:-2516633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" filled="f" stroked="f">
              <v:textbox style="mso-fit-shape-to-text:t" inset="0,0,0,0">
                <w:txbxContent>
                  <w:p w14:paraId="708F69A6" w14:textId="77777777" w:rsidR="00782109" w:rsidRPr="00506C28" w:rsidRDefault="009130BA">
                    <w:pPr>
                      <w:pStyle w:val="Headerorfooter20"/>
                      <w:rPr>
                        <w:sz w:val="19"/>
                        <w:szCs w:val="19"/>
                        <w:lang w:val="pl-PL"/>
                      </w:rPr>
                    </w:pPr>
                    <w:r w:rsidRPr="00506C28">
                      <w:rPr>
                        <w:lang w:val="pl-PL"/>
                      </w:rPr>
                      <w:fldChar w:fldCharType="begin"/>
                    </w:r>
                    <w:r w:rsidRPr="00506C28">
                      <w:rPr>
                        <w:lang w:val="pl-PL"/>
                      </w:rPr>
                      <w:instrText xml:space="preserve"> PAGE \* MERGEFORMAT </w:instrText>
                    </w:r>
                    <w:r w:rsidRPr="00506C28">
                      <w:rPr>
                        <w:lang w:val="pl-PL"/>
                      </w:rPr>
                      <w:fldChar w:fldCharType="separate"/>
                    </w:r>
                    <w:r w:rsidRPr="00506C28">
                      <w:rPr>
                        <w:rStyle w:val="Headerorfooter2"/>
                        <w:rFonts w:ascii="Calibri" w:eastAsia="Calibri" w:hAnsi="Calibri" w:cs="Calibri"/>
                        <w:sz w:val="19"/>
                        <w:szCs w:val="19"/>
                        <w:lang w:val="pl-PL"/>
                      </w:rPr>
                      <w:t>#</w:t>
                    </w:r>
                    <w:r w:rsidRPr="00506C28">
                      <w:rPr>
                        <w:rStyle w:val="Headerorfooter2"/>
                        <w:rFonts w:ascii="Calibri" w:eastAsia="Calibri" w:hAnsi="Calibri" w:cs="Calibri"/>
                        <w:sz w:val="19"/>
                        <w:szCs w:val="19"/>
                        <w:lang w:val="pl-PL"/>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F794" w14:textId="77777777" w:rsidR="00782109" w:rsidRPr="00506C28" w:rsidRDefault="009130BA">
    <w:pPr>
      <w:spacing w:line="1" w:lineRule="exact"/>
    </w:pPr>
    <w:r w:rsidRPr="004E75AD">
      <w:rPr>
        <w:noProof/>
      </w:rPr>
      <mc:AlternateContent>
        <mc:Choice Requires="wps">
          <w:drawing>
            <wp:anchor distT="0" distB="0" distL="0" distR="0" simplePos="0" relativeHeight="251650048" behindDoc="1" locked="0" layoutInCell="1" allowOverlap="1" wp14:anchorId="2041D01F" wp14:editId="17D9FAB9">
              <wp:simplePos x="0" y="0"/>
              <wp:positionH relativeFrom="page">
                <wp:posOffset>3709035</wp:posOffset>
              </wp:positionH>
              <wp:positionV relativeFrom="page">
                <wp:posOffset>10450830</wp:posOffset>
              </wp:positionV>
              <wp:extent cx="130810" cy="79375"/>
              <wp:effectExtent l="0" t="0" r="0" b="0"/>
              <wp:wrapNone/>
              <wp:docPr id="13" name="Shape 13"/>
              <wp:cNvGraphicFramePr/>
              <a:graphic xmlns:a="http://schemas.openxmlformats.org/drawingml/2006/main">
                <a:graphicData uri="http://schemas.microsoft.com/office/word/2010/wordprocessingShape">
                  <wps:wsp>
                    <wps:cNvSpPr txBox="1"/>
                    <wps:spPr>
                      <a:xfrm>
                        <a:off x="0" y="0"/>
                        <a:ext cx="130810" cy="79375"/>
                      </a:xfrm>
                      <a:prstGeom prst="rect">
                        <a:avLst/>
                      </a:prstGeom>
                      <a:noFill/>
                    </wps:spPr>
                    <wps:txbx>
                      <w:txbxContent>
                        <w:p w14:paraId="5FB09499" w14:textId="77777777" w:rsidR="00782109" w:rsidRPr="00506C28" w:rsidRDefault="009130BA">
                          <w:pPr>
                            <w:pStyle w:val="Headerorfooter20"/>
                            <w:rPr>
                              <w:sz w:val="19"/>
                              <w:szCs w:val="19"/>
                              <w:lang w:val="pl-PL"/>
                            </w:rPr>
                          </w:pPr>
                          <w:r w:rsidRPr="00506C28">
                            <w:rPr>
                              <w:lang w:val="pl-PL"/>
                            </w:rPr>
                            <w:fldChar w:fldCharType="begin"/>
                          </w:r>
                          <w:r w:rsidRPr="00506C28">
                            <w:rPr>
                              <w:lang w:val="pl-PL"/>
                            </w:rPr>
                            <w:instrText xml:space="preserve"> PAGE \* MERGEFORMAT </w:instrText>
                          </w:r>
                          <w:r w:rsidRPr="00506C28">
                            <w:rPr>
                              <w:lang w:val="pl-PL"/>
                            </w:rPr>
                            <w:fldChar w:fldCharType="separate"/>
                          </w:r>
                          <w:r w:rsidRPr="00506C28">
                            <w:rPr>
                              <w:rStyle w:val="Headerorfooter2"/>
                              <w:rFonts w:ascii="Calibri" w:eastAsia="Calibri" w:hAnsi="Calibri" w:cs="Calibri"/>
                              <w:sz w:val="19"/>
                              <w:szCs w:val="19"/>
                              <w:lang w:val="pl-PL"/>
                            </w:rPr>
                            <w:t>#</w:t>
                          </w:r>
                          <w:r w:rsidRPr="00506C28">
                            <w:rPr>
                              <w:rStyle w:val="Headerorfooter2"/>
                              <w:rFonts w:ascii="Calibri" w:eastAsia="Calibri" w:hAnsi="Calibri" w:cs="Calibri"/>
                              <w:sz w:val="19"/>
                              <w:szCs w:val="19"/>
                              <w:lang w:val="pl-PL"/>
                            </w:rPr>
                            <w:fldChar w:fldCharType="end"/>
                          </w:r>
                        </w:p>
                      </w:txbxContent>
                    </wps:txbx>
                    <wps:bodyPr wrap="none" lIns="0" tIns="0" rIns="0" bIns="0">
                      <a:spAutoFit/>
                    </wps:bodyPr>
                  </wps:wsp>
                </a:graphicData>
              </a:graphic>
            </wp:anchor>
          </w:drawing>
        </mc:Choice>
        <mc:Fallback>
          <w:pict>
            <v:shapetype w14:anchorId="2041D01F" id="_x0000_t202" coordsize="21600,21600" o:spt="202" path="m,l,21600r21600,l21600,xe">
              <v:stroke joinstyle="miter"/>
              <v:path gradientshapeok="t" o:connecttype="rect"/>
            </v:shapetype>
            <v:shape id="Shape 13" o:spid="_x0000_s1032" type="#_x0000_t202" style="position:absolute;margin-left:292.05pt;margin-top:822.9pt;width:10.3pt;height:6.25pt;z-index:-2516664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" filled="f" stroked="f">
              <v:textbox style="mso-fit-shape-to-text:t" inset="0,0,0,0">
                <w:txbxContent>
                  <w:p w14:paraId="5FB09499" w14:textId="77777777" w:rsidR="00782109" w:rsidRPr="00506C28" w:rsidRDefault="009130BA">
                    <w:pPr>
                      <w:pStyle w:val="Headerorfooter20"/>
                      <w:rPr>
                        <w:sz w:val="19"/>
                        <w:szCs w:val="19"/>
                        <w:lang w:val="pl-PL"/>
                      </w:rPr>
                    </w:pPr>
                    <w:r w:rsidRPr="00506C28">
                      <w:rPr>
                        <w:lang w:val="pl-PL"/>
                      </w:rPr>
                      <w:fldChar w:fldCharType="begin"/>
                    </w:r>
                    <w:r w:rsidRPr="00506C28">
                      <w:rPr>
                        <w:lang w:val="pl-PL"/>
                      </w:rPr>
                      <w:instrText xml:space="preserve"> PAGE \* MERGEFORMAT </w:instrText>
                    </w:r>
                    <w:r w:rsidRPr="00506C28">
                      <w:rPr>
                        <w:lang w:val="pl-PL"/>
                      </w:rPr>
                      <w:fldChar w:fldCharType="separate"/>
                    </w:r>
                    <w:r w:rsidRPr="00506C28">
                      <w:rPr>
                        <w:rStyle w:val="Headerorfooter2"/>
                        <w:rFonts w:ascii="Calibri" w:eastAsia="Calibri" w:hAnsi="Calibri" w:cs="Calibri"/>
                        <w:sz w:val="19"/>
                        <w:szCs w:val="19"/>
                        <w:lang w:val="pl-PL"/>
                      </w:rPr>
                      <w:t>#</w:t>
                    </w:r>
                    <w:r w:rsidRPr="00506C28">
                      <w:rPr>
                        <w:rStyle w:val="Headerorfooter2"/>
                        <w:rFonts w:ascii="Calibri" w:eastAsia="Calibri" w:hAnsi="Calibri" w:cs="Calibri"/>
                        <w:sz w:val="19"/>
                        <w:szCs w:val="19"/>
                        <w:lang w:val="pl-PL"/>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9D934" w14:textId="77777777" w:rsidR="00782109" w:rsidRPr="00506C28" w:rsidRDefault="009130BA">
    <w:pPr>
      <w:spacing w:line="1" w:lineRule="exact"/>
    </w:pPr>
    <w:r w:rsidRPr="004E75AD">
      <w:rPr>
        <w:noProof/>
      </w:rPr>
      <mc:AlternateContent>
        <mc:Choice Requires="wps">
          <w:drawing>
            <wp:anchor distT="0" distB="0" distL="0" distR="0" simplePos="0" relativeHeight="251675648" behindDoc="1" locked="0" layoutInCell="1" allowOverlap="1" wp14:anchorId="2AF3B6EA" wp14:editId="62BCF178">
              <wp:simplePos x="0" y="0"/>
              <wp:positionH relativeFrom="page">
                <wp:posOffset>3709035</wp:posOffset>
              </wp:positionH>
              <wp:positionV relativeFrom="page">
                <wp:posOffset>10450830</wp:posOffset>
              </wp:positionV>
              <wp:extent cx="130810" cy="79375"/>
              <wp:effectExtent l="0" t="0" r="0" b="0"/>
              <wp:wrapNone/>
              <wp:docPr id="73" name="Shape 73"/>
              <wp:cNvGraphicFramePr/>
              <a:graphic xmlns:a="http://schemas.openxmlformats.org/drawingml/2006/main">
                <a:graphicData uri="http://schemas.microsoft.com/office/word/2010/wordprocessingShape">
                  <wps:wsp>
                    <wps:cNvSpPr txBox="1"/>
                    <wps:spPr>
                      <a:xfrm>
                        <a:off x="0" y="0"/>
                        <a:ext cx="130810" cy="79375"/>
                      </a:xfrm>
                      <a:prstGeom prst="rect">
                        <a:avLst/>
                      </a:prstGeom>
                      <a:noFill/>
                    </wps:spPr>
                    <wps:txbx>
                      <w:txbxContent>
                        <w:p w14:paraId="0D8F66E5" w14:textId="77777777" w:rsidR="00782109" w:rsidRPr="00506C28" w:rsidRDefault="009130BA">
                          <w:pPr>
                            <w:pStyle w:val="Headerorfooter20"/>
                            <w:rPr>
                              <w:sz w:val="19"/>
                              <w:szCs w:val="19"/>
                              <w:lang w:val="pl-PL"/>
                            </w:rPr>
                          </w:pPr>
                          <w:r w:rsidRPr="00506C28">
                            <w:rPr>
                              <w:lang w:val="pl-PL"/>
                            </w:rPr>
                            <w:fldChar w:fldCharType="begin"/>
                          </w:r>
                          <w:r w:rsidRPr="00506C28">
                            <w:rPr>
                              <w:lang w:val="pl-PL"/>
                            </w:rPr>
                            <w:instrText xml:space="preserve"> PAGE \* MERGEFORMAT </w:instrText>
                          </w:r>
                          <w:r w:rsidRPr="00506C28">
                            <w:rPr>
                              <w:lang w:val="pl-PL"/>
                            </w:rPr>
                            <w:fldChar w:fldCharType="separate"/>
                          </w:r>
                          <w:r w:rsidRPr="00506C28">
                            <w:rPr>
                              <w:rStyle w:val="Headerorfooter2"/>
                              <w:rFonts w:ascii="Calibri" w:eastAsia="Calibri" w:hAnsi="Calibri" w:cs="Calibri"/>
                              <w:sz w:val="19"/>
                              <w:szCs w:val="19"/>
                              <w:lang w:val="pl-PL"/>
                            </w:rPr>
                            <w:t>#</w:t>
                          </w:r>
                          <w:r w:rsidRPr="00506C28">
                            <w:rPr>
                              <w:rStyle w:val="Headerorfooter2"/>
                              <w:rFonts w:ascii="Calibri" w:eastAsia="Calibri" w:hAnsi="Calibri" w:cs="Calibri"/>
                              <w:sz w:val="19"/>
                              <w:szCs w:val="19"/>
                              <w:lang w:val="pl-PL"/>
                            </w:rPr>
                            <w:fldChar w:fldCharType="end"/>
                          </w:r>
                        </w:p>
                      </w:txbxContent>
                    </wps:txbx>
                    <wps:bodyPr wrap="none" lIns="0" tIns="0" rIns="0" bIns="0">
                      <a:spAutoFit/>
                    </wps:bodyPr>
                  </wps:wsp>
                </a:graphicData>
              </a:graphic>
            </wp:anchor>
          </w:drawing>
        </mc:Choice>
        <mc:Fallback>
          <w:pict>
            <v:shapetype w14:anchorId="2AF3B6EA" id="_x0000_t202" coordsize="21600,21600" o:spt="202" path="m,l,21600r21600,l21600,xe">
              <v:stroke joinstyle="miter"/>
              <v:path gradientshapeok="t" o:connecttype="rect"/>
            </v:shapetype>
            <v:shape id="Shape 73" o:spid="_x0000_s1046" type="#_x0000_t202" style="position:absolute;margin-left:292.05pt;margin-top:822.9pt;width:10.3pt;height:6.25pt;z-index:-2516408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" filled="f" stroked="f">
              <v:textbox style="mso-fit-shape-to-text:t" inset="0,0,0,0">
                <w:txbxContent>
                  <w:p w14:paraId="0D8F66E5" w14:textId="77777777" w:rsidR="00782109" w:rsidRPr="00506C28" w:rsidRDefault="009130BA">
                    <w:pPr>
                      <w:pStyle w:val="Headerorfooter20"/>
                      <w:rPr>
                        <w:sz w:val="19"/>
                        <w:szCs w:val="19"/>
                        <w:lang w:val="pl-PL"/>
                      </w:rPr>
                    </w:pPr>
                    <w:r w:rsidRPr="00506C28">
                      <w:rPr>
                        <w:lang w:val="pl-PL"/>
                      </w:rPr>
                      <w:fldChar w:fldCharType="begin"/>
                    </w:r>
                    <w:r w:rsidRPr="00506C28">
                      <w:rPr>
                        <w:lang w:val="pl-PL"/>
                      </w:rPr>
                      <w:instrText xml:space="preserve"> PAGE \* MERGEFORMAT </w:instrText>
                    </w:r>
                    <w:r w:rsidRPr="00506C28">
                      <w:rPr>
                        <w:lang w:val="pl-PL"/>
                      </w:rPr>
                      <w:fldChar w:fldCharType="separate"/>
                    </w:r>
                    <w:r w:rsidRPr="00506C28">
                      <w:rPr>
                        <w:rStyle w:val="Headerorfooter2"/>
                        <w:rFonts w:ascii="Calibri" w:eastAsia="Calibri" w:hAnsi="Calibri" w:cs="Calibri"/>
                        <w:sz w:val="19"/>
                        <w:szCs w:val="19"/>
                        <w:lang w:val="pl-PL"/>
                      </w:rPr>
                      <w:t>#</w:t>
                    </w:r>
                    <w:r w:rsidRPr="00506C28">
                      <w:rPr>
                        <w:rStyle w:val="Headerorfooter2"/>
                        <w:rFonts w:ascii="Calibri" w:eastAsia="Calibri" w:hAnsi="Calibri" w:cs="Calibri"/>
                        <w:sz w:val="19"/>
                        <w:szCs w:val="19"/>
                        <w:lang w:val="pl-PL"/>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B78B0" w14:textId="77777777" w:rsidR="00782109" w:rsidRPr="00506C28" w:rsidRDefault="009130BA">
    <w:pPr>
      <w:spacing w:line="1" w:lineRule="exact"/>
    </w:pPr>
    <w:r w:rsidRPr="004E75AD">
      <w:rPr>
        <w:noProof/>
      </w:rPr>
      <mc:AlternateContent>
        <mc:Choice Requires="wps">
          <w:drawing>
            <wp:anchor distT="0" distB="0" distL="0" distR="0" simplePos="0" relativeHeight="251673600" behindDoc="1" locked="0" layoutInCell="1" allowOverlap="1" wp14:anchorId="058866DC" wp14:editId="5CDEA65D">
              <wp:simplePos x="0" y="0"/>
              <wp:positionH relativeFrom="page">
                <wp:posOffset>3709035</wp:posOffset>
              </wp:positionH>
              <wp:positionV relativeFrom="page">
                <wp:posOffset>10293350</wp:posOffset>
              </wp:positionV>
              <wp:extent cx="128270" cy="79375"/>
              <wp:effectExtent l="0" t="0" r="0" b="0"/>
              <wp:wrapNone/>
              <wp:docPr id="68" name="Shape 68"/>
              <wp:cNvGraphicFramePr/>
              <a:graphic xmlns:a="http://schemas.openxmlformats.org/drawingml/2006/main">
                <a:graphicData uri="http://schemas.microsoft.com/office/word/2010/wordprocessingShape">
                  <wps:wsp>
                    <wps:cNvSpPr txBox="1"/>
                    <wps:spPr>
                      <a:xfrm>
                        <a:off x="0" y="0"/>
                        <a:ext cx="128270" cy="79375"/>
                      </a:xfrm>
                      <a:prstGeom prst="rect">
                        <a:avLst/>
                      </a:prstGeom>
                      <a:noFill/>
                    </wps:spPr>
                    <wps:txbx>
                      <w:txbxContent>
                        <w:p w14:paraId="0604C03D" w14:textId="77777777" w:rsidR="00782109" w:rsidRPr="00506C28" w:rsidRDefault="009130BA">
                          <w:pPr>
                            <w:pStyle w:val="Headerorfooter20"/>
                            <w:rPr>
                              <w:sz w:val="19"/>
                              <w:szCs w:val="19"/>
                              <w:lang w:val="pl-PL"/>
                            </w:rPr>
                          </w:pPr>
                          <w:r w:rsidRPr="00506C28">
                            <w:rPr>
                              <w:lang w:val="pl-PL"/>
                            </w:rPr>
                            <w:fldChar w:fldCharType="begin"/>
                          </w:r>
                          <w:r w:rsidRPr="00506C28">
                            <w:rPr>
                              <w:lang w:val="pl-PL"/>
                            </w:rPr>
                            <w:instrText xml:space="preserve"> PAGE \* MERGEFORMAT </w:instrText>
                          </w:r>
                          <w:r w:rsidRPr="00506C28">
                            <w:rPr>
                              <w:lang w:val="pl-PL"/>
                            </w:rPr>
                            <w:fldChar w:fldCharType="separate"/>
                          </w:r>
                          <w:r w:rsidRPr="00506C28">
                            <w:rPr>
                              <w:rStyle w:val="Headerorfooter2"/>
                              <w:rFonts w:ascii="Calibri" w:eastAsia="Calibri" w:hAnsi="Calibri" w:cs="Calibri"/>
                              <w:sz w:val="19"/>
                              <w:szCs w:val="19"/>
                              <w:lang w:val="pl-PL"/>
                            </w:rPr>
                            <w:t>#</w:t>
                          </w:r>
                          <w:r w:rsidRPr="00506C28">
                            <w:rPr>
                              <w:rStyle w:val="Headerorfooter2"/>
                              <w:rFonts w:ascii="Calibri" w:eastAsia="Calibri" w:hAnsi="Calibri" w:cs="Calibri"/>
                              <w:sz w:val="19"/>
                              <w:szCs w:val="19"/>
                              <w:lang w:val="pl-PL"/>
                            </w:rPr>
                            <w:fldChar w:fldCharType="end"/>
                          </w:r>
                        </w:p>
                      </w:txbxContent>
                    </wps:txbx>
                    <wps:bodyPr wrap="none" lIns="0" tIns="0" rIns="0" bIns="0">
                      <a:spAutoFit/>
                    </wps:bodyPr>
                  </wps:wsp>
                </a:graphicData>
              </a:graphic>
            </wp:anchor>
          </w:drawing>
        </mc:Choice>
        <mc:Fallback>
          <w:pict>
            <v:shapetype w14:anchorId="058866DC" id="_x0000_t202" coordsize="21600,21600" o:spt="202" path="m,l,21600r21600,l21600,xe">
              <v:stroke joinstyle="miter"/>
              <v:path gradientshapeok="t" o:connecttype="rect"/>
            </v:shapetype>
            <v:shape id="Shape 68" o:spid="_x0000_s1047" type="#_x0000_t202" style="position:absolute;margin-left:292.05pt;margin-top:810.5pt;width:10.1pt;height:6.25pt;z-index:-2516428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" filled="f" stroked="f">
              <v:textbox style="mso-fit-shape-to-text:t" inset="0,0,0,0">
                <w:txbxContent>
                  <w:p w14:paraId="0604C03D" w14:textId="77777777" w:rsidR="00782109" w:rsidRPr="00506C28" w:rsidRDefault="009130BA">
                    <w:pPr>
                      <w:pStyle w:val="Headerorfooter20"/>
                      <w:rPr>
                        <w:sz w:val="19"/>
                        <w:szCs w:val="19"/>
                        <w:lang w:val="pl-PL"/>
                      </w:rPr>
                    </w:pPr>
                    <w:r w:rsidRPr="00506C28">
                      <w:rPr>
                        <w:lang w:val="pl-PL"/>
                      </w:rPr>
                      <w:fldChar w:fldCharType="begin"/>
                    </w:r>
                    <w:r w:rsidRPr="00506C28">
                      <w:rPr>
                        <w:lang w:val="pl-PL"/>
                      </w:rPr>
                      <w:instrText xml:space="preserve"> PAGE \* MERGEFORMAT </w:instrText>
                    </w:r>
                    <w:r w:rsidRPr="00506C28">
                      <w:rPr>
                        <w:lang w:val="pl-PL"/>
                      </w:rPr>
                      <w:fldChar w:fldCharType="separate"/>
                    </w:r>
                    <w:r w:rsidRPr="00506C28">
                      <w:rPr>
                        <w:rStyle w:val="Headerorfooter2"/>
                        <w:rFonts w:ascii="Calibri" w:eastAsia="Calibri" w:hAnsi="Calibri" w:cs="Calibri"/>
                        <w:sz w:val="19"/>
                        <w:szCs w:val="19"/>
                        <w:lang w:val="pl-PL"/>
                      </w:rPr>
                      <w:t>#</w:t>
                    </w:r>
                    <w:r w:rsidRPr="00506C28">
                      <w:rPr>
                        <w:rStyle w:val="Headerorfooter2"/>
                        <w:rFonts w:ascii="Calibri" w:eastAsia="Calibri" w:hAnsi="Calibri" w:cs="Calibri"/>
                        <w:sz w:val="19"/>
                        <w:szCs w:val="19"/>
                        <w:lang w:val="pl-PL"/>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E4E8" w14:textId="77777777" w:rsidR="00782109" w:rsidRPr="00506C28" w:rsidRDefault="009130BA">
    <w:pPr>
      <w:spacing w:line="1" w:lineRule="exact"/>
    </w:pPr>
    <w:r w:rsidRPr="004E75AD">
      <w:rPr>
        <w:noProof/>
      </w:rPr>
      <mc:AlternateContent>
        <mc:Choice Requires="wps">
          <w:drawing>
            <wp:anchor distT="0" distB="0" distL="0" distR="0" simplePos="0" relativeHeight="251681792" behindDoc="1" locked="0" layoutInCell="1" allowOverlap="1" wp14:anchorId="1878169B" wp14:editId="52080975">
              <wp:simplePos x="0" y="0"/>
              <wp:positionH relativeFrom="page">
                <wp:posOffset>3709035</wp:posOffset>
              </wp:positionH>
              <wp:positionV relativeFrom="page">
                <wp:posOffset>10293350</wp:posOffset>
              </wp:positionV>
              <wp:extent cx="128270" cy="79375"/>
              <wp:effectExtent l="0" t="0" r="0" b="0"/>
              <wp:wrapNone/>
              <wp:docPr id="87" name="Shape 87"/>
              <wp:cNvGraphicFramePr/>
              <a:graphic xmlns:a="http://schemas.openxmlformats.org/drawingml/2006/main">
                <a:graphicData uri="http://schemas.microsoft.com/office/word/2010/wordprocessingShape">
                  <wps:wsp>
                    <wps:cNvSpPr txBox="1"/>
                    <wps:spPr>
                      <a:xfrm>
                        <a:off x="0" y="0"/>
                        <a:ext cx="128270" cy="79375"/>
                      </a:xfrm>
                      <a:prstGeom prst="rect">
                        <a:avLst/>
                      </a:prstGeom>
                      <a:noFill/>
                    </wps:spPr>
                    <wps:txbx>
                      <w:txbxContent>
                        <w:p w14:paraId="090954DD" w14:textId="77777777" w:rsidR="00782109" w:rsidRPr="00506C28" w:rsidRDefault="009130BA">
                          <w:pPr>
                            <w:pStyle w:val="Headerorfooter20"/>
                            <w:rPr>
                              <w:sz w:val="19"/>
                              <w:szCs w:val="19"/>
                              <w:lang w:val="pl-PL"/>
                            </w:rPr>
                          </w:pPr>
                          <w:r w:rsidRPr="00506C28">
                            <w:rPr>
                              <w:lang w:val="pl-PL"/>
                            </w:rPr>
                            <w:fldChar w:fldCharType="begin"/>
                          </w:r>
                          <w:r w:rsidRPr="00506C28">
                            <w:rPr>
                              <w:lang w:val="pl-PL"/>
                            </w:rPr>
                            <w:instrText xml:space="preserve"> PAGE \* MERGEFORMAT </w:instrText>
                          </w:r>
                          <w:r w:rsidRPr="00506C28">
                            <w:rPr>
                              <w:lang w:val="pl-PL"/>
                            </w:rPr>
                            <w:fldChar w:fldCharType="separate"/>
                          </w:r>
                          <w:r w:rsidRPr="00506C28">
                            <w:rPr>
                              <w:rStyle w:val="Headerorfooter2"/>
                              <w:rFonts w:ascii="Calibri" w:eastAsia="Calibri" w:hAnsi="Calibri" w:cs="Calibri"/>
                              <w:sz w:val="19"/>
                              <w:szCs w:val="19"/>
                              <w:lang w:val="pl-PL"/>
                            </w:rPr>
                            <w:t>#</w:t>
                          </w:r>
                          <w:r w:rsidRPr="00506C28">
                            <w:rPr>
                              <w:rStyle w:val="Headerorfooter2"/>
                              <w:rFonts w:ascii="Calibri" w:eastAsia="Calibri" w:hAnsi="Calibri" w:cs="Calibri"/>
                              <w:sz w:val="19"/>
                              <w:szCs w:val="19"/>
                              <w:lang w:val="pl-PL"/>
                            </w:rPr>
                            <w:fldChar w:fldCharType="end"/>
                          </w:r>
                        </w:p>
                      </w:txbxContent>
                    </wps:txbx>
                    <wps:bodyPr wrap="none" lIns="0" tIns="0" rIns="0" bIns="0">
                      <a:spAutoFit/>
                    </wps:bodyPr>
                  </wps:wsp>
                </a:graphicData>
              </a:graphic>
            </wp:anchor>
          </w:drawing>
        </mc:Choice>
        <mc:Fallback>
          <w:pict>
            <v:shapetype w14:anchorId="1878169B" id="_x0000_t202" coordsize="21600,21600" o:spt="202" path="m,l,21600r21600,l21600,xe">
              <v:stroke joinstyle="miter"/>
              <v:path gradientshapeok="t" o:connecttype="rect"/>
            </v:shapetype>
            <v:shape id="Shape 87" o:spid="_x0000_s1052" type="#_x0000_t202" style="position:absolute;margin-left:292.05pt;margin-top:810.5pt;width:10.1pt;height:6.25pt;z-index:-2516346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" filled="f" stroked="f">
              <v:textbox style="mso-fit-shape-to-text:t" inset="0,0,0,0">
                <w:txbxContent>
                  <w:p w14:paraId="090954DD" w14:textId="77777777" w:rsidR="00782109" w:rsidRPr="00506C28" w:rsidRDefault="009130BA">
                    <w:pPr>
                      <w:pStyle w:val="Headerorfooter20"/>
                      <w:rPr>
                        <w:sz w:val="19"/>
                        <w:szCs w:val="19"/>
                        <w:lang w:val="pl-PL"/>
                      </w:rPr>
                    </w:pPr>
                    <w:r w:rsidRPr="00506C28">
                      <w:rPr>
                        <w:lang w:val="pl-PL"/>
                      </w:rPr>
                      <w:fldChar w:fldCharType="begin"/>
                    </w:r>
                    <w:r w:rsidRPr="00506C28">
                      <w:rPr>
                        <w:lang w:val="pl-PL"/>
                      </w:rPr>
                      <w:instrText xml:space="preserve"> PAGE \* MERGEFORMAT </w:instrText>
                    </w:r>
                    <w:r w:rsidRPr="00506C28">
                      <w:rPr>
                        <w:lang w:val="pl-PL"/>
                      </w:rPr>
                      <w:fldChar w:fldCharType="separate"/>
                    </w:r>
                    <w:r w:rsidRPr="00506C28">
                      <w:rPr>
                        <w:rStyle w:val="Headerorfooter2"/>
                        <w:rFonts w:ascii="Calibri" w:eastAsia="Calibri" w:hAnsi="Calibri" w:cs="Calibri"/>
                        <w:sz w:val="19"/>
                        <w:szCs w:val="19"/>
                        <w:lang w:val="pl-PL"/>
                      </w:rPr>
                      <w:t>#</w:t>
                    </w:r>
                    <w:r w:rsidRPr="00506C28">
                      <w:rPr>
                        <w:rStyle w:val="Headerorfooter2"/>
                        <w:rFonts w:ascii="Calibri" w:eastAsia="Calibri" w:hAnsi="Calibri" w:cs="Calibri"/>
                        <w:sz w:val="19"/>
                        <w:szCs w:val="19"/>
                        <w:lang w:val="pl-PL"/>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CE32" w14:textId="77777777" w:rsidR="00782109" w:rsidRPr="00506C28" w:rsidRDefault="009130BA">
    <w:pPr>
      <w:spacing w:line="1" w:lineRule="exact"/>
    </w:pPr>
    <w:r w:rsidRPr="004E75AD">
      <w:rPr>
        <w:noProof/>
      </w:rPr>
      <mc:AlternateContent>
        <mc:Choice Requires="wps">
          <w:drawing>
            <wp:anchor distT="0" distB="0" distL="0" distR="0" simplePos="0" relativeHeight="251678720" behindDoc="1" locked="0" layoutInCell="1" allowOverlap="1" wp14:anchorId="195F9C7B" wp14:editId="0402DF66">
              <wp:simplePos x="0" y="0"/>
              <wp:positionH relativeFrom="page">
                <wp:posOffset>3709035</wp:posOffset>
              </wp:positionH>
              <wp:positionV relativeFrom="page">
                <wp:posOffset>10293350</wp:posOffset>
              </wp:positionV>
              <wp:extent cx="128270" cy="79375"/>
              <wp:effectExtent l="0" t="0" r="0" b="0"/>
              <wp:wrapNone/>
              <wp:docPr id="80" name="Shape 80"/>
              <wp:cNvGraphicFramePr/>
              <a:graphic xmlns:a="http://schemas.openxmlformats.org/drawingml/2006/main">
                <a:graphicData uri="http://schemas.microsoft.com/office/word/2010/wordprocessingShape">
                  <wps:wsp>
                    <wps:cNvSpPr txBox="1"/>
                    <wps:spPr>
                      <a:xfrm>
                        <a:off x="0" y="0"/>
                        <a:ext cx="128270" cy="79375"/>
                      </a:xfrm>
                      <a:prstGeom prst="rect">
                        <a:avLst/>
                      </a:prstGeom>
                      <a:noFill/>
                    </wps:spPr>
                    <wps:txbx>
                      <w:txbxContent>
                        <w:p w14:paraId="1B9EDFFC" w14:textId="77777777" w:rsidR="00782109" w:rsidRPr="00506C28" w:rsidRDefault="009130BA">
                          <w:pPr>
                            <w:pStyle w:val="Headerorfooter20"/>
                            <w:rPr>
                              <w:sz w:val="19"/>
                              <w:szCs w:val="19"/>
                              <w:lang w:val="pl-PL"/>
                            </w:rPr>
                          </w:pPr>
                          <w:r w:rsidRPr="00506C28">
                            <w:rPr>
                              <w:lang w:val="pl-PL"/>
                            </w:rPr>
                            <w:fldChar w:fldCharType="begin"/>
                          </w:r>
                          <w:r w:rsidRPr="00506C28">
                            <w:rPr>
                              <w:lang w:val="pl-PL"/>
                            </w:rPr>
                            <w:instrText xml:space="preserve"> PAGE \* MERGEFORMAT </w:instrText>
                          </w:r>
                          <w:r w:rsidRPr="00506C28">
                            <w:rPr>
                              <w:lang w:val="pl-PL"/>
                            </w:rPr>
                            <w:fldChar w:fldCharType="separate"/>
                          </w:r>
                          <w:r w:rsidRPr="00506C28">
                            <w:rPr>
                              <w:rStyle w:val="Headerorfooter2"/>
                              <w:rFonts w:ascii="Calibri" w:eastAsia="Calibri" w:hAnsi="Calibri" w:cs="Calibri"/>
                              <w:sz w:val="19"/>
                              <w:szCs w:val="19"/>
                              <w:lang w:val="pl-PL"/>
                            </w:rPr>
                            <w:t>#</w:t>
                          </w:r>
                          <w:r w:rsidRPr="00506C28">
                            <w:rPr>
                              <w:rStyle w:val="Headerorfooter2"/>
                              <w:rFonts w:ascii="Calibri" w:eastAsia="Calibri" w:hAnsi="Calibri" w:cs="Calibri"/>
                              <w:sz w:val="19"/>
                              <w:szCs w:val="19"/>
                              <w:lang w:val="pl-PL"/>
                            </w:rPr>
                            <w:fldChar w:fldCharType="end"/>
                          </w:r>
                        </w:p>
                      </w:txbxContent>
                    </wps:txbx>
                    <wps:bodyPr wrap="none" lIns="0" tIns="0" rIns="0" bIns="0">
                      <a:spAutoFit/>
                    </wps:bodyPr>
                  </wps:wsp>
                </a:graphicData>
              </a:graphic>
            </wp:anchor>
          </w:drawing>
        </mc:Choice>
        <mc:Fallback>
          <w:pict>
            <v:shapetype w14:anchorId="195F9C7B" id="_x0000_t202" coordsize="21600,21600" o:spt="202" path="m,l,21600r21600,l21600,xe">
              <v:stroke joinstyle="miter"/>
              <v:path gradientshapeok="t" o:connecttype="rect"/>
            </v:shapetype>
            <v:shape id="Shape 80" o:spid="_x0000_s1053" type="#_x0000_t202" style="position:absolute;margin-left:292.05pt;margin-top:810.5pt;width:10.1pt;height:6.25pt;z-index:-251637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" filled="f" stroked="f">
              <v:textbox style="mso-fit-shape-to-text:t" inset="0,0,0,0">
                <w:txbxContent>
                  <w:p w14:paraId="1B9EDFFC" w14:textId="77777777" w:rsidR="00782109" w:rsidRPr="00506C28" w:rsidRDefault="009130BA">
                    <w:pPr>
                      <w:pStyle w:val="Headerorfooter20"/>
                      <w:rPr>
                        <w:sz w:val="19"/>
                        <w:szCs w:val="19"/>
                        <w:lang w:val="pl-PL"/>
                      </w:rPr>
                    </w:pPr>
                    <w:r w:rsidRPr="00506C28">
                      <w:rPr>
                        <w:lang w:val="pl-PL"/>
                      </w:rPr>
                      <w:fldChar w:fldCharType="begin"/>
                    </w:r>
                    <w:r w:rsidRPr="00506C28">
                      <w:rPr>
                        <w:lang w:val="pl-PL"/>
                      </w:rPr>
                      <w:instrText xml:space="preserve"> PAGE \* MERGEFORMAT </w:instrText>
                    </w:r>
                    <w:r w:rsidRPr="00506C28">
                      <w:rPr>
                        <w:lang w:val="pl-PL"/>
                      </w:rPr>
                      <w:fldChar w:fldCharType="separate"/>
                    </w:r>
                    <w:r w:rsidRPr="00506C28">
                      <w:rPr>
                        <w:rStyle w:val="Headerorfooter2"/>
                        <w:rFonts w:ascii="Calibri" w:eastAsia="Calibri" w:hAnsi="Calibri" w:cs="Calibri"/>
                        <w:sz w:val="19"/>
                        <w:szCs w:val="19"/>
                        <w:lang w:val="pl-PL"/>
                      </w:rPr>
                      <w:t>#</w:t>
                    </w:r>
                    <w:r w:rsidRPr="00506C28">
                      <w:rPr>
                        <w:rStyle w:val="Headerorfooter2"/>
                        <w:rFonts w:ascii="Calibri" w:eastAsia="Calibri" w:hAnsi="Calibri" w:cs="Calibri"/>
                        <w:sz w:val="19"/>
                        <w:szCs w:val="19"/>
                        <w:lang w:val="pl-P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033DB" w14:textId="77777777" w:rsidR="00C071A2" w:rsidRPr="00506C28" w:rsidRDefault="00C071A2"/>
  </w:footnote>
  <w:footnote w:type="continuationSeparator" w:id="0">
    <w:p w14:paraId="3B8C6E1D" w14:textId="77777777" w:rsidR="00C071A2" w:rsidRPr="00506C28" w:rsidRDefault="00C071A2"/>
  </w:footnote>
  <w:footnote w:id="1">
    <w:p w14:paraId="7D40EED1" w14:textId="1E844C0A" w:rsidR="00782109" w:rsidRPr="00506C28" w:rsidRDefault="009130BA" w:rsidP="004E75AD">
      <w:pPr>
        <w:pStyle w:val="Footnote0"/>
        <w:jc w:val="both"/>
      </w:pPr>
      <w:bookmarkStart w:id="4" w:name="bookmark0"/>
      <w:bookmarkStart w:id="5" w:name="bookmark1"/>
      <w:r w:rsidRPr="00506C28">
        <w:rPr>
          <w:rStyle w:val="Footnote"/>
          <w:vertAlign w:val="superscript"/>
        </w:rPr>
        <w:footnoteRef/>
      </w:r>
      <w:r w:rsidRPr="00506C28">
        <w:rPr>
          <w:rStyle w:val="Footnote"/>
        </w:rPr>
        <w:t xml:space="preserve"> . Zob. </w:t>
      </w:r>
      <w:r w:rsidRPr="00506C28">
        <w:rPr>
          <w:rStyle w:val="Footnote"/>
          <w:color w:val="0071BB"/>
          <w:u w:val="single"/>
        </w:rPr>
        <w:t>komunikat prasowy</w:t>
      </w:r>
      <w:r w:rsidRPr="00506C28">
        <w:rPr>
          <w:rStyle w:val="Footnote"/>
          <w:color w:val="0071BB"/>
        </w:rPr>
        <w:t xml:space="preserve"> </w:t>
      </w:r>
      <w:r w:rsidRPr="00506C28">
        <w:rPr>
          <w:rStyle w:val="Footnote"/>
        </w:rPr>
        <w:t xml:space="preserve">opublikowany na stronie internetowej Sekretarza Generalnego w dniu 10 czerwca 2015 r. Zob. również </w:t>
      </w:r>
      <w:hyperlink r:id="rId1" w:history="1">
        <w:r w:rsidR="00782109" w:rsidRPr="00506C28">
          <w:rPr>
            <w:rStyle w:val="Footnote"/>
            <w:color w:val="0071BB"/>
            <w:u w:val="single"/>
          </w:rPr>
          <w:t>oświadczenia</w:t>
        </w:r>
        <w:r w:rsidR="00782109" w:rsidRPr="00506C28">
          <w:rPr>
            <w:rStyle w:val="Footnote"/>
            <w:color w:val="0071BB"/>
          </w:rPr>
          <w:t xml:space="preserve"> </w:t>
        </w:r>
      </w:hyperlink>
      <w:r w:rsidRPr="00506C28">
        <w:rPr>
          <w:rStyle w:val="Footnote"/>
        </w:rPr>
        <w:t>rządu Ukrainy dotyczące Konwencji o ochronie praw człowieka i podstawowych wolności zarejestrowane przez Sekretariat Generalny.</w:t>
      </w:r>
      <w:bookmarkEnd w:id="4"/>
      <w:bookmarkEnd w:id="5"/>
    </w:p>
  </w:footnote>
  <w:footnote w:id="2">
    <w:p w14:paraId="3F16D2EB" w14:textId="25CC8654" w:rsidR="00782109" w:rsidRPr="00506C28" w:rsidRDefault="009130BA" w:rsidP="004E75AD">
      <w:pPr>
        <w:pStyle w:val="Footnote0"/>
        <w:jc w:val="both"/>
      </w:pPr>
      <w:bookmarkStart w:id="6" w:name="bookmark2"/>
      <w:r w:rsidRPr="00506C28">
        <w:rPr>
          <w:rStyle w:val="Footnote"/>
          <w:vertAlign w:val="superscript"/>
        </w:rPr>
        <w:footnoteRef/>
      </w:r>
      <w:r w:rsidRPr="00506C28">
        <w:rPr>
          <w:rStyle w:val="Footnote"/>
        </w:rPr>
        <w:t xml:space="preserve"> . Zob.</w:t>
      </w:r>
      <w:hyperlink r:id="rId2" w:history="1">
        <w:r w:rsidR="00782109" w:rsidRPr="00506C28">
          <w:rPr>
            <w:rStyle w:val="Footnote"/>
          </w:rPr>
          <w:t xml:space="preserve"> </w:t>
        </w:r>
        <w:r w:rsidR="00782109" w:rsidRPr="00506C28">
          <w:rPr>
            <w:rStyle w:val="Footnote"/>
            <w:color w:val="0071BB"/>
            <w:u w:val="single"/>
          </w:rPr>
          <w:t>oświadczenie</w:t>
        </w:r>
        <w:r w:rsidR="00782109" w:rsidRPr="00506C28">
          <w:rPr>
            <w:rStyle w:val="Footnote"/>
            <w:color w:val="0071BB"/>
          </w:rPr>
          <w:t xml:space="preserve"> </w:t>
        </w:r>
      </w:hyperlink>
      <w:r w:rsidRPr="00506C28">
        <w:rPr>
          <w:rStyle w:val="Footnote"/>
        </w:rPr>
        <w:t xml:space="preserve">rządu Łotwy dotyczące Konwencji o ochronie praw człowieka i podstawowych wolności zarejestrowane przez Sekretariat Generalny w dniu 16 marca 2020 r. Wycofanie </w:t>
      </w:r>
      <w:r w:rsidR="005C6EBB" w:rsidRPr="00506C28">
        <w:rPr>
          <w:rStyle w:val="Footnote"/>
        </w:rPr>
        <w:t>uchylenia</w:t>
      </w:r>
      <w:r w:rsidRPr="00506C28">
        <w:rPr>
          <w:rStyle w:val="Footnote"/>
        </w:rPr>
        <w:t xml:space="preserve"> zarejestrowane w Sekretariacie Generalnym Rady Europy w dniu 10 czerwca 2020 r. (zob.</w:t>
      </w:r>
      <w:hyperlink r:id="rId3" w:history="1">
        <w:r w:rsidR="00782109" w:rsidRPr="00506C28">
          <w:rPr>
            <w:rStyle w:val="Footnote"/>
          </w:rPr>
          <w:t xml:space="preserve"> </w:t>
        </w:r>
        <w:r w:rsidR="00782109" w:rsidRPr="00506C28">
          <w:rPr>
            <w:rStyle w:val="Footnote"/>
            <w:color w:val="0071BB"/>
            <w:u w:val="single"/>
          </w:rPr>
          <w:t>powiadomienie</w:t>
        </w:r>
        <w:r w:rsidR="00782109" w:rsidRPr="00506C28">
          <w:rPr>
            <w:rStyle w:val="Footnote"/>
            <w:color w:val="0071BB"/>
          </w:rPr>
          <w:t xml:space="preserve"> </w:t>
        </w:r>
      </w:hyperlink>
      <w:r w:rsidRPr="00506C28">
        <w:rPr>
          <w:rStyle w:val="Footnote"/>
        </w:rPr>
        <w:t xml:space="preserve">z tego samego dnia). Zob. również </w:t>
      </w:r>
      <w:hyperlink r:id="rId4" w:history="1">
        <w:r w:rsidR="00782109" w:rsidRPr="00506C28">
          <w:rPr>
            <w:rStyle w:val="Footnote"/>
            <w:color w:val="0071BB"/>
            <w:u w:val="single"/>
          </w:rPr>
          <w:t>oświadczenie</w:t>
        </w:r>
        <w:r w:rsidR="00782109" w:rsidRPr="00506C28">
          <w:rPr>
            <w:rStyle w:val="Footnote"/>
            <w:color w:val="0071BB"/>
          </w:rPr>
          <w:t xml:space="preserve"> </w:t>
        </w:r>
      </w:hyperlink>
      <w:r w:rsidRPr="00506C28">
        <w:rPr>
          <w:rStyle w:val="Footnote"/>
        </w:rPr>
        <w:t xml:space="preserve">z dnia 30 grudnia 2020 r. </w:t>
      </w:r>
      <w:r w:rsidRPr="00506C28">
        <w:rPr>
          <w:rStyle w:val="Footnote"/>
          <w:u w:val="single"/>
        </w:rPr>
        <w:t>(</w:t>
      </w:r>
      <w:hyperlink r:id="rId5" w:history="1">
        <w:r w:rsidR="00782109" w:rsidRPr="00506C28">
          <w:rPr>
            <w:rStyle w:val="Footnote"/>
            <w:color w:val="0071BB"/>
            <w:u w:val="single"/>
          </w:rPr>
          <w:t>wycofanie</w:t>
        </w:r>
        <w:r w:rsidR="00782109" w:rsidRPr="00506C28">
          <w:rPr>
            <w:rStyle w:val="Footnote"/>
            <w:color w:val="0071BB"/>
          </w:rPr>
          <w:t xml:space="preserve"> </w:t>
        </w:r>
      </w:hyperlink>
      <w:r w:rsidR="005C6EBB" w:rsidRPr="00506C28">
        <w:rPr>
          <w:rStyle w:val="Footnote"/>
        </w:rPr>
        <w:t>uchylenia</w:t>
      </w:r>
      <w:r w:rsidRPr="00506C28">
        <w:rPr>
          <w:rStyle w:val="Footnote"/>
        </w:rPr>
        <w:t xml:space="preserve"> zarejestrowane w dniu 6 kwietnia 2021 r.) oraz </w:t>
      </w:r>
      <w:hyperlink r:id="rId6" w:history="1">
        <w:r w:rsidR="00782109" w:rsidRPr="00506C28">
          <w:rPr>
            <w:rStyle w:val="Footnote"/>
            <w:color w:val="0071BB"/>
            <w:u w:val="single"/>
          </w:rPr>
          <w:t>oświadczenie</w:t>
        </w:r>
        <w:r w:rsidR="00782109" w:rsidRPr="00506C28">
          <w:rPr>
            <w:rStyle w:val="Footnote"/>
            <w:color w:val="0071BB"/>
          </w:rPr>
          <w:t xml:space="preserve"> </w:t>
        </w:r>
      </w:hyperlink>
      <w:r w:rsidRPr="00506C28">
        <w:rPr>
          <w:rStyle w:val="Footnote"/>
        </w:rPr>
        <w:t xml:space="preserve">z dnia 21 października 2021 r. ( </w:t>
      </w:r>
      <w:hyperlink r:id="rId7" w:history="1">
        <w:r w:rsidR="00782109" w:rsidRPr="00506C28">
          <w:rPr>
            <w:rStyle w:val="Footnote"/>
            <w:color w:val="0071BB"/>
            <w:u w:val="single"/>
          </w:rPr>
          <w:t>wycofanie</w:t>
        </w:r>
      </w:hyperlink>
      <w:r w:rsidRPr="00506C28">
        <w:rPr>
          <w:rStyle w:val="Footnote"/>
          <w:color w:val="0071BB"/>
        </w:rPr>
        <w:t xml:space="preserve"> </w:t>
      </w:r>
      <w:r w:rsidR="005C6EBB" w:rsidRPr="00506C28">
        <w:rPr>
          <w:rStyle w:val="Footnote"/>
        </w:rPr>
        <w:t>uchylenia</w:t>
      </w:r>
      <w:r w:rsidRPr="00506C28">
        <w:rPr>
          <w:rStyle w:val="Footnote"/>
        </w:rPr>
        <w:t xml:space="preserve"> zarejestrowane w dniu 18 listopada 2021 r.).</w:t>
      </w:r>
      <w:bookmarkEnd w:id="6"/>
    </w:p>
  </w:footnote>
  <w:footnote w:id="3">
    <w:p w14:paraId="69A6591C" w14:textId="324A0EFF" w:rsidR="00782109" w:rsidRPr="00506C28" w:rsidRDefault="009130BA" w:rsidP="004E75AD">
      <w:pPr>
        <w:pStyle w:val="Footnote0"/>
        <w:jc w:val="both"/>
      </w:pPr>
      <w:r w:rsidRPr="00506C28">
        <w:rPr>
          <w:rStyle w:val="Footnote"/>
          <w:vertAlign w:val="superscript"/>
        </w:rPr>
        <w:footnoteRef/>
      </w:r>
      <w:r w:rsidRPr="00506C28">
        <w:rPr>
          <w:rStyle w:val="Footnote"/>
        </w:rPr>
        <w:t xml:space="preserve"> . Zob. </w:t>
      </w:r>
      <w:hyperlink r:id="rId8" w:history="1">
        <w:r w:rsidR="00782109" w:rsidRPr="00506C28">
          <w:rPr>
            <w:rStyle w:val="Footnote"/>
            <w:color w:val="0071BB"/>
            <w:u w:val="single"/>
          </w:rPr>
          <w:t>oświadczenie</w:t>
        </w:r>
      </w:hyperlink>
      <w:r w:rsidRPr="00506C28">
        <w:rPr>
          <w:rStyle w:val="Footnote"/>
          <w:color w:val="0071BB"/>
        </w:rPr>
        <w:t xml:space="preserve"> </w:t>
      </w:r>
      <w:r w:rsidRPr="00506C28">
        <w:rPr>
          <w:rStyle w:val="Footnote"/>
        </w:rPr>
        <w:t xml:space="preserve">rządu rumuńskiego dotyczące Konwencji o ochronie praw człowieka i podstawowych wolności zarejestrowane przez Sekretariat Generalny w dniu 17 marca 2020 r. Wycofanie </w:t>
      </w:r>
      <w:r w:rsidR="005C6EBB" w:rsidRPr="00506C28">
        <w:rPr>
          <w:rStyle w:val="Footnote"/>
        </w:rPr>
        <w:t>uchylenia</w:t>
      </w:r>
      <w:r w:rsidRPr="00506C28">
        <w:rPr>
          <w:rStyle w:val="Footnote"/>
        </w:rPr>
        <w:t xml:space="preserve"> zarejestrowane w Sekretariacie Generalnym Rady Europy w dniu 15 maja 2020 r. (zob.</w:t>
      </w:r>
      <w:hyperlink r:id="rId9" w:history="1">
        <w:r w:rsidR="00782109" w:rsidRPr="00506C28">
          <w:rPr>
            <w:rStyle w:val="Footnote"/>
          </w:rPr>
          <w:t xml:space="preserve"> </w:t>
        </w:r>
        <w:r w:rsidR="00782109" w:rsidRPr="00506C28">
          <w:rPr>
            <w:rStyle w:val="Footnote"/>
            <w:color w:val="0071BB"/>
            <w:u w:val="single"/>
          </w:rPr>
          <w:t>powiadomienie</w:t>
        </w:r>
      </w:hyperlink>
      <w:r w:rsidRPr="00506C28">
        <w:rPr>
          <w:rStyle w:val="Footnote"/>
          <w:color w:val="0071BB"/>
        </w:rPr>
        <w:t xml:space="preserve"> </w:t>
      </w:r>
      <w:r w:rsidRPr="00506C28">
        <w:rPr>
          <w:rStyle w:val="Footnote"/>
        </w:rPr>
        <w:t>z tego samego dnia).</w:t>
      </w:r>
    </w:p>
  </w:footnote>
  <w:footnote w:id="4">
    <w:p w14:paraId="2DB57BE9" w14:textId="5E2E153E" w:rsidR="00782109" w:rsidRPr="00506C28" w:rsidRDefault="009130BA" w:rsidP="004E75AD">
      <w:pPr>
        <w:pStyle w:val="Footnote0"/>
        <w:jc w:val="both"/>
      </w:pPr>
      <w:bookmarkStart w:id="7" w:name="bookmark3"/>
      <w:bookmarkStart w:id="8" w:name="bookmark4"/>
      <w:r w:rsidRPr="00506C28">
        <w:rPr>
          <w:rStyle w:val="Footnote"/>
          <w:vertAlign w:val="superscript"/>
        </w:rPr>
        <w:footnoteRef/>
      </w:r>
      <w:r w:rsidRPr="00506C28">
        <w:rPr>
          <w:rStyle w:val="Footnote"/>
        </w:rPr>
        <w:t xml:space="preserve"> . Zob.</w:t>
      </w:r>
      <w:hyperlink r:id="rId10" w:history="1">
        <w:r w:rsidR="00782109" w:rsidRPr="00506C28">
          <w:rPr>
            <w:rStyle w:val="Footnote"/>
          </w:rPr>
          <w:t xml:space="preserve"> </w:t>
        </w:r>
        <w:r w:rsidR="00782109" w:rsidRPr="00506C28">
          <w:rPr>
            <w:rStyle w:val="Footnote"/>
            <w:color w:val="0071BB"/>
            <w:u w:val="single"/>
          </w:rPr>
          <w:t>oświadczenie</w:t>
        </w:r>
        <w:r w:rsidR="00782109" w:rsidRPr="00506C28">
          <w:rPr>
            <w:rStyle w:val="Footnote"/>
            <w:color w:val="0071BB"/>
          </w:rPr>
          <w:t xml:space="preserve"> </w:t>
        </w:r>
      </w:hyperlink>
      <w:r w:rsidRPr="00506C28">
        <w:rPr>
          <w:rStyle w:val="Footnote"/>
        </w:rPr>
        <w:t xml:space="preserve">rządu Armenii dotyczące Konwencji o ochronie praw człowieka i podstawowych wolności zarejestrowane przez Sekretariat Generalny </w:t>
      </w:r>
      <w:r w:rsidR="00AE7EC5" w:rsidRPr="00506C28">
        <w:rPr>
          <w:rStyle w:val="Footnote"/>
        </w:rPr>
        <w:br/>
      </w:r>
      <w:r w:rsidRPr="00506C28">
        <w:rPr>
          <w:rStyle w:val="Footnote"/>
        </w:rPr>
        <w:t xml:space="preserve">w dniu 19 marca 2020 r. Wycofanie </w:t>
      </w:r>
      <w:r w:rsidR="005C6EBB" w:rsidRPr="00506C28">
        <w:rPr>
          <w:rStyle w:val="Footnote"/>
        </w:rPr>
        <w:t>uchylenia</w:t>
      </w:r>
      <w:r w:rsidRPr="00506C28">
        <w:rPr>
          <w:rStyle w:val="Footnote"/>
        </w:rPr>
        <w:t xml:space="preserve"> zarejestrowane w Sekretariacie Generalnym Rady Europy w dniu 16 września 2020 r. (zob.</w:t>
      </w:r>
      <w:hyperlink r:id="rId11" w:history="1">
        <w:r w:rsidR="00782109" w:rsidRPr="00506C28">
          <w:rPr>
            <w:rStyle w:val="Footnote"/>
          </w:rPr>
          <w:t xml:space="preserve"> </w:t>
        </w:r>
        <w:r w:rsidR="00782109" w:rsidRPr="00506C28">
          <w:rPr>
            <w:rStyle w:val="Footnote"/>
            <w:color w:val="0071BB"/>
            <w:u w:val="single"/>
          </w:rPr>
          <w:t>powiadomienie</w:t>
        </w:r>
        <w:r w:rsidR="00782109" w:rsidRPr="00506C28">
          <w:rPr>
            <w:rStyle w:val="Footnote"/>
            <w:color w:val="0071BB"/>
          </w:rPr>
          <w:t xml:space="preserve"> </w:t>
        </w:r>
      </w:hyperlink>
      <w:r w:rsidRPr="00506C28">
        <w:rPr>
          <w:rStyle w:val="Footnote"/>
        </w:rPr>
        <w:t>z tego samego dnia).</w:t>
      </w:r>
      <w:bookmarkEnd w:id="7"/>
      <w:bookmarkEnd w:id="8"/>
    </w:p>
  </w:footnote>
  <w:footnote w:id="5">
    <w:p w14:paraId="265F7356" w14:textId="5E3BB1CF" w:rsidR="00782109" w:rsidRPr="00506C28" w:rsidRDefault="009130BA" w:rsidP="004E75AD">
      <w:pPr>
        <w:pStyle w:val="Footnote0"/>
        <w:jc w:val="both"/>
      </w:pPr>
      <w:r w:rsidRPr="00506C28">
        <w:rPr>
          <w:rStyle w:val="Footnote"/>
          <w:vertAlign w:val="superscript"/>
        </w:rPr>
        <w:footnoteRef/>
      </w:r>
      <w:r w:rsidRPr="00506C28">
        <w:rPr>
          <w:rStyle w:val="Footnote"/>
        </w:rPr>
        <w:t xml:space="preserve"> . Zob.</w:t>
      </w:r>
      <w:hyperlink r:id="rId12" w:history="1">
        <w:r w:rsidR="00782109" w:rsidRPr="00506C28">
          <w:rPr>
            <w:rStyle w:val="Footnote"/>
          </w:rPr>
          <w:t xml:space="preserve"> </w:t>
        </w:r>
        <w:r w:rsidR="00782109" w:rsidRPr="00506C28">
          <w:rPr>
            <w:rStyle w:val="Footnote"/>
            <w:color w:val="0071BB"/>
            <w:u w:val="single"/>
          </w:rPr>
          <w:t>oświadczenie</w:t>
        </w:r>
        <w:r w:rsidR="00782109" w:rsidRPr="00506C28">
          <w:rPr>
            <w:rStyle w:val="Footnote"/>
            <w:color w:val="0071BB"/>
          </w:rPr>
          <w:t xml:space="preserve"> </w:t>
        </w:r>
      </w:hyperlink>
      <w:r w:rsidRPr="00506C28">
        <w:rPr>
          <w:rStyle w:val="Footnote"/>
        </w:rPr>
        <w:t xml:space="preserve">rządu Republiki Mołdawii dotyczące Konwencji o ochronie praw człowieka i podstawowych wolności zarejestrowane przez Sekretariat Generalny w dniu 19 marca 2020 r. Wycofanie </w:t>
      </w:r>
      <w:r w:rsidR="005C6EBB" w:rsidRPr="00506C28">
        <w:rPr>
          <w:rStyle w:val="Footnote"/>
        </w:rPr>
        <w:t>uchylenia</w:t>
      </w:r>
      <w:r w:rsidRPr="00506C28">
        <w:rPr>
          <w:rStyle w:val="Footnote"/>
        </w:rPr>
        <w:t xml:space="preserve"> zarejestrowane w Sekretariacie Generalnym Rady Europy w dniu 20 maja 2020 r. (zob.</w:t>
      </w:r>
      <w:hyperlink r:id="rId13" w:history="1">
        <w:r w:rsidR="00782109" w:rsidRPr="00506C28">
          <w:rPr>
            <w:rStyle w:val="Footnote"/>
          </w:rPr>
          <w:t xml:space="preserve"> </w:t>
        </w:r>
        <w:r w:rsidR="00782109" w:rsidRPr="00506C28">
          <w:rPr>
            <w:rStyle w:val="Footnote"/>
            <w:color w:val="0071BB"/>
            <w:u w:val="single"/>
          </w:rPr>
          <w:t>powiadomienie</w:t>
        </w:r>
        <w:r w:rsidR="00782109" w:rsidRPr="00506C28">
          <w:rPr>
            <w:rStyle w:val="Footnote"/>
            <w:color w:val="0071BB"/>
          </w:rPr>
          <w:t xml:space="preserve"> </w:t>
        </w:r>
      </w:hyperlink>
      <w:r w:rsidRPr="00506C28">
        <w:rPr>
          <w:rStyle w:val="Footnote"/>
        </w:rPr>
        <w:t xml:space="preserve">z tego samego dnia). Zob. również </w:t>
      </w:r>
      <w:hyperlink r:id="rId14" w:history="1">
        <w:r w:rsidR="00782109" w:rsidRPr="00506C28">
          <w:rPr>
            <w:rStyle w:val="Footnote"/>
            <w:color w:val="0071BB"/>
            <w:u w:val="single"/>
          </w:rPr>
          <w:t>deklaracja</w:t>
        </w:r>
        <w:r w:rsidR="00782109" w:rsidRPr="00506C28">
          <w:rPr>
            <w:rStyle w:val="Footnote"/>
            <w:color w:val="0071BB"/>
          </w:rPr>
          <w:t xml:space="preserve"> </w:t>
        </w:r>
      </w:hyperlink>
      <w:r w:rsidRPr="00506C28">
        <w:rPr>
          <w:rStyle w:val="Footnote"/>
        </w:rPr>
        <w:t xml:space="preserve">z dnia 31 marca 2021 r. ( </w:t>
      </w:r>
      <w:hyperlink r:id="rId15" w:history="1">
        <w:r w:rsidR="00782109" w:rsidRPr="00506C28">
          <w:rPr>
            <w:rStyle w:val="Footnote"/>
            <w:color w:val="0071BB"/>
            <w:u w:val="single"/>
          </w:rPr>
          <w:t>wycofanie</w:t>
        </w:r>
        <w:r w:rsidR="00782109" w:rsidRPr="00506C28">
          <w:rPr>
            <w:rStyle w:val="Footnote"/>
            <w:color w:val="0071BB"/>
          </w:rPr>
          <w:t xml:space="preserve"> </w:t>
        </w:r>
      </w:hyperlink>
      <w:r w:rsidR="005C6EBB" w:rsidRPr="00506C28">
        <w:rPr>
          <w:rStyle w:val="Footnote"/>
        </w:rPr>
        <w:t>uchylenia</w:t>
      </w:r>
      <w:r w:rsidRPr="00506C28">
        <w:rPr>
          <w:rStyle w:val="Footnote"/>
        </w:rPr>
        <w:t xml:space="preserve"> zarejestrowane w dniu 30 kwietnia 2021 r.).</w:t>
      </w:r>
    </w:p>
  </w:footnote>
  <w:footnote w:id="6">
    <w:p w14:paraId="36D86DFA" w14:textId="33213D59" w:rsidR="00782109" w:rsidRPr="00506C28" w:rsidRDefault="009130BA" w:rsidP="004E75AD">
      <w:pPr>
        <w:pStyle w:val="Footnote0"/>
        <w:jc w:val="both"/>
      </w:pPr>
      <w:bookmarkStart w:id="9" w:name="bookmark5"/>
      <w:bookmarkStart w:id="10" w:name="bookmark6"/>
      <w:r w:rsidRPr="00506C28">
        <w:rPr>
          <w:rStyle w:val="Footnote"/>
          <w:vertAlign w:val="superscript"/>
        </w:rPr>
        <w:footnoteRef/>
      </w:r>
      <w:r w:rsidRPr="00506C28">
        <w:rPr>
          <w:rStyle w:val="Footnote"/>
        </w:rPr>
        <w:t xml:space="preserve"> . Zob.</w:t>
      </w:r>
      <w:hyperlink r:id="rId16" w:history="1">
        <w:r w:rsidR="00782109" w:rsidRPr="00506C28">
          <w:rPr>
            <w:rStyle w:val="Footnote"/>
          </w:rPr>
          <w:t xml:space="preserve"> </w:t>
        </w:r>
        <w:r w:rsidR="00782109" w:rsidRPr="00506C28">
          <w:rPr>
            <w:rStyle w:val="Footnote"/>
            <w:color w:val="0071BB"/>
            <w:u w:val="single"/>
          </w:rPr>
          <w:t>oświadczenie</w:t>
        </w:r>
        <w:r w:rsidR="00782109" w:rsidRPr="00506C28">
          <w:rPr>
            <w:rStyle w:val="Footnote"/>
            <w:color w:val="0071BB"/>
          </w:rPr>
          <w:t xml:space="preserve"> </w:t>
        </w:r>
      </w:hyperlink>
      <w:r w:rsidRPr="00506C28">
        <w:rPr>
          <w:rStyle w:val="Footnote"/>
        </w:rPr>
        <w:t xml:space="preserve">rządu Estonii dotyczące Konwencji o ochronie praw człowieka i podstawowych wolności zarejestrowane przez Sekretariat Generalny </w:t>
      </w:r>
      <w:r w:rsidR="00AE7EC5" w:rsidRPr="00506C28">
        <w:rPr>
          <w:rStyle w:val="Footnote"/>
        </w:rPr>
        <w:br/>
      </w:r>
      <w:r w:rsidRPr="00506C28">
        <w:rPr>
          <w:rStyle w:val="Footnote"/>
        </w:rPr>
        <w:t xml:space="preserve">w dniu 20 marca 2020 r. Wycofanie </w:t>
      </w:r>
      <w:r w:rsidR="005C6EBB" w:rsidRPr="00506C28">
        <w:rPr>
          <w:rStyle w:val="Footnote"/>
        </w:rPr>
        <w:t>uchylenia</w:t>
      </w:r>
      <w:r w:rsidRPr="00506C28">
        <w:rPr>
          <w:rStyle w:val="Footnote"/>
        </w:rPr>
        <w:t xml:space="preserve"> zarejestrowane w Sekretariacie Generalnym Rady Europy w dniu 18 maja 2020 r. (zob.</w:t>
      </w:r>
      <w:hyperlink r:id="rId17" w:history="1">
        <w:r w:rsidR="00782109" w:rsidRPr="00506C28">
          <w:rPr>
            <w:rStyle w:val="Footnote"/>
          </w:rPr>
          <w:t xml:space="preserve"> </w:t>
        </w:r>
        <w:r w:rsidR="00782109" w:rsidRPr="00506C28">
          <w:rPr>
            <w:rStyle w:val="Footnote"/>
            <w:color w:val="0071BB"/>
            <w:u w:val="single"/>
          </w:rPr>
          <w:t>powiadomienie</w:t>
        </w:r>
      </w:hyperlink>
      <w:r w:rsidRPr="00506C28">
        <w:rPr>
          <w:rStyle w:val="Footnote"/>
          <w:color w:val="0071BB"/>
        </w:rPr>
        <w:t xml:space="preserve"> </w:t>
      </w:r>
      <w:r w:rsidRPr="00506C28">
        <w:rPr>
          <w:rStyle w:val="Footnote"/>
        </w:rPr>
        <w:t>z tego samego dnia).</w:t>
      </w:r>
      <w:bookmarkEnd w:id="9"/>
      <w:bookmarkEnd w:id="10"/>
    </w:p>
  </w:footnote>
  <w:footnote w:id="7">
    <w:p w14:paraId="27FFF174" w14:textId="77777777" w:rsidR="00782109" w:rsidRPr="00506C28" w:rsidRDefault="009130BA" w:rsidP="004E75AD">
      <w:pPr>
        <w:pStyle w:val="Footnote0"/>
        <w:jc w:val="both"/>
      </w:pPr>
      <w:r w:rsidRPr="00506C28">
        <w:rPr>
          <w:rStyle w:val="Footnote"/>
          <w:vertAlign w:val="superscript"/>
        </w:rPr>
        <w:footnoteRef/>
      </w:r>
      <w:r w:rsidRPr="00506C28">
        <w:rPr>
          <w:rStyle w:val="Footnote"/>
        </w:rPr>
        <w:t xml:space="preserve"> . Zob. oświadczenie rządu Gruzji dotyczące Konwencji o ochronie praw człowieka i podstawowych wolności zarejestrowane przez Sekretariat Generalny w dniu 23 marca 2020 r. Zob. również, ostatnio,</w:t>
      </w:r>
      <w:hyperlink r:id="rId18" w:history="1">
        <w:r w:rsidR="00782109" w:rsidRPr="00506C28">
          <w:rPr>
            <w:rStyle w:val="Footnote"/>
          </w:rPr>
          <w:t xml:space="preserve"> </w:t>
        </w:r>
        <w:r w:rsidR="00782109" w:rsidRPr="00506C28">
          <w:rPr>
            <w:rStyle w:val="Footnote"/>
            <w:color w:val="0071BB"/>
            <w:u w:val="single"/>
          </w:rPr>
          <w:t>powiadomienie</w:t>
        </w:r>
      </w:hyperlink>
      <w:r w:rsidRPr="00506C28">
        <w:rPr>
          <w:rStyle w:val="Footnote"/>
          <w:color w:val="0071BB"/>
        </w:rPr>
        <w:t xml:space="preserve"> </w:t>
      </w:r>
      <w:r w:rsidRPr="00506C28">
        <w:rPr>
          <w:rStyle w:val="Footnote"/>
        </w:rPr>
        <w:t>z dnia 3 stycznia 2022 r.</w:t>
      </w:r>
    </w:p>
  </w:footnote>
  <w:footnote w:id="8">
    <w:p w14:paraId="20DEBC9E" w14:textId="1D3B4F6F" w:rsidR="00782109" w:rsidRPr="00506C28" w:rsidRDefault="009130BA" w:rsidP="004E75AD">
      <w:pPr>
        <w:pStyle w:val="Footnote0"/>
        <w:jc w:val="both"/>
      </w:pPr>
      <w:bookmarkStart w:id="11" w:name="bookmark7"/>
      <w:bookmarkStart w:id="12" w:name="bookmark8"/>
      <w:r w:rsidRPr="00506C28">
        <w:rPr>
          <w:rStyle w:val="Footnote"/>
          <w:vertAlign w:val="superscript"/>
        </w:rPr>
        <w:footnoteRef/>
      </w:r>
      <w:r w:rsidRPr="00506C28">
        <w:rPr>
          <w:rStyle w:val="Footnote"/>
        </w:rPr>
        <w:t xml:space="preserve"> . Zob. </w:t>
      </w:r>
      <w:hyperlink r:id="rId19" w:history="1">
        <w:r w:rsidR="00782109" w:rsidRPr="00506C28">
          <w:rPr>
            <w:rStyle w:val="Footnote"/>
            <w:color w:val="0071BB"/>
            <w:u w:val="single"/>
          </w:rPr>
          <w:t>oświadczenie</w:t>
        </w:r>
      </w:hyperlink>
      <w:r w:rsidRPr="00506C28">
        <w:rPr>
          <w:rStyle w:val="Footnote"/>
          <w:color w:val="0071BB"/>
        </w:rPr>
        <w:t xml:space="preserve"> </w:t>
      </w:r>
      <w:r w:rsidRPr="00506C28">
        <w:rPr>
          <w:rStyle w:val="Footnote"/>
        </w:rPr>
        <w:t xml:space="preserve">rządu Albanii dotyczące Konwencji o ochronie praw człowieka i podstawowych wolności zarejestrowane przez Sekretariat Generalny </w:t>
      </w:r>
      <w:r w:rsidR="00AE7EC5" w:rsidRPr="00506C28">
        <w:rPr>
          <w:rStyle w:val="Footnote"/>
        </w:rPr>
        <w:br/>
      </w:r>
      <w:r w:rsidRPr="00506C28">
        <w:rPr>
          <w:rStyle w:val="Footnote"/>
        </w:rPr>
        <w:t xml:space="preserve">w dniu 31 marca 2020 r. Wycofanie </w:t>
      </w:r>
      <w:r w:rsidR="005C6EBB" w:rsidRPr="00506C28">
        <w:rPr>
          <w:rStyle w:val="Footnote"/>
        </w:rPr>
        <w:t>uchylenia</w:t>
      </w:r>
      <w:r w:rsidRPr="00506C28">
        <w:rPr>
          <w:rStyle w:val="Footnote"/>
        </w:rPr>
        <w:t xml:space="preserve"> zarejestrowane w Sekretariacie Generalnym Rady Europy w dniu 25 czerwca 2020 r. (zob.</w:t>
      </w:r>
      <w:hyperlink r:id="rId20" w:history="1">
        <w:r w:rsidR="00782109" w:rsidRPr="00506C28">
          <w:rPr>
            <w:rStyle w:val="Footnote"/>
          </w:rPr>
          <w:t xml:space="preserve"> </w:t>
        </w:r>
        <w:r w:rsidR="00782109" w:rsidRPr="00506C28">
          <w:rPr>
            <w:rStyle w:val="Footnote"/>
            <w:color w:val="0071BB"/>
            <w:u w:val="single"/>
          </w:rPr>
          <w:t>powiadomienie</w:t>
        </w:r>
      </w:hyperlink>
      <w:r w:rsidRPr="00506C28">
        <w:rPr>
          <w:rStyle w:val="Footnote"/>
          <w:color w:val="0071BB"/>
        </w:rPr>
        <w:t xml:space="preserve"> </w:t>
      </w:r>
      <w:r w:rsidRPr="00506C28">
        <w:rPr>
          <w:rStyle w:val="Footnote"/>
        </w:rPr>
        <w:t>z tego samego dnia).</w:t>
      </w:r>
      <w:bookmarkEnd w:id="11"/>
      <w:bookmarkEnd w:id="12"/>
    </w:p>
  </w:footnote>
  <w:footnote w:id="9">
    <w:p w14:paraId="1BF6CC32" w14:textId="07630F79" w:rsidR="00782109" w:rsidRPr="00506C28" w:rsidRDefault="009130BA" w:rsidP="004E75AD">
      <w:pPr>
        <w:pStyle w:val="Footnote0"/>
        <w:jc w:val="both"/>
      </w:pPr>
      <w:r w:rsidRPr="00506C28">
        <w:rPr>
          <w:rStyle w:val="Footnote"/>
          <w:vertAlign w:val="superscript"/>
        </w:rPr>
        <w:footnoteRef/>
      </w:r>
      <w:r w:rsidRPr="00506C28">
        <w:rPr>
          <w:rStyle w:val="Footnote"/>
        </w:rPr>
        <w:t xml:space="preserve"> . Zob. oświadczenie rządu Macedonii Północnej dotyczące Konwencji o ochronie praw człowieka i podstawowych wolności zarejestrowane przez Sekretariat Generalny w dniu 1 kwietnia 2020 r. Wycofanie </w:t>
      </w:r>
      <w:r w:rsidR="005C6EBB" w:rsidRPr="00506C28">
        <w:rPr>
          <w:rStyle w:val="Footnote"/>
        </w:rPr>
        <w:t>uchylenia</w:t>
      </w:r>
      <w:r w:rsidRPr="00506C28">
        <w:rPr>
          <w:rStyle w:val="Footnote"/>
        </w:rPr>
        <w:t xml:space="preserve"> zarejestrowane w Sekretariacie Generalnym Rady Europy w dniu 30 czerwca 2020 r. (zob.</w:t>
      </w:r>
      <w:hyperlink r:id="rId21" w:history="1">
        <w:r w:rsidR="00782109" w:rsidRPr="00506C28">
          <w:rPr>
            <w:rStyle w:val="Footnote"/>
          </w:rPr>
          <w:t xml:space="preserve"> </w:t>
        </w:r>
        <w:r w:rsidR="00782109" w:rsidRPr="00506C28">
          <w:rPr>
            <w:rStyle w:val="Footnote"/>
            <w:color w:val="0071BB"/>
            <w:u w:val="single"/>
          </w:rPr>
          <w:t>powiadomienie</w:t>
        </w:r>
      </w:hyperlink>
      <w:r w:rsidRPr="00506C28">
        <w:rPr>
          <w:rStyle w:val="Footnote"/>
          <w:color w:val="0071BB"/>
        </w:rPr>
        <w:t xml:space="preserve"> </w:t>
      </w:r>
      <w:r w:rsidRPr="00506C28">
        <w:rPr>
          <w:rStyle w:val="Footnote"/>
        </w:rPr>
        <w:t>z tego samego dnia).</w:t>
      </w:r>
    </w:p>
  </w:footnote>
  <w:footnote w:id="10">
    <w:p w14:paraId="660468FD" w14:textId="7E5546A2" w:rsidR="00782109" w:rsidRPr="00506C28" w:rsidRDefault="009130BA" w:rsidP="004E75AD">
      <w:pPr>
        <w:pStyle w:val="Footnote0"/>
        <w:jc w:val="both"/>
      </w:pPr>
      <w:bookmarkStart w:id="13" w:name="bookmark10"/>
      <w:bookmarkStart w:id="14" w:name="bookmark9"/>
      <w:r w:rsidRPr="00506C28">
        <w:rPr>
          <w:rStyle w:val="Footnote"/>
          <w:vertAlign w:val="superscript"/>
        </w:rPr>
        <w:footnoteRef/>
      </w:r>
      <w:r w:rsidRPr="00506C28">
        <w:rPr>
          <w:rStyle w:val="Footnote"/>
        </w:rPr>
        <w:t xml:space="preserve"> . Zob. </w:t>
      </w:r>
      <w:hyperlink r:id="rId22" w:history="1">
        <w:r w:rsidR="00782109" w:rsidRPr="00506C28">
          <w:rPr>
            <w:rStyle w:val="Footnote"/>
            <w:color w:val="0071BB"/>
            <w:u w:val="single"/>
          </w:rPr>
          <w:t>oświadczenie</w:t>
        </w:r>
        <w:r w:rsidR="00782109" w:rsidRPr="00506C28">
          <w:rPr>
            <w:rStyle w:val="Footnote"/>
            <w:color w:val="0071BB"/>
          </w:rPr>
          <w:t xml:space="preserve"> </w:t>
        </w:r>
      </w:hyperlink>
      <w:r w:rsidRPr="00506C28">
        <w:rPr>
          <w:rStyle w:val="Footnote"/>
        </w:rPr>
        <w:t xml:space="preserve">rządu Serbii dotyczące Konwencji o ochronie praw człowieka i podstawowych wolności zarejestrowane przez Sekretariat Generalny </w:t>
      </w:r>
      <w:r w:rsidR="00AE7EC5" w:rsidRPr="00506C28">
        <w:rPr>
          <w:rStyle w:val="Footnote"/>
        </w:rPr>
        <w:br/>
      </w:r>
      <w:r w:rsidRPr="00506C28">
        <w:rPr>
          <w:rStyle w:val="Footnote"/>
        </w:rPr>
        <w:t xml:space="preserve">w dniu 6 kwietnia 2020 r. Wycofanie </w:t>
      </w:r>
      <w:r w:rsidR="005C6EBB" w:rsidRPr="00506C28">
        <w:rPr>
          <w:rStyle w:val="Footnote"/>
        </w:rPr>
        <w:t>uchylenia</w:t>
      </w:r>
      <w:r w:rsidRPr="00506C28">
        <w:rPr>
          <w:rStyle w:val="Footnote"/>
        </w:rPr>
        <w:t xml:space="preserve"> zarejestrowane w Sekretariacie Generalnym Rady Europy w dniu 13 października 2020 r. (zob.</w:t>
      </w:r>
      <w:hyperlink r:id="rId23" w:history="1">
        <w:r w:rsidR="00782109" w:rsidRPr="00506C28">
          <w:rPr>
            <w:rStyle w:val="Footnote"/>
          </w:rPr>
          <w:t xml:space="preserve"> </w:t>
        </w:r>
        <w:r w:rsidR="00782109" w:rsidRPr="00506C28">
          <w:rPr>
            <w:rStyle w:val="Footnote"/>
            <w:color w:val="0071BB"/>
            <w:u w:val="single"/>
          </w:rPr>
          <w:t>powiadomienie</w:t>
        </w:r>
        <w:r w:rsidR="00782109" w:rsidRPr="00506C28">
          <w:rPr>
            <w:rStyle w:val="Footnote"/>
            <w:color w:val="0071BB"/>
          </w:rPr>
          <w:t xml:space="preserve"> </w:t>
        </w:r>
      </w:hyperlink>
      <w:r w:rsidR="00AE7EC5" w:rsidRPr="00506C28">
        <w:br/>
      </w:r>
      <w:r w:rsidRPr="00506C28">
        <w:rPr>
          <w:rStyle w:val="Footnote"/>
        </w:rPr>
        <w:t>z tego samego dnia).</w:t>
      </w:r>
      <w:bookmarkEnd w:id="13"/>
      <w:bookmarkEnd w:id="14"/>
    </w:p>
  </w:footnote>
  <w:footnote w:id="11">
    <w:p w14:paraId="523C8F0C" w14:textId="28839F1A" w:rsidR="00782109" w:rsidRPr="00506C28" w:rsidRDefault="009130BA" w:rsidP="004E75AD">
      <w:pPr>
        <w:pStyle w:val="Footnote0"/>
        <w:jc w:val="both"/>
      </w:pPr>
      <w:r w:rsidRPr="00506C28">
        <w:rPr>
          <w:rStyle w:val="Footnote"/>
          <w:vertAlign w:val="superscript"/>
        </w:rPr>
        <w:footnoteRef/>
      </w:r>
      <w:r w:rsidRPr="00506C28">
        <w:rPr>
          <w:rStyle w:val="Footnote"/>
        </w:rPr>
        <w:t xml:space="preserve"> . Zob. </w:t>
      </w:r>
      <w:hyperlink r:id="rId24" w:history="1">
        <w:r w:rsidR="00782109" w:rsidRPr="00506C28">
          <w:rPr>
            <w:rStyle w:val="Footnote"/>
            <w:color w:val="0071BB"/>
            <w:u w:val="single"/>
          </w:rPr>
          <w:t>oświadczenie</w:t>
        </w:r>
        <w:r w:rsidR="00782109" w:rsidRPr="00506C28">
          <w:rPr>
            <w:rStyle w:val="Footnote"/>
            <w:color w:val="0071BB"/>
          </w:rPr>
          <w:t xml:space="preserve"> </w:t>
        </w:r>
      </w:hyperlink>
      <w:r w:rsidRPr="00506C28">
        <w:rPr>
          <w:rStyle w:val="Footnote"/>
        </w:rPr>
        <w:t xml:space="preserve">rządu San Marino dotyczące Konwencji o ochronie praw człowieka i podstawowych wolności zarejestrowane przez Sekretariat Generalny w dniu 10 kwietnia 2020 r. Wycofanie </w:t>
      </w:r>
      <w:r w:rsidR="005C6EBB" w:rsidRPr="00506C28">
        <w:rPr>
          <w:rStyle w:val="Footnote"/>
        </w:rPr>
        <w:t>uchylenia</w:t>
      </w:r>
      <w:r w:rsidRPr="00506C28">
        <w:rPr>
          <w:rStyle w:val="Footnote"/>
        </w:rPr>
        <w:t xml:space="preserve"> zarejestrowane w Sekretariacie Generalnym Rady Europy w dniu 8 lipca 2020 r. (zob.</w:t>
      </w:r>
      <w:hyperlink r:id="rId25" w:history="1">
        <w:r w:rsidR="00782109" w:rsidRPr="00506C28">
          <w:rPr>
            <w:rStyle w:val="Footnote"/>
          </w:rPr>
          <w:t xml:space="preserve"> </w:t>
        </w:r>
        <w:r w:rsidR="00782109" w:rsidRPr="00506C28">
          <w:rPr>
            <w:rStyle w:val="Footnote"/>
            <w:color w:val="0071BB"/>
            <w:u w:val="single"/>
          </w:rPr>
          <w:t>powiadomienie</w:t>
        </w:r>
        <w:r w:rsidR="00782109" w:rsidRPr="00506C28">
          <w:rPr>
            <w:rStyle w:val="Footnote"/>
            <w:color w:val="0071BB"/>
          </w:rPr>
          <w:t xml:space="preserve"> </w:t>
        </w:r>
      </w:hyperlink>
      <w:r w:rsidRPr="00506C28">
        <w:rPr>
          <w:rStyle w:val="Footnote"/>
        </w:rPr>
        <w:t>z tego samego dnia).</w:t>
      </w:r>
    </w:p>
  </w:footnote>
  <w:footnote w:id="12">
    <w:p w14:paraId="784890BA" w14:textId="77777777" w:rsidR="00782109" w:rsidRPr="00506C28" w:rsidRDefault="009130BA" w:rsidP="004E75AD">
      <w:pPr>
        <w:pStyle w:val="Footnote0"/>
        <w:jc w:val="both"/>
      </w:pPr>
      <w:bookmarkStart w:id="26" w:name="bookmark11"/>
      <w:r w:rsidRPr="00506C28">
        <w:rPr>
          <w:rStyle w:val="Footnote"/>
          <w:vertAlign w:val="superscript"/>
        </w:rPr>
        <w:footnoteRef/>
      </w:r>
      <w:r w:rsidRPr="00506C28">
        <w:rPr>
          <w:rStyle w:val="Footnote"/>
        </w:rPr>
        <w:t xml:space="preserve"> . Szczegółowe informacje na temat kontekstu tych odstępstw można znaleźć na</w:t>
      </w:r>
      <w:hyperlink r:id="rId26" w:history="1">
        <w:r w:rsidR="00782109" w:rsidRPr="00506C28">
          <w:rPr>
            <w:rStyle w:val="Footnote"/>
          </w:rPr>
          <w:t xml:space="preserve"> </w:t>
        </w:r>
        <w:r w:rsidR="00782109" w:rsidRPr="00506C28">
          <w:rPr>
            <w:rStyle w:val="Footnote"/>
            <w:color w:val="0071BB"/>
            <w:u w:val="single"/>
          </w:rPr>
          <w:t>stronie</w:t>
        </w:r>
        <w:r w:rsidR="00782109" w:rsidRPr="00506C28">
          <w:rPr>
            <w:rStyle w:val="Footnote"/>
            <w:color w:val="0071BB"/>
          </w:rPr>
          <w:t xml:space="preserve"> </w:t>
        </w:r>
      </w:hyperlink>
      <w:r w:rsidRPr="00506C28">
        <w:rPr>
          <w:rStyle w:val="Footnote"/>
        </w:rPr>
        <w:t>internetowej Biura Traktatów Rady Europy.</w:t>
      </w:r>
      <w:bookmarkEnd w:id="26"/>
    </w:p>
  </w:footnote>
  <w:footnote w:id="13">
    <w:p w14:paraId="12E539D1" w14:textId="1AF5E26B" w:rsidR="00782109" w:rsidRPr="00506C28" w:rsidRDefault="009130BA">
      <w:pPr>
        <w:pStyle w:val="Footnote0"/>
      </w:pPr>
      <w:r w:rsidRPr="00506C28">
        <w:rPr>
          <w:rStyle w:val="Footnote"/>
          <w:vertAlign w:val="superscript"/>
        </w:rPr>
        <w:footnoteRef/>
      </w:r>
      <w:r w:rsidRPr="00506C28">
        <w:rPr>
          <w:rStyle w:val="Footnote"/>
        </w:rPr>
        <w:t xml:space="preserve"> . Wspólnie z Europejskim Trybunałem Praw Człowieka i Komitetem Ministrów Rady Europy, Europejska Komisja Praw Człowieka, która działała w Strasburgu od lipca 1954 r. do października 1999 r., nadzorowała przestrzeganie przez państwa- strony zobowiązań wynikających z </w:t>
      </w:r>
      <w:r w:rsidR="006626F8" w:rsidRPr="00506C28">
        <w:rPr>
          <w:rStyle w:val="Footnote"/>
        </w:rPr>
        <w:t>E</w:t>
      </w:r>
      <w:r w:rsidRPr="00506C28">
        <w:rPr>
          <w:rStyle w:val="Footnote"/>
        </w:rPr>
        <w:t xml:space="preserve">uropejskiej </w:t>
      </w:r>
      <w:r w:rsidR="00202DF8" w:rsidRPr="00506C28">
        <w:rPr>
          <w:rStyle w:val="Footnote"/>
        </w:rPr>
        <w:t>k</w:t>
      </w:r>
      <w:r w:rsidRPr="00506C28">
        <w:rPr>
          <w:rStyle w:val="Footnote"/>
        </w:rPr>
        <w:t xml:space="preserve">onwencji </w:t>
      </w:r>
      <w:r w:rsidR="00202DF8" w:rsidRPr="00506C28">
        <w:rPr>
          <w:rStyle w:val="Footnote"/>
        </w:rPr>
        <w:t>p</w:t>
      </w:r>
      <w:r w:rsidRPr="00506C28">
        <w:rPr>
          <w:rStyle w:val="Footnote"/>
        </w:rPr>
        <w:t xml:space="preserve">raw </w:t>
      </w:r>
      <w:r w:rsidR="00202DF8" w:rsidRPr="00506C28">
        <w:rPr>
          <w:rStyle w:val="Footnote"/>
        </w:rPr>
        <w:t>c</w:t>
      </w:r>
      <w:r w:rsidRPr="00506C28">
        <w:rPr>
          <w:rStyle w:val="Footnote"/>
        </w:rPr>
        <w:t>złowieka. Komisja przestała istnieć wraz z nadaniem Trybunałowi charakteru stałego w dniu 1 listopada 1998 r.</w:t>
      </w:r>
    </w:p>
  </w:footnote>
  <w:footnote w:id="14">
    <w:p w14:paraId="5174F54F" w14:textId="77777777" w:rsidR="00CA6807" w:rsidRPr="00506C28" w:rsidRDefault="00CA6807" w:rsidP="00CA6807">
      <w:pPr>
        <w:pStyle w:val="Footnote0"/>
      </w:pPr>
      <w:r w:rsidRPr="00506C28">
        <w:rPr>
          <w:rStyle w:val="Footnote"/>
          <w:vertAlign w:val="superscript"/>
        </w:rPr>
        <w:footnoteRef/>
      </w:r>
      <w:r w:rsidRPr="00506C28">
        <w:rPr>
          <w:rStyle w:val="Footnote"/>
        </w:rPr>
        <w:t xml:space="preserve"> Niniejszy wyrok stanie się prawomocny w okolicznościach określonych w art. 44 § 2</w:t>
      </w:r>
      <w:hyperlink r:id="rId27" w:history="1">
        <w:r w:rsidRPr="00506C28">
          <w:rPr>
            <w:rStyle w:val="Footnote"/>
          </w:rPr>
          <w:t xml:space="preserve"> </w:t>
        </w:r>
        <w:r w:rsidRPr="00506C28">
          <w:rPr>
            <w:rStyle w:val="Footnote"/>
            <w:color w:val="0071BB"/>
            <w:u w:val="single"/>
          </w:rPr>
          <w:t>Konwencji</w:t>
        </w:r>
      </w:hyperlink>
      <w:r w:rsidRPr="00506C28">
        <w:rPr>
          <w:rStyle w:val="Footnote"/>
        </w:rPr>
        <w:t>.</w:t>
      </w:r>
    </w:p>
  </w:footnote>
  <w:footnote w:id="15">
    <w:p w14:paraId="0EF3C17E" w14:textId="77777777" w:rsidR="00CA6807" w:rsidRPr="00506C28" w:rsidRDefault="00CA6807" w:rsidP="00CA6807">
      <w:pPr>
        <w:pStyle w:val="Footnote0"/>
      </w:pPr>
      <w:r w:rsidRPr="00506C28">
        <w:rPr>
          <w:rStyle w:val="Footnote"/>
          <w:vertAlign w:val="superscript"/>
        </w:rPr>
        <w:footnoteRef/>
      </w:r>
      <w:r w:rsidRPr="00506C28">
        <w:rPr>
          <w:rStyle w:val="Footnote"/>
        </w:rPr>
        <w:t xml:space="preserve"> Niniejszy wyrok stanie się ostateczny w okolicznościach określonych w art. 44 § 2</w:t>
      </w:r>
      <w:hyperlink r:id="rId28" w:history="1">
        <w:r w:rsidRPr="00506C28">
          <w:rPr>
            <w:rStyle w:val="Footnote"/>
          </w:rPr>
          <w:t xml:space="preserve"> </w:t>
        </w:r>
        <w:r w:rsidRPr="00506C28">
          <w:rPr>
            <w:rStyle w:val="Footnote"/>
            <w:color w:val="0071BB"/>
            <w:u w:val="single"/>
          </w:rPr>
          <w:t>Konwencji</w:t>
        </w:r>
      </w:hyperlink>
      <w:r w:rsidRPr="00506C28">
        <w:rPr>
          <w:rStyle w:val="Footnote"/>
        </w:rPr>
        <w:t>.</w:t>
      </w:r>
    </w:p>
  </w:footnote>
  <w:footnote w:id="16">
    <w:p w14:paraId="2AE604FF" w14:textId="77777777" w:rsidR="00782109" w:rsidRPr="00506C28" w:rsidRDefault="009130BA">
      <w:pPr>
        <w:pStyle w:val="Footnote0"/>
      </w:pPr>
      <w:bookmarkStart w:id="38" w:name="bookmark19"/>
      <w:r w:rsidRPr="00506C28">
        <w:rPr>
          <w:rStyle w:val="Footnote"/>
          <w:vertAlign w:val="superscript"/>
          <w:lang w:eastAsia="fr-FR"/>
        </w:rPr>
        <w:footnoteRef/>
      </w:r>
      <w:r w:rsidRPr="00506C28">
        <w:rPr>
          <w:rStyle w:val="Footnote"/>
          <w:lang w:eastAsia="fr-FR"/>
        </w:rPr>
        <w:t xml:space="preserve"> . Zob. przypis 15 </w:t>
      </w:r>
      <w:r w:rsidRPr="00506C28">
        <w:rPr>
          <w:rStyle w:val="Footnote"/>
        </w:rPr>
        <w:t>powyżej.</w:t>
      </w:r>
      <w:bookmarkEnd w:id="38"/>
    </w:p>
  </w:footnote>
  <w:footnote w:id="17">
    <w:p w14:paraId="555A7424" w14:textId="77777777" w:rsidR="00782109" w:rsidRPr="00506C28" w:rsidRDefault="009130BA">
      <w:pPr>
        <w:pStyle w:val="Footnote0"/>
      </w:pPr>
      <w:r w:rsidRPr="00506C28">
        <w:rPr>
          <w:rStyle w:val="Footnote"/>
          <w:vertAlign w:val="superscript"/>
          <w:lang w:eastAsia="fr-FR"/>
        </w:rPr>
        <w:footnoteRef/>
      </w:r>
      <w:r w:rsidRPr="00506C28">
        <w:rPr>
          <w:rStyle w:val="Footnote"/>
          <w:lang w:eastAsia="fr-FR"/>
        </w:rPr>
        <w:t xml:space="preserve"> . Zob. przypis 15 </w:t>
      </w:r>
      <w:r w:rsidRPr="00506C28">
        <w:rPr>
          <w:rStyle w:val="Footnote"/>
        </w:rPr>
        <w:t>powyżej.</w:t>
      </w:r>
    </w:p>
  </w:footnote>
  <w:footnote w:id="18">
    <w:p w14:paraId="0A266A30" w14:textId="13208BDF" w:rsidR="00782109" w:rsidRDefault="009130BA">
      <w:pPr>
        <w:pStyle w:val="Footnote0"/>
      </w:pPr>
      <w:r w:rsidRPr="00506C28">
        <w:rPr>
          <w:rStyle w:val="Footnote"/>
          <w:vertAlign w:val="superscript"/>
        </w:rPr>
        <w:footnoteRef/>
      </w:r>
      <w:r w:rsidRPr="00506C28">
        <w:rPr>
          <w:rStyle w:val="Footnote"/>
        </w:rPr>
        <w:t xml:space="preserve"> . Istnieją cztery</w:t>
      </w:r>
      <w:hyperlink r:id="rId29" w:history="1">
        <w:r w:rsidR="00782109" w:rsidRPr="00506C28">
          <w:rPr>
            <w:rStyle w:val="Footnote"/>
          </w:rPr>
          <w:t xml:space="preserve"> </w:t>
        </w:r>
        <w:r w:rsidR="00782109" w:rsidRPr="00506C28">
          <w:rPr>
            <w:rStyle w:val="Footnote"/>
            <w:color w:val="0071BB"/>
            <w:u w:val="single"/>
          </w:rPr>
          <w:t>konwencje genewskie z dnia 12 sierpnia 1949 r</w:t>
        </w:r>
      </w:hyperlink>
      <w:r w:rsidRPr="00506C28">
        <w:rPr>
          <w:rStyle w:val="Footnote"/>
        </w:rPr>
        <w:t>.: trzecia to Konwencja genewska dotycząca traktowania jeńców wojennych, a czwarta to</w:t>
      </w:r>
      <w:r w:rsidR="001A4291" w:rsidRPr="00506C28">
        <w:rPr>
          <w:rStyle w:val="Footnote"/>
        </w:rPr>
        <w:t xml:space="preserve"> </w:t>
      </w:r>
      <w:r w:rsidR="001A4291" w:rsidRPr="00506C28">
        <w:t>Konwencja genewska dotycząca ochrony osób cywilnych w czasie wojny.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4AE7" w14:textId="77777777" w:rsidR="00782109" w:rsidRPr="00506C28" w:rsidRDefault="009130BA">
    <w:pPr>
      <w:spacing w:line="1" w:lineRule="exact"/>
    </w:pPr>
    <w:r w:rsidRPr="004E75AD">
      <w:rPr>
        <w:noProof/>
      </w:rPr>
      <mc:AlternateContent>
        <mc:Choice Requires="wps">
          <w:drawing>
            <wp:anchor distT="0" distB="0" distL="0" distR="0" simplePos="0" relativeHeight="251648000" behindDoc="1" locked="0" layoutInCell="1" allowOverlap="1" wp14:anchorId="7F285FBA" wp14:editId="4AED5057">
              <wp:simplePos x="0" y="0"/>
              <wp:positionH relativeFrom="page">
                <wp:posOffset>5955030</wp:posOffset>
              </wp:positionH>
              <wp:positionV relativeFrom="page">
                <wp:posOffset>485140</wp:posOffset>
              </wp:positionV>
              <wp:extent cx="1228090" cy="304800"/>
              <wp:effectExtent l="0" t="0" r="0" b="0"/>
              <wp:wrapNone/>
              <wp:docPr id="5" name="Shape 5"/>
              <wp:cNvGraphicFramePr/>
              <a:graphic xmlns:a="http://schemas.openxmlformats.org/drawingml/2006/main">
                <a:graphicData uri="http://schemas.microsoft.com/office/word/2010/wordprocessingShape">
                  <wps:wsp>
                    <wps:cNvSpPr txBox="1"/>
                    <wps:spPr>
                      <a:xfrm>
                        <a:off x="0" y="0"/>
                        <a:ext cx="1228090" cy="304800"/>
                      </a:xfrm>
                      <a:prstGeom prst="rect">
                        <a:avLst/>
                      </a:prstGeom>
                      <a:noFill/>
                    </wps:spPr>
                    <wps:txbx>
                      <w:txbxContent>
                        <w:p w14:paraId="5857DA6B"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eastAsia="en-US"/>
                            </w:rPr>
                            <w:t>Press Unit</w:t>
                          </w:r>
                        </w:p>
                        <w:p w14:paraId="3D6323D9"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Unité de la Presse</w:t>
                          </w:r>
                        </w:p>
                      </w:txbxContent>
                    </wps:txbx>
                    <wps:bodyPr wrap="none" lIns="0" tIns="0" rIns="0" bIns="0">
                      <a:spAutoFit/>
                    </wps:bodyPr>
                  </wps:wsp>
                </a:graphicData>
              </a:graphic>
            </wp:anchor>
          </w:drawing>
        </mc:Choice>
        <mc:Fallback>
          <w:pict>
            <v:shapetype w14:anchorId="7F285FBA" id="_x0000_t202" coordsize="21600,21600" o:spt="202" path="m,l,21600r21600,l21600,xe">
              <v:stroke joinstyle="miter"/>
              <v:path gradientshapeok="t" o:connecttype="rect"/>
            </v:shapetype>
            <v:shape id="Shape 5" o:spid="_x0000_s1026" type="#_x0000_t202" style="position:absolute;margin-left:468.9pt;margin-top:38.2pt;width:96.7pt;height:24pt;z-index:-2516684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" filled="f" stroked="f">
              <v:textbox style="mso-fit-shape-to-text:t" inset="0,0,0,0">
                <w:txbxContent>
                  <w:p w14:paraId="5857DA6B"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eastAsia="en-US"/>
                      </w:rPr>
                      <w:t>Press Unit</w:t>
                    </w:r>
                  </w:p>
                  <w:p w14:paraId="3D6323D9"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Unité de la Presse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5720C" w14:textId="77777777" w:rsidR="00782109" w:rsidRPr="00506C28" w:rsidRDefault="009130BA">
    <w:pPr>
      <w:spacing w:line="1" w:lineRule="exact"/>
    </w:pPr>
    <w:r w:rsidRPr="004E75AD">
      <w:rPr>
        <w:noProof/>
      </w:rPr>
      <mc:AlternateContent>
        <mc:Choice Requires="wps">
          <w:drawing>
            <wp:anchor distT="0" distB="0" distL="0" distR="0" simplePos="0" relativeHeight="251646976" behindDoc="1" locked="0" layoutInCell="1" allowOverlap="1" wp14:anchorId="0D2FF77E" wp14:editId="0436671B">
              <wp:simplePos x="0" y="0"/>
              <wp:positionH relativeFrom="page">
                <wp:posOffset>5955030</wp:posOffset>
              </wp:positionH>
              <wp:positionV relativeFrom="page">
                <wp:posOffset>485140</wp:posOffset>
              </wp:positionV>
              <wp:extent cx="1228090" cy="304800"/>
              <wp:effectExtent l="0" t="0" r="0" b="0"/>
              <wp:wrapNone/>
              <wp:docPr id="3" name="Shape 3"/>
              <wp:cNvGraphicFramePr/>
              <a:graphic xmlns:a="http://schemas.openxmlformats.org/drawingml/2006/main">
                <a:graphicData uri="http://schemas.microsoft.com/office/word/2010/wordprocessingShape">
                  <wps:wsp>
                    <wps:cNvSpPr txBox="1"/>
                    <wps:spPr>
                      <a:xfrm>
                        <a:off x="0" y="0"/>
                        <a:ext cx="1228090" cy="304800"/>
                      </a:xfrm>
                      <a:prstGeom prst="rect">
                        <a:avLst/>
                      </a:prstGeom>
                      <a:noFill/>
                    </wps:spPr>
                    <wps:txbx>
                      <w:txbxContent>
                        <w:p w14:paraId="25904A45"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eastAsia="en-US"/>
                            </w:rPr>
                            <w:t>Press Unit</w:t>
                          </w:r>
                        </w:p>
                        <w:p w14:paraId="2B7E1096"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Unité de la Presse</w:t>
                          </w:r>
                        </w:p>
                      </w:txbxContent>
                    </wps:txbx>
                    <wps:bodyPr wrap="none" lIns="0" tIns="0" rIns="0" bIns="0">
                      <a:spAutoFit/>
                    </wps:bodyPr>
                  </wps:wsp>
                </a:graphicData>
              </a:graphic>
            </wp:anchor>
          </w:drawing>
        </mc:Choice>
        <mc:Fallback>
          <w:pict>
            <v:shapetype w14:anchorId="0D2FF77E" id="_x0000_t202" coordsize="21600,21600" o:spt="202" path="m,l,21600r21600,l21600,xe">
              <v:stroke joinstyle="miter"/>
              <v:path gradientshapeok="t" o:connecttype="rect"/>
            </v:shapetype>
            <v:shape id="Shape 3" o:spid="_x0000_s1027" type="#_x0000_t202" style="position:absolute;margin-left:468.9pt;margin-top:38.2pt;width:96.7pt;height:24pt;z-index:-2516695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" filled="f" stroked="f">
              <v:textbox style="mso-fit-shape-to-text:t" inset="0,0,0,0">
                <w:txbxContent>
                  <w:p w14:paraId="25904A45"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eastAsia="en-US"/>
                      </w:rPr>
                      <w:t>Press Unit</w:t>
                    </w:r>
                  </w:p>
                  <w:p w14:paraId="2B7E1096"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Unité de la Presse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B6A36" w14:textId="77777777" w:rsidR="00590241" w:rsidRPr="00506C28" w:rsidRDefault="00590241">
    <w:pPr>
      <w:spacing w:line="1" w:lineRule="exact"/>
    </w:pPr>
  </w:p>
  <w:p w14:paraId="2F80B340" w14:textId="1B132DA9" w:rsidR="00782109" w:rsidRPr="00506C28" w:rsidRDefault="009130BA">
    <w:pPr>
      <w:spacing w:line="1" w:lineRule="exact"/>
    </w:pPr>
    <w:r w:rsidRPr="004E75AD">
      <w:rPr>
        <w:noProof/>
      </w:rPr>
      <mc:AlternateContent>
        <mc:Choice Requires="wps">
          <w:drawing>
            <wp:anchor distT="0" distB="0" distL="0" distR="0" simplePos="0" relativeHeight="251651072" behindDoc="1" locked="0" layoutInCell="1" allowOverlap="1" wp14:anchorId="361E317A" wp14:editId="57921A98">
              <wp:simplePos x="0" y="0"/>
              <wp:positionH relativeFrom="page">
                <wp:posOffset>5994400</wp:posOffset>
              </wp:positionH>
              <wp:positionV relativeFrom="page">
                <wp:posOffset>400050</wp:posOffset>
              </wp:positionV>
              <wp:extent cx="1141730" cy="321310"/>
              <wp:effectExtent l="0" t="0" r="0" b="0"/>
              <wp:wrapTight wrapText="bothSides">
                <wp:wrapPolygon edited="0">
                  <wp:start x="0" y="0"/>
                  <wp:lineTo x="0" y="21600"/>
                  <wp:lineTo x="21600" y="21600"/>
                  <wp:lineTo x="21600" y="0"/>
                </wp:wrapPolygon>
              </wp:wrapTight>
              <wp:docPr id="15" name="Shape 15"/>
              <wp:cNvGraphicFramePr/>
              <a:graphic xmlns:a="http://schemas.openxmlformats.org/drawingml/2006/main">
                <a:graphicData uri="http://schemas.microsoft.com/office/word/2010/wordprocessingShape">
                  <wps:wsp>
                    <wps:cNvSpPr txBox="1"/>
                    <wps:spPr>
                      <a:xfrm>
                        <a:off x="0" y="0"/>
                        <a:ext cx="1141730" cy="321310"/>
                      </a:xfrm>
                      <a:prstGeom prst="rect">
                        <a:avLst/>
                      </a:prstGeom>
                      <a:noFill/>
                    </wps:spPr>
                    <wps:txbx>
                      <w:txbxContent>
                        <w:p w14:paraId="31D37CCE" w14:textId="77777777" w:rsidR="00782109" w:rsidRPr="00506C28" w:rsidRDefault="009130BA" w:rsidP="00590241">
                          <w:pPr>
                            <w:pStyle w:val="Headerorfooter20"/>
                            <w:jc w:val="right"/>
                            <w:rPr>
                              <w:sz w:val="22"/>
                              <w:szCs w:val="22"/>
                              <w:lang w:val="pl-PL"/>
                            </w:rPr>
                          </w:pPr>
                          <w:bookmarkStart w:id="15" w:name="_Hlk206415133"/>
                          <w:bookmarkStart w:id="16" w:name="_Hlk206415134"/>
                          <w:bookmarkStart w:id="17" w:name="_Hlk206415212"/>
                          <w:bookmarkStart w:id="18" w:name="_Hlk206415213"/>
                          <w:bookmarkStart w:id="19" w:name="_Hlk206415215"/>
                          <w:bookmarkStart w:id="20" w:name="_Hlk206415216"/>
                          <w:bookmarkStart w:id="21" w:name="_Hlk206415217"/>
                          <w:bookmarkStart w:id="22" w:name="_Hlk206415218"/>
                          <w:bookmarkStart w:id="23" w:name="_Hlk206415219"/>
                          <w:bookmarkStart w:id="24" w:name="_Hlk206415220"/>
                          <w:r w:rsidRPr="00506C28">
                            <w:rPr>
                              <w:rStyle w:val="Headerorfooter2"/>
                              <w:rFonts w:ascii="Arial" w:eastAsia="Arial" w:hAnsi="Arial" w:cs="Arial"/>
                              <w:i/>
                              <w:iCs/>
                              <w:color w:val="206AA2"/>
                              <w:sz w:val="22"/>
                              <w:szCs w:val="22"/>
                              <w:lang w:val="pl-PL"/>
                            </w:rPr>
                            <w:t xml:space="preserve">Press </w:t>
                          </w:r>
                          <w:r w:rsidRPr="00506C28">
                            <w:rPr>
                              <w:rStyle w:val="Headerorfooter2"/>
                              <w:rFonts w:ascii="Arial" w:eastAsia="Arial" w:hAnsi="Arial" w:cs="Arial"/>
                              <w:i/>
                              <w:iCs/>
                              <w:color w:val="206AA2"/>
                              <w:sz w:val="22"/>
                              <w:szCs w:val="22"/>
                              <w:lang w:val="pl-PL" w:eastAsia="en-US"/>
                            </w:rPr>
                            <w:t>Unit</w:t>
                          </w:r>
                        </w:p>
                        <w:p w14:paraId="1967AE0D" w14:textId="77777777" w:rsidR="00782109" w:rsidRPr="00506C28" w:rsidRDefault="009130BA" w:rsidP="00590241">
                          <w:pPr>
                            <w:pStyle w:val="Headerorfooter20"/>
                            <w:jc w:val="right"/>
                            <w:rPr>
                              <w:sz w:val="22"/>
                              <w:szCs w:val="22"/>
                              <w:lang w:val="pl-PL"/>
                            </w:rPr>
                          </w:pPr>
                          <w:r w:rsidRPr="00506C28">
                            <w:rPr>
                              <w:rStyle w:val="Headerorfooter2"/>
                              <w:rFonts w:ascii="Arial" w:eastAsia="Arial" w:hAnsi="Arial" w:cs="Arial"/>
                              <w:i/>
                              <w:iCs/>
                              <w:color w:val="206AA2"/>
                              <w:sz w:val="22"/>
                              <w:szCs w:val="22"/>
                              <w:lang w:val="pl-PL"/>
                            </w:rPr>
                            <w:t>Unité de la Presse</w:t>
                          </w:r>
                          <w:bookmarkEnd w:id="15"/>
                          <w:bookmarkEnd w:id="16"/>
                          <w:bookmarkEnd w:id="17"/>
                          <w:bookmarkEnd w:id="18"/>
                          <w:bookmarkEnd w:id="19"/>
                          <w:bookmarkEnd w:id="20"/>
                          <w:bookmarkEnd w:id="21"/>
                          <w:bookmarkEnd w:id="22"/>
                          <w:bookmarkEnd w:id="23"/>
                          <w:bookmarkEnd w:id="24"/>
                        </w:p>
                      </w:txbxContent>
                    </wps:txbx>
                    <wps:bodyPr wrap="none" lIns="0" tIns="0" rIns="0" bIns="0">
                      <a:spAutoFit/>
                    </wps:bodyPr>
                  </wps:wsp>
                </a:graphicData>
              </a:graphic>
            </wp:anchor>
          </w:drawing>
        </mc:Choice>
        <mc:Fallback>
          <w:pict>
            <v:shapetype w14:anchorId="361E317A" id="_x0000_t202" coordsize="21600,21600" o:spt="202" path="m,l,21600r21600,l21600,xe">
              <v:stroke joinstyle="miter"/>
              <v:path gradientshapeok="t" o:connecttype="rect"/>
            </v:shapetype>
            <v:shape id="Shape 15" o:spid="_x0000_s1028" type="#_x0000_t202" style="position:absolute;margin-left:472pt;margin-top:31.5pt;width:89.9pt;height:25.3pt;z-index:-2516654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" filled="f" stroked="f">
              <v:textbox style="mso-fit-shape-to-text:t" inset="0,0,0,0">
                <w:txbxContent>
                  <w:p w14:paraId="31D37CCE" w14:textId="77777777" w:rsidR="00782109" w:rsidRPr="00506C28" w:rsidRDefault="009130BA" w:rsidP="00590241">
                    <w:pPr>
                      <w:pStyle w:val="Headerorfooter20"/>
                      <w:jc w:val="right"/>
                      <w:rPr>
                        <w:sz w:val="22"/>
                        <w:szCs w:val="22"/>
                        <w:lang w:val="pl-PL"/>
                      </w:rPr>
                    </w:pPr>
                    <w:bookmarkStart w:id="278" w:name="_Hlk206415133"/>
                    <w:bookmarkStart w:id="279" w:name="_Hlk206415134"/>
                    <w:bookmarkStart w:id="280" w:name="_Hlk206415212"/>
                    <w:bookmarkStart w:id="281" w:name="_Hlk206415213"/>
                    <w:bookmarkStart w:id="282" w:name="_Hlk206415215"/>
                    <w:bookmarkStart w:id="283" w:name="_Hlk206415216"/>
                    <w:bookmarkStart w:id="284" w:name="_Hlk206415217"/>
                    <w:bookmarkStart w:id="285" w:name="_Hlk206415218"/>
                    <w:bookmarkStart w:id="286" w:name="_Hlk206415219"/>
                    <w:bookmarkStart w:id="287" w:name="_Hlk206415220"/>
                    <w:r w:rsidRPr="00506C28">
                      <w:rPr>
                        <w:rStyle w:val="Headerorfooter2"/>
                        <w:rFonts w:ascii="Arial" w:eastAsia="Arial" w:hAnsi="Arial" w:cs="Arial"/>
                        <w:i/>
                        <w:iCs/>
                        <w:color w:val="206AA2"/>
                        <w:sz w:val="22"/>
                        <w:szCs w:val="22"/>
                        <w:lang w:val="pl-PL"/>
                      </w:rPr>
                      <w:t xml:space="preserve">Press </w:t>
                    </w:r>
                    <w:r w:rsidRPr="00506C28">
                      <w:rPr>
                        <w:rStyle w:val="Headerorfooter2"/>
                        <w:rFonts w:ascii="Arial" w:eastAsia="Arial" w:hAnsi="Arial" w:cs="Arial"/>
                        <w:i/>
                        <w:iCs/>
                        <w:color w:val="206AA2"/>
                        <w:sz w:val="22"/>
                        <w:szCs w:val="22"/>
                        <w:lang w:val="pl-PL" w:eastAsia="en-US"/>
                      </w:rPr>
                      <w:t>Unit</w:t>
                    </w:r>
                  </w:p>
                  <w:p w14:paraId="1967AE0D" w14:textId="77777777" w:rsidR="00782109" w:rsidRPr="00506C28" w:rsidRDefault="009130BA" w:rsidP="00590241">
                    <w:pPr>
                      <w:pStyle w:val="Headerorfooter20"/>
                      <w:jc w:val="right"/>
                      <w:rPr>
                        <w:sz w:val="22"/>
                        <w:szCs w:val="22"/>
                        <w:lang w:val="pl-PL"/>
                      </w:rPr>
                    </w:pPr>
                    <w:r w:rsidRPr="00506C28">
                      <w:rPr>
                        <w:rStyle w:val="Headerorfooter2"/>
                        <w:rFonts w:ascii="Arial" w:eastAsia="Arial" w:hAnsi="Arial" w:cs="Arial"/>
                        <w:i/>
                        <w:iCs/>
                        <w:color w:val="206AA2"/>
                        <w:sz w:val="22"/>
                        <w:szCs w:val="22"/>
                        <w:lang w:val="pl-PL"/>
                      </w:rPr>
                      <w:t>Unité de la Presse</w:t>
                    </w:r>
                    <w:bookmarkEnd w:id="278"/>
                    <w:bookmarkEnd w:id="279"/>
                    <w:bookmarkEnd w:id="280"/>
                    <w:bookmarkEnd w:id="281"/>
                    <w:bookmarkEnd w:id="282"/>
                    <w:bookmarkEnd w:id="283"/>
                    <w:bookmarkEnd w:id="284"/>
                    <w:bookmarkEnd w:id="285"/>
                    <w:bookmarkEnd w:id="286"/>
                    <w:bookmarkEnd w:id="287"/>
                  </w:p>
                </w:txbxContent>
              </v:textbox>
              <w10:wrap type="tight" anchorx="page" anchory="page"/>
            </v:shape>
          </w:pict>
        </mc:Fallback>
      </mc:AlternateContent>
    </w:r>
    <w:r w:rsidRPr="004E75AD">
      <w:rPr>
        <w:noProof/>
      </w:rPr>
      <mc:AlternateContent>
        <mc:Choice Requires="wps">
          <w:drawing>
            <wp:anchor distT="0" distB="0" distL="0" distR="0" simplePos="0" relativeHeight="251652096" behindDoc="1" locked="0" layoutInCell="1" allowOverlap="1" wp14:anchorId="6C9A5AB1" wp14:editId="02F56DB9">
              <wp:simplePos x="0" y="0"/>
              <wp:positionH relativeFrom="page">
                <wp:posOffset>447675</wp:posOffset>
              </wp:positionH>
              <wp:positionV relativeFrom="page">
                <wp:posOffset>667385</wp:posOffset>
              </wp:positionV>
              <wp:extent cx="2807335" cy="106680"/>
              <wp:effectExtent l="0" t="0" r="0" b="0"/>
              <wp:wrapNone/>
              <wp:docPr id="17" name="Shape 17"/>
              <wp:cNvGraphicFramePr/>
              <a:graphic xmlns:a="http://schemas.openxmlformats.org/drawingml/2006/main">
                <a:graphicData uri="http://schemas.microsoft.com/office/word/2010/wordprocessingShape">
                  <wps:wsp>
                    <wps:cNvSpPr txBox="1"/>
                    <wps:spPr>
                      <a:xfrm>
                        <a:off x="0" y="0"/>
                        <a:ext cx="2807335" cy="106680"/>
                      </a:xfrm>
                      <a:prstGeom prst="rect">
                        <a:avLst/>
                      </a:prstGeom>
                      <a:noFill/>
                    </wps:spPr>
                    <wps:txbx>
                      <w:txbxContent>
                        <w:p w14:paraId="6B83C6B9" w14:textId="65FBF61D" w:rsidR="00782109" w:rsidRPr="00506C28" w:rsidRDefault="009130BA">
                          <w:pPr>
                            <w:pStyle w:val="Headerorfooter20"/>
                            <w:rPr>
                              <w:rStyle w:val="Headerorfooter2"/>
                              <w:rFonts w:ascii="Calibri" w:eastAsia="Calibri" w:hAnsi="Calibri" w:cs="Calibri"/>
                              <w:sz w:val="19"/>
                              <w:szCs w:val="19"/>
                              <w:lang w:val="pl-PL" w:eastAsia="pl-PL"/>
                            </w:rPr>
                          </w:pPr>
                          <w:r w:rsidRPr="00506C28">
                            <w:rPr>
                              <w:rStyle w:val="Headerorfooter2"/>
                              <w:rFonts w:ascii="Calibri" w:eastAsia="Calibri" w:hAnsi="Calibri" w:cs="Calibri"/>
                              <w:sz w:val="19"/>
                              <w:szCs w:val="19"/>
                              <w:lang w:val="pl-PL" w:eastAsia="pl-PL"/>
                            </w:rPr>
                            <w:t xml:space="preserve">Arkusz informacyjny – </w:t>
                          </w:r>
                          <w:r w:rsidR="005C6EBB" w:rsidRPr="00506C28">
                            <w:rPr>
                              <w:rStyle w:val="Headerorfooter2"/>
                              <w:rFonts w:ascii="Calibri" w:eastAsia="Calibri" w:hAnsi="Calibri" w:cs="Calibri"/>
                              <w:sz w:val="19"/>
                              <w:szCs w:val="19"/>
                              <w:lang w:val="pl-PL" w:eastAsia="pl-PL"/>
                            </w:rPr>
                            <w:t>Uchylenia</w:t>
                          </w:r>
                          <w:r w:rsidRPr="00506C28">
                            <w:rPr>
                              <w:rStyle w:val="Headerorfooter2"/>
                              <w:rFonts w:ascii="Calibri" w:eastAsia="Calibri" w:hAnsi="Calibri" w:cs="Calibri"/>
                              <w:sz w:val="19"/>
                              <w:szCs w:val="19"/>
                              <w:lang w:val="pl-PL" w:eastAsia="pl-PL"/>
                            </w:rPr>
                            <w:t xml:space="preserve"> w sytuacjach</w:t>
                          </w:r>
                          <w:r w:rsidR="00862412" w:rsidRPr="00506C28">
                            <w:rPr>
                              <w:rStyle w:val="Headerorfooter2"/>
                              <w:rFonts w:ascii="Calibri" w:eastAsia="Calibri" w:hAnsi="Calibri" w:cs="Calibri"/>
                              <w:sz w:val="19"/>
                              <w:szCs w:val="19"/>
                              <w:lang w:val="pl-PL" w:eastAsia="pl-PL"/>
                            </w:rPr>
                            <w:t xml:space="preserve"> nadzwyczajny</w:t>
                          </w:r>
                          <w:r w:rsidR="00590241" w:rsidRPr="00506C28">
                            <w:rPr>
                              <w:rStyle w:val="Headerorfooter2"/>
                              <w:rFonts w:ascii="Calibri" w:eastAsia="Calibri" w:hAnsi="Calibri" w:cs="Calibri"/>
                              <w:sz w:val="19"/>
                              <w:szCs w:val="19"/>
                              <w:lang w:val="pl-PL" w:eastAsia="pl-PL"/>
                            </w:rPr>
                            <w:t>c</w:t>
                          </w:r>
                          <w:r w:rsidR="00862412" w:rsidRPr="00506C28">
                            <w:rPr>
                              <w:rStyle w:val="Headerorfooter2"/>
                              <w:rFonts w:ascii="Calibri" w:eastAsia="Calibri" w:hAnsi="Calibri" w:cs="Calibri"/>
                              <w:sz w:val="19"/>
                              <w:szCs w:val="19"/>
                              <w:lang w:val="pl-PL" w:eastAsia="pl-PL"/>
                            </w:rPr>
                            <w:t>h</w:t>
                          </w:r>
                        </w:p>
                        <w:p w14:paraId="0169BB9C" w14:textId="77777777" w:rsidR="00862412" w:rsidRPr="00506C28" w:rsidRDefault="00862412">
                          <w:pPr>
                            <w:pStyle w:val="Headerorfooter20"/>
                            <w:rPr>
                              <w:sz w:val="19"/>
                              <w:szCs w:val="19"/>
                              <w:lang w:val="pl-PL"/>
                            </w:rPr>
                          </w:pPr>
                        </w:p>
                      </w:txbxContent>
                    </wps:txbx>
                    <wps:bodyPr wrap="none" lIns="0" tIns="0" rIns="0" bIns="0">
                      <a:spAutoFit/>
                    </wps:bodyPr>
                  </wps:wsp>
                </a:graphicData>
              </a:graphic>
              <wp14:sizeRelH relativeFrom="margin">
                <wp14:pctWidth>0</wp14:pctWidth>
              </wp14:sizeRelH>
            </wp:anchor>
          </w:drawing>
        </mc:Choice>
        <mc:Fallback>
          <w:pict>
            <v:shapetype w14:anchorId="6C9A5AB1" id="_x0000_t202" coordsize="21600,21600" o:spt="202" path="m,l,21600r21600,l21600,xe">
              <v:stroke joinstyle="miter"/>
              <v:path gradientshapeok="t" o:connecttype="rect"/>
            </v:shapetype>
            <v:shape id="Shape 17" o:spid="_x0000_s1029" type="#_x0000_t202" style="position:absolute;margin-left:35.25pt;margin-top:52.55pt;width:221.05pt;height:8.4pt;z-index:-251664384;visibility:visible;mso-wrap-style:non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" filled="f" stroked="f">
              <v:textbox style="mso-fit-shape-to-text:t" inset="0,0,0,0">
                <w:txbxContent>
                  <w:p w14:paraId="6B83C6B9" w14:textId="65FBF61D" w:rsidR="00782109" w:rsidRPr="00506C28" w:rsidRDefault="009130BA">
                    <w:pPr>
                      <w:pStyle w:val="Headerorfooter20"/>
                      <w:rPr>
                        <w:rStyle w:val="Headerorfooter2"/>
                        <w:rFonts w:ascii="Calibri" w:eastAsia="Calibri" w:hAnsi="Calibri" w:cs="Calibri"/>
                        <w:sz w:val="19"/>
                        <w:szCs w:val="19"/>
                        <w:lang w:val="pl-PL" w:eastAsia="pl-PL"/>
                      </w:rPr>
                    </w:pPr>
                    <w:r w:rsidRPr="00506C28">
                      <w:rPr>
                        <w:rStyle w:val="Headerorfooter2"/>
                        <w:rFonts w:ascii="Calibri" w:eastAsia="Calibri" w:hAnsi="Calibri" w:cs="Calibri"/>
                        <w:sz w:val="19"/>
                        <w:szCs w:val="19"/>
                        <w:lang w:val="pl-PL" w:eastAsia="pl-PL"/>
                      </w:rPr>
                      <w:t xml:space="preserve">Arkusz informacyjny – </w:t>
                    </w:r>
                    <w:r w:rsidR="005C6EBB" w:rsidRPr="00506C28">
                      <w:rPr>
                        <w:rStyle w:val="Headerorfooter2"/>
                        <w:rFonts w:ascii="Calibri" w:eastAsia="Calibri" w:hAnsi="Calibri" w:cs="Calibri"/>
                        <w:sz w:val="19"/>
                        <w:szCs w:val="19"/>
                        <w:lang w:val="pl-PL" w:eastAsia="pl-PL"/>
                      </w:rPr>
                      <w:t>Uchylenia</w:t>
                    </w:r>
                    <w:r w:rsidRPr="00506C28">
                      <w:rPr>
                        <w:rStyle w:val="Headerorfooter2"/>
                        <w:rFonts w:ascii="Calibri" w:eastAsia="Calibri" w:hAnsi="Calibri" w:cs="Calibri"/>
                        <w:sz w:val="19"/>
                        <w:szCs w:val="19"/>
                        <w:lang w:val="pl-PL" w:eastAsia="pl-PL"/>
                      </w:rPr>
                      <w:t xml:space="preserve"> w sytuacjach</w:t>
                    </w:r>
                    <w:r w:rsidR="00862412" w:rsidRPr="00506C28">
                      <w:rPr>
                        <w:rStyle w:val="Headerorfooter2"/>
                        <w:rFonts w:ascii="Calibri" w:eastAsia="Calibri" w:hAnsi="Calibri" w:cs="Calibri"/>
                        <w:sz w:val="19"/>
                        <w:szCs w:val="19"/>
                        <w:lang w:val="pl-PL" w:eastAsia="pl-PL"/>
                      </w:rPr>
                      <w:t xml:space="preserve"> nadzwyczajny</w:t>
                    </w:r>
                    <w:r w:rsidR="00590241" w:rsidRPr="00506C28">
                      <w:rPr>
                        <w:rStyle w:val="Headerorfooter2"/>
                        <w:rFonts w:ascii="Calibri" w:eastAsia="Calibri" w:hAnsi="Calibri" w:cs="Calibri"/>
                        <w:sz w:val="19"/>
                        <w:szCs w:val="19"/>
                        <w:lang w:val="pl-PL" w:eastAsia="pl-PL"/>
                      </w:rPr>
                      <w:t>c</w:t>
                    </w:r>
                    <w:r w:rsidR="00862412" w:rsidRPr="00506C28">
                      <w:rPr>
                        <w:rStyle w:val="Headerorfooter2"/>
                        <w:rFonts w:ascii="Calibri" w:eastAsia="Calibri" w:hAnsi="Calibri" w:cs="Calibri"/>
                        <w:sz w:val="19"/>
                        <w:szCs w:val="19"/>
                        <w:lang w:val="pl-PL" w:eastAsia="pl-PL"/>
                      </w:rPr>
                      <w:t>h</w:t>
                    </w:r>
                  </w:p>
                  <w:p w14:paraId="0169BB9C" w14:textId="77777777" w:rsidR="00862412" w:rsidRPr="00506C28" w:rsidRDefault="00862412">
                    <w:pPr>
                      <w:pStyle w:val="Headerorfooter20"/>
                      <w:rPr>
                        <w:sz w:val="19"/>
                        <w:szCs w:val="19"/>
                        <w:lang w:val="pl-PL"/>
                      </w:rPr>
                    </w:pPr>
                  </w:p>
                </w:txbxContent>
              </v:textbox>
              <w10:wrap anchorx="page" anchory="page"/>
            </v:shape>
          </w:pict>
        </mc:Fallback>
      </mc:AlternateContent>
    </w:r>
    <w:r w:rsidRPr="004E75AD">
      <w:rPr>
        <w:noProof/>
      </w:rPr>
      <mc:AlternateContent>
        <mc:Choice Requires="wps">
          <w:drawing>
            <wp:anchor distT="0" distB="0" distL="114300" distR="114300" simplePos="0" relativeHeight="251634688" behindDoc="1" locked="0" layoutInCell="1" allowOverlap="1" wp14:anchorId="33E8F6B8" wp14:editId="0B4DCDAF">
              <wp:simplePos x="0" y="0"/>
              <wp:positionH relativeFrom="page">
                <wp:posOffset>432435</wp:posOffset>
              </wp:positionH>
              <wp:positionV relativeFrom="page">
                <wp:posOffset>893445</wp:posOffset>
              </wp:positionV>
              <wp:extent cx="6793865" cy="0"/>
              <wp:effectExtent l="0" t="0" r="0" b="0"/>
              <wp:wrapNone/>
              <wp:docPr id="19" name="Shape 19"/>
              <wp:cNvGraphicFramePr/>
              <a:graphic xmlns:a="http://schemas.openxmlformats.org/drawingml/2006/main">
                <a:graphicData uri="http://schemas.microsoft.com/office/word/2010/wordprocessingShape">
                  <wps:wsp>
                    <wps:cNvCnPr/>
                    <wps:spPr>
                      <a:xfrm>
                        <a:off x="0" y="0"/>
                        <a:ext cx="6793865" cy="0"/>
                      </a:xfrm>
                      <a:prstGeom prst="straightConnector1">
                        <a:avLst/>
                      </a:prstGeom>
                      <a:ln w="12700">
                        <a:solidFill/>
                      </a:ln>
                    </wps:spPr>
                    <wps:bodyPr/>
                  </wps:wsp>
                </a:graphicData>
              </a:graphic>
            </wp:anchor>
          </w:drawing>
        </mc:Choice>
        <mc:Fallback>
          <w:pict>
            <v:shape o:spt="32" o:oned="true" path="m,l21600,21600e" style="position:absolute;margin-left:34.049999999999997pt;margin-top:70.350000000000009pt;width:534.95000000000005pt;height:0;z-index:-251658240;mso-position-horizontal-relative:page;mso-position-vertical-relative:page">
              <v:stroke weight="1.pt"/>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2587" w14:textId="3FF8E741" w:rsidR="00CB3234" w:rsidRPr="00506C28" w:rsidRDefault="00CB3234">
    <w:pPr>
      <w:pStyle w:val="Nagwek"/>
    </w:pPr>
    <w:bookmarkStart w:id="25" w:name="_Hlk206487047"/>
  </w:p>
  <w:p w14:paraId="6DC8CB71" w14:textId="4ACC8A8B" w:rsidR="00CB3234" w:rsidRPr="00506C28" w:rsidRDefault="00380098" w:rsidP="00CB3234">
    <w:pPr>
      <w:pStyle w:val="Nagwek"/>
    </w:pPr>
    <w:r w:rsidRPr="004E75AD">
      <w:rPr>
        <w:noProof/>
      </w:rPr>
      <mc:AlternateContent>
        <mc:Choice Requires="wps">
          <w:drawing>
            <wp:anchor distT="0" distB="0" distL="114300" distR="114300" simplePos="0" relativeHeight="251682816" behindDoc="0" locked="0" layoutInCell="1" allowOverlap="1" wp14:anchorId="3466148C" wp14:editId="33676876">
              <wp:simplePos x="0" y="0"/>
              <wp:positionH relativeFrom="column">
                <wp:posOffset>5295900</wp:posOffset>
              </wp:positionH>
              <wp:positionV relativeFrom="paragraph">
                <wp:posOffset>125730</wp:posOffset>
              </wp:positionV>
              <wp:extent cx="1346200" cy="584200"/>
              <wp:effectExtent l="0" t="0" r="6350" b="6350"/>
              <wp:wrapNone/>
              <wp:docPr id="1916391110" name="Pole tekstowe 1"/>
              <wp:cNvGraphicFramePr/>
              <a:graphic xmlns:a="http://schemas.openxmlformats.org/drawingml/2006/main">
                <a:graphicData uri="http://schemas.microsoft.com/office/word/2010/wordprocessingShape">
                  <wps:wsp>
                    <wps:cNvSpPr txBox="1"/>
                    <wps:spPr>
                      <a:xfrm>
                        <a:off x="0" y="0"/>
                        <a:ext cx="1346200" cy="584200"/>
                      </a:xfrm>
                      <a:prstGeom prst="rect">
                        <a:avLst/>
                      </a:prstGeom>
                      <a:solidFill>
                        <a:schemeClr val="lt1"/>
                      </a:solidFill>
                      <a:ln w="6350">
                        <a:noFill/>
                      </a:ln>
                    </wps:spPr>
                    <wps:txbx>
                      <w:txbxContent>
                        <w:p w14:paraId="3C1BB8BF" w14:textId="77777777" w:rsidR="00EC7FB2" w:rsidRPr="00506C28" w:rsidRDefault="00EC7FB2" w:rsidP="00EC7FB2">
                          <w:pPr>
                            <w:rPr>
                              <w:rFonts w:ascii="Times New Roman" w:eastAsia="Times New Roman" w:hAnsi="Times New Roman" w:cs="Times New Roman"/>
                              <w:color w:val="auto"/>
                              <w:sz w:val="22"/>
                              <w:szCs w:val="22"/>
                              <w:lang w:eastAsia="fr-FR"/>
                            </w:rPr>
                          </w:pPr>
                          <w:r w:rsidRPr="00506C28">
                            <w:rPr>
                              <w:rFonts w:ascii="Arial" w:eastAsia="Arial" w:hAnsi="Arial" w:cs="Arial"/>
                              <w:i/>
                              <w:iCs/>
                              <w:color w:val="206AA2"/>
                              <w:sz w:val="22"/>
                              <w:szCs w:val="22"/>
                              <w:lang w:eastAsia="fr-FR"/>
                            </w:rPr>
                            <w:t xml:space="preserve">Press </w:t>
                          </w:r>
                          <w:r w:rsidRPr="00506C28">
                            <w:rPr>
                              <w:rFonts w:ascii="Arial" w:eastAsia="Arial" w:hAnsi="Arial" w:cs="Arial"/>
                              <w:i/>
                              <w:iCs/>
                              <w:color w:val="206AA2"/>
                              <w:sz w:val="22"/>
                              <w:szCs w:val="22"/>
                              <w:lang w:eastAsia="en-US"/>
                            </w:rPr>
                            <w:t>Unit</w:t>
                          </w:r>
                        </w:p>
                        <w:p w14:paraId="0E8B43E4" w14:textId="77777777" w:rsidR="00EC7FB2" w:rsidRPr="00506C28" w:rsidRDefault="00EC7FB2" w:rsidP="00EC7FB2">
                          <w:pPr>
                            <w:rPr>
                              <w:rFonts w:ascii="Times New Roman" w:eastAsia="Times New Roman" w:hAnsi="Times New Roman" w:cs="Times New Roman"/>
                              <w:color w:val="auto"/>
                              <w:sz w:val="22"/>
                              <w:szCs w:val="22"/>
                              <w:lang w:eastAsia="fr-FR"/>
                            </w:rPr>
                          </w:pPr>
                          <w:r w:rsidRPr="00506C28">
                            <w:rPr>
                              <w:rFonts w:ascii="Arial" w:eastAsia="Arial" w:hAnsi="Arial" w:cs="Arial"/>
                              <w:i/>
                              <w:iCs/>
                              <w:color w:val="206AA2"/>
                              <w:sz w:val="22"/>
                              <w:szCs w:val="22"/>
                              <w:lang w:eastAsia="fr-FR"/>
                            </w:rPr>
                            <w:t>Unité de la Presse</w:t>
                          </w:r>
                        </w:p>
                        <w:p w14:paraId="658EE255" w14:textId="77777777" w:rsidR="00EC7FB2" w:rsidRPr="00506C28" w:rsidRDefault="00EC7F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66148C" id="_x0000_t202" coordsize="21600,21600" o:spt="202" path="m,l,21600r21600,l21600,xe">
              <v:stroke joinstyle="miter"/>
              <v:path gradientshapeok="t" o:connecttype="rect"/>
            </v:shapetype>
            <v:shape id="Pole tekstowe 1" o:spid="_x0000_s1030" type="#_x0000_t202" style="position:absolute;margin-left:417pt;margin-top:9.9pt;width:106pt;height:46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" fillcolor="white [3201]" stroked="f" strokeweight=".5pt">
              <v:textbox>
                <w:txbxContent>
                  <w:p w14:paraId="3C1BB8BF" w14:textId="77777777" w:rsidR="00EC7FB2" w:rsidRPr="00506C28" w:rsidRDefault="00EC7FB2" w:rsidP="00EC7FB2">
                    <w:pPr>
                      <w:rPr>
                        <w:rFonts w:ascii="Times New Roman" w:eastAsia="Times New Roman" w:hAnsi="Times New Roman" w:cs="Times New Roman"/>
                        <w:color w:val="auto"/>
                        <w:sz w:val="22"/>
                        <w:szCs w:val="22"/>
                        <w:lang w:eastAsia="fr-FR"/>
                      </w:rPr>
                    </w:pPr>
                    <w:r w:rsidRPr="00506C28">
                      <w:rPr>
                        <w:rFonts w:ascii="Arial" w:eastAsia="Arial" w:hAnsi="Arial" w:cs="Arial"/>
                        <w:i/>
                        <w:iCs/>
                        <w:color w:val="206AA2"/>
                        <w:sz w:val="22"/>
                        <w:szCs w:val="22"/>
                        <w:lang w:eastAsia="fr-FR"/>
                      </w:rPr>
                      <w:t xml:space="preserve">Press </w:t>
                    </w:r>
                    <w:r w:rsidRPr="00506C28">
                      <w:rPr>
                        <w:rFonts w:ascii="Arial" w:eastAsia="Arial" w:hAnsi="Arial" w:cs="Arial"/>
                        <w:i/>
                        <w:iCs/>
                        <w:color w:val="206AA2"/>
                        <w:sz w:val="22"/>
                        <w:szCs w:val="22"/>
                        <w:lang w:eastAsia="en-US"/>
                      </w:rPr>
                      <w:t>Unit</w:t>
                    </w:r>
                  </w:p>
                  <w:p w14:paraId="0E8B43E4" w14:textId="77777777" w:rsidR="00EC7FB2" w:rsidRPr="00506C28" w:rsidRDefault="00EC7FB2" w:rsidP="00EC7FB2">
                    <w:pPr>
                      <w:rPr>
                        <w:rFonts w:ascii="Times New Roman" w:eastAsia="Times New Roman" w:hAnsi="Times New Roman" w:cs="Times New Roman"/>
                        <w:color w:val="auto"/>
                        <w:sz w:val="22"/>
                        <w:szCs w:val="22"/>
                        <w:lang w:eastAsia="fr-FR"/>
                      </w:rPr>
                    </w:pPr>
                    <w:r w:rsidRPr="00506C28">
                      <w:rPr>
                        <w:rFonts w:ascii="Arial" w:eastAsia="Arial" w:hAnsi="Arial" w:cs="Arial"/>
                        <w:i/>
                        <w:iCs/>
                        <w:color w:val="206AA2"/>
                        <w:sz w:val="22"/>
                        <w:szCs w:val="22"/>
                        <w:lang w:eastAsia="fr-FR"/>
                      </w:rPr>
                      <w:t>Unité de la Presse</w:t>
                    </w:r>
                  </w:p>
                  <w:p w14:paraId="658EE255" w14:textId="77777777" w:rsidR="00EC7FB2" w:rsidRPr="00506C28" w:rsidRDefault="00EC7FB2"/>
                </w:txbxContent>
              </v:textbox>
            </v:shape>
          </w:pict>
        </mc:Fallback>
      </mc:AlternateContent>
    </w:r>
  </w:p>
  <w:p w14:paraId="26310368" w14:textId="04FB6249" w:rsidR="00CB3234" w:rsidRPr="00506C28" w:rsidRDefault="00CB3234" w:rsidP="00CB3234">
    <w:pPr>
      <w:pStyle w:val="Nagwek"/>
      <w:rPr>
        <w:sz w:val="19"/>
        <w:szCs w:val="19"/>
      </w:rPr>
    </w:pPr>
  </w:p>
  <w:p w14:paraId="4F93E9A3" w14:textId="18AEA826" w:rsidR="00EC7FB2" w:rsidRPr="00506C28" w:rsidRDefault="00EC7FB2" w:rsidP="00EC7FB2">
    <w:pPr>
      <w:pStyle w:val="Headerorfooter20"/>
      <w:rPr>
        <w:rFonts w:eastAsia="Calibri"/>
        <w:sz w:val="19"/>
        <w:szCs w:val="19"/>
        <w:lang w:val="pl-PL"/>
      </w:rPr>
    </w:pPr>
  </w:p>
  <w:p w14:paraId="3D315290" w14:textId="2C2F0FE9" w:rsidR="00EC7FB2" w:rsidRPr="00506C28" w:rsidRDefault="00CB3234" w:rsidP="00EC7FB2">
    <w:pPr>
      <w:pStyle w:val="Headerorfooter20"/>
      <w:rPr>
        <w:rFonts w:ascii="Arial" w:eastAsia="Arial" w:hAnsi="Arial" w:cs="Arial"/>
        <w:i/>
        <w:iCs/>
        <w:color w:val="206AA2"/>
        <w:sz w:val="22"/>
        <w:szCs w:val="22"/>
        <w:lang w:val="pl-PL"/>
      </w:rPr>
    </w:pPr>
    <w:r w:rsidRPr="00506C28">
      <w:rPr>
        <w:rFonts w:eastAsia="Calibri"/>
        <w:sz w:val="19"/>
        <w:szCs w:val="19"/>
        <w:lang w:val="pl-PL"/>
      </w:rPr>
      <w:t xml:space="preserve">Arkusz informacyjny – </w:t>
    </w:r>
    <w:r w:rsidR="005C6EBB" w:rsidRPr="00506C28">
      <w:rPr>
        <w:rFonts w:eastAsia="Calibri"/>
        <w:sz w:val="19"/>
        <w:szCs w:val="19"/>
        <w:lang w:val="pl-PL"/>
      </w:rPr>
      <w:t>Uchylenia</w:t>
    </w:r>
    <w:r w:rsidRPr="00506C28">
      <w:rPr>
        <w:rFonts w:eastAsia="Calibri"/>
        <w:sz w:val="19"/>
        <w:szCs w:val="19"/>
        <w:lang w:val="pl-PL"/>
      </w:rPr>
      <w:t xml:space="preserve"> w sytuacjach nadzwyczajnych</w:t>
    </w:r>
    <w:r w:rsidR="00EC7FB2" w:rsidRPr="00506C28">
      <w:rPr>
        <w:rFonts w:ascii="Arial" w:eastAsia="Arial" w:hAnsi="Arial" w:cs="Arial"/>
        <w:i/>
        <w:iCs/>
        <w:color w:val="206AA2"/>
        <w:sz w:val="22"/>
        <w:szCs w:val="22"/>
        <w:lang w:val="pl-PL"/>
      </w:rPr>
      <w:t xml:space="preserve"> </w:t>
    </w:r>
  </w:p>
  <w:p w14:paraId="47036A0D" w14:textId="77777777" w:rsidR="00A5366F" w:rsidRPr="00506C28" w:rsidRDefault="00A5366F" w:rsidP="00EC7FB2">
    <w:pPr>
      <w:pStyle w:val="Headerorfooter20"/>
      <w:pBdr>
        <w:bottom w:val="single" w:sz="6" w:space="1" w:color="auto"/>
      </w:pBdr>
      <w:rPr>
        <w:rFonts w:ascii="Arial" w:eastAsia="Arial" w:hAnsi="Arial" w:cs="Arial"/>
        <w:i/>
        <w:iCs/>
        <w:color w:val="206AA2"/>
        <w:sz w:val="22"/>
        <w:szCs w:val="22"/>
        <w:lang w:val="pl-PL"/>
      </w:rPr>
    </w:pPr>
  </w:p>
  <w:bookmarkEnd w:id="25"/>
  <w:p w14:paraId="7DA108A8" w14:textId="77777777" w:rsidR="00A5366F" w:rsidRPr="00506C28" w:rsidRDefault="00A5366F" w:rsidP="00EC7FB2">
    <w:pPr>
      <w:pStyle w:val="Headerorfooter20"/>
      <w:rPr>
        <w:color w:val="auto"/>
        <w:sz w:val="22"/>
        <w:szCs w:val="22"/>
        <w:lang w:val="pl-PL"/>
      </w:rPr>
    </w:pPr>
  </w:p>
  <w:p w14:paraId="17973991" w14:textId="559B518B" w:rsidR="00EC7FB2" w:rsidRPr="00506C28" w:rsidRDefault="00EC7FB2" w:rsidP="00EC7FB2">
    <w:pPr>
      <w:pStyle w:val="Headerorfooter20"/>
      <w:rPr>
        <w:rFonts w:ascii="Arial" w:eastAsia="Arial" w:hAnsi="Arial" w:cs="Arial"/>
        <w:i/>
        <w:iCs/>
        <w:color w:val="206AA2"/>
        <w:sz w:val="22"/>
        <w:szCs w:val="22"/>
        <w:lang w:val="pl-PL"/>
      </w:rPr>
    </w:pPr>
  </w:p>
  <w:p w14:paraId="1B00592D" w14:textId="4BFEC43E" w:rsidR="00CB3234" w:rsidRPr="00506C28" w:rsidRDefault="00CB3234" w:rsidP="00CB3234">
    <w:pPr>
      <w:pStyle w:val="Nagwek"/>
      <w:rPr>
        <w:sz w:val="19"/>
        <w:szCs w:val="19"/>
      </w:rPr>
    </w:pPr>
  </w:p>
  <w:p w14:paraId="1F9EF0AA" w14:textId="54CC0F17" w:rsidR="00782109" w:rsidRPr="00506C28" w:rsidRDefault="00782109">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05F3" w14:textId="77777777" w:rsidR="00782109" w:rsidRPr="00506C28" w:rsidRDefault="009130BA">
    <w:pPr>
      <w:spacing w:line="1" w:lineRule="exact"/>
    </w:pPr>
    <w:r w:rsidRPr="004E75AD">
      <w:rPr>
        <w:noProof/>
      </w:rPr>
      <mc:AlternateContent>
        <mc:Choice Requires="wps">
          <w:drawing>
            <wp:anchor distT="0" distB="0" distL="0" distR="0" simplePos="0" relativeHeight="251674624" behindDoc="1" locked="0" layoutInCell="1" allowOverlap="1" wp14:anchorId="36A46C91" wp14:editId="5CE5BEF1">
              <wp:simplePos x="0" y="0"/>
              <wp:positionH relativeFrom="page">
                <wp:posOffset>5992495</wp:posOffset>
              </wp:positionH>
              <wp:positionV relativeFrom="page">
                <wp:posOffset>416560</wp:posOffset>
              </wp:positionV>
              <wp:extent cx="1225550" cy="301625"/>
              <wp:effectExtent l="0" t="0" r="0" b="0"/>
              <wp:wrapNone/>
              <wp:docPr id="70" name="Shape 70"/>
              <wp:cNvGraphicFramePr/>
              <a:graphic xmlns:a="http://schemas.openxmlformats.org/drawingml/2006/main">
                <a:graphicData uri="http://schemas.microsoft.com/office/word/2010/wordprocessingShape">
                  <wps:wsp>
                    <wps:cNvSpPr txBox="1"/>
                    <wps:spPr>
                      <a:xfrm>
                        <a:off x="0" y="0"/>
                        <a:ext cx="1225550" cy="301625"/>
                      </a:xfrm>
                      <a:prstGeom prst="rect">
                        <a:avLst/>
                      </a:prstGeom>
                      <a:noFill/>
                    </wps:spPr>
                    <wps:txbx>
                      <w:txbxContent>
                        <w:p w14:paraId="2AD82121"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eastAsia="es-ES"/>
                            </w:rPr>
                            <w:t xml:space="preserve">Press </w:t>
                          </w:r>
                          <w:r w:rsidRPr="00506C28">
                            <w:rPr>
                              <w:rStyle w:val="Headerorfooter2"/>
                              <w:rFonts w:ascii="Arial" w:eastAsia="Arial" w:hAnsi="Arial" w:cs="Arial"/>
                              <w:i/>
                              <w:iCs/>
                              <w:color w:val="206AA2"/>
                              <w:sz w:val="22"/>
                              <w:szCs w:val="22"/>
                              <w:lang w:val="pl-PL" w:eastAsia="en-US"/>
                            </w:rPr>
                            <w:t>Unit</w:t>
                          </w:r>
                        </w:p>
                        <w:p w14:paraId="407BC921"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Unité de la Presse</w:t>
                          </w:r>
                        </w:p>
                      </w:txbxContent>
                    </wps:txbx>
                    <wps:bodyPr wrap="none" lIns="0" tIns="0" rIns="0" bIns="0">
                      <a:spAutoFit/>
                    </wps:bodyPr>
                  </wps:wsp>
                </a:graphicData>
              </a:graphic>
            </wp:anchor>
          </w:drawing>
        </mc:Choice>
        <mc:Fallback>
          <w:pict>
            <v:shapetype w14:anchorId="36A46C91" id="_x0000_t202" coordsize="21600,21600" o:spt="202" path="m,l,21600r21600,l21600,xe">
              <v:stroke joinstyle="miter"/>
              <v:path gradientshapeok="t" o:connecttype="rect"/>
            </v:shapetype>
            <v:shape id="Shape 70" o:spid="_x0000_s1043" type="#_x0000_t202" style="position:absolute;margin-left:471.85pt;margin-top:32.8pt;width:96.5pt;height:23.75pt;z-index:-2516418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" filled="f" stroked="f">
              <v:textbox style="mso-fit-shape-to-text:t" inset="0,0,0,0">
                <w:txbxContent>
                  <w:p w14:paraId="2AD82121"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eastAsia="es-ES"/>
                      </w:rPr>
                      <w:t xml:space="preserve">Press </w:t>
                    </w:r>
                    <w:r w:rsidRPr="00506C28">
                      <w:rPr>
                        <w:rStyle w:val="Headerorfooter2"/>
                        <w:rFonts w:ascii="Arial" w:eastAsia="Arial" w:hAnsi="Arial" w:cs="Arial"/>
                        <w:i/>
                        <w:iCs/>
                        <w:color w:val="206AA2"/>
                        <w:sz w:val="22"/>
                        <w:szCs w:val="22"/>
                        <w:lang w:val="pl-PL" w:eastAsia="en-US"/>
                      </w:rPr>
                      <w:t>Unit</w:t>
                    </w:r>
                  </w:p>
                  <w:p w14:paraId="407BC921"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Unité de la Presse</w:t>
                    </w:r>
                  </w:p>
                </w:txbxContent>
              </v:textbox>
              <w10:wrap anchorx="page" anchory="page"/>
            </v:shape>
          </w:pict>
        </mc:Fallback>
      </mc:AlternateContent>
    </w:r>
    <w:r w:rsidRPr="004E75AD">
      <w:rPr>
        <w:noProof/>
      </w:rPr>
      <mc:AlternateContent>
        <mc:Choice Requires="wps">
          <w:drawing>
            <wp:anchor distT="0" distB="0" distL="114300" distR="114300" simplePos="0" relativeHeight="251643904" behindDoc="1" locked="0" layoutInCell="1" allowOverlap="1" wp14:anchorId="74DB17FD" wp14:editId="14342918">
              <wp:simplePos x="0" y="0"/>
              <wp:positionH relativeFrom="page">
                <wp:posOffset>432435</wp:posOffset>
              </wp:positionH>
              <wp:positionV relativeFrom="page">
                <wp:posOffset>1050290</wp:posOffset>
              </wp:positionV>
              <wp:extent cx="6793865" cy="0"/>
              <wp:effectExtent l="0" t="0" r="0" b="0"/>
              <wp:wrapNone/>
              <wp:docPr id="72" name="Shape 72"/>
              <wp:cNvGraphicFramePr/>
              <a:graphic xmlns:a="http://schemas.openxmlformats.org/drawingml/2006/main">
                <a:graphicData uri="http://schemas.microsoft.com/office/word/2010/wordprocessingShape">
                  <wps:wsp>
                    <wps:cNvCnPr/>
                    <wps:spPr>
                      <a:xfrm>
                        <a:off x="0" y="0"/>
                        <a:ext cx="6793865" cy="0"/>
                      </a:xfrm>
                      <a:prstGeom prst="straightConnector1">
                        <a:avLst/>
                      </a:prstGeom>
                      <a:ln w="12700">
                        <a:solidFill/>
                      </a:ln>
                    </wps:spPr>
                    <wps:bodyPr/>
                  </wps:wsp>
                </a:graphicData>
              </a:graphic>
            </wp:anchor>
          </w:drawing>
        </mc:Choice>
        <mc:Fallback>
          <w:pict>
            <v:shape o:spt="32" o:oned="true" path="m,l21600,21600e" style="position:absolute;margin-left:34.049999999999997pt;margin-top:82.700000000000003pt;width:534.95000000000005pt;height:0;z-index:-251658240;mso-position-horizontal-relative:page;mso-position-vertical-relative:page">
              <v:stroke weight="1.pt"/>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436B" w14:textId="77777777" w:rsidR="00782109" w:rsidRPr="00506C28" w:rsidRDefault="009130BA">
    <w:pPr>
      <w:spacing w:line="1" w:lineRule="exact"/>
    </w:pPr>
    <w:r w:rsidRPr="004E75AD">
      <w:rPr>
        <w:noProof/>
      </w:rPr>
      <mc:AlternateContent>
        <mc:Choice Requires="wps">
          <w:drawing>
            <wp:anchor distT="0" distB="0" distL="0" distR="0" simplePos="0" relativeHeight="251671552" behindDoc="1" locked="0" layoutInCell="1" allowOverlap="1" wp14:anchorId="30192BA7" wp14:editId="50AC6668">
              <wp:simplePos x="0" y="0"/>
              <wp:positionH relativeFrom="page">
                <wp:posOffset>5992495</wp:posOffset>
              </wp:positionH>
              <wp:positionV relativeFrom="page">
                <wp:posOffset>399415</wp:posOffset>
              </wp:positionV>
              <wp:extent cx="1225550" cy="301625"/>
              <wp:effectExtent l="0" t="0" r="0" b="0"/>
              <wp:wrapNone/>
              <wp:docPr id="63" name="Shape 63"/>
              <wp:cNvGraphicFramePr/>
              <a:graphic xmlns:a="http://schemas.openxmlformats.org/drawingml/2006/main">
                <a:graphicData uri="http://schemas.microsoft.com/office/word/2010/wordprocessingShape">
                  <wps:wsp>
                    <wps:cNvSpPr txBox="1"/>
                    <wps:spPr>
                      <a:xfrm>
                        <a:off x="0" y="0"/>
                        <a:ext cx="1225550" cy="301625"/>
                      </a:xfrm>
                      <a:prstGeom prst="rect">
                        <a:avLst/>
                      </a:prstGeom>
                      <a:noFill/>
                    </wps:spPr>
                    <wps:txbx>
                      <w:txbxContent>
                        <w:p w14:paraId="7175F394"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 xml:space="preserve">Press </w:t>
                          </w:r>
                          <w:r w:rsidRPr="00506C28">
                            <w:rPr>
                              <w:rStyle w:val="Headerorfooter2"/>
                              <w:rFonts w:ascii="Arial" w:eastAsia="Arial" w:hAnsi="Arial" w:cs="Arial"/>
                              <w:i/>
                              <w:iCs/>
                              <w:color w:val="206AA2"/>
                              <w:sz w:val="22"/>
                              <w:szCs w:val="22"/>
                              <w:lang w:val="pl-PL" w:eastAsia="en-US"/>
                            </w:rPr>
                            <w:t>Unit</w:t>
                          </w:r>
                        </w:p>
                        <w:p w14:paraId="550E6A2D"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Unité de la Presse</w:t>
                          </w:r>
                        </w:p>
                      </w:txbxContent>
                    </wps:txbx>
                    <wps:bodyPr wrap="none" lIns="0" tIns="0" rIns="0" bIns="0">
                      <a:spAutoFit/>
                    </wps:bodyPr>
                  </wps:wsp>
                </a:graphicData>
              </a:graphic>
            </wp:anchor>
          </w:drawing>
        </mc:Choice>
        <mc:Fallback>
          <w:pict>
            <v:shapetype w14:anchorId="30192BA7" id="_x0000_t202" coordsize="21600,21600" o:spt="202" path="m,l,21600r21600,l21600,xe">
              <v:stroke joinstyle="miter"/>
              <v:path gradientshapeok="t" o:connecttype="rect"/>
            </v:shapetype>
            <v:shape id="Shape 63" o:spid="_x0000_s1044" type="#_x0000_t202" style="position:absolute;margin-left:471.85pt;margin-top:31.45pt;width:96.5pt;height:23.75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" filled="f" stroked="f">
              <v:textbox style="mso-fit-shape-to-text:t" inset="0,0,0,0">
                <w:txbxContent>
                  <w:p w14:paraId="7175F394"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 xml:space="preserve">Press </w:t>
                    </w:r>
                    <w:r w:rsidRPr="00506C28">
                      <w:rPr>
                        <w:rStyle w:val="Headerorfooter2"/>
                        <w:rFonts w:ascii="Arial" w:eastAsia="Arial" w:hAnsi="Arial" w:cs="Arial"/>
                        <w:i/>
                        <w:iCs/>
                        <w:color w:val="206AA2"/>
                        <w:sz w:val="22"/>
                        <w:szCs w:val="22"/>
                        <w:lang w:val="pl-PL" w:eastAsia="en-US"/>
                      </w:rPr>
                      <w:t>Unit</w:t>
                    </w:r>
                  </w:p>
                  <w:p w14:paraId="550E6A2D"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Unité de la Presse</w:t>
                    </w:r>
                  </w:p>
                </w:txbxContent>
              </v:textbox>
              <w10:wrap anchorx="page" anchory="page"/>
            </v:shape>
          </w:pict>
        </mc:Fallback>
      </mc:AlternateContent>
    </w:r>
    <w:r w:rsidRPr="004E75AD">
      <w:rPr>
        <w:noProof/>
      </w:rPr>
      <mc:AlternateContent>
        <mc:Choice Requires="wps">
          <w:drawing>
            <wp:anchor distT="0" distB="0" distL="0" distR="0" simplePos="0" relativeHeight="251672576" behindDoc="1" locked="0" layoutInCell="1" allowOverlap="1" wp14:anchorId="00E17B3A" wp14:editId="65411292">
              <wp:simplePos x="0" y="0"/>
              <wp:positionH relativeFrom="page">
                <wp:posOffset>447675</wp:posOffset>
              </wp:positionH>
              <wp:positionV relativeFrom="page">
                <wp:posOffset>667385</wp:posOffset>
              </wp:positionV>
              <wp:extent cx="2807335" cy="106680"/>
              <wp:effectExtent l="0" t="0" r="0" b="0"/>
              <wp:wrapNone/>
              <wp:docPr id="65" name="Shape 65"/>
              <wp:cNvGraphicFramePr/>
              <a:graphic xmlns:a="http://schemas.openxmlformats.org/drawingml/2006/main">
                <a:graphicData uri="http://schemas.microsoft.com/office/word/2010/wordprocessingShape">
                  <wps:wsp>
                    <wps:cNvSpPr txBox="1"/>
                    <wps:spPr>
                      <a:xfrm>
                        <a:off x="0" y="0"/>
                        <a:ext cx="2807335" cy="106680"/>
                      </a:xfrm>
                      <a:prstGeom prst="rect">
                        <a:avLst/>
                      </a:prstGeom>
                      <a:noFill/>
                    </wps:spPr>
                    <wps:txbx>
                      <w:txbxContent>
                        <w:p w14:paraId="5FF8CB35" w14:textId="0E1DAF2C" w:rsidR="00782109" w:rsidRPr="00506C28" w:rsidRDefault="009130BA">
                          <w:pPr>
                            <w:pStyle w:val="Headerorfooter20"/>
                            <w:rPr>
                              <w:sz w:val="19"/>
                              <w:szCs w:val="19"/>
                              <w:lang w:val="pl-PL"/>
                            </w:rPr>
                          </w:pPr>
                          <w:r w:rsidRPr="00506C28">
                            <w:rPr>
                              <w:rStyle w:val="Headerorfooter2"/>
                              <w:rFonts w:ascii="Calibri" w:eastAsia="Calibri" w:hAnsi="Calibri" w:cs="Calibri"/>
                              <w:sz w:val="19"/>
                              <w:szCs w:val="19"/>
                              <w:lang w:val="pl-PL" w:eastAsia="pl-PL"/>
                            </w:rPr>
                            <w:t xml:space="preserve">Arkusz informacyjny – </w:t>
                          </w:r>
                          <w:r w:rsidR="005C6EBB" w:rsidRPr="00506C28">
                            <w:rPr>
                              <w:rStyle w:val="Headerorfooter2"/>
                              <w:rFonts w:ascii="Calibri" w:eastAsia="Calibri" w:hAnsi="Calibri" w:cs="Calibri"/>
                              <w:sz w:val="19"/>
                              <w:szCs w:val="19"/>
                              <w:lang w:val="pl-PL" w:eastAsia="pl-PL"/>
                            </w:rPr>
                            <w:t>Uchylenia</w:t>
                          </w:r>
                          <w:r w:rsidRPr="00506C28">
                            <w:rPr>
                              <w:rStyle w:val="Headerorfooter2"/>
                              <w:rFonts w:ascii="Calibri" w:eastAsia="Calibri" w:hAnsi="Calibri" w:cs="Calibri"/>
                              <w:sz w:val="19"/>
                              <w:szCs w:val="19"/>
                              <w:lang w:val="pl-PL" w:eastAsia="pl-PL"/>
                            </w:rPr>
                            <w:t xml:space="preserve"> w sytuacjac</w:t>
                          </w:r>
                          <w:r w:rsidR="00B5404B" w:rsidRPr="00506C28">
                            <w:rPr>
                              <w:rStyle w:val="Headerorfooter2"/>
                              <w:rFonts w:ascii="Calibri" w:eastAsia="Calibri" w:hAnsi="Calibri" w:cs="Calibri"/>
                              <w:sz w:val="19"/>
                              <w:szCs w:val="19"/>
                              <w:lang w:val="pl-PL" w:eastAsia="pl-PL"/>
                            </w:rPr>
                            <w:t>h nadzwyczajnyc</w:t>
                          </w:r>
                          <w:r w:rsidRPr="00506C28">
                            <w:rPr>
                              <w:rStyle w:val="Headerorfooter2"/>
                              <w:rFonts w:ascii="Calibri" w:eastAsia="Calibri" w:hAnsi="Calibri" w:cs="Calibri"/>
                              <w:sz w:val="19"/>
                              <w:szCs w:val="19"/>
                              <w:lang w:val="pl-PL" w:eastAsia="pl-PL"/>
                            </w:rPr>
                            <w:t>h</w:t>
                          </w:r>
                        </w:p>
                      </w:txbxContent>
                    </wps:txbx>
                    <wps:bodyPr wrap="none" lIns="0" tIns="0" rIns="0" bIns="0">
                      <a:spAutoFit/>
                    </wps:bodyPr>
                  </wps:wsp>
                </a:graphicData>
              </a:graphic>
            </wp:anchor>
          </w:drawing>
        </mc:Choice>
        <mc:Fallback>
          <w:pict>
            <v:shapetype w14:anchorId="00E17B3A" id="_x0000_t202" coordsize="21600,21600" o:spt="202" path="m,l,21600r21600,l21600,xe">
              <v:stroke joinstyle="miter"/>
              <v:path gradientshapeok="t" o:connecttype="rect"/>
            </v:shapetype>
            <v:shape id="Shape 65" o:spid="_x0000_s1035" type="#_x0000_t202" style="position:absolute;margin-left:35.25pt;margin-top:52.55pt;width:221.05pt;height:8.4pt;z-index:-2516439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" filled="f" stroked="f">
              <v:textbox style="mso-fit-shape-to-text:t" inset="0,0,0,0">
                <w:txbxContent>
                  <w:p w14:paraId="5FF8CB35" w14:textId="0E1DAF2C" w:rsidR="00782109" w:rsidRPr="00506C28" w:rsidRDefault="009130BA">
                    <w:pPr>
                      <w:pStyle w:val="Headerorfooter20"/>
                      <w:rPr>
                        <w:sz w:val="19"/>
                        <w:szCs w:val="19"/>
                        <w:lang w:val="pl-PL"/>
                      </w:rPr>
                    </w:pPr>
                    <w:r w:rsidRPr="00506C28">
                      <w:rPr>
                        <w:rStyle w:val="Headerorfooter2"/>
                        <w:rFonts w:ascii="Calibri" w:eastAsia="Calibri" w:hAnsi="Calibri" w:cs="Calibri"/>
                        <w:sz w:val="19"/>
                        <w:szCs w:val="19"/>
                        <w:lang w:val="pl-PL" w:eastAsia="pl-PL"/>
                      </w:rPr>
                      <w:t xml:space="preserve">Arkusz informacyjny – </w:t>
                    </w:r>
                    <w:r w:rsidR="005C6EBB" w:rsidRPr="00506C28">
                      <w:rPr>
                        <w:rStyle w:val="Headerorfooter2"/>
                        <w:rFonts w:ascii="Calibri" w:eastAsia="Calibri" w:hAnsi="Calibri" w:cs="Calibri"/>
                        <w:sz w:val="19"/>
                        <w:szCs w:val="19"/>
                        <w:lang w:val="pl-PL" w:eastAsia="pl-PL"/>
                      </w:rPr>
                      <w:t>Uchylenia</w:t>
                    </w:r>
                    <w:r w:rsidRPr="00506C28">
                      <w:rPr>
                        <w:rStyle w:val="Headerorfooter2"/>
                        <w:rFonts w:ascii="Calibri" w:eastAsia="Calibri" w:hAnsi="Calibri" w:cs="Calibri"/>
                        <w:sz w:val="19"/>
                        <w:szCs w:val="19"/>
                        <w:lang w:val="pl-PL" w:eastAsia="pl-PL"/>
                      </w:rPr>
                      <w:t xml:space="preserve"> w sytuacjac</w:t>
                    </w:r>
                    <w:r w:rsidR="00B5404B" w:rsidRPr="00506C28">
                      <w:rPr>
                        <w:rStyle w:val="Headerorfooter2"/>
                        <w:rFonts w:ascii="Calibri" w:eastAsia="Calibri" w:hAnsi="Calibri" w:cs="Calibri"/>
                        <w:sz w:val="19"/>
                        <w:szCs w:val="19"/>
                        <w:lang w:val="pl-PL" w:eastAsia="pl-PL"/>
                      </w:rPr>
                      <w:t>h nadzwyczajnyc</w:t>
                    </w:r>
                    <w:r w:rsidRPr="00506C28">
                      <w:rPr>
                        <w:rStyle w:val="Headerorfooter2"/>
                        <w:rFonts w:ascii="Calibri" w:eastAsia="Calibri" w:hAnsi="Calibri" w:cs="Calibri"/>
                        <w:sz w:val="19"/>
                        <w:szCs w:val="19"/>
                        <w:lang w:val="pl-PL" w:eastAsia="pl-PL"/>
                      </w:rPr>
                      <w:t>h</w:t>
                    </w:r>
                  </w:p>
                </w:txbxContent>
              </v:textbox>
              <w10:wrap anchorx="page" anchory="page"/>
            </v:shape>
          </w:pict>
        </mc:Fallback>
      </mc:AlternateContent>
    </w:r>
    <w:r w:rsidRPr="004E75AD">
      <w:rPr>
        <w:noProof/>
      </w:rPr>
      <mc:AlternateContent>
        <mc:Choice Requires="wps">
          <w:drawing>
            <wp:anchor distT="0" distB="0" distL="114300" distR="114300" simplePos="0" relativeHeight="251642880" behindDoc="1" locked="0" layoutInCell="1" allowOverlap="1" wp14:anchorId="0C725538" wp14:editId="193BECAF">
              <wp:simplePos x="0" y="0"/>
              <wp:positionH relativeFrom="page">
                <wp:posOffset>432435</wp:posOffset>
              </wp:positionH>
              <wp:positionV relativeFrom="page">
                <wp:posOffset>893445</wp:posOffset>
              </wp:positionV>
              <wp:extent cx="6793865" cy="0"/>
              <wp:effectExtent l="0" t="0" r="0" b="0"/>
              <wp:wrapNone/>
              <wp:docPr id="67" name="Shape 67"/>
              <wp:cNvGraphicFramePr/>
              <a:graphic xmlns:a="http://schemas.openxmlformats.org/drawingml/2006/main">
                <a:graphicData uri="http://schemas.microsoft.com/office/word/2010/wordprocessingShape">
                  <wps:wsp>
                    <wps:cNvCnPr/>
                    <wps:spPr>
                      <a:xfrm>
                        <a:off x="0" y="0"/>
                        <a:ext cx="6793865" cy="0"/>
                      </a:xfrm>
                      <a:prstGeom prst="straightConnector1">
                        <a:avLst/>
                      </a:prstGeom>
                      <a:ln w="12700">
                        <a:solidFill/>
                      </a:ln>
                    </wps:spPr>
                    <wps:bodyPr/>
                  </wps:wsp>
                </a:graphicData>
              </a:graphic>
            </wp:anchor>
          </w:drawing>
        </mc:Choice>
        <mc:Fallback>
          <w:pict>
            <v:shape o:spt="32" o:oned="true" path="m,l21600,21600e" style="position:absolute;margin-left:34.049999999999997pt;margin-top:70.350000000000009pt;width:534.95000000000005pt;height:0;z-index:-251658240;mso-position-horizontal-relative:page;mso-position-vertical-relative:page">
              <v:stroke weight="1.pt"/>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8F37A" w14:textId="77777777" w:rsidR="00782109" w:rsidRPr="00506C28" w:rsidRDefault="009130BA">
    <w:pPr>
      <w:spacing w:line="1" w:lineRule="exact"/>
    </w:pPr>
    <w:r w:rsidRPr="004E75AD">
      <w:rPr>
        <w:noProof/>
      </w:rPr>
      <mc:AlternateContent>
        <mc:Choice Requires="wps">
          <w:drawing>
            <wp:anchor distT="0" distB="0" distL="0" distR="0" simplePos="0" relativeHeight="251679744" behindDoc="1" locked="0" layoutInCell="1" allowOverlap="1" wp14:anchorId="64A13093" wp14:editId="16D15BBC">
              <wp:simplePos x="0" y="0"/>
              <wp:positionH relativeFrom="page">
                <wp:posOffset>5992495</wp:posOffset>
              </wp:positionH>
              <wp:positionV relativeFrom="page">
                <wp:posOffset>399415</wp:posOffset>
              </wp:positionV>
              <wp:extent cx="1225550" cy="301625"/>
              <wp:effectExtent l="0" t="0" r="0" b="0"/>
              <wp:wrapNone/>
              <wp:docPr id="82" name="Shape 82"/>
              <wp:cNvGraphicFramePr/>
              <a:graphic xmlns:a="http://schemas.openxmlformats.org/drawingml/2006/main">
                <a:graphicData uri="http://schemas.microsoft.com/office/word/2010/wordprocessingShape">
                  <wps:wsp>
                    <wps:cNvSpPr txBox="1"/>
                    <wps:spPr>
                      <a:xfrm>
                        <a:off x="0" y="0"/>
                        <a:ext cx="1225550" cy="301625"/>
                      </a:xfrm>
                      <a:prstGeom prst="rect">
                        <a:avLst/>
                      </a:prstGeom>
                      <a:noFill/>
                    </wps:spPr>
                    <wps:txbx>
                      <w:txbxContent>
                        <w:p w14:paraId="5A3872A1"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 xml:space="preserve">Press </w:t>
                          </w:r>
                          <w:r w:rsidRPr="00506C28">
                            <w:rPr>
                              <w:rStyle w:val="Headerorfooter2"/>
                              <w:rFonts w:ascii="Arial" w:eastAsia="Arial" w:hAnsi="Arial" w:cs="Arial"/>
                              <w:i/>
                              <w:iCs/>
                              <w:color w:val="206AA2"/>
                              <w:sz w:val="22"/>
                              <w:szCs w:val="22"/>
                              <w:lang w:val="pl-PL" w:eastAsia="en-US"/>
                            </w:rPr>
                            <w:t>Unit</w:t>
                          </w:r>
                        </w:p>
                        <w:p w14:paraId="429268E6"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Unité de la Presse</w:t>
                          </w:r>
                        </w:p>
                      </w:txbxContent>
                    </wps:txbx>
                    <wps:bodyPr wrap="none" lIns="0" tIns="0" rIns="0" bIns="0">
                      <a:spAutoFit/>
                    </wps:bodyPr>
                  </wps:wsp>
                </a:graphicData>
              </a:graphic>
            </wp:anchor>
          </w:drawing>
        </mc:Choice>
        <mc:Fallback>
          <w:pict>
            <v:shapetype w14:anchorId="64A13093" id="_x0000_t202" coordsize="21600,21600" o:spt="202" path="m,l,21600r21600,l21600,xe">
              <v:stroke joinstyle="miter"/>
              <v:path gradientshapeok="t" o:connecttype="rect"/>
            </v:shapetype>
            <v:shape id="Shape 82" o:spid="_x0000_s1048" type="#_x0000_t202" style="position:absolute;margin-left:471.85pt;margin-top:31.45pt;width:96.5pt;height:23.75pt;z-index:-2516367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" filled="f" stroked="f">
              <v:textbox style="mso-fit-shape-to-text:t" inset="0,0,0,0">
                <w:txbxContent>
                  <w:p w14:paraId="5A3872A1"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 xml:space="preserve">Press </w:t>
                    </w:r>
                    <w:r w:rsidRPr="00506C28">
                      <w:rPr>
                        <w:rStyle w:val="Headerorfooter2"/>
                        <w:rFonts w:ascii="Arial" w:eastAsia="Arial" w:hAnsi="Arial" w:cs="Arial"/>
                        <w:i/>
                        <w:iCs/>
                        <w:color w:val="206AA2"/>
                        <w:sz w:val="22"/>
                        <w:szCs w:val="22"/>
                        <w:lang w:val="pl-PL" w:eastAsia="en-US"/>
                      </w:rPr>
                      <w:t>Unit</w:t>
                    </w:r>
                  </w:p>
                  <w:p w14:paraId="429268E6"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Unité de la Presse</w:t>
                    </w:r>
                  </w:p>
                </w:txbxContent>
              </v:textbox>
              <w10:wrap anchorx="page" anchory="page"/>
            </v:shape>
          </w:pict>
        </mc:Fallback>
      </mc:AlternateContent>
    </w:r>
    <w:r w:rsidRPr="004E75AD">
      <w:rPr>
        <w:noProof/>
      </w:rPr>
      <mc:AlternateContent>
        <mc:Choice Requires="wps">
          <w:drawing>
            <wp:anchor distT="0" distB="0" distL="0" distR="0" simplePos="0" relativeHeight="251680768" behindDoc="1" locked="0" layoutInCell="1" allowOverlap="1" wp14:anchorId="78B8F716" wp14:editId="6AEC053E">
              <wp:simplePos x="0" y="0"/>
              <wp:positionH relativeFrom="page">
                <wp:posOffset>447675</wp:posOffset>
              </wp:positionH>
              <wp:positionV relativeFrom="page">
                <wp:posOffset>667385</wp:posOffset>
              </wp:positionV>
              <wp:extent cx="2807335" cy="106680"/>
              <wp:effectExtent l="0" t="0" r="0" b="0"/>
              <wp:wrapNone/>
              <wp:docPr id="84" name="Shape 84"/>
              <wp:cNvGraphicFramePr/>
              <a:graphic xmlns:a="http://schemas.openxmlformats.org/drawingml/2006/main">
                <a:graphicData uri="http://schemas.microsoft.com/office/word/2010/wordprocessingShape">
                  <wps:wsp>
                    <wps:cNvSpPr txBox="1"/>
                    <wps:spPr>
                      <a:xfrm>
                        <a:off x="0" y="0"/>
                        <a:ext cx="2807335" cy="106680"/>
                      </a:xfrm>
                      <a:prstGeom prst="rect">
                        <a:avLst/>
                      </a:prstGeom>
                      <a:noFill/>
                    </wps:spPr>
                    <wps:txbx>
                      <w:txbxContent>
                        <w:p w14:paraId="744A9228" w14:textId="23D5EF65" w:rsidR="00782109" w:rsidRPr="00506C28" w:rsidRDefault="009130BA">
                          <w:pPr>
                            <w:pStyle w:val="Headerorfooter20"/>
                            <w:rPr>
                              <w:sz w:val="19"/>
                              <w:szCs w:val="19"/>
                              <w:lang w:val="pl-PL"/>
                            </w:rPr>
                          </w:pPr>
                          <w:r w:rsidRPr="00506C28">
                            <w:rPr>
                              <w:rStyle w:val="Headerorfooter2"/>
                              <w:rFonts w:ascii="Calibri" w:eastAsia="Calibri" w:hAnsi="Calibri" w:cs="Calibri"/>
                              <w:sz w:val="19"/>
                              <w:szCs w:val="19"/>
                              <w:lang w:val="pl-PL" w:eastAsia="pl-PL"/>
                            </w:rPr>
                            <w:t xml:space="preserve">Arkusz informacyjny – </w:t>
                          </w:r>
                          <w:r w:rsidR="005C6EBB" w:rsidRPr="00506C28">
                            <w:rPr>
                              <w:rStyle w:val="Headerorfooter2"/>
                              <w:rFonts w:ascii="Calibri" w:eastAsia="Calibri" w:hAnsi="Calibri" w:cs="Calibri"/>
                              <w:sz w:val="19"/>
                              <w:szCs w:val="19"/>
                              <w:lang w:val="pl-PL" w:eastAsia="pl-PL"/>
                            </w:rPr>
                            <w:t>Uchylenia</w:t>
                          </w:r>
                          <w:r w:rsidRPr="00506C28">
                            <w:rPr>
                              <w:rStyle w:val="Headerorfooter2"/>
                              <w:rFonts w:ascii="Calibri" w:eastAsia="Calibri" w:hAnsi="Calibri" w:cs="Calibri"/>
                              <w:sz w:val="19"/>
                              <w:szCs w:val="19"/>
                              <w:lang w:val="pl-PL" w:eastAsia="pl-PL"/>
                            </w:rPr>
                            <w:t xml:space="preserve"> w sytuacjach</w:t>
                          </w:r>
                        </w:p>
                      </w:txbxContent>
                    </wps:txbx>
                    <wps:bodyPr wrap="none" lIns="0" tIns="0" rIns="0" bIns="0">
                      <a:spAutoFit/>
                    </wps:bodyPr>
                  </wps:wsp>
                </a:graphicData>
              </a:graphic>
            </wp:anchor>
          </w:drawing>
        </mc:Choice>
        <mc:Fallback>
          <w:pict>
            <v:shapetype w14:anchorId="78B8F716" id="_x0000_t202" coordsize="21600,21600" o:spt="202" path="m,l,21600r21600,l21600,xe">
              <v:stroke joinstyle="miter"/>
              <v:path gradientshapeok="t" o:connecttype="rect"/>
            </v:shapetype>
            <v:shape id="Shape 84" o:spid="_x0000_s1039" type="#_x0000_t202" style="position:absolute;margin-left:35.25pt;margin-top:52.55pt;width:221.05pt;height:8.4pt;z-index:-2516357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" filled="f" stroked="f">
              <v:textbox style="mso-fit-shape-to-text:t" inset="0,0,0,0">
                <w:txbxContent>
                  <w:p w14:paraId="744A9228" w14:textId="23D5EF65" w:rsidR="00782109" w:rsidRPr="00506C28" w:rsidRDefault="009130BA">
                    <w:pPr>
                      <w:pStyle w:val="Headerorfooter20"/>
                      <w:rPr>
                        <w:sz w:val="19"/>
                        <w:szCs w:val="19"/>
                        <w:lang w:val="pl-PL"/>
                      </w:rPr>
                    </w:pPr>
                    <w:r w:rsidRPr="00506C28">
                      <w:rPr>
                        <w:rStyle w:val="Headerorfooter2"/>
                        <w:rFonts w:ascii="Calibri" w:eastAsia="Calibri" w:hAnsi="Calibri" w:cs="Calibri"/>
                        <w:sz w:val="19"/>
                        <w:szCs w:val="19"/>
                        <w:lang w:val="pl-PL" w:eastAsia="pl-PL"/>
                      </w:rPr>
                      <w:t xml:space="preserve">Arkusz informacyjny – </w:t>
                    </w:r>
                    <w:r w:rsidR="005C6EBB" w:rsidRPr="00506C28">
                      <w:rPr>
                        <w:rStyle w:val="Headerorfooter2"/>
                        <w:rFonts w:ascii="Calibri" w:eastAsia="Calibri" w:hAnsi="Calibri" w:cs="Calibri"/>
                        <w:sz w:val="19"/>
                        <w:szCs w:val="19"/>
                        <w:lang w:val="pl-PL" w:eastAsia="pl-PL"/>
                      </w:rPr>
                      <w:t>Uchylenia</w:t>
                    </w:r>
                    <w:r w:rsidRPr="00506C28">
                      <w:rPr>
                        <w:rStyle w:val="Headerorfooter2"/>
                        <w:rFonts w:ascii="Calibri" w:eastAsia="Calibri" w:hAnsi="Calibri" w:cs="Calibri"/>
                        <w:sz w:val="19"/>
                        <w:szCs w:val="19"/>
                        <w:lang w:val="pl-PL" w:eastAsia="pl-PL"/>
                      </w:rPr>
                      <w:t xml:space="preserve"> w sytuacjach</w:t>
                    </w:r>
                  </w:p>
                </w:txbxContent>
              </v:textbox>
              <w10:wrap anchorx="page" anchory="page"/>
            </v:shape>
          </w:pict>
        </mc:Fallback>
      </mc:AlternateContent>
    </w:r>
    <w:r w:rsidRPr="004E75AD">
      <w:rPr>
        <w:noProof/>
      </w:rPr>
      <mc:AlternateContent>
        <mc:Choice Requires="wps">
          <w:drawing>
            <wp:anchor distT="0" distB="0" distL="114300" distR="114300" simplePos="0" relativeHeight="251645952" behindDoc="1" locked="0" layoutInCell="1" allowOverlap="1" wp14:anchorId="7B921E45" wp14:editId="2FA03BEC">
              <wp:simplePos x="0" y="0"/>
              <wp:positionH relativeFrom="page">
                <wp:posOffset>432435</wp:posOffset>
              </wp:positionH>
              <wp:positionV relativeFrom="page">
                <wp:posOffset>893445</wp:posOffset>
              </wp:positionV>
              <wp:extent cx="6793865" cy="0"/>
              <wp:effectExtent l="0" t="0" r="0" b="0"/>
              <wp:wrapNone/>
              <wp:docPr id="86" name="Shape 86"/>
              <wp:cNvGraphicFramePr/>
              <a:graphic xmlns:a="http://schemas.openxmlformats.org/drawingml/2006/main">
                <a:graphicData uri="http://schemas.microsoft.com/office/word/2010/wordprocessingShape">
                  <wps:wsp>
                    <wps:cNvCnPr/>
                    <wps:spPr>
                      <a:xfrm>
                        <a:off x="0" y="0"/>
                        <a:ext cx="6793865" cy="0"/>
                      </a:xfrm>
                      <a:prstGeom prst="straightConnector1">
                        <a:avLst/>
                      </a:prstGeom>
                      <a:ln w="12700">
                        <a:solidFill/>
                      </a:ln>
                    </wps:spPr>
                    <wps:bodyPr/>
                  </wps:wsp>
                </a:graphicData>
              </a:graphic>
            </wp:anchor>
          </w:drawing>
        </mc:Choice>
        <mc:Fallback>
          <w:pict>
            <v:shape o:spt="32" o:oned="true" path="m,l21600,21600e" style="position:absolute;margin-left:34.049999999999997pt;margin-top:70.350000000000009pt;width:534.95000000000005pt;height:0;z-index:-251658240;mso-position-horizontal-relative:page;mso-position-vertical-relative:page">
              <v:stroke weight="1.pt"/>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3AB9" w14:textId="77777777" w:rsidR="00782109" w:rsidRPr="00506C28" w:rsidRDefault="009130BA">
    <w:pPr>
      <w:spacing w:line="1" w:lineRule="exact"/>
    </w:pPr>
    <w:r w:rsidRPr="004E75AD">
      <w:rPr>
        <w:noProof/>
      </w:rPr>
      <mc:AlternateContent>
        <mc:Choice Requires="wps">
          <w:drawing>
            <wp:anchor distT="0" distB="0" distL="0" distR="0" simplePos="0" relativeHeight="251676672" behindDoc="1" locked="0" layoutInCell="1" allowOverlap="1" wp14:anchorId="31279424" wp14:editId="566B06E3">
              <wp:simplePos x="0" y="0"/>
              <wp:positionH relativeFrom="page">
                <wp:posOffset>5992495</wp:posOffset>
              </wp:positionH>
              <wp:positionV relativeFrom="page">
                <wp:posOffset>399415</wp:posOffset>
              </wp:positionV>
              <wp:extent cx="1225550" cy="301625"/>
              <wp:effectExtent l="0" t="0" r="0" b="0"/>
              <wp:wrapNone/>
              <wp:docPr id="75" name="Shape 75"/>
              <wp:cNvGraphicFramePr/>
              <a:graphic xmlns:a="http://schemas.openxmlformats.org/drawingml/2006/main">
                <a:graphicData uri="http://schemas.microsoft.com/office/word/2010/wordprocessingShape">
                  <wps:wsp>
                    <wps:cNvSpPr txBox="1"/>
                    <wps:spPr>
                      <a:xfrm>
                        <a:off x="0" y="0"/>
                        <a:ext cx="1225550" cy="301625"/>
                      </a:xfrm>
                      <a:prstGeom prst="rect">
                        <a:avLst/>
                      </a:prstGeom>
                      <a:noFill/>
                    </wps:spPr>
                    <wps:txbx>
                      <w:txbxContent>
                        <w:p w14:paraId="1233ED41"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 xml:space="preserve">Press </w:t>
                          </w:r>
                          <w:r w:rsidRPr="00506C28">
                            <w:rPr>
                              <w:rStyle w:val="Headerorfooter2"/>
                              <w:rFonts w:ascii="Arial" w:eastAsia="Arial" w:hAnsi="Arial" w:cs="Arial"/>
                              <w:i/>
                              <w:iCs/>
                              <w:color w:val="206AA2"/>
                              <w:sz w:val="22"/>
                              <w:szCs w:val="22"/>
                              <w:lang w:val="pl-PL" w:eastAsia="en-US"/>
                            </w:rPr>
                            <w:t>Unit</w:t>
                          </w:r>
                        </w:p>
                        <w:p w14:paraId="6D219CE5"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Unité de la Presse</w:t>
                          </w:r>
                        </w:p>
                      </w:txbxContent>
                    </wps:txbx>
                    <wps:bodyPr wrap="none" lIns="0" tIns="0" rIns="0" bIns="0">
                      <a:spAutoFit/>
                    </wps:bodyPr>
                  </wps:wsp>
                </a:graphicData>
              </a:graphic>
            </wp:anchor>
          </w:drawing>
        </mc:Choice>
        <mc:Fallback>
          <w:pict>
            <v:shapetype w14:anchorId="31279424" id="_x0000_t202" coordsize="21600,21600" o:spt="202" path="m,l,21600r21600,l21600,xe">
              <v:stroke joinstyle="miter"/>
              <v:path gradientshapeok="t" o:connecttype="rect"/>
            </v:shapetype>
            <v:shape id="Shape 75" o:spid="_x0000_s1050" type="#_x0000_t202" style="position:absolute;margin-left:471.85pt;margin-top:31.45pt;width:96.5pt;height:23.75pt;z-index:-2516398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" filled="f" stroked="f">
              <v:textbox style="mso-fit-shape-to-text:t" inset="0,0,0,0">
                <w:txbxContent>
                  <w:p w14:paraId="1233ED41"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 xml:space="preserve">Press </w:t>
                    </w:r>
                    <w:r w:rsidRPr="00506C28">
                      <w:rPr>
                        <w:rStyle w:val="Headerorfooter2"/>
                        <w:rFonts w:ascii="Arial" w:eastAsia="Arial" w:hAnsi="Arial" w:cs="Arial"/>
                        <w:i/>
                        <w:iCs/>
                        <w:color w:val="206AA2"/>
                        <w:sz w:val="22"/>
                        <w:szCs w:val="22"/>
                        <w:lang w:val="pl-PL" w:eastAsia="en-US"/>
                      </w:rPr>
                      <w:t>Unit</w:t>
                    </w:r>
                  </w:p>
                  <w:p w14:paraId="6D219CE5" w14:textId="77777777" w:rsidR="00782109" w:rsidRPr="00506C28" w:rsidRDefault="009130BA">
                    <w:pPr>
                      <w:pStyle w:val="Headerorfooter20"/>
                      <w:rPr>
                        <w:sz w:val="22"/>
                        <w:szCs w:val="22"/>
                        <w:lang w:val="pl-PL"/>
                      </w:rPr>
                    </w:pPr>
                    <w:r w:rsidRPr="00506C28">
                      <w:rPr>
                        <w:rStyle w:val="Headerorfooter2"/>
                        <w:rFonts w:ascii="Arial" w:eastAsia="Arial" w:hAnsi="Arial" w:cs="Arial"/>
                        <w:i/>
                        <w:iCs/>
                        <w:color w:val="206AA2"/>
                        <w:sz w:val="22"/>
                        <w:szCs w:val="22"/>
                        <w:lang w:val="pl-PL"/>
                      </w:rPr>
                      <w:t>Unité de la Presse</w:t>
                    </w:r>
                  </w:p>
                </w:txbxContent>
              </v:textbox>
              <w10:wrap anchorx="page" anchory="page"/>
            </v:shape>
          </w:pict>
        </mc:Fallback>
      </mc:AlternateContent>
    </w:r>
    <w:r w:rsidRPr="004E75AD">
      <w:rPr>
        <w:noProof/>
      </w:rPr>
      <mc:AlternateContent>
        <mc:Choice Requires="wps">
          <w:drawing>
            <wp:anchor distT="0" distB="0" distL="0" distR="0" simplePos="0" relativeHeight="251677696" behindDoc="1" locked="0" layoutInCell="1" allowOverlap="1" wp14:anchorId="62F41C30" wp14:editId="49EA4297">
              <wp:simplePos x="0" y="0"/>
              <wp:positionH relativeFrom="page">
                <wp:posOffset>447675</wp:posOffset>
              </wp:positionH>
              <wp:positionV relativeFrom="page">
                <wp:posOffset>667385</wp:posOffset>
              </wp:positionV>
              <wp:extent cx="2807335" cy="106680"/>
              <wp:effectExtent l="0" t="0" r="0" b="0"/>
              <wp:wrapNone/>
              <wp:docPr id="77" name="Shape 77"/>
              <wp:cNvGraphicFramePr/>
              <a:graphic xmlns:a="http://schemas.openxmlformats.org/drawingml/2006/main">
                <a:graphicData uri="http://schemas.microsoft.com/office/word/2010/wordprocessingShape">
                  <wps:wsp>
                    <wps:cNvSpPr txBox="1"/>
                    <wps:spPr>
                      <a:xfrm>
                        <a:off x="0" y="0"/>
                        <a:ext cx="2807335" cy="106680"/>
                      </a:xfrm>
                      <a:prstGeom prst="rect">
                        <a:avLst/>
                      </a:prstGeom>
                      <a:noFill/>
                    </wps:spPr>
                    <wps:txbx>
                      <w:txbxContent>
                        <w:p w14:paraId="614FC690" w14:textId="614DC94F" w:rsidR="00782109" w:rsidRPr="00506C28" w:rsidRDefault="009130BA">
                          <w:pPr>
                            <w:pStyle w:val="Headerorfooter20"/>
                            <w:rPr>
                              <w:sz w:val="19"/>
                              <w:szCs w:val="19"/>
                              <w:lang w:val="pl-PL"/>
                            </w:rPr>
                          </w:pPr>
                          <w:r w:rsidRPr="00506C28">
                            <w:rPr>
                              <w:rStyle w:val="Headerorfooter2"/>
                              <w:rFonts w:ascii="Calibri" w:eastAsia="Calibri" w:hAnsi="Calibri" w:cs="Calibri"/>
                              <w:sz w:val="19"/>
                              <w:szCs w:val="19"/>
                              <w:lang w:val="pl-PL" w:eastAsia="pl-PL"/>
                            </w:rPr>
                            <w:t xml:space="preserve">Arkusz informacyjny – </w:t>
                          </w:r>
                          <w:r w:rsidR="005C6EBB" w:rsidRPr="00506C28">
                            <w:rPr>
                              <w:rStyle w:val="Headerorfooter2"/>
                              <w:rFonts w:ascii="Calibri" w:eastAsia="Calibri" w:hAnsi="Calibri" w:cs="Calibri"/>
                              <w:sz w:val="19"/>
                              <w:szCs w:val="19"/>
                              <w:lang w:val="pl-PL" w:eastAsia="pl-PL"/>
                            </w:rPr>
                            <w:t>Uchylenia</w:t>
                          </w:r>
                          <w:r w:rsidRPr="00506C28">
                            <w:rPr>
                              <w:rStyle w:val="Headerorfooter2"/>
                              <w:rFonts w:ascii="Calibri" w:eastAsia="Calibri" w:hAnsi="Calibri" w:cs="Calibri"/>
                              <w:sz w:val="19"/>
                              <w:szCs w:val="19"/>
                              <w:lang w:val="pl-PL" w:eastAsia="pl-PL"/>
                            </w:rPr>
                            <w:t xml:space="preserve"> w sytuacjach</w:t>
                          </w:r>
                        </w:p>
                      </w:txbxContent>
                    </wps:txbx>
                    <wps:bodyPr wrap="none" lIns="0" tIns="0" rIns="0" bIns="0">
                      <a:spAutoFit/>
                    </wps:bodyPr>
                  </wps:wsp>
                </a:graphicData>
              </a:graphic>
            </wp:anchor>
          </w:drawing>
        </mc:Choice>
        <mc:Fallback>
          <w:pict>
            <v:shapetype w14:anchorId="62F41C30" id="_x0000_t202" coordsize="21600,21600" o:spt="202" path="m,l,21600r21600,l21600,xe">
              <v:stroke joinstyle="miter"/>
              <v:path gradientshapeok="t" o:connecttype="rect"/>
            </v:shapetype>
            <v:shape id="Shape 77" o:spid="_x0000_s1041" type="#_x0000_t202" style="position:absolute;margin-left:35.25pt;margin-top:52.55pt;width:221.05pt;height:8.4pt;z-index:-251638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" filled="f" stroked="f">
              <v:textbox style="mso-fit-shape-to-text:t" inset="0,0,0,0">
                <w:txbxContent>
                  <w:p w14:paraId="614FC690" w14:textId="614DC94F" w:rsidR="00782109" w:rsidRPr="00506C28" w:rsidRDefault="009130BA">
                    <w:pPr>
                      <w:pStyle w:val="Headerorfooter20"/>
                      <w:rPr>
                        <w:sz w:val="19"/>
                        <w:szCs w:val="19"/>
                        <w:lang w:val="pl-PL"/>
                      </w:rPr>
                    </w:pPr>
                    <w:r w:rsidRPr="00506C28">
                      <w:rPr>
                        <w:rStyle w:val="Headerorfooter2"/>
                        <w:rFonts w:ascii="Calibri" w:eastAsia="Calibri" w:hAnsi="Calibri" w:cs="Calibri"/>
                        <w:sz w:val="19"/>
                        <w:szCs w:val="19"/>
                        <w:lang w:val="pl-PL" w:eastAsia="pl-PL"/>
                      </w:rPr>
                      <w:t xml:space="preserve">Arkusz informacyjny – </w:t>
                    </w:r>
                    <w:r w:rsidR="005C6EBB" w:rsidRPr="00506C28">
                      <w:rPr>
                        <w:rStyle w:val="Headerorfooter2"/>
                        <w:rFonts w:ascii="Calibri" w:eastAsia="Calibri" w:hAnsi="Calibri" w:cs="Calibri"/>
                        <w:sz w:val="19"/>
                        <w:szCs w:val="19"/>
                        <w:lang w:val="pl-PL" w:eastAsia="pl-PL"/>
                      </w:rPr>
                      <w:t>Uchylenia</w:t>
                    </w:r>
                    <w:r w:rsidRPr="00506C28">
                      <w:rPr>
                        <w:rStyle w:val="Headerorfooter2"/>
                        <w:rFonts w:ascii="Calibri" w:eastAsia="Calibri" w:hAnsi="Calibri" w:cs="Calibri"/>
                        <w:sz w:val="19"/>
                        <w:szCs w:val="19"/>
                        <w:lang w:val="pl-PL" w:eastAsia="pl-PL"/>
                      </w:rPr>
                      <w:t xml:space="preserve"> w sytuacjach</w:t>
                    </w:r>
                  </w:p>
                </w:txbxContent>
              </v:textbox>
              <w10:wrap anchorx="page" anchory="page"/>
            </v:shape>
          </w:pict>
        </mc:Fallback>
      </mc:AlternateContent>
    </w:r>
    <w:r w:rsidRPr="004E75AD">
      <w:rPr>
        <w:noProof/>
      </w:rPr>
      <mc:AlternateContent>
        <mc:Choice Requires="wps">
          <w:drawing>
            <wp:anchor distT="0" distB="0" distL="114300" distR="114300" simplePos="0" relativeHeight="251644928" behindDoc="1" locked="0" layoutInCell="1" allowOverlap="1" wp14:anchorId="3B097CF0" wp14:editId="760AD41B">
              <wp:simplePos x="0" y="0"/>
              <wp:positionH relativeFrom="page">
                <wp:posOffset>432435</wp:posOffset>
              </wp:positionH>
              <wp:positionV relativeFrom="page">
                <wp:posOffset>893445</wp:posOffset>
              </wp:positionV>
              <wp:extent cx="6793865" cy="0"/>
              <wp:effectExtent l="0" t="0" r="0" b="0"/>
              <wp:wrapNone/>
              <wp:docPr id="79" name="Shape 79"/>
              <wp:cNvGraphicFramePr/>
              <a:graphic xmlns:a="http://schemas.openxmlformats.org/drawingml/2006/main">
                <a:graphicData uri="http://schemas.microsoft.com/office/word/2010/wordprocessingShape">
                  <wps:wsp>
                    <wps:cNvCnPr/>
                    <wps:spPr>
                      <a:xfrm>
                        <a:off x="0" y="0"/>
                        <a:ext cx="6793865" cy="0"/>
                      </a:xfrm>
                      <a:prstGeom prst="straightConnector1">
                        <a:avLst/>
                      </a:prstGeom>
                      <a:ln w="12700">
                        <a:solidFill/>
                      </a:ln>
                    </wps:spPr>
                    <wps:bodyPr/>
                  </wps:wsp>
                </a:graphicData>
              </a:graphic>
            </wp:anchor>
          </w:drawing>
        </mc:Choice>
        <mc:Fallback>
          <w:pict>
            <v:shape o:spt="32" o:oned="true" path="m,l21600,21600e" style="position:absolute;margin-left:34.049999999999997pt;margin-top:70.350000000000009pt;width:534.95000000000005pt;height:0;z-index:-251658240;mso-position-horizontal-relative:page;mso-position-vertical-relative:page">
              <v:stroke weigh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63E4"/>
    <w:multiLevelType w:val="hybridMultilevel"/>
    <w:tmpl w:val="E8084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986919"/>
    <w:multiLevelType w:val="hybridMultilevel"/>
    <w:tmpl w:val="41E67C2A"/>
    <w:lvl w:ilvl="0" w:tplc="0415000F">
      <w:start w:val="1"/>
      <w:numFmt w:val="decimal"/>
      <w:lvlText w:val="%1."/>
      <w:lvlJc w:val="left"/>
      <w:pPr>
        <w:ind w:left="1002" w:hanging="360"/>
      </w:pPr>
      <w:rPr>
        <w:rFonts w:hint="default"/>
      </w:rPr>
    </w:lvl>
    <w:lvl w:ilvl="1" w:tplc="FFFFFFFF" w:tentative="1">
      <w:start w:val="1"/>
      <w:numFmt w:val="bullet"/>
      <w:lvlText w:val="o"/>
      <w:lvlJc w:val="left"/>
      <w:pPr>
        <w:ind w:left="1722" w:hanging="360"/>
      </w:pPr>
      <w:rPr>
        <w:rFonts w:ascii="Courier New" w:hAnsi="Courier New" w:cs="Courier New" w:hint="default"/>
      </w:rPr>
    </w:lvl>
    <w:lvl w:ilvl="2" w:tplc="FFFFFFFF" w:tentative="1">
      <w:start w:val="1"/>
      <w:numFmt w:val="bullet"/>
      <w:lvlText w:val=""/>
      <w:lvlJc w:val="left"/>
      <w:pPr>
        <w:ind w:left="2442" w:hanging="360"/>
      </w:pPr>
      <w:rPr>
        <w:rFonts w:ascii="Wingdings" w:hAnsi="Wingdings" w:hint="default"/>
      </w:rPr>
    </w:lvl>
    <w:lvl w:ilvl="3" w:tplc="FFFFFFFF" w:tentative="1">
      <w:start w:val="1"/>
      <w:numFmt w:val="bullet"/>
      <w:lvlText w:val=""/>
      <w:lvlJc w:val="left"/>
      <w:pPr>
        <w:ind w:left="3162" w:hanging="360"/>
      </w:pPr>
      <w:rPr>
        <w:rFonts w:ascii="Symbol" w:hAnsi="Symbol" w:hint="default"/>
      </w:rPr>
    </w:lvl>
    <w:lvl w:ilvl="4" w:tplc="FFFFFFFF" w:tentative="1">
      <w:start w:val="1"/>
      <w:numFmt w:val="bullet"/>
      <w:lvlText w:val="o"/>
      <w:lvlJc w:val="left"/>
      <w:pPr>
        <w:ind w:left="3882" w:hanging="360"/>
      </w:pPr>
      <w:rPr>
        <w:rFonts w:ascii="Courier New" w:hAnsi="Courier New" w:cs="Courier New" w:hint="default"/>
      </w:rPr>
    </w:lvl>
    <w:lvl w:ilvl="5" w:tplc="FFFFFFFF" w:tentative="1">
      <w:start w:val="1"/>
      <w:numFmt w:val="bullet"/>
      <w:lvlText w:val=""/>
      <w:lvlJc w:val="left"/>
      <w:pPr>
        <w:ind w:left="4602" w:hanging="360"/>
      </w:pPr>
      <w:rPr>
        <w:rFonts w:ascii="Wingdings" w:hAnsi="Wingdings" w:hint="default"/>
      </w:rPr>
    </w:lvl>
    <w:lvl w:ilvl="6" w:tplc="FFFFFFFF" w:tentative="1">
      <w:start w:val="1"/>
      <w:numFmt w:val="bullet"/>
      <w:lvlText w:val=""/>
      <w:lvlJc w:val="left"/>
      <w:pPr>
        <w:ind w:left="5322" w:hanging="360"/>
      </w:pPr>
      <w:rPr>
        <w:rFonts w:ascii="Symbol" w:hAnsi="Symbol" w:hint="default"/>
      </w:rPr>
    </w:lvl>
    <w:lvl w:ilvl="7" w:tplc="FFFFFFFF" w:tentative="1">
      <w:start w:val="1"/>
      <w:numFmt w:val="bullet"/>
      <w:lvlText w:val="o"/>
      <w:lvlJc w:val="left"/>
      <w:pPr>
        <w:ind w:left="6042" w:hanging="360"/>
      </w:pPr>
      <w:rPr>
        <w:rFonts w:ascii="Courier New" w:hAnsi="Courier New" w:cs="Courier New" w:hint="default"/>
      </w:rPr>
    </w:lvl>
    <w:lvl w:ilvl="8" w:tplc="FFFFFFFF" w:tentative="1">
      <w:start w:val="1"/>
      <w:numFmt w:val="bullet"/>
      <w:lvlText w:val=""/>
      <w:lvlJc w:val="left"/>
      <w:pPr>
        <w:ind w:left="6762" w:hanging="360"/>
      </w:pPr>
      <w:rPr>
        <w:rFonts w:ascii="Wingdings" w:hAnsi="Wingdings" w:hint="default"/>
      </w:rPr>
    </w:lvl>
  </w:abstractNum>
  <w:abstractNum w:abstractNumId="2" w15:restartNumberingAfterBreak="0">
    <w:nsid w:val="0AAF00CE"/>
    <w:multiLevelType w:val="hybridMultilevel"/>
    <w:tmpl w:val="5E0EC256"/>
    <w:lvl w:ilvl="0" w:tplc="0415000B">
      <w:start w:val="1"/>
      <w:numFmt w:val="bullet"/>
      <w:lvlText w:val=""/>
      <w:lvlJc w:val="left"/>
      <w:pPr>
        <w:ind w:left="4500" w:hanging="360"/>
      </w:pPr>
      <w:rPr>
        <w:rFonts w:ascii="Wingdings" w:hAnsi="Wingdings" w:hint="default"/>
      </w:rPr>
    </w:lvl>
    <w:lvl w:ilvl="1" w:tplc="FFFFFFFF" w:tentative="1">
      <w:start w:val="1"/>
      <w:numFmt w:val="bullet"/>
      <w:lvlText w:val="o"/>
      <w:lvlJc w:val="left"/>
      <w:pPr>
        <w:ind w:left="5220" w:hanging="360"/>
      </w:pPr>
      <w:rPr>
        <w:rFonts w:ascii="Courier New" w:hAnsi="Courier New" w:cs="Courier New" w:hint="default"/>
      </w:rPr>
    </w:lvl>
    <w:lvl w:ilvl="2" w:tplc="FFFFFFFF" w:tentative="1">
      <w:start w:val="1"/>
      <w:numFmt w:val="bullet"/>
      <w:lvlText w:val=""/>
      <w:lvlJc w:val="left"/>
      <w:pPr>
        <w:ind w:left="5940" w:hanging="360"/>
      </w:pPr>
      <w:rPr>
        <w:rFonts w:ascii="Wingdings" w:hAnsi="Wingdings" w:hint="default"/>
      </w:rPr>
    </w:lvl>
    <w:lvl w:ilvl="3" w:tplc="FFFFFFFF" w:tentative="1">
      <w:start w:val="1"/>
      <w:numFmt w:val="bullet"/>
      <w:lvlText w:val=""/>
      <w:lvlJc w:val="left"/>
      <w:pPr>
        <w:ind w:left="6660" w:hanging="360"/>
      </w:pPr>
      <w:rPr>
        <w:rFonts w:ascii="Symbol" w:hAnsi="Symbol" w:hint="default"/>
      </w:rPr>
    </w:lvl>
    <w:lvl w:ilvl="4" w:tplc="FFFFFFFF" w:tentative="1">
      <w:start w:val="1"/>
      <w:numFmt w:val="bullet"/>
      <w:lvlText w:val="o"/>
      <w:lvlJc w:val="left"/>
      <w:pPr>
        <w:ind w:left="7380" w:hanging="360"/>
      </w:pPr>
      <w:rPr>
        <w:rFonts w:ascii="Courier New" w:hAnsi="Courier New" w:cs="Courier New" w:hint="default"/>
      </w:rPr>
    </w:lvl>
    <w:lvl w:ilvl="5" w:tplc="FFFFFFFF" w:tentative="1">
      <w:start w:val="1"/>
      <w:numFmt w:val="bullet"/>
      <w:lvlText w:val=""/>
      <w:lvlJc w:val="left"/>
      <w:pPr>
        <w:ind w:left="8100" w:hanging="360"/>
      </w:pPr>
      <w:rPr>
        <w:rFonts w:ascii="Wingdings" w:hAnsi="Wingdings" w:hint="default"/>
      </w:rPr>
    </w:lvl>
    <w:lvl w:ilvl="6" w:tplc="FFFFFFFF" w:tentative="1">
      <w:start w:val="1"/>
      <w:numFmt w:val="bullet"/>
      <w:lvlText w:val=""/>
      <w:lvlJc w:val="left"/>
      <w:pPr>
        <w:ind w:left="8820" w:hanging="360"/>
      </w:pPr>
      <w:rPr>
        <w:rFonts w:ascii="Symbol" w:hAnsi="Symbol" w:hint="default"/>
      </w:rPr>
    </w:lvl>
    <w:lvl w:ilvl="7" w:tplc="FFFFFFFF" w:tentative="1">
      <w:start w:val="1"/>
      <w:numFmt w:val="bullet"/>
      <w:lvlText w:val="o"/>
      <w:lvlJc w:val="left"/>
      <w:pPr>
        <w:ind w:left="9540" w:hanging="360"/>
      </w:pPr>
      <w:rPr>
        <w:rFonts w:ascii="Courier New" w:hAnsi="Courier New" w:cs="Courier New" w:hint="default"/>
      </w:rPr>
    </w:lvl>
    <w:lvl w:ilvl="8" w:tplc="FFFFFFFF" w:tentative="1">
      <w:start w:val="1"/>
      <w:numFmt w:val="bullet"/>
      <w:lvlText w:val=""/>
      <w:lvlJc w:val="left"/>
      <w:pPr>
        <w:ind w:left="10260" w:hanging="360"/>
      </w:pPr>
      <w:rPr>
        <w:rFonts w:ascii="Wingdings" w:hAnsi="Wingdings" w:hint="default"/>
      </w:rPr>
    </w:lvl>
  </w:abstractNum>
  <w:abstractNum w:abstractNumId="3" w15:restartNumberingAfterBreak="0">
    <w:nsid w:val="0FCE00F4"/>
    <w:multiLevelType w:val="multilevel"/>
    <w:tmpl w:val="6C2420AA"/>
    <w:lvl w:ilvl="0">
      <w:start w:val="1"/>
      <w:numFmt w:val="decimal"/>
      <w:lvlText w:val="(%1)"/>
      <w:lvlJc w:val="left"/>
      <w:rPr>
        <w:rFonts w:ascii="Calibri" w:eastAsia="Calibri" w:hAnsi="Calibri" w:cs="Calibri"/>
        <w:b w:val="0"/>
        <w:bCs w:val="0"/>
        <w:i w:val="0"/>
        <w:iCs w:val="0"/>
        <w:smallCaps w:val="0"/>
        <w:strike w:val="0"/>
        <w:color w:val="585858"/>
        <w:spacing w:val="0"/>
        <w:w w:val="100"/>
        <w:position w:val="0"/>
        <w:sz w:val="26"/>
        <w:szCs w:val="26"/>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8B4AEA"/>
    <w:multiLevelType w:val="hybridMultilevel"/>
    <w:tmpl w:val="6B529CCE"/>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5" w15:restartNumberingAfterBreak="0">
    <w:nsid w:val="388D49C4"/>
    <w:multiLevelType w:val="hybridMultilevel"/>
    <w:tmpl w:val="C01C6E50"/>
    <w:lvl w:ilvl="0" w:tplc="0415000B">
      <w:start w:val="1"/>
      <w:numFmt w:val="bullet"/>
      <w:lvlText w:val=""/>
      <w:lvlJc w:val="left"/>
      <w:pPr>
        <w:ind w:left="960" w:hanging="360"/>
      </w:pPr>
      <w:rPr>
        <w:rFonts w:ascii="Wingdings" w:hAnsi="Wingding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6" w15:restartNumberingAfterBreak="0">
    <w:nsid w:val="3AC67E12"/>
    <w:multiLevelType w:val="multilevel"/>
    <w:tmpl w:val="8860424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C5244DC"/>
    <w:multiLevelType w:val="multilevel"/>
    <w:tmpl w:val="C390E4D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58715130">
    <w:abstractNumId w:val="6"/>
  </w:num>
  <w:num w:numId="2" w16cid:durableId="709765613">
    <w:abstractNumId w:val="3"/>
  </w:num>
  <w:num w:numId="3" w16cid:durableId="1861775693">
    <w:abstractNumId w:val="7"/>
  </w:num>
  <w:num w:numId="4" w16cid:durableId="397436912">
    <w:abstractNumId w:val="4"/>
  </w:num>
  <w:num w:numId="5" w16cid:durableId="50616884">
    <w:abstractNumId w:val="2"/>
  </w:num>
  <w:num w:numId="6" w16cid:durableId="1615550881">
    <w:abstractNumId w:val="5"/>
  </w:num>
  <w:num w:numId="7" w16cid:durableId="1791708791">
    <w:abstractNumId w:val="0"/>
  </w:num>
  <w:num w:numId="8" w16cid:durableId="774204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109"/>
    <w:rsid w:val="00005B7F"/>
    <w:rsid w:val="000211C1"/>
    <w:rsid w:val="0005173F"/>
    <w:rsid w:val="00056CC3"/>
    <w:rsid w:val="0007015A"/>
    <w:rsid w:val="00090273"/>
    <w:rsid w:val="0009352F"/>
    <w:rsid w:val="00094D72"/>
    <w:rsid w:val="00096A3F"/>
    <w:rsid w:val="000A31C1"/>
    <w:rsid w:val="000C71AD"/>
    <w:rsid w:val="000E4ED3"/>
    <w:rsid w:val="00100BB3"/>
    <w:rsid w:val="00107A05"/>
    <w:rsid w:val="001217B4"/>
    <w:rsid w:val="00145666"/>
    <w:rsid w:val="00156A85"/>
    <w:rsid w:val="00171AF3"/>
    <w:rsid w:val="00193C6F"/>
    <w:rsid w:val="001A3FD6"/>
    <w:rsid w:val="001A4291"/>
    <w:rsid w:val="001A6834"/>
    <w:rsid w:val="001B57B7"/>
    <w:rsid w:val="001B65A5"/>
    <w:rsid w:val="001D0BCC"/>
    <w:rsid w:val="001D7060"/>
    <w:rsid w:val="001F7115"/>
    <w:rsid w:val="00202DF8"/>
    <w:rsid w:val="00210CA5"/>
    <w:rsid w:val="002300B9"/>
    <w:rsid w:val="0023601C"/>
    <w:rsid w:val="00240806"/>
    <w:rsid w:val="00241504"/>
    <w:rsid w:val="00244D56"/>
    <w:rsid w:val="00246E74"/>
    <w:rsid w:val="00250393"/>
    <w:rsid w:val="002553B6"/>
    <w:rsid w:val="00257BFB"/>
    <w:rsid w:val="0026147F"/>
    <w:rsid w:val="00262659"/>
    <w:rsid w:val="00265B4B"/>
    <w:rsid w:val="0026733E"/>
    <w:rsid w:val="00270886"/>
    <w:rsid w:val="002A4458"/>
    <w:rsid w:val="002B004A"/>
    <w:rsid w:val="002B7D44"/>
    <w:rsid w:val="002C1CFD"/>
    <w:rsid w:val="002C52F3"/>
    <w:rsid w:val="002D603C"/>
    <w:rsid w:val="002E7C03"/>
    <w:rsid w:val="00301410"/>
    <w:rsid w:val="00301497"/>
    <w:rsid w:val="003028E8"/>
    <w:rsid w:val="00312A55"/>
    <w:rsid w:val="0032062D"/>
    <w:rsid w:val="00323FD3"/>
    <w:rsid w:val="0035105E"/>
    <w:rsid w:val="003542FD"/>
    <w:rsid w:val="003564B4"/>
    <w:rsid w:val="00380098"/>
    <w:rsid w:val="003937D1"/>
    <w:rsid w:val="00396E99"/>
    <w:rsid w:val="003A4717"/>
    <w:rsid w:val="003A6201"/>
    <w:rsid w:val="003A633F"/>
    <w:rsid w:val="003D4715"/>
    <w:rsid w:val="004137F2"/>
    <w:rsid w:val="0043301D"/>
    <w:rsid w:val="00436EF0"/>
    <w:rsid w:val="00437858"/>
    <w:rsid w:val="00446910"/>
    <w:rsid w:val="00456693"/>
    <w:rsid w:val="004A01E7"/>
    <w:rsid w:val="004C2A78"/>
    <w:rsid w:val="004C3C44"/>
    <w:rsid w:val="004E75AD"/>
    <w:rsid w:val="004F170C"/>
    <w:rsid w:val="004F3C31"/>
    <w:rsid w:val="00506C28"/>
    <w:rsid w:val="00507AF1"/>
    <w:rsid w:val="00511907"/>
    <w:rsid w:val="005122DE"/>
    <w:rsid w:val="00522C80"/>
    <w:rsid w:val="00525895"/>
    <w:rsid w:val="005426CF"/>
    <w:rsid w:val="00560DBC"/>
    <w:rsid w:val="005843BE"/>
    <w:rsid w:val="00590241"/>
    <w:rsid w:val="005966F1"/>
    <w:rsid w:val="005A14A7"/>
    <w:rsid w:val="005A6A48"/>
    <w:rsid w:val="005C6EBB"/>
    <w:rsid w:val="005D250B"/>
    <w:rsid w:val="0061114F"/>
    <w:rsid w:val="006115A6"/>
    <w:rsid w:val="0062187E"/>
    <w:rsid w:val="006278DB"/>
    <w:rsid w:val="00631BCF"/>
    <w:rsid w:val="00635CAE"/>
    <w:rsid w:val="00635D8C"/>
    <w:rsid w:val="00635DB4"/>
    <w:rsid w:val="006404E8"/>
    <w:rsid w:val="0065342B"/>
    <w:rsid w:val="006614B2"/>
    <w:rsid w:val="006626F8"/>
    <w:rsid w:val="006627EC"/>
    <w:rsid w:val="006963C9"/>
    <w:rsid w:val="006B2744"/>
    <w:rsid w:val="006B7C2C"/>
    <w:rsid w:val="006C321D"/>
    <w:rsid w:val="006D53F2"/>
    <w:rsid w:val="006D796D"/>
    <w:rsid w:val="006E0330"/>
    <w:rsid w:val="006E7863"/>
    <w:rsid w:val="006F0232"/>
    <w:rsid w:val="00705F0F"/>
    <w:rsid w:val="007118FC"/>
    <w:rsid w:val="00731A68"/>
    <w:rsid w:val="007339B3"/>
    <w:rsid w:val="00734D77"/>
    <w:rsid w:val="0074109C"/>
    <w:rsid w:val="00742684"/>
    <w:rsid w:val="007521AF"/>
    <w:rsid w:val="00756078"/>
    <w:rsid w:val="00756743"/>
    <w:rsid w:val="007646B7"/>
    <w:rsid w:val="007723D0"/>
    <w:rsid w:val="0077761C"/>
    <w:rsid w:val="00782109"/>
    <w:rsid w:val="00790FB0"/>
    <w:rsid w:val="00795875"/>
    <w:rsid w:val="007B1B22"/>
    <w:rsid w:val="007F53C0"/>
    <w:rsid w:val="0081671F"/>
    <w:rsid w:val="00831A3C"/>
    <w:rsid w:val="00837D46"/>
    <w:rsid w:val="00862412"/>
    <w:rsid w:val="008724FF"/>
    <w:rsid w:val="00883B7B"/>
    <w:rsid w:val="00892526"/>
    <w:rsid w:val="00894B81"/>
    <w:rsid w:val="008C4DCB"/>
    <w:rsid w:val="008E0593"/>
    <w:rsid w:val="008E75C1"/>
    <w:rsid w:val="009130BA"/>
    <w:rsid w:val="009441C6"/>
    <w:rsid w:val="00945C42"/>
    <w:rsid w:val="0094739F"/>
    <w:rsid w:val="00957394"/>
    <w:rsid w:val="0097015B"/>
    <w:rsid w:val="00976F3F"/>
    <w:rsid w:val="009B3413"/>
    <w:rsid w:val="009C1448"/>
    <w:rsid w:val="009D2517"/>
    <w:rsid w:val="009F620F"/>
    <w:rsid w:val="00A06437"/>
    <w:rsid w:val="00A16D57"/>
    <w:rsid w:val="00A239C9"/>
    <w:rsid w:val="00A33243"/>
    <w:rsid w:val="00A33C73"/>
    <w:rsid w:val="00A46A80"/>
    <w:rsid w:val="00A5366F"/>
    <w:rsid w:val="00A53B2E"/>
    <w:rsid w:val="00A656D9"/>
    <w:rsid w:val="00A70802"/>
    <w:rsid w:val="00A72A4E"/>
    <w:rsid w:val="00A8544F"/>
    <w:rsid w:val="00AA03A9"/>
    <w:rsid w:val="00AB196E"/>
    <w:rsid w:val="00AB298D"/>
    <w:rsid w:val="00AE0196"/>
    <w:rsid w:val="00AE7EC5"/>
    <w:rsid w:val="00AF30EA"/>
    <w:rsid w:val="00AF3648"/>
    <w:rsid w:val="00AF51D3"/>
    <w:rsid w:val="00AF723D"/>
    <w:rsid w:val="00B01700"/>
    <w:rsid w:val="00B11D89"/>
    <w:rsid w:val="00B212B9"/>
    <w:rsid w:val="00B317DF"/>
    <w:rsid w:val="00B3780D"/>
    <w:rsid w:val="00B5404B"/>
    <w:rsid w:val="00B555DD"/>
    <w:rsid w:val="00B62280"/>
    <w:rsid w:val="00B7392C"/>
    <w:rsid w:val="00B84259"/>
    <w:rsid w:val="00B92921"/>
    <w:rsid w:val="00BA06D6"/>
    <w:rsid w:val="00BA1E05"/>
    <w:rsid w:val="00BA3A7F"/>
    <w:rsid w:val="00BC153E"/>
    <w:rsid w:val="00BE442D"/>
    <w:rsid w:val="00C0578A"/>
    <w:rsid w:val="00C0667C"/>
    <w:rsid w:val="00C071A2"/>
    <w:rsid w:val="00C124B4"/>
    <w:rsid w:val="00C2339F"/>
    <w:rsid w:val="00C27018"/>
    <w:rsid w:val="00C36C85"/>
    <w:rsid w:val="00C45AF0"/>
    <w:rsid w:val="00C5034B"/>
    <w:rsid w:val="00C54D14"/>
    <w:rsid w:val="00C61D9A"/>
    <w:rsid w:val="00C85A61"/>
    <w:rsid w:val="00C869CC"/>
    <w:rsid w:val="00CA6807"/>
    <w:rsid w:val="00CA7A61"/>
    <w:rsid w:val="00CB1741"/>
    <w:rsid w:val="00CB3234"/>
    <w:rsid w:val="00CC30F8"/>
    <w:rsid w:val="00CE75B5"/>
    <w:rsid w:val="00CF4874"/>
    <w:rsid w:val="00D04DF0"/>
    <w:rsid w:val="00D20345"/>
    <w:rsid w:val="00D35184"/>
    <w:rsid w:val="00D406C2"/>
    <w:rsid w:val="00D653DA"/>
    <w:rsid w:val="00D65CFC"/>
    <w:rsid w:val="00D678FB"/>
    <w:rsid w:val="00D7009B"/>
    <w:rsid w:val="00D94526"/>
    <w:rsid w:val="00DA12D5"/>
    <w:rsid w:val="00DB0CD9"/>
    <w:rsid w:val="00DE21ED"/>
    <w:rsid w:val="00DE38D1"/>
    <w:rsid w:val="00DE6462"/>
    <w:rsid w:val="00DF17E2"/>
    <w:rsid w:val="00DF5049"/>
    <w:rsid w:val="00DF6DEB"/>
    <w:rsid w:val="00E0120F"/>
    <w:rsid w:val="00E031B4"/>
    <w:rsid w:val="00E34FE3"/>
    <w:rsid w:val="00E3613A"/>
    <w:rsid w:val="00E37106"/>
    <w:rsid w:val="00E44AC9"/>
    <w:rsid w:val="00E46D28"/>
    <w:rsid w:val="00E67B2E"/>
    <w:rsid w:val="00E82CEC"/>
    <w:rsid w:val="00E841BD"/>
    <w:rsid w:val="00E9333D"/>
    <w:rsid w:val="00E95980"/>
    <w:rsid w:val="00EA5885"/>
    <w:rsid w:val="00EB185C"/>
    <w:rsid w:val="00EC7FB2"/>
    <w:rsid w:val="00ED2B43"/>
    <w:rsid w:val="00EE27A8"/>
    <w:rsid w:val="00EE2AB5"/>
    <w:rsid w:val="00EE3539"/>
    <w:rsid w:val="00EE6F8C"/>
    <w:rsid w:val="00EF22FA"/>
    <w:rsid w:val="00EF292E"/>
    <w:rsid w:val="00F018CD"/>
    <w:rsid w:val="00F01CC4"/>
    <w:rsid w:val="00F02693"/>
    <w:rsid w:val="00F05129"/>
    <w:rsid w:val="00F14EFD"/>
    <w:rsid w:val="00F24FD2"/>
    <w:rsid w:val="00F30408"/>
    <w:rsid w:val="00F31461"/>
    <w:rsid w:val="00F4088D"/>
    <w:rsid w:val="00F41A9D"/>
    <w:rsid w:val="00F44ACA"/>
    <w:rsid w:val="00F666A2"/>
    <w:rsid w:val="00F85112"/>
    <w:rsid w:val="00F91FE8"/>
    <w:rsid w:val="00FA169E"/>
    <w:rsid w:val="00FB0B8B"/>
    <w:rsid w:val="00FB3C5B"/>
    <w:rsid w:val="00FC3B48"/>
    <w:rsid w:val="00FD0303"/>
    <w:rsid w:val="00FD2DBE"/>
    <w:rsid w:val="00FE3085"/>
    <w:rsid w:val="00FE74E2"/>
    <w:rsid w:val="00FE7C7C"/>
    <w:rsid w:val="00FF004B"/>
    <w:rsid w:val="00FF6C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6A691"/>
  <w15:docId w15:val="{922490E9-C2C9-491C-86D3-74A868D25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otnote">
    <w:name w:val="Footnote_"/>
    <w:basedOn w:val="Domylnaczcionkaakapitu"/>
    <w:link w:val="Footnote0"/>
    <w:rPr>
      <w:rFonts w:ascii="Calibri" w:eastAsia="Calibri" w:hAnsi="Calibri" w:cs="Calibri"/>
      <w:b w:val="0"/>
      <w:bCs w:val="0"/>
      <w:i w:val="0"/>
      <w:iCs w:val="0"/>
      <w:smallCaps w:val="0"/>
      <w:strike w:val="0"/>
      <w:sz w:val="15"/>
      <w:szCs w:val="15"/>
      <w:u w:val="none"/>
    </w:rPr>
  </w:style>
  <w:style w:type="character" w:customStyle="1" w:styleId="Headerorfooter2">
    <w:name w:val="Header or footer (2)_"/>
    <w:basedOn w:val="Domylnaczcionkaakapitu"/>
    <w:link w:val="Headerorfooter20"/>
    <w:rPr>
      <w:rFonts w:ascii="Times New Roman" w:eastAsia="Times New Roman" w:hAnsi="Times New Roman" w:cs="Times New Roman"/>
      <w:b w:val="0"/>
      <w:bCs w:val="0"/>
      <w:i w:val="0"/>
      <w:iCs w:val="0"/>
      <w:smallCaps w:val="0"/>
      <w:strike w:val="0"/>
      <w:sz w:val="20"/>
      <w:szCs w:val="20"/>
      <w:u w:val="none"/>
      <w:lang w:val="fr-FR" w:eastAsia="fr-FR"/>
    </w:rPr>
  </w:style>
  <w:style w:type="character" w:customStyle="1" w:styleId="TekstpodstawowyZnak">
    <w:name w:val="Tekst podstawowy Znak"/>
    <w:basedOn w:val="Domylnaczcionkaakapitu"/>
    <w:link w:val="Tekstpodstawowy"/>
    <w:rPr>
      <w:rFonts w:ascii="Calibri" w:eastAsia="Calibri" w:hAnsi="Calibri" w:cs="Calibri"/>
      <w:b w:val="0"/>
      <w:bCs w:val="0"/>
      <w:i w:val="0"/>
      <w:iCs w:val="0"/>
      <w:smallCaps w:val="0"/>
      <w:strike w:val="0"/>
      <w:color w:val="0071BB"/>
      <w:sz w:val="19"/>
      <w:szCs w:val="19"/>
      <w:u w:val="none"/>
    </w:rPr>
  </w:style>
  <w:style w:type="character" w:customStyle="1" w:styleId="Bodytext5">
    <w:name w:val="Body text (5)_"/>
    <w:basedOn w:val="Domylnaczcionkaakapitu"/>
    <w:link w:val="Bodytext50"/>
    <w:rPr>
      <w:rFonts w:ascii="Book Antiqua" w:eastAsia="Book Antiqua" w:hAnsi="Book Antiqua" w:cs="Book Antiqua"/>
      <w:b w:val="0"/>
      <w:bCs w:val="0"/>
      <w:i w:val="0"/>
      <w:iCs w:val="0"/>
      <w:smallCaps w:val="0"/>
      <w:strike w:val="0"/>
      <w:color w:val="1F1F1F"/>
      <w:sz w:val="16"/>
      <w:szCs w:val="16"/>
      <w:u w:val="none"/>
      <w:lang w:val="en-US" w:eastAsia="en-US"/>
    </w:rPr>
  </w:style>
  <w:style w:type="character" w:customStyle="1" w:styleId="Bodytext3">
    <w:name w:val="Body text (3)_"/>
    <w:basedOn w:val="Domylnaczcionkaakapitu"/>
    <w:link w:val="Bodytext30"/>
    <w:rPr>
      <w:rFonts w:ascii="Calibri" w:eastAsia="Calibri" w:hAnsi="Calibri" w:cs="Calibri"/>
      <w:b w:val="0"/>
      <w:bCs w:val="0"/>
      <w:i w:val="0"/>
      <w:iCs w:val="0"/>
      <w:smallCaps w:val="0"/>
      <w:strike w:val="0"/>
      <w:color w:val="808080"/>
      <w:sz w:val="17"/>
      <w:szCs w:val="17"/>
      <w:u w:val="none"/>
    </w:rPr>
  </w:style>
  <w:style w:type="character" w:customStyle="1" w:styleId="Heading1">
    <w:name w:val="Heading #1_"/>
    <w:basedOn w:val="Domylnaczcionkaakapitu"/>
    <w:link w:val="Heading10"/>
    <w:rPr>
      <w:rFonts w:ascii="Calibri" w:eastAsia="Calibri" w:hAnsi="Calibri" w:cs="Calibri"/>
      <w:b w:val="0"/>
      <w:bCs w:val="0"/>
      <w:i w:val="0"/>
      <w:iCs w:val="0"/>
      <w:smallCaps w:val="0"/>
      <w:strike w:val="0"/>
      <w:color w:val="0071BB"/>
      <w:sz w:val="46"/>
      <w:szCs w:val="46"/>
      <w:u w:val="none"/>
    </w:rPr>
  </w:style>
  <w:style w:type="character" w:customStyle="1" w:styleId="Bodytext2">
    <w:name w:val="Body text (2)_"/>
    <w:basedOn w:val="Domylnaczcionkaakapitu"/>
    <w:link w:val="Bodytext20"/>
    <w:rPr>
      <w:rFonts w:ascii="Calibri" w:eastAsia="Calibri" w:hAnsi="Calibri" w:cs="Calibri"/>
      <w:b w:val="0"/>
      <w:bCs w:val="0"/>
      <w:i w:val="0"/>
      <w:iCs w:val="0"/>
      <w:smallCaps w:val="0"/>
      <w:strike w:val="0"/>
      <w:sz w:val="15"/>
      <w:szCs w:val="15"/>
      <w:u w:val="none"/>
    </w:rPr>
  </w:style>
  <w:style w:type="character" w:customStyle="1" w:styleId="Heading2">
    <w:name w:val="Heading #2_"/>
    <w:basedOn w:val="Domylnaczcionkaakapitu"/>
    <w:link w:val="Heading20"/>
    <w:rPr>
      <w:rFonts w:ascii="Calibri" w:eastAsia="Calibri" w:hAnsi="Calibri" w:cs="Calibri"/>
      <w:b w:val="0"/>
      <w:bCs w:val="0"/>
      <w:i w:val="0"/>
      <w:iCs w:val="0"/>
      <w:smallCaps w:val="0"/>
      <w:strike w:val="0"/>
      <w:color w:val="585858"/>
      <w:sz w:val="26"/>
      <w:szCs w:val="26"/>
      <w:u w:val="none"/>
    </w:rPr>
  </w:style>
  <w:style w:type="character" w:customStyle="1" w:styleId="Bodytext4">
    <w:name w:val="Body text (4)_"/>
    <w:basedOn w:val="Domylnaczcionkaakapitu"/>
    <w:link w:val="Bodytext40"/>
    <w:rPr>
      <w:rFonts w:ascii="Arial" w:eastAsia="Arial" w:hAnsi="Arial" w:cs="Arial"/>
      <w:b/>
      <w:bCs/>
      <w:i/>
      <w:iCs/>
      <w:smallCaps w:val="0"/>
      <w:strike w:val="0"/>
      <w:color w:val="4D4D4D"/>
      <w:sz w:val="19"/>
      <w:szCs w:val="19"/>
      <w:u w:val="none"/>
    </w:rPr>
  </w:style>
  <w:style w:type="character" w:customStyle="1" w:styleId="Heading3">
    <w:name w:val="Heading #3_"/>
    <w:basedOn w:val="Domylnaczcionkaakapitu"/>
    <w:link w:val="Heading30"/>
    <w:rPr>
      <w:rFonts w:ascii="Calibri" w:eastAsia="Calibri" w:hAnsi="Calibri" w:cs="Calibri"/>
      <w:b/>
      <w:bCs/>
      <w:i w:val="0"/>
      <w:iCs w:val="0"/>
      <w:smallCaps w:val="0"/>
      <w:strike w:val="0"/>
      <w:color w:val="0071BB"/>
      <w:sz w:val="18"/>
      <w:szCs w:val="18"/>
      <w:u w:val="single"/>
    </w:rPr>
  </w:style>
  <w:style w:type="paragraph" w:customStyle="1" w:styleId="Footnote0">
    <w:name w:val="Footnote"/>
    <w:basedOn w:val="Normalny"/>
    <w:link w:val="Footnote"/>
    <w:rPr>
      <w:rFonts w:ascii="Calibri" w:eastAsia="Calibri" w:hAnsi="Calibri" w:cs="Calibri"/>
      <w:sz w:val="15"/>
      <w:szCs w:val="15"/>
    </w:rPr>
  </w:style>
  <w:style w:type="paragraph" w:customStyle="1" w:styleId="Headerorfooter20">
    <w:name w:val="Header or footer (2)"/>
    <w:basedOn w:val="Normalny"/>
    <w:link w:val="Headerorfooter2"/>
    <w:rPr>
      <w:rFonts w:ascii="Times New Roman" w:eastAsia="Times New Roman" w:hAnsi="Times New Roman" w:cs="Times New Roman"/>
      <w:sz w:val="20"/>
      <w:szCs w:val="20"/>
      <w:lang w:val="fr-FR" w:eastAsia="fr-FR"/>
    </w:rPr>
  </w:style>
  <w:style w:type="paragraph" w:styleId="Tekstpodstawowy">
    <w:name w:val="Body Text"/>
    <w:basedOn w:val="Normalny"/>
    <w:link w:val="TekstpodstawowyZnak"/>
    <w:qFormat/>
    <w:pPr>
      <w:spacing w:after="60"/>
    </w:pPr>
    <w:rPr>
      <w:rFonts w:ascii="Calibri" w:eastAsia="Calibri" w:hAnsi="Calibri" w:cs="Calibri"/>
      <w:color w:val="0071BB"/>
      <w:sz w:val="19"/>
      <w:szCs w:val="19"/>
    </w:rPr>
  </w:style>
  <w:style w:type="paragraph" w:customStyle="1" w:styleId="Bodytext50">
    <w:name w:val="Body text (5)"/>
    <w:basedOn w:val="Normalny"/>
    <w:link w:val="Bodytext5"/>
    <w:pPr>
      <w:spacing w:after="500" w:line="307" w:lineRule="auto"/>
      <w:ind w:left="-600" w:firstLine="280"/>
    </w:pPr>
    <w:rPr>
      <w:rFonts w:ascii="Book Antiqua" w:eastAsia="Book Antiqua" w:hAnsi="Book Antiqua" w:cs="Book Antiqua"/>
      <w:color w:val="1F1F1F"/>
      <w:sz w:val="16"/>
      <w:szCs w:val="16"/>
      <w:lang w:val="en-US" w:eastAsia="en-US"/>
    </w:rPr>
  </w:style>
  <w:style w:type="paragraph" w:customStyle="1" w:styleId="Bodytext30">
    <w:name w:val="Body text (3)"/>
    <w:basedOn w:val="Normalny"/>
    <w:link w:val="Bodytext3"/>
    <w:pPr>
      <w:spacing w:line="264" w:lineRule="auto"/>
    </w:pPr>
    <w:rPr>
      <w:rFonts w:ascii="Calibri" w:eastAsia="Calibri" w:hAnsi="Calibri" w:cs="Calibri"/>
      <w:color w:val="808080"/>
      <w:sz w:val="17"/>
      <w:szCs w:val="17"/>
    </w:rPr>
  </w:style>
  <w:style w:type="paragraph" w:customStyle="1" w:styleId="Heading10">
    <w:name w:val="Heading #1"/>
    <w:basedOn w:val="Normalny"/>
    <w:link w:val="Heading1"/>
    <w:pPr>
      <w:spacing w:after="400"/>
      <w:outlineLvl w:val="0"/>
    </w:pPr>
    <w:rPr>
      <w:rFonts w:ascii="Calibri" w:eastAsia="Calibri" w:hAnsi="Calibri" w:cs="Calibri"/>
      <w:color w:val="0071BB"/>
      <w:sz w:val="46"/>
      <w:szCs w:val="46"/>
    </w:rPr>
  </w:style>
  <w:style w:type="paragraph" w:customStyle="1" w:styleId="Bodytext20">
    <w:name w:val="Body text (2)"/>
    <w:basedOn w:val="Normalny"/>
    <w:link w:val="Bodytext2"/>
    <w:rPr>
      <w:rFonts w:ascii="Calibri" w:eastAsia="Calibri" w:hAnsi="Calibri" w:cs="Calibri"/>
      <w:sz w:val="15"/>
      <w:szCs w:val="15"/>
    </w:rPr>
  </w:style>
  <w:style w:type="paragraph" w:customStyle="1" w:styleId="Heading20">
    <w:name w:val="Heading #2"/>
    <w:basedOn w:val="Normalny"/>
    <w:link w:val="Heading2"/>
    <w:pPr>
      <w:spacing w:after="80"/>
      <w:outlineLvl w:val="1"/>
    </w:pPr>
    <w:rPr>
      <w:rFonts w:ascii="Calibri" w:eastAsia="Calibri" w:hAnsi="Calibri" w:cs="Calibri"/>
      <w:color w:val="585858"/>
      <w:sz w:val="26"/>
      <w:szCs w:val="26"/>
    </w:rPr>
  </w:style>
  <w:style w:type="paragraph" w:customStyle="1" w:styleId="Bodytext40">
    <w:name w:val="Body text (4)"/>
    <w:basedOn w:val="Normalny"/>
    <w:link w:val="Bodytext4"/>
    <w:pPr>
      <w:spacing w:after="80" w:line="252" w:lineRule="auto"/>
    </w:pPr>
    <w:rPr>
      <w:rFonts w:ascii="Arial" w:eastAsia="Arial" w:hAnsi="Arial" w:cs="Arial"/>
      <w:b/>
      <w:bCs/>
      <w:i/>
      <w:iCs/>
      <w:color w:val="4D4D4D"/>
      <w:sz w:val="19"/>
      <w:szCs w:val="19"/>
    </w:rPr>
  </w:style>
  <w:style w:type="paragraph" w:customStyle="1" w:styleId="Heading30">
    <w:name w:val="Heading #3"/>
    <w:basedOn w:val="Normalny"/>
    <w:link w:val="Heading3"/>
    <w:pPr>
      <w:spacing w:after="20"/>
      <w:outlineLvl w:val="2"/>
    </w:pPr>
    <w:rPr>
      <w:rFonts w:ascii="Calibri" w:eastAsia="Calibri" w:hAnsi="Calibri" w:cs="Calibri"/>
      <w:b/>
      <w:bCs/>
      <w:color w:val="0071BB"/>
      <w:sz w:val="18"/>
      <w:szCs w:val="18"/>
      <w:u w:val="single"/>
    </w:rPr>
  </w:style>
  <w:style w:type="character" w:styleId="Hipercze">
    <w:name w:val="Hyperlink"/>
    <w:basedOn w:val="Domylnaczcionkaakapitu"/>
    <w:uiPriority w:val="99"/>
    <w:unhideWhenUsed/>
    <w:rsid w:val="005A14A7"/>
    <w:rPr>
      <w:color w:val="467886" w:themeColor="hyperlink"/>
      <w:u w:val="single"/>
    </w:rPr>
  </w:style>
  <w:style w:type="character" w:styleId="Nierozpoznanawzmianka">
    <w:name w:val="Unresolved Mention"/>
    <w:basedOn w:val="Domylnaczcionkaakapitu"/>
    <w:uiPriority w:val="99"/>
    <w:semiHidden/>
    <w:unhideWhenUsed/>
    <w:rsid w:val="005A14A7"/>
    <w:rPr>
      <w:color w:val="605E5C"/>
      <w:shd w:val="clear" w:color="auto" w:fill="E1DFDD"/>
    </w:rPr>
  </w:style>
  <w:style w:type="paragraph" w:styleId="Stopka">
    <w:name w:val="footer"/>
    <w:basedOn w:val="Normalny"/>
    <w:link w:val="StopkaZnak"/>
    <w:uiPriority w:val="99"/>
    <w:unhideWhenUsed/>
    <w:rsid w:val="00862412"/>
    <w:pPr>
      <w:tabs>
        <w:tab w:val="center" w:pos="4536"/>
        <w:tab w:val="right" w:pos="9072"/>
      </w:tabs>
    </w:pPr>
  </w:style>
  <w:style w:type="character" w:customStyle="1" w:styleId="StopkaZnak">
    <w:name w:val="Stopka Znak"/>
    <w:basedOn w:val="Domylnaczcionkaakapitu"/>
    <w:link w:val="Stopka"/>
    <w:uiPriority w:val="99"/>
    <w:rsid w:val="00862412"/>
    <w:rPr>
      <w:color w:val="000000"/>
    </w:rPr>
  </w:style>
  <w:style w:type="paragraph" w:styleId="Nagwek">
    <w:name w:val="header"/>
    <w:basedOn w:val="Normalny"/>
    <w:link w:val="NagwekZnak"/>
    <w:uiPriority w:val="99"/>
    <w:unhideWhenUsed/>
    <w:rsid w:val="00862412"/>
    <w:pPr>
      <w:tabs>
        <w:tab w:val="center" w:pos="4536"/>
        <w:tab w:val="right" w:pos="9072"/>
      </w:tabs>
    </w:pPr>
  </w:style>
  <w:style w:type="character" w:customStyle="1" w:styleId="NagwekZnak">
    <w:name w:val="Nagłówek Znak"/>
    <w:basedOn w:val="Domylnaczcionkaakapitu"/>
    <w:link w:val="Nagwek"/>
    <w:uiPriority w:val="99"/>
    <w:rsid w:val="00862412"/>
    <w:rPr>
      <w:color w:val="000000"/>
    </w:rPr>
  </w:style>
  <w:style w:type="paragraph" w:styleId="Poprawka">
    <w:name w:val="Revision"/>
    <w:hidden/>
    <w:uiPriority w:val="99"/>
    <w:semiHidden/>
    <w:rsid w:val="00DE6462"/>
    <w:pPr>
      <w:widowControl/>
    </w:pPr>
    <w:rPr>
      <w:color w:val="000000"/>
    </w:rPr>
  </w:style>
  <w:style w:type="character" w:styleId="Odwoaniedokomentarza">
    <w:name w:val="annotation reference"/>
    <w:basedOn w:val="Domylnaczcionkaakapitu"/>
    <w:uiPriority w:val="99"/>
    <w:semiHidden/>
    <w:unhideWhenUsed/>
    <w:rsid w:val="00094D72"/>
    <w:rPr>
      <w:sz w:val="16"/>
      <w:szCs w:val="16"/>
    </w:rPr>
  </w:style>
  <w:style w:type="paragraph" w:styleId="Tekstkomentarza">
    <w:name w:val="annotation text"/>
    <w:basedOn w:val="Normalny"/>
    <w:link w:val="TekstkomentarzaZnak"/>
    <w:uiPriority w:val="99"/>
    <w:unhideWhenUsed/>
    <w:rsid w:val="00094D72"/>
    <w:rPr>
      <w:sz w:val="20"/>
      <w:szCs w:val="20"/>
    </w:rPr>
  </w:style>
  <w:style w:type="character" w:customStyle="1" w:styleId="TekstkomentarzaZnak">
    <w:name w:val="Tekst komentarza Znak"/>
    <w:basedOn w:val="Domylnaczcionkaakapitu"/>
    <w:link w:val="Tekstkomentarza"/>
    <w:uiPriority w:val="99"/>
    <w:rsid w:val="00094D72"/>
    <w:rPr>
      <w:color w:val="000000"/>
      <w:sz w:val="20"/>
      <w:szCs w:val="20"/>
    </w:rPr>
  </w:style>
  <w:style w:type="paragraph" w:styleId="Tematkomentarza">
    <w:name w:val="annotation subject"/>
    <w:basedOn w:val="Tekstkomentarza"/>
    <w:next w:val="Tekstkomentarza"/>
    <w:link w:val="TematkomentarzaZnak"/>
    <w:uiPriority w:val="99"/>
    <w:semiHidden/>
    <w:unhideWhenUsed/>
    <w:rsid w:val="00094D72"/>
    <w:rPr>
      <w:b/>
      <w:bCs/>
    </w:rPr>
  </w:style>
  <w:style w:type="character" w:customStyle="1" w:styleId="TematkomentarzaZnak">
    <w:name w:val="Temat komentarza Znak"/>
    <w:basedOn w:val="TekstkomentarzaZnak"/>
    <w:link w:val="Tematkomentarza"/>
    <w:uiPriority w:val="99"/>
    <w:semiHidden/>
    <w:rsid w:val="00094D72"/>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udoc.echr.coe.int/eng-press?i=003-6037377-7754282" TargetMode="External"/><Relationship Id="rId21" Type="http://schemas.openxmlformats.org/officeDocument/2006/relationships/hyperlink" Target="http://hudoc.echr.coe.int/sites/eng/pages/search.aspx?i=001-57506" TargetMode="External"/><Relationship Id="rId42" Type="http://schemas.openxmlformats.org/officeDocument/2006/relationships/hyperlink" Target="http://hudoc.echr.coe.int/eng?i=003-6849109-9175994" TargetMode="External"/><Relationship Id="rId47" Type="http://schemas.openxmlformats.org/officeDocument/2006/relationships/hyperlink" Target="http://hudoc.echr.coe.int/eng?i=003-6993381-9422930" TargetMode="External"/><Relationship Id="rId63" Type="http://schemas.openxmlformats.org/officeDocument/2006/relationships/hyperlink" Target="http://hudoc.echr.coe.int/sites/eng/pages/search.aspx?i=001-57518" TargetMode="External"/><Relationship Id="rId68" Type="http://schemas.openxmlformats.org/officeDocument/2006/relationships/hyperlink" Target="http://hudoc.echr.coe.int/sites/eng/pages/search.aspx?i=001-57450" TargetMode="External"/><Relationship Id="rId84" Type="http://schemas.openxmlformats.org/officeDocument/2006/relationships/hyperlink" Target="http://hudoc.echr.coe.int/sites/eng-press/pages/search.aspx?i=003-1412014-1474284" TargetMode="External"/><Relationship Id="rId89" Type="http://schemas.openxmlformats.org/officeDocument/2006/relationships/hyperlink" Target="http://hudoc.echr.coe.int/sites/eng-press/pages/search.aspx?i=003-2266462-2424484" TargetMode="External"/><Relationship Id="rId16" Type="http://schemas.openxmlformats.org/officeDocument/2006/relationships/header" Target="header4.xml"/><Relationship Id="rId107" Type="http://schemas.openxmlformats.org/officeDocument/2006/relationships/hyperlink" Target="http://www.echr.coe.int/Documents/Convention_ENG.pdf" TargetMode="External"/><Relationship Id="rId11" Type="http://schemas.openxmlformats.org/officeDocument/2006/relationships/hyperlink" Target="http://www.echr.coe.int/Documents/Convention_ENG.pdf" TargetMode="External"/><Relationship Id="rId32" Type="http://schemas.openxmlformats.org/officeDocument/2006/relationships/hyperlink" Target="http://hudoc.echr.coe.int/sites/eng/pages/search.aspx?i=001-61139" TargetMode="External"/><Relationship Id="rId37" Type="http://schemas.openxmlformats.org/officeDocument/2006/relationships/hyperlink" Target="http://hudoc.echr.coe.int/eng-press?i=003-6037377-7754282" TargetMode="External"/><Relationship Id="rId53" Type="http://schemas.openxmlformats.org/officeDocument/2006/relationships/hyperlink" Target="https://hudoc.echr.coe.int/fre?i=002-13439" TargetMode="External"/><Relationship Id="rId58" Type="http://schemas.openxmlformats.org/officeDocument/2006/relationships/hyperlink" Target="https://hudoc.echr.coe.int/eng-press?i=003-7239763-9850846" TargetMode="External"/><Relationship Id="rId74" Type="http://schemas.openxmlformats.org/officeDocument/2006/relationships/hyperlink" Target="http://hudoc.echr.coe.int/sites/eng/pages/search.aspx?i=001-57506" TargetMode="External"/><Relationship Id="rId79" Type="http://schemas.openxmlformats.org/officeDocument/2006/relationships/hyperlink" Target="http://hudoc.echr.coe.int/sites/eng-press/pages/search.aspx?i=003-4196815-4975517" TargetMode="External"/><Relationship Id="rId102" Type="http://schemas.openxmlformats.org/officeDocument/2006/relationships/header" Target="header8.xml"/><Relationship Id="rId5" Type="http://schemas.openxmlformats.org/officeDocument/2006/relationships/webSettings" Target="webSettings.xml"/><Relationship Id="rId90" Type="http://schemas.openxmlformats.org/officeDocument/2006/relationships/hyperlink" Target="http://hudoc.echr.coe.int/sites/eng-press/pages/search.aspx?i=003-2971049-3271992" TargetMode="External"/><Relationship Id="rId95" Type="http://schemas.openxmlformats.org/officeDocument/2006/relationships/footer" Target="footer3.xml"/><Relationship Id="rId22" Type="http://schemas.openxmlformats.org/officeDocument/2006/relationships/hyperlink" Target="http://hudoc.echr.coe.int/sites/eng/pages/search.aspx?i=001-57819" TargetMode="External"/><Relationship Id="rId27" Type="http://schemas.openxmlformats.org/officeDocument/2006/relationships/hyperlink" Target="https://hudoc.echr.coe.int/fre?i=002-13401" TargetMode="External"/><Relationship Id="rId43" Type="http://schemas.openxmlformats.org/officeDocument/2006/relationships/hyperlink" Target="http://hudoc.echr.coe.int/eng?i=003-6849109-9175994" TargetMode="External"/><Relationship Id="rId48" Type="http://schemas.openxmlformats.org/officeDocument/2006/relationships/hyperlink" Target="http://hudoc.echr.coe.int/eng?i=003-6993381-9422930" TargetMode="External"/><Relationship Id="rId64" Type="http://schemas.openxmlformats.org/officeDocument/2006/relationships/hyperlink" Target="http://hudoc.echr.coe.int/sites/eng/pages/search.aspx?i=001-58003" TargetMode="External"/><Relationship Id="rId69" Type="http://schemas.openxmlformats.org/officeDocument/2006/relationships/hyperlink" Target="http://hudoc.echr.coe.int/sites/eng/pages/search.aspx?i=001-57943" TargetMode="External"/><Relationship Id="rId80" Type="http://schemas.openxmlformats.org/officeDocument/2006/relationships/hyperlink" Target="http://hudoc.echr.coe.int/sites/eng/pages/search.aspx?i=003-4832205-5894802" TargetMode="External"/><Relationship Id="rId85" Type="http://schemas.openxmlformats.org/officeDocument/2006/relationships/hyperlink" Target="http://hudoc.echr.coe.int/sites/eng-press/pages/search.aspx?i=003-4153035-4902782" TargetMode="External"/><Relationship Id="rId12" Type="http://schemas.openxmlformats.org/officeDocument/2006/relationships/hyperlink" Target="http://www.echr.coe.int/Documents/Convention_ENG.pdf" TargetMode="External"/><Relationship Id="rId17" Type="http://schemas.openxmlformats.org/officeDocument/2006/relationships/footer" Target="footer1.xml"/><Relationship Id="rId33" Type="http://schemas.openxmlformats.org/officeDocument/2006/relationships/hyperlink" Target="http://hudoc.echr.coe.int/sites/eng/pages/search.aspx?i=001-72496" TargetMode="External"/><Relationship Id="rId38" Type="http://schemas.openxmlformats.org/officeDocument/2006/relationships/hyperlink" Target="http://hudoc.echr.coe.int/eng?i=003-6384674-8372166" TargetMode="External"/><Relationship Id="rId59" Type="http://schemas.openxmlformats.org/officeDocument/2006/relationships/hyperlink" Target="http://hudoc.echr.coe.int/eng?i=003-6886711-9239474" TargetMode="External"/><Relationship Id="rId103" Type="http://schemas.openxmlformats.org/officeDocument/2006/relationships/footer" Target="footer5.xml"/><Relationship Id="rId108" Type="http://schemas.openxmlformats.org/officeDocument/2006/relationships/fontTable" Target="fontTable.xml"/><Relationship Id="rId54" Type="http://schemas.openxmlformats.org/officeDocument/2006/relationships/hyperlink" Target="https://hudoc.echr.coe.int/fre?i=002-13486" TargetMode="External"/><Relationship Id="rId70" Type="http://schemas.openxmlformats.org/officeDocument/2006/relationships/hyperlink" Target="http://hudoc.echr.coe.int/sites/eng-press/pages/search.aspx?i=003-1224121-1273758" TargetMode="External"/><Relationship Id="rId75" Type="http://schemas.openxmlformats.org/officeDocument/2006/relationships/hyperlink" Target="http://hudoc.echr.coe.int/sites/eng/pages/search.aspx?i=001-57619" TargetMode="External"/><Relationship Id="rId91" Type="http://schemas.openxmlformats.org/officeDocument/2006/relationships/hyperlink" Target="http://hudoc.echr.coe.int/sites/eng-press/pages/search.aspx?i=003-3044411-3369175" TargetMode="External"/><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hudoc.echr.coe.int/sites/eng/pages/search.aspx?i=001-58003" TargetMode="External"/><Relationship Id="rId28" Type="http://schemas.openxmlformats.org/officeDocument/2006/relationships/hyperlink" Target="http://hudoc.echr.coe.int/sites/eng/pages/search.aspx?i=001-57518" TargetMode="External"/><Relationship Id="rId36" Type="http://schemas.openxmlformats.org/officeDocument/2006/relationships/hyperlink" Target="http://hudoc.echr.coe.int/eng-press?i=003-6037379-7754294" TargetMode="External"/><Relationship Id="rId49" Type="http://schemas.openxmlformats.org/officeDocument/2006/relationships/hyperlink" Target="https://hudoc.echr.coe.int/fre?i=003-7022339-9473461" TargetMode="External"/><Relationship Id="rId57" Type="http://schemas.openxmlformats.org/officeDocument/2006/relationships/hyperlink" Target="https://hudoc.echr.coe.int/fre?i=003-7209602-9797842" TargetMode="External"/><Relationship Id="rId106" Type="http://schemas.openxmlformats.org/officeDocument/2006/relationships/hyperlink" Target="http://www.echr.coe.int/Documents/Convention_ENG.pdf" TargetMode="External"/><Relationship Id="rId10" Type="http://schemas.openxmlformats.org/officeDocument/2006/relationships/image" Target="media/image1.emf"/><Relationship Id="rId31" Type="http://schemas.openxmlformats.org/officeDocument/2006/relationships/hyperlink" Target="http://hudoc.echr.coe.int/sites/eng/pages/search.aspx?i=001-58230" TargetMode="External"/><Relationship Id="rId44" Type="http://schemas.openxmlformats.org/officeDocument/2006/relationships/hyperlink" Target="http://hudoc.echr.coe.int/eng?i=003-6862813-9199305" TargetMode="External"/><Relationship Id="rId52" Type="http://schemas.openxmlformats.org/officeDocument/2006/relationships/hyperlink" Target="https://hudoc.echr.coe.int/fre?i=002-13439" TargetMode="External"/><Relationship Id="rId60" Type="http://schemas.openxmlformats.org/officeDocument/2006/relationships/hyperlink" Target="http://hudoc.echr.coe.int/sites/eng/pages/search.aspx?i=001-57819" TargetMode="External"/><Relationship Id="rId65" Type="http://schemas.openxmlformats.org/officeDocument/2006/relationships/hyperlink" Target="http://hudoc.echr.coe.int/sites/eng/pages/search.aspx?i=001-58117" TargetMode="External"/><Relationship Id="rId73" Type="http://schemas.openxmlformats.org/officeDocument/2006/relationships/hyperlink" Target="http://hudoc.echr.coe.int/sites/eng/pages/search.aspx?i=001-58003" TargetMode="External"/><Relationship Id="rId78" Type="http://schemas.openxmlformats.org/officeDocument/2006/relationships/hyperlink" Target="http://hudoc.echr.coe.int/sites/eng-press/pages/search.aspx?i=003-4196815-4975517" TargetMode="External"/><Relationship Id="rId81" Type="http://schemas.openxmlformats.org/officeDocument/2006/relationships/hyperlink" Target="http://hudoc.echr.coe.int/sites/eng/pages/search.aspx?i=003-4832205-5894802" TargetMode="External"/><Relationship Id="rId86" Type="http://schemas.openxmlformats.org/officeDocument/2006/relationships/hyperlink" Target="http://hudoc.echr.coe.int/sites/eng-press/pages/search.aspx?i=003-3601145-4079240" TargetMode="External"/><Relationship Id="rId94" Type="http://schemas.openxmlformats.org/officeDocument/2006/relationships/header" Target="header6.xml"/><Relationship Id="rId99" Type="http://schemas.openxmlformats.org/officeDocument/2006/relationships/hyperlink" Target="https://www.echr.coe.int/Documents/Research_report_national_security_ENG.pdf" TargetMode="External"/><Relationship Id="rId10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hudoc.echr.coe.int/sites/eng/pages/search.aspx?i=001-57518" TargetMode="External"/><Relationship Id="rId18" Type="http://schemas.openxmlformats.org/officeDocument/2006/relationships/footer" Target="footer2.xml"/><Relationship Id="rId39" Type="http://schemas.openxmlformats.org/officeDocument/2006/relationships/hyperlink" Target="http://hudoc.echr.coe.int/eng?i=003-6587080-8727102" TargetMode="External"/><Relationship Id="rId109" Type="http://schemas.openxmlformats.org/officeDocument/2006/relationships/theme" Target="theme/theme1.xml"/><Relationship Id="rId34" Type="http://schemas.openxmlformats.org/officeDocument/2006/relationships/hyperlink" Target="http://hudoc.echr.coe.int/sites/eng/pages/search.aspx?i=001-72496" TargetMode="External"/><Relationship Id="rId50" Type="http://schemas.openxmlformats.org/officeDocument/2006/relationships/hyperlink" Target="https://hudoc.echr.coe.int/eng?i=003-7082696-9577454" TargetMode="External"/><Relationship Id="rId55" Type="http://schemas.openxmlformats.org/officeDocument/2006/relationships/hyperlink" Target="https://hudoc.echr.coe.int/fre?i=002-13486" TargetMode="External"/><Relationship Id="rId76" Type="http://schemas.openxmlformats.org/officeDocument/2006/relationships/hyperlink" Target="http://hudoc.echr.coe.int/sites/eng/pages/search.aspx?i=001-58004" TargetMode="External"/><Relationship Id="rId97" Type="http://schemas.openxmlformats.org/officeDocument/2006/relationships/hyperlink" Target="http://www.echr.coe.int/Documents/Guide_Art_15_ENG.pdf" TargetMode="External"/><Relationship Id="rId104"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hyperlink" Target="http://hudoc.echr.coe.int/sites/eng-press/pages/search.aspx?i=003-4436591-5335890" TargetMode="External"/><Relationship Id="rId92" Type="http://schemas.openxmlformats.org/officeDocument/2006/relationships/hyperlink" Target="http://hudoc.echr.coe.int/sites/eng-press/pages/search.aspx?i=003-4868893-5948599" TargetMode="External"/><Relationship Id="rId2" Type="http://schemas.openxmlformats.org/officeDocument/2006/relationships/numbering" Target="numbering.xml"/><Relationship Id="rId29" Type="http://schemas.openxmlformats.org/officeDocument/2006/relationships/hyperlink" Target="http://hudoc.echr.coe.int/sites/eng/pages/search.aspx?i=001-57506" TargetMode="External"/><Relationship Id="rId24" Type="http://schemas.openxmlformats.org/officeDocument/2006/relationships/hyperlink" Target="http://hudoc.echr.coe.int/sites/eng/pages/search.aspx?i=003-2638619-2883392" TargetMode="External"/><Relationship Id="rId40" Type="http://schemas.openxmlformats.org/officeDocument/2006/relationships/hyperlink" Target="http://hudoc.echr.coe.int/eng?i=003-6654580-8844100" TargetMode="External"/><Relationship Id="rId45" Type="http://schemas.openxmlformats.org/officeDocument/2006/relationships/hyperlink" Target="http://hudoc.echr.coe.int/eng?i=003-6910050-9279640" TargetMode="External"/><Relationship Id="rId66" Type="http://schemas.openxmlformats.org/officeDocument/2006/relationships/hyperlink" Target="http://hudoc.echr.coe.int/sites/eng/pages/search.aspx?i=001-67228" TargetMode="External"/><Relationship Id="rId87" Type="http://schemas.openxmlformats.org/officeDocument/2006/relationships/hyperlink" Target="http://hudoc.echr.coe.int/sites/eng-press/pages/search.aspx?i=003-4541406-5482531" TargetMode="External"/><Relationship Id="rId61" Type="http://schemas.openxmlformats.org/officeDocument/2006/relationships/hyperlink" Target="http://hudoc.echr.coe.int/sites/eng/pages/search.aspx?i=001-104211" TargetMode="External"/><Relationship Id="rId82" Type="http://schemas.openxmlformats.org/officeDocument/2006/relationships/hyperlink" Target="http://hudoc.echr.coe.int/sites/eng-press/pages/search.aspx?i=003-4703714-5709561" TargetMode="External"/><Relationship Id="rId19" Type="http://schemas.openxmlformats.org/officeDocument/2006/relationships/hyperlink" Target="http://hudoc.echr.coe.int/sites/eng/pages/search.aspx?i=001-57518" TargetMode="External"/><Relationship Id="rId14" Type="http://schemas.openxmlformats.org/officeDocument/2006/relationships/image" Target="media/image2.png"/><Relationship Id="rId30" Type="http://schemas.openxmlformats.org/officeDocument/2006/relationships/hyperlink" Target="http://hudoc.echr.coe.int/sites/eng/pages/search.aspx?i=001-58003" TargetMode="External"/><Relationship Id="rId35" Type="http://schemas.openxmlformats.org/officeDocument/2006/relationships/hyperlink" Target="http://hudoc.echr.coe.int/sites/eng/pages/search.aspx?i=003-2638619-2883392" TargetMode="External"/><Relationship Id="rId56" Type="http://schemas.openxmlformats.org/officeDocument/2006/relationships/hyperlink" Target="https://hudoc.echr.coe.int/fre-press?i=003-7203360-9785990" TargetMode="External"/><Relationship Id="rId77" Type="http://schemas.openxmlformats.org/officeDocument/2006/relationships/hyperlink" Target="http://hudoc.echr.coe.int/sites/eng-press/pages/search.aspx?i=003-2277629-2444458" TargetMode="External"/><Relationship Id="rId100" Type="http://schemas.openxmlformats.org/officeDocument/2006/relationships/hyperlink" Target="http://www.echr.coe.int/Documents/FS_Terrorism_ENG.pdf" TargetMode="External"/><Relationship Id="rId105" Type="http://schemas.openxmlformats.org/officeDocument/2006/relationships/hyperlink" Target="https://hudoc.echr.coe.int/eng-press?i=003-7267811-9898066" TargetMode="External"/><Relationship Id="rId8" Type="http://schemas.openxmlformats.org/officeDocument/2006/relationships/header" Target="header1.xml"/><Relationship Id="rId51" Type="http://schemas.openxmlformats.org/officeDocument/2006/relationships/hyperlink" Target="https://hudoc.echr.coe.int/fre?i=003-7116033-9638381" TargetMode="External"/><Relationship Id="rId72" Type="http://schemas.openxmlformats.org/officeDocument/2006/relationships/hyperlink" Target="http://hudoc.echr.coe.int/sites/eng-press/pages/search.aspx?i=003-3482207-3922717" TargetMode="External"/><Relationship Id="rId93" Type="http://schemas.openxmlformats.org/officeDocument/2006/relationships/header" Target="header5.xml"/><Relationship Id="rId98" Type="http://schemas.openxmlformats.org/officeDocument/2006/relationships/hyperlink" Target="http://www.echr.coe.int/Documents/Guide_Art_15_ENG.pdf" TargetMode="External"/><Relationship Id="rId3" Type="http://schemas.openxmlformats.org/officeDocument/2006/relationships/styles" Target="styles.xml"/><Relationship Id="rId25" Type="http://schemas.openxmlformats.org/officeDocument/2006/relationships/hyperlink" Target="http://hudoc.echr.coe.int/eng-press?i=003-6037379-7754294" TargetMode="External"/><Relationship Id="rId46" Type="http://schemas.openxmlformats.org/officeDocument/2006/relationships/hyperlink" Target="http://hudoc.echr.coe.int/eng-press?i=003-6993425-9423003" TargetMode="External"/><Relationship Id="rId67" Type="http://schemas.openxmlformats.org/officeDocument/2006/relationships/hyperlink" Target="http://hudoc.echr.coe.int/sites/eng/pages/search.aspx?i=001-61787" TargetMode="External"/><Relationship Id="rId20" Type="http://schemas.openxmlformats.org/officeDocument/2006/relationships/hyperlink" Target="http://hudoc.echr.coe.int/sites/eng/pages/search.aspx?i=001-73020" TargetMode="External"/><Relationship Id="rId41" Type="http://schemas.openxmlformats.org/officeDocument/2006/relationships/hyperlink" Target="http://hudoc.echr.coe.int/eng?i=003-6654580-8844100" TargetMode="External"/><Relationship Id="rId62" Type="http://schemas.openxmlformats.org/officeDocument/2006/relationships/hyperlink" Target="http://hudoc.echr.coe.int/sites/eng/pages/search.aspx?i=001-73858" TargetMode="External"/><Relationship Id="rId83" Type="http://schemas.openxmlformats.org/officeDocument/2006/relationships/hyperlink" Target="http://hudoc.echr.coe.int/sites/eng-press/pages/search.aspx?i=003-2981696-3287868" TargetMode="External"/><Relationship Id="rId88" Type="http://schemas.openxmlformats.org/officeDocument/2006/relationships/hyperlink" Target="http://hudoc.echr.coe.int/sites/eng/pages/search.aspx?i=001-5922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rm.coe.int/09000016809cee30" TargetMode="External"/><Relationship Id="rId13" Type="http://schemas.openxmlformats.org/officeDocument/2006/relationships/hyperlink" Target="https://rm.coe.int/16809e6a12" TargetMode="External"/><Relationship Id="rId18" Type="http://schemas.openxmlformats.org/officeDocument/2006/relationships/hyperlink" Target="https://rm.coe.int/1680a4fdb0" TargetMode="External"/><Relationship Id="rId26" Type="http://schemas.openxmlformats.org/officeDocument/2006/relationships/hyperlink" Target="http://www.coe.int/en/web/conventions/search-on-states/-/conventions/declarations/search/state" TargetMode="External"/><Relationship Id="rId3" Type="http://schemas.openxmlformats.org/officeDocument/2006/relationships/hyperlink" Target="https://rm.coe.int/16809ea746" TargetMode="External"/><Relationship Id="rId21" Type="http://schemas.openxmlformats.org/officeDocument/2006/relationships/hyperlink" Target="https://rm.coe.int/16809ee0a1" TargetMode="External"/><Relationship Id="rId7" Type="http://schemas.openxmlformats.org/officeDocument/2006/relationships/hyperlink" Target="https://rm.coe.int/1680a49334" TargetMode="External"/><Relationship Id="rId12" Type="http://schemas.openxmlformats.org/officeDocument/2006/relationships/hyperlink" Target="https://rm.coe.int/09000016809cf9a2" TargetMode="External"/><Relationship Id="rId17" Type="http://schemas.openxmlformats.org/officeDocument/2006/relationships/hyperlink" Target="https://rm.coe.int/16809e6409" TargetMode="External"/><Relationship Id="rId25" Type="http://schemas.openxmlformats.org/officeDocument/2006/relationships/hyperlink" Target="https://rm.coe.int/16809ef4e5" TargetMode="External"/><Relationship Id="rId2" Type="http://schemas.openxmlformats.org/officeDocument/2006/relationships/hyperlink" Target="https://rm.coe.int/09000016809ce9f2" TargetMode="External"/><Relationship Id="rId16" Type="http://schemas.openxmlformats.org/officeDocument/2006/relationships/hyperlink" Target="https://rm.coe.int/09000016809cfa88" TargetMode="External"/><Relationship Id="rId20" Type="http://schemas.openxmlformats.org/officeDocument/2006/relationships/hyperlink" Target="https://rm.coe.int/16809ed2cc" TargetMode="External"/><Relationship Id="rId29" Type="http://schemas.openxmlformats.org/officeDocument/2006/relationships/hyperlink" Target="https://www.icrc.org/eng/assets/files/publications/icrc-002-0173.pdf" TargetMode="External"/><Relationship Id="rId1" Type="http://schemas.openxmlformats.org/officeDocument/2006/relationships/hyperlink" Target="https://www.coe.int/en/web/conventions/concerning-a-given-treaty?module=declarations-by-treaty&amp;territoires&amp;codeNature=0&amp;codePays=U&amp;numSte=005&amp;enVigueur=true&amp;ddateDebut=05-05-1949&amp;ddateStatus=01-05-2022" TargetMode="External"/><Relationship Id="rId6" Type="http://schemas.openxmlformats.org/officeDocument/2006/relationships/hyperlink" Target="https://rm.coe.int/1680a44998" TargetMode="External"/><Relationship Id="rId11" Type="http://schemas.openxmlformats.org/officeDocument/2006/relationships/hyperlink" Target="https://rm.coe.int/16809f97a6" TargetMode="External"/><Relationship Id="rId24" Type="http://schemas.openxmlformats.org/officeDocument/2006/relationships/hyperlink" Target="https://rm.coe.int/16809e2770" TargetMode="External"/><Relationship Id="rId5" Type="http://schemas.openxmlformats.org/officeDocument/2006/relationships/hyperlink" Target="https://rm.coe.int/1680a209cb" TargetMode="External"/><Relationship Id="rId15" Type="http://schemas.openxmlformats.org/officeDocument/2006/relationships/hyperlink" Target="https://rm.coe.int/1680a24f55" TargetMode="External"/><Relationship Id="rId23" Type="http://schemas.openxmlformats.org/officeDocument/2006/relationships/hyperlink" Target="https://rm.coe.int/16809fee1a" TargetMode="External"/><Relationship Id="rId28" Type="http://schemas.openxmlformats.org/officeDocument/2006/relationships/hyperlink" Target="http://www.echr.coe.int/Documents/Convention_ENG.pdf" TargetMode="External"/><Relationship Id="rId10" Type="http://schemas.openxmlformats.org/officeDocument/2006/relationships/hyperlink" Target="https://rm.coe.int/09000016809cf885" TargetMode="External"/><Relationship Id="rId19" Type="http://schemas.openxmlformats.org/officeDocument/2006/relationships/hyperlink" Target="https://rm.coe.int/16809e0fe5" TargetMode="External"/><Relationship Id="rId4" Type="http://schemas.openxmlformats.org/officeDocument/2006/relationships/hyperlink" Target="https://rm.coe.int/1680a0d467" TargetMode="External"/><Relationship Id="rId9" Type="http://schemas.openxmlformats.org/officeDocument/2006/relationships/hyperlink" Target="https://rm.coe.int/16809e5ea6" TargetMode="External"/><Relationship Id="rId14" Type="http://schemas.openxmlformats.org/officeDocument/2006/relationships/hyperlink" Target="https://rm.coe.int/notification-jj9209c-tr-005-275-republic-of-moldova-derogation-to-the-/1680a20746" TargetMode="External"/><Relationship Id="rId22" Type="http://schemas.openxmlformats.org/officeDocument/2006/relationships/hyperlink" Target="https://rm.coe.int/16809e1d98" TargetMode="External"/><Relationship Id="rId27" Type="http://schemas.openxmlformats.org/officeDocument/2006/relationships/hyperlink" Target="http://www.echr.coe.int/Documents/Convention_ENG.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4318F-6853-4C11-8010-A9A8C6F16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10004</Words>
  <Characters>60027</Characters>
  <Application>Microsoft Office Word</Application>
  <DocSecurity>0</DocSecurity>
  <Lines>500</Lines>
  <Paragraphs>139</Paragraphs>
  <ScaleCrop>false</ScaleCrop>
  <HeadingPairs>
    <vt:vector size="2" baseType="variant">
      <vt:variant>
        <vt:lpstr>Tytuł</vt:lpstr>
      </vt:variant>
      <vt:variant>
        <vt:i4>1</vt:i4>
      </vt:variant>
    </vt:vector>
  </HeadingPairs>
  <TitlesOfParts>
    <vt:vector size="1" baseType="lpstr">
      <vt:lpstr>FS_Derogation_ENG</vt:lpstr>
    </vt:vector>
  </TitlesOfParts>
  <Company/>
  <LinksUpToDate>false</LinksUpToDate>
  <CharactersWithSpaces>69892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FS_Derogation_ENG</dc:title>
  <dc:subject>FS_Derogation_ENG</dc:subject>
  <dc:creator>ECHR/CEDH</dc:creator>
  <cp:keywords>, docId:5B9CD86D809C6C5B5A2D6D8274C53456</cp:keywords>
  <cp:lastModifiedBy>Szponar Paweł  (DWMPC)</cp:lastModifiedBy>
  <cp:revision>6</cp:revision>
  <dcterms:created xsi:type="dcterms:W3CDTF">2026-07-16T10:37:00Z</dcterms:created>
  <dcterms:modified xsi:type="dcterms:W3CDTF">2026-07-31T10:24:00Z</dcterms:modified>
</cp:coreProperties>
</file>